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{SEDE}</w:t>
      </w:r>
      <w:r>
        <w:t>Committee on Security and Defence</w:t>
      </w:r>
      <w:r>
        <w:rPr>
          <w:rStyle w:val="HideTWBExt"/>
        </w:rPr>
        <w:t>&lt;/Commission&gt;</w:t>
      </w:r>
    </w:p>
    <w:p>
      <w:pPr>
        <w:pStyle w:val="LineBottom"/>
      </w:pPr>
      <w:r>
        <w:t xml:space="preserve"> </w:t>
      </w:r>
    </w:p>
    <w:p>
      <w:pPr>
        <w:pStyle w:val="CoverReference"/>
      </w:pPr>
      <w:r>
        <w:rPr>
          <w:rStyle w:val="HideTWBExt"/>
        </w:rPr>
        <w:t>&lt;RefProc&gt;</w:t>
      </w:r>
      <w:r>
        <w:t>2026/2060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{05/10/2026}</w:t>
      </w:r>
      <w:r>
        <w:t>5.10.2026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754</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Nathalie Loiseau</w:t>
      </w:r>
      <w:r>
        <w:rPr>
          <w:rStyle w:val="HideTWBExt"/>
        </w:rPr>
        <w:t>&lt;/Rapporteur&gt;</w:t>
      </w:r>
    </w:p>
    <w:p>
      <w:pPr>
        <w:pStyle w:val="CoverNormal24a"/>
      </w:pPr>
      <w:r>
        <w:rPr>
          <w:rStyle w:val="HideTWBExt"/>
        </w:rPr>
        <w:t>&lt;DocRefPE&gt;</w:t>
      </w:r>
      <w:r>
        <w:t>(PE791.004v01-00)</w:t>
      </w:r>
      <w:r>
        <w:rPr>
          <w:rStyle w:val="HideTWBExt"/>
        </w:rPr>
        <w:t>&lt;/DocRefPE&gt;</w:t>
      </w:r>
    </w:p>
    <w:p>
      <w:pPr>
        <w:pStyle w:val="CoverNormal"/>
      </w:pPr>
      <w:r>
        <w:rPr>
          <w:rStyle w:val="HideTWBExt"/>
        </w:rPr>
        <w:t>&lt;Titre&gt;</w:t>
      </w:r>
      <w:r>
        <w:t>Implementation of the common security and defence policy – annual report 2026</w:t>
      </w:r>
      <w:r>
        <w:rPr>
          <w:rStyle w:val="HideTWBExt"/>
        </w:rPr>
        <w:t>&lt;/Titre&gt;</w:t>
      </w:r>
    </w:p>
    <w:p>
      <w:pPr>
        <w:pStyle w:val="CoverNormal24a"/>
      </w:pPr>
      <w:r>
        <w:rPr>
          <w:rStyle w:val="HideTWBExt"/>
        </w:rPr>
        <w:t>&lt;DocRef&gt;</w:t>
      </w:r>
      <w:r>
        <w:t>(2026/2060(INI))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the Treaty on the Functioning of the European Union and </w:t>
            </w:r>
            <w:r>
              <w:rPr>
                <w:b/>
                <w:i/>
              </w:rPr>
              <w:t>Title</w:t>
            </w:r>
            <w:r>
              <w:t xml:space="preserve"> V of the Treaty on European Union, in particular the provisions on the common security and defence policy (CSDP),</w:t>
            </w:r>
          </w:p>
        </w:tc>
        <w:tc>
          <w:tcPr>
            <w:tcW w:w="4876" w:type="dxa"/>
            <w:tcBorders>
              <w:top w:val="nil"/>
              <w:left w:val="nil"/>
              <w:bottom w:val="nil"/>
              <w:right w:val="nil"/>
            </w:tcBorders>
          </w:tcPr>
          <w:p>
            <w:pPr>
              <w:pStyle w:val="Normal6a"/>
            </w:pPr>
            <w:r>
              <w:t>—</w:t>
            </w:r>
            <w:r>
              <w:tab/>
            </w:r>
            <w:r>
              <w:t xml:space="preserve">having regard to the Treaty on the Functioning of the European Union and </w:t>
            </w:r>
            <w:r>
              <w:rPr>
                <w:b/>
                <w:i/>
              </w:rPr>
              <w:t>Titles I and</w:t>
            </w:r>
            <w:r>
              <w:t xml:space="preserve"> V of the Treaty on European Union, in particular the provisions on the common security and defence policy (CSDP) </w:t>
            </w:r>
            <w:r>
              <w:rPr>
                <w:b/>
                <w:i/>
              </w:rPr>
              <w:t>and the principles laid down in Article 4</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Lynn Boylan, Kathleen Funchion,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neutrality of certain Member States and the need to ensure such neutrality is not compromised,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Council Common Position 2008/944/CFSP of 8 December 2008 defining common rules governing control of exports of military technology and equipment, as amended by Council Decision (CFSP) 2019/1560 of 16 September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Council Regulation (EU) 2025/1106 of 27 May 2025 establishing the Security Action for Europe (SAFE) instrument through the reinforcement of the European defence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United Nations Convention on the Law of the Sea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Communication to the European Parliament and the Council, A Strategic Approach to the Black Sea Region of the European Union, published by the European Commission and the High Representative of the Union for Foreign Affairs and Security Policy on 28 May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2025/1106 of 27 May 2025 establishing the Security Action for Europe (SAFE) through the reinforcement of the European defence industry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Council Decision of September 2026 on the updated EU Space Threat Response Architecture (STRA),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Hague Summit Declaration issued by the Heads of State and Government of the North Atlantic Treaty Organization (NATO) participating in the meeting of the North Atlantic Council in The Hague on 25 June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Lynn Boylan, Kathleen Funchion,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Article 42(2) and (7) of the Treaty on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Lynn Boylan, Kathleen Funchion,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Annex IV(3) of the Presidency Conclusions of the European Council meeting in Seville on 21 and 22 June 2002</w:t>
            </w:r>
            <w:r>
              <w:rPr>
                <w:b/>
                <w:i/>
                <w:vertAlign w:val="superscript"/>
              </w:rPr>
              <w:t>1a</w:t>
            </w:r>
            <w:r>
              <w:rPr>
                <w:b/>
                <w:i/>
              </w:rPr>
              <w:t xml:space="preserve"> in respect of the position of neutral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https://www.consilium.europa.eu/media/20928/72638.pdf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Defence Agency's Defence Data 2025-2026 report, published on 16 July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16 September 2026 on Hybrid warfare and the protection of the EU’s territorial integrity and critical security and defence infrastructure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Text adopted, P10_TA(2026)0303.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Nathalie Loiseau, Lucia Yar, Engin Eroglu,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w:t>
            </w:r>
            <w:r>
              <w:rPr>
                <w:b/>
                <w:i/>
              </w:rPr>
              <w:t>European continent is facing the most complex combination of both military and non-military threats as a result of Russia’s illegal</w:t>
            </w:r>
            <w:r>
              <w:t xml:space="preserve"> war of aggression against Ukraine</w:t>
            </w:r>
            <w:r>
              <w:rPr>
                <w:b/>
                <w:i/>
              </w:rPr>
              <w:t>, the spillover of the war in the Middle East, the deteriorating security situation from the Sahel to the Horn of Africa, and uncertainty as regards the US stance towards the EU</w:t>
            </w:r>
            <w:r>
              <w:t>;</w:t>
            </w:r>
          </w:p>
        </w:tc>
        <w:tc>
          <w:tcPr>
            <w:tcW w:w="4876" w:type="dxa"/>
            <w:tcBorders>
              <w:top w:val="nil"/>
              <w:left w:val="nil"/>
              <w:bottom w:val="nil"/>
              <w:right w:val="nil"/>
            </w:tcBorders>
          </w:tcPr>
          <w:p>
            <w:pPr>
              <w:pStyle w:val="Normal6a"/>
            </w:pPr>
            <w:r>
              <w:t>A.</w:t>
            </w:r>
            <w:r>
              <w:tab/>
            </w:r>
            <w:r>
              <w:t xml:space="preserve">whereas the </w:t>
            </w:r>
            <w:r>
              <w:rPr>
                <w:b/>
                <w:i/>
              </w:rPr>
              <w:t>EU’s security environment keeps deteriorating, and regional conflicts that have strong impact in the EU have deepened and multiplied in 2025, in particular the Russian</w:t>
            </w:r>
            <w:r>
              <w:t xml:space="preserve"> war of aggression against Ukraine </w:t>
            </w:r>
            <w:r>
              <w:rPr>
                <w:b/>
                <w:i/>
              </w:rPr>
              <w:t>which has entered its fifth year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w:t>
            </w:r>
            <w:r>
              <w:rPr>
                <w:b/>
                <w:i/>
              </w:rPr>
              <w:t>and uncertainty as regards the US stance towards the EU</w:t>
            </w:r>
            <w:r>
              <w:t>;</w:t>
            </w:r>
          </w:p>
        </w:tc>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the </w:t>
            </w:r>
            <w:r>
              <w:rPr>
                <w:b/>
                <w:i/>
              </w:rPr>
              <w:t>militarisation of the Arctic, the</w:t>
            </w:r>
            <w:r>
              <w:t xml:space="preserve"> deteriorating security situation from the Sahel to the Horn of Africa, </w:t>
            </w:r>
            <w:r>
              <w:rPr>
                <w:b/>
                <w:i/>
              </w:rPr>
              <w:t>the security implications for Europe of growing tensions in the Indo-Pacific, in particular in the Taiwan Strait, and the evolving transatlantic security environment, including the need for European Allies to assume greater responsibility for their defence within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w:t>
            </w:r>
            <w:r>
              <w:rPr>
                <w:b/>
                <w:i/>
              </w:rPr>
              <w:t>as a result of</w:t>
            </w:r>
            <w:r>
              <w:t xml:space="preserve"> Russia’s illegal war of aggression against Ukraine, </w:t>
            </w:r>
            <w:r>
              <w:rPr>
                <w:b/>
                <w:i/>
              </w:rPr>
              <w:t>the spillover of the war</w:t>
            </w:r>
            <w:r>
              <w:t xml:space="preserve"> in the Middle East</w:t>
            </w:r>
            <w:r>
              <w:rPr>
                <w:b/>
                <w:i/>
              </w:rPr>
              <w:t>, the deteriorating security situation from the Sahel to the Horn of</w:t>
            </w:r>
            <w:r>
              <w:t xml:space="preserve"> Africa, and </w:t>
            </w:r>
            <w:r>
              <w:rPr>
                <w:b/>
                <w:i/>
              </w:rPr>
              <w:t>uncertainty as regards the US stance towards</w:t>
            </w:r>
            <w:r>
              <w:t xml:space="preserve"> the EU;</w:t>
            </w:r>
          </w:p>
        </w:tc>
        <w:tc>
          <w:tcPr>
            <w:tcW w:w="4876" w:type="dxa"/>
            <w:tcBorders>
              <w:top w:val="nil"/>
              <w:left w:val="nil"/>
              <w:bottom w:val="nil"/>
              <w:right w:val="nil"/>
            </w:tcBorders>
          </w:tcPr>
          <w:p>
            <w:pPr>
              <w:pStyle w:val="Normal6a"/>
            </w:pPr>
            <w:r>
              <w:t>A.</w:t>
            </w:r>
            <w:r>
              <w:tab/>
            </w:r>
            <w:r>
              <w:t>whereas the European continent is facing the most complex combination of both military and non-military threats</w:t>
            </w:r>
            <w:r>
              <w:rPr>
                <w:b/>
                <w:i/>
              </w:rPr>
              <w:t>,</w:t>
            </w:r>
            <w:r>
              <w:t xml:space="preserve"> Russia’s illegal war of aggression against Ukraine, </w:t>
            </w:r>
            <w:r>
              <w:rPr>
                <w:b/>
                <w:i/>
              </w:rPr>
              <w:t>Russia’s sustained hybrid activities against the EU and its Member States, the lasting threat posed by Iran and its proxies, increasing instability</w:t>
            </w:r>
            <w:r>
              <w:t xml:space="preserve"> in the Middle East </w:t>
            </w:r>
            <w:r>
              <w:rPr>
                <w:b/>
                <w:i/>
              </w:rPr>
              <w:t>and</w:t>
            </w:r>
            <w:r>
              <w:t xml:space="preserve"> Africa, and </w:t>
            </w:r>
            <w:r>
              <w:rPr>
                <w:b/>
                <w:i/>
              </w:rPr>
              <w:t>China’s growing military, economic and technological influence; whereas these threats increasingly transcend the distinction between internal and external security for</w:t>
            </w:r>
            <w:r>
              <w:t xml:space="preserve">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uncertainty as regards the US stance towards the EU;</w:t>
            </w:r>
          </w:p>
        </w:tc>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w:t>
            </w:r>
            <w:r>
              <w:rPr>
                <w:b/>
                <w:i/>
              </w:rPr>
              <w:t>including instability affecting strategic maritime chokepoints such as the Strait of Hormuz and Bab el-Mandeb, with global repercussions for freedom of navigation and supply chains;</w:t>
            </w:r>
            <w:r>
              <w:t xml:space="preserve"> the deteriorating security situation from the Sahel to the Horn of Africa, and uncertainty as regards the US stance towards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w:t>
            </w:r>
            <w:r>
              <w:rPr>
                <w:b/>
                <w:i/>
              </w:rPr>
              <w:t>uncertainty as regards the US stance towards the EU</w:t>
            </w:r>
            <w:r>
              <w:t>;</w:t>
            </w:r>
          </w:p>
        </w:tc>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w:t>
            </w:r>
            <w:r>
              <w:rPr>
                <w:b/>
                <w:i/>
              </w:rPr>
              <w:t>the hybrid campaigns of hostile state actors, including destabilisation through airspace incursions and instrumentalised migration at the EU’s external borders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uncertainty as regards the US stance towards the EU;</w:t>
            </w:r>
          </w:p>
        </w:tc>
        <w:tc>
          <w:tcPr>
            <w:tcW w:w="4876" w:type="dxa"/>
            <w:tcBorders>
              <w:top w:val="nil"/>
              <w:left w:val="nil"/>
              <w:bottom w:val="nil"/>
              <w:right w:val="nil"/>
            </w:tcBorders>
          </w:tcPr>
          <w:p>
            <w:pPr>
              <w:pStyle w:val="Normal6a"/>
            </w:pPr>
            <w:r>
              <w:t>A.</w:t>
            </w:r>
            <w:r>
              <w:tab/>
            </w:r>
            <w:r>
              <w:t>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uncertainty as regards the US stance towards the EU</w:t>
            </w:r>
            <w:r>
              <w:rPr>
                <w:b/>
                <w:i/>
              </w:rPr>
              <w:t>, and the EU Member States already experiencing hybrid incidents attributable to Russia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uncertainty as regards the US stance towards the EU;</w:t>
            </w:r>
          </w:p>
        </w:tc>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the </w:t>
            </w:r>
            <w:r>
              <w:rPr>
                <w:b/>
                <w:i/>
              </w:rPr>
              <w:t>tensions in the Eastern Mediterranean due to Türkiye’s expansionist behaviour, the </w:t>
            </w:r>
            <w:r>
              <w:t>deteriorating security situation from the Sahel to the Horn of Africa, and uncertainty as regards the US stance towards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w:t>
            </w:r>
            <w:r>
              <w:rPr>
                <w:b/>
                <w:i/>
              </w:rPr>
              <w:t>uncertainty as regards the US stance towards the EU</w:t>
            </w:r>
            <w:r>
              <w:t>;</w:t>
            </w:r>
          </w:p>
        </w:tc>
        <w:tc>
          <w:tcPr>
            <w:tcW w:w="4876" w:type="dxa"/>
            <w:tcBorders>
              <w:top w:val="nil"/>
              <w:left w:val="nil"/>
              <w:bottom w:val="nil"/>
              <w:right w:val="nil"/>
            </w:tcBorders>
          </w:tcPr>
          <w:p>
            <w:pPr>
              <w:pStyle w:val="Normal6a"/>
            </w:pPr>
            <w:r>
              <w:t>A.</w:t>
            </w:r>
            <w:r>
              <w:tab/>
            </w:r>
            <w:r>
              <w:t xml:space="preserve">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 and </w:t>
            </w:r>
            <w:r>
              <w:rPr>
                <w:b/>
                <w:i/>
              </w:rPr>
              <w:t>a more transactional US approach to foreign policy, which requires Europe to assume greater responsibility for its own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w:t>
            </w:r>
            <w:r>
              <w:rPr>
                <w:b/>
                <w:i/>
              </w:rPr>
              <w:t>, and uncertainty as regards the US stance towards the EU</w:t>
            </w:r>
            <w:r>
              <w:t>;</w:t>
            </w:r>
          </w:p>
        </w:tc>
        <w:tc>
          <w:tcPr>
            <w:tcW w:w="4876" w:type="dxa"/>
            <w:tcBorders>
              <w:top w:val="nil"/>
              <w:left w:val="nil"/>
              <w:bottom w:val="nil"/>
              <w:right w:val="nil"/>
            </w:tcBorders>
          </w:tcPr>
          <w:p>
            <w:pPr>
              <w:pStyle w:val="Normal6a"/>
            </w:pPr>
            <w:r>
              <w:t>A.</w:t>
            </w:r>
            <w:r>
              <w:tab/>
            </w:r>
            <w:r>
              <w:t>whereas the European continent is facing the most complex combination of both military and non-military threats as a result of Russia’s illegal war of aggression against Ukraine, the spillover of the war in the Middle East, the deteriorating security situation from the Sahel to the Horn of Africa;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Rasa Juknevičienė,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since 2022, Russia’s hybrid warfare in Europe has significantly escalated in scale, frequency and severity, becoming increasingly kinetic through state-backed sabotage, arson, GPS jamming, physical and cyber attacks against critical infrastructure – in particular energy grids, undersea cables, transport systems and defence-industrial facilities– and has de facto transformed into a permanent “zero-stage” warfare aimed at undermining European security, exploiting the vulnerabilities of democratic systems and blurring the line between peace, crisis and armed conflict;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NATO remains the cornerstone of the collective defence of its members and the foundation of Euro-Atlantic security; whereas a stronger, more capable and more responsible EU in the field of security and defence contributes to a stronger NATO, and the two organisations must act in complementarity and without unnecessary duplication;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China has become a key enabler of Russia's war of aggression against Ukraine, notably through the supply of dual-use goods, and continues to deepen its strategic partnership with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the EU's security must be addressed through a 360-degree approach, encompassing the eastern, northern and southern flanks, and whereas instability in the Mediterranean, the Sahel and the Middle East, including terrorism, instrumentalised migration and organised crime, has direct consequences for the security of EU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Ukraine needs to be provided with the necessary military capabilities in the quantities it requests and for as long as it takes to end Russia’s illegal war of aggression; whereas Ukraine is defending not only its sovereignty and territorial integrity, but also European security overall;</w:t>
            </w:r>
          </w:p>
        </w:tc>
        <w:tc>
          <w:tcPr>
            <w:tcW w:w="4876" w:type="dxa"/>
            <w:tcBorders>
              <w:top w:val="nil"/>
              <w:left w:val="nil"/>
              <w:bottom w:val="nil"/>
              <w:right w:val="nil"/>
            </w:tcBorders>
          </w:tcPr>
          <w:p>
            <w:pPr>
              <w:pStyle w:val="Normal6a"/>
            </w:pPr>
            <w:r>
              <w:t>B.</w:t>
            </w:r>
            <w:r>
              <w:tab/>
            </w:r>
            <w:r>
              <w:t xml:space="preserve">whereas Ukraine needs to be provided with the necessary military capabilities in the quantities it requests and for as long as it takes to end Russia’s illegal war of aggression; whereas Ukraine is defending not only its sovereignty and territorial integrity, but also European security overall; </w:t>
            </w:r>
            <w:r>
              <w:rPr>
                <w:b/>
                <w:i/>
              </w:rPr>
              <w:t>whereas support for Ukraine's defence has become both the most demanding test of the Union's role as a security actor and its most tangible achievement, from the training of Ukrainian forces under EUMAM Ukraine and the assistance provided through the European Peace Facility to the defence pillar of the Ukraine Support Loan and joint industrial projects under SAFE; whereas Ukraine's capacity to resist therefore increasingly depends on the ability of the Union's defence programmes to deliver at the speed and scale that the war demands; whereas this support also strengthens the Union's own defence, as the integration of Ukrainian battlefield innovation into the European defence technological and industrial base is transforming how Europe develops and produces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Nathalie Loiseau, Lucia Yar, Engin Eroglu,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Ukraine needs to </w:t>
            </w:r>
            <w:r>
              <w:rPr>
                <w:b/>
                <w:i/>
              </w:rPr>
              <w:t>be provided with the necessary military capabilities in the quantities it requests and for as long as it takes to end Russia’s illegal war of aggression</w:t>
            </w:r>
            <w:r>
              <w:t xml:space="preserve">; whereas Ukraine </w:t>
            </w:r>
            <w:r>
              <w:rPr>
                <w:b/>
                <w:i/>
              </w:rPr>
              <w:t>is defending not only its sovereignty and territorial integrity, but also European security overall</w:t>
            </w:r>
            <w:r>
              <w:t>;</w:t>
            </w:r>
          </w:p>
        </w:tc>
        <w:tc>
          <w:tcPr>
            <w:tcW w:w="4876" w:type="dxa"/>
            <w:tcBorders>
              <w:top w:val="nil"/>
              <w:left w:val="nil"/>
              <w:bottom w:val="nil"/>
              <w:right w:val="nil"/>
            </w:tcBorders>
          </w:tcPr>
          <w:p>
            <w:pPr>
              <w:pStyle w:val="Normal6a"/>
            </w:pPr>
            <w:r>
              <w:t>B.</w:t>
            </w:r>
            <w:r>
              <w:tab/>
            </w:r>
            <w:r>
              <w:t xml:space="preserve">Whereas </w:t>
            </w:r>
            <w:r>
              <w:rPr>
                <w:b/>
                <w:i/>
              </w:rPr>
              <w:t>despite the weakening of Russia,</w:t>
            </w:r>
            <w:r>
              <w:t xml:space="preserve"> Ukraine needs to </w:t>
            </w:r>
            <w:r>
              <w:rPr>
                <w:b/>
                <w:i/>
              </w:rPr>
              <w:t>gain a decisive advantage; whereas Russia consistently demonstrates evident unwillingness to negotiate an end to the war</w:t>
            </w:r>
            <w:r>
              <w:t xml:space="preserve">; whereas </w:t>
            </w:r>
            <w:r>
              <w:rPr>
                <w:b/>
                <w:i/>
              </w:rPr>
              <w:t>Russia has gained an edge at scaling drones over NATO countries and is exploiting the shortage of Patriot missiles to bombard</w:t>
            </w:r>
            <w:r>
              <w:t xml:space="preserve"> Ukraine</w:t>
            </w:r>
            <w:r>
              <w:rPr>
                <w:b/>
                <w:i/>
              </w:rPr>
              <w:t>, particularly Kyiv, with hypersonic missiles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Ukraine needs to be provided with the necessary military capabilities in the quantities it requests and for as long as it takes to end Russia’s illegal war of aggression; whereas Ukraine is defending not only its sovereignty and territorial integrity, but also European security overall;</w:t>
            </w:r>
          </w:p>
        </w:tc>
        <w:tc>
          <w:tcPr>
            <w:tcW w:w="4876" w:type="dxa"/>
            <w:tcBorders>
              <w:top w:val="nil"/>
              <w:left w:val="nil"/>
              <w:bottom w:val="nil"/>
              <w:right w:val="nil"/>
            </w:tcBorders>
          </w:tcPr>
          <w:p>
            <w:pPr>
              <w:pStyle w:val="Normal6a"/>
            </w:pPr>
            <w:r>
              <w:t>B.</w:t>
            </w:r>
            <w:r>
              <w:tab/>
            </w:r>
            <w:r>
              <w:t xml:space="preserve">whereas Ukraine needs to be provided with the necessary military capabilities in the quantities it requests and for as long as it takes to end Russia’s illegal war of aggression; whereas </w:t>
            </w:r>
            <w:r>
              <w:rPr>
                <w:b/>
                <w:i/>
              </w:rPr>
              <w:t>Russia’s illegal war of aggression presents an immediate threat to the European and global security order and to the security of the EU and its Member States which means that</w:t>
            </w:r>
            <w:r>
              <w:t xml:space="preserve"> Ukraine is defending not only its sovereignty and territorial integrity, but also European security overall; </w:t>
            </w:r>
            <w:r>
              <w:rPr>
                <w:b/>
                <w:i/>
              </w:rPr>
              <w:t>whereas this conflict shows the urgent need for the Member States to define a common perception of threats and demonstrate genuine solidarity with the frontline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Ukraine needs to be provided with the necessary military capabilities in the quantities it requests and for as long as it takes </w:t>
            </w:r>
            <w:r>
              <w:rPr>
                <w:b/>
                <w:i/>
              </w:rPr>
              <w:t>to</w:t>
            </w:r>
            <w:r>
              <w:t xml:space="preserve"> end Russia’s illegal war of aggression; whereas Ukraine is defending not only its sovereignty and territorial integrity, but also European security overall;</w:t>
            </w:r>
          </w:p>
        </w:tc>
        <w:tc>
          <w:tcPr>
            <w:tcW w:w="4876" w:type="dxa"/>
            <w:tcBorders>
              <w:top w:val="nil"/>
              <w:left w:val="nil"/>
              <w:bottom w:val="nil"/>
              <w:right w:val="nil"/>
            </w:tcBorders>
          </w:tcPr>
          <w:p>
            <w:pPr>
              <w:pStyle w:val="Normal6a"/>
            </w:pPr>
            <w:r>
              <w:t>B.</w:t>
            </w:r>
            <w:r>
              <w:tab/>
            </w:r>
            <w:r>
              <w:t>whereas Ukraine needs to be provided with the necessary military capabilities in the quantities it requests and for as long as it takes</w:t>
            </w:r>
            <w:r>
              <w:rPr>
                <w:b/>
                <w:i/>
              </w:rPr>
              <w:t>, within the limits of Member States’ available capabilities and in accordance with their own defence needs, stocks and national security interests, to help</w:t>
            </w:r>
            <w:r>
              <w:t xml:space="preserve"> end Russia’s illegal war of aggression; whereas Ukraine is defending not only its sovereignty and territorial integrity, but also European security overall;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Ukraine needs to be provided with the necessary military capabilities in the quantities it requests and for as long as it takes to end Russia’s illegal war of aggression; whereas Ukraine is defending not only its sovereignty and territorial integrity, but also European security overall;</w:t>
            </w:r>
          </w:p>
        </w:tc>
        <w:tc>
          <w:tcPr>
            <w:tcW w:w="4876" w:type="dxa"/>
            <w:tcBorders>
              <w:top w:val="nil"/>
              <w:left w:val="nil"/>
              <w:bottom w:val="nil"/>
              <w:right w:val="nil"/>
            </w:tcBorders>
          </w:tcPr>
          <w:p>
            <w:pPr>
              <w:pStyle w:val="Normal6a"/>
            </w:pPr>
            <w:r>
              <w:t>B.</w:t>
            </w:r>
            <w:r>
              <w:tab/>
            </w:r>
            <w:r>
              <w:t xml:space="preserve">whereas Ukraine </w:t>
            </w:r>
            <w:r>
              <w:rPr>
                <w:b/>
                <w:i/>
              </w:rPr>
              <w:t>is facing a renewed wave of Russian aggression, intensified missile and drone attacks, and</w:t>
            </w:r>
            <w:r>
              <w:t xml:space="preserve"> needs to be provided with the necessary military capabilities</w:t>
            </w:r>
            <w:r>
              <w:rPr>
                <w:b/>
                <w:i/>
              </w:rPr>
              <w:t>, particularly air and missile defence,</w:t>
            </w:r>
            <w:r>
              <w:t xml:space="preserve"> in the quantities it requests and for as long as it takes to end Russia’s illegal war of aggression; whereas Ukraine is defending not only its sovereignty and territorial integrity, but also European security overall;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Ukraine needs to be provided with the necessary military capabilities </w:t>
            </w:r>
            <w:r>
              <w:rPr>
                <w:b/>
                <w:i/>
              </w:rPr>
              <w:t>in the quantities it requests and for as long as it takes</w:t>
            </w:r>
            <w:r>
              <w:t xml:space="preserve"> to end Russia’s illegal war of aggression; whereas Ukraine is defending </w:t>
            </w:r>
            <w:r>
              <w:rPr>
                <w:b/>
                <w:i/>
              </w:rPr>
              <w:t>not only</w:t>
            </w:r>
            <w:r>
              <w:t xml:space="preserve"> its sovereignty and territorial integrity</w:t>
            </w:r>
            <w:r>
              <w:rPr>
                <w:b/>
                <w:i/>
              </w:rPr>
              <w:t>, but also European security overall;</w:t>
            </w:r>
          </w:p>
        </w:tc>
        <w:tc>
          <w:tcPr>
            <w:tcW w:w="4876" w:type="dxa"/>
            <w:tcBorders>
              <w:top w:val="nil"/>
              <w:left w:val="nil"/>
              <w:bottom w:val="nil"/>
              <w:right w:val="nil"/>
            </w:tcBorders>
          </w:tcPr>
          <w:p>
            <w:pPr>
              <w:pStyle w:val="Normal6a"/>
            </w:pPr>
            <w:r>
              <w:t>B.</w:t>
            </w:r>
            <w:r>
              <w:tab/>
            </w:r>
            <w:r>
              <w:t>whereas Ukraine needs to be provided with the necessary military capabilities to end Russia’s illegal war of aggression; whereas Ukraine is defending its sovereignty and territorial integrity</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Ukraine needs to be provided with the necessary military capabilities in the quantities it requests and for as long as it takes to end Russia’s illegal war of aggression; whereas Ukraine is defending not only its sovereignty and territorial integrity, but also European security </w:t>
            </w:r>
            <w:r>
              <w:rPr>
                <w:b/>
                <w:i/>
              </w:rPr>
              <w:t>overall</w:t>
            </w:r>
            <w:r>
              <w:t>;</w:t>
            </w:r>
          </w:p>
        </w:tc>
        <w:tc>
          <w:tcPr>
            <w:tcW w:w="4876" w:type="dxa"/>
            <w:tcBorders>
              <w:top w:val="nil"/>
              <w:left w:val="nil"/>
              <w:bottom w:val="nil"/>
              <w:right w:val="nil"/>
            </w:tcBorders>
          </w:tcPr>
          <w:p>
            <w:pPr>
              <w:pStyle w:val="Normal6a"/>
            </w:pPr>
            <w:r>
              <w:t>B.</w:t>
            </w:r>
            <w:r>
              <w:tab/>
            </w:r>
            <w:r>
              <w:t xml:space="preserve">whereas Ukraine needs to be provided with the necessary military capabilities in the quantities it requests and for as long as it takes to end Russia’s illegal war of aggression; whereas Ukraine is defending not only its sovereignty and territorial integrity, but also </w:t>
            </w:r>
            <w:r>
              <w:rPr>
                <w:b/>
                <w:i/>
              </w:rPr>
              <w:t>the gateways to</w:t>
            </w:r>
            <w:r>
              <w:t xml:space="preserve"> European security </w:t>
            </w:r>
            <w:r>
              <w:rPr>
                <w:b/>
                <w:i/>
              </w:rPr>
              <w:t>and the security of the European continent as a whole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Nathalie Loiseau, Engin Eroglu, Lucia Yar,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first annual Defence Readiness Report requested by the European Council in October 2025 notes with concern that, despite an unprecedented increase in defence spending, Member States' current plans do not seem sufficient to close capability gaps by 2030 in air and missile defence, ground combat, naval capabilities, munition stockpiles, and drones and counter-drones, and that efforts do not yet translate into sufficiently deployable, sustainable and interoperable forces, and insists on prioritising strategic enablers – air-to-air refuelling, strategic lift, strategic command and control, early warning and space surveillance – in view of the likely reduction of US assets in Europe, and on developing them cooperatively, including through European Defence Projects of Common 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Northern Corridor remains an important land-based trade route connecting China and Central Asia with the European Union through Russian territory; whereas it generates revenue for Russian and Belarusian state-owned operators, creates strategic leverage over EU trade flows, and exposes the EU’s eastern border to hybrid pressure, as demonstrated by the closure of Polish-Belarusian border crossings during the Zapad 2025 exercise and subsequent drone incursions into Polish airspace;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Russia is the only actor that combines confirmed hostile intent with first-rate political, economic and military capabilities, including nuclear capabilities, making it the ‘primary threat’ that will shape Europe’s capability requirements for years to come;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Marina Mesure, 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following the military operation launched by Azerbaijan in September 2023, Nagorno-Karabakh was subjected to ethnic cleansing, forcing more than 100,000 people of Armenian origin to flee their homes;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Putin aims to subjugate Ukraine, restore as much as possible of the Russian empire, destroy the credibility of NATO, undermine the European Union and re-establish a Russian sphere of influence over eastern Europe; whereas the Russian Federation now constitutes the most direct, immediate and structuring threat to the security of the European Union and its Member States; whereas this threat is both conventional and hybrid in nature, and is part of a deliberate strategy of lasting confrontation with the European and Euro-Atlantic order; whereas Russia is committing recurrent violations of Member States’ airspace and maritime borders which are recently escalating; whereas the Russian threat affects the whole of Europe and European intelligence services consider the risk of an attack on a European country as significant;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Russia is waging and, since 2025, intensifying an unprecedented hybrid war against the Union, combining cyberattacks targeting our critical infrastructure and democratic institutions, large-scale disinformation and electoral interference campaigns, the instrumentalisation of migration flows at the eastern borders in connivance with the Lukashenko regime, energy blackmail; whereas the 4th EEAS Report on Foreign Information Manipulation and Interference (FIMI) Threats of March 2026 identifies Ukraine as the primary target of these activities and France as the second one and exposes attacks targeting EU and NATO institutions, key media outlets, politicians and other public figures; whereas Russia has intensified its sabotage and hybrid campaign against Member States; whereas an explosive-laden drone was defused at Leipzig airport in August 2026 and attributed by Germany to Russia on 1 September; whereas a Russian drone struck a train near the Ukraine–Poland border on 13 September, minutes after a diplomatic train carrying European security advisers and former leaders had passed; whereas on 14 September a Russian warship fired flares towards a Danish military helicopter in the Baltic Sea and, on 15 September, a NATO fighter jet shot down over Lithuania a drone carrying an explosive device which, according to preliminary data, had entered from Belarus; whereas Russian drones have repeatedly violated Polish and Romanian airspace;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becoming a stronger geopolitical actor requires greater political cohesion to advance common priorities in defence and enlargement, fulfilling the vision of the founding fathers of the European project to build a strong European defence structure to ensure peace for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whereas the Russian federal law signed on 25 May 2026, that authorises the deployment of the armed forces abroad to “protect” Russian citizens, in practice grants the Kremlin a legal pretext to invade other countries under the guise of protecting its nationals; whereas it could serve to formalise the armed escort of vessels of the sanctioned “shadow fleet”, which Russian naval ships are already accompanying, and thereby opens the way to deliberate escalation, including the opening of new fronts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whereas the security of the Union is inseparable from the security of its Eastern Partnership neighbours; whereas the Black Sea region and the South Caucasus have become a front line of Russia’s confrontation with the Union, as well as a key crossroads for the Union’s connectivity, energy security and diversification away from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whereas compared with the 2017 and 2022 strategies, the US National Security Strategy of December 2025 places markedly less emphasis on competition with Russia and on Russian threats to European security, calling instead for a rapid end to hostilities in Ukraine, and the re-establishment of “strategic stability” with Russia; whereas the document openly criticises European allies and calls for “cultivating resistance” within Europe, treating the Union less as a partner than as a net burden judged solely by its Defense spending; whereas the United States’ stated intention to reduce its conventional contribution to Europe’s Defense compels Europe to take greater responsibility for its own security using its own resources; whereas President Trump’s repeated claims on Greenland threatening Danish territorial integrity were an unprecedented and strongly concerning change of a US administration towards its European allies, as well as, outspoken hostility towards the European Union as a political actor and the avowed intent to interfere in European democracy and reshape it to suit the views of the current administration; whereas the US Administration is attempting at establishing European preference in matter of Defense;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whereas the war launched against Iran - even though the Islamic Republic remains a dangerous adversary, a destabilising force in the region alongside Hezbollah, and an authoritarian military-religious regime - by the United States and Israel has led to the destabilisation of the region and triggered chaos and has serious consequences for Europe; whereas Europe and countries in the region were never consulted and chose not to join this confrontation; whereas Iran’s ensuing closure of the Strait of Hormuz has cut traffic to a fraction of its pre-conflict level and driven up global oil and gas prices, triggering acute and potentially severe economic consequences and benefiting Russia’s war against Ukraine by inflating its energy revenues;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whereas the People's Liberation Army (PLA) aircraft conducted a record-setting incursions into Taiwan’s Air Defense Identification Zone (ADIZ) in 2025, representing an increase over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whereas the President of the Commission and the High Representative are jointly preparing a comprehensive European Security Strategy, extending beyond Defense to economic security, energy, technology, supply chains, resilience and internal security, and intended to translate into a clear implementation roadmap with concrete actions and binding commitments from both the EU institutions and the Member States; whereas, in a separate but parallel process, the European Council, in its conclusions of 19 March 2026, invited the Council to update the common understanding of the threats and challenges facing the EU first agreed in the 2022 Strategic Compass, on the basis of a comprehensive 360° threat analysis prepared by the High Representative with input from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whereas the increase of military spending by European NATO member states, faster than at any other time since 1953, reflects Europe’s ongoing determination to assert its autonomy, coupled with growing pressure from the United States to strengthen burden-sharing within the alliance; whereas Member States’ Defense budgets have risen from €262 billion in 2022 to €418 billion in 2025, with an estimated €454 billion for 2026, representing a 78.6 per cent increase in constant prices between 2020 and 2025; whereas, according to the European Defense Agency (EDA), 23 Member States have met or exceeded the 2 per cent of GDP target by 2025; whereas, according to the European Court of Auditors, EU Defense expenditure remained modest until 2021 with a budget of €590 million, it has since increased: €11.3 billion has been allocated to -related programmes for the period 2021–2027, and an estimated €20.6 billion has since been reallocated from other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whereas the two main financial pillars of the ReArm Europe Plan/Readiness 2030 have met with sharply contrasting take-up: whereas the SAFE instrument — up to EUR 150 billion in loans conditional on joint procurement involving at least two participating countries — drew requests from 19 Member States for amounts exceeding the available envelope, the Council having approved the national Defense investment plans of 18 of them between February and April 2026 and the first loan agreements being signed from May 2026; whereas, by contrast, the national escape clause of the Stability and Growth Pact, presented as capable of freeing up to some €650 billion through a maximum deviation of 1.5% of GDP over four years, has been activated by only 17 Member States and, by the Commission’s own admission, used far below that projection; whereas this gap between the €800 billion announced and its actual take-up reflects the persistent reluctance of Member States to translate political commitments into coordinated Defense;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Bk.</w:t>
            </w:r>
            <w:r>
              <w:tab/>
            </w:r>
            <w:r>
              <w:rPr>
                <w:b/>
                <w:i/>
              </w:rPr>
              <w:t>whereas under the European Defense Fund (EDF), with a budget of €7.3 billion for 2021–2027 (including €1.5 billion under STEP), 281 projects had been selected in April 2026; whereas ASAP has financed 31 projects amounting to €500 million; whereas, five proposals involving twenty Member States have been financed by EDIRPA for €300 million; whereas EDIP, with a total budget of €1.5 billion for 2026–2027, earmarks €240 million for joint procurement and €300 million for the Ukraine Support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Bl.</w:t>
            </w:r>
            <w:r>
              <w:tab/>
            </w:r>
            <w:r>
              <w:rPr>
                <w:b/>
                <w:i/>
              </w:rPr>
              <w:t>whereas, on military mobility, according to the European Court of Auditors the contrast between the estimated investment requirement of around 70 billion euros needed to bring transport infrastructure up to military standards and the mere 1.7 billion allocated under the CEF for 2021–2027, and the 17.7 billion proposed for 2028–2034, illustrates that the funding available remains limited in relation to the needs identified;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w:t>
            </w:r>
            <w:r>
              <w:rPr>
                <w:b/>
                <w:i/>
              </w:rPr>
              <w:t>since</w:t>
            </w:r>
            <w:r>
              <w:t xml:space="preserve"> the adoption of the Versailles Declaration</w:t>
            </w:r>
            <w:r>
              <w:rPr>
                <w:b/>
                <w:i/>
              </w:rPr>
              <w:t>,</w:t>
            </w:r>
            <w:r>
              <w:t xml:space="preserve"> the Strategic Compass </w:t>
            </w:r>
            <w:r>
              <w:rPr>
                <w:b/>
                <w:i/>
              </w:rPr>
              <w:t>and</w:t>
            </w:r>
            <w:r>
              <w:t xml:space="preserve"> white paper and the Readiness Roadmap 2030, </w:t>
            </w:r>
            <w:r>
              <w:rPr>
                <w:b/>
                <w:i/>
              </w:rPr>
              <w:t>the EU’s institutions and its Member States have acquired</w:t>
            </w:r>
            <w:r>
              <w:t xml:space="preserve"> new momentum </w:t>
            </w:r>
            <w:r>
              <w:rPr>
                <w:b/>
                <w:i/>
              </w:rPr>
              <w:t>to jointly strengthen</w:t>
            </w:r>
            <w:r>
              <w:t xml:space="preserve"> European defence </w:t>
            </w:r>
            <w:r>
              <w:rPr>
                <w:b/>
                <w:i/>
              </w:rPr>
              <w:t>and thereby ensure the security of its citizens</w:t>
            </w:r>
            <w:r>
              <w:t>;</w:t>
            </w:r>
          </w:p>
        </w:tc>
        <w:tc>
          <w:tcPr>
            <w:tcW w:w="4876" w:type="dxa"/>
            <w:tcBorders>
              <w:top w:val="nil"/>
              <w:left w:val="nil"/>
              <w:bottom w:val="nil"/>
              <w:right w:val="nil"/>
            </w:tcBorders>
          </w:tcPr>
          <w:p>
            <w:pPr>
              <w:pStyle w:val="Normal6a"/>
            </w:pPr>
            <w:r>
              <w:t>C.</w:t>
            </w:r>
            <w:r>
              <w:tab/>
            </w:r>
            <w:r>
              <w:t xml:space="preserve">whereas the adoption of the Versailles Declaration </w:t>
            </w:r>
            <w:r>
              <w:rPr>
                <w:b/>
                <w:i/>
              </w:rPr>
              <w:t>and</w:t>
            </w:r>
            <w:r>
              <w:t xml:space="preserve"> the Strategic Compass </w:t>
            </w:r>
            <w:r>
              <w:rPr>
                <w:b/>
                <w:i/>
              </w:rPr>
              <w:t>in 2022, followed by the</w:t>
            </w:r>
            <w:r>
              <w:t xml:space="preserve"> white paper and the Readiness Roadmap 2030, </w:t>
            </w:r>
            <w:r>
              <w:rPr>
                <w:b/>
                <w:i/>
              </w:rPr>
              <w:t>together with the commitments made by Allies at the 2025 NATO Summit in The Hague to invest 5 % of GDP annually in core defence requirements and defence- and security-related spending by 2035, have generated</w:t>
            </w:r>
            <w:r>
              <w:t xml:space="preserve"> new momentum </w:t>
            </w:r>
            <w:r>
              <w:rPr>
                <w:b/>
                <w:i/>
              </w:rPr>
              <w:t>for strengthening</w:t>
            </w:r>
            <w:r>
              <w:t xml:space="preserve"> European defence</w:t>
            </w:r>
            <w:r>
              <w:rPr>
                <w:b/>
                <w:i/>
              </w:rPr>
              <w:t>, including through greater European responsibility within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w:t>
            </w:r>
            <w:r>
              <w:rPr>
                <w:b/>
                <w:i/>
              </w:rPr>
              <w:t>since the adoption of the Versailles Declaration, the Strategic Compass and white paper and the Readiness Roadmap 2030, the</w:t>
            </w:r>
            <w:r>
              <w:t xml:space="preserve"> EU’s institutions and its Member States have acquired new momentum to jointly strengthen European defence and thereby ensure the security of its citizens;</w:t>
            </w:r>
          </w:p>
        </w:tc>
        <w:tc>
          <w:tcPr>
            <w:tcW w:w="4876" w:type="dxa"/>
            <w:tcBorders>
              <w:top w:val="nil"/>
              <w:left w:val="nil"/>
              <w:bottom w:val="nil"/>
              <w:right w:val="nil"/>
            </w:tcBorders>
          </w:tcPr>
          <w:p>
            <w:pPr>
              <w:pStyle w:val="Normal6a"/>
            </w:pPr>
            <w:r>
              <w:t>C.</w:t>
            </w:r>
            <w:r>
              <w:tab/>
            </w:r>
            <w:r>
              <w:t xml:space="preserve">whereas </w:t>
            </w:r>
            <w:r>
              <w:rPr>
                <w:b/>
                <w:i/>
              </w:rPr>
              <w:t>over the last few years</w:t>
            </w:r>
            <w:r>
              <w:t xml:space="preserve"> EU’s institutions and its Member States have acquired new momentum to jointly strengthen European defence and thereby ensure the security of its citizens </w:t>
            </w:r>
            <w:r>
              <w:rPr>
                <w:b/>
                <w:i/>
              </w:rPr>
              <w:t>as indicated by the adoption of the Versailles Declaration, the Strategic Compass, the White Paper for European Defence – Readiness 2030 and Defence Readiness Roadmap 2030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European security and stability is further jeopardized by a vast set of hybrid tactics deployed by malicious foreign actors that include, inter alia, cyberattacks, sabotages against critical infrastructures, and the coordinated, continuous attempts to interfere in the democratic functioning of our countries through Foreign Information Manipulation &amp; Interference (FIMI), especially in electoral processes; whereas the use of these hybrid tactics from foreign malign actors represent fully-fledged security threats for the Union and its Member States; whereas the development and deployment of appropriate countermeasures to prevent, deter, and respond to hybrid threats should become an integral part of the CSDP;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Juan Ignacio Zoido Álvarez,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the Southern Border is becoming a theater of hybrid threats and worrying security challenges for Europe, with deeply concerning episodes such as the instrumentalisation of migration in Ceuta, sightings of Moroccan drones in the airspace of the Spanish city of Melilla, and CIA warnings of potential Russian drone attacks against the coasts of Spain, France and Italy;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under Article 4(2) TEU, national security remains the sole responsibility of each Member State; whereas, under Article 42(2) TEU, the progressive framing of a common Union defence policy will lead to a common defence only when the European Council, acting unanimously, so decides and after such a decision has been adopted by the Member States in accordance with their respective constitutional requirements; whereas, under Article 41(2) TEU, expenditure arising from operations having military or defence implications is not to be charged to the Union budget; whereas decisions under the CSDP are, as a general rule, to be taken by unanimity in accordance with Article 31(1)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the Black Sea has become an active theatre of Russia's war of aggression, with attacks on Ukrainian ports, civilian shipping and the Danube corridors, repeated drone incursions into the airspace of Romania and the Republic of Moldova, and debris falling on their territory; whereas the security of the Black Sea and the Lower Danube is therefore integral to the security of the EU's south-eastern flank;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as recognised in Article 42(7) TEU, NATO remains, for those Member States which are members of it, the foundation of their collective defence and the forum for its implementation; whereas 23 of the 27 EU Member States, representing over 95% of EU’s population, are NATO Allies; whereas NATO, underpinned by the transatlantic bond and the commitment enshrined in Article 5 of the North Atlantic Treaty, remains the only organisation with the integrated command structure, defence plans and forces capable of credibly deterring and, if necessary, defeating a large-scale military aggression against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at the NATO Summit in The Hague in June 2025, Allies committed to invest 5 % of GDP in defence anually by 2035, including at least 3.5 % of GDP in core defence requirements and up to 1.5% in defence- and security-related spending, in line with NATO Capability Targets; whereas European Allies including EU Member States must deliver credibly and transparently on these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while NATO remains an important pillar of the collective defence of many EU Member States, the EU must be able to protect effectively and autonomously all its Member States and citizens by taking full advantage of Article 42(2) TEU and by building a genuine European Defence Union; whereas European security can no longer be outsourced;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strong transatlantic bond and NATO Allaince remain the cornerstone of collective defence for its members; whereas stronger European defence capabilities should reinforce NATO and contribute to transatlantic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the Common Foreign and Security Policy (CFSP) was designed to promote peace, stability and human rights at the global level, and these founding objectives must remain at the core of any further development of European defence policy; whereas the effective implementation of the CFSP has been persistently challenged by political divergences among Member States, shaped by differing historical experiences, geographical positions and economic priorities; whereas overcoming these divergences requires stronger political commitment, greater institutional coherence and a common shared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the ‘peace dividends’ resulting from the end of the Cold War have led to a considerable capability and operational gap, eroded the military and technological superiority Member States’ armed forces had over neighbouring powers, and created a growing security and industrial dependence on non-EU countries, including allies, whose strategic interests are increasingly diverging;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a persistent gap has emerged between the level of ambition expressed by the European Council and the positions taken by the Council in legislative negotiations, as illustrated by the Defence Readiness Omnibus and the Military Mobility Regulation; whereas the credibility of European defence depends on the willingness of Member States to translate them into ambitious legislative and budgetary decisions on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according to the European Defence Agency, defence expenditure by the EU Member States reached EUR 418 billion in 2025, an increase of 20 % on 2024, and is projected to reach EUR 454 billion in 2026; whereas only around a quarter of equipment procurement is conducted collaboratively, far below the agreed 35 % benchmark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the evolving European security environment requires Europeans to assume greater responsibility for their own security through deeper defence integration and stronger common capabilities, while ensuring complementarity with NATO and close cooperation with European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peace and stability in the Taiwan Strait and the South China Sea are of strategic importance for regional and global security; whereas some EU Member States have a naval presence in the Indo-Pacific and the EU as a whole has a direct interest in the preservation of the status quo;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Lynn Boylan, Kathleen Funchion,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neutral Member States have received repeated guarantees that their neutrality and sovereignty in respect of foreign affairs and defence policy will be respected;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the EU’s lack of credibility in ensuring its own security stems not from its institutional architecture, but from Member States’ chronic underinvestment in their armed forces and from the resulting external dependence since the end of the Cold War, for both their industrial capabilities and their military equipment, which underlines the need not for futile institutional reforms, but for a coordinated, continuous and sustained strengthening of Member States’ industrial and operational capabilities, with the long-term objective being for the EU to reach full strategic autonomy and for there to be an autonomous European pillar within NATO that can independently ensure Europe’s conventional defence;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on 28 September 2026 the Council identified the first five European Defence Projects of Common Interest under the European Defence Industry Programme, including Eastern Flank Watch, covering the land, air, sea and cyber security of the eastern border of the participating Member States, and the Drone and Counter-Drone European Resolve (DECODER), alongside projects on space, integrated air and missile defence and maritime and seabed defence, with Ukraine participating in four of the five; whereas the EUR 325 million earmarked for these projects under EDIP can finance only their initial deployment, so that their delivery depends on adequate funding under the next MFF and on binding joint procurement commitments by the participating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Russia’s National Security Strategy, approved by Vladimir Putin on 31 December 2015, which builds on concepts set out in the Military Doctrine adopted on 25 December 2014, places increased emphasis on the protection of so-called “traditional Russian spiritual and moral values” against perceived external influences, including those from the West, and promotes the use of such values and the institutions promoting them, including the Russian Orthodox Church, as instruments of state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there has been a noticeable increase in violations of the airspace and territorial waters of EU Member States in the Eastern Mediterranean and the Aegean, with more than 646 and 1912 incidents respectively registered in 2026 as well as in actions infringing upon their sovereign rights and jurisdiction in their maritime zones, in violation of applicable conventional and customary international law, including the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European defence readiness depends not only on military capabilities, but also on strategic enablers, resilient infrastructure, societal preparedness, technological sovereignty and the ability to deploy and sustain forces effectively;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according to Eurobarometer, 81 % of EU citizens favour a common security and defence policy and 69 % are in favour of reinforcing the EU's defence equipment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whereas illegal immigration has been increasingly instrumentalised by neighbouring countries, primarily Türkiye, Morocco, Russia and Belarus, to extract political and financial concessions from the EU and its Member States, as well as to destabilise European societies, highlighting the importance of strengthening the external borders;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whereas strengthening European defence requires sustained investment and a more integrated and resilient European defence industrial base, while ensuring European added value, fair burden-sharing, social and territorial cohesion and democratic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whereas the EU must be able to protect all its Member States and citizens by taking full advantage of Article 42(2) TEU and progressively framing a common Union defence policy leading to a genuine European Defence Union, in full complementarity with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whereas there is broad public support across the Union for a common European security and defence policy, closer EU-level defence cooperation and increased investment in defence, which gives the Union both a democratic mandate and a responsibility to deliver;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whereas the United States’ strategic and security priorities are shifting away from Europe, and have been since the ‘pivot to Asia’ initiated at the beginning of the first Obama Administration in 2009, a trend that has continued under the subsequent Administrations, both Democratic and Republican;</w:t>
            </w:r>
            <w:r>
              <w:t xml:space="preserve"> </w:t>
            </w:r>
            <w:r>
              <w:rPr>
                <w:b/>
                <w:i/>
              </w:rPr>
              <w:t>whereas US interest in Europe will continue to decline, regardless of internal political developments in Washington, which underlines the need for an autonomous European pillar within NATO that can independently ensure Europe’s conventional defence;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whereas the accelerating integration of artificial intelligence into cyber defence, military decision-making and weapons systems creates significant operational opportunities while also increasing technological dependencies and raising serious questions of human oversight, democratic accountability and compliance with international humanitarian law, requiring both European technological capacity and robust governance, including at international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whereas Türkiye has formally applied for full membership of the BRICS, has in recent years purchased Russian weapons systems, has repeatedly and ever more frequently violated the airspace of a number of EU Member States, has expressed conflicting and revisionist territorial and maritime claims with regard to Greece and Cyprus, and has instrumentalised migration flows to extort financial and political concessions from the EU;</w:t>
            </w:r>
            <w:r>
              <w:t xml:space="preserve"> </w:t>
            </w:r>
            <w:r>
              <w:rPr>
                <w:b/>
                <w:i/>
              </w:rPr>
              <w:t>whereas the United States has expressed its interest in acquiring Greenland, including by force;</w:t>
            </w:r>
            <w:r>
              <w:t xml:space="preserve"> </w:t>
            </w:r>
            <w:r>
              <w:rPr>
                <w:b/>
                <w:i/>
              </w:rPr>
              <w:t>whereas these conflicting security interests within NATO underline how important it is for Member States to be able to act outside its framework when necessary;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whereas changes in the security environment and in the character of warfare do not diminish the need to uphold international humanitarian law and preserve humanitarian disarmament norms protecting civilians from weapons with indiscriminate and long-lasting effects;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Cf.</w:t>
            </w:r>
            <w:r>
              <w:tab/>
            </w:r>
            <w:r>
              <w:rPr>
                <w:b/>
                <w:i/>
              </w:rPr>
              <w:t>whereas Russia is strengthening its political and security cooperation with several juntas in sub-Saharan Africa, notably in Mali, Niger and Burkina Faso, through the so-called ‘Alliance of Sahel States’, with the aim of ousting traditional Western partners and destabilising the EU’s current security partners in the region;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Cf.</w:t>
            </w:r>
            <w:r>
              <w:tab/>
            </w:r>
            <w:r>
              <w:rPr>
                <w:b/>
                <w:i/>
              </w:rPr>
              <w:t>whereas the credibility of CSDP missions and operations depends on clear mandates, adequate means and measurable results on the ground, and whereas civilian CSDP remains an essential component of the Union’s approach to security and crisis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Cg.</w:t>
            </w:r>
            <w:r>
              <w:tab/>
            </w:r>
            <w:r>
              <w:rPr>
                <w:b/>
                <w:i/>
              </w:rPr>
              <w:t>whereas the increasingly cross-border, interconnected and hybrid nature of security threats requires stronger situational awareness, secure information-sharing and a coherent use of the Union’s civilian and military instruments, while fully respecting Member States’ responsibilities for national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rapidly deteriorating geopolitical context and the </w:t>
            </w:r>
            <w:r>
              <w:rPr>
                <w:b/>
                <w:i/>
              </w:rPr>
              <w:t>possible</w:t>
            </w:r>
            <w:r>
              <w:t xml:space="preserve"> return of war to Europe</w:t>
            </w:r>
          </w:p>
        </w:tc>
        <w:tc>
          <w:tcPr>
            <w:tcW w:w="4876" w:type="dxa"/>
            <w:tcBorders>
              <w:top w:val="nil"/>
              <w:left w:val="nil"/>
              <w:bottom w:val="nil"/>
              <w:right w:val="nil"/>
            </w:tcBorders>
          </w:tcPr>
          <w:p>
            <w:pPr>
              <w:pStyle w:val="Normal6a"/>
            </w:pPr>
            <w:r>
              <w:t>A rapidly deteriorating geopolitical context and the return of war to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Kostas Papadakis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Kostas Papadakis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Warns</w:t>
            </w:r>
            <w:r>
              <w:t xml:space="preserve"> that the </w:t>
            </w:r>
            <w:r>
              <w:rPr>
                <w:b/>
                <w:i/>
              </w:rPr>
              <w:t>world faces intense</w:t>
            </w:r>
            <w:r>
              <w:t xml:space="preserve"> geopolitical </w:t>
            </w:r>
            <w:r>
              <w:rPr>
                <w:b/>
                <w:i/>
              </w:rPr>
              <w:t>confrontation, marked by high-intensity wars, sustained by technological innovation, a global surge in</w:t>
            </w:r>
            <w:r>
              <w:t xml:space="preserve"> military </w:t>
            </w:r>
            <w:r>
              <w:rPr>
                <w:b/>
                <w:i/>
              </w:rPr>
              <w:t>spending, high levels of lethality and a disregard for international law, with the targeting of civilians and critical infrastructure</w:t>
            </w:r>
            <w:r>
              <w:t>;</w:t>
            </w:r>
          </w:p>
        </w:tc>
        <w:tc>
          <w:tcPr>
            <w:tcW w:w="4876" w:type="dxa"/>
            <w:tcBorders>
              <w:top w:val="nil"/>
              <w:left w:val="nil"/>
              <w:bottom w:val="nil"/>
              <w:right w:val="nil"/>
            </w:tcBorders>
          </w:tcPr>
          <w:p>
            <w:pPr>
              <w:pStyle w:val="Normal6a"/>
            </w:pPr>
            <w:r>
              <w:t>1.</w:t>
            </w:r>
            <w:r>
              <w:tab/>
            </w:r>
            <w:r>
              <w:rPr>
                <w:b/>
                <w:i/>
              </w:rPr>
              <w:t>Stresses</w:t>
            </w:r>
            <w:r>
              <w:t xml:space="preserve"> that the </w:t>
            </w:r>
            <w:r>
              <w:rPr>
                <w:b/>
                <w:i/>
              </w:rPr>
              <w:t>escalating race for supremacy in the capitalist system, for control of the markets, resources, energy and trade routes and</w:t>
            </w:r>
            <w:r>
              <w:t xml:space="preserve"> geopolitical </w:t>
            </w:r>
            <w:r>
              <w:rPr>
                <w:b/>
                <w:i/>
              </w:rPr>
              <w:t>spheres of influence is the main reason for the escalation and expansion of</w:t>
            </w:r>
            <w:r>
              <w:t xml:space="preserve"> military </w:t>
            </w:r>
            <w:r>
              <w:rPr>
                <w:b/>
                <w:i/>
              </w:rPr>
              <w:t>conflicts and the preparations for a widespread imperialist military showdown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Warns that the world faces intense geopolitical confrontation, </w:t>
            </w:r>
            <w:r>
              <w:rPr>
                <w:b/>
                <w:i/>
              </w:rPr>
              <w:t>marked by high-intensity wars, sustained by technological innovation, a global surge in military spending, high levels of lethality and a disregard for international law, with the targeting of civilians and critical infrastructure</w:t>
            </w:r>
            <w:r>
              <w:t>;</w:t>
            </w:r>
          </w:p>
        </w:tc>
        <w:tc>
          <w:tcPr>
            <w:tcW w:w="4876" w:type="dxa"/>
            <w:tcBorders>
              <w:top w:val="nil"/>
              <w:left w:val="nil"/>
              <w:bottom w:val="nil"/>
              <w:right w:val="nil"/>
            </w:tcBorders>
          </w:tcPr>
          <w:p>
            <w:pPr>
              <w:pStyle w:val="Normal6a"/>
            </w:pPr>
            <w:r>
              <w:t>1.</w:t>
            </w:r>
            <w:r>
              <w:tab/>
            </w:r>
            <w:r>
              <w:t xml:space="preserve">Warns that the world faces intense geopolitical confrontation, </w:t>
            </w:r>
            <w:r>
              <w:rPr>
                <w:b/>
                <w:i/>
              </w:rPr>
              <w:t>most starkly embodied by Russia's war of aggression against Ukraine; moreover underlines that since the russian full-scale and unprovoked invasion of February 2022, in flagrant violation of the UN Charter, Europe has seen the largest and deadliest war on its territory since 1945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Warns that the world faces </w:t>
            </w:r>
            <w:r>
              <w:rPr>
                <w:b/>
                <w:i/>
              </w:rPr>
              <w:t>intense geopolitical confrontation,</w:t>
            </w:r>
            <w:r>
              <w:t xml:space="preserve"> marked by </w:t>
            </w:r>
            <w:r>
              <w:rPr>
                <w:b/>
                <w:i/>
              </w:rPr>
              <w:t>high-intensity wars, sustained by technological innovation</w:t>
            </w:r>
            <w:r>
              <w:t>, a global surge in military spending, high levels of lethality and a disregard for international law, with the targeting of civilians and critical infrastructure;</w:t>
            </w:r>
          </w:p>
        </w:tc>
        <w:tc>
          <w:tcPr>
            <w:tcW w:w="4876" w:type="dxa"/>
            <w:tcBorders>
              <w:top w:val="nil"/>
              <w:left w:val="nil"/>
              <w:bottom w:val="nil"/>
              <w:right w:val="nil"/>
            </w:tcBorders>
          </w:tcPr>
          <w:p>
            <w:pPr>
              <w:pStyle w:val="Normal6a"/>
            </w:pPr>
            <w:r>
              <w:t>1.</w:t>
            </w:r>
            <w:r>
              <w:tab/>
            </w:r>
            <w:r>
              <w:t xml:space="preserve">Warns that the world faces </w:t>
            </w:r>
            <w:r>
              <w:rPr>
                <w:b/>
                <w:i/>
              </w:rPr>
              <w:t>a deteriorating security environment</w:t>
            </w:r>
            <w:r>
              <w:t xml:space="preserve"> marked by </w:t>
            </w:r>
            <w:r>
              <w:rPr>
                <w:b/>
                <w:i/>
              </w:rPr>
              <w:t>the fracturing of the post-Cold War international order, the return of great power competition, the weaponisation of dependencies, the paralysis of international institutions, the collapse of global arms control architecture, climate change as a crisis and threat multiplier</w:t>
            </w:r>
            <w:r>
              <w:t xml:space="preserve">, a global surge in military spending, </w:t>
            </w:r>
            <w:r>
              <w:rPr>
                <w:b/>
                <w:i/>
              </w:rPr>
              <w:t>and high-intensity wars, which are sustained by technological innovation and are characterized by</w:t>
            </w:r>
            <w:r>
              <w:t xml:space="preserve"> high levels of lethality and a disregard for international law, with the targeting of civilians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w:t>
            </w:r>
          </w:p>
        </w:tc>
        <w:tc>
          <w:tcPr>
            <w:tcW w:w="4876" w:type="dxa"/>
            <w:tcBorders>
              <w:top w:val="nil"/>
              <w:left w:val="nil"/>
              <w:bottom w:val="nil"/>
              <w:right w:val="nil"/>
            </w:tcBorders>
          </w:tcPr>
          <w:p>
            <w:pPr>
              <w:pStyle w:val="Normal6a"/>
            </w:pPr>
            <w:r>
              <w:t>1.</w:t>
            </w:r>
            <w:r>
              <w:tab/>
            </w:r>
            <w:r>
              <w:t xml:space="preserve">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 </w:t>
            </w:r>
            <w:r>
              <w:rPr>
                <w:b/>
                <w:i/>
              </w:rPr>
              <w:t>warns of the convergence of revisionist powers such as Russia, China, Iran and North Korea – seeking to overturn the world order; stresses that this disorder is compounded by the growing unpredictability of the United States and its ambiguity regarding its allies, the systematic use of hybrid warfare below the threshold of armed conflict; underlines that, in this brutal and unstable environment, the European Union can no longer take peace, its security and the protection of its citizens for granted, nor outsource these and must urgently deliver its own defense;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Warns that the world faces intense geopolitical confrontation, marked by high-intensity wars</w:t>
            </w:r>
            <w:r>
              <w:rPr>
                <w:b/>
                <w:i/>
              </w:rPr>
              <w:t>, sustained</w:t>
            </w:r>
            <w:r>
              <w:t xml:space="preserve"> by technological innovation, a global surge in military spending, high levels of lethality </w:t>
            </w:r>
            <w:r>
              <w:rPr>
                <w:b/>
                <w:i/>
              </w:rPr>
              <w:t>and</w:t>
            </w:r>
            <w:r>
              <w:t xml:space="preserve"> a disregard for international law, </w:t>
            </w:r>
            <w:r>
              <w:rPr>
                <w:b/>
                <w:i/>
              </w:rPr>
              <w:t>with</w:t>
            </w:r>
            <w:r>
              <w:t xml:space="preserve"> the targeting of civilians and critical infrastructure;</w:t>
            </w:r>
          </w:p>
        </w:tc>
        <w:tc>
          <w:tcPr>
            <w:tcW w:w="4876" w:type="dxa"/>
            <w:tcBorders>
              <w:top w:val="nil"/>
              <w:left w:val="nil"/>
              <w:bottom w:val="nil"/>
              <w:right w:val="nil"/>
            </w:tcBorders>
          </w:tcPr>
          <w:p>
            <w:pPr>
              <w:pStyle w:val="Normal6a"/>
            </w:pPr>
            <w:r>
              <w:t>1.</w:t>
            </w:r>
            <w:r>
              <w:tab/>
            </w:r>
            <w:r>
              <w:t xml:space="preserve">Warns that the world faces intense geopolitical confrontation, marked by high-intensity wars </w:t>
            </w:r>
            <w:r>
              <w:rPr>
                <w:b/>
                <w:i/>
              </w:rPr>
              <w:t>increasingly shaped and transformed</w:t>
            </w:r>
            <w:r>
              <w:t xml:space="preserve"> by technological innovation, a global surge in military spending, high levels of lethality</w:t>
            </w:r>
            <w:r>
              <w:rPr>
                <w:b/>
                <w:i/>
              </w:rPr>
              <w:t>,</w:t>
            </w:r>
            <w:r>
              <w:t xml:space="preserve"> a disregard for </w:t>
            </w:r>
            <w:r>
              <w:rPr>
                <w:b/>
                <w:i/>
              </w:rPr>
              <w:t>and serious violations of</w:t>
            </w:r>
            <w:r>
              <w:t xml:space="preserve"> international law, </w:t>
            </w:r>
            <w:r>
              <w:rPr>
                <w:b/>
                <w:i/>
              </w:rPr>
              <w:t>including</w:t>
            </w:r>
            <w:r>
              <w:t xml:space="preserve"> the targeting of civilians and critical infrastructure; </w:t>
            </w:r>
            <w:r>
              <w:rPr>
                <w:b/>
                <w:i/>
              </w:rPr>
              <w:t>stresses that this geopolitical confrontation is further exacerbated by increasing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w:t>
            </w:r>
          </w:p>
        </w:tc>
        <w:tc>
          <w:tcPr>
            <w:tcW w:w="4876" w:type="dxa"/>
            <w:tcBorders>
              <w:top w:val="nil"/>
              <w:left w:val="nil"/>
              <w:bottom w:val="nil"/>
              <w:right w:val="nil"/>
            </w:tcBorders>
          </w:tcPr>
          <w:p>
            <w:pPr>
              <w:pStyle w:val="Normal6a"/>
            </w:pPr>
            <w:r>
              <w:t>1.</w:t>
            </w:r>
            <w:r>
              <w:tab/>
            </w:r>
            <w:r>
              <w:t>Warns that the world faces intense geopolitical confrontation, marked by high-intensity wars, sustained by technological innovation</w:t>
            </w:r>
            <w:r>
              <w:rPr>
                <w:b/>
                <w:i/>
              </w:rPr>
              <w:t>, by increasing economic and technological warfare and by the use of strategic dependencies as instruments of power and coercion</w:t>
            </w:r>
            <w:r>
              <w:t>, a global surge in military spending, high levels of lethality and a disregard for international law, with the targeting of civilians and critical infrastructure;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w:t>
            </w:r>
          </w:p>
        </w:tc>
        <w:tc>
          <w:tcPr>
            <w:tcW w:w="4876" w:type="dxa"/>
            <w:tcBorders>
              <w:top w:val="nil"/>
              <w:left w:val="nil"/>
              <w:bottom w:val="nil"/>
              <w:right w:val="nil"/>
            </w:tcBorders>
          </w:tcPr>
          <w:p>
            <w:pPr>
              <w:pStyle w:val="Normal6a"/>
            </w:pPr>
            <w:r>
              <w:t>1.</w:t>
            </w:r>
            <w:r>
              <w:tab/>
            </w:r>
            <w:r>
              <w:t xml:space="preserve">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 </w:t>
            </w:r>
            <w:r>
              <w:rPr>
                <w:b/>
                <w:i/>
              </w:rPr>
              <w:t>stresses the Union’s strategic long-term interest in upholding the rules-based international 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w:t>
            </w:r>
          </w:p>
        </w:tc>
        <w:tc>
          <w:tcPr>
            <w:tcW w:w="4876" w:type="dxa"/>
            <w:tcBorders>
              <w:top w:val="nil"/>
              <w:left w:val="nil"/>
              <w:bottom w:val="nil"/>
              <w:right w:val="nil"/>
            </w:tcBorders>
          </w:tcPr>
          <w:p>
            <w:pPr>
              <w:pStyle w:val="Normal6a"/>
            </w:pPr>
            <w:r>
              <w:t>1.</w:t>
            </w:r>
            <w:r>
              <w:tab/>
            </w:r>
            <w:r>
              <w:t>Warns that the world faces intense geopolitical confrontation, marked by high-intensity wars</w:t>
            </w:r>
            <w:r>
              <w:rPr>
                <w:b/>
                <w:i/>
              </w:rPr>
              <w:t>, increasing number of hybrid provocations from state and non-state actors</w:t>
            </w:r>
            <w:r>
              <w:t>, sustained by technological innovation, a global surge in military spending, high levels of lethality and a disregard for international law, with the targeting of civilians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Warns that the world faces intense geopolitical confrontation, marked by high-intensity wars, sustained by technological innovation, a global surge in military spending, high levels of lethality and a disregard for international law, with the targeting of civilians and critical infrastructure;</w:t>
            </w:r>
          </w:p>
        </w:tc>
        <w:tc>
          <w:tcPr>
            <w:tcW w:w="4876" w:type="dxa"/>
            <w:tcBorders>
              <w:top w:val="nil"/>
              <w:left w:val="nil"/>
              <w:bottom w:val="nil"/>
              <w:right w:val="nil"/>
            </w:tcBorders>
          </w:tcPr>
          <w:p>
            <w:pPr>
              <w:pStyle w:val="Normal6a"/>
            </w:pPr>
            <w:r>
              <w:t>1.</w:t>
            </w:r>
            <w:r>
              <w:tab/>
            </w:r>
            <w:r>
              <w:t xml:space="preserve">Warns that the world faces intense geopolitical confrontation </w:t>
            </w:r>
            <w:r>
              <w:rPr>
                <w:b/>
                <w:i/>
              </w:rPr>
              <w:t>between global powers</w:t>
            </w:r>
            <w:r>
              <w:t>, marked by high-intensity wars, sustained by technological innovation, a global surge in military spending, high levels of lethality and a disregard for international law, with the targeting of civilians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Kostas Papadakis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1a.</w:t>
            </w:r>
            <w:r>
              <w:t xml:space="preserve"> </w:t>
            </w:r>
            <w:r>
              <w:rPr>
                <w:b/>
                <w:i/>
              </w:rPr>
              <w:t>Condemns the EU's war preparedness, the strengthening of the war economy, the promotion of its strategic autonomy and its deeper involvement, both together with NATO and independently, in imperialist wars and interventions that serve the interests of European monopolies and turn ordinary people into victims of the former's rivalries and war plans;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Stresses the Union’s obligation and strategic long-term global interest in maintaining and upholding international law, multilateralism, and the rules-based international 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Stresses that the </w:t>
            </w:r>
            <w:r>
              <w:rPr>
                <w:b/>
                <w:i/>
              </w:rPr>
              <w:t>main threat to European</w:t>
            </w:r>
            <w:r>
              <w:t xml:space="preserve"> security </w:t>
            </w:r>
            <w:r>
              <w:rPr>
                <w:b/>
                <w:i/>
              </w:rPr>
              <w:t>is Russia, its allies and proxies; stresses that Russian attacks intensified in 2025, combining both a persistent aggressive posture and malign activities to weaken European resilience; affirms that the EU and its</w:t>
            </w:r>
            <w:r>
              <w:t xml:space="preserve"> Member States </w:t>
            </w:r>
            <w:r>
              <w:rPr>
                <w:b/>
                <w:i/>
              </w:rPr>
              <w:t>must shift from crisis response to coordinated</w:t>
            </w:r>
            <w:r>
              <w:t xml:space="preserve"> defence readiness </w:t>
            </w:r>
            <w:r>
              <w:rPr>
                <w:b/>
                <w:i/>
              </w:rPr>
              <w:t>as set out in the white paper and the Readiness Roadmap 2030</w:t>
            </w:r>
            <w:r>
              <w:t>;</w:t>
            </w:r>
          </w:p>
        </w:tc>
        <w:tc>
          <w:tcPr>
            <w:tcW w:w="4876" w:type="dxa"/>
            <w:tcBorders>
              <w:top w:val="nil"/>
              <w:left w:val="nil"/>
              <w:bottom w:val="nil"/>
              <w:right w:val="nil"/>
            </w:tcBorders>
          </w:tcPr>
          <w:p>
            <w:pPr>
              <w:pStyle w:val="Normal6a"/>
            </w:pPr>
            <w:r>
              <w:t>2.</w:t>
            </w:r>
            <w:r>
              <w:tab/>
            </w:r>
            <w:r>
              <w:t xml:space="preserve">Stresses that the security </w:t>
            </w:r>
            <w:r>
              <w:rPr>
                <w:b/>
                <w:i/>
              </w:rPr>
              <w:t>of the</w:t>
            </w:r>
            <w:r>
              <w:t xml:space="preserve"> Member States </w:t>
            </w:r>
            <w:r>
              <w:rPr>
                <w:b/>
                <w:i/>
              </w:rPr>
              <w:t>is determined by a 360-degree spectrum of threats, comprising the conduct of states as well as jihadist terrorism, instability from the Sahel to the Middle East, the instrumentalization of irregular migration, organised crime, attacks on critical infrastructure and dependencies in supply chains and critical raw materials; warns that a threat assessment focused on a single adversary leads to a misallocation of scarce capabilities and to the neglect of the southern flank; affirms that</w:t>
            </w:r>
            <w:r>
              <w:t xml:space="preserve"> defence readiness </w:t>
            </w:r>
            <w:r>
              <w:rPr>
                <w:b/>
                <w:i/>
              </w:rPr>
              <w:t>is to be built by the Member States on the basis of their national defence planning and of their commitments within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Stresses that </w:t>
            </w:r>
            <w:r>
              <w:rPr>
                <w:b/>
                <w:i/>
              </w:rPr>
              <w:t>the main</w:t>
            </w:r>
            <w:r>
              <w:t xml:space="preserve"> threat to European security </w:t>
            </w:r>
            <w:r>
              <w:rPr>
                <w:b/>
                <w:i/>
              </w:rPr>
              <w:t>is Russia,</w:t>
            </w:r>
            <w:r>
              <w:t xml:space="preserve">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 xml:space="preserve">Stresses that </w:t>
            </w:r>
            <w:r>
              <w:rPr>
                <w:b/>
                <w:i/>
              </w:rPr>
              <w:t>Russia represents the primary and most significant</w:t>
            </w:r>
            <w:r>
              <w:t xml:space="preserve"> threat to European security</w:t>
            </w:r>
            <w:r>
              <w:rPr>
                <w:b/>
                <w:i/>
              </w:rPr>
              <w:t>, together with</w:t>
            </w:r>
            <w:r>
              <w:t xml:space="preserve"> its allies and proxies; stresses that Russian attacks intensified in 2025 </w:t>
            </w:r>
            <w:r>
              <w:rPr>
                <w:b/>
                <w:i/>
              </w:rPr>
              <w:t>and 2026</w:t>
            </w:r>
            <w:r>
              <w:t xml:space="preserve">, combining both a persistent aggressive posture and malign activities to weaken European resilience; affirms that the EU and its Member States must shift from crisis response to coordinated defence readiness as set out in the white paper and the Readiness Roadmap 2030; </w:t>
            </w:r>
            <w:r>
              <w:rPr>
                <w:b/>
                <w:i/>
              </w:rPr>
              <w:t>calls on the Council to further increase the effectiveness and impact of sanctions against Russia and to apply similar measures to Belarus, Iran, North Korea and others' entities supplying dual-use goods and military items, in particular those essential for the manufacture of drones and missiles; calls for targeted sanctions against Russia's shadow fleet and for action against it using the full spectrum of legal means, given its possible involvement in the launch of drones against critical infrastructure; calls for systematic action against sanctions circumvention, including tougher penalties;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Stresses that the main threat to European security </w:t>
            </w:r>
            <w:r>
              <w:rPr>
                <w:b/>
                <w:i/>
              </w:rPr>
              <w:t>is Russia, its allies and proxies</w:t>
            </w:r>
            <w:r>
              <w:t xml:space="preserve">; stresses that </w:t>
            </w:r>
            <w:r>
              <w:rPr>
                <w:b/>
                <w:i/>
              </w:rPr>
              <w:t>Russian attacks</w:t>
            </w:r>
            <w:r>
              <w:t xml:space="preserve"> intensified </w:t>
            </w:r>
            <w:r>
              <w:rPr>
                <w:b/>
                <w:i/>
              </w:rPr>
              <w:t>in 2025</w:t>
            </w:r>
            <w:r>
              <w:t xml:space="preserve">, combining </w:t>
            </w:r>
            <w:r>
              <w:rPr>
                <w:b/>
                <w:i/>
              </w:rPr>
              <w:t>both a persistent aggressive posture and malign activities to weaken European resilience; affirms that</w:t>
            </w:r>
            <w:r>
              <w:t xml:space="preserve"> the EU and its Member States </w:t>
            </w:r>
            <w:r>
              <w:rPr>
                <w:b/>
                <w:i/>
              </w:rPr>
              <w:t>must shift from crisis response to coordinated defence readiness as set out in the white paper and the Readiness Roadmap 2030</w:t>
            </w:r>
            <w:r>
              <w:t>;</w:t>
            </w:r>
          </w:p>
        </w:tc>
        <w:tc>
          <w:tcPr>
            <w:tcW w:w="4876" w:type="dxa"/>
            <w:tcBorders>
              <w:top w:val="nil"/>
              <w:left w:val="nil"/>
              <w:bottom w:val="nil"/>
              <w:right w:val="nil"/>
            </w:tcBorders>
          </w:tcPr>
          <w:p>
            <w:pPr>
              <w:pStyle w:val="Normal6a"/>
            </w:pPr>
            <w:r>
              <w:t>2.</w:t>
            </w:r>
            <w:r>
              <w:tab/>
            </w:r>
            <w:r>
              <w:t xml:space="preserve">Stresses that </w:t>
            </w:r>
            <w:r>
              <w:rPr>
                <w:b/>
                <w:i/>
              </w:rPr>
              <w:t>Russia, its allies and proxies constitute</w:t>
            </w:r>
            <w:r>
              <w:t xml:space="preserve"> the main threat to European security; stresses that </w:t>
            </w:r>
            <w:r>
              <w:rPr>
                <w:b/>
                <w:i/>
              </w:rPr>
              <w:t>Russia has</w:t>
            </w:r>
            <w:r>
              <w:t xml:space="preserve"> intensified </w:t>
            </w:r>
            <w:r>
              <w:rPr>
                <w:b/>
                <w:i/>
              </w:rPr>
              <w:t>its military and terror bombings against Ukraine, and at the same time its hybrid attacks against the Member States of the EU</w:t>
            </w:r>
            <w:r>
              <w:t xml:space="preserve">, combining </w:t>
            </w:r>
            <w:r>
              <w:rPr>
                <w:b/>
                <w:i/>
              </w:rPr>
              <w:t>military aggression, sabotage, cyberattacks, disinformation, political interference and other coercive measures; calls on</w:t>
            </w:r>
            <w:r>
              <w:t xml:space="preserve"> the EU and its Member States </w:t>
            </w:r>
            <w:r>
              <w:rPr>
                <w:b/>
                <w:i/>
              </w:rPr>
              <w:t>to adopt a more proactive and action-oriented approach to European security, strengthening their ability not only to respond proportionately to aggression, but also to deter and prevent hostile actions through credible capabilities, resilience and preparedness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Stresses that the main threat to European security is Russia, its allies and proxies;</w:t>
            </w:r>
            <w:r>
              <w:t xml:space="preserve"> stresses that Russian attacks intensified in 2025, combining both a persistent aggressive posture and malign activities to weaken European resilience; affirms that the EU and its Member States must shift from crisis response to coordinated </w:t>
            </w:r>
            <w:r>
              <w:rPr>
                <w:b/>
                <w:i/>
              </w:rPr>
              <w:t>defence readiness as set out in the white paper</w:t>
            </w:r>
            <w:r>
              <w:t xml:space="preserve"> and the </w:t>
            </w:r>
            <w:r>
              <w:rPr>
                <w:b/>
                <w:i/>
              </w:rPr>
              <w:t>Readiness Roadmap 2030</w:t>
            </w:r>
            <w:r>
              <w:t>;</w:t>
            </w:r>
          </w:p>
        </w:tc>
        <w:tc>
          <w:tcPr>
            <w:tcW w:w="4876" w:type="dxa"/>
            <w:tcBorders>
              <w:top w:val="nil"/>
              <w:left w:val="nil"/>
              <w:bottom w:val="nil"/>
              <w:right w:val="nil"/>
            </w:tcBorders>
          </w:tcPr>
          <w:p>
            <w:pPr>
              <w:pStyle w:val="Normal6a"/>
            </w:pPr>
            <w:r>
              <w:t>2.</w:t>
            </w:r>
            <w:r>
              <w:tab/>
            </w:r>
            <w:r>
              <w:t xml:space="preserve">Stresses that Russian attacks intensified in 2025, combining both a persistent aggressive posture and malign activities to weaken European resilience; affirms that the EU and its Member States must shift from crisis response to coordinated </w:t>
            </w:r>
            <w:r>
              <w:rPr>
                <w:b/>
                <w:i/>
              </w:rPr>
              <w:t>reconstruction of a pan-European security architecture based on the principles of the Helsinki Final Act, rejecting the normalisation of war as a policy tool</w:t>
            </w:r>
            <w:r>
              <w:t xml:space="preserve"> and the </w:t>
            </w:r>
            <w:r>
              <w:rPr>
                <w:b/>
                <w:i/>
              </w:rPr>
              <w:t>commitment to peace, international law, and the primacy of diplomatic solutions to armed conflict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Stresses that the main threat to European security is Russia, its allies and proxies</w:t>
            </w:r>
            <w:r>
              <w:rPr>
                <w:b/>
                <w:i/>
              </w:rPr>
              <w:t>; condemns the support provided by Belarus, North Korea and China to Russia’s war of aggression against Ukraine, which enables Russia to sustain its war effort and its aggressive posture towards Europe</w:t>
            </w:r>
            <w:r>
              <w:t>;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w:t>
            </w:r>
            <w:r>
              <w:rPr>
                <w:b/>
                <w:i/>
              </w:rPr>
              <w:t>shift from crisis response to</w:t>
            </w:r>
            <w:r>
              <w:t xml:space="preserve"> coordinated defence readiness </w:t>
            </w:r>
            <w:r>
              <w:rPr>
                <w:b/>
                <w:i/>
              </w:rPr>
              <w:t>as set out</w:t>
            </w:r>
            <w:r>
              <w:t xml:space="preserve"> in the white paper and the Readiness Roadmap 2030;</w:t>
            </w:r>
          </w:p>
        </w:tc>
        <w:tc>
          <w:tcPr>
            <w:tcW w:w="4876" w:type="dxa"/>
            <w:tcBorders>
              <w:top w:val="nil"/>
              <w:left w:val="nil"/>
              <w:bottom w:val="nil"/>
              <w:right w:val="nil"/>
            </w:tcBorders>
          </w:tcPr>
          <w:p>
            <w:pPr>
              <w:pStyle w:val="Normal6a"/>
            </w:pPr>
            <w:r>
              <w:t>2.</w:t>
            </w:r>
            <w:r>
              <w:tab/>
            </w:r>
            <w:r>
              <w:t xml:space="preserve">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w:t>
            </w:r>
            <w:r>
              <w:rPr>
                <w:b/>
                <w:i/>
              </w:rPr>
              <w:t>move toward</w:t>
            </w:r>
            <w:r>
              <w:t xml:space="preserve"> coordinated </w:t>
            </w:r>
            <w:r>
              <w:rPr>
                <w:b/>
                <w:i/>
              </w:rPr>
              <w:t>European</w:t>
            </w:r>
            <w:r>
              <w:t xml:space="preserve"> defence readiness</w:t>
            </w:r>
            <w:r>
              <w:rPr>
                <w:b/>
                <w:i/>
              </w:rPr>
              <w:t>, as outlined</w:t>
            </w:r>
            <w:r>
              <w:t xml:space="preserve"> in the White Paper and the Readiness Roadmap 2030</w:t>
            </w:r>
            <w:r>
              <w:rPr>
                <w:b/>
                <w:i/>
              </w:rPr>
              <w:t>, should prioritise prevention alongside capability, and ensure that defence investment remains compatible with the EU's social commitments and its broader commitment to sustainable peace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 xml:space="preserve">Stresses that the main threat to European security is </w:t>
            </w:r>
            <w:r>
              <w:rPr>
                <w:b/>
                <w:i/>
              </w:rPr>
              <w:t>and will remain for decades to come -</w:t>
            </w:r>
            <w:r>
              <w:t xml:space="preserve"> Russia, </w:t>
            </w:r>
            <w:r>
              <w:rPr>
                <w:b/>
                <w:i/>
              </w:rPr>
              <w:t>supported by</w:t>
            </w:r>
            <w:r>
              <w:t xml:space="preserve"> its allies and proxies</w:t>
            </w:r>
            <w:r>
              <w:rPr>
                <w:b/>
                <w:i/>
              </w:rPr>
              <w:t>, including regimes in Belarus, Iran and North Korea</w:t>
            </w:r>
            <w:r>
              <w:t xml:space="preserve">; stresses that Russian attacks intensified in 2025 </w:t>
            </w:r>
            <w:r>
              <w:rPr>
                <w:b/>
                <w:i/>
              </w:rPr>
              <w:t>and have continued to escalate in 2026</w:t>
            </w:r>
            <w:r>
              <w:t xml:space="preserve">, combining both a persistent aggressive posture and malign activities to weaken European resilience </w:t>
            </w:r>
            <w:r>
              <w:rPr>
                <w:b/>
                <w:i/>
              </w:rPr>
              <w:t>and achieve its imperial objectives</w:t>
            </w:r>
            <w:r>
              <w:t>; affirms that the EU and its Member States must shift from crisis response to coordinated defence readiness as set out in the white paper and the Readiness Roadmap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Stresses that the main threat to European security is Russia, its allies and proxies</w:t>
            </w:r>
            <w:r>
              <w:rPr>
                <w:b/>
                <w:i/>
              </w:rPr>
              <w:t>; stresses that Russia employs a combination of military, hybrid, and soft power tactics to undermine the EU’s security, stability, social cohision and democratic values</w:t>
            </w:r>
            <w:r>
              <w:t>;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r>
              <w:rPr>
                <w:b/>
                <w:i/>
              </w:rPr>
              <w:t>, while fully respecting the specific character of the security and defence policy of certain Member States and their respective constitutional requirements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 xml:space="preserve">Stresses that the main threat to European security is Russia, its allies and proxies; stresses that Russian attacks intensified in 2025 </w:t>
            </w:r>
            <w:r>
              <w:rPr>
                <w:b/>
                <w:i/>
              </w:rPr>
              <w:t>and escalated further in both intensity and scope in 2026</w:t>
            </w:r>
            <w:r>
              <w:t>,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 xml:space="preserve">Stresses that the main threat to European security is Russia, </w:t>
            </w:r>
            <w:r>
              <w:rPr>
                <w:b/>
                <w:i/>
              </w:rPr>
              <w:t>Lukashenko regime in Belarus as its co-aggressor, and</w:t>
            </w:r>
            <w:r>
              <w:t xml:space="preserve">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c>
          <w:tcPr>
            <w:tcW w:w="4876" w:type="dxa"/>
            <w:tcBorders>
              <w:top w:val="nil"/>
              <w:left w:val="nil"/>
              <w:bottom w:val="nil"/>
              <w:right w:val="nil"/>
            </w:tcBorders>
          </w:tcPr>
          <w:p>
            <w:pPr>
              <w:pStyle w:val="Normal6a"/>
            </w:pPr>
            <w:r>
              <w:t>2.</w:t>
            </w:r>
            <w:r>
              <w:tab/>
            </w:r>
            <w:r>
              <w:t>Stresses that the main threat to European security is Russia, its allies and proxies; stresses that Russian attacks</w:t>
            </w:r>
            <w:r>
              <w:rPr>
                <w:b/>
                <w:i/>
              </w:rPr>
              <w:t>, in particular against civilian targets,</w:t>
            </w:r>
            <w:r>
              <w:t xml:space="preserve"> intensified in 2025, combining both a persistent aggressive posture and malign activities to weaken European resilience; affirms that the EU and its Member States must shift from crisis response to coordinated defence readiness as set out in the white paper and the Readiness Roadmap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 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Deplores </w:t>
            </w:r>
            <w:r>
              <w:rPr>
                <w:b/>
                <w:i/>
              </w:rPr>
              <w:t>the fact that</w:t>
            </w:r>
            <w:r>
              <w:t xml:space="preserve"> Russia’s war of aggression </w:t>
            </w:r>
            <w:r>
              <w:rPr>
                <w:b/>
                <w:i/>
              </w:rPr>
              <w:t>continues with no ceasefire in sight, Moscow having rejected every proposal for an unconditional truce</w:t>
            </w:r>
            <w:r>
              <w:t xml:space="preserve">; calls on the EU Member States to </w:t>
            </w:r>
            <w:r>
              <w:rPr>
                <w:b/>
                <w:i/>
              </w:rPr>
              <w:t>hold firm</w:t>
            </w:r>
            <w:r>
              <w:t xml:space="preserve"> and to </w:t>
            </w:r>
            <w:r>
              <w:rPr>
                <w:b/>
                <w:i/>
              </w:rPr>
              <w:t>treat such coercion as directed against the EU as a whole</w:t>
            </w:r>
            <w:r>
              <w:t>;</w:t>
            </w:r>
          </w:p>
        </w:tc>
        <w:tc>
          <w:tcPr>
            <w:tcW w:w="4876" w:type="dxa"/>
            <w:tcBorders>
              <w:top w:val="nil"/>
              <w:left w:val="nil"/>
              <w:bottom w:val="nil"/>
              <w:right w:val="nil"/>
            </w:tcBorders>
          </w:tcPr>
          <w:p>
            <w:pPr>
              <w:pStyle w:val="Normal6a"/>
            </w:pPr>
            <w:r>
              <w:t>3.</w:t>
            </w:r>
            <w:r>
              <w:tab/>
            </w:r>
            <w:r>
              <w:t xml:space="preserve">Deplores Russia’s </w:t>
            </w:r>
            <w:r>
              <w:rPr>
                <w:b/>
                <w:i/>
              </w:rPr>
              <w:t>continued illegal full scale</w:t>
            </w:r>
            <w:r>
              <w:t xml:space="preserve"> war of aggression </w:t>
            </w:r>
            <w:r>
              <w:rPr>
                <w:b/>
                <w:i/>
              </w:rPr>
              <w:t>against Ukraine; underlines that Ukraine has defended its freedom for five years, and twelve years of proxy war since the illegal annexation of Crimea; stresses that Russia bears full responsibility for the continuation of the war and for the destruction, loss of life and destabilisation caused by its aggression</w:t>
            </w:r>
            <w:r>
              <w:t xml:space="preserve">; calls on the EU </w:t>
            </w:r>
            <w:r>
              <w:rPr>
                <w:b/>
                <w:i/>
              </w:rPr>
              <w:t>and its</w:t>
            </w:r>
            <w:r>
              <w:t xml:space="preserve"> Member States to </w:t>
            </w:r>
            <w:r>
              <w:rPr>
                <w:b/>
                <w:i/>
              </w:rPr>
              <w:t>maintain sustained political, military and financial support to Ukraine for as long as necessary</w:t>
            </w:r>
            <w:r>
              <w:t xml:space="preserve"> and to </w:t>
            </w:r>
            <w:r>
              <w:rPr>
                <w:b/>
                <w:i/>
              </w:rPr>
              <w:t>ensure Ukrainian victory on the battlefield; stresses that lasting peace can only be achieved if Russia is effectively deterred from renewed aggression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Deplores the fact that Russia’s war of aggression continues with no ceasefire in sight, Moscow having rejected every proposal for an unconditional truce; calls on the EU Member States to hold firm and to treat such coercion as directed against the EU as a whole;</w:t>
            </w:r>
          </w:p>
        </w:tc>
        <w:tc>
          <w:tcPr>
            <w:tcW w:w="4876" w:type="dxa"/>
            <w:tcBorders>
              <w:top w:val="nil"/>
              <w:left w:val="nil"/>
              <w:bottom w:val="nil"/>
              <w:right w:val="nil"/>
            </w:tcBorders>
          </w:tcPr>
          <w:p>
            <w:pPr>
              <w:pStyle w:val="Normal6a"/>
            </w:pPr>
            <w:r>
              <w:t>3.</w:t>
            </w:r>
            <w:r>
              <w:tab/>
            </w:r>
            <w:r>
              <w:t xml:space="preserve">Deplores the fact that Russia’s war of aggression continues with no ceasefire in sight, Moscow having rejected every proposal for an unconditional truce </w:t>
            </w:r>
            <w:r>
              <w:rPr>
                <w:b/>
                <w:i/>
              </w:rPr>
              <w:t>while intensifying its bombardment of Ukrainian cities and civilian infrastructure; stresses that it couples this aggression with a sustained campaign of intimidation against the Member States supporting Ukraine — military exercises and maneuvers close to the EU border, nuclear signaling, threats to treat any European force deployed to Ukraine as a “legitimate target”, repeated airspace violations and sabotage targeting the defense-industrial sites and supply chains that sustain assistance to Kyiv</w:t>
            </w:r>
            <w:r>
              <w:t>; calls on the EU Member States to hold firm and to treat such coercion as directed against the EU as a whole;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Deplores the fact that Russia’s war of aggression continues with no ceasefire in sight, Moscow having rejected every proposal for an unconditional truce; calls on the EU Member States to hold firm and to treat such coercion as </w:t>
            </w:r>
            <w:r>
              <w:rPr>
                <w:b/>
                <w:i/>
              </w:rPr>
              <w:t>directed against</w:t>
            </w:r>
            <w:r>
              <w:t xml:space="preserve"> the EU as a whole;</w:t>
            </w:r>
          </w:p>
        </w:tc>
        <w:tc>
          <w:tcPr>
            <w:tcW w:w="4876" w:type="dxa"/>
            <w:tcBorders>
              <w:top w:val="nil"/>
              <w:left w:val="nil"/>
              <w:bottom w:val="nil"/>
              <w:right w:val="nil"/>
            </w:tcBorders>
          </w:tcPr>
          <w:p>
            <w:pPr>
              <w:pStyle w:val="Normal6a"/>
            </w:pPr>
            <w:r>
              <w:t>3.</w:t>
            </w:r>
            <w:r>
              <w:tab/>
            </w:r>
            <w:r>
              <w:t xml:space="preserve">Deplores the fact that Russia’s war of aggression continues with no ceasefire in sight, Moscow having rejected every proposal for an unconditional truce; calls on the EU Member States to hold firm and to treat such coercion as </w:t>
            </w:r>
            <w:r>
              <w:rPr>
                <w:b/>
                <w:i/>
              </w:rPr>
              <w:t>has implications to</w:t>
            </w:r>
            <w:r>
              <w:t xml:space="preserve"> the EU as a whole;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Recognizes that, in the 21st century, Georgia was the first target of Russia’s full-scale military aggression, which led to the occupation of Abkhazia and Tskhinvali regions in 2008 and the de facto redrawing of the borders of a sovereign state in Europe; stresses that, even after 18 years, the Russian Federation continues its illegal occupation and effective control over the occupied territories of Georgia through its military presence, ongoing borderisation activities, significant military build-up in the occupied regions, frequent illegal detentions and kidnappings of Georgian citizens, and other human rights violations on the ground, posing a serious threat not only to peace and security in the region but also to the security architecture of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Stresses that Russia is already conducting hostile activities against EU Member States, including activities below the threshold of armed conflict, such as acts of sabotage and attempted sabotage, attacks against critical infrastructure, malicious cyber activities and foreign information manipulation and interference, as well as increasingly frequent violations of Member States’ airspace by Russian military aircraft, drones and missiles; condemns these persistent and coordinated hostile activities and provocations aimed at undermining the security and resilience of the EU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Notes with concern reports that Russia plans to reserve between 16 000 and 20 000 additional hospital beds for military patients in civilian hospitals in north-western Russia, neighbouring EU member states such as Finland and the Baltic States in autumn 2026; calls for these developments to be closely monitored and taken into account in the EU’s assessment of Russia’s military posture;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Is deeply concerned by the deepening military integration of Belarus into Russia’s force posture; recalls that Belarusian territory served as the launch pad for the 2022 invasion of Ukraine; is alarmed that Russia has stationed tactical nuclear weapons in Belarus, formally extending its nuclear umbrella to Belarus in 2024, and has since deployed nuclear-capable Oreshnik missiles along the Union’s eastern border; calls on the Member States to factor the militarisation of Belarus fully into their eastern-flank Defense planning;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Calls on the Council to further increase the effectiveness and impact of sanctions against Russia and to apply similar measures to Belarus, Iran, North Korea and Chinese entities supplying dual-use goods and military items; calls for targeted sanctions against Russia’s shadow fleet and for action against it using the full spectrum of legal means, given its possible involvement in the launch of drones against critical infrastructure; calls for systematic action against sanctions circumvention, including tougher penalties;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Emphasises that sanctions and other coercive instruments should not become a substitute for diplomatic dialogue, nor should they be used to impose the political, institutional or societal choices specific to the Union on third countries; calls for any restrictive measure to meet specific, transparent and consistent criteria; underlines that selective application and double standards undermine trust in the international legal order and weaken respect for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Notes with concern recent press reports that US intelligence has warned European governments of a possible Russian operation involving Gerbera-type drones launched from commercial vessels in the Mediterranean, potentially targeting Spain, France or Italy; recalls that vessels linked to Russia's shadow fleet have already been suspected of involvement in hybrid operations against Member States, including the damaging of undersea infrastructure in the Baltic Sea; stresses the importance of considering the Mediterranean, the Atlantic and the Arctic as an integral part of the EU’s security environment and of pursuing a 360-degree approach to security, including by strengthening maritime situational awareness and resilience against emerging hybrid threats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Highlights Russia’s constant pressure on and hybrid war against the Republic of Moldova, aimed at derailing its European aspirations through unprecedented levels of malign interference and the continued weaponisation of Transnistria; denounces Russia’s efforts to stifle the democratic and European aspirations of the people of Georgia and Armenia;</w:t>
            </w:r>
          </w:p>
        </w:tc>
        <w:tc>
          <w:tcPr>
            <w:tcW w:w="4876" w:type="dxa"/>
            <w:tcBorders>
              <w:top w:val="nil"/>
              <w:left w:val="nil"/>
              <w:bottom w:val="nil"/>
              <w:right w:val="nil"/>
            </w:tcBorders>
          </w:tcPr>
          <w:p>
            <w:pPr>
              <w:pStyle w:val="Normal6a"/>
            </w:pPr>
            <w:r>
              <w:t>4.</w:t>
            </w:r>
            <w:r>
              <w:tab/>
            </w:r>
            <w:r>
              <w:t xml:space="preserve">Highlights Russia’s constant pressure on and hybrid war against the Republic of Moldova, aimed at derailing its European aspirations through unprecedented levels of malign interference and the continued weaponisation of Transnistria; denounces Russia’s efforts to stifle the democratic and European aspirations of the people of Georgia and Armenia </w:t>
            </w:r>
            <w:r>
              <w:rPr>
                <w:b/>
                <w:i/>
              </w:rPr>
              <w:t>through malign interferences, economic pressures and direct threats</w:t>
            </w:r>
            <w:r>
              <w:t xml:space="preserve">; </w:t>
            </w:r>
            <w:r>
              <w:rPr>
                <w:b/>
                <w:i/>
              </w:rPr>
              <w:t>notes that Armenians have managed to ward off Russian interference during the elections of 7 June 2026 despite numerous threats and blackmail; expresses concern about the security situation of Bosnia and Herzegovina (BiH), stuck in internal polarisation and targeted by various external interference;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Highlights Russia’s constant pressure on and hybrid war against the Republic of Moldova, aimed at derailing its European aspirations through unprecedented levels of malign interference and the continued weaponisation of Transnistria; denounces Russia’s efforts to stifle the democratic and European aspirations of the people of Georgia and Armenia;</w:t>
            </w:r>
          </w:p>
        </w:tc>
        <w:tc>
          <w:tcPr>
            <w:tcW w:w="4876" w:type="dxa"/>
            <w:tcBorders>
              <w:top w:val="nil"/>
              <w:left w:val="nil"/>
              <w:bottom w:val="nil"/>
              <w:right w:val="nil"/>
            </w:tcBorders>
          </w:tcPr>
          <w:p>
            <w:pPr>
              <w:pStyle w:val="Normal6a"/>
            </w:pPr>
            <w:r>
              <w:t>4.</w:t>
            </w:r>
            <w:r>
              <w:tab/>
            </w:r>
            <w:r>
              <w:t xml:space="preserve">Highlights Russia’s constant pressure on and hybrid war against the Republic of Moldova, aimed at derailing its European aspirations through unprecedented levels of malign interference and the continued weaponisation of Transnistria; </w:t>
            </w:r>
            <w:r>
              <w:rPr>
                <w:b/>
                <w:i/>
              </w:rPr>
              <w:t>welcomes the implementation of the EU-Moldova Security and Defence Partnership, the first ever concluded by the Union; welcomes the European Peace Facility assistance measure of EUR 120 million to provide Moldova with a mid-range air defence system, bringing total EPF support to EUR 317 million and making Moldova its second-largest beneficiary after Ukraine;</w:t>
            </w:r>
            <w:r>
              <w:t xml:space="preserve"> denounces Russia’s efforts to stifle the democratic and European aspirations of the people of Georgia and Armenia;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Highlights Russia’s constant pressure on and hybrid war against the Republic of Moldova, aimed at derailing its European aspirations through unprecedented levels of malign interference and the continued weaponisation of </w:t>
            </w:r>
            <w:r>
              <w:rPr>
                <w:b/>
                <w:i/>
              </w:rPr>
              <w:t>Transnistria</w:t>
            </w:r>
            <w:r>
              <w:t xml:space="preserve">; denounces Russia’s efforts to stifle the democratic and European aspirations of the people of </w:t>
            </w:r>
            <w:r>
              <w:rPr>
                <w:b/>
                <w:i/>
              </w:rPr>
              <w:t>Georgia and</w:t>
            </w:r>
            <w:r>
              <w:t xml:space="preserve"> Armenia;</w:t>
            </w:r>
          </w:p>
        </w:tc>
        <w:tc>
          <w:tcPr>
            <w:tcW w:w="4876" w:type="dxa"/>
            <w:tcBorders>
              <w:top w:val="nil"/>
              <w:left w:val="nil"/>
              <w:bottom w:val="nil"/>
              <w:right w:val="nil"/>
            </w:tcBorders>
          </w:tcPr>
          <w:p>
            <w:pPr>
              <w:pStyle w:val="Normal6a"/>
            </w:pPr>
            <w:r>
              <w:t>4.</w:t>
            </w:r>
            <w:r>
              <w:tab/>
            </w:r>
            <w:r>
              <w:t xml:space="preserve">Highlights Russia’s constant pressure on and hybrid war against the Republic of Moldova, aimed at derailing its European aspirations through unprecedented levels of malign interference and the continued weaponisation of </w:t>
            </w:r>
            <w:r>
              <w:rPr>
                <w:b/>
                <w:i/>
              </w:rPr>
              <w:t>Transnistrian region; denounces Russia’s intensified militarization of Georgia’s occupied Abkhazia and Tskhinvali regions and steps towards their de facto annexation, as well as Russia’s hybrid interference aimed at undermining Georgia’s sovereignty, democratic development and European aspirations</w:t>
            </w:r>
            <w:r>
              <w:t>; denounces Russia’s efforts to stifle the democratic and European aspirations of the people of Armenia;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Calls on the EU and its Member States to unequivocally condemn Russia’s ongoing illegal occupation of Georgia’s Abkhazia and Tskhinvali regions, reinforced by intensified militarisation, the planned military naval base in Ochamchire, the illegal operation of Sokhumi airport, borderisation and grave human rights violations; rejects the so-called “Agreement on Deepening Allied Cooperation” of 9 May 2026 as illegal, null and void, and a further step towards de facto annexation of the occupied Tskhinvali region; stresses that these actions undermine Georgia’s sovereignty and threaten regional and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Condemns Belarus’ continued support for Russia’s war of aggression against Ukraine and expresses grave concern at its deepening military cooperation with Russia; stresses that Belarusian military activities in close proximity to the borders of Poland and Lithuania, including the exercises conducted in September 2026 near the strategically vital Suwałki Corridor, pose a serious security challenge to the EU’s and NATO’s eastern flank;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Wouter Beke,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Denounces Russia’s ongoing efforts to undermine stability and democratic governance in the Western Balkans and notes China’s negative influence in the region; calls for stronger military-security cooperation with candidate countries whose alignment with the common foreign and security policy exceeds 80 %, and for stronger security and defence benchmarks in the enlargement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Calls for the EU and its Member States to show the same level of attention to all violations of EU airspace and territorial waters by third countries, as well as to actions infringing upon their sovereign rights and jurisdiction in their maritime zones, both in the Eastern Flank and easter Mediterranean;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Calls for the immediate and unconditional withdrawal of Russian forces and military equipment from the Transnistrian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Calls for a special focus within the CSDP, including the establishment of a dedicated unit within the EEAS, to monitor and counter the Russian Government's malign influence through the Russian Orthodox Church in Eastern Europe and Africa, particularly where it is used as a tool to advance geopolitical interests, spread disinformation, generate religious tensions and undermine democratic values;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Underlines that the 2025 US</w:t>
            </w:r>
            <w:r>
              <w:t xml:space="preserve"> National Security </w:t>
            </w:r>
            <w:r>
              <w:rPr>
                <w:b/>
                <w:i/>
              </w:rPr>
              <w:t>Strategy marks a sharp break with post-Cold War US policy; notes the announcement by President Trump of a reduction</w:t>
            </w:r>
            <w:r>
              <w:t xml:space="preserve"> of the </w:t>
            </w:r>
            <w:r>
              <w:rPr>
                <w:b/>
                <w:i/>
              </w:rPr>
              <w:t>US military footprint in Europe, as well as persistent uncertainty over</w:t>
            </w:r>
            <w:r>
              <w:t xml:space="preserve"> the United States</w:t>
            </w:r>
            <w:r>
              <w:rPr>
                <w:b/>
                <w:i/>
              </w:rPr>
              <w:t>’ willingness to honour its commitments</w:t>
            </w:r>
            <w:r>
              <w:t xml:space="preserve"> under Article 5 </w:t>
            </w:r>
            <w:r>
              <w:rPr>
                <w:b/>
                <w:i/>
              </w:rPr>
              <w:t>of the North Atlantic Treaty</w:t>
            </w:r>
            <w:r>
              <w:t>;</w:t>
            </w:r>
          </w:p>
        </w:tc>
        <w:tc>
          <w:tcPr>
            <w:tcW w:w="4876" w:type="dxa"/>
            <w:tcBorders>
              <w:top w:val="nil"/>
              <w:left w:val="nil"/>
              <w:bottom w:val="nil"/>
              <w:right w:val="nil"/>
            </w:tcBorders>
          </w:tcPr>
          <w:p>
            <w:pPr>
              <w:pStyle w:val="Normal6a"/>
            </w:pPr>
            <w:r>
              <w:t>5.</w:t>
            </w:r>
            <w:r>
              <w:tab/>
            </w:r>
            <w:r>
              <w:rPr>
                <w:b/>
                <w:i/>
              </w:rPr>
              <w:t>Notes the shift in</w:t>
            </w:r>
            <w:r>
              <w:t xml:space="preserve"> national security </w:t>
            </w:r>
            <w:r>
              <w:rPr>
                <w:b/>
                <w:i/>
              </w:rPr>
              <w:t>priorities</w:t>
            </w:r>
            <w:r>
              <w:t xml:space="preserve"> of the </w:t>
            </w:r>
            <w:r>
              <w:rPr>
                <w:b/>
                <w:i/>
              </w:rPr>
              <w:t>United States, while recognising</w:t>
            </w:r>
            <w:r>
              <w:t xml:space="preserve"> the United States </w:t>
            </w:r>
            <w:r>
              <w:rPr>
                <w:b/>
                <w:i/>
              </w:rPr>
              <w:t>as a key ally and strategic partner; stresses that Europe must assume greater responsibility for its own security and defence and develop the capabilities necessary to defend the European continent; underlines that European defence efforts should strengthen, rather than weaken, the transatlantic relationship and NATO; welcomes the commitment made by all NATO Allies at the Ankara Summit in July 2026 to collective defence</w:t>
            </w:r>
            <w:r>
              <w:t xml:space="preserve"> under Article 5</w:t>
            </w:r>
            <w:r>
              <w:rPr>
                <w:b/>
                <w:i/>
              </w:rPr>
              <w:t>; welcomes the increasing responsibility assumed by Europe and Canada</w:t>
            </w:r>
            <w:r>
              <w:t xml:space="preserve">; </w:t>
            </w:r>
            <w:r>
              <w:rPr>
                <w:b/>
                <w:i/>
              </w:rPr>
              <w:t>calls for deeper transatlantic cooperation in defence capabilities, industrial production, innovation, procurement and technology;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Underlines that the 2025 US National Security Strategy marks a sharp break with post-Cold War US policy;</w:t>
            </w:r>
            <w:r>
              <w:t xml:space="preserve"> notes </w:t>
            </w:r>
            <w:r>
              <w:rPr>
                <w:b/>
                <w:i/>
              </w:rPr>
              <w:t>the announcement by President Trump of a reduction of</w:t>
            </w:r>
            <w:r>
              <w:t xml:space="preserve"> the US military </w:t>
            </w:r>
            <w:r>
              <w:rPr>
                <w:b/>
                <w:i/>
              </w:rPr>
              <w:t>footprint</w:t>
            </w:r>
            <w:r>
              <w:t xml:space="preserve"> in Europe</w:t>
            </w:r>
            <w:r>
              <w:rPr>
                <w:b/>
                <w:i/>
              </w:rPr>
              <w:t>, as well as persistent uncertainty over the United States’ willingness to honour its</w:t>
            </w:r>
            <w:r>
              <w:t xml:space="preserve"> commitments </w:t>
            </w:r>
            <w:r>
              <w:rPr>
                <w:b/>
                <w:i/>
              </w:rPr>
              <w:t>under Article 5 of the North Atlantic Treaty</w:t>
            </w:r>
            <w:r>
              <w:t>;</w:t>
            </w:r>
          </w:p>
        </w:tc>
        <w:tc>
          <w:tcPr>
            <w:tcW w:w="4876" w:type="dxa"/>
            <w:tcBorders>
              <w:top w:val="nil"/>
              <w:left w:val="nil"/>
              <w:bottom w:val="nil"/>
              <w:right w:val="nil"/>
            </w:tcBorders>
          </w:tcPr>
          <w:p>
            <w:pPr>
              <w:pStyle w:val="Normal6a"/>
            </w:pPr>
            <w:r>
              <w:t>5.</w:t>
            </w:r>
            <w:r>
              <w:tab/>
            </w:r>
            <w:r>
              <w:t xml:space="preserve">Notes </w:t>
            </w:r>
            <w:r>
              <w:rPr>
                <w:b/>
                <w:i/>
              </w:rPr>
              <w:t>changes in</w:t>
            </w:r>
            <w:r>
              <w:t xml:space="preserve"> the US military </w:t>
            </w:r>
            <w:r>
              <w:rPr>
                <w:b/>
                <w:i/>
              </w:rPr>
              <w:t>posture</w:t>
            </w:r>
            <w:r>
              <w:t xml:space="preserve"> in Europe</w:t>
            </w:r>
            <w:r>
              <w:rPr>
                <w:b/>
                <w:i/>
              </w:rPr>
              <w:t>; stresses the need for European NATO Allies to assume greater responsibility for their own defence, fulfil their</w:t>
            </w:r>
            <w:r>
              <w:t xml:space="preserve"> commitments </w:t>
            </w:r>
            <w:r>
              <w:rPr>
                <w:b/>
                <w:i/>
              </w:rPr>
              <w:t>within the Alliance and strengthen their capabilities, while preserving a strong transatlantic bond and credible NATO deterrence and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Underlines</w:t>
            </w:r>
            <w:r>
              <w:t xml:space="preserve"> that the 2025 US National Security Strategy marks a </w:t>
            </w:r>
            <w:r>
              <w:rPr>
                <w:b/>
                <w:i/>
              </w:rPr>
              <w:t>sharp break</w:t>
            </w:r>
            <w:r>
              <w:t xml:space="preserve"> with post-Cold War US policy; notes the announcement by </w:t>
            </w:r>
            <w:r>
              <w:rPr>
                <w:b/>
                <w:i/>
              </w:rPr>
              <w:t>President Trump</w:t>
            </w:r>
            <w:r>
              <w:t xml:space="preserve"> of a reduction of the US military footprint in Europe</w:t>
            </w:r>
            <w:r>
              <w:rPr>
                <w:b/>
                <w:i/>
              </w:rPr>
              <w:t>, as well as persistent uncertainty over the United States’ willingness to honour its commitments under</w:t>
            </w:r>
            <w:r>
              <w:t xml:space="preserve"> Article 5 of the North Atlantic Treaty;</w:t>
            </w:r>
          </w:p>
        </w:tc>
        <w:tc>
          <w:tcPr>
            <w:tcW w:w="4876" w:type="dxa"/>
            <w:tcBorders>
              <w:top w:val="nil"/>
              <w:left w:val="nil"/>
              <w:bottom w:val="nil"/>
              <w:right w:val="nil"/>
            </w:tcBorders>
          </w:tcPr>
          <w:p>
            <w:pPr>
              <w:pStyle w:val="Normal6a"/>
            </w:pPr>
            <w:r>
              <w:t>5.</w:t>
            </w:r>
            <w:r>
              <w:tab/>
            </w:r>
            <w:r>
              <w:rPr>
                <w:b/>
                <w:i/>
              </w:rPr>
              <w:t>Notes</w:t>
            </w:r>
            <w:r>
              <w:t xml:space="preserve"> that the 2025 US National Security Strategy marks a </w:t>
            </w:r>
            <w:r>
              <w:rPr>
                <w:b/>
                <w:i/>
              </w:rPr>
              <w:t>significant shift</w:t>
            </w:r>
            <w:r>
              <w:t xml:space="preserve"> with post-Cold War US </w:t>
            </w:r>
            <w:r>
              <w:rPr>
                <w:b/>
                <w:i/>
              </w:rPr>
              <w:t>foreign</w:t>
            </w:r>
            <w:r>
              <w:t xml:space="preserve"> policy; notes the announcement by </w:t>
            </w:r>
            <w:r>
              <w:rPr>
                <w:b/>
                <w:i/>
              </w:rPr>
              <w:t>the US administration</w:t>
            </w:r>
            <w:r>
              <w:t xml:space="preserve"> of a reduction of the US military footprint in Europe</w:t>
            </w:r>
            <w:r>
              <w:rPr>
                <w:b/>
                <w:i/>
              </w:rPr>
              <w:t>; welcomes the reaffirmation by all Allies, at the NATO Ankara Summit of July 2026, of their ironclad commitment to</w:t>
            </w:r>
            <w:r>
              <w:t xml:space="preserve"> Article 5 of the North Atlantic Treaty; </w:t>
            </w:r>
            <w:r>
              <w:rPr>
                <w:b/>
                <w:i/>
              </w:rPr>
              <w:t>recalls that the United States remains the EU's most important strategic ally and that NATO remains the cornerstone of collective transatlantic defence; encourages a constructive partnership with the US administration while safeguarding European interests; stresses, therefore, that European Allies must assume a greater share of responsibility for the conventional defence of the continent, in line with the objective of a stronger Europe within a stronger NATO, including by closing the critical capability gaps, notably in strategic enablers, in which Europe remains dependent on the United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Underlines</w:t>
            </w:r>
            <w:r>
              <w:t xml:space="preserve"> that the 2025 US National Security Strategy </w:t>
            </w:r>
            <w:r>
              <w:rPr>
                <w:b/>
                <w:i/>
              </w:rPr>
              <w:t>marks a sharp break with post-Cold War US policy; notes the announcement by President Trump of a reduction</w:t>
            </w:r>
            <w:r>
              <w:t xml:space="preserve"> of the US military </w:t>
            </w:r>
            <w:r>
              <w:rPr>
                <w:b/>
                <w:i/>
              </w:rPr>
              <w:t>footprint</w:t>
            </w:r>
            <w:r>
              <w:t xml:space="preserve"> in Europe</w:t>
            </w:r>
            <w:r>
              <w:rPr>
                <w:b/>
                <w:i/>
              </w:rPr>
              <w:t>, as well as persistent uncertainty over the United States’ willingness to honour its commitments under</w:t>
            </w:r>
            <w:r>
              <w:t xml:space="preserve"> Article 5 </w:t>
            </w:r>
            <w:r>
              <w:rPr>
                <w:b/>
                <w:i/>
              </w:rPr>
              <w:t>of the North Atlantic Treaty</w:t>
            </w:r>
            <w:r>
              <w:t>;</w:t>
            </w:r>
          </w:p>
        </w:tc>
        <w:tc>
          <w:tcPr>
            <w:tcW w:w="4876" w:type="dxa"/>
            <w:tcBorders>
              <w:top w:val="nil"/>
              <w:left w:val="nil"/>
              <w:bottom w:val="nil"/>
              <w:right w:val="nil"/>
            </w:tcBorders>
          </w:tcPr>
          <w:p>
            <w:pPr>
              <w:pStyle w:val="Normal6a"/>
            </w:pPr>
            <w:r>
              <w:t>5.</w:t>
            </w:r>
            <w:r>
              <w:tab/>
            </w:r>
            <w:r>
              <w:rPr>
                <w:b/>
                <w:i/>
              </w:rPr>
              <w:t>Notes</w:t>
            </w:r>
            <w:r>
              <w:t xml:space="preserve"> that the 2025 US National Security Strategy </w:t>
            </w:r>
            <w:r>
              <w:rPr>
                <w:b/>
                <w:i/>
              </w:rPr>
              <w:t>and the announced adjustment</w:t>
            </w:r>
            <w:r>
              <w:t xml:space="preserve"> of the US military </w:t>
            </w:r>
            <w:r>
              <w:rPr>
                <w:b/>
                <w:i/>
              </w:rPr>
              <w:t>posture</w:t>
            </w:r>
            <w:r>
              <w:t xml:space="preserve"> in Europe </w:t>
            </w:r>
            <w:r>
              <w:rPr>
                <w:b/>
                <w:i/>
              </w:rPr>
              <w:t>are consistent with the long-standing US call for Europeans to assume greater responsibility for their own security and to increase their conventional military capabilities; reaffirms that the transatlantic bond and NATO, including the</w:t>
            </w:r>
            <w:r>
              <w:t xml:space="preserve"> Article 5 </w:t>
            </w:r>
            <w:r>
              <w:rPr>
                <w:b/>
                <w:i/>
              </w:rPr>
              <w:t>commitment to collective defence, remain the cornerstone of Europe's security</w:t>
            </w:r>
            <w:r>
              <w:t xml:space="preserve">; </w:t>
            </w:r>
            <w:r>
              <w:rPr>
                <w:b/>
                <w:i/>
              </w:rPr>
              <w:t>stresses that a stronger and more capable European pillar within NATO is the best way to preserve and strengthen the transatlantic relationship;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Underlines that the 2025 US National Security Strategy marks </w:t>
            </w:r>
            <w:r>
              <w:rPr>
                <w:b/>
                <w:i/>
              </w:rPr>
              <w:t>a sharp break with post-Cold War US policy</w:t>
            </w:r>
            <w:r>
              <w:t>; notes the announcement by President Trump of a reduction of the US military footprint in Europe, as well as persistent uncertainty over the United States’ willingness to honour its commitments under Article 5 of the North Atlantic Treaty;</w:t>
            </w:r>
          </w:p>
        </w:tc>
        <w:tc>
          <w:tcPr>
            <w:tcW w:w="4876" w:type="dxa"/>
            <w:tcBorders>
              <w:top w:val="nil"/>
              <w:left w:val="nil"/>
              <w:bottom w:val="nil"/>
              <w:right w:val="nil"/>
            </w:tcBorders>
          </w:tcPr>
          <w:p>
            <w:pPr>
              <w:pStyle w:val="Normal6a"/>
            </w:pPr>
            <w:r>
              <w:t>5.</w:t>
            </w:r>
            <w:r>
              <w:tab/>
            </w:r>
            <w:r>
              <w:t xml:space="preserve">Underlines that the 2025 US National Security Strategy marks </w:t>
            </w:r>
            <w:r>
              <w:rPr>
                <w:b/>
                <w:i/>
              </w:rPr>
              <w:t>the culmination of the slow but certain realignment of US security and strategic interests from Europe to Asia initiated during the first Obama Administration in 2009</w:t>
            </w:r>
            <w:r>
              <w:t xml:space="preserve">; notes the announcement by President Trump of a reduction of the US military footprint in Europe, as well as persistent uncertainty over the United States’ willingness to honour its commitments under Article 5 of the North Atlantic Treaty; </w:t>
            </w:r>
            <w:r>
              <w:rPr>
                <w:b/>
                <w:i/>
              </w:rPr>
              <w:t>stresses that those uncertainties and the conflicting interests between Washington and the European capitals must encourage the Member States to implement an autonomous European pillar within NATO that can independently ensure Europe’s conventional defence;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Underlines that</w:t>
            </w:r>
            <w:r>
              <w:t xml:space="preserve"> the 2025 US National Security Strategy </w:t>
            </w:r>
            <w:r>
              <w:rPr>
                <w:b/>
                <w:i/>
              </w:rPr>
              <w:t>marks a sharp break with post-Cold War US policy</w:t>
            </w:r>
            <w:r>
              <w:t xml:space="preserve">; notes the announcement by President Trump of </w:t>
            </w:r>
            <w:r>
              <w:rPr>
                <w:b/>
                <w:i/>
              </w:rPr>
              <w:t>a reduction</w:t>
            </w:r>
            <w:r>
              <w:t xml:space="preserve"> of the US military footprint in Europe</w:t>
            </w:r>
            <w:r>
              <w:rPr>
                <w:b/>
                <w:i/>
              </w:rPr>
              <w:t>, as well as persistent uncertainty over</w:t>
            </w:r>
            <w:r>
              <w:t xml:space="preserve"> the United States</w:t>
            </w:r>
            <w:r>
              <w:rPr>
                <w:b/>
                <w:i/>
              </w:rPr>
              <w:t>’ willingness to honour its commitments</w:t>
            </w:r>
            <w:r>
              <w:t xml:space="preserve"> under Article 5 of the North Atlantic Treaty;</w:t>
            </w:r>
          </w:p>
        </w:tc>
        <w:tc>
          <w:tcPr>
            <w:tcW w:w="4876" w:type="dxa"/>
            <w:tcBorders>
              <w:top w:val="nil"/>
              <w:left w:val="nil"/>
              <w:bottom w:val="nil"/>
              <w:right w:val="nil"/>
            </w:tcBorders>
          </w:tcPr>
          <w:p>
            <w:pPr>
              <w:pStyle w:val="Normal6a"/>
            </w:pPr>
            <w:r>
              <w:t>5.</w:t>
            </w:r>
            <w:r>
              <w:tab/>
            </w:r>
            <w:r>
              <w:rPr>
                <w:b/>
                <w:i/>
              </w:rPr>
              <w:t>Takes note of</w:t>
            </w:r>
            <w:r>
              <w:t xml:space="preserve"> the 2025 US National Security Strategy; notes the announcement by President Trump of </w:t>
            </w:r>
            <w:r>
              <w:rPr>
                <w:b/>
                <w:i/>
              </w:rPr>
              <w:t>an adjustment</w:t>
            </w:r>
            <w:r>
              <w:t xml:space="preserve"> of the US military footprint in Europe</w:t>
            </w:r>
            <w:r>
              <w:rPr>
                <w:b/>
                <w:i/>
              </w:rPr>
              <w:t>; underlines that</w:t>
            </w:r>
            <w:r>
              <w:t xml:space="preserve"> the United States </w:t>
            </w:r>
            <w:r>
              <w:rPr>
                <w:b/>
                <w:i/>
              </w:rPr>
              <w:t>remains the EU’s most important ally and that the transatlantic partnership remains indispensable for European security; welcomes the fact that all Allies, including the United States, reaffirmed their ironclad commitment to collective defence</w:t>
            </w:r>
            <w:r>
              <w:t xml:space="preserve"> under Article 5 of the North Atlantic Treaty </w:t>
            </w:r>
            <w:r>
              <w:rPr>
                <w:b/>
                <w:i/>
              </w:rPr>
              <w:t>at the Ankara Summit in July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Underlines that the 2025 US National Security Strategy marks a sharp break with post-Cold War US policy; notes the announcement by President Trump of a reduction of the US military footprint in Europe, as well as persistent uncertainty over the United States’ willingness to honour its commitments under Article 5 of the North Atlantic Treaty;</w:t>
            </w:r>
          </w:p>
        </w:tc>
        <w:tc>
          <w:tcPr>
            <w:tcW w:w="4876" w:type="dxa"/>
            <w:tcBorders>
              <w:top w:val="nil"/>
              <w:left w:val="nil"/>
              <w:bottom w:val="nil"/>
              <w:right w:val="nil"/>
            </w:tcBorders>
          </w:tcPr>
          <w:p>
            <w:pPr>
              <w:pStyle w:val="Normal6a"/>
            </w:pPr>
            <w:r>
              <w:t>5.</w:t>
            </w:r>
            <w:r>
              <w:tab/>
            </w:r>
            <w:r>
              <w:t xml:space="preserve">Underlines that the 2025 US National Security Strategy marks a sharp break with post-Cold War US policy; notes the announcement by President Trump of a reduction of the US military footprint in Europe, as well as persistent uncertainty over the United States' willingness to honour its commitments under Article 5 of the North Atlantic Treaty; </w:t>
            </w:r>
            <w:r>
              <w:rPr>
                <w:b/>
                <w:i/>
              </w:rPr>
              <w:t>stresses that the United States nonetheless remains one of the EU's most important allies; underlines that Europe must take on a greater share of the burden for its own defence within a more balanced transatlantic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Underlines that the 2025 US National Security Strategy marks a sharp break with post-Cold War US policy; notes </w:t>
            </w:r>
            <w:r>
              <w:rPr>
                <w:b/>
                <w:i/>
              </w:rPr>
              <w:t>the announcement</w:t>
            </w:r>
            <w:r>
              <w:t xml:space="preserve"> by President </w:t>
            </w:r>
            <w:r>
              <w:rPr>
                <w:b/>
                <w:i/>
              </w:rPr>
              <w:t>Trump of a reduction of the US military footprint in Europe</w:t>
            </w:r>
            <w:r>
              <w:t xml:space="preserve">, </w:t>
            </w:r>
            <w:r>
              <w:rPr>
                <w:b/>
                <w:i/>
              </w:rPr>
              <w:t>as well as persistent uncertainty over the United States’ willingness to honour its commitments under Article 5 of the North Atlantic Treaty;</w:t>
            </w:r>
          </w:p>
        </w:tc>
        <w:tc>
          <w:tcPr>
            <w:tcW w:w="4876" w:type="dxa"/>
            <w:tcBorders>
              <w:top w:val="nil"/>
              <w:left w:val="nil"/>
              <w:bottom w:val="nil"/>
              <w:right w:val="nil"/>
            </w:tcBorders>
          </w:tcPr>
          <w:p>
            <w:pPr>
              <w:pStyle w:val="Normal6a"/>
            </w:pPr>
            <w:r>
              <w:t>5.</w:t>
            </w:r>
            <w:r>
              <w:tab/>
            </w:r>
            <w:r>
              <w:t xml:space="preserve">Underlines that the 2025 US National Security Strategy marks a sharp break with post-Cold War US policy; notes </w:t>
            </w:r>
            <w:r>
              <w:rPr>
                <w:b/>
                <w:i/>
              </w:rPr>
              <w:t>that the Strategy has shifted to a framework based on spheres of influence, where the Western Hemisphere (excluding Europe) is a top security priority; recalls that the Trump administration has proposed a normalisation of ties with Russia as most recently indicated</w:t>
            </w:r>
            <w:r>
              <w:t xml:space="preserve"> by President </w:t>
            </w:r>
            <w:r>
              <w:rPr>
                <w:b/>
                <w:i/>
              </w:rPr>
              <w:t>Trump’s invite of Russian President Putin to the G20 summit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Underlines that the 2025 US National Security Strategy marks a sharp break with post-Cold War US policy; notes the announcement by President Trump of a reduction of the US military footprint in Europe, as well as persistent uncertainty over the United States’ willingness to honour its commitments under Article 5 of the North Atlantic Treaty;</w:t>
            </w:r>
          </w:p>
        </w:tc>
        <w:tc>
          <w:tcPr>
            <w:tcW w:w="4876" w:type="dxa"/>
            <w:tcBorders>
              <w:top w:val="nil"/>
              <w:left w:val="nil"/>
              <w:bottom w:val="nil"/>
              <w:right w:val="nil"/>
            </w:tcBorders>
          </w:tcPr>
          <w:p>
            <w:pPr>
              <w:pStyle w:val="Normal6a"/>
            </w:pPr>
            <w:r>
              <w:t>5.</w:t>
            </w:r>
            <w:r>
              <w:tab/>
            </w:r>
            <w:r>
              <w:t xml:space="preserve">Underlines that the 2025 US National Security Strategy marks a sharp break with post-Cold War US policy; notes the announcement by President Trump of a reduction of the US military footprint in Europe, as well as persistent uncertainty over the United States’ willingness to honour its commitments under Article 5 of the North Atlantic Treaty; </w:t>
            </w:r>
            <w:r>
              <w:rPr>
                <w:b/>
                <w:i/>
              </w:rPr>
              <w:t>stresses that this paradigm shift in transatlantic relations underscores the need for the European Union to assume responsibility for its own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Underlines that the 2025 US National Security Strategy marks a sharp break with post-Cold War US policy; notes the announcement by President Trump of a reduction of the US military footprint in Europe, as well as persistent uncertainty over the United States’ willingness to honour its commitments under Article 5 of the North Atlantic Treaty;</w:t>
            </w:r>
          </w:p>
        </w:tc>
        <w:tc>
          <w:tcPr>
            <w:tcW w:w="4876" w:type="dxa"/>
            <w:tcBorders>
              <w:top w:val="nil"/>
              <w:left w:val="nil"/>
              <w:bottom w:val="nil"/>
              <w:right w:val="nil"/>
            </w:tcBorders>
          </w:tcPr>
          <w:p>
            <w:pPr>
              <w:pStyle w:val="Normal6a"/>
            </w:pPr>
            <w:r>
              <w:t>5.</w:t>
            </w:r>
            <w:r>
              <w:tab/>
            </w:r>
            <w:r>
              <w:t xml:space="preserve">Underlines that the 2025 US National Security Strategy marks a sharp break with post-Cold War US policy </w:t>
            </w:r>
            <w:r>
              <w:rPr>
                <w:b/>
                <w:i/>
              </w:rPr>
              <w:t>on transatlantic security cooperation</w:t>
            </w:r>
            <w:r>
              <w:t>; notes the announcement by President Trump of a reduction of the US military footprint in Europe, as well as persistent uncertainty over the United States’ willingness to honour its commitments under Article 5 of the North Atlantic Treaty;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Underlines the strategic importance of the NATO Summit held in Ankara in July 2026, at which all 32 Allies, including the United States, unanimously adopted and signed the Summit Declaration, explicitly reaffirming their “ironclad commitment” to collective defence under Article 5 of the Washington Treaty and the principle that an attack on one is an attack on all; calls on the EU and its Member States to translate the 5%-by-2035 commitment into concrete capabilities through EU instruments, including joint procurement, military mobility, strengthening the European defence technological and industrial base and accelerating capability development; stresses that stronger European defence capabilities will reinforce the transatlantic Alliance;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Stresses that preserving unity within the transatlantic alliance and the broader Western community remains of paramount importance, as divisions among European and transatlantic partners risk weakening collective security, resilience and strategic capacity, while creating opportunities for adversaries, rivals and competitors to exploit existing vulnerabilities; underlines the importance of maintaining a strong transatlantic bond, strengthening cooperation between European Allies and the United States and ensuring that differences among partners are addressed through dialogue and coordination, while reinforcing the European pillar of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Welcomes the major progress announced by the President of the United States in September 2026 towards establishing a permanent US Army base in Poland, referred to as "Fort Trump", as well as the announced deployment of additional US troops to Poland; considers that a permanent US military presence on NATO’s eastern flank sends a strong signal of the enduring US commitment to European security and substantially strengthens deterrence against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Stresses that this development requires Europeans to increase their ability to defend themselves and to make decisions and act autonomously, while maintaining close cooperation with the United States within NATO;</w:t>
            </w:r>
            <w:r>
              <w:t xml:space="preserve"> </w:t>
            </w:r>
            <w:r>
              <w:rPr>
                <w:b/>
                <w:i/>
              </w:rPr>
              <w:t>underlines the need to reduce excessive strategic dependencies on non-EU suppliers in the military, technological, digital and space fields;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Notes with concern that Russia has revised its security, military, and foreign policy strategies to portray itself as a global defender of so-called "traditional values" and uses this narrative as a tool to expand its influence abroad; stresses that the Russian Orthodox Church has been increasingly instrumentalised by the Russian Government as part of this strategy, functioning as a vehicle for disinformation and soft-power projection, particularly in countries of the former Soviet Union and across parts of Africa; underlines that such practices are designed to undermine democracy, social cohesion, pro-European orientations, and religious tolerance; calls for the CSDP to integrate specific measures to counter this influence, including faith-based diplomacy, strategic communication, and support for religious communities that were victims of Soviet oppression; emphasises, in this regard, the importance of supporting the Metropolis of Bessarabia in Moldova and the autocephalous Orthodox Church of Ukraine in their resistance to Moscow-controlled religious structures, as part of a broader effort to defend freedom of religion, national sovereignty, and European integration; welcomes the adoption of the law allowing Orthodox parishes in Ukraine to disaffiliate from the jurisdiction of the Moscow Patriarchate and to decide freely on their new hierarchical affiliation;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Notes the urgent need for the European Union to establish a fortified border barrier along the eastern frontier of its Member States with Russia and Belarus to enhance security, prevent illegal crossings, and strengthen resilience against potential hybrid threats and invasions;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Underlines the strategic importance of the NATO Summit held in Ankara in July 2026, at which all 32 Allies, including the United States, unanimously adopted and signed the Summit Declaration, explicitly reaffirming their “ironclad commitment” to collective defence under Article 5 of the Washington Treaty and the principle that an attack on one is an attack on all; calls on the EU and its Member States to translate the 5%-by-2035 commitment into concrete capabilities through EU instruments, including joint procurement, military mobility, strengthening the European defence technological and industrial base and accelerating capability development; stresses that stronger European defence capabilities will reinforce the transatlantic Alliance;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Firmly condemns President Trump’s repeated threats to seize</w:t>
            </w:r>
            <w:r>
              <w:t xml:space="preserve"> Greenland</w:t>
            </w:r>
            <w:r>
              <w:rPr>
                <w:b/>
                <w:i/>
              </w:rPr>
              <w:t>, including by force; condemns any pressure to force the hand of any NATO ally</w:t>
            </w:r>
            <w:r>
              <w:t xml:space="preserve">; welcomes all initiatives </w:t>
            </w:r>
            <w:r>
              <w:rPr>
                <w:b/>
                <w:i/>
              </w:rPr>
              <w:t>to support Greenlandic and Danish resilience,</w:t>
            </w:r>
            <w:r>
              <w:t xml:space="preserve"> security </w:t>
            </w:r>
            <w:r>
              <w:rPr>
                <w:b/>
                <w:i/>
              </w:rPr>
              <w:t>and territorial integrity</w:t>
            </w:r>
            <w:r>
              <w:t>;</w:t>
            </w:r>
          </w:p>
        </w:tc>
        <w:tc>
          <w:tcPr>
            <w:tcW w:w="4876" w:type="dxa"/>
            <w:tcBorders>
              <w:top w:val="nil"/>
              <w:left w:val="nil"/>
              <w:bottom w:val="nil"/>
              <w:right w:val="nil"/>
            </w:tcBorders>
          </w:tcPr>
          <w:p>
            <w:pPr>
              <w:pStyle w:val="Normal6a"/>
            </w:pPr>
            <w:r>
              <w:t>6.</w:t>
            </w:r>
            <w:r>
              <w:tab/>
            </w:r>
            <w:r>
              <w:rPr>
                <w:b/>
                <w:i/>
              </w:rPr>
              <w:t>Reaffirms that the sovereignty and territorial integrity of all NATO Allies and EU Member States must be assured and that the use or threat of force against an Ally is unacceptable; expresses its full solidarity with Denmark and</w:t>
            </w:r>
            <w:r>
              <w:t xml:space="preserve"> Greenland; welcomes all initiatives </w:t>
            </w:r>
            <w:r>
              <w:rPr>
                <w:b/>
                <w:i/>
              </w:rPr>
              <w:t>that strengthen Arctic</w:t>
            </w:r>
            <w:r>
              <w:t xml:space="preserve"> security</w:t>
            </w:r>
            <w:r>
              <w:rPr>
                <w:b/>
                <w:i/>
              </w:rPr>
              <w:t>, including enhanced Allied presence and cooperation in the High North, within the framework of NATO and in coordination with the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Firmly condemns President Trump’s repeated threats to seize</w:t>
            </w:r>
            <w:r>
              <w:t xml:space="preserve"> Greenland, </w:t>
            </w:r>
            <w:r>
              <w:rPr>
                <w:b/>
                <w:i/>
              </w:rPr>
              <w:t>including by force; condemns any pressure to force the hand of any NATO ally; welcomes all initiatives to support Greenlandic and Danish resilience, security</w:t>
            </w:r>
            <w:r>
              <w:t xml:space="preserve"> and territorial integrity;</w:t>
            </w:r>
          </w:p>
        </w:tc>
        <w:tc>
          <w:tcPr>
            <w:tcW w:w="4876" w:type="dxa"/>
            <w:tcBorders>
              <w:top w:val="nil"/>
              <w:left w:val="nil"/>
              <w:bottom w:val="nil"/>
              <w:right w:val="nil"/>
            </w:tcBorders>
          </w:tcPr>
          <w:p>
            <w:pPr>
              <w:pStyle w:val="Normal6a"/>
            </w:pPr>
            <w:r>
              <w:t>6.</w:t>
            </w:r>
            <w:r>
              <w:tab/>
            </w:r>
            <w:r>
              <w:rPr>
                <w:b/>
                <w:i/>
              </w:rPr>
              <w:t>Welcomes the agreement reached in September 2026 between the United States, Denmark and</w:t>
            </w:r>
            <w:r>
              <w:t xml:space="preserve"> Greenland, </w:t>
            </w:r>
            <w:r>
              <w:rPr>
                <w:b/>
                <w:i/>
              </w:rPr>
              <w:t>which reaffirms the sovereignty</w:t>
            </w:r>
            <w:r>
              <w:t xml:space="preserve"> and territorial integrity </w:t>
            </w:r>
            <w:r>
              <w:rPr>
                <w:b/>
                <w:i/>
              </w:rPr>
              <w:t>of the Kingdom of Denmark and the right of the people of Greenland to self-determination, while strengthening transatlantic security and NATO’s engagement in the Arctic</w:t>
            </w:r>
            <w:r>
              <w:t xml:space="preserve">; </w:t>
            </w:r>
            <w:r>
              <w:rPr>
                <w:b/>
                <w:i/>
              </w:rPr>
              <w:t>underlines the strategic importance of Greenland and the Arctic for the security of the entire Alliance; stresses the importance of close cooperation among NATO Allies in addressing the evolving security challenges in the Arctic, in particular in light of Russia’s military activities and China’s growing strategic interest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Firmly condemns President Trump’s</w:t>
            </w:r>
            <w:r>
              <w:t xml:space="preserve"> repeated threats to seize Greenland, including by force</w:t>
            </w:r>
            <w:r>
              <w:rPr>
                <w:b/>
                <w:i/>
              </w:rPr>
              <w:t>; condemns</w:t>
            </w:r>
            <w:r>
              <w:t xml:space="preserve"> any pressure to force the hand of any NATO ally; welcomes </w:t>
            </w:r>
            <w:r>
              <w:rPr>
                <w:b/>
                <w:i/>
              </w:rPr>
              <w:t>all initiatives to</w:t>
            </w:r>
            <w:r>
              <w:t xml:space="preserve"> support </w:t>
            </w:r>
            <w:r>
              <w:rPr>
                <w:b/>
                <w:i/>
              </w:rPr>
              <w:t>Greenlandic and Danish resilience,</w:t>
            </w:r>
            <w:r>
              <w:t xml:space="preserve"> security and </w:t>
            </w:r>
            <w:r>
              <w:rPr>
                <w:b/>
                <w:i/>
              </w:rPr>
              <w:t>territorial integrity</w:t>
            </w:r>
            <w:r>
              <w:t>;</w:t>
            </w:r>
          </w:p>
        </w:tc>
        <w:tc>
          <w:tcPr>
            <w:tcW w:w="4876" w:type="dxa"/>
            <w:tcBorders>
              <w:top w:val="nil"/>
              <w:left w:val="nil"/>
              <w:bottom w:val="nil"/>
              <w:right w:val="nil"/>
            </w:tcBorders>
          </w:tcPr>
          <w:p>
            <w:pPr>
              <w:pStyle w:val="Normal6a"/>
            </w:pPr>
            <w:r>
              <w:t>6.</w:t>
            </w:r>
            <w:r>
              <w:tab/>
            </w:r>
            <w:r>
              <w:rPr>
                <w:b/>
                <w:i/>
              </w:rPr>
              <w:t>Recalls its condemnation of the US administration's</w:t>
            </w:r>
            <w:r>
              <w:t xml:space="preserve"> repeated threats to seize Greenland, including by force</w:t>
            </w:r>
            <w:r>
              <w:rPr>
                <w:b/>
                <w:i/>
              </w:rPr>
              <w:t>, and of</w:t>
            </w:r>
            <w:r>
              <w:t xml:space="preserve"> any pressure to force the hand of any NATO ally; welcomes </w:t>
            </w:r>
            <w:r>
              <w:rPr>
                <w:b/>
                <w:i/>
              </w:rPr>
              <w:t>the security agreement signed by the United States, Denmark and Greenland, which reaffirms Greenland's right to self-determination; welcomes the agreement's</w:t>
            </w:r>
            <w:r>
              <w:t xml:space="preserve"> support </w:t>
            </w:r>
            <w:r>
              <w:rPr>
                <w:b/>
                <w:i/>
              </w:rPr>
              <w:t>for a stronger NATO presence in the Arctic and calls on the EU and its Member States to contribute to Arctic</w:t>
            </w:r>
            <w:r>
              <w:t xml:space="preserve"> security and </w:t>
            </w:r>
            <w:r>
              <w:rPr>
                <w:b/>
                <w:i/>
              </w:rPr>
              <w:t>to Greenland's resilience, including through cooperation on maritime and space domain awareness, critical infrastructure protection and the screening of foreign investment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Firmly condemns</w:t>
            </w:r>
            <w:r>
              <w:t xml:space="preserve"> President Trump’s repeated threats to seize Greenland, including by force; condemns any </w:t>
            </w:r>
            <w:r>
              <w:rPr>
                <w:b/>
                <w:i/>
              </w:rPr>
              <w:t>pressure to</w:t>
            </w:r>
            <w:r>
              <w:t xml:space="preserve"> force </w:t>
            </w:r>
            <w:r>
              <w:rPr>
                <w:b/>
                <w:i/>
              </w:rPr>
              <w:t>the hand of any NATO ally</w:t>
            </w:r>
            <w:r>
              <w:t>; welcomes all initiatives to support Greenlandic and Danish resilience, security and territorial integrity;</w:t>
            </w:r>
          </w:p>
        </w:tc>
        <w:tc>
          <w:tcPr>
            <w:tcW w:w="4876" w:type="dxa"/>
            <w:tcBorders>
              <w:top w:val="nil"/>
              <w:left w:val="nil"/>
              <w:bottom w:val="nil"/>
              <w:right w:val="nil"/>
            </w:tcBorders>
          </w:tcPr>
          <w:p>
            <w:pPr>
              <w:pStyle w:val="Normal6a"/>
            </w:pPr>
            <w:r>
              <w:t>6.</w:t>
            </w:r>
            <w:r>
              <w:tab/>
            </w:r>
            <w:r>
              <w:rPr>
                <w:b/>
                <w:i/>
              </w:rPr>
              <w:t>Deplores</w:t>
            </w:r>
            <w:r>
              <w:t xml:space="preserve"> President Trump’s repeated threats to seize Greenland, including by force</w:t>
            </w:r>
            <w:r>
              <w:rPr>
                <w:b/>
                <w:i/>
              </w:rPr>
              <w:t>, in breach of international law, which created considerable instability for the Greenland Government, people and the whole region, and further exacerbated the deteriorations of relations within the transatlantic alliance</w:t>
            </w:r>
            <w:r>
              <w:t xml:space="preserve">; condemns any </w:t>
            </w:r>
            <w:r>
              <w:rPr>
                <w:b/>
                <w:i/>
              </w:rPr>
              <w:t>coercion or use of</w:t>
            </w:r>
            <w:r>
              <w:t xml:space="preserve"> force </w:t>
            </w:r>
            <w:r>
              <w:rPr>
                <w:b/>
                <w:i/>
              </w:rPr>
              <w:t>aimed at changing borders, wherever it occurs</w:t>
            </w:r>
            <w:r>
              <w:t xml:space="preserve">; welcomes all initiatives to support Greenlandic and Danish resilience, security and territorial integrity; </w:t>
            </w:r>
            <w:r>
              <w:rPr>
                <w:b/>
                <w:i/>
              </w:rPr>
              <w:t>welcomes the agreement on the defence of Greenland signed 22 September 2026 by the governments of the United States, the Kingdom of Denmark, and Greenland and urges all parties to uphold its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Firmly condemns President Trump’s repeated threats to seize Greenland, including by force; condemns any pressure to force the hand of any NATO ally; welcomes all initiatives to support Greenlandic and Danish resilience, security and territorial integrity;</w:t>
            </w:r>
          </w:p>
        </w:tc>
        <w:tc>
          <w:tcPr>
            <w:tcW w:w="4876" w:type="dxa"/>
            <w:tcBorders>
              <w:top w:val="nil"/>
              <w:left w:val="nil"/>
              <w:bottom w:val="nil"/>
              <w:right w:val="nil"/>
            </w:tcBorders>
          </w:tcPr>
          <w:p>
            <w:pPr>
              <w:pStyle w:val="Normal6a"/>
            </w:pPr>
            <w:r>
              <w:t>6.</w:t>
            </w:r>
            <w:r>
              <w:tab/>
            </w:r>
            <w:r>
              <w:t xml:space="preserve">Firmly condemns President Trump’s repeated threats to seize Greenland, including by force; condemns any pressure to force the hand of any NATO ally; welcomes all initiatives to support Greenlandic and Danish resilience, security and territorial integrity; </w:t>
            </w:r>
            <w:r>
              <w:rPr>
                <w:b/>
                <w:i/>
              </w:rPr>
              <w:t>welcomes the agreement signed by Greenland, Denmark and the United States on 22 September 2026, which remains subject to approval by the Greenlandic and Danish parliaments; insists on the sovereignty and territorial integrity of the Kingdom of Denmark and the right of the Greenlandic people to self-determination;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Firmly condemns President Trump’s repeated threats to seize Greenland, including by force; condemns any pressure to force the hand of any NATO ally; welcomes </w:t>
            </w:r>
            <w:r>
              <w:rPr>
                <w:b/>
                <w:i/>
              </w:rPr>
              <w:t>all initiatives to support Greenlandic and Danish resilience</w:t>
            </w:r>
            <w:r>
              <w:t>, security and territorial integrity;</w:t>
            </w:r>
          </w:p>
        </w:tc>
        <w:tc>
          <w:tcPr>
            <w:tcW w:w="4876" w:type="dxa"/>
            <w:tcBorders>
              <w:top w:val="nil"/>
              <w:left w:val="nil"/>
              <w:bottom w:val="nil"/>
              <w:right w:val="nil"/>
            </w:tcBorders>
          </w:tcPr>
          <w:p>
            <w:pPr>
              <w:pStyle w:val="Normal6a"/>
            </w:pPr>
            <w:r>
              <w:t>6.</w:t>
            </w:r>
            <w:r>
              <w:tab/>
            </w:r>
            <w:r>
              <w:t xml:space="preserve">Firmly condemns President Trump’s repeated threats to seize Greenland, including by force; condemns any pressure to force the hand of any NATO ally; welcomes </w:t>
            </w:r>
            <w:r>
              <w:rPr>
                <w:b/>
                <w:i/>
              </w:rPr>
              <w:t>the agreement reached on 22 September 2026 between Greenland, Denmark and the United States</w:t>
            </w:r>
            <w:r>
              <w:t xml:space="preserve">, </w:t>
            </w:r>
            <w:r>
              <w:rPr>
                <w:b/>
                <w:i/>
              </w:rPr>
              <w:t>which reaffirms the sovereignty and territorial integrity of the Kingdom of Denmark while strengthening</w:t>
            </w:r>
            <w:r>
              <w:t xml:space="preserve"> security </w:t>
            </w:r>
            <w:r>
              <w:rPr>
                <w:b/>
                <w:i/>
              </w:rPr>
              <w:t>cooperation in the Arctic within the NATO framework; stresses that relations among allies must remain firmly based on respect for international law, sovereignty</w:t>
            </w:r>
            <w:r>
              <w:t xml:space="preserve">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Firmly condemns President Trump’s repeated threats to seize Greenland, including by force; condemns any pressure to force the hand of any NATO ally; welcomes all initiatives to support Greenlandic and Danish resilience, security and territorial integrity;</w:t>
            </w:r>
          </w:p>
        </w:tc>
        <w:tc>
          <w:tcPr>
            <w:tcW w:w="4876" w:type="dxa"/>
            <w:tcBorders>
              <w:top w:val="nil"/>
              <w:left w:val="nil"/>
              <w:bottom w:val="nil"/>
              <w:right w:val="nil"/>
            </w:tcBorders>
          </w:tcPr>
          <w:p>
            <w:pPr>
              <w:pStyle w:val="Normal6a"/>
            </w:pPr>
            <w:r>
              <w:t>6.</w:t>
            </w:r>
            <w:r>
              <w:tab/>
            </w:r>
            <w:r>
              <w:t xml:space="preserve">Firmly condemns President Trump’s </w:t>
            </w:r>
            <w:r>
              <w:rPr>
                <w:b/>
                <w:i/>
              </w:rPr>
              <w:t>earlier</w:t>
            </w:r>
            <w:r>
              <w:t xml:space="preserve"> repeated threats to seize Greenland, including by force; condemns any pressure to force the hand of any NATO ally; welcomes all initiatives to support Greenlandic and Danish resilience, security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Takes note of the agreement concluded between the United States, Denmark and Greenland on defence cooperation concerning Greenland; stresses that its implementation must fully respect the sovereignty and territorial integrity of the Kingdom of Denmark and the right of the people of Greenland to determine their own future; welcomes initiatives to strengthen Greenlandic and Danish resilience and security and to enhance cooperation among NATO allies in the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Reiterates its concern about Russia's intensified militarisation of the Arctic, the malign activities of its shadow fleet and the deepening Russian-Chinese cooperation in the region; welcomes the security and defence partnership concluded with Iceland on 18 March 2026; calls for enhanced Arctic and maritime domain awareness through surveillance, intelligence-sharing and satellite monitoring;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Is concerned by Russia's militarisation of the Arctic, its growing cooperation with China in the region and the activities of the Russian shadow fleet, which circumvents sanctions and poses a risk to undersea infrastructure; calls on the EU and its Member States, together with NATO, to improve maritime surveillance and to use all means to stop the shadow fleet;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Urges Iran, the United States and</w:t>
            </w:r>
            <w:r>
              <w:t xml:space="preserve"> Israel </w:t>
            </w:r>
            <w:r>
              <w:rPr>
                <w:b/>
                <w:i/>
              </w:rPr>
              <w:t>to reinstate a ceasefire</w:t>
            </w:r>
            <w:r>
              <w:t xml:space="preserve">; welcomes the efforts led by European countries to establish a coalition force to </w:t>
            </w:r>
            <w:r>
              <w:rPr>
                <w:b/>
                <w:i/>
              </w:rPr>
              <w:t>secure</w:t>
            </w:r>
            <w:r>
              <w:t xml:space="preserve"> freedom of navigation in the Strait of Hormuz;</w:t>
            </w:r>
          </w:p>
        </w:tc>
        <w:tc>
          <w:tcPr>
            <w:tcW w:w="4876" w:type="dxa"/>
            <w:tcBorders>
              <w:top w:val="nil"/>
              <w:left w:val="nil"/>
              <w:bottom w:val="nil"/>
              <w:right w:val="nil"/>
            </w:tcBorders>
          </w:tcPr>
          <w:p>
            <w:pPr>
              <w:pStyle w:val="Normal6a"/>
            </w:pPr>
            <w:r>
              <w:t>7.</w:t>
            </w:r>
            <w:r>
              <w:tab/>
            </w:r>
            <w:r>
              <w:rPr>
                <w:b/>
                <w:i/>
              </w:rPr>
              <w:t>Condemns Iran’s destabilising activities and attacks against</w:t>
            </w:r>
            <w:r>
              <w:t xml:space="preserve"> Israel </w:t>
            </w:r>
            <w:r>
              <w:rPr>
                <w:b/>
                <w:i/>
              </w:rPr>
              <w:t>and stresses that Iran’s ballistic-missile programme, support for armed proxies and threats to regional and international security constitute a serious threat to European and wider Western security; calls for the immediate cessation of hostilities while reaffirming Israel’s right to defend itself in accordance with international law</w:t>
            </w:r>
            <w:r>
              <w:t xml:space="preserve">; welcomes the efforts led by European countries to establish a coalition force to </w:t>
            </w:r>
            <w:r>
              <w:rPr>
                <w:b/>
                <w:i/>
              </w:rPr>
              <w:t>safeguard</w:t>
            </w:r>
            <w:r>
              <w:t xml:space="preserve"> freedom of navigation </w:t>
            </w:r>
            <w:r>
              <w:rPr>
                <w:b/>
                <w:i/>
              </w:rPr>
              <w:t>and the security of international shipping</w:t>
            </w:r>
            <w:r>
              <w:t xml:space="preserve"> in the Strait of Hormuz;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Urges Iran, the United States and Israel to reinstate a ceasefire</w:t>
            </w:r>
            <w:r>
              <w:t xml:space="preserve">; welcomes the efforts led by European countries </w:t>
            </w:r>
            <w:r>
              <w:rPr>
                <w:b/>
                <w:i/>
              </w:rPr>
              <w:t>to establish a coalition force</w:t>
            </w:r>
            <w:r>
              <w:t xml:space="preserve"> to secure freedom of navigation in the Strait of Hormuz;</w:t>
            </w:r>
          </w:p>
        </w:tc>
        <w:tc>
          <w:tcPr>
            <w:tcW w:w="4876" w:type="dxa"/>
            <w:tcBorders>
              <w:top w:val="nil"/>
              <w:left w:val="nil"/>
              <w:bottom w:val="nil"/>
              <w:right w:val="nil"/>
            </w:tcBorders>
          </w:tcPr>
          <w:p>
            <w:pPr>
              <w:pStyle w:val="Normal6a"/>
            </w:pPr>
            <w:r>
              <w:t>7.</w:t>
            </w:r>
            <w:r>
              <w:tab/>
            </w:r>
            <w:r>
              <w:rPr>
                <w:b/>
                <w:i/>
              </w:rPr>
              <w:t>Expresses grave concern over the escalation in the Middle East; calls for de-escalation and a return to diplomacy, while reaffirming that Iran must never acquire nuclear weapons and must cease its destabilising activities, including its military support to Russia and its backing of armed proxies</w:t>
            </w:r>
            <w:r>
              <w:t xml:space="preserve">; welcomes the efforts led by </w:t>
            </w:r>
            <w:r>
              <w:rPr>
                <w:b/>
                <w:i/>
              </w:rPr>
              <w:t>the US and the</w:t>
            </w:r>
            <w:r>
              <w:t xml:space="preserve"> European countries to secure freedom of navigation </w:t>
            </w:r>
            <w:r>
              <w:rPr>
                <w:b/>
                <w:i/>
              </w:rPr>
              <w:t>and maritime security</w:t>
            </w:r>
            <w:r>
              <w:t xml:space="preserve"> in the Strait of Hormuz </w:t>
            </w:r>
            <w:r>
              <w:rPr>
                <w:b/>
                <w:i/>
              </w:rPr>
              <w:t>and calls for their coordination with allies and partners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Urges Iran, the United States and Israel to reinstate a ceasefire; welcomes the efforts led by European countries to establish a coalition force to secure freedom of navigation in the Strait of Hormuz;</w:t>
            </w:r>
          </w:p>
        </w:tc>
        <w:tc>
          <w:tcPr>
            <w:tcW w:w="4876" w:type="dxa"/>
            <w:tcBorders>
              <w:top w:val="nil"/>
              <w:left w:val="nil"/>
              <w:bottom w:val="nil"/>
              <w:right w:val="nil"/>
            </w:tcBorders>
          </w:tcPr>
          <w:p>
            <w:pPr>
              <w:pStyle w:val="Normal6a"/>
            </w:pPr>
            <w:r>
              <w:t>7.</w:t>
            </w:r>
            <w:r>
              <w:tab/>
            </w:r>
            <w:r>
              <w:t xml:space="preserve">Urges Iran, the United States and Israel to reinstate a ceasefire; welcomes the efforts led by European countries to establish a coalition force to secure freedom of navigation in the Strait of Hormuz; </w:t>
            </w:r>
            <w:r>
              <w:rPr>
                <w:b/>
                <w:i/>
              </w:rPr>
              <w:t>expresses its deep concern at the disruption of freedom of navigation in the Bab al-Mandeb Strait now that the Iran-backed Houthis have declared a blockade on Saudi shipping, advanced along the Yemeni shoreline of the strait and seized adjacent islands; considers that significant efforts should be made to prevent Iran from engineering an unprecedented worldwide energy crisis through a “dual chokepoint”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Urges Iran, the United States and Israel to reinstate a ceasefire; </w:t>
            </w:r>
            <w:r>
              <w:rPr>
                <w:b/>
                <w:i/>
              </w:rPr>
              <w:t>welcomes</w:t>
            </w:r>
            <w:r>
              <w:t xml:space="preserve"> the efforts led by European countries to </w:t>
            </w:r>
            <w:r>
              <w:rPr>
                <w:b/>
                <w:i/>
              </w:rPr>
              <w:t>establish a coalition force to secure</w:t>
            </w:r>
            <w:r>
              <w:t xml:space="preserve"> freedom of navigation in the Strait of Hormuz;</w:t>
            </w:r>
          </w:p>
        </w:tc>
        <w:tc>
          <w:tcPr>
            <w:tcW w:w="4876" w:type="dxa"/>
            <w:tcBorders>
              <w:top w:val="nil"/>
              <w:left w:val="nil"/>
              <w:bottom w:val="nil"/>
              <w:right w:val="nil"/>
            </w:tcBorders>
          </w:tcPr>
          <w:p>
            <w:pPr>
              <w:pStyle w:val="Normal6a"/>
            </w:pPr>
            <w:r>
              <w:t>7.</w:t>
            </w:r>
            <w:r>
              <w:tab/>
            </w:r>
            <w:r>
              <w:t xml:space="preserve">Urges Iran, the United States and Israel to reinstate a ceasefire; </w:t>
            </w:r>
            <w:r>
              <w:rPr>
                <w:b/>
                <w:i/>
              </w:rPr>
              <w:t>supports</w:t>
            </w:r>
            <w:r>
              <w:t xml:space="preserve"> the efforts led by European countries to </w:t>
            </w:r>
            <w:r>
              <w:rPr>
                <w:b/>
                <w:i/>
              </w:rPr>
              <w:t>safeguard</w:t>
            </w:r>
            <w:r>
              <w:t xml:space="preserve"> freedom of navigation in the Strait of Hormuz; </w:t>
            </w:r>
            <w:r>
              <w:rPr>
                <w:b/>
                <w:i/>
              </w:rPr>
              <w:t>recalls that the Strait of Hormuz lies within the area of operation of Operation EUNAVFOR ASPIDES, whose mandate includes ensuring maritime situational awareness; calls for close coordination between the two initiatives and on the Member States to provide ASPIDES with the naval assets its mandate requires;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Urges Iran, the United States and Israel to reinstate a ceasefire; welcomes the efforts led by European countries to establish a </w:t>
            </w:r>
            <w:r>
              <w:rPr>
                <w:b/>
                <w:i/>
              </w:rPr>
              <w:t>coalition force to secure</w:t>
            </w:r>
            <w:r>
              <w:t xml:space="preserve"> freedom of navigation in the Strait of Hormuz;</w:t>
            </w:r>
          </w:p>
        </w:tc>
        <w:tc>
          <w:tcPr>
            <w:tcW w:w="4876" w:type="dxa"/>
            <w:tcBorders>
              <w:top w:val="nil"/>
              <w:left w:val="nil"/>
              <w:bottom w:val="nil"/>
              <w:right w:val="nil"/>
            </w:tcBorders>
          </w:tcPr>
          <w:p>
            <w:pPr>
              <w:pStyle w:val="Normal6a"/>
            </w:pPr>
            <w:r>
              <w:t>7.</w:t>
            </w:r>
            <w:r>
              <w:tab/>
            </w:r>
            <w:r>
              <w:t xml:space="preserve">Urges Iran, the United States and Israel to reinstate a ceasefire; </w:t>
            </w:r>
            <w:r>
              <w:rPr>
                <w:b/>
                <w:i/>
              </w:rPr>
              <w:t>stresses that freedom of navigation and the right of transit passage through the Strait of Hormuz must be fully respected in accordance with international law, including UNCLOS;</w:t>
            </w:r>
            <w:r>
              <w:t xml:space="preserve"> welcomes the efforts led by European countries to establish a </w:t>
            </w:r>
            <w:r>
              <w:rPr>
                <w:b/>
                <w:i/>
              </w:rPr>
              <w:t>multinational defensive mission aimed at contributing to safeguarding</w:t>
            </w:r>
            <w:r>
              <w:t xml:space="preserve"> freedom of navigation in the Strait of Hormuz;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Urges Iran, the United States and Israel to reinstate a ceasefire; welcomes the efforts led by European countries to establish a coalition force to secure freedom of navigation in the Strait of Hormuz;</w:t>
            </w:r>
          </w:p>
        </w:tc>
        <w:tc>
          <w:tcPr>
            <w:tcW w:w="4876" w:type="dxa"/>
            <w:tcBorders>
              <w:top w:val="nil"/>
              <w:left w:val="nil"/>
              <w:bottom w:val="nil"/>
              <w:right w:val="nil"/>
            </w:tcBorders>
          </w:tcPr>
          <w:p>
            <w:pPr>
              <w:pStyle w:val="Normal6a"/>
            </w:pPr>
            <w:r>
              <w:t>7.</w:t>
            </w:r>
            <w:r>
              <w:tab/>
            </w:r>
            <w:r>
              <w:t>Urges Iran, the United States and Israel to reinstate a ceasefire</w:t>
            </w:r>
            <w:r>
              <w:rPr>
                <w:b/>
                <w:i/>
              </w:rPr>
              <w:t>;</w:t>
            </w:r>
            <w:r>
              <w:t xml:space="preserve"> </w:t>
            </w:r>
            <w:r>
              <w:rPr>
                <w:b/>
                <w:i/>
              </w:rPr>
              <w:t>stresses the need to take full account of the destabilising activities of Iran and its proxies when assessing threats to European and regional security</w:t>
            </w:r>
            <w:r>
              <w:t>; welcomes the efforts led by European countries to establish a coalition force to secure freedom of navigation in the Strait of Hormuz;</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Urges Iran, the United States and Israel to reinstate a ceasefire</w:t>
            </w:r>
            <w:r>
              <w:rPr>
                <w:b/>
                <w:i/>
              </w:rPr>
              <w:t>; welcomes the</w:t>
            </w:r>
            <w:r>
              <w:t xml:space="preserve"> efforts </w:t>
            </w:r>
            <w:r>
              <w:rPr>
                <w:b/>
                <w:i/>
              </w:rPr>
              <w:t>led by European countries to establish a coalition force to secure freedom of navigation in the Strait of Hormuz</w:t>
            </w:r>
            <w:r>
              <w:t>;</w:t>
            </w:r>
          </w:p>
        </w:tc>
        <w:tc>
          <w:tcPr>
            <w:tcW w:w="4876" w:type="dxa"/>
            <w:tcBorders>
              <w:top w:val="nil"/>
              <w:left w:val="nil"/>
              <w:bottom w:val="nil"/>
              <w:right w:val="nil"/>
            </w:tcBorders>
          </w:tcPr>
          <w:p>
            <w:pPr>
              <w:pStyle w:val="Normal6a"/>
            </w:pPr>
            <w:r>
              <w:t>7.</w:t>
            </w:r>
            <w:r>
              <w:tab/>
            </w:r>
            <w:r>
              <w:rPr>
                <w:b/>
                <w:i/>
              </w:rPr>
              <w:t>Firmly condemns the Iranian regime’s repression of its own population, while stressing that this cannot justify military action in violation of the UN Charter;</w:t>
            </w:r>
            <w:r>
              <w:t xml:space="preserve"> urges Iran, the United States and Israel to reinstate a </w:t>
            </w:r>
            <w:r>
              <w:rPr>
                <w:b/>
                <w:i/>
              </w:rPr>
              <w:t>lasting</w:t>
            </w:r>
            <w:r>
              <w:t xml:space="preserve"> ceasefire </w:t>
            </w:r>
            <w:r>
              <w:rPr>
                <w:b/>
                <w:i/>
              </w:rPr>
              <w:t>and calls for immediate de-escalation; calls on the EU to uphold international law and intensify its diplomatic</w:t>
            </w:r>
            <w:r>
              <w:t xml:space="preserve"> efforts </w:t>
            </w:r>
            <w:r>
              <w:rPr>
                <w:b/>
                <w:i/>
              </w:rPr>
              <w:t>to bring an end to hostilities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Urges Iran,</w:t>
            </w:r>
            <w:r>
              <w:t xml:space="preserve"> the United States and Israel </w:t>
            </w:r>
            <w:r>
              <w:rPr>
                <w:b/>
                <w:i/>
              </w:rPr>
              <w:t>to reinstate a ceasefire</w:t>
            </w:r>
            <w:r>
              <w:t>; welcomes the efforts led by European countries to establish a coalition force to secure freedom of navigation in the Strait of Hormuz;</w:t>
            </w:r>
          </w:p>
        </w:tc>
        <w:tc>
          <w:tcPr>
            <w:tcW w:w="4876" w:type="dxa"/>
            <w:tcBorders>
              <w:top w:val="nil"/>
              <w:left w:val="nil"/>
              <w:bottom w:val="nil"/>
              <w:right w:val="nil"/>
            </w:tcBorders>
          </w:tcPr>
          <w:p>
            <w:pPr>
              <w:pStyle w:val="Normal6a"/>
            </w:pPr>
            <w:r>
              <w:t>7.</w:t>
            </w:r>
            <w:r>
              <w:tab/>
            </w:r>
            <w:r>
              <w:rPr>
                <w:b/>
                <w:i/>
              </w:rPr>
              <w:t>Expresses hope for a ceasefire between Iran and</w:t>
            </w:r>
            <w:r>
              <w:t xml:space="preserve"> the United States and Israel; welcomes the efforts led by European countries to establish a coalition force to secure freedom of navigation in the Strait of Hormuz; </w:t>
            </w:r>
            <w:r>
              <w:rPr>
                <w:b/>
                <w:i/>
              </w:rPr>
              <w:t>underlines in all circumstances Israel’s inherent right to self-defence and the need to safeguard its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Urges Iran, the United States and Israel to reinstate a ceasefire; welcomes the efforts led by European countries to establish a coalition force to secure freedom of navigation in the Strait of Hormuz;</w:t>
            </w:r>
          </w:p>
        </w:tc>
        <w:tc>
          <w:tcPr>
            <w:tcW w:w="4876" w:type="dxa"/>
            <w:tcBorders>
              <w:top w:val="nil"/>
              <w:left w:val="nil"/>
              <w:bottom w:val="nil"/>
              <w:right w:val="nil"/>
            </w:tcBorders>
          </w:tcPr>
          <w:p>
            <w:pPr>
              <w:pStyle w:val="Normal6a"/>
            </w:pPr>
            <w:r>
              <w:t>7.</w:t>
            </w:r>
            <w:r>
              <w:tab/>
            </w:r>
            <w:r>
              <w:t>Urges Iran, the United States and Israel to reinstate a ceasefire; welcomes the efforts led by European countries to establish a coalition force to secure freedom of navigation in the Strait of Hormuz</w:t>
            </w:r>
            <w:r>
              <w:rPr>
                <w:b/>
                <w:i/>
              </w:rPr>
              <w:t>, upon the condition of a mutual, stable ceasefire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Stresses that the war in Iran has highlighted the risks of over-reliance on the US defence technological and industrial base, as it has led to significant delays in the delivery of US military equipment to several European customers, including for air defence systems;</w:t>
            </w:r>
            <w:r>
              <w:t xml:space="preserve"> </w:t>
            </w:r>
            <w:r>
              <w:rPr>
                <w:b/>
                <w:i/>
              </w:rPr>
              <w:t>points out that European purchases continue to be subject to the Foreign Military Sales (FMS) programme and that, as a result, European orders can be deprioritised in favour of US operational needs;</w:t>
            </w:r>
            <w:r>
              <w:t xml:space="preserve"> </w:t>
            </w:r>
            <w:r>
              <w:rPr>
                <w:b/>
                <w:i/>
              </w:rPr>
              <w:t>stresses that this risk is particularly acute for the most advanced and strategic systems, highlighting the need to develop or increase the production rate of equivalent European systems, as suggested by the Under Secretary of War for Policy, Elbridge Colby;</w:t>
            </w:r>
            <w:r>
              <w:t xml:space="preserve"> </w:t>
            </w:r>
            <w:r>
              <w:rPr>
                <w:b/>
                <w:i/>
              </w:rPr>
              <w:t>stresses that the non-duplication doctrine is incompatible with the strengthening of the European defence industry and with European allies taking responsibility for the conventional defence of the continent;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Kostas Papadakis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Paragraph 7a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 Condemns the genocide of the Palestinians by the Israeli state–occupier, the illegal occupation and settlement of Palestinian territories, as well as the occupation of Lebanese and Syrian territory; demands the rescindment of the EU-Israel Association Agreement and an end to all forms of economic, political and military cooperation between the EU and its Member States and Israel; demands an immediate end to all forms of European university cooperation with companies representing Israeli interests and with the State of Israel, whether this cooperation relates purely to military programmes or to programmes concerning so-called 'dual-use' goods and projects;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Nathalie Loiseau, Engin Eroglu,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Insists that Lebanon was dragged into the war by the irresponsible attitude of Hezbollah, which must be disarmed; calls Iran, Israel and all other regional actors to respect Lebanon’s sovereignty and territorial integrity; is deeply concerned by the suffering of Lebanese civilians who have been repeatedly displaced; firmly condemns attacks against UNIFIL, which suffered repeated casualties, and encourages efforts led by several EU Member States to ensure support to the Lebanese Armed Forces and continuity in peacekeeping in South Lebanon; calls on the international community, including the EU, to provide support to the Lebanese army;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Strongly disagrees with President Trump’s accusations that Ukraine is to blame for the sharp rise in global fuel prices, and reiterates its support for Ukraine’s right to defend itself, including by weakening Russia’s ability to fund and wage its war of aggression by destroying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Expresses concern about the growing military presence of Houthi forces along the Red Sea coast of Yemen, threatening freedom of navigation in the Bab al-Mandab Strait and placing further strain on global supply chains and energy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Calls for an assessment of whether the EU’s contribution to maritime security in the Strait of Hormuz and the wider Gulf should be brought under an appropriate Common Security and Defence Policy (CSDP) framework, ensuring a clear EU chain of command, sustainable common financing and effective coordination with Member States, NATO and other partners; stresses that the growing risk of conflict spillover in the Middle East requires a coherent and sustainable European approach rather than reliance solely on ad hoc coalitions; in this context, calls for the strengthening and, where necessary, further extension of Operation ASPIDES, while ensuring that its mandate, resources and capabilities remain commensurate with the evolving threat;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Notes that EUNAVFOR ASPIDES has successfully neutralised unmanned aerial and surface vessels and ballistic missiles while protecting over 1,640 merchant vessels; calls for these lessons learned to be systematically shared with all CSDP missions and operations and incorporated into training;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Regrets</w:t>
            </w:r>
            <w:r>
              <w:t xml:space="preserve"> the withdrawal of US </w:t>
            </w:r>
            <w:r>
              <w:rPr>
                <w:b/>
                <w:i/>
              </w:rPr>
              <w:t>troops</w:t>
            </w:r>
            <w:r>
              <w:t xml:space="preserve"> from Syria and Iraq; calls </w:t>
            </w:r>
            <w:r>
              <w:rPr>
                <w:b/>
                <w:i/>
              </w:rPr>
              <w:t>for</w:t>
            </w:r>
            <w:r>
              <w:t xml:space="preserve"> the EU, its Member States and like-minded countries to step up their </w:t>
            </w:r>
            <w:r>
              <w:rPr>
                <w:b/>
                <w:i/>
              </w:rPr>
              <w:t>efforts to combat any resurgence</w:t>
            </w:r>
            <w:r>
              <w:t xml:space="preserve"> of Daesh;</w:t>
            </w:r>
          </w:p>
        </w:tc>
        <w:tc>
          <w:tcPr>
            <w:tcW w:w="4876" w:type="dxa"/>
            <w:tcBorders>
              <w:top w:val="nil"/>
              <w:left w:val="nil"/>
              <w:bottom w:val="nil"/>
              <w:right w:val="nil"/>
            </w:tcBorders>
          </w:tcPr>
          <w:p>
            <w:pPr>
              <w:pStyle w:val="Normal6a"/>
            </w:pPr>
            <w:r>
              <w:t>8.</w:t>
            </w:r>
            <w:r>
              <w:tab/>
            </w:r>
            <w:r>
              <w:rPr>
                <w:b/>
                <w:i/>
              </w:rPr>
              <w:t>Takes note of the completion in 2026 of</w:t>
            </w:r>
            <w:r>
              <w:t xml:space="preserve"> the withdrawal of US </w:t>
            </w:r>
            <w:r>
              <w:rPr>
                <w:b/>
                <w:i/>
              </w:rPr>
              <w:t>forces</w:t>
            </w:r>
            <w:r>
              <w:t xml:space="preserve"> from Syria and Iraq</w:t>
            </w:r>
            <w:r>
              <w:rPr>
                <w:b/>
                <w:i/>
              </w:rPr>
              <w:t>, which marks the transition to nationally led security; welcomes Syria's accession in November 2025 to the Global Coalition to Defeat Daesh; underlines that preventing any resurgence of Daesh now primarily relies on the capacity of the Iraqi and Syrian authorities and of their partners</w:t>
            </w:r>
            <w:r>
              <w:t xml:space="preserve">; calls </w:t>
            </w:r>
            <w:r>
              <w:rPr>
                <w:b/>
                <w:i/>
              </w:rPr>
              <w:t>on</w:t>
            </w:r>
            <w:r>
              <w:t xml:space="preserve"> the EU, its Member States and like-minded countries to step up their </w:t>
            </w:r>
            <w:r>
              <w:rPr>
                <w:b/>
                <w:i/>
              </w:rPr>
              <w:t>support in this regard, including through a reinforced EU Advisory Mission in Iraq and support for the secure detention and prosecution</w:t>
            </w:r>
            <w:r>
              <w:t xml:space="preserve"> of Daesh </w:t>
            </w:r>
            <w:r>
              <w:rPr>
                <w:b/>
                <w:i/>
              </w:rPr>
              <w:t>fighters transferred from north-eastern Syria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Regrets the withdrawal of US troops from Syria and Iraq; calls for the EU, its Member States and like-minded countries to step up their efforts to combat any resurgence of Daesh;</w:t>
            </w:r>
          </w:p>
        </w:tc>
        <w:tc>
          <w:tcPr>
            <w:tcW w:w="4876" w:type="dxa"/>
            <w:tcBorders>
              <w:top w:val="nil"/>
              <w:left w:val="nil"/>
              <w:bottom w:val="nil"/>
              <w:right w:val="nil"/>
            </w:tcBorders>
          </w:tcPr>
          <w:p>
            <w:pPr>
              <w:pStyle w:val="Normal6a"/>
            </w:pPr>
            <w:r>
              <w:t>8.</w:t>
            </w:r>
            <w:r>
              <w:tab/>
            </w:r>
            <w:r>
              <w:t>Regrets the withdrawal of US troops from Syria and Iraq; calls for the EU, its Member States and like-minded countries to step up their efforts to combat any resurgence of Daesh</w:t>
            </w:r>
            <w:r>
              <w:rPr>
                <w:b/>
                <w:i/>
              </w:rPr>
              <w:t>, which threatens the security and stability of Syria, the region and Europe</w:t>
            </w:r>
            <w:r>
              <w:t xml:space="preserve">; </w:t>
            </w:r>
            <w:r>
              <w:rPr>
                <w:b/>
                <w:i/>
              </w:rPr>
              <w:t>welcomes the Syrian Government’s renewed commitment to countering terrorism within the framework of the Global Coalition against Daesh; urges the authorities to close military and intelligence coordination and cooperation with European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Regrets the withdrawal of US troops from Syria and Iraq; calls for the EU, its Member States and like-minded countries to step up their efforts to combat any resurgence of Daesh;</w:t>
            </w:r>
          </w:p>
        </w:tc>
        <w:tc>
          <w:tcPr>
            <w:tcW w:w="4876" w:type="dxa"/>
            <w:tcBorders>
              <w:top w:val="nil"/>
              <w:left w:val="nil"/>
              <w:bottom w:val="nil"/>
              <w:right w:val="nil"/>
            </w:tcBorders>
          </w:tcPr>
          <w:p>
            <w:pPr>
              <w:pStyle w:val="Normal6a"/>
            </w:pPr>
            <w:r>
              <w:t>8.</w:t>
            </w:r>
            <w:r>
              <w:tab/>
            </w:r>
            <w:r>
              <w:t xml:space="preserve">Regrets the withdrawal of US troops from Syria and Iraq; calls for the EU, its Member States and like-minded countries to step up their efforts to combat any resurgence of Daesh; </w:t>
            </w:r>
            <w:r>
              <w:rPr>
                <w:b/>
                <w:i/>
              </w:rPr>
              <w:t>stresses the urgent need for a sustainable international solution for the management of Daesh detainees in Syria, whose continued detention in fragile conditions represents a serious security risk for Syria, the region and Europe, as well as a humanitarian challenge;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Regrets</w:t>
            </w:r>
            <w:r>
              <w:t xml:space="preserve"> the withdrawal of US troops from Syria and Iraq; calls for the EU, its Member States and like-minded countries to step up their efforts to combat any resurgence of Daesh;</w:t>
            </w:r>
          </w:p>
        </w:tc>
        <w:tc>
          <w:tcPr>
            <w:tcW w:w="4876" w:type="dxa"/>
            <w:tcBorders>
              <w:top w:val="nil"/>
              <w:left w:val="nil"/>
              <w:bottom w:val="nil"/>
              <w:right w:val="nil"/>
            </w:tcBorders>
          </w:tcPr>
          <w:p>
            <w:pPr>
              <w:pStyle w:val="Normal6a"/>
            </w:pPr>
            <w:r>
              <w:t>8.</w:t>
            </w:r>
            <w:r>
              <w:tab/>
            </w:r>
            <w:r>
              <w:rPr>
                <w:b/>
                <w:i/>
              </w:rPr>
              <w:t>Takes note of</w:t>
            </w:r>
            <w:r>
              <w:t xml:space="preserve"> the withdrawal of US troops from Syria and Iraq; calls for the EU, its Member States and like-minded countries to step up their efforts to combat any resurgence of Daesh; </w:t>
            </w:r>
            <w:r>
              <w:rPr>
                <w:b/>
                <w:i/>
              </w:rPr>
              <w:t>points out that the de facto Syrian authorities are themselves from armed branches of radical Islam and fought with the aim of strictly implementing Sharia law in Syria;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Regrets</w:t>
            </w:r>
            <w:r>
              <w:t xml:space="preserve"> the withdrawal of US troops from Syria and Iraq; calls for the EU, its Member States and like-minded countries to step up their efforts to combat any resurgence of Daesh;</w:t>
            </w:r>
          </w:p>
        </w:tc>
        <w:tc>
          <w:tcPr>
            <w:tcW w:w="4876" w:type="dxa"/>
            <w:tcBorders>
              <w:top w:val="nil"/>
              <w:left w:val="nil"/>
              <w:bottom w:val="nil"/>
              <w:right w:val="nil"/>
            </w:tcBorders>
          </w:tcPr>
          <w:p>
            <w:pPr>
              <w:pStyle w:val="Normal6a"/>
            </w:pPr>
            <w:r>
              <w:t>8.</w:t>
            </w:r>
            <w:r>
              <w:tab/>
            </w:r>
            <w:r>
              <w:rPr>
                <w:b/>
                <w:i/>
              </w:rPr>
              <w:t>Notes</w:t>
            </w:r>
            <w:r>
              <w:t xml:space="preserve"> the withdrawal of US troops from Syria and Iraq</w:t>
            </w:r>
            <w:r>
              <w:rPr>
                <w:b/>
                <w:i/>
              </w:rPr>
              <w:t>; stresses the importance of continued transatlantic cooperation in countering terrorism</w:t>
            </w:r>
            <w:r>
              <w:t>; calls for the EU, its Member States and like-minded countries to step up their efforts to combat any resurgence of Daesh;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Regrets Türkiye’s overall destabilising role, including hybrid attacks, in many areas of concern for the EU and in its neighbourhoods (such as in the Eastern Mediterranean, Middle East and South Caucasus and its role in conflicts, including military interventions, in Syria, Iraq and Libya) which threatens regional peace, security and stability; regrets Türkiye’s non alignment with EU’s CFSP, including the fact that it undermines the effectiveness of EU sanctions against Russia; deplores that Türkiye continues to illegally occupy EU territory in the Republic of Cyprus, to retain the "casus belli" threat against Greece and to promote the so called “Blue Homeland doctrine”, also by integrating it into Turkish law, as well as to violate international law, including UNCLOS and the sovereign rights of EU Member States, in particular Greece and Cyprus, in the Eastern Mediterranean; reiterates its condemnation of the signature of the memoranda of understanding between Türkiye and Libya on comprehensive security and military cooperation and on the delimitation of maritime zones, which are interconnected and are clear violations of international law, the relevant UN Security Council resolutions and the sovereign rights of EU Member States; strongly condemns Türkiye’s illegal activities in Cyprus, including the violation of the status of the buffer zone, crimes under the jurisdiction of the International Criminal Court, the increasing militarisation of the occupied areas of the Republic of Cyprus as well its efforts to upgrade the secessionist entity in the occupied area of Cyprus against international law that are not conducive to the resumption of the UN-led negotiations; notes that Türkiye is increasingly present in areas where the EU has key security interests and CSDP missions, undermining EU interests and missions in these areas; calls on Member States to fully comply with Common Position 2008/944/CFSP in relation to Türkiye, including the strict application of criterion 4 on regional stability and criterion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Regrets that the EU's CSDP presence in the central Sahel has been reduced to a single civilian mission since 2024; calls on the HR/VP to present an integrated security strategy for the Sahel and coastal West Africa; calls for the EU Security and Defence Initiative in the Gulf of Guinea to be established on a stable multiannual basis;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concerns about the worsening instability across West and Central Africa; is alarmed that Africa has become a hotspot of jihadist violence;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 xml:space="preserve">Reiterates its concerns about the worsening instability across West and Central Africa; is alarmed that Africa has become a hotspot of jihadist violence; reiterates its concern about the spread of jihadist violence from the Sahel to Mozambique and Somalia; </w:t>
            </w:r>
            <w:r>
              <w:rPr>
                <w:b/>
                <w:i/>
              </w:rPr>
              <w:t>stresses that external and internal security threats against the EU are increasingly interconnected, including through the activities of terrorist and violent extremist organisations, foreign interference, radicalisation and transnational networks; calls on the EU and its Member States to strengthen cooperation between external security, counter-terrorism, law-enforcement and intelligence authorities, including with regard to organisations and networks promoting or facilitating violent Islamist extremism;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concerns about the worsening instability across West and Central Africa; is alarmed that Africa has become a hotspot of jihadist violence;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 xml:space="preserve">Reiterates its concerns about the worsening instability across West and Central Africa; is alarmed that Africa has become a hotspot of jihadist violence; reiterates its concern about the spread of jihadist violence from the Sahel to Mozambique and Somalia; </w:t>
            </w:r>
            <w:r>
              <w:rPr>
                <w:b/>
                <w:i/>
              </w:rPr>
              <w:t>notes with alarm its extension into the northern regions of coastal West African states, in particular Benin and Togo; Expresses its concern about the recent resurgence of violence and tensions in Ethiopia's Tigray region and stresses that renewed conflict in Ethiopia would further destabilise the Horn of Africa and the Red Sea, where the Union deploys several CSDP missions and operations; strongly condemns any efforts by external actors of further destabilising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concerns about the worsening instability across West and Central Africa; is alarmed that Africa has become a hotspot of jihadist violence;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 xml:space="preserve">Reiterates its concerns about the worsening instability across West and Central Africa; is alarmed that Africa has become a hotspot of jihadist violence; reiterates its concern about the spread of jihadist violence from the Sahel to Mozambique and Somalia; </w:t>
            </w:r>
            <w:r>
              <w:rPr>
                <w:b/>
                <w:i/>
              </w:rPr>
              <w:t>condemns the activities of the Africa Corps, the successor to the Wagner Group, and Russia’s destabilising actions in the Sahel;</w:t>
            </w:r>
            <w:r>
              <w:t xml:space="preserve"> </w:t>
            </w:r>
            <w:r>
              <w:rPr>
                <w:b/>
                <w:i/>
              </w:rPr>
              <w:t>denounces the anti-French rhetoric used by Moscow to delegitimise the presence in the region of the French armed forces involved in counter-terrorism operations, as well as to push for the withdrawal of those armed forces;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concerns about the worsening instability across West and Central Africa; is alarmed that Africa has become a hotspot of jihadist violence;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 xml:space="preserve">Reiterates its concerns about the worsening instability across West and Central Africa; is alarmed that Africa has become a hotspot of jihadist violence; reiterates its concern about the spread of jihadist violence from the Sahel to Mozambique and Somalia; </w:t>
            </w:r>
            <w:r>
              <w:rPr>
                <w:b/>
                <w:i/>
              </w:rPr>
              <w:t>points out that this instability is one of the chronic causes of emigration from the African continent, particularly to the European continent;</w:t>
            </w:r>
            <w:r>
              <w:t xml:space="preserve"> </w:t>
            </w:r>
            <w:r>
              <w:rPr>
                <w:b/>
                <w:i/>
              </w:rPr>
              <w:t>calls for closer cooperation with African states in order to reverse migration flows between the two continents;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concerns about the worsening instability across West and Central Africa; is alarmed that Africa has become a hotspot of jihadist violence;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 xml:space="preserve">Reiterates its concerns about the worsening instability across West and Central Africa; is alarmed that Africa has become a hotspot of jihadist violence; reiterates its concern about the spread of jihadist violence from the Sahel to Mozambique and Somalia; </w:t>
            </w:r>
            <w:r>
              <w:rPr>
                <w:b/>
                <w:i/>
              </w:rPr>
              <w:t>deplores that the Africa Corps has become the juntas’ main security partner, extending Moscow’s malign influence and failing to curtail the terrorist threat;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concerns about the worsening instability across West and Central Africa; is alarmed that Africa has become a hotspot of jihadist violence;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 xml:space="preserve">Reiterates its concerns about the worsening instability across West and Central Africa; is alarmed that Africa has become a hotspot of jihadist violence; reiterates its concern about the spread of jihadist violence from the Sahel to Mozambique and Somalia; </w:t>
            </w:r>
            <w:r>
              <w:rPr>
                <w:b/>
                <w:i/>
              </w:rPr>
              <w:t>condemns the destabilising activities of Russia and Russia-controlled forces in the region and their involvement in serious human rights violations;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Reiterates its concerns about the worsening instability across West and Central Africa;</w:t>
            </w:r>
            <w:r>
              <w:t xml:space="preserve"> is alarmed that Africa has become a hotspot of jihadist violence;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 xml:space="preserve">Is alarmed that Africa has become a hotspot of jihadist violence; reiterates its concern about the spread of jihadist violence from the Sahel to Mozambique and Somalia; </w:t>
            </w:r>
            <w:r>
              <w:rPr>
                <w:b/>
                <w:i/>
              </w:rPr>
              <w:t>stresses that Islamist terrorism poses an enduring threat to the security of European states and their citizens, and calls for closer cooperation between European states in tackling Islamist terrorist organisations and their networks;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concerns about the worsening instability across West and Central Africa</w:t>
            </w:r>
            <w:r>
              <w:rPr>
                <w:b/>
                <w:i/>
              </w:rPr>
              <w:t>; is alarmed that Africa has become a hotspot of jihadist violence</w:t>
            </w:r>
            <w:r>
              <w:t>; reiterates its concern about the spread of jihadist violence from the Sahel to Mozambique and Somalia;</w:t>
            </w:r>
          </w:p>
        </w:tc>
        <w:tc>
          <w:tcPr>
            <w:tcW w:w="4876" w:type="dxa"/>
            <w:tcBorders>
              <w:top w:val="nil"/>
              <w:left w:val="nil"/>
              <w:bottom w:val="nil"/>
              <w:right w:val="nil"/>
            </w:tcBorders>
          </w:tcPr>
          <w:p>
            <w:pPr>
              <w:pStyle w:val="Normal6a"/>
            </w:pPr>
            <w:r>
              <w:t>9.</w:t>
            </w:r>
            <w:r>
              <w:tab/>
            </w:r>
            <w:r>
              <w:t>Reiterates its concerns about the worsening instability across West and Central Africa; reiterates its concern about the spread of jihadist violence from the Sahel to Mozambique and Somalia;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Highlights that the Mediterranean region is increasingly exposed to a broad and growing range of hybrid security threats, including those affecting maritime security and the resilience of critical maritime and subsea infrastructure, in a regional context further aggravated by persistent crises and instability in the Middle East, geopolitical tensions and evolving threats along NATO’s Southern Flank; stresses that the stability of the Mediterranean is closely interconnected with that of North Africa, the Middle East and the Sahel, and that instability, terrorism, strategic competition, illegal migration and other cross-border challenges can have direct repercussions for the security of the European Union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Adam Bielan, Alexandr Vondra,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p>
        </w:tc>
        <w:tc>
          <w:tcPr>
            <w:tcW w:w="4876" w:type="dxa"/>
            <w:tcBorders>
              <w:top w:val="nil"/>
              <w:left w:val="nil"/>
              <w:bottom w:val="nil"/>
              <w:right w:val="nil"/>
            </w:tcBorders>
          </w:tcPr>
          <w:p>
            <w:pPr>
              <w:pStyle w:val="Normal6a"/>
            </w:pPr>
            <w:r>
              <w:t>10.</w:t>
            </w:r>
            <w:r>
              <w:tab/>
            </w:r>
            <w:r>
              <w:t>Is concerned by China’s accelerated militarisation</w:t>
            </w:r>
            <w:r>
              <w:rPr>
                <w:b/>
                <w:i/>
              </w:rPr>
              <w:t>, its increasingly coercive behaviour in the East and South China Seas</w:t>
            </w:r>
            <w:r>
              <w:t xml:space="preserve"> and repeated episodes of tensions with some of its neighbours</w:t>
            </w:r>
            <w:r>
              <w:rPr>
                <w:b/>
                <w:i/>
              </w:rPr>
              <w:t>, including Japan and the Philippines</w:t>
            </w:r>
            <w:r>
              <w:t xml:space="preserve">; </w:t>
            </w:r>
            <w:r>
              <w:rPr>
                <w:b/>
                <w:i/>
              </w:rPr>
              <w:t>is particularly alarmed by the repeated large-scale military exercises conducted by China around Taiwan; emphasises the importance of preserving peace and stability across the Taiwan Strait, as well as freedom of navigation and maritime security in a waterway vital to global trade and to the EU’s economic security; firmly opposes any unilateral attempt to change the status quo by force or coercion; welcomes the freedom of navigation transits conducted by Member States’ navies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Is concerned by China’s accelerated </w:t>
            </w:r>
            <w:r>
              <w:rPr>
                <w:b/>
                <w:i/>
              </w:rPr>
              <w:t>militarisation and repeated episodes of tensions with some of</w:t>
            </w:r>
            <w:r>
              <w:t xml:space="preserve"> its neighbours;</w:t>
            </w:r>
          </w:p>
        </w:tc>
        <w:tc>
          <w:tcPr>
            <w:tcW w:w="4876" w:type="dxa"/>
            <w:tcBorders>
              <w:top w:val="nil"/>
              <w:left w:val="nil"/>
              <w:bottom w:val="nil"/>
              <w:right w:val="nil"/>
            </w:tcBorders>
          </w:tcPr>
          <w:p>
            <w:pPr>
              <w:pStyle w:val="Normal6a"/>
            </w:pPr>
            <w:r>
              <w:t>10.</w:t>
            </w:r>
            <w:r>
              <w:tab/>
            </w:r>
            <w:r>
              <w:t xml:space="preserve">Is </w:t>
            </w:r>
            <w:r>
              <w:rPr>
                <w:b/>
                <w:i/>
              </w:rPr>
              <w:t>deeply</w:t>
            </w:r>
            <w:r>
              <w:t xml:space="preserve"> concerned by China’s accelerated </w:t>
            </w:r>
            <w:r>
              <w:rPr>
                <w:b/>
                <w:i/>
              </w:rPr>
              <w:t>military build-up, increasing military pressure around Taiwan, coercive activities in the East and South China Seas and the use of military, economic, and other forms of pressure against</w:t>
            </w:r>
            <w:r>
              <w:t xml:space="preserve"> its neighbours; </w:t>
            </w:r>
            <w:r>
              <w:rPr>
                <w:b/>
                <w:i/>
              </w:rPr>
              <w:t>stresses that peace and stability across the Taiwan Strait is of great strategic importance to European and global security and economic stability; opposes any unilateral attempt to change the status quo across the Taiwan Strait by force or coercion; calls on China to refrain from actions that increase tensions and to respect international law and freedom of navigation;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Is concerned by China’s accelerated militarisation and </w:t>
            </w:r>
            <w:r>
              <w:rPr>
                <w:b/>
                <w:i/>
              </w:rPr>
              <w:t>repeated episodes of tensions with some of</w:t>
            </w:r>
            <w:r>
              <w:t xml:space="preserve"> its neighbours;</w:t>
            </w:r>
          </w:p>
        </w:tc>
        <w:tc>
          <w:tcPr>
            <w:tcW w:w="4876" w:type="dxa"/>
            <w:tcBorders>
              <w:top w:val="nil"/>
              <w:left w:val="nil"/>
              <w:bottom w:val="nil"/>
              <w:right w:val="nil"/>
            </w:tcBorders>
          </w:tcPr>
          <w:p>
            <w:pPr>
              <w:pStyle w:val="Normal6a"/>
            </w:pPr>
            <w:r>
              <w:t>10.</w:t>
            </w:r>
            <w:r>
              <w:tab/>
            </w:r>
            <w:r>
              <w:t xml:space="preserve">Is concerned by China's accelerated militarisation and </w:t>
            </w:r>
            <w:r>
              <w:rPr>
                <w:b/>
                <w:i/>
              </w:rPr>
              <w:t>its assertive posture towards</w:t>
            </w:r>
            <w:r>
              <w:t xml:space="preserve"> its neighbours; </w:t>
            </w:r>
            <w:r>
              <w:rPr>
                <w:b/>
                <w:i/>
              </w:rPr>
              <w:t>is deeply concerned by China's military pressure and grey-zone operations against Taiwan; stresses that any escalation in the Taiwan Strait would have serious consequences for Europe's security and supply chains; opposes any unilateral change to the status quo by force or coercion; calls, within the EU's One China policy, for closer exchanges with Taiwan on countering hybrid threats and disinformation;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Is concerned by China’s accelerated militarisation and </w:t>
            </w:r>
            <w:r>
              <w:rPr>
                <w:b/>
                <w:i/>
              </w:rPr>
              <w:t>repeated episodes of</w:t>
            </w:r>
            <w:r>
              <w:t xml:space="preserve"> tensions with </w:t>
            </w:r>
            <w:r>
              <w:rPr>
                <w:b/>
                <w:i/>
              </w:rPr>
              <w:t>some of its</w:t>
            </w:r>
            <w:r>
              <w:t xml:space="preserve"> neighbours;</w:t>
            </w:r>
          </w:p>
        </w:tc>
        <w:tc>
          <w:tcPr>
            <w:tcW w:w="4876" w:type="dxa"/>
            <w:tcBorders>
              <w:top w:val="nil"/>
              <w:left w:val="nil"/>
              <w:bottom w:val="nil"/>
              <w:right w:val="nil"/>
            </w:tcBorders>
          </w:tcPr>
          <w:p>
            <w:pPr>
              <w:pStyle w:val="Normal6a"/>
            </w:pPr>
            <w:r>
              <w:t>10.</w:t>
            </w:r>
            <w:r>
              <w:tab/>
            </w:r>
            <w:r>
              <w:t xml:space="preserve">Is concerned by China's accelerated militarisation and </w:t>
            </w:r>
            <w:r>
              <w:rPr>
                <w:b/>
                <w:i/>
              </w:rPr>
              <w:t>its growing</w:t>
            </w:r>
            <w:r>
              <w:t xml:space="preserve"> tensions with neighbours; </w:t>
            </w:r>
            <w:r>
              <w:rPr>
                <w:b/>
                <w:i/>
              </w:rPr>
              <w:t>condemns China's economic, industrial and technological support to Russia's war machine, including the supply of dual-use goods; deplores the deepening military cooperation between Russia, Iran and North Korea; calls on the Council to make full use of sanctions against entities in third countries that evade restrictive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Is concerned by China’s </w:t>
            </w:r>
            <w:r>
              <w:rPr>
                <w:b/>
                <w:i/>
              </w:rPr>
              <w:t>accelerated</w:t>
            </w:r>
            <w:r>
              <w:t xml:space="preserve"> militarisation and repeated episodes of tensions with some of its neighbours;</w:t>
            </w:r>
          </w:p>
        </w:tc>
        <w:tc>
          <w:tcPr>
            <w:tcW w:w="4876" w:type="dxa"/>
            <w:tcBorders>
              <w:top w:val="nil"/>
              <w:left w:val="nil"/>
              <w:bottom w:val="nil"/>
              <w:right w:val="nil"/>
            </w:tcBorders>
          </w:tcPr>
          <w:p>
            <w:pPr>
              <w:pStyle w:val="Normal6a"/>
            </w:pPr>
            <w:r>
              <w:t>10.</w:t>
            </w:r>
            <w:r>
              <w:tab/>
            </w:r>
            <w:r>
              <w:t xml:space="preserve">Is concerned by China’s </w:t>
            </w:r>
            <w:r>
              <w:rPr>
                <w:b/>
                <w:i/>
              </w:rPr>
              <w:t>unprecedented</w:t>
            </w:r>
            <w:r>
              <w:t xml:space="preserve"> militarisation and repeated episodes of tensions with some of its neighbours; </w:t>
            </w:r>
            <w:r>
              <w:rPr>
                <w:b/>
                <w:i/>
              </w:rPr>
              <w:t>is particularly concerned about the growing risk of escalation in the Taiwan Strait; urges the Commission to develop contingency planning and mitigation measures for likely escalation scenarios such as an economic blockade of Taiwan by the People's Republic of China (PRC);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p>
        </w:tc>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r>
              <w:rPr>
                <w:b/>
                <w:i/>
              </w:rPr>
              <w:t>, including expressions of ambition to unilaterally change the status quo in the South China Sea and the Taiwan Strait</w:t>
            </w:r>
            <w:r>
              <w:t xml:space="preserve">; </w:t>
            </w:r>
            <w:r>
              <w:rPr>
                <w:b/>
                <w:i/>
              </w:rPr>
              <w:t>is especially worried by the Justice Mission-2025 blockade exercise of December 2025, with live-fire missiles landing in Taiwan’s contiguous zone; reiterates that such actions risk undermining freedom of navigation and that China’s refusal to exclude military coercion to advance its ambitions towards Taiwan poses a serious threat; denounces China’s support to sustaining Russian military industrial base and its role in Russia’s war against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p>
        </w:tc>
        <w:tc>
          <w:tcPr>
            <w:tcW w:w="4876" w:type="dxa"/>
            <w:tcBorders>
              <w:top w:val="nil"/>
              <w:left w:val="nil"/>
              <w:bottom w:val="nil"/>
              <w:right w:val="nil"/>
            </w:tcBorders>
          </w:tcPr>
          <w:p>
            <w:pPr>
              <w:pStyle w:val="Normal6a"/>
            </w:pPr>
            <w:r>
              <w:t>10.</w:t>
            </w:r>
            <w:r>
              <w:tab/>
            </w:r>
            <w:r>
              <w:t xml:space="preserve">Is concerned by China’s accelerated militarisation and repeated episodes of tensions with some of its neighbours; </w:t>
            </w:r>
            <w:r>
              <w:rPr>
                <w:b/>
                <w:i/>
              </w:rPr>
              <w:t>its destabilising nuclear-capable missiles tests in the Pacific, and its coast guard activities in the Taiwan Strait, South China Sea and East China Sea, including attempts to assert so-called law-enforcement jurisdiction in disputed waters and coercive actions; stresses that such coordinated military, coast guard and other grey-zone activities, alongside economic coercion and hybrid warfare tactics, heighten the risk of miscalculation and escalation and undermine peace and stability across the Taiwan Strait and the wider Indo-Pacific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p>
        </w:tc>
        <w:tc>
          <w:tcPr>
            <w:tcW w:w="4876" w:type="dxa"/>
            <w:tcBorders>
              <w:top w:val="nil"/>
              <w:left w:val="nil"/>
              <w:bottom w:val="nil"/>
              <w:right w:val="nil"/>
            </w:tcBorders>
          </w:tcPr>
          <w:p>
            <w:pPr>
              <w:pStyle w:val="Normal6a"/>
            </w:pPr>
            <w:r>
              <w:t>10.</w:t>
            </w:r>
            <w:r>
              <w:tab/>
            </w:r>
            <w:r>
              <w:t xml:space="preserve">Is concerned by China’s accelerated militarisation and repeated episodes of tensions with some of its neighbours; </w:t>
            </w:r>
            <w:r>
              <w:rPr>
                <w:b/>
                <w:i/>
              </w:rPr>
              <w:t>highlights the importance of stability in the South China Sea for the Union’s economy and in light of our growing partnership with the members of ASEAN; expresses concern about the increased Chinese presence in the Arctic and the deepening military-technical cooperation between Russia and China; calls for measures against Chinese entities supporting Russia’s war effort;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p>
        </w:tc>
        <w:tc>
          <w:tcPr>
            <w:tcW w:w="4876" w:type="dxa"/>
            <w:tcBorders>
              <w:top w:val="nil"/>
              <w:left w:val="nil"/>
              <w:bottom w:val="nil"/>
              <w:right w:val="nil"/>
            </w:tcBorders>
          </w:tcPr>
          <w:p>
            <w:pPr>
              <w:pStyle w:val="Normal6a"/>
            </w:pPr>
            <w:r>
              <w:t>10.</w:t>
            </w:r>
            <w:r>
              <w:tab/>
            </w:r>
            <w:r>
              <w:t xml:space="preserve">Is concerned by China’s accelerated militarisation and repeated episodes of tensions with some of its neighbours; </w:t>
            </w:r>
            <w:r>
              <w:rPr>
                <w:b/>
                <w:i/>
              </w:rPr>
              <w:t>highlights, also, the risks arising from Europe’s critical dependencies on China, particularly in the technological, industrial, digital, semiconductor and critical raw materials sectors, as well as from the use of economic and technological power as an instrument of coercion;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p>
        </w:tc>
        <w:tc>
          <w:tcPr>
            <w:tcW w:w="4876" w:type="dxa"/>
            <w:tcBorders>
              <w:top w:val="nil"/>
              <w:left w:val="nil"/>
              <w:bottom w:val="nil"/>
              <w:right w:val="nil"/>
            </w:tcBorders>
          </w:tcPr>
          <w:p>
            <w:pPr>
              <w:pStyle w:val="Normal6a"/>
            </w:pPr>
            <w:r>
              <w:t>10.</w:t>
            </w:r>
            <w:r>
              <w:tab/>
            </w:r>
            <w:r>
              <w:t xml:space="preserve">Is concerned by China’s accelerated militarisation and repeated episodes of tensions with some of its neighbours; </w:t>
            </w:r>
            <w:r>
              <w:rPr>
                <w:b/>
                <w:i/>
              </w:rPr>
              <w:t>notes with concern China’s construction and militarisation of artificial islands in the South China Sea and actions aimed at advancing unlawful maritime claims and undermining freedom of navigation; stresses the need to uphold international law, in particular UNCLOS, and to resolve maritime disputes peacefully;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concerned by China’s accelerated militarisation and repeated episodes of tensions with some of its neighbours;</w:t>
            </w:r>
          </w:p>
        </w:tc>
        <w:tc>
          <w:tcPr>
            <w:tcW w:w="4876" w:type="dxa"/>
            <w:tcBorders>
              <w:top w:val="nil"/>
              <w:left w:val="nil"/>
              <w:bottom w:val="nil"/>
              <w:right w:val="nil"/>
            </w:tcBorders>
          </w:tcPr>
          <w:p>
            <w:pPr>
              <w:pStyle w:val="Normal6a"/>
            </w:pPr>
            <w:r>
              <w:t>10.</w:t>
            </w:r>
            <w:r>
              <w:tab/>
            </w:r>
            <w:r>
              <w:t xml:space="preserve">Is concerned by China’s accelerated militarisation and repeated episodes of tensions with some of its neighbours; </w:t>
            </w:r>
            <w:r>
              <w:rPr>
                <w:b/>
                <w:i/>
              </w:rPr>
              <w:t>notes with growing concern the continued pressure on freedom of navigation and critical infrastructure in the South China Sea and the Taiwan Strait; strongly rejects any unilateral change to the status quo in the Taiwan Strait, particularly through the use of force or coercion;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Is concerned by China’s accelerated militarisation </w:t>
            </w:r>
            <w:r>
              <w:rPr>
                <w:b/>
                <w:i/>
              </w:rPr>
              <w:t>and</w:t>
            </w:r>
            <w:r>
              <w:t xml:space="preserve"> repeated episodes of tensions with some of its neighbours;</w:t>
            </w:r>
          </w:p>
        </w:tc>
        <w:tc>
          <w:tcPr>
            <w:tcW w:w="4876" w:type="dxa"/>
            <w:tcBorders>
              <w:top w:val="nil"/>
              <w:left w:val="nil"/>
              <w:bottom w:val="nil"/>
              <w:right w:val="nil"/>
            </w:tcBorders>
          </w:tcPr>
          <w:p>
            <w:pPr>
              <w:pStyle w:val="Normal6a"/>
            </w:pPr>
            <w:r>
              <w:t>10.</w:t>
            </w:r>
            <w:r>
              <w:tab/>
            </w:r>
            <w:r>
              <w:t>Is concerned by China’s accelerated militarisation</w:t>
            </w:r>
            <w:r>
              <w:rPr>
                <w:b/>
                <w:i/>
              </w:rPr>
              <w:t>, including its increasing military activities and development of military capabilities in outer space, and by</w:t>
            </w:r>
            <w:r>
              <w:t xml:space="preserve"> repeated episodes of tensions with some of its neighbours;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Is concerned by China’s accelerated militarisation </w:t>
            </w:r>
            <w:r>
              <w:rPr>
                <w:b/>
                <w:i/>
              </w:rPr>
              <w:t>and</w:t>
            </w:r>
            <w:r>
              <w:t xml:space="preserve"> repeated episodes of tensions with some of its neighbours;</w:t>
            </w:r>
          </w:p>
        </w:tc>
        <w:tc>
          <w:tcPr>
            <w:tcW w:w="4876" w:type="dxa"/>
            <w:tcBorders>
              <w:top w:val="nil"/>
              <w:left w:val="nil"/>
              <w:bottom w:val="nil"/>
              <w:right w:val="nil"/>
            </w:tcBorders>
          </w:tcPr>
          <w:p>
            <w:pPr>
              <w:pStyle w:val="Normal6a"/>
            </w:pPr>
            <w:r>
              <w:t>10.</w:t>
            </w:r>
            <w:r>
              <w:tab/>
            </w:r>
            <w:r>
              <w:t>Is concerned by China’s accelerated militarisation</w:t>
            </w:r>
            <w:r>
              <w:rPr>
                <w:b/>
                <w:i/>
              </w:rPr>
              <w:t>,</w:t>
            </w:r>
            <w:r>
              <w:t xml:space="preserve"> repeated episodes of tensions with some of its neighbours </w:t>
            </w:r>
            <w:r>
              <w:rPr>
                <w:b/>
                <w:i/>
              </w:rPr>
              <w:t>and continued support to Russia in its war of aggression against Ukraine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Notes with concern the security and defence implications for the Union of China’s Military-Civil Fusion (MCF) strategy; stresses that dependencies on China for critical raw materials, components and technologies relevant to defence, as well as the involvement of entities linked to China’s political-military or intelligence systems in strategic assets, can create vulnerabilities for European defence readiness, security of supply and freedom of action; highlights, in particular, the need to address the risks of technology leakage and of civilian and dual-use technologies contributing to China’s military capabilities, notably in critical and emerging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Stresses that China’s growing control over critical supply chains, technologies and strategic dependencies constitutes an important dimension of European economic and security resilience; calls for further diversification and reduction of critical dependencies while maintaining engagement with international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Expresses deep concern about the intensified military-technical cooperation between Russia and China; notes with concern the EU's dependency on imports of rare earth elements and other critical raw materials from China, which constitutes a growing security risk;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Calls on the Council to systematically sanction Chinese entities, including banks, that help Russia circumvent EU sanctions, in order to change China's strategic calculus;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Adam Bielan, Alexandr Vondra,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Underlines that the security of Europe and that of the Indo-Pacific are increasingly interconnected, as demonstrated by China’s political, economic and dual-use support for Russia’s war of aggression and by the deployment of North Korean troops and munitions to fight against Ukraine; stresses the strategic importance of an Indo-Pacific region that remains open, stable and governed by international law; calls for a more coherent and capable EU security engagement in the region, in close coordination with NATO and with like-minded partners, in particular Japan, the Republic of Korea, Australia and New Zealand;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Stresses that, given the growing geopolitical tensions at sea, the EU must ensure that its external maritime borders are monitored effectively to prevent illegal activities such as of Türkiye’s in the Eastern Mediterranean, including its efforts to halt the works on Projects of EU Common Interest like the Great Sea Interconnector between Greece and Cyprus;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Underlines the strategic significance of the Indo-Pacific for European security; calls for the full use of the security and defence partnerships concluded with Japan, the Republic of Korea, India and Australia, and the further deepening of defence partnerships with other regional actors, including through cooperation on maritime security, cyber defence and defence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Calls on the Commission, the High Representative, the EDA and the Member States to identify and reduce critical dependencies affecting European defence, protect sensitive defence technologies and strengthen the resilience and security of defence-related supply chains and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Welcomes the conclusion of the EU-India Security and Defence Partnership and the launch of the EU-India Security and Defence Dialogue; calls for its full implementation, including through enhanced cooperation on maritime security, defence industry and technology, cyber and hybrid threats, counter-terrorism, space security, non-proliferation and disarmament, as well as crisis management; welcomes the growing operational cooperation between the EU and India in the Indo-Pacific, including in the maritime domain;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Stresses the need to further safeguard the US-brokered agreement between Armenia and Azerbaijan through the swift signing of a comprehensive and lasting peace treaty in line with, and in full respect for, Armenia’s territorial integrity and sovereignty;</w:t>
            </w:r>
          </w:p>
        </w:tc>
        <w:tc>
          <w:tcPr>
            <w:tcW w:w="4876" w:type="dxa"/>
            <w:tcBorders>
              <w:top w:val="nil"/>
              <w:left w:val="nil"/>
              <w:bottom w:val="nil"/>
              <w:right w:val="nil"/>
            </w:tcBorders>
          </w:tcPr>
          <w:p>
            <w:pPr>
              <w:pStyle w:val="Normal6a"/>
            </w:pPr>
            <w:r>
              <w:t>11.</w:t>
            </w:r>
            <w:r>
              <w:tab/>
            </w:r>
            <w:r>
              <w:t>Stresses the need to further safeguard the US-brokered agreement between Armenia and Azerbaijan through the swift signing of a comprehensive and lasting peace treaty in line with, and in full respect for, Armenia’s territorial integrity and sovereignty</w:t>
            </w:r>
            <w:r>
              <w:rPr>
                <w:b/>
                <w:i/>
              </w:rPr>
              <w:t>, and including the withdrawal of foreign troops from its territory</w:t>
            </w:r>
            <w:r>
              <w:t xml:space="preserve">; </w:t>
            </w:r>
            <w:r>
              <w:rPr>
                <w:b/>
                <w:i/>
              </w:rPr>
              <w:t>notes the constructive role played by Armenia in securing regional peace and stability underscores the need for further efforts to overcome the impact of Azerbaijan’s longstanding aggressive rhetoric towards Armenia, which has regrettably not ceased after the signature of the 2025 Washington Declaration, while acknowledging current efforts to build relations and confidence; commends the positive role of EUMA and the efforts deployed by the EU alongside several Member States to assist Armenia in strengthening its resilience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Stresses the need to further safeguard the US-brokered agreement between Armenia and Azerbaijan through the swift signing of a comprehensive and lasting peace treaty in line with, and in full respect for, Armenia’s territorial integrity and sovereignty;</w:t>
            </w:r>
          </w:p>
        </w:tc>
        <w:tc>
          <w:tcPr>
            <w:tcW w:w="4876" w:type="dxa"/>
            <w:tcBorders>
              <w:top w:val="nil"/>
              <w:left w:val="nil"/>
              <w:bottom w:val="nil"/>
              <w:right w:val="nil"/>
            </w:tcBorders>
          </w:tcPr>
          <w:p>
            <w:pPr>
              <w:pStyle w:val="Normal6a"/>
            </w:pPr>
            <w:r>
              <w:t>11.</w:t>
            </w:r>
            <w:r>
              <w:tab/>
            </w:r>
            <w:r>
              <w:t xml:space="preserve">Stresses the need to further safeguard the US-brokered agreement between Armenia and Azerbaijan through the swift signing of a comprehensive and lasting peace treaty in line with, and in full respect for, Armenia’s territorial integrity and sovereignty; </w:t>
            </w:r>
            <w:r>
              <w:rPr>
                <w:b/>
                <w:i/>
              </w:rPr>
              <w:t>reiterates the EU’s support for Armenia’s territorial integrity, including the territory foreseen for the strategic transit corridor in Syunik province;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Marina Mesure, 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Stresses the need to further safeguard the </w:t>
            </w:r>
            <w:r>
              <w:rPr>
                <w:b/>
                <w:i/>
              </w:rPr>
              <w:t>US-brokered</w:t>
            </w:r>
            <w:r>
              <w:t xml:space="preserve"> agreement between Armenia and Azerbaijan through the swift signing of a comprehensive and lasting peace treaty in line with, and in full respect for, Armenia’s territorial integrity and sovereignty;</w:t>
            </w:r>
          </w:p>
        </w:tc>
        <w:tc>
          <w:tcPr>
            <w:tcW w:w="4876" w:type="dxa"/>
            <w:tcBorders>
              <w:top w:val="nil"/>
              <w:left w:val="nil"/>
              <w:bottom w:val="nil"/>
              <w:right w:val="nil"/>
            </w:tcBorders>
          </w:tcPr>
          <w:p>
            <w:pPr>
              <w:pStyle w:val="Normal6a"/>
            </w:pPr>
            <w:r>
              <w:t>11.</w:t>
            </w:r>
            <w:r>
              <w:tab/>
            </w:r>
            <w:r>
              <w:t>Stresses the need to further safeguard the agreement between Armenia and Azerbaijan through the swift signing of a comprehensive and lasting peace treaty in line with, and in full respect for, Armenia’s territorial integrity and sovereignty</w:t>
            </w:r>
            <w:r>
              <w:rPr>
                <w:b/>
                <w:i/>
              </w:rPr>
              <w:t>, and which guarantees the right of return for Armenians from Nagorno-Karabakh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Deplores Azerbaijan’s aggressive policy and committed crimes in the region against Armenia population, including the ethnic cleansing of Nagorno Karabakh, which resulted in the forced displacement of more than 140000 Armenians from their ancestral land; condemns the continued unlawful detention of 19 Armenian hostages in Baku and the continued violation of Armenia’s territorial integrity by its military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Regrets, during these unstable geopolitical times, the weakening of non-proliferation and arms control regimes, and calls for the redoubling of efforts to reverse this trend and demands a much stronger EU role, in particular in the field of non-proliferation of weapons of mass destruction and dual-use digital surveillance and manipulation tools;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Reaffirms its support to continued efforts towards the normalisation of relations between Armenia and Türkiye, as an important contribution to reconciliation, good neighbourly relations, regional stability and security, and socio-economic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Rasa Juknevičienė,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Stresses the strategic importance of the South Caucasus and the wider Black Sea region for European security; underlines that the Middle Corridor, as the main route connecting the Union with Central Asia that bypasses both Russia and Iran, and the planned Black Sea submarine electricity cable are key to the Union's connectivity and energy security; calls for the protection against hybrid threats and sabotage of the critical infrastructure linking the region with the Union, in line with the Union's strategic approach to the Black Sea region; underlines that these projects depend on close cooperation with reliable partners in the region, based on transparent ownership of critical infrastructure, respect for international law and a shared commitment to the security of these routes;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Welcomes the establishment by Romania and Bulgaria of the Black Sea Maritime Security Hub; calls for its swift operationalisation and for the full implementation of the security dimension of the Union’s strategic approach to the Black Sea region, including maritime domain awareness, demining, the fight against Russia’s shadow fleet and the protection of undersea infrastructure, in close cooperation with Ukraine, the Republic of Moldova and NATO Allies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w:t>
            </w:r>
            <w:r>
              <w:rPr>
                <w:b/>
                <w:i/>
              </w:rPr>
              <w:t>contested</w:t>
            </w:r>
            <w:r>
              <w:t xml:space="preserve"> domain; considers space to be essential to the EU’s security, defence and strategic autonomy; calls on the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w:t>
            </w:r>
            <w:r>
              <w:rPr>
                <w:b/>
                <w:i/>
              </w:rPr>
              <w:t>weaponised</w:t>
            </w:r>
            <w:r>
              <w:t xml:space="preserve"> domain; considers space to be essential to the EU’s security, defence and strategic autonomy; calls on the Member States to accelerate the deployment of resilient, dual-use space capabilities and early-warning missile systems; </w:t>
            </w:r>
            <w:r>
              <w:rPr>
                <w:b/>
                <w:i/>
              </w:rPr>
              <w:t>recalls that “space” has to be understood in the broad sense of “space systems”, which also include ground-based systems; is alarmed by the growing threats of jamming, spoofing, anti-satellite weapons and hostile manoeuvring against European assets in orbit; welcomes the operationalisation of GOVSATCOM and the bringing into use of military Ka-band frequencies in early 2026, ahead of the first IRIS² services by 2029 in line with the 2030 Defense-readiness goal; calls on the Member States to accelerate the deployment of resilient, dual-use space capabilities and missile early-warning systems; calls for the swift adoption of the EU Space Act to reduce strategic dependencies; underlines that the disruption of space-based systems can be performed at low-cost; recalls therefore the need to apply redundancies;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Stresses that a growing number of actors are denying the peaceful use of outer space, which is now a contested domain; considers space to be essential to the EU’s security, defence and strategic autonomy; calls on the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contested domain; considers space to be essential to the EU’s security, defence and strategic autonomy; calls on the Member States to accelerate the deployment of resilient, dual-use space capabilities and early-warning missile systems; </w:t>
            </w:r>
            <w:r>
              <w:rPr>
                <w:b/>
                <w:i/>
              </w:rPr>
              <w:t>stresses the importance of developing European resilient dual-use capabilities; underlines that Europe possesses companies with significant technological expertise across the space sector; stresses that the EU and its Member States must be better consumers, not in the least by creating predictable public demand and are essential to enable companies to scale; calls for the public sector to provide long-term demand signals, reduce unnecessary regulatory and procurement barriers and make greater use of innovative procurement to create a market that is competitive and innovative for emerging European space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Stresses that a growing number of actors are denying the peaceful use of outer space, which is now a contested domain; considers space to be essential to the EU’s security, defence and strategic autonomy; calls on the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contested domain; considers space to be essential to the EU’s security, defence and strategic autonomy; calls on the Member States to accelerate the deployment of resilient, dual-use space capabilities and early-warning missile systems; </w:t>
            </w:r>
            <w:r>
              <w:rPr>
                <w:b/>
                <w:i/>
              </w:rPr>
              <w:t>welcomes Council Decision (CFSP) 2026/2195 strengthening the EU Space Threat Response Architecture and establishing a Space Security Toolbox; calls for its swift implementation and for strengthened resilience of European space systems, including through enhanced space situational awareness, protection of ground infrastructure, cybersecurity and resilient positioning, navigation and timing capabilities; stresses that the space domain must be fully integrated into the EU’s broader framework for countering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Stresses that a growing number of actors are denying the peaceful use of outer space, which is now a contested domain; considers space to be essential to the EU’s security, defence and strategic autonomy; calls on the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Stresses that a growing number of actors are denying the peaceful use of outer space, which is now a contested domain</w:t>
            </w:r>
            <w:r>
              <w:rPr>
                <w:b/>
                <w:i/>
              </w:rPr>
              <w:t>;</w:t>
            </w:r>
            <w:r>
              <w:t xml:space="preserve"> </w:t>
            </w:r>
            <w:r>
              <w:rPr>
                <w:b/>
                <w:i/>
              </w:rPr>
              <w:t>stresses the need to recognise outer space as a new field of conflict in its own right, and calls on the Member States to adapt their legislation accordingly</w:t>
            </w:r>
            <w:r>
              <w:t xml:space="preserve">; considers space to be essential to the EU’s security, defence and strategic autonomy; calls on the Member States to accelerate the deployment of resilient, dual-use space capabilities and early-warning missile systems; </w:t>
            </w:r>
            <w:r>
              <w:rPr>
                <w:b/>
                <w:i/>
              </w:rPr>
              <w:t>underlines the strategic risks of over-reliance on satellite systems controlled by third states, in particular for governmental and military uses;</w:t>
            </w:r>
            <w:r>
              <w:t xml:space="preserve"> </w:t>
            </w:r>
            <w:r>
              <w:rPr>
                <w:b/>
                <w:i/>
              </w:rPr>
              <w:t>welcomes, in this context, the progress made under the IRIS</w:t>
            </w:r>
            <w:r>
              <w:rPr>
                <w:b/>
                <w:i/>
                <w:vertAlign w:val="superscript"/>
              </w:rPr>
              <w:t>2</w:t>
            </w:r>
            <w:r>
              <w:t xml:space="preserve"> </w:t>
            </w:r>
            <w:r>
              <w:rPr>
                <w:b/>
                <w:i/>
              </w:rPr>
              <w:t>programme and reiterates its support for its implementation;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Stresses that a growing number of actors are denying the peaceful use of outer space, which is now a contested domain; considers space to be essential to the EU’s security, defence and strategic autonomy</w:t>
            </w:r>
            <w:r>
              <w:rPr>
                <w:b/>
                <w:i/>
              </w:rPr>
              <w:t>; calls on the</w:t>
            </w:r>
            <w:r>
              <w:t xml:space="preserv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Stresses that a growing number of actors are denying the peaceful use of outer space, which is now a contested domain; considers space to be essential to the EU’s security, defence and strategic autonomy</w:t>
            </w:r>
            <w:r>
              <w:rPr>
                <w:b/>
                <w:i/>
              </w:rPr>
              <w:t>, and underlines the need to give greater priority to the protection and resilience of space-based and ground-based infrastructure in the face of increasing militarisation and strategic competition; emphasises the importance of safeguarding European space assets and ensuring continuous and secure access to critical data, communications and services, while calling on</w:t>
            </w:r>
            <w:r>
              <w:t xml:space="preserve"> Member States to accelerate the deployment of resilient, dual-use space capabilities and early-warning missile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Stresses that a growing number of actors are denying the peaceful use of outer space, which is now a contested domain; considers space to be essential to the EU’s security, defence and strategic autonomy; calls on the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contested domain; considers space to be essential to the EU’s security, defence and strategic autonomy; calls on the Member States to accelerate the deployment of resilient, dual-use space capabilities and early-warning missile systems; </w:t>
            </w:r>
            <w:r>
              <w:rPr>
                <w:b/>
                <w:i/>
              </w:rPr>
              <w:t>calls on the Commission to prioritise achieving full operational capability of IRIS²; welcomes the opening of talks with Ukraine on joining the programme and calls on the Commission to do the same with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Stresses that a growing number of actors are denying the peaceful use of outer space, which is now a contested domain;</w:t>
            </w:r>
            <w:r>
              <w:t xml:space="preserve"> considers space to be essential to the EU’s security, defence and strategic autonomy; calls on the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 xml:space="preserve">Considers space to be essential to the EU’s security, defence and strategic autonomy; calls on the Member States to accelerate the deployment of resilient, dual-use space capabilities and early-warning missile systems; </w:t>
            </w:r>
            <w:r>
              <w:rPr>
                <w:b/>
                <w:i/>
              </w:rPr>
              <w:t>stresses the need for autonomous European launch, satellite communications, observation, positioning and early warning capabilities in order not to depend on public or private actors from third countries for the conduct of military operations;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contested domain; </w:t>
            </w:r>
            <w:r>
              <w:rPr>
                <w:b/>
                <w:i/>
              </w:rPr>
              <w:t>considers space to be essential to the EU’s security, defence and strategic autonomy;</w:t>
            </w:r>
            <w:r>
              <w:t xml:space="preserve"> calls on the Member States to </w:t>
            </w:r>
            <w:r>
              <w:rPr>
                <w:b/>
                <w:i/>
              </w:rPr>
              <w:t>accelerate the deployment of resilient, dual-use</w:t>
            </w:r>
            <w:r>
              <w:t xml:space="preserve"> space </w:t>
            </w:r>
            <w:r>
              <w:rPr>
                <w:b/>
                <w:i/>
              </w:rPr>
              <w:t>capabilities and early-warning missile systems</w:t>
            </w:r>
            <w:r>
              <w:t>;</w:t>
            </w:r>
          </w:p>
        </w:tc>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contested domain; calls on the </w:t>
            </w:r>
            <w:r>
              <w:rPr>
                <w:b/>
                <w:i/>
              </w:rPr>
              <w:t>EU and its</w:t>
            </w:r>
            <w:r>
              <w:t xml:space="preserve"> Member States to </w:t>
            </w:r>
            <w:r>
              <w:rPr>
                <w:b/>
                <w:i/>
              </w:rPr>
              <w:t>initiate and support the demilitarisation of</w:t>
            </w:r>
            <w:r>
              <w:t xml:space="preserve"> space </w:t>
            </w:r>
            <w:r>
              <w:rPr>
                <w:b/>
                <w:i/>
              </w:rPr>
              <w:t>through the further development and enforcement of the Outer Space Treaty and the UN PAROS Resolution (Prevention of an Arms Race in Outer Space)</w:t>
            </w:r>
            <w:r>
              <w:t xml:space="preserve">; </w:t>
            </w:r>
            <w:r>
              <w:rPr>
                <w:b/>
                <w:i/>
              </w:rPr>
              <w:t>insists on the exclusively civilian use and exploration of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contested domain; considers space to be essential to the EU’s security, defence and strategic </w:t>
            </w:r>
            <w:r>
              <w:rPr>
                <w:b/>
                <w:i/>
              </w:rPr>
              <w:t>autonomy</w:t>
            </w:r>
            <w:r>
              <w:t>; calls on the Member States to accelerate the deployment of resilient, dual-use space capabilities and early-warning missile systems;</w:t>
            </w:r>
          </w:p>
        </w:tc>
        <w:tc>
          <w:tcPr>
            <w:tcW w:w="4876" w:type="dxa"/>
            <w:tcBorders>
              <w:top w:val="nil"/>
              <w:left w:val="nil"/>
              <w:bottom w:val="nil"/>
              <w:right w:val="nil"/>
            </w:tcBorders>
          </w:tcPr>
          <w:p>
            <w:pPr>
              <w:pStyle w:val="Normal6a"/>
            </w:pPr>
            <w:r>
              <w:t>12.</w:t>
            </w:r>
            <w:r>
              <w:tab/>
            </w:r>
            <w:r>
              <w:t xml:space="preserve">Stresses that a growing number of actors are denying the peaceful use of outer space, which is now a contested domain; considers space to be essential to the EU’s security, defence and strategic </w:t>
            </w:r>
            <w:r>
              <w:rPr>
                <w:b/>
                <w:i/>
              </w:rPr>
              <w:t>resilience</w:t>
            </w:r>
            <w:r>
              <w:t>; calls on the Member States to accelerate the deployment of resilient, dual-use space capabilities and early-warning missile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Recalls that the EU successfully operates the Galileo, Copernicus and EGNOS programmes; welcomes the start of GOVSATCOM operations in January 2026, pooling eight satellites from five Member States, and calls on the Member States to contribute additional national capacity so that all of them benefit from sovereign, secure governmental satellite communications ahead of the deployment of IRIS²; welcomes the implementation agreement of 7 August 2026 accelerating the deployment of the IRIS² constellation; welcomes the Council Decision of 28 September 2026 on the EU Space Threat Response Architecture, which extends the Union's response mechanism to any space threat affecting the security of the Union or of its Member States; calls on the HR/VP to test it through regular exercises, to clarify its articulation with Article 42(7) TEU and to keep Parliament informed of its activation;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Highlights climate change as a crisis and threat multiplier that can exacerbate conflict, fragility and geopolitical competition; recalls that increasing temperatures cause rising sea levels, wildfires and more frequent and extreme weather events, disrupting societies, undermining security and threatening the lives and livelihoods of European citizens; notes that climate change affects the way armed forces operate, with infrastructure, assets and bases are vulnerable to the effects of climate change, militaries being required to operate in more extreme climate conditions and more frequently called upon to assist in disaster relief;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Calls for closer cooperation with the United States of America and other like-minded partners in developing space capabilities; recognising their advanced capabilities are necessary for a stronger European development, while ensuring resilient European capabilities and avoiding critical dependencies;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Stresses that there is no European security without autonomous access to space; calls for sovereign, responsive and cost-effective European launch capabilities, including reusable launchers and the capacity to rapidly replace satellites in orbit, and for the diversification of launch sites across the Union; welcomes the inclusion of these capabilities in the European defence project of common interest on space; welcomes the progress towards an agreement laying down the rules for the participation of Ukraine in the GOVSATCOM component of the Union Space Programme and in the IRIS², and for its access to their governmental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Considers that the European Space Shield, announced in the Readiness Roadmap 2030, must set concrete capability targets in missile early warning, space domain awareness, resilient positioning, navigation and timing, secure communications and protection against jamming and spoofing; insists that it be built as a genuinely European framework rather than a sum of national projects, and that it be backed by dedicated financing; calls for the Earth Observation Governmental Service to be fully funded under the European Competitiveness Fund and to become operational at the start of the next multiannual financial framework, providing secure geospatial intelligence to the Union and its Member States, and building on commercial, national and EU-owned capacities; calls for a standing arrangement to coordinate and mobilise national and EU space assets for the common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Calls for the swift adoption of the EU Space Act, with robust provisions on the security and resilience of space infrastructure; calls for the EU Space Surveillance and Tracking partnership to be developed into a full space domain awareness capability serving defence needs; calls on the Union to lead international efforts to establish norms of responsible behaviour in outer space, including a moratorium on destructive direct-ascent anti-satellite missile tests;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w:t>
            </w:r>
            <w:r>
              <w:rPr>
                <w:b/>
                <w:i/>
              </w:rPr>
              <w:t>Russia, first and foremost, but also other state and non-state actors hostile to the EU, are waging a hybrid war</w:t>
            </w:r>
            <w:r>
              <w:t xml:space="preserve"> against the </w:t>
            </w:r>
            <w:r>
              <w:rPr>
                <w:b/>
                <w:i/>
              </w:rPr>
              <w:t>EU, its</w:t>
            </w:r>
            <w:r>
              <w:t xml:space="preserve"> Member States </w:t>
            </w:r>
            <w:r>
              <w:rPr>
                <w:b/>
                <w:i/>
              </w:rPr>
              <w:t>and its citizens; underlines that these aggressions</w:t>
            </w:r>
            <w:r>
              <w:t xml:space="preserve"> constitute a </w:t>
            </w:r>
            <w:r>
              <w:rPr>
                <w:b/>
                <w:i/>
              </w:rPr>
              <w:t>sustained, strategic and continuous attack on the EU’s sovereignty,</w:t>
            </w:r>
            <w:r>
              <w:t xml:space="preserve"> security</w:t>
            </w:r>
            <w:r>
              <w:rPr>
                <w:b/>
                <w:i/>
              </w:rPr>
              <w:t>, democratic resilience and interests</w:t>
            </w:r>
            <w:r>
              <w:t>;</w:t>
            </w:r>
          </w:p>
        </w:tc>
        <w:tc>
          <w:tcPr>
            <w:tcW w:w="4876" w:type="dxa"/>
            <w:tcBorders>
              <w:top w:val="nil"/>
              <w:left w:val="nil"/>
              <w:bottom w:val="nil"/>
              <w:right w:val="nil"/>
            </w:tcBorders>
          </w:tcPr>
          <w:p>
            <w:pPr>
              <w:pStyle w:val="Normal6a"/>
            </w:pPr>
            <w:r>
              <w:t>13.</w:t>
            </w:r>
            <w:r>
              <w:tab/>
            </w:r>
            <w:r>
              <w:t xml:space="preserve">Stresses that </w:t>
            </w:r>
            <w:r>
              <w:rPr>
                <w:b/>
                <w:i/>
              </w:rPr>
              <w:t>sabotage, cyberattacks and covert operations directed</w:t>
            </w:r>
            <w:r>
              <w:t xml:space="preserve"> against the Member States constitute a </w:t>
            </w:r>
            <w:r>
              <w:rPr>
                <w:b/>
                <w:i/>
              </w:rPr>
              <w:t>serious threat to their</w:t>
            </w:r>
            <w:r>
              <w:t xml:space="preserve"> security</w:t>
            </w:r>
            <w:r>
              <w:rPr>
                <w:b/>
                <w:i/>
              </w:rPr>
              <w:t>; stresses that counter-hybrid measures must be confined to acts which can be attributed, on the basis of verifiable evidence, to a foreign State or to actors acting on its behalf; stresses that such measures must not be used to restrict lawful political expression within the Union and that freedom of expression and information under Article 11 of the Charter of Fundamental Rights of the European Union must be fully respected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 xml:space="preserve">Stresses that Russia, first and foremost, but also other state and non-state actors hostile to the EU, are waging a hybrid war against the EU, its Member States and its citizens; </w:t>
            </w:r>
            <w:r>
              <w:rPr>
                <w:b/>
                <w:i/>
              </w:rPr>
              <w:t>that combines, in a coordinated and deniable manner, large-scale information manipulation and disinformation campaigns, cyber-attacks against critical infrastructure, public administrations and democratic institutions, the weaponisation of migration flows at external borders, economic coercion and the strategic instrumentalisation of energy supplies, foreign interference in electoral and democratic processes, the targeting of European decision-makers, journalists and foreign dissidents through espionage and intimidation, the malicious use of emerging technologies including artificial intelligence to amplify deceptive content at scale, and the deliberate undermining of European action in third countries, particularly in Africa, the Western Balkans and the Eastern neighbourhood;</w:t>
            </w:r>
            <w:r>
              <w:t xml:space="preserve"> underlines that these aggressions</w:t>
            </w:r>
            <w:r>
              <w:rPr>
                <w:b/>
                <w:i/>
              </w:rPr>
              <w:t>, although individually below the threshold of armed conflict, taken together</w:t>
            </w:r>
            <w:r>
              <w:t xml:space="preserve"> constitute a sustained, strategic and continuous attack on the EU’s sovereignty, security, democratic resilience and interests; </w:t>
            </w:r>
            <w:r>
              <w:rPr>
                <w:b/>
                <w:i/>
              </w:rPr>
              <w:t>calls therefore on the Member States and the Commission and the EEAS to formally recognise that the Union is already facing a hybrid war and to draw the operational, capability and budgetary consequences of this finding, and to develop without delay a comprehensive doctrine of deterrence and response, including attribution, sanctions, and proportionate countermeasures, fully using the FIMI toolbox, the Hybrid Toolbox and the Cyber Diplomacy Toolbox as well as the European Democracy Shield; welcomes the recent announcement of an “EU playbook on countering hybrid threats”, but warns that it must not amount to a mere rebranding of the “hybrid toolbox”; calls on the Commission to take into account the recommendations adopted by Parliament on 15 September 2026 concerning the “European Democracy Shield”;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 xml:space="preserve">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 </w:t>
            </w:r>
            <w:r>
              <w:rPr>
                <w:b/>
                <w:i/>
              </w:rPr>
              <w:t>calls on the EU to shift from mere crisis reaction to active deterrence, including through real-time situational awareness, public attribution of hybrid incidents, and the creation of an EU framework for coordinated rapid response including EU retaliatory options proportionate to the severity of hostile activities; welcomes the proposal for an Emergency Security Protocol for hybrid threats below the threshold of armed aggression and urges clarity on its relationship as a complementary tool to Article 42(7)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Stresses that Russia</w:t>
            </w:r>
            <w:r>
              <w:rPr>
                <w:b/>
                <w:i/>
              </w:rPr>
              <w:t>, Iran, and China</w:t>
            </w:r>
            <w:r>
              <w:t xml:space="preserve">,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 </w:t>
            </w:r>
            <w:r>
              <w:rPr>
                <w:b/>
                <w:i/>
              </w:rPr>
              <w:t>calls for the development of a distinct EU framework for hybrid aggression, including clear criteria for identifying, attributing and responding to sustained hostile campaigns that remain below the threshold of conventional armed conflict; stresses that such a framework should enable the EU to move from predominantly reactive measures towards credible deterrence and proportionate collective responses;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 xml:space="preserve">Stresses that Russia, first and foremost, but also other state and non-state actors hostile to the EU, are waging a hybrid war against the EU, its Member States and its citizens; </w:t>
            </w:r>
            <w:r>
              <w:rPr>
                <w:b/>
                <w:i/>
              </w:rPr>
              <w:t>stresses the importance of societal resilience and preparedness as highlighted in the Niinistö report, which presents a comprehensive and holistic approach to preparedness and readiness that encompasses all civilian and military aspects;</w:t>
            </w:r>
            <w:r>
              <w:t xml:space="preserve"> underlines that these aggressions constitute a sustained, strategic and continuous attack on the EU’s sovereignty, security, democratic resilience and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 xml:space="preserve">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 </w:t>
            </w:r>
            <w:r>
              <w:rPr>
                <w:b/>
                <w:i/>
              </w:rPr>
              <w:t>condemns, in particular, the continued weaponisation of mass migration by Russia and Belarus as an instrument of hybrid warfare against the EU and its Member States, particularly those along the EU’s eastern external border;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 xml:space="preserve">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 </w:t>
            </w:r>
            <w:r>
              <w:rPr>
                <w:b/>
                <w:i/>
              </w:rPr>
              <w:t>calls for the effective use and further development of the EU Hybrid Toolbox and the EU Cyber Diplomacy Toolbox, alongside strengthened operational coordination under the EU Playbook on countering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 xml:space="preserve">Stresses that Russia, first and foremost, but also other state and non-state actors hostile to the EU, are waging a hybrid war against the EU, its Member States and its citizens; underlines that these aggressions </w:t>
            </w:r>
            <w:r>
              <w:rPr>
                <w:b/>
                <w:i/>
              </w:rPr>
              <w:t>are designed to test European defence readiness,</w:t>
            </w:r>
            <w:r>
              <w:t xml:space="preserve"> constitute a sustained, strategic and continuous attack on the EU’s sovereignty, security, democratic resilience and interests</w:t>
            </w:r>
            <w:r>
              <w:rPr>
                <w:b/>
                <w:i/>
              </w:rPr>
              <w:t>, including imposing economic costs and creating psychological pressure on EU Member States and their populations, especially those on the Eastern Flank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 and its citizens; underlines that these aggressions constitute a sustained, strategic and continuous attack on the EU’s sovereignty, security, democratic resilience and interests;</w:t>
            </w:r>
          </w:p>
        </w:tc>
        <w:tc>
          <w:tcPr>
            <w:tcW w:w="4876" w:type="dxa"/>
            <w:tcBorders>
              <w:top w:val="nil"/>
              <w:left w:val="nil"/>
              <w:bottom w:val="nil"/>
              <w:right w:val="nil"/>
            </w:tcBorders>
          </w:tcPr>
          <w:p>
            <w:pPr>
              <w:pStyle w:val="Normal6a"/>
            </w:pPr>
            <w:r>
              <w:t>13.</w:t>
            </w:r>
            <w:r>
              <w:tab/>
            </w:r>
            <w:r>
              <w:t>Stresses that Russia, first and foremost, but also other state and non-state actors hostile to the EU, are waging a hybrid war against the EU, its Member States</w:t>
            </w:r>
            <w:r>
              <w:rPr>
                <w:b/>
                <w:i/>
              </w:rPr>
              <w:t>, democratically elected politicians</w:t>
            </w:r>
            <w:r>
              <w:t xml:space="preserve"> and its citizens; underlines that these aggressions constitute a sustained, strategic and continuous attack on the EU’s sovereignty, security, </w:t>
            </w:r>
            <w:r>
              <w:rPr>
                <w:b/>
                <w:i/>
              </w:rPr>
              <w:t>civil society,</w:t>
            </w:r>
            <w:r>
              <w:t xml:space="preserve"> democratic </w:t>
            </w:r>
            <w:r>
              <w:rPr>
                <w:b/>
                <w:i/>
              </w:rPr>
              <w:t>institutions,</w:t>
            </w:r>
            <w:r>
              <w:t xml:space="preserve"> resilience and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Emphasises that the resilience of democracies also depends on states’ ability to manage migration flows and to determine, through democratic processes, the conditions for entry into and residence on their territory; stresses that the protection of migrants’ fundamental rights must not be interpreted as implying a general and unconditional right of entry or residence; strongly condemns the weaponisation and instrumentalisation of migration by state and non-state actors as a form of hybrid warfare aimed at destabilising Member States, exerting political pressure and undermining the security and integrity of the Union’s external borders; stresses that such actions must be recognised as a serious security threat and calls for a firm and coordinated response, including by strengthening the protection of the Union’s external borders, enhancing surveillance and early-warning capabilities, combating migrant smuggling networks and enabling affected Member States to take effective, proportionate and necessary measures to prevent and counter such hybrid attacks, with the support of relevant Union instruments and agencies where requested by the Member State concerned; considers that EU development assistance to third countries should take into account their cooperation on migration management, including return and readmission;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Welcomes the announcement by the President of the Commission, in her State of the Union address of 16 September 2026, of a European counter-hybrid playbook and an Emergency Security Protocol enabling any Member State targeted by hybrid attacks to trigger coordinated consultation and response at Union level; calls on the Commission and the HR/VP to present the proposal without delay, as an integral part of the forthcoming European Security Strategy; insists that the protocol cover all domains, including the terrestrial, aerial, maritime and undersea, cyber, space and information domains; stresses that it must set out clear triggers, common attribution procedures and a graduated menu of response options, including restrictive measures and proportionate countermeasures that match the severity of hostile activities, and that its effectiveness must not be undermined by the unanimity requirement; underlines that the protocol must be fully complementary to Article 4 of the North Atlantic Treaty and clearly articulated with Articles 42(7) TEU and 222 TFEU; calls for it to be tested through regular exercises and for Parliament to be duly informed of its activation;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Highlights the instrumentalisation of illegal immigration by the Russian Federation and its Belarusian proxies aimed at destabilising bordering Member States;</w:t>
            </w:r>
            <w:r>
              <w:t xml:space="preserve"> </w:t>
            </w:r>
            <w:r>
              <w:rPr>
                <w:b/>
                <w:i/>
              </w:rPr>
              <w:t>supports Finland and Poland in their decision to suspend the processing of asylum applications in response to migratory pressures facilitated by Moscow and Minsk, including through the organisation of flights and transportation of third-country nationals to the EU’s external borders;</w:t>
            </w:r>
            <w:r>
              <w:t xml:space="preserve"> </w:t>
            </w:r>
            <w:r>
              <w:rPr>
                <w:b/>
                <w:i/>
              </w:rPr>
              <w:t>expresses its concern about the strengthening of ties between Russia and the Libyan National Army, as well as the multiple indications that Russia is working to destabilise Libya and countries along African smuggling routes, in order to increase the migratory pressure on the EU’s southern borders;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Reiterates its call for an EU action plan to prevent and counter Russian hybrid warfare in the terrestrial, aerial, maritime and digital domains, including options for retaliatory measures proportionate to the severity of hostile activities; welcomes the European Democracy Shield and recalls the work of its Special Committee on the European Democracy Shield; calls for a holistic approach to foreign information manipulation and interference, including an independent EU structure, the protection of critical infrastructure, support for independent media and civil society, and close cooperation between the Democracy Shield, CSDP missions and operations and the Member States’ intelligence and decision-making structures;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Stresses the utmost importance of the consistent and effective implementation of the EU’s Black Sea Strategy and calls on the EU to ensure full-fledged and equal participation of all relevant states in development and implementation of policies and initiatives aimed at strengthening security, stability, connectivity and resilience in the Black Sea region; recognizes the geostrategic importance of Black Sea for Europe’s stability and prosperity; underlines that an inclusive and coordinated regional approach is essential to addressing common security challenges, enhancing regional resilience and ensuring sustainable, substantive, and tangible progress across the wider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Eszter Lakos,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Is alarmed by the growing relevance, scale and number of hybrid attacks against the EU and its Member States; recognizes that hybrid threats, including the coordinated and direct attempts to alter the results of democratic elections through Foreign Information Manipulation and Interference (FIMI) campaigns and other hybrid tactics, represents fully-fledged security threats; calls for greater funding and investment in strategic communication, media literacy and the fight against FIMI; calls on the Council, the Commission, the EEAS, and the Member States to develop and deploy adequate countermeasures aiming to prevent, deter, and respond to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Strongly condemns the deliberate instrumentalisation of migration by the Lukashenka regime, in coordination with Russia, which since 2021 has organised and facilitated the irregular movement of people towards the EU’s external borders with Poland, Lithuania and Latvia, as well as Russia’s similar actions at its border with Finland and Estonia; underlines that these actions constitute a form of hybrid warfare aimed at destabilising the EU; stresses that the protection of the EU’s external borders is an integral part of European security and defence and not merely a matter of migration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Deplores the role of the Lukashenka regime in Russia’s war of aggression against Ukraine and hybrid attacks, mostly against neighbouring EU Member States, including balloon incursions, instrumentalised migration, economic coercion, smuggling operations, military provocations, cyberattacks, and state disinformation; reminds that Belarus is fully integrated into the Russian military system, plays a part in organising military manoeuvres by the EU borders, including the recent ones near the Suwałki Gap, and has access to Russian nuclear weapons once located on Belarusian territory;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Highlights the growing strategic role of large private technology companies controlling critical infrastructure in the fields of cloud, data, artificial intelligence, social media and satellite communications;</w:t>
            </w:r>
            <w:r>
              <w:t xml:space="preserve"> </w:t>
            </w:r>
            <w:r>
              <w:rPr>
                <w:b/>
                <w:i/>
              </w:rPr>
              <w:t>stresses that dependence on such actors based in third countries may constitute a major strategic vulnerability, and calls on Member States to ensure that they retain sovereign control over capabilities essential for their defence;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Highlights that the ability to disrupt or influence global logistics flows and supply chains has become one of the main instruments of strategic pressure exploited by hostile actors to pursue geopolitical objectives without resorting to open armed conflict, posing a direct challenge to the economic security, industrial competitiveness and strategic resilience of the European Union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Underlines the need to proactively counter malign actors’ propaganda in the EU and it’s immediate neighbourhood, which aims to undermine EU interests and values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Recognizes that Romania, Bulgaria, Georgia and Türkiye, as Black Sea littoral states, hold a strategically important position in strengthening Europe’s connectivity with Central Asia; underlines that Georgia serves as a natural transit hub and a key link in the Trans-Caspian/Middle Corridor, connecting European markets with Central Asia and beyond; underlines that, as the Black Sea assumes growing strategic importance for Europe’s security, trade, energy diversification and connectivity, Georgia’s active engagement is essential to any credible and effective framework aimed at strengthening stability and resilience in the region; stresses, in this context, the importance of Georgia’s meaningful participation in the EU’s Black Sea Connectivity Agenda, strengthening the country’s port capacity, including through the development of the Anaklia Deep Sea Port, and advancing strategic Black Sea energy and digital connectivity projects, with a view to diversifying trade routes, strengthening Europe’s economic resilience and unlocking the wider region’s connectivity potential; welcomes the announcement by European Commission President Ursula von der Leyen, during the 2026 State of the Union Address, of a new international connectivity project to link the South Caucasus and Central Asia directly to the European market through the Middle Corridor, including the ambition to mobilise up to €12 billion in public and private investment through Global Gateway, diversify transport routes, increase trade flows and reduce freight transit times by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Strongly condemns Russia’s failed attempts to attack the Leipzig/Halle airport through a drone carrying military-grade explosives; reminds that this incident is part of a long series of serious and dangerous incidents officially attributed to Russia, which for years has been raging a hybrid war against the EU and its Member States; stresses that this attempted attack represents a new dimension of hybrid warfare;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Expresses its full solidarity with the Eastern Flank Member States, which are defending the external border of the whole Union; supports the measures taken by frontline Member States to counter instrumentalisation, including physical barriers, advanced surveillance and the temporary restriction of the possibility to lodge asylum applications at the border;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Is deeply concerned by the unprecedented mass crossing of the EU’s external border at Ceuta at the end of July 2026, when close to 80 thousand people entered the city within days; highlights that uncontrolled mass crossings cannot be tolerated, as they fuel the perception that illegal entry into the EU is possible; underlines that the EU’s southern external border, including Ceuta and Melilla, must be protected with the same determination as its eastern border;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Calls on the EU and its Member States, in close coordination with NATO and the riparian states, to support Black Sea maritime security, including mine countermeasures, protection of shipping lanes and of the Danube and Black Sea grain corridors;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Notes with concern that the Spanish Government failed to deploy adequate reinforcements in time to protect the border; considers that the policies pursued by the Spanish Government, including the extraordinary legalisation of irregular migrants approved in April 2026, send the wrong signal to smuggling networks and risk acting as a pull factor, with consequences for the entire Schengen area; recalls that the protection of the external borders is a shared responsibility and that a failure in one Member State affects the security of all; calls on the Spanish Government to take all necessary measures to restore effective control of its external borders;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c>
          <w:tcPr>
            <w:tcW w:w="4876" w:type="dxa"/>
            <w:tcBorders>
              <w:top w:val="nil"/>
              <w:left w:val="nil"/>
              <w:bottom w:val="nil"/>
              <w:right w:val="nil"/>
            </w:tcBorders>
          </w:tcPr>
          <w:p>
            <w:pPr>
              <w:pStyle w:val="Normal6a"/>
            </w:pPr>
            <w:r>
              <w:t>14.</w:t>
            </w:r>
            <w:r>
              <w:tab/>
            </w:r>
            <w:r>
              <w:t xml:space="preserve">Is alarmed that drone incursions and airspace violations throughout Europe have intensified to an unprecedented scale, and that Baltic undersea cables have been sabotaged </w:t>
            </w:r>
            <w:r>
              <w:rPr>
                <w:b/>
                <w:i/>
              </w:rPr>
              <w:t>by shadow-fleet vessels and GNSS signals jammed across the Baltic and Black Sea</w:t>
            </w:r>
            <w:r>
              <w:rPr>
                <w:b/>
                <w:i/>
              </w:rPr>
              <w:t>;</w:t>
            </w:r>
            <w:r>
              <w:t xml:space="preserve"> </w:t>
            </w:r>
            <w:r>
              <w:rPr>
                <w:b/>
                <w:i/>
              </w:rPr>
              <w:t>stresses that these are not isolated incidents but an integral part of Russia’s strategy of intimidation, and that they have exposed gaps in low-altitude detection, interception and civil preparedness; regrets the weakness of the Union’s collective response to the Leipzig attack, which has so far drawn only national measures and the summoning of Russian envoys, with EU sanctions still pending adoption</w:t>
            </w:r>
            <w:r>
              <w:t>; calls on the Member States to urgently build multilayered counter-unmanned aerial system capabilities, drawing on Ukraine’s expertise;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c>
          <w:tcPr>
            <w:tcW w:w="4876" w:type="dxa"/>
            <w:tcBorders>
              <w:top w:val="nil"/>
              <w:left w:val="nil"/>
              <w:bottom w:val="nil"/>
              <w:right w:val="nil"/>
            </w:tcBorders>
          </w:tcPr>
          <w:p>
            <w:pPr>
              <w:pStyle w:val="Normal6a"/>
            </w:pPr>
            <w:r>
              <w:t>14.</w:t>
            </w:r>
            <w:r>
              <w:tab/>
            </w:r>
            <w:r>
              <w:t xml:space="preserve">Is alarmed that drone incursions and airspace violations throughout Europe have intensified to an unprecedented scale, and that Baltic undersea cables have been sabotaged; </w:t>
            </w:r>
            <w:r>
              <w:rPr>
                <w:b/>
                <w:i/>
              </w:rPr>
              <w:t>highlights that these clear provocations are designed to destabilise, divide and undermine the EU, its Member States and NATO;</w:t>
            </w:r>
            <w:r>
              <w:t xml:space="preserve"> calls on the Member States to urgently build multilayered counter-unmanned aerial system capabilities, drawing on Ukraine’s expertise; </w:t>
            </w:r>
            <w:r>
              <w:rPr>
                <w:b/>
                <w:i/>
              </w:rPr>
              <w:t>calls for the swift delivery of the Eastern Flank Watch and the Drone and Counter-Drone European Resolve (DECODER) flagships, with EU funding commensurate with their ambition, including through adequate funding and horizontal priority in the next MFF, namely in the European Competitiveness 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 alarmed that drone incursions and airspace violations throughout Europe have intensified to an unprecedented scale, and that </w:t>
            </w:r>
            <w:r>
              <w:rPr>
                <w:b/>
                <w:i/>
              </w:rPr>
              <w:t>Baltic</w:t>
            </w:r>
            <w:r>
              <w:t xml:space="preserve"> undersea cables have been sabotaged; calls on the </w:t>
            </w:r>
            <w:r>
              <w:rPr>
                <w:b/>
                <w:i/>
              </w:rPr>
              <w:t>Member States to urgently build multilayered counter-unmanned aerial system</w:t>
            </w:r>
            <w:r>
              <w:t xml:space="preserve"> capabilities</w:t>
            </w:r>
            <w:r>
              <w:rPr>
                <w:b/>
                <w:i/>
              </w:rPr>
              <w:t>, drawing on Ukraine’s expertise</w:t>
            </w:r>
            <w:r>
              <w:t>;</w:t>
            </w:r>
          </w:p>
        </w:tc>
        <w:tc>
          <w:tcPr>
            <w:tcW w:w="4876" w:type="dxa"/>
            <w:tcBorders>
              <w:top w:val="nil"/>
              <w:left w:val="nil"/>
              <w:bottom w:val="nil"/>
              <w:right w:val="nil"/>
            </w:tcBorders>
          </w:tcPr>
          <w:p>
            <w:pPr>
              <w:pStyle w:val="Normal6a"/>
            </w:pPr>
            <w:r>
              <w:t>14.</w:t>
            </w:r>
            <w:r>
              <w:tab/>
            </w:r>
            <w:r>
              <w:t xml:space="preserve">Is alarmed that drone incursions and airspace violations throughout Europe have intensified to an unprecedented scale, and that undersea cables </w:t>
            </w:r>
            <w:r>
              <w:rPr>
                <w:b/>
                <w:i/>
              </w:rPr>
              <w:t>in the North and Baltic seas</w:t>
            </w:r>
            <w:r>
              <w:t xml:space="preserve"> have been sabotaged; calls </w:t>
            </w:r>
            <w:r>
              <w:rPr>
                <w:b/>
                <w:i/>
              </w:rPr>
              <w:t>for the swift delivery of the European Drone Defence Initiative and the Eastern Flank Watch flagships; calls</w:t>
            </w:r>
            <w:r>
              <w:t xml:space="preserve"> on the </w:t>
            </w:r>
            <w:r>
              <w:rPr>
                <w:b/>
                <w:i/>
              </w:rPr>
              <w:t>Commission to take the protection of undersea cables across all seas into account for the upcoming EU Security Strategy; calls for an increase in financing for repair</w:t>
            </w:r>
            <w:r>
              <w:t xml:space="preserve"> capabilities </w:t>
            </w:r>
            <w:r>
              <w:rPr>
                <w:b/>
                <w:i/>
              </w:rPr>
              <w:t>for undersea cables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c>
          <w:tcPr>
            <w:tcW w:w="4876" w:type="dxa"/>
            <w:tcBorders>
              <w:top w:val="nil"/>
              <w:left w:val="nil"/>
              <w:bottom w:val="nil"/>
              <w:right w:val="nil"/>
            </w:tcBorders>
          </w:tcPr>
          <w:p>
            <w:pPr>
              <w:pStyle w:val="Normal6a"/>
            </w:pPr>
            <w:r>
              <w:t>14.</w:t>
            </w:r>
            <w:r>
              <w:tab/>
            </w:r>
            <w:r>
              <w:t xml:space="preserve">Is alarmed that </w:t>
            </w:r>
            <w:r>
              <w:rPr>
                <w:b/>
                <w:i/>
              </w:rPr>
              <w:t>Russian</w:t>
            </w:r>
            <w:r>
              <w:t xml:space="preserve"> drone </w:t>
            </w:r>
            <w:r>
              <w:rPr>
                <w:b/>
                <w:i/>
              </w:rPr>
              <w:t>and missile</w:t>
            </w:r>
            <w:r>
              <w:t xml:space="preserve"> incursions and airspace violations </w:t>
            </w:r>
            <w:r>
              <w:rPr>
                <w:b/>
                <w:i/>
              </w:rPr>
              <w:t>by Russian military aircraft</w:t>
            </w:r>
            <w:r>
              <w:t xml:space="preserve"> throughout Europe</w:t>
            </w:r>
            <w:r>
              <w:rPr>
                <w:b/>
                <w:i/>
              </w:rPr>
              <w:t>, particularly along NATO’s eastern flank, ,</w:t>
            </w:r>
            <w:r>
              <w:t xml:space="preserve"> have intensified to an unprecedented scale, and that Baltic undersea cables have been sabotaged</w:t>
            </w:r>
            <w:r>
              <w:rPr>
                <w:b/>
                <w:i/>
              </w:rPr>
              <w:t>; strongly condemns recent drone incursions into the airspace of Member States, including Poland and Lithuania, as well as Russian drone strikes in the immediate vicinity of the EU’s external border</w:t>
            </w:r>
            <w:r>
              <w:t xml:space="preserve">; calls on the Member States to urgently build multilayered counter-unmanned aerial system capabilities, drawing on Ukraine’s expertise </w:t>
            </w:r>
            <w:r>
              <w:rPr>
                <w:b/>
                <w:i/>
              </w:rPr>
              <w:t>and ensuring full complementarity with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c>
          <w:tcPr>
            <w:tcW w:w="4876" w:type="dxa"/>
            <w:tcBorders>
              <w:top w:val="nil"/>
              <w:left w:val="nil"/>
              <w:bottom w:val="nil"/>
              <w:right w:val="nil"/>
            </w:tcBorders>
          </w:tcPr>
          <w:p>
            <w:pPr>
              <w:pStyle w:val="Normal6a"/>
            </w:pPr>
            <w:r>
              <w:t>14.</w:t>
            </w:r>
            <w:r>
              <w:tab/>
            </w:r>
            <w:r>
              <w:t xml:space="preserve">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 </w:t>
            </w:r>
            <w:r>
              <w:rPr>
                <w:b/>
                <w:i/>
              </w:rPr>
              <w:t>recognizes that the national resources of the Member States differ, therefore, urges the Commission to approve the Baltic States’ request for an additional EUR 500 million of EU funding to develop counter-drone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c>
          <w:tcPr>
            <w:tcW w:w="4876" w:type="dxa"/>
            <w:tcBorders>
              <w:top w:val="nil"/>
              <w:left w:val="nil"/>
              <w:bottom w:val="nil"/>
              <w:right w:val="nil"/>
            </w:tcBorders>
          </w:tcPr>
          <w:p>
            <w:pPr>
              <w:pStyle w:val="Normal6a"/>
            </w:pPr>
            <w:r>
              <w:t>14.</w:t>
            </w:r>
            <w:r>
              <w:tab/>
            </w:r>
            <w:r>
              <w:t xml:space="preserve">Is alarmed that drone incursions and airspace violations throughout Europe have intensified to an unprecedented scale, and that Baltic undersea cables have been sabotaged; </w:t>
            </w:r>
            <w:r>
              <w:rPr>
                <w:b/>
                <w:i/>
              </w:rPr>
              <w:t>recalls the deliberate acts that damaged the Nord Stream 1 and Nord Stream 2 pipelines in the Baltic Sea and stresses the need to fully clarify attacks against critical European underwater infrastructure;</w:t>
            </w:r>
            <w:r>
              <w:t xml:space="preserve"> calls on the Member States to urgently build multilayered counter-unmanned aerial system capabilities, drawing on Ukraine’s expertise;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alarmed that drone incursions and airspace violations throughout Europe have intensified to an unprecedented scale, and that Baltic undersea cables have been sabotaged; calls on the Member States to urgently build multilayered counter-unmanned aerial system capabilities, drawing on Ukraine’s expertise;</w:t>
            </w:r>
          </w:p>
        </w:tc>
        <w:tc>
          <w:tcPr>
            <w:tcW w:w="4876" w:type="dxa"/>
            <w:tcBorders>
              <w:top w:val="nil"/>
              <w:left w:val="nil"/>
              <w:bottom w:val="nil"/>
              <w:right w:val="nil"/>
            </w:tcBorders>
          </w:tcPr>
          <w:p>
            <w:pPr>
              <w:pStyle w:val="Normal6a"/>
            </w:pPr>
            <w:r>
              <w:t>14.</w:t>
            </w:r>
            <w:r>
              <w:tab/>
            </w:r>
            <w:r>
              <w:t xml:space="preserve">Is alarmed that drone incursions and airspace violations </w:t>
            </w:r>
            <w:r>
              <w:rPr>
                <w:b/>
                <w:i/>
              </w:rPr>
              <w:t>and sabotage actions against infrastructure</w:t>
            </w:r>
            <w:r>
              <w:t xml:space="preserve"> throughout Europe have intensified to an unprecedented scale, and that Baltic undersea cables have been sabotaged; calls on the Member States to urgently build multilayered counter-unmanned aerial system capabilities, drawing on Ukraine’s expertise;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credible European defence requires, first and foremost, a common and realistic understanding of the threats facing Europe; regrets that for too long the scale and nature of the threat posed by Russia, including its willingness to use military force, hybrid warfare, sabotage and coercion against its neighbours and European countries, were underestimated; expresses concern, in this context, at renewed attempts at high-level bilateral political engagement with Russia, including the recent meeting between the German and Russian Foreign Ministers on the margins of the UN General Assembly in New York, the first such bilateral meeting since Russia launched its full-scale war of aggression against Ukraine; stresses that defence priorities, planning, capability development and investment must be based on a clear-eyed assessment of present and emerging threats and reflect the particular exposure and strategic importance of NATO’s and the EU’s eastern flank, which must remain a priority for European defence efforts;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José Cepeda, Cecilia Strada,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Regrets the withdrawal of several Member States from key humanitarian disarmament treaties, notably the 1997 Anti-Personnel Mine Ban Convention and the 2008 Convention on Cluster Munitions; recognises the legitimate security concerns of Member States exposed to the Russian threat, while stressing the devastating and long-lasting humanitarian consequences of these weapons for civilian populations; considers, in particular, that technological and operational developments in modern warfare have significantly eroded the military relevance of anti-personnel mines; calls on the Union and its Member States to continue upholding and promoting the norms established by these Conventions, to prevent further erosion of the humanitarian disarmament architecture and to pursue their universalisation;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Considers that the continued transit of goods between the EU and China or Central Asia through Russian and Belarusian territory along the Northern Corridor is incompatible with the EU's security interests, as it provides revenue to the Russian and Belarusian authorities, weakens the impact of sanctions and creates a strategic dependency on hostile transit states; calls on the Council and the Commission to prepare, in coordination with the Member States concerned, a gradual phased-out of the Northern Corridor trade, including through restrictive measures on rail and road transit via Russia and Belarus and the coordinated suspension of the relevant border crossings, with exemptions for humanitarian goods and a transition period to protect EU supply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Nicolás Pascual de la Parte, Hélder Sousa Silva, Gabriel Mato, Isabel Benjumea Benjumea, Maravillas Abadía Jover, Pilar del Castillo Vera, Rosa Estaràs Ferragut, Adrián Vázquez Lázara, Elena Nevado del Campo, Francisco José Millán Mon, Raúl de la Hoz Quintano, Javier Zarzalejos, Carmen Crespo Díaz, Fernando Navarrete Rojas, Esteban González Pons, Pablo Arias Echeverría, Alma Ezcurra Almansa, Borja Giménez Larraz, Esther Herranz García, Antonio López-Istúriz White, Dolors Montserrat, Susana Solís Pérez, 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for a stronger and better-coordinated EU and NATO response to hybrid threats targeting the territorial integrity, sovereignty and security of Member States; stresses, in this regard, that the instrumentalisation of irregular migration flows can be used as a tool of hybrid warfare aimed at destabilising and exerting pressure on Member States, as demonstrated by the recent events in Ceuta; calls for enhanced preparedness, coordination and protection against hybrid threats, including sabotage, cyber-attacks and attacks against critical security and defence infrastructure, such as undersea cables, pipelines, energy networks and maritime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military superiority now depends on mastering disruptive technologies;</w:t>
            </w:r>
            <w:r>
              <w:t xml:space="preserve"> </w:t>
            </w:r>
            <w:r>
              <w:rPr>
                <w:b/>
                <w:i/>
              </w:rPr>
              <w:t>calls on the Member States to accelerate their investment and cooperation in defence AI, a sovereign cloud and social media, autonomous systems, data fusion and intelligence, semiconductors, high-performance computing as well as quantum technologies, including communications, sensors and post-quantum cryptography;</w:t>
            </w:r>
            <w:r>
              <w:t xml:space="preserve"> </w:t>
            </w:r>
            <w:r>
              <w:rPr>
                <w:b/>
                <w:i/>
              </w:rPr>
              <w:t>stresses the need for Europe to master the critical technologies that are essential for conducting high-intensity operations;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energy security is an integral part of European security; calls for enhanced protection and resilience of critical energy infrastructure, including undersea cables, pipelines, LNG infrastructure and electricity interconnectors, to be strengthened across all EU sea basins, including the Mediterranean; underlines the need to reduce strategic dependencies on imported energy sources, diversify supply routes and sources, accelerate the clean energy transition and strengthen secure and diversified European energy supply, as essential elements of the Union’s resilience and defence preparedness;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military readiness must be underpinned by strong civilian preparedness and societal resilience; calls on the Commission, the VP/HR and the Member States to accelerate the implementation of the EU Preparedness Union Strategy, including through comprehensive civil-military preparedness arrangements, dual-use planning and investment, public-private emergency protocols and regular preparedness exercises; underlines the need to strengthen the resilience of critical infrastructure, including energy, transport, digital and communications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cyberattacks constitute an increasingly central component of contemporary conflicts and hybrid campaigns; calls on the EU and its Member States to strengthen collective cyber defence, including through improved intelligence-sharing, attribution capabilities, protection of critical infrastructure and coordinated response mechanisms; calls for closer cooperation between the EU, NATO, Member States, and like-minded partners to strengthen deterrence and resilience against all malicious cyber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Recalls the strategic importance of the EU’s outermost regions and overseas countries and territories (OCTs), which are essential assets for the deployment and protection of submarine cables and other critical infrastructure, in relation to space-related challenges from French Guiana and the Kourou Space Centre, for the supply of critical and strategic raw materials and minerals in New Caledonia, or for Arctic security with Greenland;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Deplores that the perpetrators of these acts largely go unpunished, owing to the gaps and grey zones of the international law of the sea; calls on the Commission and the Member States to develop, building on the EU Cable Security Action Plan, the legal and regulatory means to deter, stop and prosecute the perpetrators and their sponsors, including through enhanced maritime surveillance and seabed monitoring, systematic attribution, and sanctions against the vessels, operators and States involved;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the need to strengthen cooperation on maritime domain awareness and the protection of strategic sea lanes of communications, as well as maritime and underwater infrastructure, to contribute to stability and economic security; welcomes the approval of Integrated Maritime and Seabed Defence (IMSD) as a European Defence Project of Common Interest (EDPCI), strengthening European cooperation and capabilities to identify, deter and respond to threats at sea and on the seabed;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strengthening European defence readiness requires a whole-of-society and civil-military approach to preparedness; calls for regular joint exercises involving armed forces, civil protection authorities and relevant operators of critical infrastructure, including scenarios involving hybrid attacks, large-scale disruption of energy and communications networks, military mobility and mass-casualty incidents;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Warns that, as with Russian gas in the past, Europe's dependence on China for rare earths and other critical raw materials is a strategic vulnerability for its defence industry; calls for the diversification of supply chains and joint stockpiling; calls for Rosatom and its subsidiaries to be included in the EU sanctions lists;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Is alarmed by reports that the Spanish Navy has sighted a weekly average of 50 vessels from Russia's shadow fleet navigating near the Spanish coast, acording to Spain's 2025 Annual National Security Report; stresses that these figures reflect the growing vulnerability of the European Union's Southern Border;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for strategic and proactive measures to counter hybrid threats and to prevent third party interference in the political, electoral and other democratic processes of the accession countries, in particular malicious acts aimed at manipulating public opinion and undermining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for the EU to play a significant role in the Mediterranean and to become an actor able to guarantee the stability of the region and respect for international law and UNCLOS, including in relation to energy security; calls for enhanced cooperation with partner countries in the Mediterranean to combat extremism, terrorism and the illicit trade in weapons; condemns the Memorandum of Understanding between Türkiye and Libya on the delimitation of maritime jurisdiction areas in the Mediterranean, which infringes upon the sovereign rights of Member States, does not comply with UNCLOS and cannot produce any legal consequences for third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Notes with growing concern China's continued pressure on freedom of navigation and critical infrastructure; condemns China’s intensified efforts to unilaterally alter the status quo in the Taiwan Strait, the South China Sea and the wider Indo-Pacific region, and recalls that the UN Charter’s prohibition of the threat or use of force applies to these regions; expresses particular concern over China’s near-daily military activities around Taiwan and exercises increasingly focused on joint blockade and control operations, strengthening its ability to encircle Taiwan and disrupt its external sea lines of communication;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on the Commission and the Member States to accelerate the development of the Trans-Caspian International Transport Route (Middle Corridor) as a secure alternative, including through the investments announced at the first EU-Central Asia summit, the modernisation of Black Sea ports and the Danube corridor, and protection of Black Sea shipping; stresses that the Central Asian partners, who remain heavily dependent on Russian transit, must be supported in diversifying the transit of goods to and from European markets by bypassing Russian territory;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on the Commission to establish a dialogue with Southern Mediterranean partners on the security of submarine cables, in line with the EU Action Plan on Cable Security, including measures on detection, response and recovery, as proposed in the Pact for the Mediterranean; recalls that security is an indispensable pillar and an essential precondition for the prosperity and peace of the Common Mediterranean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Reiterates that China’s refusal to renounce the use of force against Taiwan poses a serious threat to regional stability; stresses that European and Indo-Pacific security are inextricably linked and that any military escalation in the Taiwan Strait would have far-reaching consequences for Europe’s security, economic interests and supply chains; commends freedom of navigation operations and transits carried out by international partners in the Taiwan Strait and the wider Indo-Pacific region, demonstrating a strong international commitment to upholding international law, including the UN Convention on the Law of the 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Takes note of the European Defence Agency’s (EDA) first annual defence readiness report and its warning that Europe must make a decisive shift in the scale and pace of defence investment, capability development, innovation and industrial capacity; stresses that current efforts remain insufficient to close Europe’s critical capability gaps and strengthen defence readiness; calls on the Member States to urgently accelerate investment, joint procurement, industrial production and capability development in line with the EDA’s findings;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Stresses that Russia’s full-scale aggression of Ukraine has already lasted longer than World War I; praises the bravery of the Ukrainian army and population; supports a sustainable and just peace in Ukraine, where the aggressor is not rewarded and international law is upheld;</w:t>
            </w:r>
            <w:r>
              <w:t xml:space="preserve"> reiterates its </w:t>
            </w:r>
            <w:r>
              <w:rPr>
                <w:b/>
                <w:i/>
              </w:rPr>
              <w:t>unwavering support for</w:t>
            </w:r>
            <w:r>
              <w:t xml:space="preserve"> Ukraine’s sovereignty and territorial integrity;</w:t>
            </w:r>
          </w:p>
        </w:tc>
        <w:tc>
          <w:tcPr>
            <w:tcW w:w="4876" w:type="dxa"/>
            <w:tcBorders>
              <w:top w:val="nil"/>
              <w:left w:val="nil"/>
              <w:bottom w:val="nil"/>
              <w:right w:val="nil"/>
            </w:tcBorders>
          </w:tcPr>
          <w:p>
            <w:pPr>
              <w:pStyle w:val="Normal6a"/>
            </w:pPr>
            <w:r>
              <w:t>15.</w:t>
            </w:r>
            <w:r>
              <w:tab/>
            </w:r>
            <w:r>
              <w:t xml:space="preserve">Reiterates its </w:t>
            </w:r>
            <w:r>
              <w:rPr>
                <w:b/>
                <w:i/>
              </w:rPr>
              <w:t>condemnation of Russia’s continued war of aggression against Ukraine in the strongest possible terms and demands that Russia immediately terminate all military activities in Ukraine, unconditionally withdraw all forces and military equipment from the entire internationally recognised territory of Ukraine and compensate Ukraine for the damage caused to its people, land and infrastructure; expresses its undivided solidarity with the people of Ukraine, fully supports</w:t>
            </w:r>
            <w:r>
              <w:t xml:space="preserve"> Ukraine’s </w:t>
            </w:r>
            <w:r>
              <w:rPr>
                <w:b/>
                <w:i/>
              </w:rPr>
              <w:t>independence,</w:t>
            </w:r>
            <w:r>
              <w:t xml:space="preserve"> sovereignty and territorial integrity </w:t>
            </w:r>
            <w:r>
              <w:rPr>
                <w:b/>
                <w:i/>
              </w:rPr>
              <w:t>within its internationally recognised borders, and underlines that this war constitutes a serious violation of international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Stresses that Russia’s full-scale aggression of Ukraine has already lasted </w:t>
            </w:r>
            <w:r>
              <w:rPr>
                <w:b/>
                <w:i/>
              </w:rPr>
              <w:t>longer than World War I; praises the bravery of the</w:t>
            </w:r>
            <w:r>
              <w:t xml:space="preserve"> Ukrainian </w:t>
            </w:r>
            <w:r>
              <w:rPr>
                <w:b/>
                <w:i/>
              </w:rPr>
              <w:t>army and population</w:t>
            </w:r>
            <w:r>
              <w:t>; supports a sustainable and just peace in Ukraine</w:t>
            </w:r>
            <w:r>
              <w:rPr>
                <w:b/>
                <w:i/>
              </w:rPr>
              <w:t>, where the aggressor is not rewarded and international law is upheld</w:t>
            </w:r>
            <w:r>
              <w:t>; reiterates its unwavering support for Ukraine’s sovereignty and territorial integrity;</w:t>
            </w:r>
          </w:p>
        </w:tc>
        <w:tc>
          <w:tcPr>
            <w:tcW w:w="4876" w:type="dxa"/>
            <w:tcBorders>
              <w:top w:val="nil"/>
              <w:left w:val="nil"/>
              <w:bottom w:val="nil"/>
              <w:right w:val="nil"/>
            </w:tcBorders>
          </w:tcPr>
          <w:p>
            <w:pPr>
              <w:pStyle w:val="Normal6a"/>
            </w:pPr>
            <w:r>
              <w:t>15.</w:t>
            </w:r>
            <w:r>
              <w:tab/>
            </w:r>
            <w:r>
              <w:t xml:space="preserve">Stresses that Russia’s full-scale aggression of Ukraine has already lasted </w:t>
            </w:r>
            <w:r>
              <w:rPr>
                <w:b/>
                <w:i/>
              </w:rPr>
              <w:t>more than 4 years; deeply deplores and condemns the immense human suffering, including the killing and injuring of thousands of civilians, and the indiscriminate bombing and destruction of</w:t>
            </w:r>
            <w:r>
              <w:t xml:space="preserve"> Ukrainian </w:t>
            </w:r>
            <w:r>
              <w:rPr>
                <w:b/>
                <w:i/>
              </w:rPr>
              <w:t>civil infrastructure</w:t>
            </w:r>
            <w:r>
              <w:t>; supports a sustainable and just peace in Ukraine</w:t>
            </w:r>
            <w:r>
              <w:rPr>
                <w:b/>
                <w:i/>
              </w:rPr>
              <w:t>; urges the EU and its Member States to step up their efforts to support negotiating a ceasefire and prioritise diplomatic engagement and develop a comprehensive, inclusive and transparent peace initiative for Ukraine under the auspices of the UN and the OSCE since diplomatic engagement is the only path ending the war and preventing further loss of life</w:t>
            </w:r>
            <w:r>
              <w:t>; reiterates its unwavering support for Ukraine’s sovereignty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Stresses that Russia’s full-scale aggression of Ukraine has already lasted longer than World War I; praises the bravery of the Ukrainian army and population; supports a sustainable and just peace in Ukraine, where the aggressor is not rewarded and international law is upheld; reiterates its unwavering support for Ukraine’s sovereignty and territorial integrity;</w:t>
            </w:r>
          </w:p>
        </w:tc>
        <w:tc>
          <w:tcPr>
            <w:tcW w:w="4876" w:type="dxa"/>
            <w:tcBorders>
              <w:top w:val="nil"/>
              <w:left w:val="nil"/>
              <w:bottom w:val="nil"/>
              <w:right w:val="nil"/>
            </w:tcBorders>
          </w:tcPr>
          <w:p>
            <w:pPr>
              <w:pStyle w:val="Normal6a"/>
            </w:pPr>
            <w:r>
              <w:t>15.</w:t>
            </w:r>
            <w:r>
              <w:tab/>
            </w:r>
            <w:r>
              <w:t xml:space="preserve">Stresses that Russia’s full-scale aggression of Ukraine has already lasted longer than World War I; praises the bravery of the Ukrainian army and population; supports a sustainable and just peace in Ukraine, where the aggressor is not rewarded and international law is upheld; reiterates its unwavering support for Ukraine’s sovereignty and territorial integrity; </w:t>
            </w:r>
            <w:r>
              <w:rPr>
                <w:b/>
                <w:i/>
              </w:rPr>
              <w:t>stresses that a diplomatic settlement is, ultimately, inevitable if the Russian aggression is to be brought to an end;</w:t>
            </w:r>
            <w:r>
              <w:t xml:space="preserve"> </w:t>
            </w:r>
            <w:r>
              <w:rPr>
                <w:b/>
                <w:i/>
              </w:rPr>
              <w:t>believes that it is in the interest of the Member States to play a more active role in the negotiations, speaking with one voice directly to the Russian side and in close coordination with Ukraine and the United States, in order to advance a peace agreement that guarantees the long-term security of Ukraine and Europe as a whole;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Stresses that Russia’s full-scale aggression of Ukraine has already lasted longer than World War I; praises the bravery of the Ukrainian army and population; </w:t>
            </w:r>
            <w:r>
              <w:rPr>
                <w:b/>
                <w:i/>
              </w:rPr>
              <w:t>supports a sustainable and just peace in</w:t>
            </w:r>
            <w:r>
              <w:t xml:space="preserve"> Ukraine</w:t>
            </w:r>
            <w:r>
              <w:rPr>
                <w:b/>
                <w:i/>
              </w:rPr>
              <w:t>, where the aggressor is not rewarded and international law is upheld; reiterates its unwavering support for Ukraine’s</w:t>
            </w:r>
            <w:r>
              <w:t xml:space="preserve"> sovereignty and territorial integrity;</w:t>
            </w:r>
          </w:p>
        </w:tc>
        <w:tc>
          <w:tcPr>
            <w:tcW w:w="4876" w:type="dxa"/>
            <w:tcBorders>
              <w:top w:val="nil"/>
              <w:left w:val="nil"/>
              <w:bottom w:val="nil"/>
              <w:right w:val="nil"/>
            </w:tcBorders>
          </w:tcPr>
          <w:p>
            <w:pPr>
              <w:pStyle w:val="Normal6a"/>
            </w:pPr>
            <w:r>
              <w:t>15.</w:t>
            </w:r>
            <w:r>
              <w:tab/>
            </w:r>
            <w:r>
              <w:t>Stresses that Russia’s full-scale aggression of Ukraine has already lasted longer than World War I; praises the bravery of the Ukrainian army and population; </w:t>
            </w:r>
            <w:r>
              <w:rPr>
                <w:b/>
                <w:i/>
              </w:rPr>
              <w:t>stresses that</w:t>
            </w:r>
            <w:r>
              <w:t xml:space="preserve"> Ukraine </w:t>
            </w:r>
            <w:r>
              <w:rPr>
                <w:b/>
                <w:i/>
              </w:rPr>
              <w:t>must be supported for as long as necessary and on terms that enable Ukraine to defend its</w:t>
            </w:r>
            <w:r>
              <w:t xml:space="preserve"> sovereignty and territorial integrity </w:t>
            </w:r>
            <w:r>
              <w:rPr>
                <w:b/>
                <w:i/>
              </w:rPr>
              <w:t>and win the war</w:t>
            </w:r>
            <w:r>
              <w:t xml:space="preserve">; </w:t>
            </w:r>
            <w:r>
              <w:rPr>
                <w:b/>
                <w:i/>
              </w:rPr>
              <w:t>calls on the EU and its Member States to prioritise the provision of air and missile defence, long-range capabilities, ammunition and other critical capabilities; stresses that military assistance provided to Ukraine should be usable to its full operational potential and calls for the removal of any restrictions that prevent Ukraine from effectively employing capabilities provided by Nato and EU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Stresses that Russia’s full-scale aggression of Ukraine has already lasted longer than World War I; praises the bravery of the Ukrainian army and population; supports a sustainable and just peace in Ukraine, </w:t>
            </w:r>
            <w:r>
              <w:rPr>
                <w:b/>
                <w:i/>
              </w:rPr>
              <w:t>where the aggressor is not rewarded and international law is upheld</w:t>
            </w:r>
            <w:r>
              <w:t xml:space="preserve">; reiterates its </w:t>
            </w:r>
            <w:r>
              <w:rPr>
                <w:b/>
                <w:i/>
              </w:rPr>
              <w:t>unwavering</w:t>
            </w:r>
            <w:r>
              <w:t xml:space="preserve"> support for Ukraine’s sovereignty and territorial integrity;</w:t>
            </w:r>
          </w:p>
        </w:tc>
        <w:tc>
          <w:tcPr>
            <w:tcW w:w="4876" w:type="dxa"/>
            <w:tcBorders>
              <w:top w:val="nil"/>
              <w:left w:val="nil"/>
              <w:bottom w:val="nil"/>
              <w:right w:val="nil"/>
            </w:tcBorders>
          </w:tcPr>
          <w:p>
            <w:pPr>
              <w:pStyle w:val="Normal6a"/>
            </w:pPr>
            <w:r>
              <w:t>15.</w:t>
            </w:r>
            <w:r>
              <w:tab/>
            </w:r>
            <w:r>
              <w:t xml:space="preserve">Stresses that Russia's full-scale aggression of Ukraine has already lasted longer than World War I; praises the bravery of the Ukrainian army and population; supports a sustainable and just peace in Ukraine, </w:t>
            </w:r>
            <w:r>
              <w:rPr>
                <w:b/>
                <w:i/>
              </w:rPr>
              <w:t>to be achieved through a negotiated settlement; calls, to that end, for the opening of comprehensive negotiations involving all parties concerned; stresses that a further prolongation of the fighting costs lives on a daily basis without altering the fundamental military situation on the ground</w:t>
            </w:r>
            <w:r>
              <w:t>; reiterates its support for Ukraine's sovereignty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Stresses that Russia’s full-scale aggression </w:t>
            </w:r>
            <w:r>
              <w:rPr>
                <w:b/>
                <w:i/>
              </w:rPr>
              <w:t>of</w:t>
            </w:r>
            <w:r>
              <w:t xml:space="preserve"> Ukraine has already lasted longer than World War I; praises the bravery of the Ukrainian army and population; supports a </w:t>
            </w:r>
            <w:r>
              <w:rPr>
                <w:b/>
                <w:i/>
              </w:rPr>
              <w:t>sustainable and just</w:t>
            </w:r>
            <w:r>
              <w:t xml:space="preserve"> peace in Ukraine, where the aggressor is not rewarded </w:t>
            </w:r>
            <w:r>
              <w:rPr>
                <w:b/>
                <w:i/>
              </w:rPr>
              <w:t>and international law is upheld</w:t>
            </w:r>
            <w:r>
              <w:t>; reiterates its unwavering support for Ukraine’s sovereignty and territorial integrity;</w:t>
            </w:r>
          </w:p>
        </w:tc>
        <w:tc>
          <w:tcPr>
            <w:tcW w:w="4876" w:type="dxa"/>
            <w:tcBorders>
              <w:top w:val="nil"/>
              <w:left w:val="nil"/>
              <w:bottom w:val="nil"/>
              <w:right w:val="nil"/>
            </w:tcBorders>
          </w:tcPr>
          <w:p>
            <w:pPr>
              <w:pStyle w:val="Normal6a"/>
            </w:pPr>
            <w:r>
              <w:t>15.</w:t>
            </w:r>
            <w:r>
              <w:tab/>
            </w:r>
            <w:r>
              <w:t xml:space="preserve">Stresses that Russia’s full-scale aggression </w:t>
            </w:r>
            <w:r>
              <w:rPr>
                <w:b/>
                <w:i/>
              </w:rPr>
              <w:t>against</w:t>
            </w:r>
            <w:r>
              <w:t xml:space="preserve"> Ukraine has already lasted longer than World War I; praises the bravery of the Ukrainian army and population; </w:t>
            </w:r>
            <w:r>
              <w:rPr>
                <w:b/>
                <w:i/>
              </w:rPr>
              <w:t>recalls that Ukraine’s security is integral to European security as a whole;</w:t>
            </w:r>
            <w:r>
              <w:t xml:space="preserve"> supports a </w:t>
            </w:r>
            <w:r>
              <w:rPr>
                <w:b/>
                <w:i/>
              </w:rPr>
              <w:t>comprehensive, just and lasting</w:t>
            </w:r>
            <w:r>
              <w:t xml:space="preserve"> peace in Ukraine</w:t>
            </w:r>
            <w:r>
              <w:rPr>
                <w:b/>
                <w:i/>
              </w:rPr>
              <w:t>, based on full respect for international law and accountability for war crimes, crimes against humanity and the crime of aggression</w:t>
            </w:r>
            <w:r>
              <w:t xml:space="preserve">, where the aggressor is not rewarded; reiterates its unwavering support for Ukraine’s </w:t>
            </w:r>
            <w:r>
              <w:rPr>
                <w:b/>
                <w:i/>
              </w:rPr>
              <w:t>independence,</w:t>
            </w:r>
            <w:r>
              <w:t xml:space="preserve"> sovereignty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Stresses that Russia’s full-scale aggression of Ukraine has already lasted longer than World War I; praises the bravery of the Ukrainian army and population; supports a sustainable and just peace in Ukraine, where the aggressor is not rewarded and international law is upheld; reiterates its unwavering support for Ukraine’s sovereignty and territorial integrity;</w:t>
            </w:r>
          </w:p>
        </w:tc>
        <w:tc>
          <w:tcPr>
            <w:tcW w:w="4876" w:type="dxa"/>
            <w:tcBorders>
              <w:top w:val="nil"/>
              <w:left w:val="nil"/>
              <w:bottom w:val="nil"/>
              <w:right w:val="nil"/>
            </w:tcBorders>
          </w:tcPr>
          <w:p>
            <w:pPr>
              <w:pStyle w:val="Normal6a"/>
            </w:pPr>
            <w:r>
              <w:t>15.</w:t>
            </w:r>
            <w:r>
              <w:tab/>
            </w:r>
            <w:r>
              <w:t xml:space="preserve">Stresses that Russia’s full-scale aggression of Ukraine has already lasted longer than World War I; praises the bravery of the Ukrainian army and population; supports a sustainable and just peace in Ukraine, where the aggressor is not rewarded and international law is upheld; reiterates its unwavering support for Ukraine’s sovereignty and territorial integrity </w:t>
            </w:r>
            <w:r>
              <w:rPr>
                <w:b/>
                <w:i/>
              </w:rPr>
              <w:t>and, in this context, welcomes the encouragement given to Member States to support Ukraine with equipment procured with financial assistance under the “Security for Europe” (SAFE) Instrument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Stresses that Russia’s full-scale aggression of Ukraine has already lasted longer than World War I; praises the bravery of the Ukrainian army and population; supports a sustainable and just peace in Ukraine, where the aggressor is not rewarded and international law is upheld; reiterates its unwavering support for Ukraine’s sovereignty and territorial integrity;</w:t>
            </w:r>
          </w:p>
        </w:tc>
        <w:tc>
          <w:tcPr>
            <w:tcW w:w="4876" w:type="dxa"/>
            <w:tcBorders>
              <w:top w:val="nil"/>
              <w:left w:val="nil"/>
              <w:bottom w:val="nil"/>
              <w:right w:val="nil"/>
            </w:tcBorders>
          </w:tcPr>
          <w:p>
            <w:pPr>
              <w:pStyle w:val="Normal6a"/>
            </w:pPr>
            <w:r>
              <w:t>15.</w:t>
            </w:r>
            <w:r>
              <w:tab/>
            </w:r>
            <w:r>
              <w:t>Stresses that Russia’s full-scale aggression of Ukraine has already lasted longer than World War I; praises the bravery of the Ukrainian army and population; supports a sustainable and just peace in Ukraine, where the aggressor is not rewarded and international law is upheld</w:t>
            </w:r>
            <w:r>
              <w:rPr>
                <w:b/>
                <w:i/>
              </w:rPr>
              <w:t>, based on accountability for war crimes, crimes against humanity and the crime of aggression, and on Russia paying for the massive damage it has caused in Ukraine</w:t>
            </w:r>
            <w:r>
              <w:t>; reiterates its unwavering support for Ukraine’s sovereignty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Stresses that Russia’s </w:t>
            </w:r>
            <w:r>
              <w:rPr>
                <w:b/>
                <w:i/>
              </w:rPr>
              <w:t>full-scale</w:t>
            </w:r>
            <w:r>
              <w:t xml:space="preserve"> aggression </w:t>
            </w:r>
            <w:r>
              <w:rPr>
                <w:b/>
                <w:i/>
              </w:rPr>
              <w:t>of</w:t>
            </w:r>
            <w:r>
              <w:t xml:space="preserve"> Ukraine has already lasted longer than World War I; praises the bravery of the Ukrainian army and population; supports a sustainable and just peace in Ukraine, where the aggressor is not rewarded and international law is upheld; reiterates its unwavering support for Ukraine’s sovereignty and territorial integrity;</w:t>
            </w:r>
          </w:p>
        </w:tc>
        <w:tc>
          <w:tcPr>
            <w:tcW w:w="4876" w:type="dxa"/>
            <w:tcBorders>
              <w:top w:val="nil"/>
              <w:left w:val="nil"/>
              <w:bottom w:val="nil"/>
              <w:right w:val="nil"/>
            </w:tcBorders>
          </w:tcPr>
          <w:p>
            <w:pPr>
              <w:pStyle w:val="Normal6a"/>
            </w:pPr>
            <w:r>
              <w:t>15.</w:t>
            </w:r>
            <w:r>
              <w:tab/>
            </w:r>
            <w:r>
              <w:t xml:space="preserve">Stresses that Russia’s aggression </w:t>
            </w:r>
            <w:r>
              <w:rPr>
                <w:b/>
                <w:i/>
              </w:rPr>
              <w:t>against</w:t>
            </w:r>
            <w:r>
              <w:t xml:space="preserve"> Ukraine has already lasted longer than World War I </w:t>
            </w:r>
            <w:r>
              <w:rPr>
                <w:b/>
                <w:i/>
              </w:rPr>
              <w:t>and II</w:t>
            </w:r>
            <w:r>
              <w:t>; praises the bravery of the Ukrainian army and population; supports a sustainable and just peace in Ukraine, where the aggressor is not rewarded and international law is upheld; reiterates its unwavering support for Ukraine’s sovereignty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Welcomes Regulation (EU) 2026/467 of 24 February 2026 establishing the EUR 90 billion Ukraine Support Loan, the finalisation of its 2026 tranche of up to EUR 45 billion by Council Implementing Decision (EU) 2026/919 of 23 April 2026, and the disbursements under its defence pillar for the procurement of drones and missiles; welcomes the Commission's intention, announced in the State of the Union address, to use the remaining funds under the SAFE instrument for a new programme of joint defence projects with Ukrainian companies, with an initial focus on air and missile defence; insists that this programme be designed transparently, in consultation with all Member States, with Parliament fully involved and with priority given to projects that strengthen both Ukraine's defence and the EDTIB; considers that the Commission proposal to use frozen Russian assets remains a legally sound and financially significant way to increase EU support for Ukraine's military needs; reiterates its call on the Member States, together with their G7 partners, to immediately endorse the Commission proposal to use all frozen Russian assets as the basis for a substantial loan to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Urges the EU and its Member States to enhance their military</w:t>
            </w:r>
            <w:r>
              <w:t xml:space="preserve"> support for Ukraine</w:t>
            </w:r>
            <w:r>
              <w:rPr>
                <w:b/>
                <w:i/>
              </w:rPr>
              <w:t>; urges the adoption and implementation of</w:t>
            </w:r>
            <w:r>
              <w:t xml:space="preserve"> the European </w:t>
            </w:r>
            <w:r>
              <w:rPr>
                <w:b/>
                <w:i/>
              </w:rPr>
              <w:t>Sky Shield Initiative; welcome the Freya air defence project; welcomes the adoption in April 2026 of the EUR 90 billion financial support loan for</w:t>
            </w:r>
            <w:r>
              <w:t xml:space="preserve"> Ukraine; </w:t>
            </w:r>
            <w:r>
              <w:rPr>
                <w:b/>
                <w:i/>
              </w:rPr>
              <w:t>considers</w:t>
            </w:r>
            <w:r>
              <w:t xml:space="preserve"> that the </w:t>
            </w:r>
            <w:r>
              <w:rPr>
                <w:b/>
                <w:i/>
              </w:rPr>
              <w:t>Commission proposal to use frozen Russian</w:t>
            </w:r>
            <w:r>
              <w:t xml:space="preserve"> assets </w:t>
            </w:r>
            <w:r>
              <w:rPr>
                <w:b/>
                <w:i/>
              </w:rPr>
              <w:t>remains a legally sound and financially significant way to increase EU support for Ukraine’s military needs; calls for transferring Russian frozen assets held in the EU</w:t>
            </w:r>
            <w:r>
              <w:t xml:space="preserve"> to a special-purpose vehicle </w:t>
            </w:r>
            <w:r>
              <w:rPr>
                <w:b/>
                <w:i/>
              </w:rPr>
              <w:t>as a first step, which would protect EU</w:t>
            </w:r>
            <w:r>
              <w:t xml:space="preserve"> Member </w:t>
            </w:r>
            <w:r>
              <w:rPr>
                <w:b/>
                <w:i/>
              </w:rPr>
              <w:t>States’ interests</w:t>
            </w:r>
            <w:r>
              <w:t>;</w:t>
            </w:r>
          </w:p>
        </w:tc>
        <w:tc>
          <w:tcPr>
            <w:tcW w:w="4876" w:type="dxa"/>
            <w:tcBorders>
              <w:top w:val="nil"/>
              <w:left w:val="nil"/>
              <w:bottom w:val="nil"/>
              <w:right w:val="nil"/>
            </w:tcBorders>
          </w:tcPr>
          <w:p>
            <w:pPr>
              <w:pStyle w:val="Normal6a"/>
            </w:pPr>
            <w:r>
              <w:t>16.</w:t>
            </w:r>
            <w:r>
              <w:tab/>
            </w:r>
            <w:r>
              <w:rPr>
                <w:b/>
                <w:i/>
              </w:rPr>
              <w:t>Recalls that</w:t>
            </w:r>
            <w:r>
              <w:t xml:space="preserve"> support for Ukraine </w:t>
            </w:r>
            <w:r>
              <w:rPr>
                <w:b/>
                <w:i/>
              </w:rPr>
              <w:t>is decided by each Member State on its own responsibility and from its own budget; recalls that</w:t>
            </w:r>
            <w:r>
              <w:t xml:space="preserve"> the European </w:t>
            </w:r>
            <w:r>
              <w:rPr>
                <w:b/>
                <w:i/>
              </w:rPr>
              <w:t>Council, at its meeting of 18 and 19 December 2025, did not endorse the use of immobilised Russian sovereign assets as the basis for a loan to</w:t>
            </w:r>
            <w:r>
              <w:t xml:space="preserve"> Ukraine; </w:t>
            </w:r>
            <w:r>
              <w:rPr>
                <w:b/>
                <w:i/>
              </w:rPr>
              <w:t>warns</w:t>
            </w:r>
            <w:r>
              <w:t xml:space="preserve"> that the </w:t>
            </w:r>
            <w:r>
              <w:rPr>
                <w:b/>
                <w:i/>
              </w:rPr>
              <w:t>transfer of those</w:t>
            </w:r>
            <w:r>
              <w:t xml:space="preserve"> assets to a special-purpose vehicle</w:t>
            </w:r>
            <w:r>
              <w:rPr>
                <w:b/>
                <w:i/>
              </w:rPr>
              <w:t>, or their use as collateral, raises serious concerns as regards the customary international law principle of State immunity from execution, that it is the subject of pending proceedings before the Court of Justice of the European Union and of numerous actions before third-country courts, and that it exposes the</w:t>
            </w:r>
            <w:r>
              <w:t xml:space="preserve"> Member </w:t>
            </w:r>
            <w:r>
              <w:rPr>
                <w:b/>
                <w:i/>
              </w:rPr>
              <w:t>State hosting the central securities depository concerned, the Union budget and the international role of the euro to substantial financial and reputational risks</w:t>
            </w:r>
            <w:r>
              <w:t xml:space="preserve">; </w:t>
            </w:r>
            <w:r>
              <w:rPr>
                <w:b/>
                <w:i/>
              </w:rPr>
              <w:t>considers that the future of those assets can be settled only as part of a negotiated peace settlement, together with the question of restrictive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t>
            </w:r>
            <w:r>
              <w:rPr>
                <w:b/>
                <w:i/>
              </w:rPr>
              <w:t>welcome</w:t>
            </w:r>
            <w:r>
              <w:t xml:space="preserve"> the Freya air defence project; </w:t>
            </w:r>
            <w:r>
              <w:rPr>
                <w:b/>
                <w:i/>
              </w:rPr>
              <w:t>welcomes the adoption in April 2026 of the EUR 90 billion financial support loan for Ukraine;</w:t>
            </w:r>
            <w:r>
              <w:t xml:space="preserve"> considers that the </w:t>
            </w:r>
            <w:r>
              <w:rPr>
                <w:b/>
                <w:i/>
              </w:rPr>
              <w:t>Commission proposal to use</w:t>
            </w:r>
            <w:r>
              <w:t xml:space="preserve"> frozen Russian assets </w:t>
            </w:r>
            <w:r>
              <w:rPr>
                <w:b/>
                <w:i/>
              </w:rPr>
              <w:t>remains a legally sound and financially significant way to increase EU support for Ukraine’s military needs;</w:t>
            </w:r>
            <w:r>
              <w:t xml:space="preserve"> </w:t>
            </w:r>
            <w:r>
              <w:rPr>
                <w:b/>
                <w:i/>
              </w:rPr>
              <w:t>calls for transferring</w:t>
            </w:r>
            <w:r>
              <w:t xml:space="preserve"> Russian </w:t>
            </w:r>
            <w:r>
              <w:rPr>
                <w:b/>
                <w:i/>
              </w:rPr>
              <w:t>frozen</w:t>
            </w:r>
            <w:r>
              <w:t xml:space="preserve"> assets </w:t>
            </w:r>
            <w:r>
              <w:rPr>
                <w:b/>
                <w:i/>
              </w:rPr>
              <w:t>held in the EU to a special-purpose vehicle as a first step, which would protect EU Member States’ interests</w:t>
            </w:r>
            <w:r>
              <w:t>;</w:t>
            </w:r>
          </w:p>
        </w:tc>
        <w:tc>
          <w:tcPr>
            <w:tcW w:w="4876" w:type="dxa"/>
            <w:tcBorders>
              <w:top w:val="nil"/>
              <w:left w:val="nil"/>
              <w:bottom w:val="nil"/>
              <w:right w:val="nil"/>
            </w:tcBorders>
          </w:tcPr>
          <w:p>
            <w:pPr>
              <w:pStyle w:val="Normal6a"/>
            </w:pPr>
            <w:r>
              <w:t>16.</w:t>
            </w:r>
            <w:r>
              <w:tab/>
            </w:r>
            <w:r>
              <w:t>Urges the EU and its Member States to enhance their military support for Ukraine</w:t>
            </w:r>
            <w:r>
              <w:rPr>
                <w:b/>
                <w:i/>
              </w:rPr>
              <w:t>, including through the training of Ukrainian troops and the delivery of weapons, while maintaining the stockpiles that are essential for their own deterrence</w:t>
            </w:r>
            <w:r>
              <w:t xml:space="preserve">; urges the adoption and implementation of the European Sky Shield Initiative; </w:t>
            </w:r>
            <w:r>
              <w:rPr>
                <w:b/>
                <w:i/>
              </w:rPr>
              <w:t>welcomes</w:t>
            </w:r>
            <w:r>
              <w:t xml:space="preserve"> the Freya air defence project; considers that the </w:t>
            </w:r>
            <w:r>
              <w:rPr>
                <w:b/>
                <w:i/>
              </w:rPr>
              <w:t>seizure of frozen Russian assets poses significant legal risks, as highlighted by the French President, the Belgian Prime Minister and Euroclear, the custodian of those assets;</w:t>
            </w:r>
            <w:r>
              <w:t xml:space="preserve"> </w:t>
            </w:r>
            <w:r>
              <w:rPr>
                <w:b/>
                <w:i/>
              </w:rPr>
              <w:t>stresses that</w:t>
            </w:r>
            <w:r>
              <w:t xml:space="preserve"> frozen Russian assets </w:t>
            </w:r>
            <w:r>
              <w:rPr>
                <w:b/>
                <w:i/>
              </w:rPr>
              <w:t>are a major negotiating lever in the context of a possible peace agreement and can thus help to ensure the most favourable conditions for peace for Ukraine;</w:t>
            </w:r>
            <w:r>
              <w:t xml:space="preserve"> </w:t>
            </w:r>
            <w:r>
              <w:rPr>
                <w:b/>
                <w:i/>
              </w:rPr>
              <w:t>supports, on the other hand, the use of interest generated by these assets, notably in the context of the G7 ERA loans initiative;</w:t>
            </w:r>
            <w:r>
              <w:t xml:space="preserve"> </w:t>
            </w:r>
            <w:r>
              <w:rPr>
                <w:b/>
                <w:i/>
              </w:rPr>
              <w:t>condemns the illegal nationalisations carried out by the</w:t>
            </w:r>
            <w:r>
              <w:t xml:space="preserve"> Russian </w:t>
            </w:r>
            <w:r>
              <w:rPr>
                <w:b/>
                <w:i/>
              </w:rPr>
              <w:t>authorities under the guise of ‘temporary management’ of European companies present in Russia, as well as the forced sale of their</w:t>
            </w:r>
            <w:r>
              <w:t xml:space="preserve"> assets </w:t>
            </w:r>
            <w:r>
              <w:rPr>
                <w:b/>
                <w:i/>
              </w:rPr>
              <w:t>to oligarchs or actors close to power, including the Kadyrov clan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w:t>
            </w:r>
            <w:r>
              <w:rPr>
                <w:b/>
                <w:i/>
              </w:rPr>
              <w:t>considers that the Commission proposal to use frozen</w:t>
            </w:r>
            <w:r>
              <w:t xml:space="preserve"> Russian assets </w:t>
            </w:r>
            <w:r>
              <w:rPr>
                <w:b/>
                <w:i/>
              </w:rPr>
              <w:t>remains a legally sound and financially significant way to increase EU support for Ukraine’s military needs</w:t>
            </w:r>
            <w:r>
              <w:t xml:space="preserve">; calls for </w:t>
            </w:r>
            <w:r>
              <w:rPr>
                <w:b/>
                <w:i/>
              </w:rPr>
              <w:t>transferring Russian frozen assets held</w:t>
            </w:r>
            <w:r>
              <w:t xml:space="preserve"> in the </w:t>
            </w:r>
            <w:r>
              <w:rPr>
                <w:b/>
                <w:i/>
              </w:rPr>
              <w:t>EU</w:t>
            </w:r>
            <w:r>
              <w:t xml:space="preserve"> to a special-purpose vehicle </w:t>
            </w:r>
            <w:r>
              <w:rPr>
                <w:b/>
                <w:i/>
              </w:rPr>
              <w:t>as a first step, which would protect</w:t>
            </w:r>
            <w:r>
              <w:t xml:space="preserve"> EU Member States’ interests;</w:t>
            </w:r>
          </w:p>
        </w:tc>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w:t>
            </w:r>
            <w:r>
              <w:rPr>
                <w:b/>
                <w:i/>
              </w:rPr>
              <w:t>stresses the need to distinguish the use of windfall profits generated by the immobilisation of</w:t>
            </w:r>
            <w:r>
              <w:t xml:space="preserve"> Russian assets </w:t>
            </w:r>
            <w:r>
              <w:rPr>
                <w:b/>
                <w:i/>
              </w:rPr>
              <w:t>from the mobilisation of the capital of those assets;</w:t>
            </w:r>
            <w:r>
              <w:t xml:space="preserve"> </w:t>
            </w:r>
            <w:r>
              <w:rPr>
                <w:b/>
                <w:i/>
              </w:rPr>
              <w:t>opposes any transfer or use of the capital of immobilised Russian sovereign assets without a prior determination of compliance with EU and international law and explicit financial guarantees protecting Member States</w:t>
            </w:r>
            <w:r>
              <w:t xml:space="preserve">; calls for </w:t>
            </w:r>
            <w:r>
              <w:rPr>
                <w:b/>
                <w:i/>
              </w:rPr>
              <w:t>a prior public assessment of the litigation risks, the consequences for financial stability and confidence</w:t>
            </w:r>
            <w:r>
              <w:t xml:space="preserve"> in the </w:t>
            </w:r>
            <w:r>
              <w:rPr>
                <w:b/>
                <w:i/>
              </w:rPr>
              <w:t>euro, as well as possible restitution obligations and their distribution;</w:t>
            </w:r>
            <w:r>
              <w:t xml:space="preserve"> </w:t>
            </w:r>
            <w:r>
              <w:rPr>
                <w:b/>
                <w:i/>
              </w:rPr>
              <w:t>stresses that the transfer of these assets</w:t>
            </w:r>
            <w:r>
              <w:t xml:space="preserve"> to a special-purpose vehicle </w:t>
            </w:r>
            <w:r>
              <w:rPr>
                <w:b/>
                <w:i/>
              </w:rPr>
              <w:t>cannot, by itself, guarantee the protection of</w:t>
            </w:r>
            <w:r>
              <w:t xml:space="preserve"> EU Member States’ interests;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w:t>
            </w:r>
            <w:r>
              <w:rPr>
                <w:b/>
                <w:i/>
              </w:rPr>
              <w:t>; considers</w:t>
            </w:r>
            <w:r>
              <w:t xml:space="preserve">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t>16.</w:t>
            </w:r>
            <w:r>
              <w:tab/>
            </w:r>
            <w:r>
              <w:t>Urges the EU and its Member States to enhance their military support for Ukraine</w:t>
            </w:r>
            <w:r>
              <w:rPr>
                <w:b/>
                <w:i/>
              </w:rPr>
              <w:t>, especially by providing air-Defense and long-range deep-strike armament; recalls that European states have protected the airspace of the Gulf states against Iranian attacks and that the same should be done for Ukrainian civilians and civilian infrastructures</w:t>
            </w:r>
            <w:r>
              <w:t xml:space="preserve">; urges the adoption and implementation of the European Sky Shield Initiative </w:t>
            </w:r>
            <w:r>
              <w:rPr>
                <w:b/>
                <w:i/>
              </w:rPr>
              <w:t>to protect Ukraine’s civilians and civilian infrastructures from Russian missile and drone attacks, operated by a coalition of willing Member States</w:t>
            </w:r>
            <w:r>
              <w:t>; welcome the Freya air defence project; welcomes the adoption in April 2026 of the EUR 90 billion financial support loan for Ukraine</w:t>
            </w:r>
            <w:r>
              <w:rPr>
                <w:b/>
                <w:i/>
              </w:rPr>
              <w:t>, with €60 billion dedicated to military and Defense capabilities and €30 billion directed towards macroeconomic and civilian recovery efforts; acknowledges that this amount will not be sufficient to meet the needs expressed by Ukraine, and therefore believes</w:t>
            </w:r>
            <w:r>
              <w:t xml:space="preserve">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 </w:t>
            </w:r>
            <w:r>
              <w:rPr>
                <w:b/>
                <w:i/>
              </w:rPr>
              <w:t>welcomes the Commission's proposal of a programme for common projects with Ukrainian companies to be funded with the remainder of SAFE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t>
            </w:r>
            <w:r>
              <w:rPr>
                <w:b/>
                <w:i/>
              </w:rPr>
              <w:t>welcome the</w:t>
            </w:r>
            <w:r>
              <w:t xml:space="preserve"> Freya </w:t>
            </w:r>
            <w:r>
              <w:rPr>
                <w:b/>
                <w:i/>
              </w:rPr>
              <w:t>air</w:t>
            </w:r>
            <w:r>
              <w:t xml:space="preserve"> defence project</w:t>
            </w:r>
            <w:r>
              <w:rPr>
                <w:b/>
                <w:i/>
              </w:rPr>
              <w:t>; welcomes the adoption in April 2026 of the EUR 90 billion financial</w:t>
            </w:r>
            <w:r>
              <w:t xml:space="preserve"> support </w:t>
            </w:r>
            <w:r>
              <w:rPr>
                <w:b/>
                <w:i/>
              </w:rPr>
              <w:t>loan for Ukraine; considers that the Commission proposal to use frozen Russian assets remains a legally sound and financially significant way to increase EU support for Ukraine’s military needs</w:t>
            </w:r>
            <w:r>
              <w:t xml:space="preserve">; </w:t>
            </w:r>
            <w:r>
              <w:rPr>
                <w:b/>
                <w:i/>
              </w:rPr>
              <w:t>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t>
            </w:r>
            <w:r>
              <w:rPr>
                <w:b/>
                <w:i/>
              </w:rPr>
              <w:t>welcomes the integrated anti-ballistic missile coalition established in July 2026 and its flagship</w:t>
            </w:r>
            <w:r>
              <w:t xml:space="preserve"> Freya </w:t>
            </w:r>
            <w:r>
              <w:rPr>
                <w:b/>
                <w:i/>
              </w:rPr>
              <w:t>project; calls for EU instruments, including the defence pillar of the Ukraine Support Loan and the European</w:t>
            </w:r>
            <w:r>
              <w:t xml:space="preserve"> defence project </w:t>
            </w:r>
            <w:r>
              <w:rPr>
                <w:b/>
                <w:i/>
              </w:rPr>
              <w:t>of common interest on integrated air and missile defence, to</w:t>
            </w:r>
            <w:r>
              <w:t xml:space="preserve"> support </w:t>
            </w:r>
            <w:r>
              <w:rPr>
                <w:b/>
                <w:i/>
              </w:rPr>
              <w:t>its development where it complements existing European air and missile defence systems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 </w:t>
            </w:r>
            <w:r>
              <w:rPr>
                <w:b/>
                <w:i/>
              </w:rPr>
              <w:t>welcomes the agreement of 25 September 2026 to mobilise EUR 6.6 billion under the European Peace Facility in support of Ukraine and calls for its immediate and full implementation; calls, in particular, for the rapid delivery of urgently needed air-defence systems, ammunition, drones and missiles, and stresses that no further political or administrative delays should impede the disbursement of these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t>16.</w:t>
            </w:r>
            <w:r>
              <w:tab/>
            </w:r>
            <w:r>
              <w:rPr>
                <w:b/>
                <w:i/>
              </w:rPr>
              <w:t>Recognises Ukraine as the main pillar of European defence;</w:t>
            </w:r>
            <w:r>
              <w:t xml:space="preserve"> 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 </w:t>
            </w:r>
            <w:r>
              <w:rPr>
                <w:b/>
                <w:i/>
              </w:rPr>
              <w:t>calls for the systematic integration of Ukraine's military capabilities and combat experience as a key strategic asset for European defence architecture; supports the development of joint defence projects with Ukrainian companies and deepening co-production partnerships;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w:t>
            </w:r>
            <w:r>
              <w:rPr>
                <w:b/>
                <w:i/>
              </w:rPr>
              <w:t>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t>16.</w:t>
            </w:r>
            <w:r>
              <w:tab/>
            </w:r>
            <w: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t>
            </w:r>
            <w:r>
              <w:rPr>
                <w:b/>
                <w:i/>
              </w:rPr>
              <w:t>welcome</w:t>
            </w:r>
            <w:r>
              <w:t xml:space="preserv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w:t>
            </w:r>
            <w:r>
              <w:rPr>
                <w:b/>
                <w:i/>
              </w:rPr>
              <w:t>for transferring</w:t>
            </w:r>
            <w:r>
              <w:t xml:space="preserve"> Russian </w:t>
            </w:r>
            <w:r>
              <w:rPr>
                <w:b/>
                <w:i/>
              </w:rPr>
              <w:t>frozen</w:t>
            </w:r>
            <w:r>
              <w:t xml:space="preserve"> assets held in the EU to </w:t>
            </w:r>
            <w:r>
              <w:rPr>
                <w:b/>
                <w:i/>
              </w:rPr>
              <w:t>a special-purpose vehicle as a first step, which would</w:t>
            </w:r>
            <w:r>
              <w:t xml:space="preserve"> protect </w:t>
            </w:r>
            <w:r>
              <w:rPr>
                <w:b/>
                <w:i/>
              </w:rPr>
              <w:t>EU</w:t>
            </w:r>
            <w:r>
              <w:t xml:space="preserve"> Member States’ interests;</w:t>
            </w:r>
          </w:p>
        </w:tc>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t>
            </w:r>
            <w:r>
              <w:rPr>
                <w:b/>
                <w:i/>
              </w:rPr>
              <w:t>welcomes</w:t>
            </w:r>
            <w:r>
              <w:t xml:space="preserv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w:t>
            </w:r>
            <w:r>
              <w:rPr>
                <w:b/>
                <w:i/>
              </w:rPr>
              <w:t>on the EU and its Member States to take the necessary steps to use frozen</w:t>
            </w:r>
            <w:r>
              <w:t xml:space="preserve"> Russian assets held in the EU to </w:t>
            </w:r>
            <w:r>
              <w:rPr>
                <w:b/>
                <w:i/>
              </w:rPr>
              <w:t>support Ukraine, in particular its military and defence needs, in accordance with international and EU law and with appropriate safeguards to</w:t>
            </w:r>
            <w:r>
              <w:t xml:space="preserve"> protect Member States’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t>16.</w:t>
            </w:r>
            <w:r>
              <w:tab/>
            </w:r>
            <w:r>
              <w:t xml:space="preserve">Urges the EU and its Member States to enhance their military support for Ukraine; urges the adoption and implementation of the European Sky Shield Initiative </w:t>
            </w:r>
            <w:r>
              <w:rPr>
                <w:b/>
                <w:i/>
              </w:rPr>
              <w:t>and Member States to provide Ukraine long-range missile capabilities and support to upkeep of Ukraine's F-16 fleet</w:t>
            </w:r>
            <w:r>
              <w:t>;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 calls for transferring Russian frozen assets held in the EU to a special-purpose vehicle as a first step, which would protect EU Member States’ interests;</w:t>
            </w:r>
          </w:p>
        </w:tc>
        <w:tc>
          <w:tcPr>
            <w:tcW w:w="4876" w:type="dxa"/>
            <w:tcBorders>
              <w:top w:val="nil"/>
              <w:left w:val="nil"/>
              <w:bottom w:val="nil"/>
              <w:right w:val="nil"/>
            </w:tcBorders>
          </w:tcPr>
          <w:p>
            <w:pPr>
              <w:pStyle w:val="Normal6a"/>
            </w:pPr>
            <w:r>
              <w:t>16.</w:t>
            </w:r>
            <w:r>
              <w:tab/>
            </w:r>
            <w:r>
              <w:t>Urges the EU and its Member States to enhance their military support for Ukraine; urges the adoption and implementation of the European Sky Shield Initiative; welcome the Freya air defence project; welcomes the adoption in April 2026 of the EUR 90 billion financial support loan for Ukraine; considers that the Commission proposal to use frozen Russian assets remains a legally sound and financially significant way to increase EU support for Ukraine’s military needs</w:t>
            </w:r>
            <w:r>
              <w:rPr>
                <w:b/>
                <w:i/>
              </w:rPr>
              <w:t>, as long as it is executed in line with international law</w:t>
            </w:r>
            <w:r>
              <w:t>; calls for transferring Russian frozen assets held in the EU to a special-purpose vehicle as a first step, which would protect EU Member States’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Insists on the importance of</w:t>
            </w:r>
            <w:r>
              <w:t xml:space="preserve"> the Coalition of the Willing </w:t>
            </w:r>
            <w:r>
              <w:rPr>
                <w:b/>
                <w:i/>
              </w:rPr>
              <w:t>for Ukraine in the context of Russia’s war of aggression against Ukraine</w:t>
            </w:r>
            <w:r>
              <w:t xml:space="preserve">; calls on the Member States to fully draw lessons from Ukraine’s combat experience and to apply them to their own armed forces; </w:t>
            </w:r>
            <w:r>
              <w:rPr>
                <w:b/>
                <w:i/>
              </w:rPr>
              <w:t>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rPr>
                <w:b/>
                <w:i/>
              </w:rPr>
              <w:t>Notes that</w:t>
            </w:r>
            <w:r>
              <w:t xml:space="preserve"> the Coalition of the Willing </w:t>
            </w:r>
            <w:r>
              <w:rPr>
                <w:b/>
                <w:i/>
              </w:rPr>
              <w:t>operates outside the framework of the Treaties; stresses that participation in it is a sovereign decision of each Member State and that no financial, institutional or operational commitment on the part of the Union may be derived from it; recalls that in a number of Member States the deployment of armed forces abroad requires the prior authorization of the national parliament; warns that the stationing of Member States' forces on Ukrainian territory would carry a substantial risk of direct confrontation with the Russian Federation</w:t>
            </w:r>
            <w:r>
              <w:t>; calls on the Member States to fully draw lessons from Ukraine's combat experience and to apply them to their own armed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t xml:space="preserve">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 </w:t>
            </w:r>
            <w:r>
              <w:rPr>
                <w:b/>
                <w:i/>
              </w:rPr>
              <w:t>stresses that military support for Ukraine should simultaneously contribute to strengthening Europe’s defence industrial capacity, including by scaling up production, replenishing Member States’ stocks, shortening procurement and delivery timelines, and developing resilient European and Ukrainian supply chains; calls for Ukrainian defence companies to be more closely integrated into European defence-industrial cooperation and joint procurement programmes, with a view to strengthening interoperability, innovation and production capacity on both sides; stresses that investments and procurement undertaken in support of Ukraine should, wherever operationally and legally appropriate, generate lasting increases in European production capacity and the ability of Member States to sustain long-term defence efforts;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t xml:space="preserve">Insists on the importance of the Coalition of the Willing for Ukraine in the context of Russia’s war of aggression against Ukraine; calls on the Member States to fully draw lessons from Ukraine’s combat experience and to apply them to their own armed forces; </w:t>
            </w:r>
            <w:r>
              <w:rPr>
                <w:b/>
                <w:i/>
              </w:rPr>
              <w:t>underlines that, after four years of high-intensity war, Ukraine fields the most battle-hardened armed forces and the most adaptable and innovative Defense industry on the continent, able to develop and field new capabilities (drones and counter-drone systems foremost) in cycles measured in weeks rather than years; considers this operational and industrial experience a strategic asset for the whole of Europe, and</w:t>
            </w:r>
            <w:r>
              <w:t xml:space="preserve"> calls on the Member States and the European defence technological and industrial base (EDTIB) to systematically draw lessons from Ukraine’s experience and to deepen joint development and co-production with Ukraine; </w:t>
            </w:r>
            <w:r>
              <w:rPr>
                <w:b/>
                <w:i/>
              </w:rPr>
              <w:t>supports the development, together with Ukraine, of a missile Defense mechanism starting with the anti-ballistic project ‘Freya’;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t xml:space="preserve">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 </w:t>
            </w:r>
            <w:r>
              <w:rPr>
                <w:b/>
                <w:i/>
              </w:rPr>
              <w:t>commends the Danish model of direct support to Ukraine's defence industry; calls for the progressive integration of the Ukrainian defence technological and industrial base into the EDTIB, including through joint ventures and Ukrainian production capacity established within the EU, and notes that 15 of the 19 national plans submitted under the SAFE instrument include projects with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t xml:space="preserve">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 </w:t>
            </w:r>
            <w:r>
              <w:rPr>
                <w:b/>
                <w:i/>
              </w:rPr>
              <w:t>stresses the importance of reciprocal transfers of defence technologies between the EU and Ukraine; calls on the Commission to facilitate such transfers and industrial cooperation through relevant EU programmes and instruments supporting Ukraine and cooperation with its defence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t xml:space="preserve">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w:t>
            </w:r>
            <w:r>
              <w:rPr>
                <w:b/>
                <w:i/>
              </w:rPr>
              <w:t>in particular on the role of AI in military decision-making, intelligence analysis and autonomous systems</w:t>
            </w:r>
            <w:r>
              <w:t xml:space="preserve"> and to deepen joint development and co-production with Ukraine; </w:t>
            </w:r>
            <w:r>
              <w:rPr>
                <w:b/>
                <w:i/>
              </w:rPr>
              <w:t>calls for the development of European AI models for defence applications;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Insists on the importance of the Coalition of the Willing for Ukraine in the context of Russia’s war of aggression against Ukraine; calls</w:t>
            </w:r>
            <w:r>
              <w:t xml:space="preserve"> on the Member States to fully draw lessons from Ukraine’s combat experience and to apply them to their own armed forces; calls on the Member States and the European defence technological and industrial base (EDTIB) to systematically draw lessons from Ukraine’s experience </w:t>
            </w:r>
            <w:r>
              <w:rPr>
                <w:b/>
                <w:i/>
              </w:rPr>
              <w:t>and to deepen joint development and co-production with Ukraine</w:t>
            </w:r>
            <w:r>
              <w:t>;</w:t>
            </w:r>
          </w:p>
        </w:tc>
        <w:tc>
          <w:tcPr>
            <w:tcW w:w="4876" w:type="dxa"/>
            <w:tcBorders>
              <w:top w:val="nil"/>
              <w:left w:val="nil"/>
              <w:bottom w:val="nil"/>
              <w:right w:val="nil"/>
            </w:tcBorders>
          </w:tcPr>
          <w:p>
            <w:pPr>
              <w:pStyle w:val="Normal6a"/>
            </w:pPr>
            <w:r>
              <w:t>17.</w:t>
            </w:r>
            <w:r>
              <w:tab/>
            </w:r>
            <w:r>
              <w:rPr>
                <w:b/>
                <w:i/>
              </w:rPr>
              <w:t>C</w:t>
            </w:r>
            <w:r>
              <w:rPr>
                <w:b/>
                <w:i/>
              </w:rPr>
              <w:t>alls</w:t>
            </w:r>
            <w:r>
              <w:t xml:space="preserve"> on the Member States to fully draw lessons from Ukraine’s combat experience and to apply them to their own armed forces; calls on the Member States and the European defence technological and industrial base (EDTIB) to systematically draw lessons from Ukraine’s experience;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w:t>
            </w:r>
            <w:r>
              <w:rPr>
                <w:b/>
                <w:i/>
              </w:rPr>
              <w:t>, in particular on drones and counter-drone systems, electronic warfare and rapid innovation cycles</w:t>
            </w:r>
            <w:r>
              <w:t>; calls on the Member States and the European defence technological and industrial base (EDTIB) to systematically draw lessons from Ukraine’s experience and to deepen joint development and co-production with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Insists on the importance of the Coalition of the Willing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c>
          <w:tcPr>
            <w:tcW w:w="4876" w:type="dxa"/>
            <w:tcBorders>
              <w:top w:val="nil"/>
              <w:left w:val="nil"/>
              <w:bottom w:val="nil"/>
              <w:right w:val="nil"/>
            </w:tcBorders>
          </w:tcPr>
          <w:p>
            <w:pPr>
              <w:pStyle w:val="Normal6a"/>
            </w:pPr>
            <w:r>
              <w:t>17.</w:t>
            </w:r>
            <w:r>
              <w:tab/>
            </w:r>
            <w:r>
              <w:t xml:space="preserve">Insists on the importance of the Coalition of the Willing </w:t>
            </w:r>
            <w:r>
              <w:rPr>
                <w:b/>
                <w:i/>
              </w:rPr>
              <w:t>for a multinational ‘reassurance force’</w:t>
            </w:r>
            <w:r>
              <w:t xml:space="preserve"> for Ukraine in the context of Russia’s war of aggression against Ukraine; calls on the Member States to fully draw lessons from Ukraine’s combat experience and to apply them to their own armed forces; calls on the Member States and the European defence technological and industrial base (EDTIB) to systematically draw lessons from Ukraine’s experience and to deepen joint development and co-production with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Strongly condemns Russia’s continued use of the shadow fleet to circumvent sanctions and generate revenues for its war of aggression against Ukraine, while exposing European waters and coastal States to significant environmental, security and maritime-safety risks; calls for further decisive and coordinated action by the EU and its Member States to disrupt shadow-fleet operations, including by fully implementing and strengthening existing sanctions on individual vessels and their enablers, closing remaining loopholes, further reinforcing enforcement and anti-circumvention measures as well as carrying out more regular bording operations; calls for a ‘whole of route’ approach, including strengthened cooperation with flag States, Ukraine, the G7 and other like-minded partners, and for the full use of the international law of the sea framework to address the risks posed by the shadow fleet;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on Member States and the European defence technological and industrial base to systematically draw lessons from Ukraine’s combat experience; stresses that such lessons should be translated into the European institutional, industrial and operational context rather than replicated mechanically; underlines in particular the importance of competitive procurement, rapid innovation cycles, continuous experimentation, rapid feedback between armed forces and industry, and the ability to rapidly scale successful technologies into production;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Raphaël Glucksmann,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for a coalition of willing EU Member States to set up a defensive European-led Integrated Air Protection Zone (IAPZ) over uncontested areas of Ukraine to intercept Russian missiles and drones; stresses that an IAPZ would help to protect Ukrainian civilians from indiscriminate attacks, and in particular from the devastating impact of Russia’s low-cost cruise missiles, offer proactive defence against Russian incursions into EU airspace, and shift the balance of power to help force Russia to the negotiating table;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Underlines that credible and robust security guarantees for Ukraine are indispensable for a just and lasting peace; stresses that they should take the form of legally binding commitments, coordinated among all able and willing European and non-European partners, and be complemented by the strengthening of Ukraine’s own deterrence and by a multinational reassurance force; calls for the full use of Union instruments, including the European Peace Facility and CSDP, to underpin these guarantees;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Underlines that effective deterrence against renewed Russian aggression requires credible and robust security guarantees for Ukraine, established as binding commitments and complemented by measures to strengthen Ukraine's own military deterrence, including a multinational reassurance force; recalls that Ukraine's security guarantees must be shaped with Europeans at the table;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Considers that Ukraine should be integrated into European Defense, in Ukraine’s interests as well as in the interests of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Urges the EU to remain actively engaged and to employ its instruments decisively in order to ensure that Russia fulfils its obligations under the EU-mediated 12 August 2008 Ceasefire Agreement; underlines that this includes the withdrawal of Russian forces from Georgia’s occupied territories, the establishment of international security mechanisms within Abkhasia and Tskinvalli regions and return of all displaced persons and refugees to their homes in dignity and safety;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Calls on the Council to impose targeted sanctions on all entities and individuals, including those in third countries, that supply Russia with drone components, dual-use goods and critical technologies such as microelectronics, engines, navigation modules and machine tools used in the production of drones deployed against Ukraine; calls for the continuous updating of the list of common high priority items, stronger anti-circumvention measures and effective, harmonised enforcement and penalties across all Member States; calls on the Commission and the EEAS to intensify cooperation with partner countries and transit hubs to close loopholes and prevent the re-export of sensitive components to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Welcomes the pledge made at the NATO Ankara Summit of EUR 70 billion in military equipment, assistance and training for Ukraine in 2026, and the commitment to sustain at least equivalent levels in 2027; calls on the EU and its Member States to deliver their share in full and on schedule;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Acknowledges the substantial political, financial, humanitarian and military assistance provided to Ukraine by non-EU countries and international partners since the beginning of the Russian Federation’s full-scale invasion in 2022; underlines that this broad coalition of support reflects a shared commitment to upholding international law and the principles enshrined in the Charter of the United Nations; highlights, in this regard, the important contribution made by the United States, which has provided over USD 195 billion in military assistance; further highlights the important role of the United Kingdom, Canada, Japan, Norway, New Zealand and Australia, which have aligned with international sanctions against the Russian Federation and contributed to military support and the training of personnel, as well as to humanitarian and macro-financial assistance for Ukraine; underlines the important assistance provided by Azerbaijan, which has delivered humanitarian aid and electrical equipment to Ukraine in response to the country’s ongoing power grid crisis, including support despite reported impacts on facilities linked to the State Oil Company of the Azerbaijan Republic; recognises the important assistance provided by Türkiye, including military and humanitarian support and diplomatic efforts; further acknowledges the humanitarian assistance provided by Republic of Moldova, which has demonstrated regional solidarity in the face of continued aggression; underlines the important assistance provided by Georgia to Ukraine, including humanitarian assistance, support for Ukrainian refugees, and consistent diplomatic and political support for Ukraine's sovereignty and territorial integrity, including through its participation in international initiatives and its support for relevant resolutions of the United Nations;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Welcomes the outcomes of the Second International Conference on Returning Ukrainian Children, Detained Civilians and Prisoners of War, held in Toronto on 28–29 September 2026 and co-hosted by Canada, Ukraine and Norway, and the resulting Toronto Pledge, through which participating states and international organisations committed to strengthening efforts to identify, trace and facilitate the safe return of Ukrainian children unlawfully deported or forcibly transferred by the Russian Federation, as well as to supporting their rehabilitation and reintegration; recognises the important contribution of the International Coalition for the Return of Ukrainian Children, which comprises 51 members, including Albania, Australia, European Union, Georgia, Japan, New Zealand, the United States and other international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Lynn Boylan, Kathleen Funchion,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Recognises the neutrality of certain Member States and affirms that no action should be taken which would compromise such neutrality;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Kostas Papadakis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Calls on the Vice-President of the Commission / High Representative of the Union for Foreign Affairs and Security Policy and the Member States to comprehensively review CSDP missions and operations in order to reconsider their mandates, means and results;</w:t>
            </w:r>
            <w:r>
              <w:t xml:space="preserve"> </w:t>
            </w:r>
            <w:r>
              <w:rPr>
                <w:b/>
                <w:i/>
              </w:rPr>
              <w:t>stresses that these missions and operations could offer a more tangible, external projection of the EU’s relevance and reliability to its security partners, if formal decisions are accompanied by credible mandates and resources;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Kostas Papadakis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Calls on the Vice-President of the Commission / High Representative of the Union for Foreign Affairs and</w:t>
            </w:r>
            <w:r>
              <w:t xml:space="preserve"> Security Policy and the </w:t>
            </w:r>
            <w:r>
              <w:rPr>
                <w:b/>
                <w:i/>
              </w:rPr>
              <w:t>Member States to comprehensively review</w:t>
            </w:r>
            <w:r>
              <w:t xml:space="preserve"> CSDP missions and operations </w:t>
            </w:r>
            <w:r>
              <w:rPr>
                <w:b/>
                <w:i/>
              </w:rPr>
              <w:t>in order to reconsider their mandates, means and results</w:t>
            </w:r>
            <w:r>
              <w:t xml:space="preserve">; stresses that </w:t>
            </w:r>
            <w:r>
              <w:rPr>
                <w:b/>
                <w:i/>
              </w:rPr>
              <w:t>these missions and operations could offer a more tangible, external projection</w:t>
            </w:r>
            <w:r>
              <w:t xml:space="preserve"> of the </w:t>
            </w:r>
            <w:r>
              <w:rPr>
                <w:b/>
                <w:i/>
              </w:rPr>
              <w:t>EU’s relevance and reliability to its security partners, if formal decisions are accompanied by credible mandates and resources;</w:t>
            </w:r>
          </w:p>
        </w:tc>
        <w:tc>
          <w:tcPr>
            <w:tcW w:w="4876" w:type="dxa"/>
            <w:tcBorders>
              <w:top w:val="nil"/>
              <w:left w:val="nil"/>
              <w:bottom w:val="nil"/>
              <w:right w:val="nil"/>
            </w:tcBorders>
          </w:tcPr>
          <w:p>
            <w:pPr>
              <w:pStyle w:val="Normal6a"/>
            </w:pPr>
            <w:r>
              <w:t>18.</w:t>
            </w:r>
            <w:r>
              <w:tab/>
            </w:r>
            <w:r>
              <w:rPr>
                <w:b/>
                <w:i/>
              </w:rPr>
              <w:t>Condemns the action of military and non-military missions and operations under the Common</w:t>
            </w:r>
            <w:r>
              <w:t xml:space="preserve"> Security </w:t>
            </w:r>
            <w:r>
              <w:rPr>
                <w:b/>
                <w:i/>
              </w:rPr>
              <w:t>and Defence</w:t>
            </w:r>
            <w:r>
              <w:t xml:space="preserve"> Policy </w:t>
            </w:r>
            <w:r>
              <w:rPr>
                <w:b/>
                <w:i/>
              </w:rPr>
              <w:t>(CSDP), such as operations Aspides in the Red Sea, Irini in the Mediterranean and Atalanta in Somalia/the Sahel, which are used as tools to promote the geostrategic interests of the EU</w:t>
            </w:r>
            <w:r>
              <w:t xml:space="preserve"> and the </w:t>
            </w:r>
            <w:r>
              <w:rPr>
                <w:b/>
                <w:i/>
              </w:rPr>
              <w:t>European corporate groups it serves, to strengthen their position in a context of growing imperialist rivalries;</w:t>
            </w:r>
            <w:r>
              <w:t xml:space="preserve"> </w:t>
            </w:r>
            <w:r>
              <w:rPr>
                <w:b/>
                <w:i/>
              </w:rPr>
              <w:t>rejects the strengthening, extension and upgrading of the missions in question;</w:t>
            </w:r>
            <w:r>
              <w:t xml:space="preserve"> </w:t>
            </w:r>
            <w:r>
              <w:rPr>
                <w:b/>
                <w:i/>
              </w:rPr>
              <w:t>calls for the immediate withdrawal of all military and non-military</w:t>
            </w:r>
            <w:r>
              <w:t xml:space="preserve"> CSDP missions and operations</w:t>
            </w:r>
            <w:r>
              <w:rPr>
                <w:b/>
                <w:i/>
              </w:rPr>
              <w:t>, an end to the Member States' participation in these and the return of all military and political personnel taking part in them</w:t>
            </w:r>
            <w:r>
              <w:t xml:space="preserve">; stresses that </w:t>
            </w:r>
            <w:r>
              <w:rPr>
                <w:b/>
                <w:i/>
              </w:rPr>
              <w:t>it is not in the interest</w:t>
            </w:r>
            <w:r>
              <w:t xml:space="preserve"> of the </w:t>
            </w:r>
            <w:r>
              <w:rPr>
                <w:b/>
                <w:i/>
              </w:rPr>
              <w:t>people to be involved in imperialist rivalries and war plans, but to fight against these and against the system that gives rise to them.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on the Vice-President of the Commission / High Representative </w:t>
            </w:r>
            <w:r>
              <w:rPr>
                <w:b/>
                <w:i/>
              </w:rPr>
              <w:t>of the Union for Foreign Affairs and Security Policy</w:t>
            </w:r>
            <w:r>
              <w:t xml:space="preserve"> and the Member States to </w:t>
            </w:r>
            <w:r>
              <w:rPr>
                <w:b/>
                <w:i/>
              </w:rPr>
              <w:t>comprehensively</w:t>
            </w:r>
            <w:r>
              <w:t xml:space="preserve"> review CSDP missions and operations </w:t>
            </w:r>
            <w:r>
              <w:rPr>
                <w:b/>
                <w:i/>
              </w:rPr>
              <w:t>in order to reconsider their mandates, means and</w:t>
            </w:r>
            <w:r>
              <w:t xml:space="preserve"> results; stresses that </w:t>
            </w:r>
            <w:r>
              <w:rPr>
                <w:b/>
                <w:i/>
              </w:rPr>
              <w:t>these missions and operations could offer a more tangible, external projection of the EU’s relevance and reliability to its security partners, if formal</w:t>
            </w:r>
            <w:r>
              <w:t xml:space="preserve"> decisions </w:t>
            </w:r>
            <w:r>
              <w:rPr>
                <w:b/>
                <w:i/>
              </w:rPr>
              <w:t>are accompanied by credible</w:t>
            </w:r>
            <w:r>
              <w:t xml:space="preserve"> mandates </w:t>
            </w:r>
            <w:r>
              <w:rPr>
                <w:b/>
                <w:i/>
              </w:rPr>
              <w:t>and resources</w:t>
            </w:r>
            <w:r>
              <w:t>;</w:t>
            </w:r>
          </w:p>
        </w:tc>
        <w:tc>
          <w:tcPr>
            <w:tcW w:w="4876" w:type="dxa"/>
            <w:tcBorders>
              <w:top w:val="nil"/>
              <w:left w:val="nil"/>
              <w:bottom w:val="nil"/>
              <w:right w:val="nil"/>
            </w:tcBorders>
          </w:tcPr>
          <w:p>
            <w:pPr>
              <w:pStyle w:val="Normal6a"/>
            </w:pPr>
            <w:r>
              <w:t>18.</w:t>
            </w:r>
            <w:r>
              <w:tab/>
            </w:r>
            <w:r>
              <w:t xml:space="preserve">Calls on the Vice-President of the Commission / High Representative and the Member States to review CSDP missions and operations </w:t>
            </w:r>
            <w:r>
              <w:rPr>
                <w:b/>
                <w:i/>
              </w:rPr>
              <w:t>against clear objectives, available resources and measurable</w:t>
            </w:r>
            <w:r>
              <w:t xml:space="preserve"> results; stresses that decisions </w:t>
            </w:r>
            <w:r>
              <w:rPr>
                <w:b/>
                <w:i/>
              </w:rPr>
              <w:t>on</w:t>
            </w:r>
            <w:r>
              <w:t xml:space="preserve"> mandates </w:t>
            </w:r>
            <w:r>
              <w:rPr>
                <w:b/>
                <w:i/>
              </w:rPr>
              <w:t>must follow the applicable Treaty rules and that national contributions of personnel and capabilities remain subject to national constitutional procedures</w:t>
            </w:r>
            <w:r>
              <w:t xml:space="preserve">; </w:t>
            </w:r>
            <w:r>
              <w:rPr>
                <w:b/>
                <w:i/>
              </w:rPr>
              <w:t>calls for coordination with NATO and other partners where appropriate, avoidance of duplication, and regular review of whether each mission continues to provide added value;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comprehensively review CSDP missions and operations in order to reconsider their mandates, means and results; stresses that </w:t>
            </w:r>
            <w:r>
              <w:rPr>
                <w:b/>
                <w:i/>
              </w:rPr>
              <w:t>these</w:t>
            </w:r>
            <w:r>
              <w:t xml:space="preserve"> missions and operations </w:t>
            </w:r>
            <w:r>
              <w:rPr>
                <w:b/>
                <w:i/>
              </w:rPr>
              <w:t>could offer a more</w:t>
            </w:r>
            <w:r>
              <w:t xml:space="preserve"> tangible</w:t>
            </w:r>
            <w:r>
              <w:rPr>
                <w:b/>
                <w:i/>
              </w:rPr>
              <w:t>, external</w:t>
            </w:r>
            <w:r>
              <w:t xml:space="preserve"> projection of the EU’s </w:t>
            </w:r>
            <w:r>
              <w:rPr>
                <w:b/>
                <w:i/>
              </w:rPr>
              <w:t>relevance</w:t>
            </w:r>
            <w:r>
              <w:t xml:space="preserve"> and reliability </w:t>
            </w:r>
            <w:r>
              <w:rPr>
                <w:b/>
                <w:i/>
              </w:rPr>
              <w:t>to its</w:t>
            </w:r>
            <w:r>
              <w:t xml:space="preserve"> security </w:t>
            </w:r>
            <w:r>
              <w:rPr>
                <w:b/>
                <w:i/>
              </w:rPr>
              <w:t>partners, if formal decisions are accompanied</w:t>
            </w:r>
            <w:r>
              <w:t xml:space="preserve"> by credible mandates </w:t>
            </w:r>
            <w:r>
              <w:rPr>
                <w:b/>
                <w:i/>
              </w:rPr>
              <w:t>and</w:t>
            </w:r>
            <w:r>
              <w:t xml:space="preserve"> resources;</w:t>
            </w:r>
          </w:p>
        </w:tc>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comprehensively review </w:t>
            </w:r>
            <w:r>
              <w:rPr>
                <w:b/>
                <w:i/>
              </w:rPr>
              <w:t>civilian and military</w:t>
            </w:r>
            <w:r>
              <w:t xml:space="preserve"> CSDP missions and operations in order to reconsider their mandates, means and results; stresses that </w:t>
            </w:r>
            <w:r>
              <w:rPr>
                <w:b/>
                <w:i/>
              </w:rPr>
              <w:t>such a review should assess tangible and measurable impact against clear mission-specific objectives and benchmarks, including on democratic governance, the rule of law and human rights; calls for flexible mandates that incorporate lessons learned and meaningful engagement with local civil society and communities; stresses that</w:t>
            </w:r>
            <w:r>
              <w:t xml:space="preserve"> missions and operations </w:t>
            </w:r>
            <w:r>
              <w:rPr>
                <w:b/>
                <w:i/>
              </w:rPr>
              <w:t>should constitute a</w:t>
            </w:r>
            <w:r>
              <w:t xml:space="preserve"> tangible projection of the EU’s </w:t>
            </w:r>
            <w:r>
              <w:rPr>
                <w:b/>
                <w:i/>
              </w:rPr>
              <w:t>capacity to act</w:t>
            </w:r>
            <w:r>
              <w:t xml:space="preserve"> and reliability </w:t>
            </w:r>
            <w:r>
              <w:rPr>
                <w:b/>
                <w:i/>
              </w:rPr>
              <w:t>as a</w:t>
            </w:r>
            <w:r>
              <w:t xml:space="preserve"> security </w:t>
            </w:r>
            <w:r>
              <w:rPr>
                <w:b/>
                <w:i/>
              </w:rPr>
              <w:t>partner, backed</w:t>
            </w:r>
            <w:r>
              <w:t xml:space="preserve"> by credible mandates</w:t>
            </w:r>
            <w:r>
              <w:rPr>
                <w:b/>
                <w:i/>
              </w:rPr>
              <w:t>,</w:t>
            </w:r>
            <w:r>
              <w:t xml:space="preserve"> resources </w:t>
            </w:r>
            <w:r>
              <w:rPr>
                <w:b/>
                <w:i/>
              </w:rPr>
              <w:t>and strategic communication, particularly in the EU’s neighbourhood and candidate countries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w:t>
            </w:r>
            <w:r>
              <w:rPr>
                <w:b/>
                <w:i/>
              </w:rPr>
              <w:t>comprehensively review</w:t>
            </w:r>
            <w:r>
              <w:t xml:space="preserve"> CSDP missions and operations </w:t>
            </w:r>
            <w:r>
              <w:rPr>
                <w:b/>
                <w:i/>
              </w:rPr>
              <w:t>in order to reconsider</w:t>
            </w:r>
            <w:r>
              <w:t xml:space="preserve"> their mandates</w:t>
            </w:r>
            <w:r>
              <w:rPr>
                <w:b/>
                <w:i/>
              </w:rPr>
              <w:t>, means</w:t>
            </w:r>
            <w:r>
              <w:t xml:space="preserve"> and results; stresses </w:t>
            </w:r>
            <w:r>
              <w:rPr>
                <w:b/>
                <w:i/>
              </w:rPr>
              <w:t>that</w:t>
            </w:r>
            <w:r>
              <w:t xml:space="preserve"> these missions and operations </w:t>
            </w:r>
            <w:r>
              <w:rPr>
                <w:b/>
                <w:i/>
              </w:rPr>
              <w:t>could offer a more</w:t>
            </w:r>
            <w:r>
              <w:t xml:space="preserve"> tangible</w:t>
            </w:r>
            <w:r>
              <w:rPr>
                <w:b/>
                <w:i/>
              </w:rPr>
              <w:t>, external projection of</w:t>
            </w:r>
            <w:r>
              <w:t xml:space="preserve"> the EU’s relevance and reliability </w:t>
            </w:r>
            <w:r>
              <w:rPr>
                <w:b/>
                <w:i/>
              </w:rPr>
              <w:t>to its</w:t>
            </w:r>
            <w:r>
              <w:t xml:space="preserve"> security </w:t>
            </w:r>
            <w:r>
              <w:rPr>
                <w:b/>
                <w:i/>
              </w:rPr>
              <w:t>partners, if formal decisions are accompanied by credible mandates and resources</w:t>
            </w:r>
            <w:r>
              <w:t>;</w:t>
            </w:r>
          </w:p>
        </w:tc>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w:t>
            </w:r>
            <w:r>
              <w:rPr>
                <w:b/>
                <w:i/>
              </w:rPr>
              <w:t>strengthen the effectiveness of</w:t>
            </w:r>
            <w:r>
              <w:t xml:space="preserve"> CSDP missions and operations </w:t>
            </w:r>
            <w:r>
              <w:rPr>
                <w:b/>
                <w:i/>
              </w:rPr>
              <w:t>by ensuring that</w:t>
            </w:r>
            <w:r>
              <w:t xml:space="preserve"> their mandates and </w:t>
            </w:r>
            <w:r>
              <w:rPr>
                <w:b/>
                <w:i/>
              </w:rPr>
              <w:t>resources are aligned with clearly defined objectives and expected</w:t>
            </w:r>
            <w:r>
              <w:t xml:space="preserve"> results; stresses </w:t>
            </w:r>
            <w:r>
              <w:rPr>
                <w:b/>
                <w:i/>
              </w:rPr>
              <w:t>the need to improve the selection and combination of civilian and military instruments in accordance with the specific operational context and the needs of partner countries; underlines that credible mandates, adequate resources and a coherent use of the available instruments are essential for</w:t>
            </w:r>
            <w:r>
              <w:t xml:space="preserve"> these missions and operations </w:t>
            </w:r>
            <w:r>
              <w:rPr>
                <w:b/>
                <w:i/>
              </w:rPr>
              <w:t>to deliver</w:t>
            </w:r>
            <w:r>
              <w:t xml:space="preserve"> tangible </w:t>
            </w:r>
            <w:r>
              <w:rPr>
                <w:b/>
                <w:i/>
              </w:rPr>
              <w:t>results and demonstrate</w:t>
            </w:r>
            <w:r>
              <w:t xml:space="preserve"> the EU’s relevance and reliability </w:t>
            </w:r>
            <w:r>
              <w:rPr>
                <w:b/>
                <w:i/>
              </w:rPr>
              <w:t>as a</w:t>
            </w:r>
            <w:r>
              <w:t xml:space="preserve"> security </w:t>
            </w:r>
            <w:r>
              <w:rPr>
                <w:b/>
                <w:i/>
              </w:rPr>
              <w:t>partner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and operations could offer a more tangible, external projection of the EU’s relevance and reliability to its security partners, if formal decisions are accompanied by credible mandates and resources;</w:t>
            </w:r>
          </w:p>
        </w:tc>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and operations could offer a more tangible, external projection of the EU’s relevance and reliability to its security partners, if formal decisions are accompanied by credible mandates and resources; </w:t>
            </w:r>
            <w:r>
              <w:rPr>
                <w:b/>
                <w:i/>
              </w:rPr>
              <w:t>insists that mission mandates be renewed, as a rule, for periods of no less than twelve months in order to allow for predictable planning; calls for the systematic evaluation of results and impact against clear benchmarks, for the filling of persistent vacancies and for reinforced strategic communication of the missions' presence and achievements;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and operations could offer a more tangible, external projection of the EU’s relevance and reliability to its security partners, if formal decisions are accompanied by credible mandates and resources;</w:t>
            </w:r>
          </w:p>
        </w:tc>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and operations could offer a more tangible, external projection of the EU’s relevance and reliability to its security partners, if formal decisions are accompanied by credible mandates and resources; </w:t>
            </w:r>
            <w:r>
              <w:rPr>
                <w:b/>
                <w:i/>
              </w:rPr>
              <w:t>deplores the fact that no progress has occurred from Member States to match their pledges made in Council decisions; is concerned about the weak strategic communication in some missions and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and operations could offer a more tangible, external projection of the EU’s relevance and reliability to its security partners, if formal decisions are accompanied by credible mandates and resources;</w:t>
            </w:r>
          </w:p>
        </w:tc>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and operations could offer a more tangible, external projection of the EU’s relevance and reliability to its security partners, if formal decisions are accompanied by credible mandates and resources; </w:t>
            </w:r>
            <w:r>
              <w:rPr>
                <w:b/>
                <w:i/>
              </w:rPr>
              <w:t>calls for future mandates to be designed around clear objectives, measurable results, appropriate resources and regular strategic evaluation;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w:t>
            </w:r>
            <w:r>
              <w:rPr>
                <w:b/>
                <w:i/>
              </w:rPr>
              <w:t>and operations could offer a more tangible, external projection of the EU’s relevance and reliability to its security partners, if formal decisions are accompanied by credible</w:t>
            </w:r>
            <w:r>
              <w:t xml:space="preserve"> mandates and </w:t>
            </w:r>
            <w:r>
              <w:rPr>
                <w:b/>
                <w:i/>
              </w:rPr>
              <w:t>resources</w:t>
            </w:r>
            <w:r>
              <w:t>;</w:t>
            </w:r>
          </w:p>
        </w:tc>
        <w:tc>
          <w:tcPr>
            <w:tcW w:w="4876" w:type="dxa"/>
            <w:tcBorders>
              <w:top w:val="nil"/>
              <w:left w:val="nil"/>
              <w:bottom w:val="nil"/>
              <w:right w:val="nil"/>
            </w:tcBorders>
          </w:tcPr>
          <w:p>
            <w:pPr>
              <w:pStyle w:val="Normal6a"/>
            </w:pPr>
            <w:r>
              <w:t>18.</w:t>
            </w:r>
            <w:r>
              <w:tab/>
            </w:r>
            <w:r>
              <w:t xml:space="preserve">Calls on the Vice-President of the Commission / High Representative of the Union for Foreign Affairs and Security Policy and the Member States to comprehensively review CSDP missions and operations in order to reconsider their mandates, means and results; stresses that these missions </w:t>
            </w:r>
            <w:r>
              <w:rPr>
                <w:b/>
                <w:i/>
              </w:rPr>
              <w:t>should have clearly defined objectives, measurable outcomes, appropriate</w:t>
            </w:r>
            <w:r>
              <w:t xml:space="preserve"> mandates and </w:t>
            </w:r>
            <w:r>
              <w:rPr>
                <w:b/>
                <w:i/>
              </w:rPr>
              <w:t>exit strategies, and should be undertaken only where they provide clear added value compared with national, NATO or other international arrangements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Reaffirms the strategic value of civilian CSDP as an essential component of the Union’s security and crisis-management toolbox, in particular in supporting the rule of law, democratic governance, civilian administration and security-sector reform, as well as law enforcement and criminal justice cooperation, thereby contributing to a comprehensive approach linking the Union’s internal and external security; calls for civilian missions to be provided with adequate personnel, expertise and resources and for human rights and gender perspectives to be systematically integrated into their mandates, implementation and evaluation; stresses the importance of local ownership and sustained engagement with civil society, human rights defenders and local communities; reiterates its call for a dedicated civilian support facility capable of providing partner countries with equipment and services necessary for the effective implementation of civilian CSDP mandates;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Calls on the Council and the EEAS to include, where relevant, a cultural heritage protection component in CSDP missions and operations in order to provide assistance and training to local partners in addressing security challenges related to the preservation and protection of cultural heritage; stresses that cultural heritage protection and intercultural dialogue can contribute to conflict prevention, reconciliation and sustainable post-conflict recovery;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Believes that the upgrade of the Military Planning and Conduct Capability (MPCC) into a fully-fledged EU Operational Headquarters would be an important step for the effective planning, command and control of CSDP military missions and operations and, in the longer term, for collective territorial defence, supported by European strategic enablers;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Recalls the importance of CSDP missions in defending against cyberwarfare and countering foreign information manipulation and interference, in particular in Eastern Partnership countries;</w:t>
            </w:r>
          </w:p>
        </w:tc>
        <w:tc>
          <w:tcPr>
            <w:tcW w:w="4876" w:type="dxa"/>
            <w:tcBorders>
              <w:top w:val="nil"/>
              <w:left w:val="nil"/>
              <w:bottom w:val="nil"/>
              <w:right w:val="nil"/>
            </w:tcBorders>
          </w:tcPr>
          <w:p>
            <w:pPr>
              <w:pStyle w:val="Normal6a"/>
            </w:pPr>
            <w:r>
              <w:t>19.</w:t>
            </w:r>
            <w:r>
              <w:tab/>
            </w:r>
            <w:r>
              <w:t xml:space="preserve">Recalls the importance of CSDP missions in defending against cyberwarfare and countering foreign information manipulation and interference, in particular in Eastern Partnership countries; </w:t>
            </w:r>
            <w:r>
              <w:rPr>
                <w:b/>
                <w:i/>
              </w:rPr>
              <w:t>welcomes the first-ever mobilisation of an EU Hybrid Rapid Response Team, deployed to the Republic of Moldova to strengthen its resilience, alongside the action of EUPM Moldova; reiterates its call on the EEAS to assess the adequacy of the mission’s means, methods and staff expertise, and to adapt them in the light of that evaluation; considers that the EU’s coordinated response to the unprecedented Russian FIMI campaign is a positive first step; deplores, in this regard that the EU Partnership Mission in Armenia (EUPM Armenia), established to strengthen the country’s resilience against hybrid threats including FIMI, was launched only on 13 July 2026, after the parliamentary elections of 7 June 2026, despite unprecedented Russian pressure on the country;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Recalls the importance of CSDP missions in defending against cyberwarfare and countering foreign information manipulation and interference, in particular in Eastern Partnership countries;</w:t>
            </w:r>
          </w:p>
        </w:tc>
        <w:tc>
          <w:tcPr>
            <w:tcW w:w="4876" w:type="dxa"/>
            <w:tcBorders>
              <w:top w:val="nil"/>
              <w:left w:val="nil"/>
              <w:bottom w:val="nil"/>
              <w:right w:val="nil"/>
            </w:tcBorders>
          </w:tcPr>
          <w:p>
            <w:pPr>
              <w:pStyle w:val="Normal6a"/>
            </w:pPr>
            <w:r>
              <w:t>19.</w:t>
            </w:r>
            <w:r>
              <w:tab/>
            </w:r>
            <w:r>
              <w:t xml:space="preserve">Recalls the importance of CSDP missions in defending against cyberwarfare and countering foreign information manipulation and interference, in particular in Eastern Partnership countries; </w:t>
            </w:r>
            <w:r>
              <w:rPr>
                <w:b/>
                <w:i/>
              </w:rPr>
              <w:t>underlines that CSDP missions and operations must be equipped to operate in contested information environments through trained personnel, context-specific strategic communication and cooperation with EU Delegations and local civil society; stresses that cyber defence must be integrated into their planning and conduct; calls for the swift operationalisation of the EU Cyber Defence Coordination Centre as the central node for military cyber situational awareness, linking CSDP commanders with relevant EU intelligence and civilian cyber structures; calls for adequate resourcing of the PESCO Cyber Rapid Response Teams as deployable support to CSDP missions and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Recalls the importance of CSDP missions in defending against cyberwarfare and countering foreign information manipulation and interference, in particular in Eastern Partnership countries;</w:t>
            </w:r>
          </w:p>
        </w:tc>
        <w:tc>
          <w:tcPr>
            <w:tcW w:w="4876" w:type="dxa"/>
            <w:tcBorders>
              <w:top w:val="nil"/>
              <w:left w:val="nil"/>
              <w:bottom w:val="nil"/>
              <w:right w:val="nil"/>
            </w:tcBorders>
          </w:tcPr>
          <w:p>
            <w:pPr>
              <w:pStyle w:val="Normal6a"/>
            </w:pPr>
            <w:r>
              <w:t>19.</w:t>
            </w:r>
            <w:r>
              <w:tab/>
            </w:r>
            <w:r>
              <w:t xml:space="preserve">Recalls the importance of CSDP missions in defending against cyberwarfare and countering foreign information manipulation and interference, in particular in Eastern Partnership countries; </w:t>
            </w:r>
            <w:r>
              <w:rPr>
                <w:b/>
                <w:i/>
              </w:rPr>
              <w:t>welcomes the establishment on 21 April 2026 of the EU Partnership Mission in Armenia, modelled on the EU Partnership Mission in Moldova, as the second civilian mission dedicated to countering hybrid threats; calls for both missions to be provided with the expertise and resources their mandates require, particularly ahead of electoral periods, and for structured cooperation between these missions and the European Democracy Shield;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Recalls the importance of CSDP missions in defending against cyberwarfare and countering foreign information manipulation and interference, in particular in Eastern Partnership countries;</w:t>
            </w:r>
          </w:p>
        </w:tc>
        <w:tc>
          <w:tcPr>
            <w:tcW w:w="4876" w:type="dxa"/>
            <w:tcBorders>
              <w:top w:val="nil"/>
              <w:left w:val="nil"/>
              <w:bottom w:val="nil"/>
              <w:right w:val="nil"/>
            </w:tcBorders>
          </w:tcPr>
          <w:p>
            <w:pPr>
              <w:pStyle w:val="Normal6a"/>
            </w:pPr>
            <w:r>
              <w:t>19.</w:t>
            </w:r>
            <w:r>
              <w:tab/>
            </w:r>
            <w:r>
              <w:t xml:space="preserve">Recalls the importance of CSDP missions in defending against cyberwarfare and countering foreign information manipulation and interference, in particular in Eastern Partnership countries; </w:t>
            </w:r>
            <w:r>
              <w:rPr>
                <w:b/>
                <w:i/>
              </w:rPr>
              <w:t>stresses that Europeans’ defence capacity also requires autonomy in cybersecurity, based on sovereign capabilities, technologies mastered in Europe, the protection of sensitive data and the reduction of critical dependencies on third-country suppliers;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Calls for the progressive establishment of a European Cyber Command, building on the existing EU cyber-defence capabilities, with a permanent operational structure able to integrate situational awareness, planning and, where mandated, the coordination and conduct of joint cyber-defence operations; considers that such a command should form the operational core of a future common European cyber-defence capability, supporting Member States and CSDP missions and operations while fully respecting Member States’ prerogatives and remaining subject to democratic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Stresses that the operational autonomy of European forces requires sovereign control over their data and digital infrastructure;</w:t>
            </w:r>
            <w:r>
              <w:t xml:space="preserve"> </w:t>
            </w:r>
            <w:r>
              <w:rPr>
                <w:b/>
                <w:i/>
              </w:rPr>
              <w:t>calls on the Member States to develop sovereign cloud capabilities tailored to defence requirements, ensuring the security, availability and control of sensitive military data, including in situations of crisis or high-intensity conflict;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Calls for the EU Partnership Mission in Moldova to be reinforced and its mandate extended, and for the European Peace Facility to be used to strengthen Moldova's defence and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Recalls the importance of maintaining the principle of unanimity in the Council for all CSDP decisions;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Stresses that advanced AI-enabled cyber capabilities are becoming strategic enablers for cyber defence and for the protection and conduct of CSDP missions and operations; calls on the Commission, the High Representative, the EDA and the Member States to ensure that Europe can develop, access, test and deploy sovereign European AI capabilities for sensitive cyber-defence and CSDP uses, reducing critical technological dependencies;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Stresses that Europe’s democratic resilience and information security cannot depend, in the long term, exclusively on digital platforms controlled from third countries;</w:t>
            </w:r>
            <w:r>
              <w:t xml:space="preserve"> </w:t>
            </w:r>
            <w:r>
              <w:rPr>
                <w:b/>
                <w:i/>
              </w:rPr>
              <w:t>calls on the Member States to promote the emergence and development of competitive European platforms and social media that respect freedom of expression and contribute to Europe’s information autonomy and resilience;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Underlines that the growing use of AI and autonomous functions in military systems raises fundamental questions of human oversight, accountability and compliance with international humanitarian law; insists that any use of AI-enabled and autonomous weapons systems in the context of CSDP missions and operations and by Member States must remain subject to meaningful human control over critical functions, in particular the selection and engagement of targets, and to clear chains of accountability throughout their entire life-cycle, together with democratic oversight and full respect for international law and ethical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Calls on the High Representative and the Member States to actively support, within the UN Convention on Certain Conventional Weapons (CCW) Group of Governmental Experts on Lethal Autonomous Weapons Systems (LAWS), the conclusion of an international legally binding instrument that prohibits autonomous weapons systems which cannot be operated with meaningful human control or in compliance with International Humanitarian Law, and that regulates the development, deployment and use of all other such systems; stresses the political urgency of this effort ahead of the Seventh CCW Review Conference in November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w:t>
            </w:r>
            <w:r>
              <w:rPr>
                <w:b/>
                <w:i/>
              </w:rPr>
              <w:t>for a comprehensive review</w:t>
            </w:r>
            <w:r>
              <w:t xml:space="preserve"> of the EU Military Assistance Mission in support of Ukraine (EUMAM Ukraine)</w:t>
            </w:r>
            <w:r>
              <w:rPr>
                <w:b/>
                <w:i/>
              </w:rPr>
              <w:t>; welcomes the addition of two new objectives in the EUMAM Ukraine</w:t>
            </w:r>
            <w:r>
              <w:t xml:space="preserve"> mandate;</w:t>
            </w:r>
          </w:p>
        </w:tc>
        <w:tc>
          <w:tcPr>
            <w:tcW w:w="4876" w:type="dxa"/>
            <w:tcBorders>
              <w:top w:val="nil"/>
              <w:left w:val="nil"/>
              <w:bottom w:val="nil"/>
              <w:right w:val="nil"/>
            </w:tcBorders>
          </w:tcPr>
          <w:p>
            <w:pPr>
              <w:pStyle w:val="Normal6a"/>
            </w:pPr>
            <w:r>
              <w:t>20.</w:t>
            </w:r>
            <w:r>
              <w:tab/>
            </w:r>
            <w:r>
              <w:rPr>
                <w:b/>
                <w:i/>
              </w:rPr>
              <w:t>Welcomes also the Council decision of 11 May 2026 broadening the mandate of the EU Advisory Mission Ukraine to counter hybrid threats, support the reintegration of veterans and strengthen the fight against organised crime and smuggling; </w:t>
            </w:r>
            <w:r>
              <w:t>calls</w:t>
            </w:r>
            <w:r>
              <w:rPr>
                <w:b/>
                <w:i/>
              </w:rPr>
              <w:t>, ahead of the expiration on 15 November 2026</w:t>
            </w:r>
            <w:r>
              <w:t> of the EU Military Assistance Mission in support of Ukraine (EUMAM Ukraine)</w:t>
            </w:r>
            <w:r>
              <w:rPr>
                <w:b/>
                <w:i/>
              </w:rPr>
              <w:t>, for its renewal and transformation into a long-term training and advisory mission with a broadened</w:t>
            </w:r>
            <w:r>
              <w:t> mandate</w:t>
            </w:r>
            <w:r>
              <w:rPr>
                <w:b/>
                <w:i/>
              </w:rPr>
              <w:t> covering air defence operations, combined-arms tactics, logistics and officer training, ensuring interoperability between EU and Ukrainian forces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w:t>
            </w:r>
            <w:r>
              <w:rPr>
                <w:b/>
                <w:i/>
              </w:rPr>
              <w:t>a comprehensive review of the EU Military Assistance Mission in support of Ukraine (EUMAM Ukraine); welcomes the addition of two new objectives in the</w:t>
            </w:r>
            <w:r>
              <w:t xml:space="preserve"> EUMAM Ukraine </w:t>
            </w:r>
            <w:r>
              <w:rPr>
                <w:b/>
                <w:i/>
              </w:rPr>
              <w:t>mandate</w:t>
            </w:r>
            <w:r>
              <w:t>;</w:t>
            </w:r>
          </w:p>
        </w:tc>
        <w:tc>
          <w:tcPr>
            <w:tcW w:w="4876" w:type="dxa"/>
            <w:tcBorders>
              <w:top w:val="nil"/>
              <w:left w:val="nil"/>
              <w:bottom w:val="nil"/>
              <w:right w:val="nil"/>
            </w:tcBorders>
          </w:tcPr>
          <w:p>
            <w:pPr>
              <w:pStyle w:val="Normal6a"/>
            </w:pPr>
            <w:r>
              <w:t>20.</w:t>
            </w:r>
            <w:r>
              <w:tab/>
            </w:r>
            <w:r>
              <w:t xml:space="preserve">Calls for </w:t>
            </w:r>
            <w:r>
              <w:rPr>
                <w:b/>
                <w:i/>
              </w:rPr>
              <w:t>the continuation and adaptation of</w:t>
            </w:r>
            <w:r>
              <w:t xml:space="preserve"> EUMAM Ukraine</w:t>
            </w:r>
            <w:r>
              <w:rPr>
                <w:b/>
                <w:i/>
              </w:rPr>
              <w:t>, in line with the operational needs of the Ukrainian Armed Forces, including specialised training on unmanned systems, electronic warfare and counter-drone defence, while recognising the importance and significant number of Ukrainian military personnel already trained under the mission and the need to build further on these efforts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Calls for a comprehensive</w:t>
            </w:r>
            <w:r>
              <w:t xml:space="preserve"> review of the </w:t>
            </w:r>
            <w:r>
              <w:rPr>
                <w:b/>
                <w:i/>
              </w:rPr>
              <w:t>EU</w:t>
            </w:r>
            <w:r>
              <w:t xml:space="preserve"> Military Assistance Mission in support of Ukraine (EUMAM Ukraine)</w:t>
            </w:r>
            <w:r>
              <w:rPr>
                <w:b/>
                <w:i/>
              </w:rPr>
              <w:t>; welcomes the addition of two new objectives</w:t>
            </w:r>
            <w:r>
              <w:t xml:space="preserve"> in the </w:t>
            </w:r>
            <w:r>
              <w:rPr>
                <w:b/>
                <w:i/>
              </w:rPr>
              <w:t>EUMAM Ukraine</w:t>
            </w:r>
            <w:r>
              <w:t xml:space="preserve"> mandate;</w:t>
            </w:r>
          </w:p>
        </w:tc>
        <w:tc>
          <w:tcPr>
            <w:tcW w:w="4876" w:type="dxa"/>
            <w:tcBorders>
              <w:top w:val="nil"/>
              <w:left w:val="nil"/>
              <w:bottom w:val="nil"/>
              <w:right w:val="nil"/>
            </w:tcBorders>
          </w:tcPr>
          <w:p>
            <w:pPr>
              <w:pStyle w:val="Normal6a"/>
            </w:pPr>
            <w:r>
              <w:t>20.</w:t>
            </w:r>
            <w:r>
              <w:tab/>
            </w:r>
            <w:r>
              <w:rPr>
                <w:b/>
                <w:i/>
              </w:rPr>
              <w:t>Welcomes the Council’s work on the strategic</w:t>
            </w:r>
            <w:r>
              <w:t xml:space="preserve"> review of the </w:t>
            </w:r>
            <w:r>
              <w:rPr>
                <w:b/>
                <w:i/>
              </w:rPr>
              <w:t>European Union</w:t>
            </w:r>
            <w:r>
              <w:t xml:space="preserve"> Military Assistance Mission in support of Ukraine (EUMAM Ukraine) </w:t>
            </w:r>
            <w:r>
              <w:rPr>
                <w:b/>
                <w:i/>
              </w:rPr>
              <w:t>and the agreement reached by defence ministers</w:t>
            </w:r>
            <w:r>
              <w:t xml:space="preserve"> in the </w:t>
            </w:r>
            <w:r>
              <w:rPr>
                <w:b/>
                <w:i/>
              </w:rPr>
              <w:t>Foreign Affairs Council on a two-year renewal of its</w:t>
            </w:r>
            <w:r>
              <w:t xml:space="preserve"> mandate</w:t>
            </w:r>
            <w:r>
              <w:rPr>
                <w:b/>
                <w:i/>
              </w:rPr>
              <w:t>, as well as on its evolution and adaptation to Ukraine’s needs</w:t>
            </w:r>
            <w:r>
              <w:t xml:space="preserve">; </w:t>
            </w:r>
            <w:r>
              <w:rPr>
                <w:b/>
                <w:i/>
              </w:rPr>
              <w:t>looks forward to the formal adoption of the corresponding Council decision;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a </w:t>
            </w:r>
            <w:r>
              <w:rPr>
                <w:b/>
                <w:i/>
              </w:rPr>
              <w:t>comprehensive review</w:t>
            </w:r>
            <w:r>
              <w:t xml:space="preserve"> of the EU Military Assistance Mission in support of Ukraine (EUMAM Ukraine); welcomes the addition of two new objectives in the EUMAM Ukraine mandate;</w:t>
            </w:r>
          </w:p>
        </w:tc>
        <w:tc>
          <w:tcPr>
            <w:tcW w:w="4876" w:type="dxa"/>
            <w:tcBorders>
              <w:top w:val="nil"/>
              <w:left w:val="nil"/>
              <w:bottom w:val="nil"/>
              <w:right w:val="nil"/>
            </w:tcBorders>
          </w:tcPr>
          <w:p>
            <w:pPr>
              <w:pStyle w:val="Normal6a"/>
            </w:pPr>
            <w:r>
              <w:t>20.</w:t>
            </w:r>
            <w:r>
              <w:tab/>
            </w:r>
            <w:r>
              <w:t xml:space="preserve">Calls for a </w:t>
            </w:r>
            <w:r>
              <w:rPr>
                <w:b/>
                <w:i/>
              </w:rPr>
              <w:t>transformation</w:t>
            </w:r>
            <w:r>
              <w:t xml:space="preserve"> of the EU Military Assistance Mission in support of Ukraine (EUMAM Ukraine) </w:t>
            </w:r>
            <w:r>
              <w:rPr>
                <w:b/>
                <w:i/>
              </w:rPr>
              <w:t>into a long-term EU military training and advisory mission with a broadened mandate, including air defence operations, combined-arms tactics, logistics and officer leadership training, with a view to ensuring interoperability between EU and Ukrainian forces in preparation for Ukraine’s future EU membership; stresses the urgent need to address its shortages of instructors, equipment and training facilities</w:t>
            </w:r>
            <w:r>
              <w:t>; welcomes the addition of two new objectives in the EUMAM Ukraine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Calls for a comprehensive review of the EU Military Assistance Mission in support of Ukraine (EUMAM Ukraine); welcomes the addition of two new objectives in the EUMAM Ukraine mandate;</w:t>
            </w:r>
          </w:p>
        </w:tc>
        <w:tc>
          <w:tcPr>
            <w:tcW w:w="4876" w:type="dxa"/>
            <w:tcBorders>
              <w:top w:val="nil"/>
              <w:left w:val="nil"/>
              <w:bottom w:val="nil"/>
              <w:right w:val="nil"/>
            </w:tcBorders>
          </w:tcPr>
          <w:p>
            <w:pPr>
              <w:pStyle w:val="Normal6a"/>
            </w:pPr>
            <w:r>
              <w:t>20.</w:t>
            </w:r>
            <w:r>
              <w:tab/>
            </w:r>
            <w:r>
              <w:t xml:space="preserve">Calls for a comprehensive review of the EU Military Assistance Mission in support of Ukraine (EUMAM Ukraine); </w:t>
            </w:r>
            <w:r>
              <w:rPr>
                <w:b/>
                <w:i/>
              </w:rPr>
              <w:t>questions what training activities may be continued and which ones could be stopped in this context;</w:t>
            </w:r>
            <w:r>
              <w:t xml:space="preserve"> welcomes the addition of two new objectives in the EUMAM Ukraine mandate </w:t>
            </w:r>
            <w:r>
              <w:rPr>
                <w:b/>
                <w:i/>
              </w:rPr>
              <w:t>to enable the Ukrainian government to step up its fight against hybrid threats and to support the reintegration of veterans into Ukrainian society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Calls for a comprehensive review of the EU Military Assistance Mission in support of Ukraine (EUMAM Ukraine); </w:t>
            </w:r>
            <w:r>
              <w:rPr>
                <w:b/>
                <w:i/>
              </w:rPr>
              <w:t>welcomes the addition of two new objectives in the EUMAM Ukraine mandate;</w:t>
            </w:r>
          </w:p>
        </w:tc>
        <w:tc>
          <w:tcPr>
            <w:tcW w:w="4876" w:type="dxa"/>
            <w:tcBorders>
              <w:top w:val="nil"/>
              <w:left w:val="nil"/>
              <w:bottom w:val="nil"/>
              <w:right w:val="nil"/>
            </w:tcBorders>
          </w:tcPr>
          <w:p>
            <w:pPr>
              <w:pStyle w:val="Normal6a"/>
            </w:pPr>
            <w:r>
              <w:t>20.</w:t>
            </w:r>
            <w:r>
              <w:tab/>
            </w:r>
            <w:r>
              <w:t>Calls for a comprehensive review of the EU Military Assistance Mission in support of Ukraine (EUMAM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Welcomes the renewal of the mandates of EUBAM Rafah and EUPOL COPPS until 30 June 2027 as a concrete expression of the EU's commitment to a comprehensive, just and lasting peace in the region; underlines the importance of EUBAM Rafah's renewed deployment at the Rafah Crossing Point, which has already enabled the passage of more than 13,000 travellers, as a vital humanitarian and confidence-building measure; stresses that the EU's credibility as a security actor depends on the coherence between its CSDP commitments and its obligations under international humanitarian law; calls for both missions to be adequately resourced and politically supported;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Considers EUMAM to be the most significant CSDP mission currently ongoing; highlights that addressing EUMAM’s urgent need for additional instructors, equipment, ammunition, and dedicated training facilities to support its operational modules must be prioritized in CSDP mission planning and resourcing;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Rasa Juknevičienė,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Welcomes the renewal, until 2027, of the mandates of the European Union Monitoring Mission in Georgia and the European Union Mission in Armenia, which are key to building confidence;</w:t>
            </w:r>
          </w:p>
        </w:tc>
        <w:tc>
          <w:tcPr>
            <w:tcW w:w="4876" w:type="dxa"/>
            <w:tcBorders>
              <w:top w:val="nil"/>
              <w:left w:val="nil"/>
              <w:bottom w:val="nil"/>
              <w:right w:val="nil"/>
            </w:tcBorders>
          </w:tcPr>
          <w:p>
            <w:pPr>
              <w:pStyle w:val="Normal6a"/>
            </w:pPr>
            <w:r>
              <w:t>21.</w:t>
            </w:r>
            <w:r>
              <w:tab/>
            </w:r>
            <w:r>
              <w:t xml:space="preserve">Welcomes the renewal, until 2027, of the mandates of the European Union Monitoring Mission in Georgia and the European Union Mission in Armenia, which are key to building confidence; </w:t>
            </w:r>
            <w:r>
              <w:rPr>
                <w:b/>
                <w:i/>
              </w:rPr>
              <w:t>stresses that the EUMM remains the only international monitoring presence in Georgia and calls on Russia to grant it access to the occupied regions of Abkhazia and Tskhinvali region/South Ossetia, in line with the 2008 ceasefire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Welcomes the renewal, until 2027, of the mandates of the European Union Monitoring Mission in Georgia and the European Union Mission in Armenia, which are key to building confidence;</w:t>
            </w:r>
          </w:p>
        </w:tc>
        <w:tc>
          <w:tcPr>
            <w:tcW w:w="4876" w:type="dxa"/>
            <w:tcBorders>
              <w:top w:val="nil"/>
              <w:left w:val="nil"/>
              <w:bottom w:val="nil"/>
              <w:right w:val="nil"/>
            </w:tcBorders>
          </w:tcPr>
          <w:p>
            <w:pPr>
              <w:pStyle w:val="Normal6a"/>
            </w:pPr>
            <w:r>
              <w:t>21.</w:t>
            </w:r>
            <w:r>
              <w:tab/>
            </w:r>
            <w:r>
              <w:t xml:space="preserve">Welcomes the renewal, until 2027, of the mandates of the European Union Monitoring Mission in Georgia and the European Union Mission in Armenia, which are key to building confidence; </w:t>
            </w:r>
            <w:r>
              <w:rPr>
                <w:b/>
                <w:i/>
              </w:rPr>
              <w:t>stresses the impartial observation role played by EUMA along the border with Azerbaijan since its deployment, contributing to the stabilisation of the situation as Armenia is currently at a critical juncture;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Welcomes the renewal, until 2027, of the mandates of the European Union Monitoring Mission in Georgia and the European Union Mission in Armenia, which are key to building confidence;</w:t>
            </w:r>
          </w:p>
        </w:tc>
        <w:tc>
          <w:tcPr>
            <w:tcW w:w="4876" w:type="dxa"/>
            <w:tcBorders>
              <w:top w:val="nil"/>
              <w:left w:val="nil"/>
              <w:bottom w:val="nil"/>
              <w:right w:val="nil"/>
            </w:tcBorders>
          </w:tcPr>
          <w:p>
            <w:pPr>
              <w:pStyle w:val="Normal6a"/>
            </w:pPr>
            <w:r>
              <w:t>21.</w:t>
            </w:r>
            <w:r>
              <w:tab/>
            </w:r>
            <w:r>
              <w:t xml:space="preserve">Welcomes the renewal, until 2027, of the mandates of the European Union Monitoring Mission in Georgia and the European Union Mission in Armenia, which are key to building confidence; </w:t>
            </w:r>
            <w:r>
              <w:rPr>
                <w:b/>
                <w:i/>
              </w:rPr>
              <w:t>stresses the importance of guaranteeing full and unimpeded access of the EU Monitoring Mission to Georgia’s territories under Russian occupation, in line with its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Welcomes the renewal, until </w:t>
            </w:r>
            <w:r>
              <w:rPr>
                <w:b/>
                <w:i/>
              </w:rPr>
              <w:t>2027</w:t>
            </w:r>
            <w:r>
              <w:t>, of the mandates of the European Union Monitoring Mission in Georgia and the European Union Mission in Armenia, which are key to building confidence;</w:t>
            </w:r>
          </w:p>
        </w:tc>
        <w:tc>
          <w:tcPr>
            <w:tcW w:w="4876" w:type="dxa"/>
            <w:tcBorders>
              <w:top w:val="nil"/>
              <w:left w:val="nil"/>
              <w:bottom w:val="nil"/>
              <w:right w:val="nil"/>
            </w:tcBorders>
          </w:tcPr>
          <w:p>
            <w:pPr>
              <w:pStyle w:val="Normal6a"/>
            </w:pPr>
            <w:r>
              <w:t>21.</w:t>
            </w:r>
            <w:r>
              <w:tab/>
            </w:r>
            <w:r>
              <w:t xml:space="preserve">Welcomes the renewal, </w:t>
            </w:r>
            <w:r>
              <w:rPr>
                <w:b/>
                <w:i/>
              </w:rPr>
              <w:t>at least</w:t>
            </w:r>
            <w:r>
              <w:t xml:space="preserve"> until </w:t>
            </w:r>
            <w:r>
              <w:rPr>
                <w:b/>
                <w:i/>
              </w:rPr>
              <w:t>the 14th of december 2026</w:t>
            </w:r>
            <w:r>
              <w:t>, of the mandates of the European Union Monitoring Mission in Georgia and the European Union Mission in Armenia, which are key to building confidence;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Takes note of the closure of EUTM Mali, EUCAP Sahel Niger and the Regional Advisory and Coordination Cell between 2024 and 2026, and calls on the EEAS and the Member States to conduct a lessons-learned exercise on the EU's CSDP engagement in the Sahel, to be shared with the European Parliament and to inform future missions in Africa; condemns the information manipulation campaigns linked to the Wagner Group, the Africa Corps and networks such as African Initiative, which portray the EU and its missions as neo-colonial; calls on the EU to counter Russian malign influence by integrating counter-FIMI capabilities, including faith based diplomacy, into all CSDP missions in Africa from the planning phase, by investing in local-language strategic communication, by offering partners a credible, demand-driven, light-footprint security offer, building on the Gulf of Guinea initiative, and by making full use of sanctions against Russian-linked private military companies;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Commends the contribution and achievements of the EU Partnership Mission in the Republic of Moldova (EUPM Moldova) and welcomes the renewal of its mandate until May 2027; highlights its role in strengthening Moldova’s resilience in crisis management and against hybrid threats, cyberattacks, disinformation and foreign interference; calls for continued support to the mission and for adequate expertise, means and resources to enable it to effectively fulfil its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Stresses the need to systematically integrate CSDP missions with other EU external action instruments, including development cooperation, humanitarian assistance and neighbourhood policy, to maximise structural impact and avoid isolated, low-impact interventions;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Considers Operation Althea, formally the European Union Force Bosnia and Herzegovina, to be essential for stability in Bosnia and Herzegovina; recommends that the over-the-horizon reserve forces be fully manned and sustained at all times;</w:t>
            </w:r>
          </w:p>
        </w:tc>
        <w:tc>
          <w:tcPr>
            <w:tcW w:w="4876" w:type="dxa"/>
            <w:tcBorders>
              <w:top w:val="nil"/>
              <w:left w:val="nil"/>
              <w:bottom w:val="nil"/>
              <w:right w:val="nil"/>
            </w:tcBorders>
          </w:tcPr>
          <w:p>
            <w:pPr>
              <w:pStyle w:val="Normal6a"/>
            </w:pPr>
            <w:r>
              <w:t>22.</w:t>
            </w:r>
            <w:r>
              <w:tab/>
            </w:r>
            <w:r>
              <w:t>Considers Operation Althea, formally the European Union Force Bosnia and Herzegovina, to be essential for stability in Bosnia and Herzegovina; recommends that the over-the-horizon reserve forces be fully manned and sustained at all times;</w:t>
            </w:r>
            <w:r>
              <w:rPr>
                <w:b/>
                <w:i/>
              </w:rPr>
              <w:t> stresses the need to ensure that EUFOR Althea maintains the necessary personnel, capabilities, situational awareness and rapid reinforcement capacity to respond credibly to any deterioration of the security environment; underlines the importance of close coordination with NATO and of regular contingency planning and exercises, including for the protection of critical infrastructure and in response to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Considers Operation Althea, formally the European Union Force Bosnia and Herzegovina, to be essential for stability in Bosnia and Herzegovina; recommends that the over-the-horizon reserve forces be fully manned and sustained at all times;</w:t>
            </w:r>
          </w:p>
        </w:tc>
        <w:tc>
          <w:tcPr>
            <w:tcW w:w="4876" w:type="dxa"/>
            <w:tcBorders>
              <w:top w:val="nil"/>
              <w:left w:val="nil"/>
              <w:bottom w:val="nil"/>
              <w:right w:val="nil"/>
            </w:tcBorders>
          </w:tcPr>
          <w:p>
            <w:pPr>
              <w:pStyle w:val="Normal6a"/>
            </w:pPr>
            <w:r>
              <w:t>22.</w:t>
            </w:r>
            <w:r>
              <w:tab/>
            </w:r>
            <w:r>
              <w:t xml:space="preserve">Considers Operation Althea, formally the European Union Force Bosnia and Herzegovina, to be essential for stability in Bosnia and Herzegovina; recommends that the over-the-horizon reserve forces be fully manned and sustained at all times; </w:t>
            </w:r>
            <w:r>
              <w:rPr>
                <w:b/>
                <w:i/>
              </w:rPr>
              <w:t>welcomes the unanimous renewal for 12 months by the UN Security Council of EUFOR Althea’s mandate, and supports an active deterrent role for the operation and NATO contingency planning, in the light of prolonged attacks on the BiH Constitution; Encourages NATO, the EU and Member States to consider the UK’s participation in the 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Considers Operation Althea, formally the European Union Force Bosnia and Herzegovina, to be essential for stability in Bosnia and Herzegovina; recommends that the over-the-horizon reserve forces be fully manned and sustained at all times;</w:t>
            </w:r>
          </w:p>
        </w:tc>
        <w:tc>
          <w:tcPr>
            <w:tcW w:w="4876" w:type="dxa"/>
            <w:tcBorders>
              <w:top w:val="nil"/>
              <w:left w:val="nil"/>
              <w:bottom w:val="nil"/>
              <w:right w:val="nil"/>
            </w:tcBorders>
          </w:tcPr>
          <w:p>
            <w:pPr>
              <w:pStyle w:val="Normal6a"/>
            </w:pPr>
            <w:r>
              <w:t>22.</w:t>
            </w:r>
            <w:r>
              <w:tab/>
            </w:r>
            <w:r>
              <w:t xml:space="preserve">Considers Operation Althea, formally the European Union Force Bosnia and Herzegovina, to be essential for stability in Bosnia and Herzegovina; recommends that the over-the-horizon reserve forces be fully manned and sustained at all times </w:t>
            </w:r>
            <w:r>
              <w:rPr>
                <w:b/>
                <w:i/>
              </w:rPr>
              <w:t>and stresses the importance of close coordination with NATO and relevant regional partners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Considers </w:t>
            </w:r>
            <w:r>
              <w:rPr>
                <w:b/>
                <w:i/>
              </w:rPr>
              <w:t>Operation Althea, formally</w:t>
            </w:r>
            <w:r>
              <w:t xml:space="preserve"> the European Union </w:t>
            </w:r>
            <w:r>
              <w:rPr>
                <w:b/>
                <w:i/>
              </w:rPr>
              <w:t>Force</w:t>
            </w:r>
            <w:r>
              <w:t xml:space="preserve"> Bosnia and Herzegovina</w:t>
            </w:r>
            <w:r>
              <w:rPr>
                <w:b/>
                <w:i/>
              </w:rPr>
              <w:t>,</w:t>
            </w:r>
            <w:r>
              <w:t xml:space="preserve"> to be essential for stability in Bosnia and Herzegovina; recommends that the over-the-horizon reserve forces be fully manned and sustained at all times;</w:t>
            </w:r>
          </w:p>
        </w:tc>
        <w:tc>
          <w:tcPr>
            <w:tcW w:w="4876" w:type="dxa"/>
            <w:tcBorders>
              <w:top w:val="nil"/>
              <w:left w:val="nil"/>
              <w:bottom w:val="nil"/>
              <w:right w:val="nil"/>
            </w:tcBorders>
          </w:tcPr>
          <w:p>
            <w:pPr>
              <w:pStyle w:val="Normal6a"/>
            </w:pPr>
            <w:r>
              <w:t>22.</w:t>
            </w:r>
            <w:r>
              <w:tab/>
            </w:r>
            <w:r>
              <w:t xml:space="preserve">Considers the European Union </w:t>
            </w:r>
            <w:r>
              <w:rPr>
                <w:b/>
                <w:i/>
              </w:rPr>
              <w:t>military operation in</w:t>
            </w:r>
            <w:r>
              <w:t xml:space="preserve"> Bosnia and Herzegovina </w:t>
            </w:r>
            <w:r>
              <w:rPr>
                <w:b/>
                <w:i/>
              </w:rPr>
              <w:t>(EUFOR Althea)</w:t>
            </w:r>
            <w:r>
              <w:t xml:space="preserve"> to be essential for stability in Bosnia and Herzegovina; recommends that the over-the-horizon reserve forces be fully manned and sustained at all times;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Calls for all CSDP missions and operations to be provided with the training, equipment and capabilities necessary to detect, identify, counter and mitigate unmanned aerial systems and other emerging and hybrid threats; calls for the systematic integration of counter-drone and force protection measures into mission planning, mandates and predeployment training, including through the European Security and Defence College; encourages Member States and the EU to pool and share counter-UAS capabilities, lessons learned from Ukraine and relevant civilian technologies to ensure that mission personnel are effectively protected;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Supports the extension of the mandate of EUFOR Operation Althea by the UNSC as an established and proven mission, in order to maintain presence in the ongoing challenging circumstances, as well as to reinforce capacities in case of increased instability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Calls for stronger accountability mechanisms and parliamentary scrutiny of CSDP missions, ensuring that operational decisions remain subject to democratic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Calls on the Member States to actively contribute qualified personnel to CSDP missions and operations, recognising that sufficient and sustained personnel contributions are essential to their effectiveness and operational continuity; emphasises the strategic importance of maintaining adequate personnel levels in missions in the Eastern Partnership region and the wider Eastern European and Caucasus neighbourhood, particularly in the context of Russia’s war of aggression against Ukraine, and encourages Member States sharing the EU’s eastern border to ensure an appropriate and sustained participation of their personnel, drawing on their regional expertise and operational experience;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Calls on the Council and VP/HR that EU peacekeeping missions, such as EUFOR’s Operation Althea in BiH, are open to all interested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Calls </w:t>
            </w:r>
            <w:r>
              <w:rPr>
                <w:b/>
                <w:i/>
              </w:rPr>
              <w:t>on the European External Action Service to assess the effectiveness of the European Union Rule of Law Mission in Kosovo in promoting institutional accountability and good governance</w:t>
            </w:r>
            <w:r>
              <w:t>;</w:t>
            </w:r>
          </w:p>
        </w:tc>
        <w:tc>
          <w:tcPr>
            <w:tcW w:w="4876" w:type="dxa"/>
            <w:tcBorders>
              <w:top w:val="nil"/>
              <w:left w:val="nil"/>
              <w:bottom w:val="nil"/>
              <w:right w:val="nil"/>
            </w:tcBorders>
          </w:tcPr>
          <w:p>
            <w:pPr>
              <w:pStyle w:val="Normal6a"/>
            </w:pPr>
            <w:r>
              <w:t>23.</w:t>
            </w:r>
            <w:r>
              <w:tab/>
            </w:r>
            <w:r>
              <w:rPr>
                <w:b/>
                <w:i/>
              </w:rPr>
              <w:t>Underlines EULEX’s continued efforts in assisting Kosovo’s authorities in establishing sustainable and independent rule-of-law institutions; notes that persistent challenges, including limited enforcement powers, have constrained the impact of its work;</w:t>
            </w:r>
            <w:r>
              <w:t xml:space="preserve"> calls </w:t>
            </w:r>
            <w:r>
              <w:rPr>
                <w:b/>
                <w:i/>
              </w:rPr>
              <w:t>for the mission’s added value, scope and strategic objectives to be reassessed continuously to ensure its relevance and efficiency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Calls on the European External Action Service to assess the effectiveness</w:t>
            </w:r>
            <w:r>
              <w:t xml:space="preserve"> of the European Union Rule of Law Mission in Kosovo </w:t>
            </w:r>
            <w:r>
              <w:rPr>
                <w:b/>
                <w:i/>
              </w:rPr>
              <w:t>in promoting</w:t>
            </w:r>
            <w:r>
              <w:t xml:space="preserve"> institutional accountability and good governance;</w:t>
            </w:r>
          </w:p>
        </w:tc>
        <w:tc>
          <w:tcPr>
            <w:tcW w:w="4876" w:type="dxa"/>
            <w:tcBorders>
              <w:top w:val="nil"/>
              <w:left w:val="nil"/>
              <w:bottom w:val="nil"/>
              <w:right w:val="nil"/>
            </w:tcBorders>
          </w:tcPr>
          <w:p>
            <w:pPr>
              <w:pStyle w:val="Normal6a"/>
            </w:pPr>
            <w:r>
              <w:t>23.</w:t>
            </w:r>
            <w:r>
              <w:tab/>
            </w:r>
            <w:r>
              <w:rPr>
                <w:b/>
                <w:i/>
              </w:rPr>
              <w:t>Welcomes the continued work</w:t>
            </w:r>
            <w:r>
              <w:t xml:space="preserve"> of the European Union Rule of Law Mission in Kosovo </w:t>
            </w:r>
            <w:r>
              <w:rPr>
                <w:b/>
                <w:i/>
              </w:rPr>
              <w:t>(EULEX Kosovo) in supporting the rule of law,</w:t>
            </w:r>
            <w:r>
              <w:t xml:space="preserve"> institutional accountability and good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Stresses that the Western Balkans are an area of strategic and geopolitical interest of the EU and some of its countries are prone to destabilisation, challenging the security and stability of our continent; underlines that third countries are exploiting these vulnerabilities, including through strategic investments and disinformation campaigns; states that the stability, security and democratic resilience of the candidate countries are inextricably linked to the EU’s own security, stability and democratic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 Marina Mesure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stresses that the renewal of their mandates for only three months, until September 2026, is insufficient and limits their ability to act in a predictable time frame; calls on the Member States to strengthen the CSDP mandate of and provide adequate resources to both missions; calls on Israel and the </w:t>
            </w:r>
            <w:r>
              <w:rPr>
                <w:b/>
                <w:i/>
              </w:rPr>
              <w:t>Palestinian Authority to</w:t>
            </w:r>
            <w:r>
              <w:t xml:space="preserve"> maintain full cooperation with them;</w:t>
            </w:r>
          </w:p>
        </w:tc>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and the protection of civilians facing an ongoing genocide committed by Israel</w:t>
            </w:r>
            <w:r>
              <w:t xml:space="preserve">; stresses that the renewal of their mandates for only three months, until September 2026, is insufficient and limits their ability to act in a predictable time frame; calls on the Member States to strengthen the CSDP mandate of and provide adequate resources to both missions </w:t>
            </w:r>
            <w:r>
              <w:rPr>
                <w:b/>
                <w:i/>
              </w:rPr>
              <w:t>to effectively counter illegal blockades and humanitarian atrocities</w:t>
            </w:r>
            <w:r>
              <w:t xml:space="preserve">; calls on Israel </w:t>
            </w:r>
            <w:r>
              <w:rPr>
                <w:b/>
                <w:i/>
              </w:rPr>
              <w:t>to immediately cease its violations of international law, stop hindering international oversight</w:t>
            </w:r>
            <w:r>
              <w:t xml:space="preserve"> and the maintain full cooperation with them; </w:t>
            </w:r>
            <w:r>
              <w:rPr>
                <w:b/>
                <w:i/>
              </w:rPr>
              <w:t>Condemns in the strongest terms Israeli war crimes, genocide and ethnic cleansing committed in Gaza, as well as the illegal occupation and colonisation of Palestine; Recalls that the provisional measures ordered by the ICJ since 26 January 2024 create obligations for all States party to the Genocide Convention and require them to employ all means reasonably available to prevent genocide; Calls therfore for a full military embargo on Israel and the full compliance with the ceasefire, the permanent lifting of all entry restrictions for humanitarian aid and other civilian assistance missions throughout Palestine, and notably in Gaza; demands, the immediate suspension of the EU-Israel Association Agreement and the full withdrawal of Israel from Gaza, the West Bank and East-Jerusalem;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Nathalie Loiseau,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Stresses the importance of the European Union Mission for the Support of Palestinian Police and Rule of Law and the European Union Border Assistance Mission at the Rafah Crossing Point for the sustainability of the ceasefire; stresses that the renewal of their mandates for only three months, until September 2026</w:t>
            </w:r>
            <w:r>
              <w:rPr>
                <w:b/>
                <w:i/>
              </w:rPr>
              <w:t>, is</w:t>
            </w:r>
            <w:r>
              <w:t xml:space="preserve"> insufficient and </w:t>
            </w:r>
            <w:r>
              <w:rPr>
                <w:b/>
                <w:i/>
              </w:rPr>
              <w:t>limits</w:t>
            </w:r>
            <w:r>
              <w:t xml:space="preserve"> their ability to act in a predictable time frame; calls on the Member States to strengthen the CSDP mandate of and provide adequate resources to both missions; calls on Israel and the Palestinian Authority to maintain full cooperation with them;</w:t>
            </w:r>
          </w:p>
        </w:tc>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and progress towards a much-needed peace plan based on the two-state solution</w:t>
            </w:r>
            <w:r>
              <w:t xml:space="preserve">; </w:t>
            </w:r>
            <w:r>
              <w:rPr>
                <w:b/>
                <w:i/>
              </w:rPr>
              <w:t>commends the redeployment of EUBAM Rafah, which in February 2026 enabled the reopening of the Rafah Crossing Point for a controlled number of passengers between Gaza and Egypt; welcomes the extension of both mandates until 30 June 2027, yet</w:t>
            </w:r>
            <w:r>
              <w:t xml:space="preserve"> stresses that the </w:t>
            </w:r>
            <w:r>
              <w:rPr>
                <w:b/>
                <w:i/>
              </w:rPr>
              <w:t>initial</w:t>
            </w:r>
            <w:r>
              <w:t xml:space="preserve"> renewal of their mandates for only three months, until September 2026 </w:t>
            </w:r>
            <w:r>
              <w:rPr>
                <w:b/>
                <w:i/>
              </w:rPr>
              <w:t>, for only 3 months, was</w:t>
            </w:r>
            <w:r>
              <w:t xml:space="preserve"> insufficient and </w:t>
            </w:r>
            <w:r>
              <w:rPr>
                <w:b/>
                <w:i/>
              </w:rPr>
              <w:t>limited</w:t>
            </w:r>
            <w:r>
              <w:t xml:space="preserve"> their ability to act in a predictable time frame</w:t>
            </w:r>
            <w:r>
              <w:rPr>
                <w:b/>
                <w:i/>
              </w:rPr>
              <w:t>, while commending the flexible, scalable approach of the two missions; strongly supports the Union’s offer of November 2025 to train 3 000 vetted Palestinian police officers through EUPOL COPPS, to which France, Germany and Slovenia have expressed willingness to contribute, while noting with concern the escalating tensions in the West Bank which significantly degrade the environment in which the Palestinian civil police operates; regrets the decision by the Israeli government to halt training of Palestinian Authority security forces by the UK; considers that EUBAM Rafah should continue to act as a neutral third party at the crossing and that EUPOL COPPS can play a more significant role in Gaza and in the West Bank;</w:t>
            </w:r>
            <w:r>
              <w:t xml:space="preserve"> ; calls on the Member States to strengthen the CSDP mandate of and provide adequate resources to both missions; calls on Israel and the Palestinian Authority to maintain full cooperation with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stresses that </w:t>
            </w:r>
            <w:r>
              <w:rPr>
                <w:b/>
                <w:i/>
              </w:rPr>
              <w:t>the renewal of their mandates for only three months, until September 2026, is insufficient and limits their ability to act in a predictable time frame; calls on the Member States to strengthen the CSDP mandate of and provide adequate resources to both missions; calls on Israel and the</w:t>
            </w:r>
            <w:r>
              <w:t xml:space="preserve"> Palestinian </w:t>
            </w:r>
            <w:r>
              <w:rPr>
                <w:b/>
                <w:i/>
              </w:rPr>
              <w:t>Authority to maintain full cooperation with them</w:t>
            </w:r>
            <w:r>
              <w:t>;</w:t>
            </w:r>
          </w:p>
        </w:tc>
        <w:tc>
          <w:tcPr>
            <w:tcW w:w="4876" w:type="dxa"/>
            <w:tcBorders>
              <w:top w:val="nil"/>
              <w:left w:val="nil"/>
              <w:bottom w:val="nil"/>
              <w:right w:val="nil"/>
            </w:tcBorders>
          </w:tcPr>
          <w:p>
            <w:pPr>
              <w:pStyle w:val="Normal6a"/>
            </w:pPr>
            <w:r>
              <w:t>24.</w:t>
            </w:r>
            <w:r>
              <w:tab/>
            </w:r>
            <w:r>
              <w:t>Stresses the importance of the European Union Mission for the Support of Palestinian Police and Rule of Law and the European Union Border Assistance Mission at the Rafah Crossing Point for the sustainability of the ceasefire; </w:t>
            </w:r>
            <w:r>
              <w:rPr>
                <w:b/>
                <w:i/>
              </w:rPr>
              <w:t>welcomes the peace plan from U.S President Trump in 2025 and</w:t>
            </w:r>
            <w:r>
              <w:t xml:space="preserve"> stresses that </w:t>
            </w:r>
            <w:r>
              <w:rPr>
                <w:b/>
                <w:i/>
              </w:rPr>
              <w:t>lasting peace requires credible security arrangements, the disarmament of Hamas and other terrorist organisations, reformed</w:t>
            </w:r>
            <w:r>
              <w:t xml:space="preserve"> Palestinian </w:t>
            </w:r>
            <w:r>
              <w:rPr>
                <w:b/>
                <w:i/>
              </w:rPr>
              <w:t>governance and security institutions, and guarantee of the security of Israel; calls for the EU to contribute actively to the implementation of a sustainable political and security settlement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stresses that the renewal of their mandates </w:t>
            </w:r>
            <w:r>
              <w:rPr>
                <w:b/>
                <w:i/>
              </w:rPr>
              <w:t>for only three months, until September 2026, is insufficient and limits</w:t>
            </w:r>
            <w:r>
              <w:t xml:space="preserve"> their </w:t>
            </w:r>
            <w:r>
              <w:rPr>
                <w:b/>
                <w:i/>
              </w:rPr>
              <w:t>ability to act in a predictable time frame</w:t>
            </w:r>
            <w:r>
              <w:t xml:space="preserve">; calls on the Member States to </w:t>
            </w:r>
            <w:r>
              <w:rPr>
                <w:b/>
                <w:i/>
              </w:rPr>
              <w:t>strengthen the CSDP mandate of and provide</w:t>
            </w:r>
            <w:r>
              <w:t xml:space="preserve"> adequate resources </w:t>
            </w:r>
            <w:r>
              <w:rPr>
                <w:b/>
                <w:i/>
              </w:rPr>
              <w:t>to</w:t>
            </w:r>
            <w:r>
              <w:t xml:space="preserve"> both missions; calls on Israel and the Palestinian Authority to maintain full cooperation with them;</w:t>
            </w:r>
          </w:p>
        </w:tc>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w:t>
            </w:r>
            <w:r>
              <w:rPr>
                <w:b/>
                <w:i/>
              </w:rPr>
              <w:t>regional stability and</w:t>
            </w:r>
            <w:r>
              <w:t xml:space="preserve"> the sustainability of the ceasefire; stresses that the renewal of their mandates </w:t>
            </w:r>
            <w:r>
              <w:rPr>
                <w:b/>
                <w:i/>
              </w:rPr>
              <w:t>should be accompanied by close and effective monitoring of</w:t>
            </w:r>
            <w:r>
              <w:t xml:space="preserve"> their </w:t>
            </w:r>
            <w:r>
              <w:rPr>
                <w:b/>
                <w:i/>
              </w:rPr>
              <w:t>activities, personnel and beneficiaries, in particular to ensure that no EU support, funding or training directly or indirectly benefits terrorist organisations or individuals affiliated with them</w:t>
            </w:r>
            <w:r>
              <w:t xml:space="preserve">; calls on the Member States to </w:t>
            </w:r>
            <w:r>
              <w:rPr>
                <w:b/>
                <w:i/>
              </w:rPr>
              <w:t>ensure</w:t>
            </w:r>
            <w:r>
              <w:t xml:space="preserve"> adequate resources </w:t>
            </w:r>
            <w:r>
              <w:rPr>
                <w:b/>
                <w:i/>
              </w:rPr>
              <w:t>and robust oversight of</w:t>
            </w:r>
            <w:r>
              <w:t xml:space="preserve"> both missions; calls on Israel and the Palestinian Authority to maintain full cooperation with them</w:t>
            </w:r>
            <w:r>
              <w:rPr>
                <w:b/>
                <w:i/>
              </w:rPr>
              <w:t>, while taking into account Israel’s legitimate security concerns and its need to prevent the rearmament and financing of terrorist 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stresses that</w:t>
            </w:r>
            <w:r>
              <w:t xml:space="preserve"> the renewal of their mandates </w:t>
            </w:r>
            <w:r>
              <w:rPr>
                <w:b/>
                <w:i/>
              </w:rPr>
              <w:t>for only three months,</w:t>
            </w:r>
            <w:r>
              <w:t xml:space="preserve"> until </w:t>
            </w:r>
            <w:r>
              <w:rPr>
                <w:b/>
                <w:i/>
              </w:rPr>
              <w:t>September 2026, is insufficient and limits their ability to act in a predictable time frame</w:t>
            </w:r>
            <w:r>
              <w:t>; calls on the Member States to strengthen the CSDP mandate of and provide adequate resources to both missions; calls on Israel and the Palestinian Authority to maintain full cooperation with them;</w:t>
            </w:r>
          </w:p>
        </w:tc>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welcomes</w:t>
            </w:r>
            <w:r>
              <w:t xml:space="preserve"> the renewal of their mandates until </w:t>
            </w:r>
            <w:r>
              <w:rPr>
                <w:b/>
                <w:i/>
              </w:rPr>
              <w:t>June 2027</w:t>
            </w:r>
            <w:r>
              <w:t>; calls on the Member States to strengthen the CSDP mandate of and provide adequate resources to both missions</w:t>
            </w:r>
            <w:r>
              <w:rPr>
                <w:b/>
                <w:i/>
              </w:rPr>
              <w:t>, with renewals of at least twelve months and a plan for rapid scalability tied to the effective reopening of the Rafah crossing and to the missions' potential role in supporting the Palestinian Authority in the implementation of the Comprehensive Plan to End the Gaza Conflict, as endorsed by United Nations Security Council Resolution 2803</w:t>
            </w:r>
            <w:r>
              <w:t>; calls on Israel and the Palestinian Authority to maintain full cooperation with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stresses that the renewal of their mandates for only three months, until</w:t>
            </w:r>
            <w:r>
              <w:t xml:space="preserve"> September 2026</w:t>
            </w:r>
            <w:r>
              <w:rPr>
                <w:b/>
                <w:i/>
              </w:rPr>
              <w:t>, is insufficient and limits their ability to act in a predictable time frame</w:t>
            </w:r>
            <w:r>
              <w:t xml:space="preserve">; calls on the Member States to </w:t>
            </w:r>
            <w:r>
              <w:rPr>
                <w:b/>
                <w:i/>
              </w:rPr>
              <w:t>strengthen the CSDP mandate of and</w:t>
            </w:r>
            <w:r>
              <w:t xml:space="preserve"> provide adequate resources to both missions; calls on Israel and the Palestinian Authority to maintain full cooperation with them;</w:t>
            </w:r>
          </w:p>
        </w:tc>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welcomes the Council decision of 28</w:t>
            </w:r>
            <w:r>
              <w:t xml:space="preserve"> September 2026 </w:t>
            </w:r>
            <w:r>
              <w:rPr>
                <w:b/>
                <w:i/>
              </w:rPr>
              <w:t>to renew the mandates of EUBAM Rafah and EUPOL COPPS until 30 June 2027</w:t>
            </w:r>
            <w:r>
              <w:t xml:space="preserve">; calls on the Member States to provide adequate </w:t>
            </w:r>
            <w:r>
              <w:rPr>
                <w:b/>
                <w:i/>
              </w:rPr>
              <w:t>staffing and</w:t>
            </w:r>
            <w:r>
              <w:t xml:space="preserve"> resources to both missions</w:t>
            </w:r>
            <w:r>
              <w:rPr>
                <w:b/>
                <w:i/>
              </w:rPr>
              <w:t>, enabling them to play a stronger operational role in supporting the Palestinian Authority, including in border management, rule of law, security-sector reform and capacity-building</w:t>
            </w:r>
            <w:r>
              <w:t>; calls on Israel and the Palestinian Authority to maintain full cooperation with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stresses that the renewal of their</w:t>
            </w:r>
            <w:r>
              <w:t xml:space="preserve"> mandates </w:t>
            </w:r>
            <w:r>
              <w:rPr>
                <w:b/>
                <w:i/>
              </w:rPr>
              <w:t>for only three months,</w:t>
            </w:r>
            <w:r>
              <w:t xml:space="preserve"> until </w:t>
            </w:r>
            <w:r>
              <w:rPr>
                <w:b/>
                <w:i/>
              </w:rPr>
              <w:t>September 2026, is</w:t>
            </w:r>
            <w:r>
              <w:t xml:space="preserve"> insufficient and limits their ability to act in a predictable time frame; calls on the Member States to strengthen the CSDP mandate of and provide adequate resources to both missions; calls on Israel and the Palestinian Authority to maintain full cooperation with them;</w:t>
            </w:r>
          </w:p>
        </w:tc>
        <w:tc>
          <w:tcPr>
            <w:tcW w:w="4876" w:type="dxa"/>
            <w:tcBorders>
              <w:top w:val="nil"/>
              <w:left w:val="nil"/>
              <w:bottom w:val="nil"/>
              <w:right w:val="nil"/>
            </w:tcBorders>
          </w:tcPr>
          <w:p>
            <w:pPr>
              <w:pStyle w:val="Normal6a"/>
            </w:pPr>
            <w:r>
              <w:t>24.</w:t>
            </w:r>
            <w:r>
              <w:tab/>
            </w:r>
            <w:r>
              <w:t xml:space="preserve">Stresses the importance of the European Union Mission for the Support of Palestinian Police and Rule of Law and the European Union Border Assistance Mission at the Rafah Crossing Point for the sustainability of the ceasefire; </w:t>
            </w:r>
            <w:r>
              <w:rPr>
                <w:b/>
                <w:i/>
              </w:rPr>
              <w:t>takes note of the Council´s decision to renew the</w:t>
            </w:r>
            <w:r>
              <w:t xml:space="preserve"> mandates </w:t>
            </w:r>
            <w:r>
              <w:rPr>
                <w:b/>
                <w:i/>
              </w:rPr>
              <w:t>of EUBAM Rafah and EUPOL COPPS)</w:t>
            </w:r>
            <w:r>
              <w:t xml:space="preserve"> until </w:t>
            </w:r>
            <w:r>
              <w:rPr>
                <w:b/>
                <w:i/>
              </w:rPr>
              <w:t>30 June 2027; considers a nine month renewal</w:t>
            </w:r>
            <w:r>
              <w:t xml:space="preserve"> insufficient and limits their ability to act in a predictable time frame; calls on the Member States to strengthen the CSDP mandate of and provide adequate resources to both missions; calls on Israel and the Palestinian Authority to maintain full cooperation with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Stresses the importance of the European Union </w:t>
            </w:r>
            <w:r>
              <w:rPr>
                <w:b/>
                <w:i/>
              </w:rPr>
              <w:t>Mission for the Support of</w:t>
            </w:r>
            <w:r>
              <w:t xml:space="preserve"> Palestinian Police </w:t>
            </w:r>
            <w:r>
              <w:rPr>
                <w:b/>
                <w:i/>
              </w:rPr>
              <w:t>and Rule of Law</w:t>
            </w:r>
            <w:r>
              <w:t xml:space="preserve"> and the European Union Border Assistance Mission at the Rafah Crossing Point for the sustainability of the ceasefire; </w:t>
            </w:r>
            <w:r>
              <w:rPr>
                <w:b/>
                <w:i/>
              </w:rPr>
              <w:t>stresses that the renewal</w:t>
            </w:r>
            <w:r>
              <w:t xml:space="preserve"> of their mandates </w:t>
            </w:r>
            <w:r>
              <w:rPr>
                <w:b/>
                <w:i/>
              </w:rPr>
              <w:t>for only three months,</w:t>
            </w:r>
            <w:r>
              <w:t xml:space="preserve"> until </w:t>
            </w:r>
            <w:r>
              <w:rPr>
                <w:b/>
                <w:i/>
              </w:rPr>
              <w:t>September 2026, is insufficient and limits their ability to act in a</w:t>
            </w:r>
            <w:r>
              <w:t xml:space="preserve"> predictable time frame; calls on the Member States to strengthen the CSDP </w:t>
            </w:r>
            <w:r>
              <w:rPr>
                <w:b/>
                <w:i/>
              </w:rPr>
              <w:t>mandate</w:t>
            </w:r>
            <w:r>
              <w:t xml:space="preserve"> of and provide adequate resources to both missions; calls on Israel and the Palestinian Authority to maintain full cooperation with them;</w:t>
            </w:r>
          </w:p>
        </w:tc>
        <w:tc>
          <w:tcPr>
            <w:tcW w:w="4876" w:type="dxa"/>
            <w:tcBorders>
              <w:top w:val="nil"/>
              <w:left w:val="nil"/>
              <w:bottom w:val="nil"/>
              <w:right w:val="nil"/>
            </w:tcBorders>
          </w:tcPr>
          <w:p>
            <w:pPr>
              <w:pStyle w:val="Normal6a"/>
            </w:pPr>
            <w:r>
              <w:t>24.</w:t>
            </w:r>
            <w:r>
              <w:tab/>
            </w:r>
            <w:r>
              <w:t xml:space="preserve">Stresses the importance of the European Union </w:t>
            </w:r>
            <w:r>
              <w:rPr>
                <w:b/>
                <w:i/>
              </w:rPr>
              <w:t>Coordinating Office for</w:t>
            </w:r>
            <w:r>
              <w:t xml:space="preserve"> Palestinian Police </w:t>
            </w:r>
            <w:r>
              <w:rPr>
                <w:b/>
                <w:i/>
              </w:rPr>
              <w:t>Support (EUPOL COPPS)</w:t>
            </w:r>
            <w:r>
              <w:t xml:space="preserve"> and the European Union Border Assistance Mission at the Rafah Crossing Point </w:t>
            </w:r>
            <w:r>
              <w:rPr>
                <w:b/>
                <w:i/>
              </w:rPr>
              <w:t>(EUBAM Rafah)</w:t>
            </w:r>
            <w:r>
              <w:t xml:space="preserve"> for the sustainability of the ceasefire; </w:t>
            </w:r>
            <w:r>
              <w:rPr>
                <w:b/>
                <w:i/>
              </w:rPr>
              <w:t>welcomes the extension</w:t>
            </w:r>
            <w:r>
              <w:t xml:space="preserve"> of their mandates until </w:t>
            </w:r>
            <w:r>
              <w:rPr>
                <w:b/>
                <w:i/>
              </w:rPr>
              <w:t>30 June 2027, providing a more</w:t>
            </w:r>
            <w:r>
              <w:t xml:space="preserve"> predictable time frame </w:t>
            </w:r>
            <w:r>
              <w:rPr>
                <w:b/>
                <w:i/>
              </w:rPr>
              <w:t>for their activities</w:t>
            </w:r>
            <w:r>
              <w:t xml:space="preserve">; calls on the Member States to strengthen the CSDP </w:t>
            </w:r>
            <w:r>
              <w:rPr>
                <w:b/>
                <w:i/>
              </w:rPr>
              <w:t>mandates</w:t>
            </w:r>
            <w:r>
              <w:t xml:space="preserve"> of and provide adequate resources to both missions; calls on Israel and the Palestinian Authority to maintain full cooperation with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Welcomes the establishment and launch of the EU Partnership Mission in Armenia (EUPM Armenia) as a new civilian CSDP instrument; stresses the importance of strengthening Armenia’s resilience against hybrid threats, including foreign information manipulation and interference, cyber-attacks and illicit financial flows;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Lynn Boylan, Kathleen Funchion,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Stresses that Israel remains the greatest threat to collective security in the region and that the continued failure to hold Israel accountable for violations of international law and the United Nations Charter is contributing to the deteriorating security situation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Welcomes the extension of the mandates of EUNAVFOR ATALANTA, ASPIDES and IRINI to monitor shadow fleets and arms trafficking; calls for improved information-sharing between these operations and Member State enforcement authorities so that this monitoring effectively supports the enforcement of EU sanctions against Russia, in full compliance with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Calls for the establishment of a dedicated CSDP mission in the Arctic region, aimed at strengthening the Union’s situational awareness, resilience and security presence in the region, including through enhanced monitoring of critical infrastructure, emerging security risks and strategic developments, and stresses the importance of close coordination with Member States and relevant regional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Welcomes the Council decision of 4 June 2026 to grant 100 million EUR under the European Peace Facility to equip and train the Lebanese Armed Forces, and calls for its swift implementation;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Welcomes the Council decision of 4 June 2026 to grant 100 million EUR under the European Peace Facility to equip and train the Lebanese Armed Forces, and calls for its swift implementation;</w:t>
            </w:r>
          </w:p>
        </w:tc>
        <w:tc>
          <w:tcPr>
            <w:tcW w:w="4876" w:type="dxa"/>
            <w:tcBorders>
              <w:top w:val="nil"/>
              <w:left w:val="nil"/>
              <w:bottom w:val="nil"/>
              <w:right w:val="nil"/>
            </w:tcBorders>
          </w:tcPr>
          <w:p>
            <w:pPr>
              <w:pStyle w:val="Normal6a"/>
            </w:pPr>
            <w:r>
              <w:t>25.</w:t>
            </w:r>
            <w:r>
              <w:tab/>
            </w:r>
            <w:r>
              <w:t xml:space="preserve">Welcomes the Council decision of 4 June 2026 to grant 100 million EUR under the European Peace Facility to equip and train the Lebanese Armed Forces, </w:t>
            </w:r>
            <w:r>
              <w:rPr>
                <w:b/>
                <w:i/>
              </w:rPr>
              <w:t>bringing total EPF support to Lebanon to EUR 182 million,</w:t>
            </w:r>
            <w:r>
              <w:t xml:space="preserve"> and calls for its swift implementation; </w:t>
            </w:r>
            <w:r>
              <w:rPr>
                <w:b/>
                <w:i/>
              </w:rPr>
              <w:t>notes that the mandate of the United Nations Interim Force in Lebanon (UNIFIL) expires on 31 December 2026 and that its withdrawal will take place in the course of 2027; supports the planning of a CSDP mission to advise and train the Lebanese Armed Forces and security forces, in order to strengthen the State's control over its whole territory and its monopoly on the use of force; calls on the Council to launch it without delay, with a multi-year mandate and adequate resources, in close coordination with the international coalition in support of Lebanon, so that no security vacuum emerges after UNIFIL's departure;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Welcomes the Council decision of 4 June 2026 to grant 100 million EUR under the European Peace Facility to equip and train the Lebanese Armed Forces, and calls for its swift implementation;</w:t>
            </w:r>
          </w:p>
        </w:tc>
        <w:tc>
          <w:tcPr>
            <w:tcW w:w="4876" w:type="dxa"/>
            <w:tcBorders>
              <w:top w:val="nil"/>
              <w:left w:val="nil"/>
              <w:bottom w:val="nil"/>
              <w:right w:val="nil"/>
            </w:tcBorders>
          </w:tcPr>
          <w:p>
            <w:pPr>
              <w:pStyle w:val="Normal6a"/>
            </w:pPr>
            <w:r>
              <w:t>25.</w:t>
            </w:r>
            <w:r>
              <w:tab/>
            </w:r>
            <w:r>
              <w:t xml:space="preserve">Welcomes the Council decision of 4 June 2026 to grant 100 million EUR under the European Peace Facility to equip and train the Lebanese Armed Forces, and calls for its swift implementation; </w:t>
            </w:r>
            <w:r>
              <w:rPr>
                <w:b/>
                <w:i/>
              </w:rPr>
              <w:t>welcomes the progress towards the establishment of a possible EU CSDP mission in Lebanon aimed at strengthening the capacity of the Lebanese state, including through support to the Lebanese Armed Forces and internal security forces and enhanced border and maritime security; stresses that such a mission should complement, and not replace, the role of UNIFIL and should be provided with adequate human, financial and operational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Welcomes the Council decision of 4 June 2026 to grant 100 million EUR under the European Peace Facility to equip and train the Lebanese Armed Forces, and calls for its swift implementation;</w:t>
            </w:r>
          </w:p>
        </w:tc>
        <w:tc>
          <w:tcPr>
            <w:tcW w:w="4876" w:type="dxa"/>
            <w:tcBorders>
              <w:top w:val="nil"/>
              <w:left w:val="nil"/>
              <w:bottom w:val="nil"/>
              <w:right w:val="nil"/>
            </w:tcBorders>
          </w:tcPr>
          <w:p>
            <w:pPr>
              <w:pStyle w:val="Normal6a"/>
            </w:pPr>
            <w:r>
              <w:t>25.</w:t>
            </w:r>
            <w:r>
              <w:tab/>
            </w:r>
            <w:r>
              <w:t xml:space="preserve">Welcomes the Council decision of 4 June 2026 to grant 100 million EUR under the European Peace Facility to equip and train the Lebanese Armed Forces, and calls for its swift implementation; </w:t>
            </w:r>
            <w:r>
              <w:rPr>
                <w:b/>
                <w:i/>
              </w:rPr>
              <w:t>stresses that strengthening the Lebanese Armed Forces is essential to the sovereignty and stability of Lebanon; underlines the need to prevent Hezbollah and other armed non-state actors from undermining the authority of the Lebanese state; calls for continued work against Iran’s support for armed proxy organisations and its destabilising activities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Welcomes the Council decision of 4 June 2026 to grant 100 million EUR under the European Peace Facility to equip and train the Lebanese Armed Forces, and calls for its swift implementation;</w:t>
            </w:r>
          </w:p>
        </w:tc>
        <w:tc>
          <w:tcPr>
            <w:tcW w:w="4876" w:type="dxa"/>
            <w:tcBorders>
              <w:top w:val="nil"/>
              <w:left w:val="nil"/>
              <w:bottom w:val="nil"/>
              <w:right w:val="nil"/>
            </w:tcBorders>
          </w:tcPr>
          <w:p>
            <w:pPr>
              <w:pStyle w:val="Normal6a"/>
            </w:pPr>
            <w:r>
              <w:t>25.</w:t>
            </w:r>
            <w:r>
              <w:tab/>
            </w:r>
            <w:r>
              <w:t xml:space="preserve">Welcomes the Council decision of 4 June 2026 to grant 100 million EUR under the European Peace Facility to equip and train the Lebanese Armed Forces, and calls for its swift implementation; </w:t>
            </w:r>
            <w:r>
              <w:rPr>
                <w:b/>
                <w:i/>
              </w:rPr>
              <w:t>regrets the expiry of the mandate of the UN Interim Forces in Lebanon (UNIFIL) at the end of 2026 and welcomes the proposal by three EU Member States to launch an EU mission to preserve the international commitment in Lebanon, and strengthen the Lebanese Armed Forces and the Lebanese state’s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Welcomes the Council decision of 4 June 2026 to grant 100 million EUR under the European Peace Facility to equip and train the Lebanese Armed Forces, and calls for its swift implementation;</w:t>
            </w:r>
          </w:p>
        </w:tc>
        <w:tc>
          <w:tcPr>
            <w:tcW w:w="4876" w:type="dxa"/>
            <w:tcBorders>
              <w:top w:val="nil"/>
              <w:left w:val="nil"/>
              <w:bottom w:val="nil"/>
              <w:right w:val="nil"/>
            </w:tcBorders>
          </w:tcPr>
          <w:p>
            <w:pPr>
              <w:pStyle w:val="Normal6a"/>
            </w:pPr>
            <w:r>
              <w:t>25.</w:t>
            </w:r>
            <w:r>
              <w:tab/>
            </w:r>
            <w:r>
              <w:t xml:space="preserve">Welcomes the Council decision of 4 June 2026 to grant 100 million EUR under the European Peace Facility to equip and train the Lebanese Armed Forces, and calls for its swift implementation; </w:t>
            </w:r>
            <w:r>
              <w:rPr>
                <w:b/>
                <w:i/>
              </w:rPr>
              <w:t>looks forward to the establishment of a new CSDP mission in Lebanon combining military and civilian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Welcomes the Council decision of 4 June 2026 to grant 100 million EUR under the European Peace Facility to equip and train the Lebanese Armed Forces, and calls for its swift implementation;</w:t>
            </w:r>
          </w:p>
        </w:tc>
        <w:tc>
          <w:tcPr>
            <w:tcW w:w="4876" w:type="dxa"/>
            <w:tcBorders>
              <w:top w:val="nil"/>
              <w:left w:val="nil"/>
              <w:bottom w:val="nil"/>
              <w:right w:val="nil"/>
            </w:tcBorders>
          </w:tcPr>
          <w:p>
            <w:pPr>
              <w:pStyle w:val="Normal6a"/>
            </w:pPr>
            <w:r>
              <w:t>25.</w:t>
            </w:r>
            <w:r>
              <w:tab/>
            </w:r>
            <w:r>
              <w:t xml:space="preserve">Welcomes </w:t>
            </w:r>
            <w:r>
              <w:rPr>
                <w:b/>
                <w:i/>
              </w:rPr>
              <w:t>the foreseen creation of a CSDP mission in Lebanon as well as</w:t>
            </w:r>
            <w:r>
              <w:t xml:space="preserve"> the Council decision of 4 June 2026 to grant 100 million EUR under the European Peace Facility to equip and train the Lebanese Armed Forces, and calls for its swift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Lynn Boylan, Kathleen Funchion, Özlem Demirel,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Regrets that the mandate of the United Nations Interim Force in Lebanon (UNIFIL) will expire at the end of this year due to United States and Israeli opposition; notes that the core UNIFIL mandate to confirm the withdrawal of Israeli forces from southern Lebanon and to help the Lebanese government ensure the return of its effective authority in the area remains unfulfilled; stresses that the best way to improve the security situation in Lebanon is to end the supply of weapons to Israel which allows them to violate Lebanese sovereignty and to put real pressure, including sanctions, on the Israeli officials responsible the illegal invasion;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Welcomes the announcement by the EEAS of a possible civilian CSDP mission to Lebanon; underlines the potential contribution such a mission could make to strengthening the capacities of the Lebanese state, including in the areas of border management, the rule of law and civilian security; insists that, should such a mission be established, adequate and predictable appropriations be included in the 2027 Union budget to ensure its rapid deployment and effective functioning, including the provision of the necessary financial, human and operational resources to fulfil its mandate effectively;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Stresses the importance of a coherent and coordinated EU approach to maritime security, in particular through EUNAVFOR ATALANTA, EUNAVFOR ASPIDES and EUNAVFOR MED IRINI; welcomes the adaptation of their mandates to evolving maritime security threats, including through enhanced situational awareness and the protection of critical maritime and submarine infrastructure; calls for strengthened coordination and information-sharing among EU maritime operations and with relevant regional and international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Highlights the role played by European Union Naval Force Aspides in protecting merchant ships from Houthi attacks in the Red Sea and enhancing maritime security in the region; welcomes the extension of its mandate until February 2027;</w:t>
            </w:r>
          </w:p>
        </w:tc>
        <w:tc>
          <w:tcPr>
            <w:tcW w:w="4876" w:type="dxa"/>
            <w:tcBorders>
              <w:top w:val="nil"/>
              <w:left w:val="nil"/>
              <w:bottom w:val="nil"/>
              <w:right w:val="nil"/>
            </w:tcBorders>
          </w:tcPr>
          <w:p>
            <w:pPr>
              <w:pStyle w:val="Normal6a"/>
            </w:pPr>
            <w:r>
              <w:t>26.</w:t>
            </w:r>
            <w:r>
              <w:tab/>
            </w:r>
            <w:r>
              <w:t xml:space="preserve">Highlights the role played by European Union Naval Force Aspides in protecting merchant ships from Houthi attacks in the Red Sea and enhancing maritime security in the region; welcomes the extension of its mandate until February 2027 </w:t>
            </w:r>
            <w:r>
              <w:rPr>
                <w:b/>
                <w:i/>
              </w:rPr>
              <w:t>and the addition, in March 2026, of tasks on critical submarine infrastructure</w:t>
            </w:r>
            <w:r>
              <w:t xml:space="preserve">; </w:t>
            </w:r>
            <w:r>
              <w:rPr>
                <w:b/>
                <w:i/>
              </w:rPr>
              <w:t>is alarmed by the resumption, since July 2026, of Houthi attacks on merchant shipping; supports the call made by the HR/VP to the Member States on 19 September 2026 to substantially reinforce the naval and air assets of the operation, including its close protection capabilities; deplores the fact that the operation remains below the force level of at least ten ships envisaged at its launch, leaving merchant vessels waiting for escorts; calls on the Member States to respond without delay, including by assigning to the operation the naval assets offered for the Strait of Hormuz for as long as that mission is not operational; calls for the forthcoming strategic review to assess closer integration between Operations ASPIDES and ATALANTA;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Highlights the role played by European Union Naval Force Aspides in protecting merchant ships from Houthi attacks in the Red Sea and enhancing maritime security in the region; welcomes the extension of its mandate until February 2027;</w:t>
            </w:r>
          </w:p>
        </w:tc>
        <w:tc>
          <w:tcPr>
            <w:tcW w:w="4876" w:type="dxa"/>
            <w:tcBorders>
              <w:top w:val="nil"/>
              <w:left w:val="nil"/>
              <w:bottom w:val="nil"/>
              <w:right w:val="nil"/>
            </w:tcBorders>
          </w:tcPr>
          <w:p>
            <w:pPr>
              <w:pStyle w:val="Normal6a"/>
            </w:pPr>
            <w:r>
              <w:t>26.</w:t>
            </w:r>
            <w:r>
              <w:tab/>
            </w:r>
            <w:r>
              <w:t xml:space="preserve">Highlights the role played by European Union Naval Force Aspides in protecting merchant ships from Houthi attacks in the Red Sea and enhancing maritime security in the region; </w:t>
            </w:r>
            <w:r>
              <w:rPr>
                <w:b/>
                <w:i/>
              </w:rPr>
              <w:t>notes that the seizure of the port city of Mokha by the Houthi rebels and their advance on the Bab al-Mandeb Strait led Operation ASPIDES to raise the alert level of its vessels while continuing its escort duties; stresses that the 2026 war against Iran, the ensuing closure of the Strait of Hormuz as well as the disruption of the Bab al-Mandeb Strait have brought maritime security in the Gulf to the forefront of the Union’s strategic and economic interests; stresses that it is inconsistent to consider extending ASPIDES to the Strait of Hormuz when the resources required for the effective implementation of ASPIDES have not yet been put in place;</w:t>
            </w:r>
            <w:r>
              <w:t xml:space="preserve"> welcomes the extension of its mandate until February 2027; </w:t>
            </w:r>
            <w:r>
              <w:rPr>
                <w:b/>
                <w:i/>
              </w:rPr>
              <w:t>calls on Member States to allocate more resources to ASPIDES, given the current situation;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Highlights the role played by European Union Naval Force Aspides in protecting merchant ships from Houthi attacks in the Red Sea and enhancing maritime security in the region; welcomes the extension of its mandate until February 2027;</w:t>
            </w:r>
          </w:p>
        </w:tc>
        <w:tc>
          <w:tcPr>
            <w:tcW w:w="4876" w:type="dxa"/>
            <w:tcBorders>
              <w:top w:val="nil"/>
              <w:left w:val="nil"/>
              <w:bottom w:val="nil"/>
              <w:right w:val="nil"/>
            </w:tcBorders>
          </w:tcPr>
          <w:p>
            <w:pPr>
              <w:pStyle w:val="Normal6a"/>
            </w:pPr>
            <w:r>
              <w:t>26.</w:t>
            </w:r>
            <w:r>
              <w:tab/>
            </w:r>
            <w:r>
              <w:t xml:space="preserve">Highlights the role played by European Union Naval Force Aspides in protecting merchant ships from Houthi attacks in the Red Sea and enhancing maritime security in the region; welcomes the extension of its mandate until February 2027; </w:t>
            </w:r>
            <w:r>
              <w:rPr>
                <w:b/>
                <w:i/>
              </w:rPr>
              <w:t>calls on the Member States to provide the additional naval assets required for the operation to effectively fulfil its mandate, in particular vessels capable of escorting and protecting commercial shipping through the Bab el-Mandeb Strait;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Highlights the role played by European Union Naval Force Aspides in protecting merchant ships from Houthi attacks in the Red Sea and enhancing maritime security in the region; welcomes the extension of its mandate until February 2027;</w:t>
            </w:r>
          </w:p>
        </w:tc>
        <w:tc>
          <w:tcPr>
            <w:tcW w:w="4876" w:type="dxa"/>
            <w:tcBorders>
              <w:top w:val="nil"/>
              <w:left w:val="nil"/>
              <w:bottom w:val="nil"/>
              <w:right w:val="nil"/>
            </w:tcBorders>
          </w:tcPr>
          <w:p>
            <w:pPr>
              <w:pStyle w:val="Normal6a"/>
            </w:pPr>
            <w:r>
              <w:t>26.</w:t>
            </w:r>
            <w:r>
              <w:tab/>
            </w:r>
            <w:r>
              <w:t>Highlights the role played by European Union Naval Force Aspides in protecting merchant ships from Houthi attacks in the Red Sea and enhancing maritime security in the region; welcomes the extension of its mandate until February 2027;</w:t>
            </w:r>
            <w:r>
              <w:rPr>
                <w:b/>
                <w:i/>
              </w:rPr>
              <w:t> stresses that it is in the strategic interest of Member States to support and assist ASPIDES, especially by providing naval assets;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Highlights the role played by European Union Naval Force Aspides in protecting merchant ships from Houthi attacks in the Red Sea and enhancing maritime security in the region; welcomes the extension of its mandate until February 2027;</w:t>
            </w:r>
          </w:p>
        </w:tc>
        <w:tc>
          <w:tcPr>
            <w:tcW w:w="4876" w:type="dxa"/>
            <w:tcBorders>
              <w:top w:val="nil"/>
              <w:left w:val="nil"/>
              <w:bottom w:val="nil"/>
              <w:right w:val="nil"/>
            </w:tcBorders>
          </w:tcPr>
          <w:p>
            <w:pPr>
              <w:pStyle w:val="Normal6a"/>
            </w:pPr>
            <w:r>
              <w:t>26.</w:t>
            </w:r>
            <w:r>
              <w:tab/>
            </w:r>
            <w:r>
              <w:t xml:space="preserve">Highlights the role played by European Union Naval Force Aspides in protecting merchant ships from Houthi attacks in the Red Sea and enhancing maritime security in the region; welcomes the extension of its mandate until February 2027 </w:t>
            </w:r>
            <w:r>
              <w:rPr>
                <w:b/>
                <w:i/>
              </w:rPr>
              <w:t>and calls for it to be significantly strengthened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Highlights the role played by European Union Naval Force Aspides in protecting merchant ships from Houthi attacks in the Red Sea and enhancing maritime security in the region; welcomes the extension of its mandate until February 2027;</w:t>
            </w:r>
          </w:p>
        </w:tc>
        <w:tc>
          <w:tcPr>
            <w:tcW w:w="4876" w:type="dxa"/>
            <w:tcBorders>
              <w:top w:val="nil"/>
              <w:left w:val="nil"/>
              <w:bottom w:val="nil"/>
              <w:right w:val="nil"/>
            </w:tcBorders>
          </w:tcPr>
          <w:p>
            <w:pPr>
              <w:pStyle w:val="Normal6a"/>
            </w:pPr>
            <w:r>
              <w:t>26.</w:t>
            </w:r>
            <w:r>
              <w:tab/>
            </w:r>
            <w:r>
              <w:t xml:space="preserve">Highlights the role played by European Union Naval Force Aspides in protecting merchant ships from Houthi attacks in the Red Sea and enhancing maritime security in the region; welcomes the extension of its mandate until February 2027 </w:t>
            </w:r>
            <w:r>
              <w:rPr>
                <w:b/>
                <w:i/>
              </w:rPr>
              <w:t>and calls for its significant reinforcement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Takes note of the extension of the mandate of European Union Naval Force Mediterranean Operation Irini until 31 March 2027;</w:t>
            </w:r>
          </w:p>
        </w:tc>
        <w:tc>
          <w:tcPr>
            <w:tcW w:w="4876" w:type="dxa"/>
            <w:tcBorders>
              <w:top w:val="nil"/>
              <w:left w:val="nil"/>
              <w:bottom w:val="nil"/>
              <w:right w:val="nil"/>
            </w:tcBorders>
          </w:tcPr>
          <w:p>
            <w:pPr>
              <w:pStyle w:val="Normal6a"/>
            </w:pPr>
            <w:r>
              <w:t>27.</w:t>
            </w:r>
            <w:r>
              <w:tab/>
            </w:r>
            <w:r>
              <w:t xml:space="preserve">Takes note of the extension of the mandate of European Union Naval Force Mediterranean Operation Irini until 31 March 2027 </w:t>
            </w:r>
            <w:r>
              <w:rPr>
                <w:b/>
                <w:i/>
              </w:rPr>
              <w:t>and its enlargement, following the 2025 strategic review, to a new Maritime Situational Awareness task, including the protection of critical maritime infrastructure</w:t>
            </w:r>
            <w:r>
              <w:t xml:space="preserve">; </w:t>
            </w:r>
            <w:r>
              <w:rPr>
                <w:b/>
                <w:i/>
              </w:rPr>
              <w:t>regrets that the operation was never fully able to enforce the UNSC arms embargo in Libya; recalls that the operation’s effectiveness depends on the readiness of Member States to provide it with sufficient naval and aerial assets and on the full cooperation of all flag States with its inspections, in line with the binding UN Security Council resolutions; stresses the growing relevance of its surveillance role for the protection of undersea cables and pipelines in the Mediterranean;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Takes note of</w:t>
            </w:r>
            <w:r>
              <w:t xml:space="preserve"> the extension of the mandate of European Union Naval Force Mediterranean Operation Irini until 31 March 2027;</w:t>
            </w:r>
          </w:p>
        </w:tc>
        <w:tc>
          <w:tcPr>
            <w:tcW w:w="4876" w:type="dxa"/>
            <w:tcBorders>
              <w:top w:val="nil"/>
              <w:left w:val="nil"/>
              <w:bottom w:val="nil"/>
              <w:right w:val="nil"/>
            </w:tcBorders>
          </w:tcPr>
          <w:p>
            <w:pPr>
              <w:pStyle w:val="Normal6a"/>
            </w:pPr>
            <w:r>
              <w:t>27.</w:t>
            </w:r>
            <w:r>
              <w:tab/>
            </w:r>
            <w:r>
              <w:rPr>
                <w:b/>
                <w:i/>
              </w:rPr>
              <w:t>Welcomes</w:t>
            </w:r>
            <w:r>
              <w:t xml:space="preserve"> the extension of the mandate of European Union Naval Force Mediterranean Operation Irini until 31 March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Takes note of the extension, until February 2027, of the mandates of the European Union Capacity Building Mission in Somalia, the European Union Training Mission in Somalia and Operation Atalanta, formally European Union Naval Force Somalia, all taking part in reinforcing Somali security, maritime and rule-of-law capacities;</w:t>
            </w:r>
          </w:p>
        </w:tc>
        <w:tc>
          <w:tcPr>
            <w:tcW w:w="4876" w:type="dxa"/>
            <w:tcBorders>
              <w:top w:val="nil"/>
              <w:left w:val="nil"/>
              <w:bottom w:val="nil"/>
              <w:right w:val="nil"/>
            </w:tcBorders>
          </w:tcPr>
          <w:p>
            <w:pPr>
              <w:pStyle w:val="Normal6a"/>
            </w:pPr>
            <w:r>
              <w:t>28.</w:t>
            </w:r>
            <w:r>
              <w:tab/>
            </w:r>
            <w:r>
              <w:t>Takes note of the extension, until February 2027, of the mandates of the European Union Capacity Building Mission in Somalia, the European Union Training Mission in Somalia and Operation Atalanta, formally European Union Naval Force Somalia, all taking part in reinforcing Somali security, maritime and rule-of-law capacities</w:t>
            </w:r>
            <w:r>
              <w:rPr>
                <w:b/>
                <w:i/>
              </w:rPr>
              <w:t>, until February 2027 following the holistic strategic review of CSDP engagement in the Horn of Africa</w:t>
            </w:r>
            <w:r>
              <w:t xml:space="preserve">; </w:t>
            </w:r>
            <w:r>
              <w:rPr>
                <w:b/>
                <w:i/>
              </w:rPr>
              <w:t>is concerned, however, by a marked rise in the number of successful pirate attacks on the high seas off the coast of Somalia, between the Gulf of Aden and the eastern Indian Ocean, in recent months and a rapidly deteriorating security situation amid Al-Shabaab’s renewed offensive and the difficult transition to the African Union Support and Stabilization Mission (AUSSOM); regrets insufficient coordination with the African Union and international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Takes note</w:t>
            </w:r>
            <w:r>
              <w:t xml:space="preserve"> of the extension, until February 2027, of the mandates of the European Union Capacity Building Mission in Somalia, the European Union Training Mission in Somalia and Operation Atalanta, </w:t>
            </w:r>
            <w:r>
              <w:rPr>
                <w:b/>
                <w:i/>
              </w:rPr>
              <w:t>formally European Union Naval Force Somalia,</w:t>
            </w:r>
            <w:r>
              <w:t xml:space="preserve"> all taking part in reinforcing Somali security, maritime and rule-of-law capacities;</w:t>
            </w:r>
          </w:p>
        </w:tc>
        <w:tc>
          <w:tcPr>
            <w:tcW w:w="4876" w:type="dxa"/>
            <w:tcBorders>
              <w:top w:val="nil"/>
              <w:left w:val="nil"/>
              <w:bottom w:val="nil"/>
              <w:right w:val="nil"/>
            </w:tcBorders>
          </w:tcPr>
          <w:p>
            <w:pPr>
              <w:pStyle w:val="Normal6a"/>
            </w:pPr>
            <w:r>
              <w:t>28.</w:t>
            </w:r>
            <w:r>
              <w:tab/>
            </w:r>
            <w:r>
              <w:rPr>
                <w:b/>
                <w:i/>
              </w:rPr>
              <w:t>Welcomes</w:t>
            </w:r>
            <w:r>
              <w:t xml:space="preserve"> of the extension, until February 2027, of the mandates of the European Union Capacity Building Mission in Somalia, the European Union Training Mission in Somalia and Operation Atalanta, all taking part in reinforcing Somali security, maritime and rule-of-law capacities;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Stresses the role that CSDP maritime operations can play, within their respective mandates and in accordance with international law, in countering the activities of Russia’s shadow fleet; calls for enhanced maritime situational awareness, information-sharing and coordination with Member States’ competent authorities and relevant partners to support the implementation of EU sanctions and address the security and environmental risks posed by this fleet, including risks to critical maritime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Notes </w:t>
            </w:r>
            <w:r>
              <w:rPr>
                <w:b/>
                <w:i/>
              </w:rPr>
              <w:t>the ineffectiveness of the</w:t>
            </w:r>
            <w:r>
              <w:t xml:space="preserve"> Russian paramilitary forces in the </w:t>
            </w:r>
            <w:r>
              <w:rPr>
                <w:b/>
                <w:i/>
              </w:rPr>
              <w:t>face of the territorial gains made by</w:t>
            </w:r>
            <w:r>
              <w:t xml:space="preserve"> jihadist groups </w:t>
            </w:r>
            <w:r>
              <w:rPr>
                <w:b/>
                <w:i/>
              </w:rPr>
              <w:t>in the Sahel region</w:t>
            </w:r>
            <w:r>
              <w:t xml:space="preserve">; deplores the </w:t>
            </w:r>
            <w:r>
              <w:rPr>
                <w:b/>
                <w:i/>
              </w:rPr>
              <w:t>endless</w:t>
            </w:r>
            <w:r>
              <w:t xml:space="preserve"> violence endured by civilians; </w:t>
            </w:r>
            <w:r>
              <w:rPr>
                <w:b/>
                <w:i/>
              </w:rPr>
              <w:t>recalls that the EU can only assist</w:t>
            </w:r>
            <w:r>
              <w:t xml:space="preserve"> African states </w:t>
            </w:r>
            <w:r>
              <w:rPr>
                <w:b/>
                <w:i/>
              </w:rPr>
              <w:t>that request assistance; regrets the lack of a coherent EU</w:t>
            </w:r>
            <w:r>
              <w:t xml:space="preserve"> security </w:t>
            </w:r>
            <w:r>
              <w:rPr>
                <w:b/>
                <w:i/>
              </w:rPr>
              <w:t>strategy for Africa</w:t>
            </w:r>
            <w:r>
              <w:t>;</w:t>
            </w:r>
          </w:p>
        </w:tc>
        <w:tc>
          <w:tcPr>
            <w:tcW w:w="4876" w:type="dxa"/>
            <w:tcBorders>
              <w:top w:val="nil"/>
              <w:left w:val="nil"/>
              <w:bottom w:val="nil"/>
              <w:right w:val="nil"/>
            </w:tcBorders>
          </w:tcPr>
          <w:p>
            <w:pPr>
              <w:pStyle w:val="Normal6a"/>
            </w:pPr>
            <w:r>
              <w:t>29.</w:t>
            </w:r>
            <w:r>
              <w:tab/>
            </w:r>
            <w:r>
              <w:t xml:space="preserve">Notes </w:t>
            </w:r>
            <w:r>
              <w:rPr>
                <w:b/>
                <w:i/>
              </w:rPr>
              <w:t>with concern that reliance on</w:t>
            </w:r>
            <w:r>
              <w:t xml:space="preserve"> Russian paramilitary forces </w:t>
            </w:r>
            <w:r>
              <w:rPr>
                <w:b/>
                <w:i/>
              </w:rPr>
              <w:t>has failed to stabilise the security situation</w:t>
            </w:r>
            <w:r>
              <w:t xml:space="preserve"> in the </w:t>
            </w:r>
            <w:r>
              <w:rPr>
                <w:b/>
                <w:i/>
              </w:rPr>
              <w:t>Sahel and has enabled</w:t>
            </w:r>
            <w:r>
              <w:t xml:space="preserve"> jihadist groups </w:t>
            </w:r>
            <w:r>
              <w:rPr>
                <w:b/>
                <w:i/>
              </w:rPr>
              <w:t>to regain ground</w:t>
            </w:r>
            <w:r>
              <w:t xml:space="preserve">; deplores the </w:t>
            </w:r>
            <w:r>
              <w:rPr>
                <w:b/>
                <w:i/>
              </w:rPr>
              <w:t>continued</w:t>
            </w:r>
            <w:r>
              <w:t xml:space="preserve"> violence endured by civilians; </w:t>
            </w:r>
            <w:r>
              <w:rPr>
                <w:b/>
                <w:i/>
              </w:rPr>
              <w:t>stresses that EU engagement should be based on African ownership, mutual respect and cooperation with</w:t>
            </w:r>
            <w:r>
              <w:t xml:space="preserve"> African states </w:t>
            </w:r>
            <w:r>
              <w:rPr>
                <w:b/>
                <w:i/>
              </w:rPr>
              <w:t>and regional organisations; calls for a profoundly revised and integrated CSDP approach for the Sahel, focused on</w:t>
            </w:r>
            <w:r>
              <w:t xml:space="preserve"> security</w:t>
            </w:r>
            <w:r>
              <w:rPr>
                <w:b/>
                <w:i/>
              </w:rPr>
              <w:t>, peacebuilding, governance and human rights and coordinated with broader EU engagement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Notes the ineffectiveness of the Russian paramilitary forces in the face of the territorial gains made by jihadist groups in the Sahel region; deplores the endless violence endured by civilians; recalls that the EU can only assist African states that request assistance; regrets the lack of a coherent EU security strategy for Africa;</w:t>
            </w:r>
          </w:p>
        </w:tc>
        <w:tc>
          <w:tcPr>
            <w:tcW w:w="4876" w:type="dxa"/>
            <w:tcBorders>
              <w:top w:val="nil"/>
              <w:left w:val="nil"/>
              <w:bottom w:val="nil"/>
              <w:right w:val="nil"/>
            </w:tcBorders>
          </w:tcPr>
          <w:p>
            <w:pPr>
              <w:pStyle w:val="Normal6a"/>
            </w:pPr>
            <w:r>
              <w:t>29.</w:t>
            </w:r>
            <w:r>
              <w:tab/>
            </w:r>
            <w:r>
              <w:t xml:space="preserve">Notes the ineffectiveness of the Russian paramilitary forces in the face of the territorial gains made by jihadist groups in the Sahel region; deplores the endless violence endured by civilians; recalls that the EU can only assist African states that request assistance; </w:t>
            </w:r>
            <w:r>
              <w:rPr>
                <w:b/>
                <w:i/>
              </w:rPr>
              <w:t>considers that, where appropriate, such assistance would be provided primarily through the supply of equipment via the European Peace Facility, rather than through the activities of the EUTMs, whose impact is very limited;</w:t>
            </w:r>
            <w:r>
              <w:t xml:space="preserve"> regrets the lack of a coherent EU security strategy for Africa</w:t>
            </w:r>
            <w:r>
              <w:rPr>
                <w:b/>
                <w:i/>
              </w:rPr>
              <w:t>, the Union having reacted in a fragmented and short-term manner, and calls on the VP/HR and the Member States to urgently define a comprehensive approach linking security, development and governance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Notes the ineffectiveness of the Russian paramilitary forces in the face of the territorial gains made by jihadist groups in the Sahel region; deplores the endless violence endured by civilians; recalls that the EU can only assist African states that request assistance; regrets the lack of a coherent EU security strategy for Africa;</w:t>
            </w:r>
          </w:p>
        </w:tc>
        <w:tc>
          <w:tcPr>
            <w:tcW w:w="4876" w:type="dxa"/>
            <w:tcBorders>
              <w:top w:val="nil"/>
              <w:left w:val="nil"/>
              <w:bottom w:val="nil"/>
              <w:right w:val="nil"/>
            </w:tcBorders>
          </w:tcPr>
          <w:p>
            <w:pPr>
              <w:pStyle w:val="Normal6a"/>
            </w:pPr>
            <w:r>
              <w:t>29.</w:t>
            </w:r>
            <w:r>
              <w:tab/>
            </w:r>
            <w:r>
              <w:t xml:space="preserve">Notes the ineffectiveness of the Russian paramilitary forces in the face of the territorial gains made by jihadist groups in the Sahel region; deplores the endless violence endured by civilians; recalls that the EU can only assist African states that request assistance; regrets the lack of a coherent EU security strategy for Africa; </w:t>
            </w:r>
            <w:r>
              <w:rPr>
                <w:b/>
                <w:i/>
              </w:rPr>
              <w:t>calls for an evidence-based assessment of the EU Capacity Building Mission in Mali before the expiry of its mandate in January 2027 and for a profoundly revised, integrated CSDP strategy for the Sahel and West Africa, built on mutually beneficial partnerships with the coastal states and regional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Notes the ineffectiveness of the Russian paramilitary forces in the face of the territorial gains made by jihadist groups in the Sahel region; deplores the endless violence endured by civilians; recalls that the EU can only assist African states that request assistance; regrets the lack of a coherent EU security strategy for Africa;</w:t>
            </w:r>
          </w:p>
        </w:tc>
        <w:tc>
          <w:tcPr>
            <w:tcW w:w="4876" w:type="dxa"/>
            <w:tcBorders>
              <w:top w:val="nil"/>
              <w:left w:val="nil"/>
              <w:bottom w:val="nil"/>
              <w:right w:val="nil"/>
            </w:tcBorders>
          </w:tcPr>
          <w:p>
            <w:pPr>
              <w:pStyle w:val="Normal6a"/>
            </w:pPr>
            <w:r>
              <w:t>29.</w:t>
            </w:r>
            <w:r>
              <w:tab/>
            </w:r>
            <w:r>
              <w:t xml:space="preserve">Notes the ineffectiveness of the Russian paramilitary forces in the face of the territorial gains made by jihadist groups in the Sahel region; deplores the endless violence endured by civilians; recalls that the EU can only assist African states that request assistance; regrets the lack of a coherent EU security strategy for Africa; </w:t>
            </w:r>
            <w:r>
              <w:rPr>
                <w:b/>
                <w:i/>
              </w:rPr>
              <w:t>and stresses the risk of further spillover of instability, terrorism and organised crime towards North Africa and the wider Mediterranean, with direct implications for the security of the EU and its southern neighbourhood;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Takes note of the announcement of a new European Security Strategy, to be presented by the Commission; calls for the strategy to reflect the operational experience of CSDP missions and operations, including in countering hybrid threats, cognitive security and foreign information manipulation and interference, protecting personnel against drones and other emerging threats, and countering Russian malign influence in Africa and the Eastern Neighbourhood; stresses that the strategy must respect the intergovernmental nature of the CSDP and calls for the European Parliament to be closely consulted in its preparation;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Notes the contribution of the European Union Training Mission in Mozambique to the capacity-building of armed forces;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Notes the contribution of the European Union Training Mission in Mozambique to the capacity-building of armed forces;</w:t>
            </w:r>
          </w:p>
        </w:tc>
        <w:tc>
          <w:tcPr>
            <w:tcW w:w="4876" w:type="dxa"/>
            <w:tcBorders>
              <w:top w:val="nil"/>
              <w:left w:val="nil"/>
              <w:bottom w:val="nil"/>
              <w:right w:val="nil"/>
            </w:tcBorders>
          </w:tcPr>
          <w:p>
            <w:pPr>
              <w:pStyle w:val="Normal6a"/>
            </w:pPr>
            <w:r>
              <w:t>30.</w:t>
            </w:r>
            <w:r>
              <w:tab/>
            </w:r>
            <w:r>
              <w:t xml:space="preserve">Notes the contribution of the European Union Training Mission in Mozambique to the capacity-building of armed forces </w:t>
            </w:r>
            <w:r>
              <w:rPr>
                <w:b/>
                <w:i/>
              </w:rPr>
              <w:t>against the Islamic State-linked Cabo Delgado insurgency and welcomes the extension of its mandate until 31 December 2026</w:t>
            </w:r>
            <w:r>
              <w:t xml:space="preserve">; </w:t>
            </w:r>
            <w:r>
              <w:rPr>
                <w:b/>
                <w:i/>
              </w:rPr>
              <w:t>is alarmed, however, that the insurgency intensified in 2025, with over 95,000 people displaced since January 2025; stresses that a purely military approach cannot succeed and calls for human-rights and governance safeguards to ensure lasting stabilisation and prevent regional spill-over;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Notes the</w:t>
            </w:r>
            <w:r>
              <w:t xml:space="preserve"> contribution of the European Union </w:t>
            </w:r>
            <w:r>
              <w:rPr>
                <w:b/>
                <w:i/>
              </w:rPr>
              <w:t>Training</w:t>
            </w:r>
            <w:r>
              <w:t xml:space="preserve"> Mission in Mozambique to the capacity-building of armed forces;</w:t>
            </w:r>
          </w:p>
        </w:tc>
        <w:tc>
          <w:tcPr>
            <w:tcW w:w="4876" w:type="dxa"/>
            <w:tcBorders>
              <w:top w:val="nil"/>
              <w:left w:val="nil"/>
              <w:bottom w:val="nil"/>
              <w:right w:val="nil"/>
            </w:tcBorders>
          </w:tcPr>
          <w:p>
            <w:pPr>
              <w:pStyle w:val="Normal6a"/>
            </w:pPr>
            <w:r>
              <w:t>30.</w:t>
            </w:r>
            <w:r>
              <w:tab/>
            </w:r>
            <w:r>
              <w:rPr>
                <w:b/>
                <w:i/>
              </w:rPr>
              <w:t>Stresses the positive</w:t>
            </w:r>
            <w:r>
              <w:t xml:space="preserve"> contribution of the European Union </w:t>
            </w:r>
            <w:r>
              <w:rPr>
                <w:b/>
                <w:i/>
              </w:rPr>
              <w:t>Military Assistance</w:t>
            </w:r>
            <w:r>
              <w:t xml:space="preserve"> Mission in Mozambique to the capacity-building of </w:t>
            </w:r>
            <w:r>
              <w:rPr>
                <w:b/>
                <w:i/>
              </w:rPr>
              <w:t>Mozambican</w:t>
            </w:r>
            <w:r>
              <w:t xml:space="preserve"> armed forces </w:t>
            </w:r>
            <w:r>
              <w:rPr>
                <w:b/>
                <w:i/>
              </w:rPr>
              <w:t>in addressing the jihadist insurgency in Cabo Delgado</w:t>
            </w:r>
            <w:r>
              <w:t xml:space="preserve">; </w:t>
            </w:r>
            <w:r>
              <w:rPr>
                <w:b/>
                <w:i/>
              </w:rPr>
              <w:t>notes that the mission's mandate was extended until 31 December 2026 pending a strategic assessment; calls for the mandate to be renewed for at least two years, accompanied by a new European Peace Facility assistance measure to equip and sustain the Quick Reaction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Notes the contribution of the European Union </w:t>
            </w:r>
            <w:r>
              <w:rPr>
                <w:b/>
                <w:i/>
              </w:rPr>
              <w:t>Training</w:t>
            </w:r>
            <w:r>
              <w:t xml:space="preserve"> Mission in Mozambique </w:t>
            </w:r>
            <w:r>
              <w:rPr>
                <w:b/>
                <w:i/>
              </w:rPr>
              <w:t>to the capacity-building of</w:t>
            </w:r>
            <w:r>
              <w:t xml:space="preserve"> armed forces;</w:t>
            </w:r>
          </w:p>
        </w:tc>
        <w:tc>
          <w:tcPr>
            <w:tcW w:w="4876" w:type="dxa"/>
            <w:tcBorders>
              <w:top w:val="nil"/>
              <w:left w:val="nil"/>
              <w:bottom w:val="nil"/>
              <w:right w:val="nil"/>
            </w:tcBorders>
          </w:tcPr>
          <w:p>
            <w:pPr>
              <w:pStyle w:val="Normal6a"/>
            </w:pPr>
            <w:r>
              <w:t>30.</w:t>
            </w:r>
            <w:r>
              <w:tab/>
            </w:r>
            <w:r>
              <w:t xml:space="preserve">Notes the contribution of the European Union </w:t>
            </w:r>
            <w:r>
              <w:rPr>
                <w:b/>
                <w:i/>
              </w:rPr>
              <w:t>Military Assistance</w:t>
            </w:r>
            <w:r>
              <w:t xml:space="preserve"> Mission in Mozambique </w:t>
            </w:r>
            <w:r>
              <w:rPr>
                <w:b/>
                <w:i/>
              </w:rPr>
              <w:t>(EUMAM Mozambique) to strengthening the capacities of the Mozambican</w:t>
            </w:r>
            <w:r>
              <w:t xml:space="preserve"> armed forces; </w:t>
            </w:r>
            <w:r>
              <w:rPr>
                <w:b/>
                <w:i/>
              </w:rPr>
              <w:t>welcomes the ongoing work towards extending the mission’s mandate until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Calls on the EU to develop a more proactive and preventive deployment posture, closing the persistent warning-response gap and enabling earlier interventions before crises escalate into open or protracted conflicts; underlines in this regard the critical role of EU Delegations as early warning actors on the ground, and calls for situational awareness capacities to be systematically strengthened and better integrated into CSDP planning processes; stresses that enhanced intelligence sharing, including through EU INTCEN, is essential to enable timely and evidence-based deployment decisions, and calls for closer coordination between intelligence structures, EU Delegations and CSDP mission planning bodies to ensure that early warning effectively translates into early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Stresses that CSDP missions and operations, as well as military support provided to third countries, including assistance measures under the European Peace Facility should focus primarily on the security of the European continent and its immediate neighbourhood; considers that financial or military support to the armed forces of third countries outside this area should be provided only where it is necessary to address a direct and substantial threat to the security of the Union or its Member States; calls for such support to be based on clearly defined strategic objectives, proportionality and regular assessment of its contribution to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Welcomes the conduct in May and June 2026 of MILEX 26, the fourth live exercise of the EU Rapid Deployment Capacity; calls on the Member States to ensure that the Rapid Deployment Capacity is fully manned, supported by the necessary strategic enablers and ready for use in a real crisis, and to consolidate the Military Planning and Conduct Capability as its permanent operational headquarters; reiterates its call for the Rapid Deployment Capacity to be progressively scaled up, in coherence with NATO's force planning;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 Marina Mesure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Building an ‘EU ready for war’ defence architecture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Building an</w:t>
            </w:r>
            <w:r>
              <w:t xml:space="preserve"> ‘</w:t>
            </w:r>
            <w:r>
              <w:rPr>
                <w:b/>
                <w:i/>
              </w:rPr>
              <w:t>EU ready for war’</w:t>
            </w:r>
            <w:r>
              <w:t xml:space="preserve"> defence architecture</w:t>
            </w:r>
          </w:p>
        </w:tc>
        <w:tc>
          <w:tcPr>
            <w:tcW w:w="4876" w:type="dxa"/>
            <w:tcBorders>
              <w:top w:val="nil"/>
              <w:left w:val="nil"/>
              <w:bottom w:val="nil"/>
              <w:right w:val="nil"/>
            </w:tcBorders>
          </w:tcPr>
          <w:p>
            <w:pPr>
              <w:pStyle w:val="Normal6a"/>
            </w:pPr>
            <w:r>
              <w:rPr>
                <w:b/>
                <w:i/>
              </w:rPr>
              <w:t>Rebuilding Member States</w:t>
            </w:r>
            <w:r>
              <w:t xml:space="preserve">’ </w:t>
            </w:r>
            <w:r>
              <w:rPr>
                <w:b/>
                <w:i/>
              </w:rPr>
              <w:t>conventional</w:t>
            </w:r>
            <w:r>
              <w:t xml:space="preserve"> defence </w:t>
            </w:r>
            <w:r>
              <w:rPr>
                <w:b/>
                <w:i/>
              </w:rPr>
              <w:t>capabilities to ensure the European security</w:t>
            </w:r>
            <w:r>
              <w:t xml:space="preserve"> architecture </w:t>
            </w:r>
            <w:r>
              <w:rPr>
                <w:b/>
                <w:i/>
              </w:rPr>
              <w:t>of tomorrow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Building an </w:t>
            </w:r>
            <w:r>
              <w:rPr>
                <w:b/>
                <w:i/>
              </w:rPr>
              <w:t>‘EU ready for war’</w:t>
            </w:r>
            <w:r>
              <w:t xml:space="preserve"> defence architecture</w:t>
            </w:r>
          </w:p>
        </w:tc>
        <w:tc>
          <w:tcPr>
            <w:tcW w:w="4876" w:type="dxa"/>
            <w:tcBorders>
              <w:top w:val="nil"/>
              <w:left w:val="nil"/>
              <w:bottom w:val="nil"/>
              <w:right w:val="nil"/>
            </w:tcBorders>
          </w:tcPr>
          <w:p>
            <w:pPr>
              <w:pStyle w:val="Normal6a"/>
            </w:pPr>
            <w:r>
              <w:t xml:space="preserve">Building an </w:t>
            </w:r>
            <w:r>
              <w:rPr>
                <w:b/>
                <w:i/>
              </w:rPr>
              <w:t>EU security and</w:t>
            </w:r>
            <w:r>
              <w:t xml:space="preserve"> defence architecture </w:t>
            </w:r>
            <w:r>
              <w:rPr>
                <w:b/>
                <w:i/>
              </w:rPr>
              <w:t>prepared for worst-case scenarios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Building </w:t>
            </w:r>
            <w:r>
              <w:rPr>
                <w:b/>
                <w:i/>
              </w:rPr>
              <w:t>an ‘EU ready for war’</w:t>
            </w:r>
            <w:r>
              <w:t xml:space="preserve"> defence architecture</w:t>
            </w:r>
          </w:p>
        </w:tc>
        <w:tc>
          <w:tcPr>
            <w:tcW w:w="4876" w:type="dxa"/>
            <w:tcBorders>
              <w:top w:val="nil"/>
              <w:left w:val="nil"/>
              <w:bottom w:val="nil"/>
              <w:right w:val="nil"/>
            </w:tcBorders>
          </w:tcPr>
          <w:p>
            <w:pPr>
              <w:pStyle w:val="Normal6a"/>
            </w:pPr>
            <w:r>
              <w:t xml:space="preserve">Building </w:t>
            </w:r>
            <w:r>
              <w:rPr>
                <w:b/>
                <w:i/>
              </w:rPr>
              <w:t>a European</w:t>
            </w:r>
            <w:r>
              <w:t xml:space="preserve"> defence architecture </w:t>
            </w:r>
            <w:r>
              <w:rPr>
                <w:b/>
                <w:i/>
              </w:rPr>
              <w:t>for deterrence and readiness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Building </w:t>
            </w:r>
            <w:r>
              <w:rPr>
                <w:b/>
                <w:i/>
              </w:rPr>
              <w:t>an ‘EU ready for war’</w:t>
            </w:r>
            <w:r>
              <w:t xml:space="preserve"> defence </w:t>
            </w:r>
            <w:r>
              <w:rPr>
                <w:b/>
                <w:i/>
              </w:rPr>
              <w:t>architecture</w:t>
            </w:r>
          </w:p>
        </w:tc>
        <w:tc>
          <w:tcPr>
            <w:tcW w:w="4876" w:type="dxa"/>
            <w:tcBorders>
              <w:top w:val="nil"/>
              <w:left w:val="nil"/>
              <w:bottom w:val="nil"/>
              <w:right w:val="nil"/>
            </w:tcBorders>
          </w:tcPr>
          <w:p>
            <w:pPr>
              <w:pStyle w:val="Normal6a"/>
            </w:pPr>
            <w:r>
              <w:t xml:space="preserve">Building </w:t>
            </w:r>
            <w:r>
              <w:rPr>
                <w:b/>
                <w:i/>
              </w:rPr>
              <w:t>Europe’s</w:t>
            </w:r>
            <w:r>
              <w:t xml:space="preserve"> defence </w:t>
            </w:r>
            <w:r>
              <w:rPr>
                <w:b/>
                <w:i/>
              </w:rPr>
              <w:t>readiness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Building an ‘EU ready for war’ defence architecture</w:t>
            </w:r>
          </w:p>
        </w:tc>
        <w:tc>
          <w:tcPr>
            <w:tcW w:w="4876" w:type="dxa"/>
            <w:tcBorders>
              <w:top w:val="nil"/>
              <w:left w:val="nil"/>
              <w:bottom w:val="nil"/>
              <w:right w:val="nil"/>
            </w:tcBorders>
          </w:tcPr>
          <w:p>
            <w:pPr>
              <w:pStyle w:val="Normal6a"/>
            </w:pPr>
            <w:r>
              <w:t xml:space="preserve">Building an ‘EU ready for war’ defence architecture </w:t>
            </w:r>
            <w:r>
              <w:rPr>
                <w:b/>
                <w:i/>
              </w:rPr>
              <w:t>and engaging in partnerships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Nathalie Loiseau,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Notes that the European Security Strategy can only be credible if all the actions set out in the 2022 Strategic Compass are fully implemented and evaluated and lessons are drawn from them;</w:t>
            </w:r>
          </w:p>
        </w:tc>
        <w:tc>
          <w:tcPr>
            <w:tcW w:w="4876" w:type="dxa"/>
            <w:tcBorders>
              <w:top w:val="nil"/>
              <w:left w:val="nil"/>
              <w:bottom w:val="nil"/>
              <w:right w:val="nil"/>
            </w:tcBorders>
          </w:tcPr>
          <w:p>
            <w:pPr>
              <w:pStyle w:val="Normal6a"/>
            </w:pPr>
            <w:r>
              <w:t>31.</w:t>
            </w:r>
            <w:r>
              <w:tab/>
            </w:r>
            <w:r>
              <w:t xml:space="preserve">Notes that the </w:t>
            </w:r>
            <w:r>
              <w:rPr>
                <w:b/>
                <w:i/>
              </w:rPr>
              <w:t>comprehensive</w:t>
            </w:r>
            <w:r>
              <w:t xml:space="preserve"> European Security Strategy </w:t>
            </w:r>
            <w:r>
              <w:rPr>
                <w:b/>
                <w:i/>
              </w:rPr>
              <w:t>jointly prepared by the Commission and the High Representative is expected to be presented by the end of 2026; insists that it</w:t>
            </w:r>
            <w:r>
              <w:t xml:space="preserve"> can only be credible if all the actions set out in the 2022 Strategic Compass are fully implemented and evaluated and lessons are drawn from them</w:t>
            </w:r>
            <w:r>
              <w:rPr>
                <w:b/>
                <w:i/>
              </w:rPr>
              <w:t>, rather than being superseded by yet another framework</w:t>
            </w:r>
            <w:r>
              <w:t xml:space="preserve">; </w:t>
            </w:r>
            <w:r>
              <w:rPr>
                <w:b/>
                <w:i/>
              </w:rPr>
              <w:t>underlines that it must rest on a genuinely shared analysis of the threats — building on the updated 360° threat analysis tasked by the European Council in March 2026 — regularly reiterated and owned by the Member States; recalls that Defense remains a sovereign competence of the Member States and that the Strategy must therefore be pursued in full respect of the Treaties and of the Member States’ primary responsibility for their own security; emphasises the importance of intelligence in supporting situational awareness and decision making in the field of CSDP and calls for increased intelligence-gathering at EU level, and for closer coordination between Member States’ intelligence services; to this end, reiterates the importance of INTCEN’s role and calls for an increase in its resources, as well as the Single Intelligence Analysis Capacity (SIAC) role to provide foresight and situational awareness; warns of the risk of fragmentation associated with the creation of new European intelligence bodies; calls on the Union to invest significantly in its information security, including through improved vetting procedures, better implementation of security classification schemes and secure systems for sharing and accessing intelligence;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Hélder Sousa Silva, Niclas Herbst,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Notes that the European Security Strategy can only be credible if all the actions set out in the 2022 Strategic Compass are fully implemented and evaluated and lessons are drawn from them;</w:t>
            </w:r>
          </w:p>
        </w:tc>
        <w:tc>
          <w:tcPr>
            <w:tcW w:w="4876" w:type="dxa"/>
            <w:tcBorders>
              <w:top w:val="nil"/>
              <w:left w:val="nil"/>
              <w:bottom w:val="nil"/>
              <w:right w:val="nil"/>
            </w:tcBorders>
          </w:tcPr>
          <w:p>
            <w:pPr>
              <w:pStyle w:val="Normal6a"/>
            </w:pPr>
            <w:r>
              <w:t>31.</w:t>
            </w:r>
            <w:r>
              <w:tab/>
            </w:r>
            <w:r>
              <w:t xml:space="preserve">Notes that the European Security Strategy can only be credible if all the actions set out in the 2022 Strategic Compass are fully implemented and evaluated and lessons are drawn from them; </w:t>
            </w:r>
            <w:r>
              <w:rPr>
                <w:b/>
                <w:i/>
              </w:rPr>
              <w:t>calls for a revision of the Strategic Compass that reflects the radically changed threat environment, sets out a common threat assessment and translates the flagships of the Readiness Roadmap 2030 into binding, dated and funded deliverables;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Notes</w:t>
            </w:r>
            <w:r>
              <w:t xml:space="preserve"> that the European Security Strategy can only be credible if all the actions set out in the 2022 Strategic Compass are fully implemented and evaluated and lessons are drawn from them;</w:t>
            </w:r>
          </w:p>
        </w:tc>
        <w:tc>
          <w:tcPr>
            <w:tcW w:w="4876" w:type="dxa"/>
            <w:tcBorders>
              <w:top w:val="nil"/>
              <w:left w:val="nil"/>
              <w:bottom w:val="nil"/>
              <w:right w:val="nil"/>
            </w:tcBorders>
          </w:tcPr>
          <w:p>
            <w:pPr>
              <w:pStyle w:val="Normal6a"/>
            </w:pPr>
            <w:r>
              <w:t>31.</w:t>
            </w:r>
            <w:r>
              <w:tab/>
            </w:r>
            <w:r>
              <w:rPr>
                <w:b/>
                <w:i/>
              </w:rPr>
              <w:t>Welcomes the announcement by the President of the Commission and the High Representative of a new European Security Strategy; stresses</w:t>
            </w:r>
            <w:r>
              <w:t xml:space="preserve"> that the European Security Strategy can only be credible if all the actions set out in the 2022 Strategic Compass are fully implemented and evaluated and lessons are drawn from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Notes that the European Security Strategy can only be credible if </w:t>
            </w:r>
            <w:r>
              <w:rPr>
                <w:b/>
                <w:i/>
              </w:rPr>
              <w:t>all</w:t>
            </w:r>
            <w:r>
              <w:t xml:space="preserve"> the actions set out in the 2022 Strategic Compass </w:t>
            </w:r>
            <w:r>
              <w:rPr>
                <w:b/>
                <w:i/>
              </w:rPr>
              <w:t>are fully implemented and</w:t>
            </w:r>
            <w:r>
              <w:t xml:space="preserve"> evaluated and lessons are drawn from them;</w:t>
            </w:r>
          </w:p>
        </w:tc>
        <w:tc>
          <w:tcPr>
            <w:tcW w:w="4876" w:type="dxa"/>
            <w:tcBorders>
              <w:top w:val="nil"/>
              <w:left w:val="nil"/>
              <w:bottom w:val="nil"/>
              <w:right w:val="nil"/>
            </w:tcBorders>
          </w:tcPr>
          <w:p>
            <w:pPr>
              <w:pStyle w:val="Normal6a"/>
            </w:pPr>
            <w:r>
              <w:t>31.</w:t>
            </w:r>
            <w:r>
              <w:tab/>
            </w:r>
            <w:r>
              <w:t xml:space="preserve">Notes that the European Security Strategy can only be credible if </w:t>
            </w:r>
            <w:r>
              <w:rPr>
                <w:b/>
                <w:i/>
              </w:rPr>
              <w:t>the implementation of</w:t>
            </w:r>
            <w:r>
              <w:t xml:space="preserve"> the actions set out in the 2022 Strategic Compass </w:t>
            </w:r>
            <w:r>
              <w:rPr>
                <w:b/>
                <w:i/>
              </w:rPr>
              <w:t>is thoroughly</w:t>
            </w:r>
            <w:r>
              <w:t xml:space="preserve"> evaluated and lessons are drawn from them</w:t>
            </w:r>
            <w:r>
              <w:rPr>
                <w:b/>
                <w:i/>
              </w:rPr>
              <w:t>, taking into account the fundamentally changed security environment and ensuring full complementarity with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Considers that the EU’s </w:t>
            </w:r>
            <w:r>
              <w:rPr>
                <w:b/>
                <w:i/>
              </w:rPr>
              <w:t>efforts in</w:t>
            </w:r>
            <w:r>
              <w:t xml:space="preserve"> defence </w:t>
            </w:r>
            <w:r>
              <w:rPr>
                <w:b/>
                <w:i/>
              </w:rPr>
              <w:t>can no longer consist only of an accumulation of</w:t>
            </w:r>
            <w:r>
              <w:t xml:space="preserve"> instruments</w:t>
            </w:r>
            <w:r>
              <w:rPr>
                <w:b/>
                <w:i/>
              </w:rPr>
              <w:t>, funding mechanisms and frameworks, and that a qualitative step is needed, in full respect of Member States’ prerogatives</w:t>
            </w:r>
            <w:r>
              <w:t>;</w:t>
            </w:r>
          </w:p>
        </w:tc>
        <w:tc>
          <w:tcPr>
            <w:tcW w:w="4876" w:type="dxa"/>
            <w:tcBorders>
              <w:top w:val="nil"/>
              <w:left w:val="nil"/>
              <w:bottom w:val="nil"/>
              <w:right w:val="nil"/>
            </w:tcBorders>
          </w:tcPr>
          <w:p>
            <w:pPr>
              <w:pStyle w:val="Normal6a"/>
            </w:pPr>
            <w:r>
              <w:t>32.</w:t>
            </w:r>
            <w:r>
              <w:tab/>
            </w:r>
            <w:r>
              <w:t xml:space="preserve">Considers that the EU’s </w:t>
            </w:r>
            <w:r>
              <w:rPr>
                <w:b/>
                <w:i/>
              </w:rPr>
              <w:t>contribution to</w:t>
            </w:r>
            <w:r>
              <w:t xml:space="preserve"> defence </w:t>
            </w:r>
            <w:r>
              <w:rPr>
                <w:b/>
                <w:i/>
              </w:rPr>
              <w:t>should focus on practical results within the competences conferred by the Treaties; recalls that defence remains primarily a national responsibility and that national security remains the sole responsibility of each Member State; insists that new</w:t>
            </w:r>
            <w:r>
              <w:t xml:space="preserve"> instruments </w:t>
            </w:r>
            <w:r>
              <w:rPr>
                <w:b/>
                <w:i/>
              </w:rPr>
              <w:t>or structures be justified by demonstrable added value, subsidiarity, proportionality and a clear assessment of their costs, and should not be treated as a justification for further centralisation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w:t>
            </w:r>
            <w:r>
              <w:rPr>
                <w:b/>
                <w:i/>
              </w:rPr>
              <w:t>a qualitative step</w:t>
            </w:r>
            <w:r>
              <w:t xml:space="preserve"> is needed, in full respect of Member States’ prerogatives;</w:t>
            </w:r>
          </w:p>
        </w:tc>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w:t>
            </w:r>
            <w:r>
              <w:rPr>
                <w:b/>
                <w:i/>
              </w:rPr>
              <w:t>material readiness cannot be achieved without institutional readiness; insists that a quantum leap towards a very ambitious and comprehensive European framework on defence</w:t>
            </w:r>
            <w:r>
              <w:t xml:space="preserve"> is needed, in full respect of Member States’ prerogatives; </w:t>
            </w:r>
            <w:r>
              <w:rPr>
                <w:b/>
                <w:i/>
              </w:rPr>
              <w:t>stresses that this requires Member States to match in the Council, the level of ambition of the political commitments made at the level of Heads of State or Government;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Considers</w:t>
            </w:r>
            <w:r>
              <w:t xml:space="preserve"> that the </w:t>
            </w:r>
            <w:r>
              <w:rPr>
                <w:b/>
                <w:i/>
              </w:rPr>
              <w:t>EU’s efforts in defence can no longer consist only of an accumulation of</w:t>
            </w:r>
            <w:r>
              <w:t xml:space="preserve"> instruments, funding mechanisms and frameworks</w:t>
            </w:r>
            <w:r>
              <w:rPr>
                <w:b/>
                <w:i/>
              </w:rPr>
              <w:t>, and that a qualitative step is needed</w:t>
            </w:r>
            <w:r>
              <w:t>, in full respect of Member States’ prerogatives;</w:t>
            </w:r>
          </w:p>
        </w:tc>
        <w:tc>
          <w:tcPr>
            <w:tcW w:w="4876" w:type="dxa"/>
            <w:tcBorders>
              <w:top w:val="nil"/>
              <w:left w:val="nil"/>
              <w:bottom w:val="nil"/>
              <w:right w:val="nil"/>
            </w:tcBorders>
          </w:tcPr>
          <w:p>
            <w:pPr>
              <w:pStyle w:val="Normal6a"/>
            </w:pPr>
            <w:r>
              <w:t>32.</w:t>
            </w:r>
            <w:r>
              <w:tab/>
            </w:r>
            <w:r>
              <w:rPr>
                <w:b/>
                <w:i/>
              </w:rPr>
              <w:t>Stresses</w:t>
            </w:r>
            <w:r>
              <w:t xml:space="preserve"> that the </w:t>
            </w:r>
            <w:r>
              <w:rPr>
                <w:b/>
                <w:i/>
              </w:rPr>
              <w:t>EU must make full and effective use of its</w:t>
            </w:r>
            <w:r>
              <w:t xml:space="preserve"> instruments, funding mechanisms and </w:t>
            </w:r>
            <w:r>
              <w:rPr>
                <w:b/>
                <w:i/>
              </w:rPr>
              <w:t>cooperation</w:t>
            </w:r>
            <w:r>
              <w:t xml:space="preserve"> frameworks </w:t>
            </w:r>
            <w:r>
              <w:rPr>
                <w:b/>
                <w:i/>
              </w:rPr>
              <w:t>to strengthen deterrence and enhance its resilience, security and defence; calls for greater coherence and coordination among these instruments to deliver tangible improvements in defence capabilities and readiness</w:t>
            </w:r>
            <w:r>
              <w:t>, in full respect of Member States’ prerogatives;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the EU’s efforts in defence can no longer consist only of an accumulation of instruments, funding mechanisms and frameworks, and that a qualitative step is needed, in full respect of Member States’ prerogatives;</w:t>
            </w:r>
          </w:p>
        </w:tc>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a qualitative step is needed, </w:t>
            </w:r>
            <w:r>
              <w:rPr>
                <w:b/>
                <w:i/>
              </w:rPr>
              <w:t>moving from the mere coordination of national efforts towards the progressive framing of a Union Common Defense policy provided for in Article 42(2) TEU,</w:t>
            </w:r>
            <w:r>
              <w:t xml:space="preserve"> in full respect of Member States’ prerogatives; </w:t>
            </w:r>
            <w:r>
              <w:rPr>
                <w:b/>
                <w:i/>
              </w:rPr>
              <w:t>stresses that this qualitative step will be measured in operational terms — mass, readiness, strategic enablers, command and control, and the demonstrated ability to decide and 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the EU’s efforts in defence can no longer consist only of an accumulation of instruments, funding mechanisms and frameworks, and that a qualitative step is needed, in full respect of Member States’ prerogatives;</w:t>
            </w:r>
          </w:p>
        </w:tc>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a qualitative step is needed, in full respect of Member States’ prerogatives; </w:t>
            </w:r>
            <w:r>
              <w:rPr>
                <w:b/>
                <w:i/>
              </w:rPr>
              <w:t>stresses that this qualitative step must be based on a comprehensive whole-of-government and whole-of-society approach, combining military readiness and credible deterrence with societal preparedness, resilience and technological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the EU’s efforts in defence can no longer consist only of an accumulation of instruments, funding mechanisms and frameworks, and that a qualitative step is needed, in full respect of Member States’ prerogatives;</w:t>
            </w:r>
          </w:p>
        </w:tc>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a qualitative step is needed, in full respect of Member States’ prerogatives; </w:t>
            </w:r>
            <w:r>
              <w:rPr>
                <w:b/>
                <w:i/>
              </w:rPr>
              <w:t>stresses, however, that direct state-to-state cooperation remains the most effective way of addressing the security challenges facing the continent, along the lines of the Coalition of the Willing or the E5 format;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Wouter Beke,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the EU’s efforts in defence can no longer consist only of an accumulation of instruments, funding mechanisms and frameworks, and that a qualitative step is needed</w:t>
            </w:r>
            <w:r>
              <w:rPr>
                <w:b/>
                <w:i/>
              </w:rPr>
              <w:t>, in full respect of</w:t>
            </w:r>
            <w:r>
              <w:t xml:space="preserve"> Member States</w:t>
            </w:r>
            <w:r>
              <w:rPr>
                <w:b/>
                <w:i/>
              </w:rPr>
              <w:t>’ prerogatives</w:t>
            </w:r>
            <w:r>
              <w:t>;</w:t>
            </w:r>
          </w:p>
        </w:tc>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a qualitative step is needed </w:t>
            </w:r>
            <w:r>
              <w:rPr>
                <w:b/>
                <w:i/>
              </w:rPr>
              <w:t>towards a genuine European Defence Union, making full use of Articles 42 to 46 TEU, while respecting the specific character of the security and defence policy of certain</w:t>
            </w:r>
            <w:r>
              <w:t xml:space="preserve"> Member States </w:t>
            </w:r>
            <w:r>
              <w:rPr>
                <w:b/>
                <w:i/>
              </w:rPr>
              <w:t>and their obligations under the North Atlantic Treaty, as laid down in Article 42(2) TEU</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Considers that the EU’s efforts in defence can no longer consist only of an accumulation of instruments, funding mechanisms and frameworks, and that a qualitative step is needed, in full respect of Member States’ prerogatives;</w:t>
            </w:r>
          </w:p>
        </w:tc>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a qualitative step is needed, in full respect of Member States’ </w:t>
            </w:r>
            <w:r>
              <w:rPr>
                <w:b/>
                <w:i/>
              </w:rPr>
              <w:t>sovereignty,</w:t>
            </w:r>
            <w:r>
              <w:t xml:space="preserve"> prerogatives </w:t>
            </w:r>
            <w:r>
              <w:rPr>
                <w:b/>
                <w:i/>
              </w:rPr>
              <w:t>and responsibility for the organisation, composition and operational employment of their armed forces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Considers that the EU’s efforts in defence can no longer consist only of an accumulation of instruments, funding mechanisms and frameworks, and that a qualitative step is needed, </w:t>
            </w:r>
            <w:r>
              <w:rPr>
                <w:b/>
                <w:i/>
              </w:rPr>
              <w:t>in full respect of Member States’ prerogatives;</w:t>
            </w:r>
          </w:p>
        </w:tc>
        <w:tc>
          <w:tcPr>
            <w:tcW w:w="4876" w:type="dxa"/>
            <w:tcBorders>
              <w:top w:val="nil"/>
              <w:left w:val="nil"/>
              <w:bottom w:val="nil"/>
              <w:right w:val="nil"/>
            </w:tcBorders>
          </w:tcPr>
          <w:p>
            <w:pPr>
              <w:pStyle w:val="Normal6a"/>
            </w:pPr>
            <w:r>
              <w:t>32.</w:t>
            </w:r>
            <w:r>
              <w:tab/>
            </w:r>
            <w:r>
              <w:t>Considers that the EU’s efforts in defence can no longer consist only of an accumulation of instruments, funding mechanisms and frameworks, and that a qualitative step is needed,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Considers that the EU’s efforts in defence </w:t>
            </w:r>
            <w:r>
              <w:rPr>
                <w:b/>
                <w:i/>
              </w:rPr>
              <w:t>can no longer consist only of an accumulation of instruments, funding mechanisms and frameworks, and that a qualitative step is needed</w:t>
            </w:r>
            <w:r>
              <w:t>, in full respect of Member States’ prerogatives;</w:t>
            </w:r>
          </w:p>
        </w:tc>
        <w:tc>
          <w:tcPr>
            <w:tcW w:w="4876" w:type="dxa"/>
            <w:tcBorders>
              <w:top w:val="nil"/>
              <w:left w:val="nil"/>
              <w:bottom w:val="nil"/>
              <w:right w:val="nil"/>
            </w:tcBorders>
          </w:tcPr>
          <w:p>
            <w:pPr>
              <w:pStyle w:val="Normal6a"/>
            </w:pPr>
            <w:r>
              <w:t>32.</w:t>
            </w:r>
            <w:r>
              <w:tab/>
            </w:r>
            <w:r>
              <w:t xml:space="preserve">Considers that the EU’s efforts in defence </w:t>
            </w:r>
            <w:r>
              <w:rPr>
                <w:b/>
                <w:i/>
              </w:rPr>
              <w:t>should focus on delivering concrete capabilities, addressing critical capability gaps and strengthening the European pillar of NATO</w:t>
            </w:r>
            <w:r>
              <w:t>, in full respect of Member States’ prerogatives;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Stresses that a credible European security and defence architecture requires the ability to translate political decisions rapidly into operational action; welcomes the operationalisation of the EU Rapid Deployment Capacity and calls on the Member States to ensure its continued operational readiness by providing the necessary forces, capabilities and strategic enablers; stresses the importance of predictable force generation, adequate financing and regular live exercises covering the planning, deployment, command, sustainment and redeployment of forces in demanding operational scenarios;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Stresses that any further development of the Union’s security and defence policy must fully respect the specific character of the security and defence policy of certain Member States, in accordance with Article 42(2) TEU, in particular the constitutional requirements and neutrality status of the Member States concerned; underlines that participation in defence initiatives must not prejudice the military neutrality or respective constitutional obligations of any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Lynn Boylan, Kathleen Funchion, Özlem Demirel,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Expresses concern that the use of the Union budget for de facto defence instruments undermines the position of neutral Member States and recalls the provisions of Article 41(2) of the Treaty on European Union</w:t>
            </w:r>
            <w:r>
              <w:rPr>
                <w:b/>
                <w:i/>
                <w:vertAlign w:val="superscript"/>
              </w:rPr>
              <w:t>1a</w:t>
            </w:r>
            <w:r>
              <w:rPr>
                <w:b/>
                <w:i/>
              </w:rPr>
              <w:t xml:space="preserve"> which prohibit expenditure arising from operations having military or defence implications being charged on the Union budget;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https://eur-lex.europa.eu/resource.html?uri=cellar:2bf140bf-a3f8-4ab2-b506-fd71826e6da6.0023.02/DOC_1&amp;format=PDF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Notes that PESCO launched 83 projects between 2018 and 2025, 74 of which are still ongoing, and reiterates its doubts as to the actual usefulness of a number of them, whilst once again emphasising the need to improve the quality and deliverability of the projects;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Stresses that the principle of unanimity in decision-making under the common foreign and security policy and the common security and defence policy must be maintained, in accordance with Articles 31(1) and 42(4) TEU; opposes any extension of qualified majority voting to decisions in these fields, including through the use of passerelle clauses; underlines that unanimity constitutes an essential safeguard for the sovereignty and fundamental national interests of the Member States and ensures that decisions with significant implications for their foreign, security and defence policies cannot be taken against the will of a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Underlines the central role of effective command and control in enabling the Union to act rapidly and coherently in crisis situations; reiterates its call to strengthen the Military Planning and Conduct Capability (MPCC) as the preferred command and control structure for the EU Rapid Deployment Capacity; calls for the MPCC to be provided with adequate personnel, infrastructure, secure communication and information systems and planning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w:t>
            </w:r>
            <w:r>
              <w:rPr>
                <w:b/>
                <w:i/>
              </w:rPr>
              <w:t>the Russian threat, US ambivalence around the conventional defence of Europe, and Ukraine’s growing centrality</w:t>
            </w:r>
            <w:r>
              <w:t xml:space="preserve"> in the </w:t>
            </w:r>
            <w:r>
              <w:rPr>
                <w:b/>
                <w:i/>
              </w:rPr>
              <w:t>continent’s</w:t>
            </w:r>
            <w:r>
              <w:t xml:space="preserve"> security </w:t>
            </w:r>
            <w:r>
              <w:rPr>
                <w:b/>
                <w:i/>
              </w:rPr>
              <w:t>architecture, demand a qualitative step in</w:t>
            </w:r>
            <w:r>
              <w:t xml:space="preserve"> European </w:t>
            </w:r>
            <w:r>
              <w:rPr>
                <w:b/>
                <w:i/>
              </w:rPr>
              <w:t>defence; calls on</w:t>
            </w:r>
            <w:r>
              <w:t xml:space="preserve"> interested Member States </w:t>
            </w:r>
            <w:r>
              <w:rPr>
                <w:b/>
                <w:i/>
              </w:rPr>
              <w:t>to define a renewed, fast, agile and efficient</w:t>
            </w:r>
            <w:r>
              <w:t xml:space="preserve"> European </w:t>
            </w:r>
            <w:r>
              <w:rPr>
                <w:b/>
                <w:i/>
              </w:rPr>
              <w:t>security and defence architecture</w:t>
            </w:r>
            <w:r>
              <w:t>;</w:t>
            </w:r>
          </w:p>
        </w:tc>
        <w:tc>
          <w:tcPr>
            <w:tcW w:w="4876" w:type="dxa"/>
            <w:tcBorders>
              <w:top w:val="nil"/>
              <w:left w:val="nil"/>
              <w:bottom w:val="nil"/>
              <w:right w:val="nil"/>
            </w:tcBorders>
          </w:tcPr>
          <w:p>
            <w:pPr>
              <w:pStyle w:val="Normal6a"/>
            </w:pPr>
            <w:r>
              <w:t>33.</w:t>
            </w:r>
            <w:r>
              <w:tab/>
            </w:r>
            <w:r>
              <w:t xml:space="preserve">Believes that </w:t>
            </w:r>
            <w:r>
              <w:rPr>
                <w:b/>
                <w:i/>
              </w:rPr>
              <w:t>uncertainty</w:t>
            </w:r>
            <w:r>
              <w:t xml:space="preserve"> in the </w:t>
            </w:r>
            <w:r>
              <w:rPr>
                <w:b/>
                <w:i/>
              </w:rPr>
              <w:t>international</w:t>
            </w:r>
            <w:r>
              <w:t xml:space="preserve"> security </w:t>
            </w:r>
            <w:r>
              <w:rPr>
                <w:b/>
                <w:i/>
              </w:rPr>
              <w:t>environment require stronger national capabilities and closer cooperation among</w:t>
            </w:r>
            <w:r>
              <w:t xml:space="preserve"> European </w:t>
            </w:r>
            <w:r>
              <w:rPr>
                <w:b/>
                <w:i/>
              </w:rPr>
              <w:t>allies; supports voluntary cooperation among</w:t>
            </w:r>
            <w:r>
              <w:t xml:space="preserve"> interested Member States </w:t>
            </w:r>
            <w:r>
              <w:rPr>
                <w:b/>
                <w:i/>
              </w:rPr>
              <w:t>and relevant</w:t>
            </w:r>
            <w:r>
              <w:t xml:space="preserve"> European </w:t>
            </w:r>
            <w:r>
              <w:rPr>
                <w:b/>
                <w:i/>
              </w:rPr>
              <w:t>partners, in accordance with their constitutional requirements; stresses that such cooperation should reinforce NATO’s European pillar, preserve national control over armed forces and avoid creating competing chains of command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Believes that the Russian threat</w:t>
            </w:r>
            <w:r>
              <w:rPr>
                <w:b/>
                <w:i/>
              </w:rPr>
              <w:t>, US ambivalence around the conventional</w:t>
            </w:r>
            <w:r>
              <w:t xml:space="preserve"> defence </w:t>
            </w:r>
            <w:r>
              <w:rPr>
                <w:b/>
                <w:i/>
              </w:rPr>
              <w:t>of Europe, and</w:t>
            </w:r>
            <w:r>
              <w:t xml:space="preserve"> Ukraine’s </w:t>
            </w:r>
            <w:r>
              <w:rPr>
                <w:b/>
                <w:i/>
              </w:rPr>
              <w:t>growing centrality in the continent’s security architecture, demand a qualitative step in European defence</w:t>
            </w:r>
            <w:r>
              <w:t xml:space="preserve">; calls on </w:t>
            </w:r>
            <w:r>
              <w:rPr>
                <w:b/>
                <w:i/>
              </w:rPr>
              <w:t>interested</w:t>
            </w:r>
            <w:r>
              <w:t xml:space="preserve"> Member States to </w:t>
            </w:r>
            <w:r>
              <w:rPr>
                <w:b/>
                <w:i/>
              </w:rPr>
              <w:t>define a renewed, fast, agile and efficient</w:t>
            </w:r>
            <w:r>
              <w:t xml:space="preserve"> European </w:t>
            </w:r>
            <w:r>
              <w:rPr>
                <w:b/>
                <w:i/>
              </w:rPr>
              <w:t>security and</w:t>
            </w:r>
            <w:r>
              <w:t xml:space="preserve"> defence </w:t>
            </w:r>
            <w:r>
              <w:rPr>
                <w:b/>
                <w:i/>
              </w:rPr>
              <w:t>architecture</w:t>
            </w:r>
            <w:r>
              <w:t>;</w:t>
            </w:r>
          </w:p>
        </w:tc>
        <w:tc>
          <w:tcPr>
            <w:tcW w:w="4876" w:type="dxa"/>
            <w:tcBorders>
              <w:top w:val="nil"/>
              <w:left w:val="nil"/>
              <w:bottom w:val="nil"/>
              <w:right w:val="nil"/>
            </w:tcBorders>
          </w:tcPr>
          <w:p>
            <w:pPr>
              <w:pStyle w:val="Normal6a"/>
            </w:pPr>
            <w:r>
              <w:t>33.</w:t>
            </w:r>
            <w:r>
              <w:tab/>
            </w:r>
            <w:r>
              <w:t xml:space="preserve">Believes that the Russian threat </w:t>
            </w:r>
            <w:r>
              <w:rPr>
                <w:b/>
                <w:i/>
              </w:rPr>
              <w:t>requires European Allies to assume greater responsibility for their own security and significantly strengthen their</w:t>
            </w:r>
            <w:r>
              <w:t xml:space="preserve"> defence </w:t>
            </w:r>
            <w:r>
              <w:rPr>
                <w:b/>
                <w:i/>
              </w:rPr>
              <w:t>capabilities, while drawing on</w:t>
            </w:r>
            <w:r>
              <w:t xml:space="preserve"> Ukraine’s </w:t>
            </w:r>
            <w:r>
              <w:rPr>
                <w:b/>
                <w:i/>
              </w:rPr>
              <w:t>experience gained from the ongoing war</w:t>
            </w:r>
            <w:r>
              <w:t xml:space="preserve">; calls on Member States to </w:t>
            </w:r>
            <w:r>
              <w:rPr>
                <w:b/>
                <w:i/>
              </w:rPr>
              <w:t>accelerate efforts to close critical capability gaps and strengthen the</w:t>
            </w:r>
            <w:r>
              <w:t xml:space="preserve"> European </w:t>
            </w:r>
            <w:r>
              <w:rPr>
                <w:b/>
                <w:i/>
              </w:rPr>
              <w:t>pillar of NATO, in full complementarity with the Alliance; calls on Member States that are NATO Allies to fully meet their Alliance commitments, including agreed</w:t>
            </w:r>
            <w:r>
              <w:t xml:space="preserve"> defence </w:t>
            </w:r>
            <w:r>
              <w:rPr>
                <w:b/>
                <w:i/>
              </w:rPr>
              <w:t>spending and capability targets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Alexandr Vondra, Adam Bielan,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the Russian threat, </w:t>
            </w:r>
            <w:r>
              <w:rPr>
                <w:b/>
                <w:i/>
              </w:rPr>
              <w:t>US ambivalence around the</w:t>
            </w:r>
            <w:r>
              <w:t xml:space="preserve"> conventional defence </w:t>
            </w:r>
            <w:r>
              <w:rPr>
                <w:b/>
                <w:i/>
              </w:rPr>
              <w:t>of</w:t>
            </w:r>
            <w:r>
              <w:t xml:space="preserve"> Europe, and Ukraine’s growing centrality </w:t>
            </w:r>
            <w:r>
              <w:rPr>
                <w:b/>
                <w:i/>
              </w:rPr>
              <w:t>in the continent’s</w:t>
            </w:r>
            <w:r>
              <w:t xml:space="preserve"> security </w:t>
            </w:r>
            <w:r>
              <w:rPr>
                <w:b/>
                <w:i/>
              </w:rPr>
              <w:t>architecture, demand a qualitative step in</w:t>
            </w:r>
            <w:r>
              <w:t xml:space="preserve"> European defence; calls on interested Member States to </w:t>
            </w:r>
            <w:r>
              <w:rPr>
                <w:b/>
                <w:i/>
              </w:rPr>
              <w:t>define a renewed, fast, agile and efficient</w:t>
            </w:r>
            <w:r>
              <w:t xml:space="preserve"> European security and defence </w:t>
            </w:r>
            <w:r>
              <w:rPr>
                <w:b/>
                <w:i/>
              </w:rPr>
              <w:t>architecture</w:t>
            </w:r>
            <w:r>
              <w:t>;</w:t>
            </w:r>
          </w:p>
        </w:tc>
        <w:tc>
          <w:tcPr>
            <w:tcW w:w="4876" w:type="dxa"/>
            <w:tcBorders>
              <w:top w:val="nil"/>
              <w:left w:val="nil"/>
              <w:bottom w:val="nil"/>
              <w:right w:val="nil"/>
            </w:tcBorders>
          </w:tcPr>
          <w:p>
            <w:pPr>
              <w:pStyle w:val="Normal6a"/>
            </w:pPr>
            <w:r>
              <w:t>33.</w:t>
            </w:r>
            <w:r>
              <w:tab/>
            </w:r>
            <w:r>
              <w:t xml:space="preserve">Believes that the Russian threat, </w:t>
            </w:r>
            <w:r>
              <w:rPr>
                <w:b/>
                <w:i/>
              </w:rPr>
              <w:t>evolving natutre of the future level of US</w:t>
            </w:r>
            <w:r>
              <w:t xml:space="preserve"> conventional defence </w:t>
            </w:r>
            <w:r>
              <w:rPr>
                <w:b/>
                <w:i/>
              </w:rPr>
              <w:t>engagement in</w:t>
            </w:r>
            <w:r>
              <w:t xml:space="preserve"> Europe, and Ukraine’s growing centrality </w:t>
            </w:r>
            <w:r>
              <w:rPr>
                <w:b/>
                <w:i/>
              </w:rPr>
              <w:t>to European</w:t>
            </w:r>
            <w:r>
              <w:t xml:space="preserve"> security </w:t>
            </w:r>
            <w:r>
              <w:rPr>
                <w:b/>
                <w:i/>
              </w:rPr>
              <w:t>require</w:t>
            </w:r>
            <w:r>
              <w:t xml:space="preserve"> European </w:t>
            </w:r>
            <w:r>
              <w:rPr>
                <w:b/>
                <w:i/>
              </w:rPr>
              <w:t>allies to assume greater responsibility for their own</w:t>
            </w:r>
            <w:r>
              <w:t xml:space="preserve"> defence; calls on interested Member States to </w:t>
            </w:r>
            <w:r>
              <w:rPr>
                <w:b/>
                <w:i/>
              </w:rPr>
              <w:t>strengthen a flexible, voluntary and intergovernmental</w:t>
            </w:r>
            <w:r>
              <w:t xml:space="preserve"> European security and defence </w:t>
            </w:r>
            <w:r>
              <w:rPr>
                <w:b/>
                <w:i/>
              </w:rPr>
              <w:t>framework, fully complementary to NATO and without transferring Member State responsibility for defence to the EU institutions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w:t>
            </w:r>
            <w:r>
              <w:rPr>
                <w:b/>
                <w:i/>
              </w:rPr>
              <w:t>interested</w:t>
            </w:r>
            <w:r>
              <w:t xml:space="preserve"> Member States to define a renewed, fast, agile and efficient European security and defence architecture;</w:t>
            </w:r>
          </w:p>
        </w:tc>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w:t>
            </w:r>
            <w:r>
              <w:rPr>
                <w:b/>
                <w:i/>
              </w:rPr>
              <w:t>the European Council, the Council, the VP/HR and the Commission, together with those</w:t>
            </w:r>
            <w:r>
              <w:t xml:space="preserve"> Member States </w:t>
            </w:r>
            <w:r>
              <w:rPr>
                <w:b/>
                <w:i/>
              </w:rPr>
              <w:t>willing to move ahead,</w:t>
            </w:r>
            <w:r>
              <w:t xml:space="preserve"> to define a renewed, fast, agile and efficient European security and defence architecture </w:t>
            </w:r>
            <w:r>
              <w:rPr>
                <w:b/>
                <w:i/>
              </w:rPr>
              <w:t>as the basis for a genuine European Defence Union</w:t>
            </w:r>
            <w:r>
              <w:t xml:space="preserve">; </w:t>
            </w:r>
            <w:r>
              <w:rPr>
                <w:b/>
                <w:i/>
              </w:rPr>
              <w:t>recalls that, where unanimity cannot be reached, the Treaties offer flexible instruments, such as permanent structured cooperation (Articles 42(6) and 46 TEU), the entrustment of tasks to a group of Member States (Article 44 TEU) and enhanced cooperation (Article 20 TEU); considers that, should these prove insufficient, a separate defence treaty among willing Member States, open to all Member States and strategic partners, in particular Ukraine, the United Kingdom and Norway, could be envisaged, provided that, like the Schengen Agreement, it is designed for subsequent incorporation into the Union’s legal 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Nathalie Loiseau,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Believes that the Russian threat, US ambivalence around the conventional defence of Europe, and Ukraine’s growing centrality in the continent’s security architecture, demand a qualitative step in European defence; calls on interested Member States to define a renewed, fast, agile and efficient European security and defence architecture;</w:t>
            </w:r>
          </w:p>
        </w:tc>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w:t>
            </w:r>
            <w:r>
              <w:rPr>
                <w:b/>
                <w:i/>
              </w:rPr>
              <w:t>considers that the Union’s security and Defense framework remains too slow, too fragmented and too often driven to the lowest common denominator to match the seriousness of these changes; stresses that, while continuing to rest on the political will of sovereign Member States, Europe must become markedly more flexible and quicker to decide and to act;</w:t>
            </w:r>
            <w:r>
              <w:t xml:space="preserve"> calls on interested Member States to define a renewed, fast, agile and efficient European security and defence architecture</w:t>
            </w:r>
            <w:r>
              <w:rPr>
                <w:b/>
                <w:i/>
              </w:rPr>
              <w:t>, the conditions under which those willing and able to move faster may deepen their cooperation - under a form of ‘Advanced’ European Defense — in particular by making full and operational use of permanent structured cooperation under Articles 42(6) and 46 TEU, while keeping such formats open, inclusive and coherent with NATO and the CSDP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Believes that the Russian threat, US ambivalence around the conventional defence of Europe, and Ukraine’s growing centrality in the continent’s security architecture, demand a qualitative step in European defence; calls on interested Member States to define a renewed, fast, agile and efficient European security and defence architecture;</w:t>
            </w:r>
          </w:p>
        </w:tc>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interested Member States to define a renewed, fast, agile and efficient European security and defence architecture </w:t>
            </w:r>
            <w:r>
              <w:rPr>
                <w:b/>
                <w:i/>
              </w:rPr>
              <w:t>which in order to be effective could not follow the logic of an alliance built against an actor but of a true security architecture with a comprehensive and autonomous security and defence framework that reflects the European Union's unique strategic identity, values, and global ambitions</w:t>
            </w:r>
            <w:r>
              <w:t xml:space="preserve">; </w:t>
            </w:r>
            <w:r>
              <w:rPr>
                <w:b/>
                <w:i/>
              </w:rPr>
              <w:t>believes that a clear and shared understanding of what the EU Defence Union is and what it aspires to be, will provide strategic direction and ensure consistency across all financial, institutional, and operational measures required to achieve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w:t>
            </w:r>
            <w:r>
              <w:rPr>
                <w:b/>
                <w:i/>
              </w:rPr>
              <w:t>centrality</w:t>
            </w:r>
            <w:r>
              <w:t xml:space="preserve"> in the continent’s security architecture</w:t>
            </w:r>
            <w:r>
              <w:rPr>
                <w:b/>
                <w:i/>
              </w:rPr>
              <w:t>, demand a qualitative step in European defence; calls on interested Member States to define a renewed, fast, agile and efficient</w:t>
            </w:r>
            <w:r>
              <w:t xml:space="preserve"> European security and defence architecture;</w:t>
            </w:r>
          </w:p>
        </w:tc>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w:t>
            </w:r>
            <w:r>
              <w:rPr>
                <w:b/>
                <w:i/>
              </w:rPr>
              <w:t>role</w:t>
            </w:r>
            <w:r>
              <w:t xml:space="preserve"> in the continent’s security architecture </w:t>
            </w:r>
            <w:r>
              <w:rPr>
                <w:b/>
                <w:i/>
              </w:rPr>
              <w:t>require a stronger and more coherent</w:t>
            </w:r>
            <w:r>
              <w:t xml:space="preserve"> European security and defence architecture; </w:t>
            </w:r>
            <w:r>
              <w:rPr>
                <w:b/>
                <w:i/>
              </w:rPr>
              <w:t>calls on the EU and its Member States to strengthen this architecture together, on the basis of solidarity, unity and inclusiveness, ensuring that it is responsive, agile and effective;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w:t>
            </w:r>
            <w:r>
              <w:rPr>
                <w:b/>
                <w:i/>
              </w:rPr>
              <w:t>interested</w:t>
            </w:r>
            <w:r>
              <w:t xml:space="preserve"> Member States to </w:t>
            </w:r>
            <w:r>
              <w:rPr>
                <w:b/>
                <w:i/>
              </w:rPr>
              <w:t>define</w:t>
            </w:r>
            <w:r>
              <w:t xml:space="preserve"> a renewed, fast, agile and efficient European security and defence architecture;</w:t>
            </w:r>
          </w:p>
        </w:tc>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w:t>
            </w:r>
            <w:r>
              <w:rPr>
                <w:b/>
                <w:i/>
              </w:rPr>
              <w:t>the Commission, the High Representative and the</w:t>
            </w:r>
            <w:r>
              <w:t xml:space="preserve"> Member States to </w:t>
            </w:r>
            <w:r>
              <w:rPr>
                <w:b/>
                <w:i/>
              </w:rPr>
              <w:t>facilitate, within the Union framework and in accordance with the Treaties, initiatives by Member States willing to advance more rapidly towards</w:t>
            </w:r>
            <w:r>
              <w:t xml:space="preserve"> a renewed, fast, agile and efficient European security and defence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Believes that the Russian threat, US ambivalence around the conventional defence of Europe, and Ukraine’s growing centrality in the continent’s security architecture, demand a qualitative step in European defence; calls on interested Member States to define a renewed, fast, agile and efficient European security and defence architecture;</w:t>
            </w:r>
          </w:p>
        </w:tc>
        <w:tc>
          <w:tcPr>
            <w:tcW w:w="4876" w:type="dxa"/>
            <w:tcBorders>
              <w:top w:val="nil"/>
              <w:left w:val="nil"/>
              <w:bottom w:val="nil"/>
              <w:right w:val="nil"/>
            </w:tcBorders>
          </w:tcPr>
          <w:p>
            <w:pPr>
              <w:pStyle w:val="Normal6a"/>
            </w:pPr>
            <w:r>
              <w:t>33.</w:t>
            </w:r>
            <w:r>
              <w:tab/>
            </w:r>
            <w:r>
              <w:t xml:space="preserve">Believes that the Russian threat </w:t>
            </w:r>
            <w:r>
              <w:rPr>
                <w:b/>
                <w:i/>
              </w:rPr>
              <w:t>and growing axis of rogue states</w:t>
            </w:r>
            <w:r>
              <w:t xml:space="preserve">, US ambivalence around the conventional defence of Europe, and Ukraine’s growing centrality in the continent’s security architecture, demand a qualitative step in European defence; calls on interested Member States to define a renewed, fast, agile and efficient European security and defence architecture; </w:t>
            </w:r>
            <w:r>
              <w:rPr>
                <w:b/>
                <w:i/>
              </w:rPr>
              <w:t>stresses the importance of applying best practices from Ukraine in this regard;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Believes that the Russian threat</w:t>
            </w:r>
            <w:r>
              <w:rPr>
                <w:b/>
                <w:i/>
              </w:rPr>
              <w:t>,</w:t>
            </w:r>
            <w:r>
              <w:t xml:space="preserve"> US ambivalence around the conventional defence of Europe</w:t>
            </w:r>
            <w:r>
              <w:rPr>
                <w:b/>
                <w:i/>
              </w:rPr>
              <w:t>, and Ukraine’s growing centrality in the continent’s security architecture,</w:t>
            </w:r>
            <w:r>
              <w:t xml:space="preserve"> demand a qualitative step in European defence; calls on interested Member States to </w:t>
            </w:r>
            <w:r>
              <w:rPr>
                <w:b/>
                <w:i/>
              </w:rPr>
              <w:t>define a renewed,</w:t>
            </w:r>
            <w:r>
              <w:t xml:space="preserve"> fast, agile and efficient </w:t>
            </w:r>
            <w:r>
              <w:rPr>
                <w:b/>
                <w:i/>
              </w:rPr>
              <w:t>European</w:t>
            </w:r>
            <w:r>
              <w:t xml:space="preserve"> security and defence </w:t>
            </w:r>
            <w:r>
              <w:rPr>
                <w:b/>
                <w:i/>
              </w:rPr>
              <w:t>architecture</w:t>
            </w:r>
            <w:r>
              <w:t>;</w:t>
            </w:r>
          </w:p>
        </w:tc>
        <w:tc>
          <w:tcPr>
            <w:tcW w:w="4876" w:type="dxa"/>
            <w:tcBorders>
              <w:top w:val="nil"/>
              <w:left w:val="nil"/>
              <w:bottom w:val="nil"/>
              <w:right w:val="nil"/>
            </w:tcBorders>
          </w:tcPr>
          <w:p>
            <w:pPr>
              <w:pStyle w:val="Normal6a"/>
            </w:pPr>
            <w:r>
              <w:t>33.</w:t>
            </w:r>
            <w:r>
              <w:tab/>
            </w:r>
            <w:r>
              <w:t xml:space="preserve">Believes that the Russian threat </w:t>
            </w:r>
            <w:r>
              <w:rPr>
                <w:b/>
                <w:i/>
              </w:rPr>
              <w:t>and</w:t>
            </w:r>
            <w:r>
              <w:t xml:space="preserve"> US ambivalence around the conventional defence of Europe demand a qualitative step in European defence; calls on interested Member States to </w:t>
            </w:r>
            <w:r>
              <w:rPr>
                <w:b/>
                <w:i/>
              </w:rPr>
              <w:t>strengthen</w:t>
            </w:r>
            <w:r>
              <w:t xml:space="preserve"> fast, agile and efficient </w:t>
            </w:r>
            <w:r>
              <w:rPr>
                <w:b/>
                <w:i/>
              </w:rPr>
              <w:t>cooperation in the field of</w:t>
            </w:r>
            <w:r>
              <w:t xml:space="preserve"> security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the Russian threat, US ambivalence </w:t>
            </w:r>
            <w:r>
              <w:rPr>
                <w:b/>
                <w:i/>
              </w:rPr>
              <w:t>around the conventional defence of Europe</w:t>
            </w:r>
            <w:r>
              <w:t>, and Ukraine’s growing centrality in the continent’s security architecture, demand a qualitative step in European defence; calls on interested Member States to define a renewed, fast, agile and efficient European security and defence architecture;</w:t>
            </w:r>
          </w:p>
        </w:tc>
        <w:tc>
          <w:tcPr>
            <w:tcW w:w="4876" w:type="dxa"/>
            <w:tcBorders>
              <w:top w:val="nil"/>
              <w:left w:val="nil"/>
              <w:bottom w:val="nil"/>
              <w:right w:val="nil"/>
            </w:tcBorders>
          </w:tcPr>
          <w:p>
            <w:pPr>
              <w:pStyle w:val="Normal6a"/>
            </w:pPr>
            <w:r>
              <w:t>33.</w:t>
            </w:r>
            <w:r>
              <w:tab/>
            </w:r>
            <w:r>
              <w:t>Believes that the Russian threat, US ambivalence, and Ukraine’s growing centrality in the continent’s security architecture, demand a qualitative step in European defence; calls on interested Member States to define a renewed, fast, agile and efficient European security and defence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w:t>
            </w:r>
            <w:r>
              <w:rPr>
                <w:b/>
                <w:i/>
              </w:rPr>
              <w:t>interested</w:t>
            </w:r>
            <w:r>
              <w:t xml:space="preserve"> Member States to define a renewed, fast, agile and efficient European security and defence architecture;</w:t>
            </w:r>
          </w:p>
        </w:tc>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w:t>
            </w:r>
            <w:r>
              <w:rPr>
                <w:b/>
                <w:i/>
              </w:rPr>
              <w:t>all</w:t>
            </w:r>
            <w:r>
              <w:t xml:space="preserve"> Member States to define a renewed, fast, agile and efficient European security and defence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Believes that the Russian threat, US ambivalence around the conventional defence of Europe, and Ukraine’s growing centrality in the continent’s security architecture, demand a qualitative step in European defence; calls on </w:t>
            </w:r>
            <w:r>
              <w:rPr>
                <w:b/>
                <w:i/>
              </w:rPr>
              <w:t>interested</w:t>
            </w:r>
            <w:r>
              <w:t xml:space="preserve"> Member States to define a renewed, fast, agile and efficient European security and defence architecture;</w:t>
            </w:r>
          </w:p>
        </w:tc>
        <w:tc>
          <w:tcPr>
            <w:tcW w:w="4876" w:type="dxa"/>
            <w:tcBorders>
              <w:top w:val="nil"/>
              <w:left w:val="nil"/>
              <w:bottom w:val="nil"/>
              <w:right w:val="nil"/>
            </w:tcBorders>
          </w:tcPr>
          <w:p>
            <w:pPr>
              <w:pStyle w:val="Normal6a"/>
            </w:pPr>
            <w:r>
              <w:t>33.</w:t>
            </w:r>
            <w:r>
              <w:tab/>
            </w:r>
            <w:r>
              <w:t>Believes that the Russian threat, US ambivalence around the conventional defence of Europe, and Ukraine’s growing centrality in the continent’s security architecture, demand a qualitative step in European defence; calls on Member States to define a renewed, fast, agile and efficient European security and defence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Recalls that national security remains the sole responsibility of each Member State and stresses that the strengthening of European security and defence must fully respect their competences and prerogatives; recalls at the same time that the Union’s competence under the Common Foreign and Security Policy (CFSP) covers all questions relating to the Union’s security; underlines, in this context, that the cross-border, interconnected and multidimensional nature of contemporary threats requires a stronger European dimension of security, based on enhanced coordination, systematic information-sharing and common European capabilities where action at Union level provides clear added value;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Reaffirms that decisions concerning the deployment and use of national armed forces remain subject to the sovereign decision of each Member State, in accordance with the Treaties and their respective constitutional requirements; stresses that enhanced cooperation among willing Member States in the field of security and defence must not create military obligations for non-participating Member States; underlines that no Member State should be compelled to participate in military operations, deployments or coalitions of willing states to which it has not consented, including in relation to the war in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Expresses concern that European defence remains deeply fragmented across industrial capacity, investment, procurement and the internal market, that this fragmentation prevents the emergence of large-scale European projects, leads to duplication of platforms and systems and holds back the scaling-up of production; insists that completing a genuine single market for defence, consolidating demand and jointly financing European defence projects of common interest are prerequisites for credible European defence readiness, and that fragmentation itself must be treated as a security risk;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Underlines that the operationalisation of Article 42(7) TEU is essential for Europe to take greater responsibility for its security and defence, while strengthening the European role within NATO; calls for the application of Article 42(7) TEU to be planned prior to crises through enhanced political and military coordination, increased intelligence-sharing, agile military mobility, clear activation and consultation mechanisms, scenario-based forward planning, and a pre-committed toolbox of capabilities, including cyber defence support and airspace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Calls on the Member States to strengthen their operational preparedness for the implementation of the mutual assistance clause under Article 42(7) TEU, including through regular exercises, contingency planning and enhanced coordination with NATO collective defence planning, while fully respecting the different commitments of Member States under the EU and NATO frameworks;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Acknowledges the strong interest of Member States in deeper Union integration towards the establishment of a Common European Defence Union (CEDU); calls on the European Council to urgently advance towards a CEDU under full democratic oversight, establishing a dedicated framework covering common defence, governance, financing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calls for the development, by 2030, of an integrated European intelligence, surveillance and reconnaissance (ISR) architecture connecting sensors, analysis, fusion and secure dissemination, as well as for the upgrade of the EU Single Intelligence Analysis Capacity (SIAC), including EU INTCEN, in mandate, staffing and analytical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Reaffirms its call for a move from unanimity to qualified majority voting under Article 31 TEU except for CSDP military missions and operations with executive mandates;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José Cepeda, Vasile Dîncu,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33b.</w:t>
            </w:r>
            <w:r>
              <w:tab/>
            </w:r>
            <w:r>
              <w:rPr>
                <w:b/>
                <w:i/>
              </w:rPr>
              <w:t>Stresses the central role of the EEAS in supporting the High Representative in the conduct and implementation of the CFSP, including the CSDP, and in ensuring the coherence of the Union’s external action; expresses concern that persistent underfunding risks undermining its capacity to fulfil its growing responsibilities; calls for adequate, predictable and sustainable human and financial resources commensurate with its tasks and operational needs; stresses the need to preserve the functional autonomy of the EEAS and the institutional balance established by the Treaties, while avoiding unnecessary duplication of structures and capabilities within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33b.</w:t>
            </w:r>
            <w:r>
              <w:tab/>
            </w:r>
            <w:r>
              <w:rPr>
                <w:b/>
                <w:i/>
              </w:rPr>
              <w:t>Welcomes the proposal for an EU emergency security protocol designed to address incidents which, whilst not constituting armed aggression, clearly threaten the national security of member states; such a mechanism, should it be invoked by a member state, would lead all member states to convene and to coordinate a European response, in order to counter the attack, mitigate its consequences and deter any further hostile action from adversaries; an EU security protocol would be complementary to article 4 of NATO and represent a welcome progress in the EU-NATO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33b.</w:t>
            </w:r>
            <w:r>
              <w:tab/>
            </w:r>
            <w:r>
              <w:rPr>
                <w:b/>
                <w:i/>
              </w:rPr>
              <w:t>Calls for the fight against foreign information manipulation and interference (FIMI) to be integrated as an overarching priority of the CSDP, acknowledging that today’s threats increasingly target democratic institutions, social cohesion and public trust; calls for the development of a genuine European protective layer in cyberspace based on interoperable national and cross-border Security Operations Centres, a deployable European cyber reserve and common response protocols;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33b.</w:t>
            </w:r>
            <w:r>
              <w:tab/>
            </w:r>
            <w:r>
              <w:rPr>
                <w:b/>
                <w:i/>
              </w:rPr>
              <w:t>Welcomes the proposal to establish a European Security Council; supports the establishment of a mechanism for political consultation among Member States, to be activated in response to hybrid attacks and other threats falling below the threshold of armed aggression, with a view to coordinating joint European responses;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José Cepeda, Vasile Dîncu,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33c.</w:t>
            </w:r>
            <w:r>
              <w:tab/>
            </w:r>
            <w:r>
              <w:rPr>
                <w:b/>
                <w:i/>
              </w:rPr>
              <w:t>Underlines the strategic role of the EEAS and the network of Union Delegations in the Union’s security architecture, including in crisis response, countering FIMI and supporting coordinated EU action in fragile and crisis-affected countries; stresses the importance of maintaining a secure and effective network of Union Delegations and of strengthening the EEAS’s crisis-response and strategic-communication capacities, while fully respecting Member States’ responsibilities in the field of intelligence collection;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Supports the creation of a European security council where interested Member States would address overall strategy and objectives, security cooperation and intelligence-sharing, among other things;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Supports the creation of a European security council where interested Member States would address overall strategy and objectives, security cooperation and intelligence-sharing, among other things;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Supports the creation of a European security council where interested Member States would address overall strategy and objectives, security cooperation and intelligence-sharing, among other things;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Supports</w:t>
            </w:r>
            <w:r>
              <w:t xml:space="preserve"> the creation of a European security council </w:t>
            </w:r>
            <w:r>
              <w:rPr>
                <w:b/>
                <w:i/>
              </w:rPr>
              <w:t>where interested Member States would address overall strategy and objectives,</w:t>
            </w:r>
            <w:r>
              <w:t xml:space="preserve"> security cooperation and </w:t>
            </w:r>
            <w:r>
              <w:rPr>
                <w:b/>
                <w:i/>
              </w:rPr>
              <w:t>intelligence-sharing, among other things</w:t>
            </w:r>
            <w:r>
              <w:t>;</w:t>
            </w:r>
          </w:p>
        </w:tc>
        <w:tc>
          <w:tcPr>
            <w:tcW w:w="4876" w:type="dxa"/>
            <w:tcBorders>
              <w:top w:val="nil"/>
              <w:left w:val="nil"/>
              <w:bottom w:val="nil"/>
              <w:right w:val="nil"/>
            </w:tcBorders>
          </w:tcPr>
          <w:p>
            <w:pPr>
              <w:pStyle w:val="Normal6a"/>
            </w:pPr>
            <w:r>
              <w:t>34.</w:t>
            </w:r>
            <w:r>
              <w:tab/>
            </w:r>
            <w:r>
              <w:rPr>
                <w:b/>
                <w:i/>
              </w:rPr>
              <w:t>Rejects</w:t>
            </w:r>
            <w:r>
              <w:t xml:space="preserve"> the creation of a European security council </w:t>
            </w:r>
            <w:r>
              <w:rPr>
                <w:b/>
                <w:i/>
              </w:rPr>
              <w:t>or of any other new body duplicating the European Council and the Council; recalls that the strategic orientation of the Union in</w:t>
            </w:r>
            <w:r>
              <w:t xml:space="preserve"> security </w:t>
            </w:r>
            <w:r>
              <w:rPr>
                <w:b/>
                <w:i/>
              </w:rPr>
              <w:t>and defence matters is determined by the European Council by consensus, and that the exchange of intelligence remains a matter for the national services and for the established intergovernmental formats, on the basis of voluntary</w:t>
            </w:r>
            <w:r>
              <w:t xml:space="preserve"> cooperation and </w:t>
            </w:r>
            <w:r>
              <w:rPr>
                <w:b/>
                <w:i/>
              </w:rPr>
              <w:t>of the originator control principle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Supports the creation of a European</w:t>
            </w:r>
            <w:r>
              <w:t xml:space="preserve"> security </w:t>
            </w:r>
            <w:r>
              <w:rPr>
                <w:b/>
                <w:i/>
              </w:rPr>
              <w:t>council where interested</w:t>
            </w:r>
            <w:r>
              <w:t xml:space="preserve"> Member States </w:t>
            </w:r>
            <w:r>
              <w:rPr>
                <w:b/>
                <w:i/>
              </w:rPr>
              <w:t>would address overall strategy and objectives,</w:t>
            </w:r>
            <w:r>
              <w:t xml:space="preserve"> security </w:t>
            </w:r>
            <w:r>
              <w:rPr>
                <w:b/>
                <w:i/>
              </w:rPr>
              <w:t>cooperation and intelligence-sharing, among other things</w:t>
            </w:r>
            <w:r>
              <w:t>;</w:t>
            </w:r>
          </w:p>
        </w:tc>
        <w:tc>
          <w:tcPr>
            <w:tcW w:w="4876" w:type="dxa"/>
            <w:tcBorders>
              <w:top w:val="nil"/>
              <w:left w:val="nil"/>
              <w:bottom w:val="nil"/>
              <w:right w:val="nil"/>
            </w:tcBorders>
          </w:tcPr>
          <w:p>
            <w:pPr>
              <w:pStyle w:val="Normal6a"/>
            </w:pPr>
            <w:r>
              <w:t>34.</w:t>
            </w:r>
            <w:r>
              <w:tab/>
            </w:r>
            <w:r>
              <w:rPr>
                <w:b/>
                <w:i/>
              </w:rPr>
              <w:t>Stresses the importance of strengthening</w:t>
            </w:r>
            <w:r>
              <w:t xml:space="preserve"> security </w:t>
            </w:r>
            <w:r>
              <w:rPr>
                <w:b/>
                <w:i/>
              </w:rPr>
              <w:t>and defence cooperation among European Allies within NATO, while supporting voluntary cooperation between</w:t>
            </w:r>
            <w:r>
              <w:t xml:space="preserve"> Member States </w:t>
            </w:r>
            <w:r>
              <w:rPr>
                <w:b/>
                <w:i/>
              </w:rPr>
              <w:t>and fully respecting their national competences in the fields of</w:t>
            </w:r>
            <w:r>
              <w:t xml:space="preserve"> security</w:t>
            </w:r>
            <w:r>
              <w:rPr>
                <w:b/>
                <w:i/>
              </w:rPr>
              <w:t>, defence and intelligence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Supports</w:t>
            </w:r>
            <w:r>
              <w:t xml:space="preserve"> the creation of a European security council </w:t>
            </w:r>
            <w:r>
              <w:rPr>
                <w:b/>
                <w:i/>
              </w:rPr>
              <w:t>where interested Member States would address overall strategy and objectives, security cooperation and intelligence-sharing, among other things</w:t>
            </w:r>
            <w:r>
              <w:t>;</w:t>
            </w:r>
          </w:p>
        </w:tc>
        <w:tc>
          <w:tcPr>
            <w:tcW w:w="4876" w:type="dxa"/>
            <w:tcBorders>
              <w:top w:val="nil"/>
              <w:left w:val="nil"/>
              <w:bottom w:val="nil"/>
              <w:right w:val="nil"/>
            </w:tcBorders>
          </w:tcPr>
          <w:p>
            <w:pPr>
              <w:pStyle w:val="Normal6a"/>
            </w:pPr>
            <w:r>
              <w:t>34.</w:t>
            </w:r>
            <w:r>
              <w:tab/>
            </w:r>
            <w:r>
              <w:rPr>
                <w:b/>
                <w:i/>
              </w:rPr>
              <w:t>Notes the proposal from the President of the European Commission for</w:t>
            </w:r>
            <w:r>
              <w:t xml:space="preserve"> the creation of a European security council</w:t>
            </w:r>
            <w:r>
              <w:rPr>
                <w:b/>
                <w:i/>
              </w:rPr>
              <w:t>; express its disagreement with the creation of parallel instruments outside of the EU framework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Supports </w:t>
            </w:r>
            <w:r>
              <w:rPr>
                <w:b/>
                <w:i/>
              </w:rPr>
              <w:t>the creation of a European security council where interested Member States would address overall strategy and objectives</w:t>
            </w:r>
            <w:r>
              <w:t>, security cooperation and intelligence-sharing</w:t>
            </w:r>
            <w:r>
              <w:rPr>
                <w:b/>
                <w:i/>
              </w:rPr>
              <w:t>,</w:t>
            </w:r>
            <w:r>
              <w:t xml:space="preserve"> among </w:t>
            </w:r>
            <w:r>
              <w:rPr>
                <w:b/>
                <w:i/>
              </w:rPr>
              <w:t>other things</w:t>
            </w:r>
            <w:r>
              <w:t>;</w:t>
            </w:r>
          </w:p>
        </w:tc>
        <w:tc>
          <w:tcPr>
            <w:tcW w:w="4876" w:type="dxa"/>
            <w:tcBorders>
              <w:top w:val="nil"/>
              <w:left w:val="nil"/>
              <w:bottom w:val="nil"/>
              <w:right w:val="nil"/>
            </w:tcBorders>
          </w:tcPr>
          <w:p>
            <w:pPr>
              <w:pStyle w:val="Normal6a"/>
            </w:pPr>
            <w:r>
              <w:t>34.</w:t>
            </w:r>
            <w:r>
              <w:tab/>
            </w:r>
            <w:r>
              <w:t xml:space="preserve">Supports </w:t>
            </w:r>
            <w:r>
              <w:rPr>
                <w:b/>
                <w:i/>
              </w:rPr>
              <w:t>closer strategic consultation</w:t>
            </w:r>
            <w:r>
              <w:t xml:space="preserve">, security cooperation and intelligence-sharing among </w:t>
            </w:r>
            <w:r>
              <w:rPr>
                <w:b/>
                <w:i/>
              </w:rPr>
              <w:t>interested Member States through existing EU and intergovernmental arrangements</w:t>
            </w:r>
            <w:r>
              <w:t xml:space="preserve">; </w:t>
            </w:r>
            <w:r>
              <w:rPr>
                <w:b/>
                <w:i/>
              </w:rPr>
              <w:t>considers that a new European security council should be envisaged only if a prior assessment demonstrates a clear need and added value over existing EU and NATO forums; insists that any such body respect national competences and the existing Treaty decision-making 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Supports the creation of a European security council where interested Member States </w:t>
            </w:r>
            <w:r>
              <w:rPr>
                <w:b/>
                <w:i/>
              </w:rPr>
              <w:t>would address overall strategy and objectives,</w:t>
            </w:r>
            <w:r>
              <w:t xml:space="preserve"> security </w:t>
            </w:r>
            <w:r>
              <w:rPr>
                <w:b/>
                <w:i/>
              </w:rPr>
              <w:t>cooperation and intelligence-sharing, among other things</w:t>
            </w:r>
            <w:r>
              <w:t>;</w:t>
            </w:r>
          </w:p>
        </w:tc>
        <w:tc>
          <w:tcPr>
            <w:tcW w:w="4876" w:type="dxa"/>
            <w:tcBorders>
              <w:top w:val="nil"/>
              <w:left w:val="nil"/>
              <w:bottom w:val="nil"/>
              <w:right w:val="nil"/>
            </w:tcBorders>
          </w:tcPr>
          <w:p>
            <w:pPr>
              <w:pStyle w:val="Normal6a"/>
            </w:pPr>
            <w:r>
              <w:t>34.</w:t>
            </w:r>
            <w:r>
              <w:tab/>
            </w:r>
            <w:r>
              <w:t xml:space="preserve">Supports the creation of a European security council </w:t>
            </w:r>
            <w:r>
              <w:rPr>
                <w:b/>
                <w:i/>
              </w:rPr>
              <w:t>composed of heads of state</w:t>
            </w:r>
            <w:r>
              <w:t xml:space="preserve"> where interested Member States</w:t>
            </w:r>
            <w:r>
              <w:rPr>
                <w:b/>
                <w:i/>
              </w:rPr>
              <w:t>, open to our</w:t>
            </w:r>
            <w:r>
              <w:t xml:space="preserve"> security </w:t>
            </w:r>
            <w:r>
              <w:rPr>
                <w:b/>
                <w:i/>
              </w:rPr>
              <w:t>and defence partners, would be responsible for high-level security and defence coordination and decision making; welcomes the announcement by the President of the Commission, in her State of the Union address of 16 September 2026, that the Commission will set out ideas to make a European Security Council a reality</w:t>
            </w:r>
            <w:r>
              <w:t xml:space="preserve">; </w:t>
            </w:r>
            <w:r>
              <w:rPr>
                <w:b/>
                <w:i/>
              </w:rPr>
              <w:t>considers that such a council would be responsible for the coordination of Article 42(7) TEU responses;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Supports the creation of </w:t>
            </w:r>
            <w:r>
              <w:rPr>
                <w:b/>
                <w:i/>
              </w:rPr>
              <w:t>a</w:t>
            </w:r>
            <w:r>
              <w:t xml:space="preserve"> European security council </w:t>
            </w:r>
            <w:r>
              <w:rPr>
                <w:b/>
                <w:i/>
              </w:rPr>
              <w:t>where interested</w:t>
            </w:r>
            <w:r>
              <w:t xml:space="preserve"> Member States </w:t>
            </w:r>
            <w:r>
              <w:rPr>
                <w:b/>
                <w:i/>
              </w:rPr>
              <w:t>would address overall strategy and objectives, security cooperation and intelligence-sharing, among other things</w:t>
            </w:r>
            <w:r>
              <w:t>;</w:t>
            </w:r>
          </w:p>
        </w:tc>
        <w:tc>
          <w:tcPr>
            <w:tcW w:w="4876" w:type="dxa"/>
            <w:tcBorders>
              <w:top w:val="nil"/>
              <w:left w:val="nil"/>
              <w:bottom w:val="nil"/>
              <w:right w:val="nil"/>
            </w:tcBorders>
          </w:tcPr>
          <w:p>
            <w:pPr>
              <w:pStyle w:val="Normal6a"/>
            </w:pPr>
            <w:r>
              <w:t>34.</w:t>
            </w:r>
            <w:r>
              <w:tab/>
            </w:r>
            <w:r>
              <w:t xml:space="preserve">Supports the creation of </w:t>
            </w:r>
            <w:r>
              <w:rPr>
                <w:b/>
                <w:i/>
              </w:rPr>
              <w:t>an intergovernmental</w:t>
            </w:r>
            <w:r>
              <w:t xml:space="preserve"> European security council</w:t>
            </w:r>
            <w:r>
              <w:rPr>
                <w:b/>
                <w:i/>
              </w:rPr>
              <w:t>, composed exclusively of willing</w:t>
            </w:r>
            <w:r>
              <w:t xml:space="preserve"> Member States </w:t>
            </w:r>
            <w:r>
              <w:rPr>
                <w:b/>
                <w:i/>
              </w:rPr>
              <w:t>and with its participants making decisions unanimously;</w:t>
            </w:r>
            <w:r>
              <w:t xml:space="preserve"> </w:t>
            </w:r>
            <w:r>
              <w:rPr>
                <w:b/>
                <w:i/>
              </w:rPr>
              <w:t>calls for it to be supported by a permanent European military staff for war, capable of planning and commanding high-intensity operations led by coalitions of willing Member States, independently of NATO command assets and US strategic choices</w:t>
            </w:r>
            <w:r>
              <w:t xml:space="preserve">; </w:t>
            </w:r>
            <w:r>
              <w:rPr>
                <w:b/>
                <w:i/>
              </w:rPr>
              <w:t>stresses that each state retains the sovereign decision to commit its forces, without transferring competences to the Commission;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Supports the creation of a European security council </w:t>
            </w:r>
            <w:r>
              <w:rPr>
                <w:b/>
                <w:i/>
              </w:rPr>
              <w:t>where interested Member States would address</w:t>
            </w:r>
            <w:r>
              <w:t xml:space="preserve"> overall strategy </w:t>
            </w:r>
            <w:r>
              <w:rPr>
                <w:b/>
                <w:i/>
              </w:rPr>
              <w:t>and</w:t>
            </w:r>
            <w:r>
              <w:t xml:space="preserve"> objectives</w:t>
            </w:r>
            <w:r>
              <w:rPr>
                <w:b/>
                <w:i/>
              </w:rPr>
              <w:t>,</w:t>
            </w:r>
            <w:r>
              <w:t xml:space="preserve"> security cooperation </w:t>
            </w:r>
            <w:r>
              <w:rPr>
                <w:b/>
                <w:i/>
              </w:rPr>
              <w:t>and</w:t>
            </w:r>
            <w:r>
              <w:t xml:space="preserve"> intelligence-sharing, </w:t>
            </w:r>
            <w:r>
              <w:rPr>
                <w:b/>
                <w:i/>
              </w:rPr>
              <w:t>among other things</w:t>
            </w:r>
            <w:r>
              <w:t>;</w:t>
            </w:r>
          </w:p>
        </w:tc>
        <w:tc>
          <w:tcPr>
            <w:tcW w:w="4876" w:type="dxa"/>
            <w:tcBorders>
              <w:top w:val="nil"/>
              <w:left w:val="nil"/>
              <w:bottom w:val="nil"/>
              <w:right w:val="nil"/>
            </w:tcBorders>
          </w:tcPr>
          <w:p>
            <w:pPr>
              <w:pStyle w:val="Normal6a"/>
            </w:pPr>
            <w:r>
              <w:t>34.</w:t>
            </w:r>
            <w:r>
              <w:tab/>
            </w:r>
            <w:r>
              <w:t xml:space="preserve">Supports the creation of a European security council </w:t>
            </w:r>
            <w:r>
              <w:rPr>
                <w:b/>
                <w:i/>
              </w:rPr>
              <w:t>anchored in the EU institutional framework, to strengthen European coordination on</w:t>
            </w:r>
            <w:r>
              <w:t xml:space="preserve"> overall strategy</w:t>
            </w:r>
            <w:r>
              <w:rPr>
                <w:b/>
                <w:i/>
              </w:rPr>
              <w:t>,</w:t>
            </w:r>
            <w:r>
              <w:t xml:space="preserve"> objectives </w:t>
            </w:r>
            <w:r>
              <w:rPr>
                <w:b/>
                <w:i/>
              </w:rPr>
              <w:t>and</w:t>
            </w:r>
            <w:r>
              <w:t xml:space="preserve"> security cooperation</w:t>
            </w:r>
            <w:r>
              <w:rPr>
                <w:b/>
                <w:i/>
              </w:rPr>
              <w:t>, increase</w:t>
            </w:r>
            <w:r>
              <w:t xml:space="preserve"> intelligence-sharing, </w:t>
            </w:r>
            <w:r>
              <w:rPr>
                <w:b/>
                <w:i/>
              </w:rPr>
              <w:t>facilitate timely decision-making and help overcome institutional blockages, while avoiding duplication with existing EU and NATO structures</w:t>
            </w:r>
            <w:r>
              <w:t xml:space="preserve">; </w:t>
            </w:r>
            <w:r>
              <w:rPr>
                <w:b/>
                <w:i/>
              </w:rPr>
              <w:t>stresses that its work should reflect a 360-degree approach to European security, addressing conventional and hybrid threats across all geographical flanks;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Supports the creation of a European security council where interested Member States would address overall strategy and objectives, security cooperation and intelligence-sharing, among other things;</w:t>
            </w:r>
          </w:p>
        </w:tc>
        <w:tc>
          <w:tcPr>
            <w:tcW w:w="4876" w:type="dxa"/>
            <w:tcBorders>
              <w:top w:val="nil"/>
              <w:left w:val="nil"/>
              <w:bottom w:val="nil"/>
              <w:right w:val="nil"/>
            </w:tcBorders>
          </w:tcPr>
          <w:p>
            <w:pPr>
              <w:pStyle w:val="Normal6a"/>
            </w:pPr>
            <w:r>
              <w:t>34.</w:t>
            </w:r>
            <w:r>
              <w:tab/>
            </w:r>
            <w:r>
              <w:t xml:space="preserve">Supports the creation of a European security council where interested Member States would address overall strategy and objectives, security cooperation and intelligence-sharing, among other things; </w:t>
            </w:r>
            <w:r>
              <w:rPr>
                <w:b/>
                <w:i/>
              </w:rPr>
              <w:t>insists that its composition must ensure geographical balance, including adequate representation of frontline Member States and strategic partners, and that its decision-making must be designed so that institutional paralysis cannot occur, with no single member holding a veto right and being able to block others from acting;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Supports the creation of a European security council </w:t>
            </w:r>
            <w:r>
              <w:rPr>
                <w:b/>
                <w:i/>
              </w:rPr>
              <w:t>where interested Member States would address overall strategy and objectives, security</w:t>
            </w:r>
            <w:r>
              <w:t xml:space="preserve"> cooperation and intelligence-sharing, </w:t>
            </w:r>
            <w:r>
              <w:rPr>
                <w:b/>
                <w:i/>
              </w:rPr>
              <w:t>among other things</w:t>
            </w:r>
            <w:r>
              <w:t>;</w:t>
            </w:r>
          </w:p>
        </w:tc>
        <w:tc>
          <w:tcPr>
            <w:tcW w:w="4876" w:type="dxa"/>
            <w:tcBorders>
              <w:top w:val="nil"/>
              <w:left w:val="nil"/>
              <w:bottom w:val="nil"/>
              <w:right w:val="nil"/>
            </w:tcBorders>
          </w:tcPr>
          <w:p>
            <w:pPr>
              <w:pStyle w:val="Normal6a"/>
            </w:pPr>
            <w:r>
              <w:t>34.</w:t>
            </w:r>
            <w:r>
              <w:tab/>
            </w:r>
            <w:r>
              <w:t xml:space="preserve">Supports the creation of a European security council </w:t>
            </w:r>
            <w:r>
              <w:rPr>
                <w:b/>
                <w:i/>
              </w:rPr>
              <w:t>at the level of Heads of State and Government to provide an agile platform for strategic leadership, enabling rapid decision-making and crisis response; emphasises that such a body should deepen defense</w:t>
            </w:r>
            <w:r>
              <w:t xml:space="preserve"> cooperation and intelligence-sharing, </w:t>
            </w:r>
            <w:r>
              <w:rPr>
                <w:b/>
                <w:i/>
              </w:rPr>
              <w:t>while reinforcing the European pillar within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Supports the </w:t>
            </w:r>
            <w:r>
              <w:rPr>
                <w:b/>
                <w:i/>
              </w:rPr>
              <w:t>creation of a</w:t>
            </w:r>
            <w:r>
              <w:t xml:space="preserve"> European security council </w:t>
            </w:r>
            <w:r>
              <w:rPr>
                <w:b/>
                <w:i/>
              </w:rPr>
              <w:t>where interested Member States would address overall strategy and objectives</w:t>
            </w:r>
            <w:r>
              <w:t xml:space="preserve">, security cooperation and intelligence-sharing, </w:t>
            </w:r>
            <w:r>
              <w:rPr>
                <w:b/>
                <w:i/>
              </w:rPr>
              <w:t>among other things</w:t>
            </w:r>
            <w:r>
              <w:t>;</w:t>
            </w:r>
          </w:p>
        </w:tc>
        <w:tc>
          <w:tcPr>
            <w:tcW w:w="4876" w:type="dxa"/>
            <w:tcBorders>
              <w:top w:val="nil"/>
              <w:left w:val="nil"/>
              <w:bottom w:val="nil"/>
              <w:right w:val="nil"/>
            </w:tcBorders>
          </w:tcPr>
          <w:p>
            <w:pPr>
              <w:pStyle w:val="Normal6a"/>
            </w:pPr>
            <w:r>
              <w:t>34.</w:t>
            </w:r>
            <w:r>
              <w:tab/>
            </w:r>
            <w:r>
              <w:t xml:space="preserve">Supports the </w:t>
            </w:r>
            <w:r>
              <w:rPr>
                <w:b/>
                <w:i/>
              </w:rPr>
              <w:t>establishment, by interested Member States, of a voluntary and intergovernmental</w:t>
            </w:r>
            <w:r>
              <w:t xml:space="preserve"> European Security Council </w:t>
            </w:r>
            <w:r>
              <w:rPr>
                <w:b/>
                <w:i/>
              </w:rPr>
              <w:t>or comparable format for strategic consultation</w:t>
            </w:r>
            <w:r>
              <w:t xml:space="preserve">, security cooperation and intelligence-sharing, </w:t>
            </w:r>
            <w:r>
              <w:rPr>
                <w:b/>
                <w:i/>
              </w:rPr>
              <w:t>without prejudice to the responsibilities of national governments, NATO and existing international 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Supports the creation of a European security council where interested Member States would address overall strategy and objectives, security cooperation and intelligence-sharing, among other things;</w:t>
            </w:r>
          </w:p>
        </w:tc>
        <w:tc>
          <w:tcPr>
            <w:tcW w:w="4876" w:type="dxa"/>
            <w:tcBorders>
              <w:top w:val="nil"/>
              <w:left w:val="nil"/>
              <w:bottom w:val="nil"/>
              <w:right w:val="nil"/>
            </w:tcBorders>
          </w:tcPr>
          <w:p>
            <w:pPr>
              <w:pStyle w:val="Normal6a"/>
            </w:pPr>
            <w:r>
              <w:t>34.</w:t>
            </w:r>
            <w:r>
              <w:tab/>
            </w:r>
            <w:r>
              <w:t xml:space="preserve">Supports </w:t>
            </w:r>
            <w:r>
              <w:rPr>
                <w:b/>
                <w:i/>
              </w:rPr>
              <w:t>in later appropriate time</w:t>
            </w:r>
            <w:r>
              <w:t xml:space="preserve"> the creation of a European security council where interested Member States would address overall strategy and objectives, security cooperation and intelligence-sharing, among other things; </w:t>
            </w:r>
            <w:r>
              <w:rPr>
                <w:b/>
                <w:i/>
              </w:rPr>
              <w:t>encourages Comission and Council first to look for possibilities to improve the use of current institutions in these tasks and especially improve the decision making by looking for possibilities to move to majority decision making in security and defence related questions;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Supports the creation of a European security council </w:t>
            </w:r>
            <w:r>
              <w:rPr>
                <w:b/>
                <w:i/>
              </w:rPr>
              <w:t>where interested Member States would</w:t>
            </w:r>
            <w:r>
              <w:t xml:space="preserve"> address overall strategy and objectives, security cooperation and intelligence-sharing, among other things;</w:t>
            </w:r>
          </w:p>
        </w:tc>
        <w:tc>
          <w:tcPr>
            <w:tcW w:w="4876" w:type="dxa"/>
            <w:tcBorders>
              <w:top w:val="nil"/>
              <w:left w:val="nil"/>
              <w:bottom w:val="nil"/>
              <w:right w:val="nil"/>
            </w:tcBorders>
          </w:tcPr>
          <w:p>
            <w:pPr>
              <w:pStyle w:val="Normal6a"/>
            </w:pPr>
            <w:r>
              <w:t>34.</w:t>
            </w:r>
            <w:r>
              <w:tab/>
            </w:r>
            <w:r>
              <w:t xml:space="preserve">Supports the creation of a European Security Council </w:t>
            </w:r>
            <w:r>
              <w:rPr>
                <w:b/>
                <w:i/>
              </w:rPr>
              <w:t>which could</w:t>
            </w:r>
            <w:r>
              <w:t xml:space="preserve"> address overall strategy and objectives, security cooperation and intelligence-sharing, </w:t>
            </w:r>
            <w:r>
              <w:rPr>
                <w:b/>
                <w:i/>
              </w:rPr>
              <w:t>and coordinate the Union’s response under Article 42(7) TEU,</w:t>
            </w:r>
            <w:r>
              <w:t xml:space="preserve"> among other things; </w:t>
            </w:r>
            <w:r>
              <w:rPr>
                <w:b/>
                <w:i/>
              </w:rPr>
              <w:t>considers that strategic partners, in particular Ukraine, the United Kingdom and Norway, should be associated with its work; insists that it be complemented by a permanent Council of Defence Ministers ;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Supports the creation of a European security council where interested Member States would address overall strategy and objectives, security cooperation and intelligence-sharing, among other things;</w:t>
            </w:r>
          </w:p>
        </w:tc>
        <w:tc>
          <w:tcPr>
            <w:tcW w:w="4876" w:type="dxa"/>
            <w:tcBorders>
              <w:top w:val="nil"/>
              <w:left w:val="nil"/>
              <w:bottom w:val="nil"/>
              <w:right w:val="nil"/>
            </w:tcBorders>
          </w:tcPr>
          <w:p>
            <w:pPr>
              <w:pStyle w:val="Normal6a"/>
            </w:pPr>
            <w:r>
              <w:t>34.</w:t>
            </w:r>
            <w:r>
              <w:tab/>
            </w:r>
            <w:r>
              <w:t xml:space="preserve">Supports the creation of a European security council where interested Member States would address overall strategy and objectives, security cooperation and intelligence-sharing, among other things; </w:t>
            </w:r>
            <w:r>
              <w:rPr>
                <w:b/>
                <w:i/>
              </w:rPr>
              <w:t>stresses that any participation of the Commission in such a council would undermine not only the institutional balance established by the Treaties, but also its coherence and effectiveness;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Stresses that Article 42(7) TEU remains institutionally and operationally underdeveloped; calls on the Council and the VP/HR to adopt an Article 42(7) playbook defining activation procedures, assistance modalities and coordination with NATO, including for hybrid, cyber, space and subsea attacks, and to test it in regular exercises; recalls that, for Member States that are not NATO allies, Article 42(7) TEU constitutes the primary basis for collective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Calls for decisive progress towards a genuine European Defence Union, integrating at EU level the political, operational, societal and industrial dimensions of European defence and enabling Europeans to plan, develop, produce, deploy and sustain the capabilities needed to defend the Union and act independently when necessary; stresses that this should be based on stronger common decision-making, progressively integrated command structures and forces, common strategic enablers and a strong and sovereign EDTIB; underlines that a stronger European Defence Union should reinforce European strategic autonomy and the Union’s capacity to assume responsibility for its own security, while remaining fully interoperable with and complementary to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Calls for the progressive establishment, within the European Defence Union, of a standing set of multinational forces under an integrated European command, composed of capabilities made available by Member States and able to deploy under the EU flag for the defence of the Union, crisis management and support to its partners; stresses that their development must fully respect Member States’ constitutional requirements and commitments within NATO and be subject to democratic and parliamentary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Wouter Beke,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Urges the Member States to intensify intelligence-sharing with the EU Intelligence and Situation Centre and the EU Military Staff Intelligence Directorate; calls on the VP/HR to explore, in close cooperation with the Member States, the creation of an intelligence fusion centre, as recommended in the Niinistö report, and to invest in secure systems for sharing classified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Stresses that a genuine European Defence Union requires the full operationalisation of the mutual assistance clause under Article 42(7) TEU, transforming it into a credible operational guarantee of solidarity between Member States; calls for the development of clear political and operational procedures, a comprehensive doctrine and predefined roles for the relevant EU institutions and Member States, covering conventional aggression and clarifying the conditions and procedures applicable in cases of large-scale hybrid campaigns; underlines that these arrangements should strengthen the Union’s capacity to act while remaining fully compatible with Member States’ commitments within NATO, and should be subject to democratic accountability and parliamentary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34d.</w:t>
            </w:r>
            <w:r>
              <w:tab/>
            </w:r>
            <w:r>
              <w:rPr>
                <w:b/>
                <w:i/>
              </w:rPr>
              <w:t>Stresses that effective European security and defence decision-making requires a shared and intelligence-based threat picture, particularly with regard to hybrid threats; highlights the unique added value of the Union in aggregating information across borders in order to connect incidents, identify coordinated campaigns, improve early warning and situational awareness and support attribution; calls for the effective strengthening of the Single Intelligence Analysis Capacity (SIAC), including through adequate resources and analytical capacity, and reiterates that it should serve as the central intelligence fusion hub within the EU institutions; stresses that intelligence-based assessments should be systematically incorporated into EU planning, crisis management and policymaking;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34e.</w:t>
            </w:r>
            <w:r>
              <w:tab/>
            </w:r>
            <w:r>
              <w:rPr>
                <w:b/>
                <w:i/>
              </w:rPr>
              <w:t>Urges Member States to increase intelligence sharing with EU INTCEN and the EUMS Intelligence Directorate, while fully respecting national sovereignty, the need-to-know principle and the protection of national classified information; calls furthermore on the EU institutions, the Member States and the EEAS to develop a secure information-sharing system between relevant EU and national authorities and other trusted actors, thereby providing participating bodies with a more complete threat picture and higher-quality intelligence products while progressively strengthening mutual trust;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34f.</w:t>
            </w:r>
            <w:r>
              <w:tab/>
            </w:r>
            <w:r>
              <w:rPr>
                <w:b/>
                <w:i/>
              </w:rPr>
              <w:t>Stresses that the Union must develop a coordinated, operational and deterrent capacity to respond to hybrid threats, making full use of its broad range of instruments; calls on the Commission and the High Representative to ensure a single integrated whole-of-EU approach; calls furthermore for a shift from a fragmented and reactive approach towards a proactive cross-domain strategy capable of preventing, detecting, identifying, attributing, disrupting, deterring and responding to hostile hybrid campaigns; stresses that EU and NATO action against hybrid threats must be complementary, mutually reinforcing and operationally coordinated, while preserving the Union’s capacity to act when required; calls for closer coordination of situational awareness and response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34g.</w:t>
            </w:r>
            <w:r>
              <w:tab/>
            </w:r>
            <w:r>
              <w:rPr>
                <w:b/>
                <w:i/>
              </w:rPr>
              <w:t>Welcomes the announced development of a European counter-hybrid playbook and an Emergency Security Protocol; calls for these instruments to establish clear procedures for consultation, coordination and collective response to serious hybrid incidents below the threshold of armed aggression; reiterates its calls for regular joint European exercises covering conventional and hybrid scenarios, combining military and civilian components where appropriate; stresses the need for a systematic lessons-learned process to feed their results into EU preparedness, capability planning and CSDP doctrine;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34h.</w:t>
            </w:r>
            <w:r>
              <w:tab/>
            </w:r>
            <w:r>
              <w:rPr>
                <w:b/>
                <w:i/>
              </w:rPr>
              <w:t>Notes Taiwan’s extensive experience in countering hybrid attacks, FIMI and threats to critical infrastructure; calls for strengthened exchanges with Taiwan on whole-of-society resilience, countering FIMI and cognitive warfare, and the protection of critical and undersea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w:t>
            </w:r>
            <w:r>
              <w:rPr>
                <w:b/>
                <w:i/>
              </w:rPr>
              <w:t>this renewed architecture must include</w:t>
            </w:r>
            <w:r>
              <w:t xml:space="preserve"> relevant European countries that are not</w:t>
            </w:r>
            <w:r>
              <w:rPr>
                <w:b/>
                <w:i/>
              </w:rPr>
              <w:t>, or not yet,</w:t>
            </w:r>
            <w:r>
              <w:t xml:space="preserve"> members of the EU, in particular the UK</w:t>
            </w:r>
            <w:r>
              <w:rPr>
                <w:b/>
                <w:i/>
              </w:rPr>
              <w:t>, Ukraine</w:t>
            </w:r>
            <w:r>
              <w:t xml:space="preserve"> and Norway;</w:t>
            </w:r>
          </w:p>
        </w:tc>
        <w:tc>
          <w:tcPr>
            <w:tcW w:w="4876" w:type="dxa"/>
            <w:tcBorders>
              <w:top w:val="nil"/>
              <w:left w:val="nil"/>
              <w:bottom w:val="nil"/>
              <w:right w:val="nil"/>
            </w:tcBorders>
          </w:tcPr>
          <w:p>
            <w:pPr>
              <w:pStyle w:val="Normal6a"/>
            </w:pPr>
            <w:r>
              <w:t>35.</w:t>
            </w:r>
            <w:r>
              <w:tab/>
            </w:r>
            <w:r>
              <w:t xml:space="preserve">Is convinced that </w:t>
            </w:r>
            <w:r>
              <w:rPr>
                <w:b/>
                <w:i/>
              </w:rPr>
              <w:t>such cooperation should remain open to</w:t>
            </w:r>
            <w:r>
              <w:t xml:space="preserve"> relevant European countries that are not members of the EU, in particular the UK and Norway</w:t>
            </w:r>
            <w:r>
              <w:rPr>
                <w:b/>
                <w:i/>
              </w:rPr>
              <w:t>, provided that their participation contributes to European security and respects the sovereignty, constitutional arrangements and security interests of the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this renewed architecture </w:t>
            </w:r>
            <w:r>
              <w:rPr>
                <w:b/>
                <w:i/>
              </w:rPr>
              <w:t>must</w:t>
            </w:r>
            <w:r>
              <w:t xml:space="preserve"> include relevant </w:t>
            </w:r>
            <w:r>
              <w:rPr>
                <w:b/>
                <w:i/>
              </w:rPr>
              <w:t>European</w:t>
            </w:r>
            <w:r>
              <w:t xml:space="preserve"> countries </w:t>
            </w:r>
            <w:r>
              <w:rPr>
                <w:b/>
                <w:i/>
              </w:rPr>
              <w:t>that are not, or not yet, members of the EU</w:t>
            </w:r>
            <w:r>
              <w:t>,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architecture </w:t>
            </w:r>
            <w:r>
              <w:rPr>
                <w:b/>
                <w:i/>
              </w:rPr>
              <w:t>could</w:t>
            </w:r>
            <w:r>
              <w:t xml:space="preserve"> include relevant </w:t>
            </w:r>
            <w:r>
              <w:rPr>
                <w:b/>
                <w:i/>
              </w:rPr>
              <w:t>like minded partners</w:t>
            </w:r>
            <w:r>
              <w:t xml:space="preserve"> countries, in particular the UK, Ukraine</w:t>
            </w:r>
            <w:r>
              <w:rPr>
                <w:b/>
                <w:i/>
              </w:rPr>
              <w:t>, Canada</w:t>
            </w:r>
            <w:r>
              <w:t xml:space="preserve"> and Norway</w:t>
            </w:r>
            <w:r>
              <w:rPr>
                <w:b/>
                <w:i/>
              </w:rPr>
              <w:t>, provided that they fully share the Union’s values and respect international law and the sovereignty and territorial integrity of all EU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this renewed architecture must </w:t>
            </w:r>
            <w:r>
              <w:rPr>
                <w:b/>
                <w:i/>
              </w:rPr>
              <w:t>include</w:t>
            </w:r>
            <w:r>
              <w:t xml:space="preserve"> relevant European countries that are not, or not yet, members of the EU, in particular </w:t>
            </w:r>
            <w:r>
              <w:rPr>
                <w:b/>
                <w:i/>
              </w:rPr>
              <w:t>the UK,</w:t>
            </w:r>
            <w:r>
              <w:t xml:space="preserve"> Ukraine and Norway;</w:t>
            </w:r>
          </w:p>
        </w:tc>
        <w:tc>
          <w:tcPr>
            <w:tcW w:w="4876" w:type="dxa"/>
            <w:tcBorders>
              <w:top w:val="nil"/>
              <w:left w:val="nil"/>
              <w:bottom w:val="nil"/>
              <w:right w:val="nil"/>
            </w:tcBorders>
          </w:tcPr>
          <w:p>
            <w:pPr>
              <w:pStyle w:val="Normal6a"/>
            </w:pPr>
            <w:r>
              <w:t>35.</w:t>
            </w:r>
            <w:r>
              <w:tab/>
            </w:r>
            <w:r>
              <w:t xml:space="preserve">Is convinced that this renewed architecture must </w:t>
            </w:r>
            <w:r>
              <w:rPr>
                <w:b/>
                <w:i/>
              </w:rPr>
              <w:t>provide for the close and differentiated association of</w:t>
            </w:r>
            <w:r>
              <w:t xml:space="preserve"> relevant European countries that are not, or not yet, members of the EU, in particular Ukraine and Norway</w:t>
            </w:r>
            <w:r>
              <w:rPr>
                <w:b/>
                <w:i/>
              </w:rPr>
              <w:t>, given their deep integration into EU defence instruments, as well as trusted like-minded partners such as the United Kingdom</w:t>
            </w:r>
            <w:r>
              <w:t xml:space="preserve">; </w:t>
            </w:r>
            <w:r>
              <w:rPr>
                <w:b/>
                <w:i/>
              </w:rPr>
              <w:t>stresses that such cooperation should strengthen European defence readiness, interoperability and industrial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Is convinced that this renewed architecture must include relevant European countries that are not, or not yet, members of the EU,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architecture must include relevant European countries that are not, or not yet, members of the EU, in particular the UK, Ukraine and Norway; </w:t>
            </w:r>
            <w:r>
              <w:rPr>
                <w:b/>
                <w:i/>
              </w:rPr>
              <w:t>stresses that it must be complementary to NATO, avoid unnecessary duplication and take full account of the fact that Member States have a single set of forces that they can make available for EU, NATO and other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Is convinced that this renewed architecture must include relevant European countries that are not, or not yet, members of the EU,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architecture must include relevant European countries </w:t>
            </w:r>
            <w:r>
              <w:rPr>
                <w:b/>
                <w:i/>
              </w:rPr>
              <w:t>-provided that they do not contravene the security and defence interests of the EU and its Member States, including respect for the principle of good neighbourly relations and for the international law-</w:t>
            </w:r>
            <w:r>
              <w:t xml:space="preserve"> that are not, or not yet, members of the EU, in particular the UK, Ukraine and Norway;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Is convinced that this renewed architecture must include relevant European countries that are not</w:t>
            </w:r>
            <w:r>
              <w:rPr>
                <w:b/>
                <w:i/>
              </w:rPr>
              <w:t>, or not yet,</w:t>
            </w:r>
            <w:r>
              <w:t xml:space="preserve"> members of the EU,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architecture must include relevant European countries that are not members of the EU, in particular the UK, Ukraine and Norway; </w:t>
            </w:r>
            <w:r>
              <w:rPr>
                <w:b/>
                <w:i/>
              </w:rPr>
              <w:t>stresses that this architecture must, therefore, be structured entirely outside the EU's institutional framework, without granting any powers or roles to the Commission;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this renewed architecture must </w:t>
            </w:r>
            <w:r>
              <w:rPr>
                <w:b/>
                <w:i/>
              </w:rPr>
              <w:t>include</w:t>
            </w:r>
            <w:r>
              <w:t xml:space="preserve"> relevant European countries that are not</w:t>
            </w:r>
            <w:r>
              <w:rPr>
                <w:b/>
                <w:i/>
              </w:rPr>
              <w:t>, or not yet,</w:t>
            </w:r>
            <w:r>
              <w:t xml:space="preserve"> members of the EU,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architecture must </w:t>
            </w:r>
            <w:r>
              <w:rPr>
                <w:b/>
                <w:i/>
              </w:rPr>
              <w:t>enable cooperation with</w:t>
            </w:r>
            <w:r>
              <w:t xml:space="preserve"> relevant European countries that are not members of the EU, in particular the UK, Ukraine and Norway </w:t>
            </w:r>
            <w:r>
              <w:rPr>
                <w:b/>
                <w:i/>
              </w:rPr>
              <w:t>without prejudging their future status vis-à-vis the Union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Is convinced that this renewed architecture must include relevant European countries that are not, or not yet, members of the EU,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architecture must include relevant European countries that are not, or not yet, members of the EU, in particular the UK, Ukraine and Norway; </w:t>
            </w:r>
            <w:r>
              <w:rPr>
                <w:b/>
                <w:i/>
              </w:rPr>
              <w:t>as well as like-minded non-European partners such as Canada;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this renewed architecture must include </w:t>
            </w:r>
            <w:r>
              <w:rPr>
                <w:b/>
                <w:i/>
              </w:rPr>
              <w:t>relevant European countries that are not, or not yet, members of the EU,</w:t>
            </w:r>
            <w:r>
              <w:t xml:space="preserve"> in particular the UK, Ukraine and Norway;</w:t>
            </w:r>
          </w:p>
        </w:tc>
        <w:tc>
          <w:tcPr>
            <w:tcW w:w="4876" w:type="dxa"/>
            <w:tcBorders>
              <w:top w:val="nil"/>
              <w:left w:val="nil"/>
              <w:bottom w:val="nil"/>
              <w:right w:val="nil"/>
            </w:tcBorders>
          </w:tcPr>
          <w:p>
            <w:pPr>
              <w:pStyle w:val="Normal6a"/>
            </w:pPr>
            <w:r>
              <w:t>35.</w:t>
            </w:r>
            <w:r>
              <w:tab/>
            </w:r>
            <w:r>
              <w:t>Is convinced that this renewed architecture must include in particular the UK, Ukraine and Norway;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Is convinced that this renewed architecture must include relevant European countries that are not, or not yet, members of the EU,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architecture must include relevant </w:t>
            </w:r>
            <w:r>
              <w:rPr>
                <w:b/>
                <w:i/>
              </w:rPr>
              <w:t>like-minded partners and</w:t>
            </w:r>
            <w:r>
              <w:t xml:space="preserve"> European countries that are not, or not yet, members of the EU, in particular the UK, Ukraine and Norway;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this renewed architecture must include relevant </w:t>
            </w:r>
            <w:r>
              <w:rPr>
                <w:b/>
                <w:i/>
              </w:rPr>
              <w:t>European</w:t>
            </w:r>
            <w:r>
              <w:t xml:space="preserve"> countries </w:t>
            </w:r>
            <w:r>
              <w:rPr>
                <w:b/>
                <w:i/>
              </w:rPr>
              <w:t>that</w:t>
            </w:r>
            <w:r>
              <w:t xml:space="preserve"> are not, or not yet, members of the EU, in particular the UK, Ukraine </w:t>
            </w:r>
            <w:r>
              <w:rPr>
                <w:b/>
                <w:i/>
              </w:rPr>
              <w:t>and</w:t>
            </w:r>
            <w:r>
              <w:t xml:space="preserve"> Norway;</w:t>
            </w:r>
          </w:p>
        </w:tc>
        <w:tc>
          <w:tcPr>
            <w:tcW w:w="4876" w:type="dxa"/>
            <w:tcBorders>
              <w:top w:val="nil"/>
              <w:left w:val="nil"/>
              <w:bottom w:val="nil"/>
              <w:right w:val="nil"/>
            </w:tcBorders>
          </w:tcPr>
          <w:p>
            <w:pPr>
              <w:pStyle w:val="Normal6a"/>
            </w:pPr>
            <w:r>
              <w:t>35.</w:t>
            </w:r>
            <w:r>
              <w:tab/>
            </w:r>
            <w:r>
              <w:t xml:space="preserve">Is convinced that this renewed architecture must </w:t>
            </w:r>
            <w:r>
              <w:rPr>
                <w:b/>
                <w:i/>
              </w:rPr>
              <w:t>also</w:t>
            </w:r>
            <w:r>
              <w:t xml:space="preserve"> include relevant countries </w:t>
            </w:r>
            <w:r>
              <w:rPr>
                <w:b/>
                <w:i/>
              </w:rPr>
              <w:t>to European security who</w:t>
            </w:r>
            <w:r>
              <w:t xml:space="preserve"> are not, or not yet, members of the EU, in particular the UK, Ukraine</w:t>
            </w:r>
            <w:r>
              <w:rPr>
                <w:b/>
                <w:i/>
              </w:rPr>
              <w:t>,</w:t>
            </w:r>
            <w:r>
              <w:t xml:space="preserve"> Norway </w:t>
            </w:r>
            <w:r>
              <w:rPr>
                <w:b/>
                <w:i/>
              </w:rPr>
              <w:t>and Canada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this renewed </w:t>
            </w:r>
            <w:r>
              <w:rPr>
                <w:b/>
                <w:i/>
              </w:rPr>
              <w:t>architecture</w:t>
            </w:r>
            <w:r>
              <w:t xml:space="preserve"> must include relevant European countries that are not, or not yet, members of the EU, in particular the UK, Ukraine and Norway;</w:t>
            </w:r>
          </w:p>
        </w:tc>
        <w:tc>
          <w:tcPr>
            <w:tcW w:w="4876" w:type="dxa"/>
            <w:tcBorders>
              <w:top w:val="nil"/>
              <w:left w:val="nil"/>
              <w:bottom w:val="nil"/>
              <w:right w:val="nil"/>
            </w:tcBorders>
          </w:tcPr>
          <w:p>
            <w:pPr>
              <w:pStyle w:val="Normal6a"/>
            </w:pPr>
            <w:r>
              <w:t>35.</w:t>
            </w:r>
            <w:r>
              <w:tab/>
            </w:r>
            <w:r>
              <w:t xml:space="preserve">Is convinced that this renewed </w:t>
            </w:r>
            <w:r>
              <w:rPr>
                <w:b/>
                <w:i/>
              </w:rPr>
              <w:t>security and defence cooperation</w:t>
            </w:r>
            <w:r>
              <w:t xml:space="preserve"> must include relevant European countries that are not, or not yet, members of the EU, in particular the UK, Ukraine and Norway;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Is convinced that this renewed architecture must include relevant European countries that are not, or not yet, members of the EU, in particular the UK, Ukraine and Norway;</w:t>
            </w:r>
          </w:p>
        </w:tc>
        <w:tc>
          <w:tcPr>
            <w:tcW w:w="4876" w:type="dxa"/>
            <w:tcBorders>
              <w:top w:val="nil"/>
              <w:left w:val="nil"/>
              <w:bottom w:val="nil"/>
              <w:right w:val="nil"/>
            </w:tcBorders>
          </w:tcPr>
          <w:p>
            <w:pPr>
              <w:pStyle w:val="Normal6a"/>
            </w:pPr>
            <w:r>
              <w:t>35.</w:t>
            </w:r>
            <w:r>
              <w:tab/>
            </w:r>
            <w:r>
              <w:t>Is convinced that this renewed architecture must include relevant European countries that are not, or not yet, members of the EU, in particular the UK, Ukraine and Norway</w:t>
            </w:r>
            <w:r>
              <w:rPr>
                <w:b/>
                <w:i/>
              </w:rPr>
              <w:t>, and Canada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Is convinced that this renewed architecture must include relevant European countries that are not, or not yet, members of the EU, in particular the UK, Ukraine </w:t>
            </w:r>
            <w:r>
              <w:rPr>
                <w:b/>
                <w:i/>
              </w:rPr>
              <w:t>and</w:t>
            </w:r>
            <w:r>
              <w:t xml:space="preserve"> Norway;</w:t>
            </w:r>
          </w:p>
        </w:tc>
        <w:tc>
          <w:tcPr>
            <w:tcW w:w="4876" w:type="dxa"/>
            <w:tcBorders>
              <w:top w:val="nil"/>
              <w:left w:val="nil"/>
              <w:bottom w:val="nil"/>
              <w:right w:val="nil"/>
            </w:tcBorders>
          </w:tcPr>
          <w:p>
            <w:pPr>
              <w:pStyle w:val="Normal6a"/>
            </w:pPr>
            <w:r>
              <w:t>35.</w:t>
            </w:r>
            <w:r>
              <w:tab/>
            </w:r>
            <w:r>
              <w:t>Is convinced that this renewed architecture must include relevant European countries that are not, or not yet, members of the EU, in particular the UK, Ukraine</w:t>
            </w:r>
            <w:r>
              <w:rPr>
                <w:b/>
                <w:i/>
              </w:rPr>
              <w:t>,</w:t>
            </w:r>
            <w:r>
              <w:t xml:space="preserve"> Norway </w:t>
            </w:r>
            <w:r>
              <w:rPr>
                <w:b/>
                <w:i/>
              </w:rPr>
              <w:t>and Canada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Underlines that third countries which act against the security and defence interests of the Union and its Member States, directly threaten the sovereignty of EU Member States, do not respect international law or occupy part of their territory cannot participate in EU defence industrial programmes and projects, or in any future European security and defence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Stresses that any participation of the Commission in such a council would not only upset the institutional balance established by the Treaties, but also make it less coherent and effective;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Stresses that </w:t>
            </w:r>
            <w:r>
              <w:rPr>
                <w:b/>
                <w:i/>
              </w:rPr>
              <w:t>NATO’s</w:t>
            </w:r>
            <w:r>
              <w:t xml:space="preserve"> European pillar</w:t>
            </w:r>
            <w:r>
              <w:rPr>
                <w:b/>
                <w:i/>
              </w:rPr>
              <w:t>, while fully embedded in NATO, must be conceived as ‘separable but not</w:t>
            </w:r>
            <w:r>
              <w:t xml:space="preserve"> separate</w:t>
            </w:r>
            <w:r>
              <w:rPr>
                <w:b/>
                <w:i/>
              </w:rPr>
              <w:t>’, yet structured so that Europeans can plan,</w:t>
            </w:r>
            <w:r>
              <w:t xml:space="preserve"> command </w:t>
            </w:r>
            <w:r>
              <w:rPr>
                <w:b/>
                <w:i/>
              </w:rPr>
              <w:t>and sustain a major operation on the continent autonomously</w:t>
            </w:r>
            <w:r>
              <w:t>;</w:t>
            </w:r>
          </w:p>
        </w:tc>
        <w:tc>
          <w:tcPr>
            <w:tcW w:w="4876" w:type="dxa"/>
            <w:tcBorders>
              <w:top w:val="nil"/>
              <w:left w:val="nil"/>
              <w:bottom w:val="nil"/>
              <w:right w:val="nil"/>
            </w:tcBorders>
          </w:tcPr>
          <w:p>
            <w:pPr>
              <w:pStyle w:val="Normal6a"/>
            </w:pPr>
            <w:r>
              <w:t>36.</w:t>
            </w:r>
            <w:r>
              <w:tab/>
            </w:r>
            <w:r>
              <w:t xml:space="preserve">Stresses that </w:t>
            </w:r>
            <w:r>
              <w:rPr>
                <w:b/>
                <w:i/>
              </w:rPr>
              <w:t>NATO remains the framework for the collective defence of its European members and that the strengthening of its</w:t>
            </w:r>
            <w:r>
              <w:t xml:space="preserve"> European pillar </w:t>
            </w:r>
            <w:r>
              <w:rPr>
                <w:b/>
                <w:i/>
              </w:rPr>
              <w:t>is to be achieved through national capabilities, forces and funding made available to the Alliance, and not through</w:t>
            </w:r>
            <w:r>
              <w:t xml:space="preserve"> separate </w:t>
            </w:r>
            <w:r>
              <w:rPr>
                <w:b/>
                <w:i/>
              </w:rPr>
              <w:t>Union planning and</w:t>
            </w:r>
            <w:r>
              <w:t xml:space="preserve"> command </w:t>
            </w:r>
            <w:r>
              <w:rPr>
                <w:b/>
                <w:i/>
              </w:rPr>
              <w:t>structures; rejects any duplication of Supreme Headquarters Allied Powers Europe and of the NATO command structure</w:t>
            </w:r>
            <w:r>
              <w:t xml:space="preserve">; </w:t>
            </w:r>
            <w:r>
              <w:rPr>
                <w:b/>
                <w:i/>
              </w:rPr>
              <w:t>recalls that command over national armed forces remains with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w:t>
            </w:r>
            <w:r>
              <w:rPr>
                <w:b/>
                <w:i/>
              </w:rPr>
              <w:t>, while fully embedded in NATO, must be conceived as ‘separable but not separate’, yet structured so that</w:t>
            </w:r>
            <w:r>
              <w:t xml:space="preserve"> Europeans </w:t>
            </w:r>
            <w:r>
              <w:rPr>
                <w:b/>
                <w:i/>
              </w:rPr>
              <w:t>can</w:t>
            </w:r>
            <w:r>
              <w:t xml:space="preserve"> plan, command and sustain </w:t>
            </w:r>
            <w:r>
              <w:rPr>
                <w:b/>
                <w:i/>
              </w:rPr>
              <w:t>a</w:t>
            </w:r>
            <w:r>
              <w:t xml:space="preserve"> major </w:t>
            </w:r>
            <w:r>
              <w:rPr>
                <w:b/>
                <w:i/>
              </w:rPr>
              <w:t>operation on the continent autonomously</w:t>
            </w:r>
            <w:r>
              <w:t>;</w:t>
            </w:r>
          </w:p>
        </w:tc>
        <w:tc>
          <w:tcPr>
            <w:tcW w:w="4876" w:type="dxa"/>
            <w:tcBorders>
              <w:top w:val="nil"/>
              <w:left w:val="nil"/>
              <w:bottom w:val="nil"/>
              <w:right w:val="nil"/>
            </w:tcBorders>
          </w:tcPr>
          <w:p>
            <w:pPr>
              <w:pStyle w:val="Normal6a"/>
            </w:pPr>
            <w:r>
              <w:t>36.</w:t>
            </w:r>
            <w:r>
              <w:tab/>
            </w:r>
            <w:r>
              <w:t xml:space="preserve">Stresses that NATO’s European pillar </w:t>
            </w:r>
            <w:r>
              <w:rPr>
                <w:b/>
                <w:i/>
              </w:rPr>
              <w:t>should strengthen Europe’s contribution to collective defence within the existing EU and NATO frameworks and enable</w:t>
            </w:r>
            <w:r>
              <w:t xml:space="preserve"> Europeans </w:t>
            </w:r>
            <w:r>
              <w:rPr>
                <w:b/>
                <w:i/>
              </w:rPr>
              <w:t>to assume greater responsibility, including by being able to</w:t>
            </w:r>
            <w:r>
              <w:t xml:space="preserve"> plan, command and sustain major </w:t>
            </w:r>
            <w:r>
              <w:rPr>
                <w:b/>
                <w:i/>
              </w:rPr>
              <w:t>operations with greater operational autonomy; calls for greater convergence between the NATO Defence Planning Process and relevant EU capability-development and defence-industrial instruments, so that NATO requirements and EU efforts on joint capabilities and procurement are mutually reinforcing</w:t>
            </w:r>
            <w:r>
              <w:t xml:space="preserve">; </w:t>
            </w:r>
            <w:r>
              <w:rPr>
                <w:b/>
                <w:i/>
              </w:rPr>
              <w:t>stresses that this should reduce European dependencies, avoid unnecessary duplication and remain open to relevant European Allies that are not members of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w:t>
            </w:r>
            <w:r>
              <w:rPr>
                <w:b/>
                <w:i/>
              </w:rPr>
              <w:t>, while fully embedded in NATO, must be conceived as ‘separable but not separate’, yet structured so that</w:t>
            </w:r>
            <w:r>
              <w:t xml:space="preserve"> Europeans </w:t>
            </w:r>
            <w:r>
              <w:rPr>
                <w:b/>
                <w:i/>
              </w:rPr>
              <w:t>can plan</w:t>
            </w:r>
            <w:r>
              <w:t xml:space="preserve">, command </w:t>
            </w:r>
            <w:r>
              <w:rPr>
                <w:b/>
                <w:i/>
              </w:rPr>
              <w:t>and sustain a major operation on the continent autonomously</w:t>
            </w:r>
            <w:r>
              <w:t>;</w:t>
            </w:r>
          </w:p>
        </w:tc>
        <w:tc>
          <w:tcPr>
            <w:tcW w:w="4876" w:type="dxa"/>
            <w:tcBorders>
              <w:top w:val="nil"/>
              <w:left w:val="nil"/>
              <w:bottom w:val="nil"/>
              <w:right w:val="nil"/>
            </w:tcBorders>
          </w:tcPr>
          <w:p>
            <w:pPr>
              <w:pStyle w:val="Normal6a"/>
            </w:pPr>
            <w:r>
              <w:t>36.</w:t>
            </w:r>
            <w:r>
              <w:tab/>
            </w:r>
            <w:r>
              <w:t xml:space="preserve">Stresses that </w:t>
            </w:r>
            <w:r>
              <w:rPr>
                <w:b/>
                <w:i/>
              </w:rPr>
              <w:t>stronger European capabilities should reinforce</w:t>
            </w:r>
            <w:r>
              <w:t xml:space="preserve"> NATO’s European pillar </w:t>
            </w:r>
            <w:r>
              <w:rPr>
                <w:b/>
                <w:i/>
              </w:rPr>
              <w:t>and fairer burden-sharing within the Alliance; recalls that NATO remains the basis of collective defence for its members; supports</w:t>
            </w:r>
            <w:r>
              <w:t xml:space="preserve"> Europeans</w:t>
            </w:r>
            <w:r>
              <w:rPr>
                <w:b/>
                <w:i/>
              </w:rPr>
              <w:t>’ ability to undertake operations where necessary through nationally authorised contributions and appropriate agreed arrangements</w:t>
            </w:r>
            <w:r>
              <w:t xml:space="preserve">, </w:t>
            </w:r>
            <w:r>
              <w:rPr>
                <w:b/>
                <w:i/>
              </w:rPr>
              <w:t>including existing NATO mechanisms where available; warns against duplicating</w:t>
            </w:r>
            <w:r>
              <w:t xml:space="preserve"> command </w:t>
            </w:r>
            <w:r>
              <w:rPr>
                <w:b/>
                <w:i/>
              </w:rPr>
              <w:t>structures or diverting scarce resources from operational capabilities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Stresses that </w:t>
            </w:r>
            <w:r>
              <w:rPr>
                <w:b/>
                <w:i/>
              </w:rPr>
              <w:t>NATO’s</w:t>
            </w:r>
            <w:r>
              <w:t xml:space="preserve"> European pillar</w:t>
            </w:r>
            <w:r>
              <w:rPr>
                <w:b/>
                <w:i/>
              </w:rPr>
              <w:t>, while</w:t>
            </w:r>
            <w:r>
              <w:t xml:space="preserve"> fully embedded in NATO</w:t>
            </w:r>
            <w:r>
              <w:rPr>
                <w:b/>
                <w:i/>
              </w:rPr>
              <w:t>, must be conceived as ‘separable but not separate’, yet structured so that</w:t>
            </w:r>
            <w:r>
              <w:t xml:space="preserve"> Europeans </w:t>
            </w:r>
            <w:r>
              <w:rPr>
                <w:b/>
                <w:i/>
              </w:rPr>
              <w:t>can</w:t>
            </w:r>
            <w:r>
              <w:t xml:space="preserve"> plan, command and sustain </w:t>
            </w:r>
            <w:r>
              <w:rPr>
                <w:b/>
                <w:i/>
              </w:rPr>
              <w:t>a</w:t>
            </w:r>
            <w:r>
              <w:t xml:space="preserve"> major </w:t>
            </w:r>
            <w:r>
              <w:rPr>
                <w:b/>
                <w:i/>
              </w:rPr>
              <w:t>operation</w:t>
            </w:r>
            <w:r>
              <w:t xml:space="preserve"> on the continent </w:t>
            </w:r>
            <w:r>
              <w:rPr>
                <w:b/>
                <w:i/>
              </w:rPr>
              <w:t>autonomously</w:t>
            </w:r>
            <w:r>
              <w:t>;</w:t>
            </w:r>
          </w:p>
        </w:tc>
        <w:tc>
          <w:tcPr>
            <w:tcW w:w="4876" w:type="dxa"/>
            <w:tcBorders>
              <w:top w:val="nil"/>
              <w:left w:val="nil"/>
              <w:bottom w:val="nil"/>
              <w:right w:val="nil"/>
            </w:tcBorders>
          </w:tcPr>
          <w:p>
            <w:pPr>
              <w:pStyle w:val="Normal6a"/>
            </w:pPr>
            <w:r>
              <w:t>36.</w:t>
            </w:r>
            <w:r>
              <w:tab/>
            </w:r>
            <w:r>
              <w:t xml:space="preserve">Stresses that </w:t>
            </w:r>
            <w:r>
              <w:rPr>
                <w:b/>
                <w:i/>
              </w:rPr>
              <w:t>a stronger</w:t>
            </w:r>
            <w:r>
              <w:t xml:space="preserve"> European pillar </w:t>
            </w:r>
            <w:r>
              <w:rPr>
                <w:b/>
                <w:i/>
              </w:rPr>
              <w:t>must remain</w:t>
            </w:r>
            <w:r>
              <w:t xml:space="preserve"> fully embedded in NATO </w:t>
            </w:r>
            <w:r>
              <w:rPr>
                <w:b/>
                <w:i/>
              </w:rPr>
              <w:t>and strengthen the Alliance as a whole; underlines that greater European responsibility for defence should enhance NATO’s collective deterrence and defence, including</w:t>
            </w:r>
            <w:r>
              <w:t xml:space="preserve"> Europeans</w:t>
            </w:r>
            <w:r>
              <w:rPr>
                <w:b/>
                <w:i/>
              </w:rPr>
              <w:t>’ ability to</w:t>
            </w:r>
            <w:r>
              <w:t xml:space="preserve"> plan, command and sustain major </w:t>
            </w:r>
            <w:r>
              <w:rPr>
                <w:b/>
                <w:i/>
              </w:rPr>
              <w:t>operations</w:t>
            </w:r>
            <w:r>
              <w:t xml:space="preserve"> on the continent</w:t>
            </w:r>
            <w:r>
              <w:rPr>
                <w:b/>
                <w:i/>
              </w:rPr>
              <w:t>, while preserving NATO’s integrated command structure, avoiding unnecessary duplication and ensuring a strong and lasting US military engagement in European security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Stresses that NATO’s European pillar, while fully embedded in NATO, must be conceived as </w:t>
            </w:r>
            <w:r>
              <w:rPr>
                <w:b/>
                <w:i/>
              </w:rPr>
              <w:t>‘separable but not separate’, yet</w:t>
            </w:r>
            <w:r>
              <w:t xml:space="preserve">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 xml:space="preserve">Stresses </w:t>
            </w:r>
            <w:r>
              <w:rPr>
                <w:b/>
                <w:i/>
              </w:rPr>
              <w:t>that NATO remains the cornerstone of our European defence and</w:t>
            </w:r>
            <w:r>
              <w:t xml:space="preserve"> that NATO's European pillar, while fully embedded in NATO, must be conceived as </w:t>
            </w:r>
            <w:r>
              <w:rPr>
                <w:b/>
                <w:i/>
              </w:rPr>
              <w:t>a responsible and complementary European contribution to allied collective security,</w:t>
            </w:r>
            <w:r>
              <w:t xml:space="preserve"> structured so that Europeans can plan, command and sustain a major operation on the continent autonomously </w:t>
            </w:r>
            <w:r>
              <w:rPr>
                <w:b/>
                <w:i/>
              </w:rPr>
              <w:t>where the Alliance as whole is not engaged</w:t>
            </w:r>
            <w:r>
              <w:t xml:space="preserve">; </w:t>
            </w:r>
            <w:r>
              <w:rPr>
                <w:b/>
                <w:i/>
              </w:rPr>
              <w:t>underlines that this requires a fully fledged European command and control capability, and calls for the Military Planning and Conduct Capability to be developed into a permanent headquarters able to plan, command and conduct operations at the strategic, operational and tactical levels, with reinforced staffing, secure infrastructure and an integrated civilian-military interface, while avoiding unnecessary duplication with NATO's Supreme Headquarters Allied Powers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Stresses </w:t>
            </w:r>
            <w:r>
              <w:rPr>
                <w:b/>
                <w:i/>
              </w:rPr>
              <w:t>that NATO’s</w:t>
            </w:r>
            <w:r>
              <w:t xml:space="preserve"> European pillar, while </w:t>
            </w:r>
            <w:r>
              <w:rPr>
                <w:b/>
                <w:i/>
              </w:rPr>
              <w:t>fully embedded in NATO, must be conceived as ‘separable but not separate’, yet structured so that Europeans can plan, command and sustain a major operation on the continent autonomously</w:t>
            </w:r>
            <w:r>
              <w:t>;</w:t>
            </w:r>
          </w:p>
        </w:tc>
        <w:tc>
          <w:tcPr>
            <w:tcW w:w="4876" w:type="dxa"/>
            <w:tcBorders>
              <w:top w:val="nil"/>
              <w:left w:val="nil"/>
              <w:bottom w:val="nil"/>
              <w:right w:val="nil"/>
            </w:tcBorders>
          </w:tcPr>
          <w:p>
            <w:pPr>
              <w:pStyle w:val="Normal6a"/>
            </w:pPr>
            <w:r>
              <w:t>36.</w:t>
            </w:r>
            <w:r>
              <w:tab/>
            </w:r>
            <w:r>
              <w:t xml:space="preserve">Stresses </w:t>
            </w:r>
            <w:r>
              <w:rPr>
                <w:b/>
                <w:i/>
              </w:rPr>
              <w:t>the importance of strengthening the</w:t>
            </w:r>
            <w:r>
              <w:t xml:space="preserve"> European pillar </w:t>
            </w:r>
            <w:r>
              <w:rPr>
                <w:b/>
                <w:i/>
              </w:rPr>
              <w:t>within NATO in order to build a stronger and more balanced Alliance, avoid unnecessary duplication of structures and capabilities, fill existing capability gaps and enhance interoperability</w:t>
            </w:r>
            <w:r>
              <w:t xml:space="preserve">, while </w:t>
            </w:r>
            <w:r>
              <w:rPr>
                <w:b/>
                <w:i/>
              </w:rPr>
              <w:t>enabling European Allies to assume a greater share of the conventional defence of Europe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Stresses that </w:t>
            </w:r>
            <w:r>
              <w:rPr>
                <w:b/>
                <w:i/>
              </w:rPr>
              <w:t>NATO’s</w:t>
            </w:r>
            <w:r>
              <w:t xml:space="preserve"> European pillar</w:t>
            </w:r>
            <w:r>
              <w:rPr>
                <w:b/>
                <w:i/>
              </w:rPr>
              <w:t>, while</w:t>
            </w:r>
            <w:r>
              <w:t xml:space="preserve"> fully embedded </w:t>
            </w:r>
            <w:r>
              <w:rPr>
                <w:b/>
                <w:i/>
              </w:rPr>
              <w:t>in NATO, must be conceived as ‘separable but not separate’, yet structured so that Europeans can</w:t>
            </w:r>
            <w:r>
              <w:t xml:space="preserve"> plan, command and sustain </w:t>
            </w:r>
            <w:r>
              <w:rPr>
                <w:b/>
                <w:i/>
              </w:rPr>
              <w:t>a</w:t>
            </w:r>
            <w:r>
              <w:t xml:space="preserve"> major </w:t>
            </w:r>
            <w:r>
              <w:rPr>
                <w:b/>
                <w:i/>
              </w:rPr>
              <w:t>operation on the continent autonomously</w:t>
            </w:r>
            <w:r>
              <w:t>;</w:t>
            </w:r>
          </w:p>
        </w:tc>
        <w:tc>
          <w:tcPr>
            <w:tcW w:w="4876" w:type="dxa"/>
            <w:tcBorders>
              <w:top w:val="nil"/>
              <w:left w:val="nil"/>
              <w:bottom w:val="nil"/>
              <w:right w:val="nil"/>
            </w:tcBorders>
          </w:tcPr>
          <w:p>
            <w:pPr>
              <w:pStyle w:val="Normal6a"/>
            </w:pPr>
            <w:r>
              <w:t>36.</w:t>
            </w:r>
            <w:r>
              <w:tab/>
            </w:r>
            <w:r>
              <w:t xml:space="preserve">Stresses that </w:t>
            </w:r>
            <w:r>
              <w:rPr>
                <w:b/>
                <w:i/>
              </w:rPr>
              <w:t>a stronger</w:t>
            </w:r>
            <w:r>
              <w:t xml:space="preserve"> European pillar </w:t>
            </w:r>
            <w:r>
              <w:rPr>
                <w:b/>
                <w:i/>
              </w:rPr>
              <w:t>must remain</w:t>
            </w:r>
            <w:r>
              <w:t xml:space="preserve"> fully embedded </w:t>
            </w:r>
            <w:r>
              <w:rPr>
                <w:b/>
                <w:i/>
              </w:rPr>
              <w:t>within NATO and be complementary to, rather than duplicative of, NATO structures; supports enabling European Allies, where necessary, to</w:t>
            </w:r>
            <w:r>
              <w:t xml:space="preserve"> plan, command and sustain major </w:t>
            </w:r>
            <w:r>
              <w:rPr>
                <w:b/>
                <w:i/>
              </w:rPr>
              <w:t>operations while remaining interoperable with NATO command structures and preserving the Alliance’s collective defence responsibilities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 xml:space="preserve">Stresses that NATO’s European pillar, while fully embedded in NATO, must be conceived as ‘separable but not separate’, yet structured so that Europeans can plan, command and sustain a major operation on the continent autonomously; </w:t>
            </w:r>
            <w:r>
              <w:rPr>
                <w:b/>
                <w:i/>
              </w:rPr>
              <w:t>stresses that ‘burden-sharing’ and Member States taking responsibility for their own security within the autonomous European pillar must also give rise to a distribution of command posts that is more balanced in favour of Europeans;</w:t>
            </w:r>
            <w:r>
              <w:t xml:space="preserve"> </w:t>
            </w:r>
            <w:r>
              <w:rPr>
                <w:b/>
                <w:i/>
              </w:rPr>
              <w:t>stresses that the autonomous European pillar within NATO requires not only a quantitative increase in the military capabilities of each Member State, but also a greater qualitative effort, in particular through enhanced participation in NATO exercises and operations, with a view to upgrading the combat, logistical and command capabilities of the Member States’ armed forces;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r>
              <w:rPr>
                <w:b/>
                <w:i/>
              </w:rPr>
              <w:t> considers that this requires both reliable access to NATO assets and command structures, including under the Berlin Plus arrangements, and fully fledged EU command-and-control capabilities; reiterates its call to develop the Military Planning and Conduct Capability and the EU Military Staff into a permanent operational headquarters capable of planning, commanding and conducting autonomous EU operations, including in support of Article 42(7) TEU, with adequate staffing, secure infrastructure and sovereign C2 systems, while avoiding unnecessary duplication with SHAPE;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Stresses that NATO’s European pillar, while fully embedded in NATO, must be conceived as ‘separable but not separate’, yet structured </w:t>
            </w:r>
            <w:r>
              <w:rPr>
                <w:b/>
                <w:i/>
              </w:rPr>
              <w:t>so that</w:t>
            </w:r>
            <w:r>
              <w:t xml:space="preserve"> Europeans </w:t>
            </w:r>
            <w:r>
              <w:rPr>
                <w:b/>
                <w:i/>
              </w:rPr>
              <w:t>can</w:t>
            </w:r>
            <w:r>
              <w:t xml:space="preserve"> plan, command and sustain a major operation on the continent autonomously;</w:t>
            </w:r>
          </w:p>
        </w:tc>
        <w:tc>
          <w:tcPr>
            <w:tcW w:w="4876" w:type="dxa"/>
            <w:tcBorders>
              <w:top w:val="nil"/>
              <w:left w:val="nil"/>
              <w:bottom w:val="nil"/>
              <w:right w:val="nil"/>
            </w:tcBorders>
          </w:tcPr>
          <w:p>
            <w:pPr>
              <w:pStyle w:val="Normal6a"/>
            </w:pPr>
            <w:r>
              <w:t>36.</w:t>
            </w:r>
            <w:r>
              <w:tab/>
            </w:r>
            <w:r>
              <w:t xml:space="preserve">Stresses that NATO’s European pillar, while fully embedded in NATO, must be conceived as ‘separable but not separate’, yet structured </w:t>
            </w:r>
            <w:r>
              <w:rPr>
                <w:b/>
                <w:i/>
              </w:rPr>
              <w:t>in a manner that must enable</w:t>
            </w:r>
            <w:r>
              <w:t xml:space="preserve"> Europeans </w:t>
            </w:r>
            <w:r>
              <w:rPr>
                <w:b/>
                <w:i/>
              </w:rPr>
              <w:t>to</w:t>
            </w:r>
            <w:r>
              <w:t xml:space="preserve"> plan, command and sustain a major operation on the continent autonomously; </w:t>
            </w:r>
            <w:r>
              <w:rPr>
                <w:b/>
                <w:i/>
              </w:rPr>
              <w:t>calls for the establishment of a permanent and autonomous European military headquarters, complementary to NATO’s command structures and constituting a second planning and command capability, capable of preparing, planning and conducting a war or a high-intensity operation;</w:t>
            </w:r>
            <w:r>
              <w:t xml:space="preserve"> </w:t>
            </w:r>
            <w:r>
              <w:rPr>
                <w:b/>
                <w:i/>
              </w:rPr>
              <w:t>stresses that this headquarters must rely on the authority of the participating states, fully respect their sovereignty over their armed forces, and must use technological and digital tools designed and produced within the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 xml:space="preserve">Stresses that NATO’s European pillar, while fully embedded in NATO, must be conceived as ‘separable but not separate’, yet structured so that Europeans can plan, command and sustain a major operation on the continent autonomously </w:t>
            </w:r>
            <w:r>
              <w:rPr>
                <w:b/>
                <w:i/>
              </w:rPr>
              <w:t>should an ally be unwilling or unavailable to act without depending on Third State’s controlled enablers, components, export licences and command-and-control software</w:t>
            </w:r>
            <w:r>
              <w:t xml:space="preserve">; </w:t>
            </w:r>
            <w:r>
              <w:rPr>
                <w:b/>
                <w:i/>
              </w:rPr>
              <w:t>underlines that it further requires prioritising the readiness of forces available at short notice over sheer mass, and converting EU financing into delivered capability through Readiness 2030 coherently with NATO NDPP;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 xml:space="preserve">Stresses that NATO’s European pillar, while fully embedded in NATO, must be conceived as ‘separable but not separate’, yet structured so that Europeans can plan, command and sustain a major operation on the continent autonomously; </w:t>
            </w:r>
            <w:r>
              <w:rPr>
                <w:b/>
                <w:i/>
              </w:rPr>
              <w:t>stresses that EU- NATO relation is based on the principles of inclusiveness, reciprocity, mutual openness and transparency, in compliance with the decision-making autonomy and procedures of our respective organisations and without prejudice to the specific character of the foreign and security policy of any of our members;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r>
              <w:rPr>
                <w:b/>
                <w:i/>
              </w:rPr>
              <w:t> stresses that the development of stronger European capabilities must remain fully interoperable with NATO standards, defence planning and command structures, and should avoid unnecessary duplication while strengthening the European pillar of the Alliance;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 xml:space="preserve">Stresses that NATO’s European pillar, while fully embedded in NATO, must be conceived as ‘separable but not separate’, yet structured so that Europeans can plan, command and sustain a major operation on the continent autonomously; </w:t>
            </w:r>
            <w:r>
              <w:rPr>
                <w:b/>
                <w:i/>
              </w:rPr>
              <w:t>taking into account the personnel resources available within national armed forces when designing new structures, so as to ensure that such structures do not weaken NATO or national military command structures;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r>
              <w:rPr>
                <w:b/>
                <w:i/>
              </w:rPr>
              <w:t>, while fully respecting the specific character of the security and defence policy of certain Member States and their respective constitutional requirements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p>
        </w:tc>
        <w:tc>
          <w:tcPr>
            <w:tcW w:w="4876" w:type="dxa"/>
            <w:tcBorders>
              <w:top w:val="nil"/>
              <w:left w:val="nil"/>
              <w:bottom w:val="nil"/>
              <w:right w:val="nil"/>
            </w:tcBorders>
          </w:tcPr>
          <w:p>
            <w:pPr>
              <w:pStyle w:val="Normal6a"/>
            </w:pPr>
            <w:r>
              <w:t>36.</w:t>
            </w:r>
            <w:r>
              <w:tab/>
            </w:r>
            <w:r>
              <w:t>Stresses that NATO’s European pillar, while fully embedded in NATO, must be conceived as ‘separable but not separate’, yet structured so that Europeans can plan, command and sustain a major operation on the continent autonomously</w:t>
            </w:r>
            <w:r>
              <w:rPr>
                <w:b/>
                <w:i/>
              </w:rPr>
              <w:t>, while avoiding duplication with NATO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Geadis Geadi, 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recalls that, under Article 42(7) TEU, if a Member State is the victim of armed aggression on its territory, the other Member States have towards it an obligation of aid and assistance by all the means in their power; notes that the clause has been invoked only once, in 2015, and that its operational dimension remains insufficiently defined; calls on the VP/HR, the Council and the Commission to draw up, by the end of 2027, a roadmap for the activation of Article 42(7) TEU, which should set out: (a) the procedure and timelines from activation to the delivery of assistance; (b) the role of the EU institutions, the EEAS and the MPCC in coordinating assistance; (c) the relationship between the clause and Article 5 of the North Atlantic Treaty, in particular for Member States that are not members of NATO; (d) predefined scenarios, including hybrid attacks and attacks against critical infrastructure; and (e) regular joint exercises;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Urges the Union and its Member States to transform the mutual assistance clause of Article 42(7) TEU into an operational guarantee backed by a comprehensive doctrine, with clear political and operational procedures for its activation; welcomes the relevant initiatives by the HR/VP; stresses that the EU must be able to act autonomously in the event of its activation; calls for priority to be given to scenarios of large-scale hybrid aggression, while ensuring that processes to respond to territorial aggression are in place before 2030; insists on a clearly defined role for all EU institutions, including Parliament, to ensure democratic accountability and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Notes that European defence cooperation has to date been pursued largely through NATO, and considers that the current security environment requires Member States to pool and integrate their defence efforts within the Union framework as well, beyond the traditional security architecture; considers that the initiative of progressively moving towards a European Defence Union (EDU) as a framework can serve as a platform for this, eventually covering common defence, governance, financing and decision-making and capable of absorbing Ukraine's accession and associating the Union's non-EU security and defence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Underlines that the United States has so far remained the Union’s most important strategic ally and that NATO remains the cornerstone of collective defence for its members; calls for further progress in EU-NATO cooperation, including intelligence and information sharing, interoperable C2 systems, alignment with NATO standards and joint exercises; calls for contingency planning in the event of a rapid withdrawal of US troops from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Urges the EU and its Member States to define the operational procedures and mechanisms applicable in the event of a Member State invoking Article 42(7) TEU, to ensure coherence with NATO equivalents and to carry out routine exercises for such scenarios, so that the mutual assistance clause constitutes a credible layer of European deterrence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Recognises that decisions under the common security and defence policy, including those having military or defence implications, are taken by unanimity pursuant to Articles 31(4) and 42(4) TEU, which serves to ensure that the legitimate concerns of all Member States are addressed; considers, however, that the Union's capacity to act in security and defence must not be undermined by the persistent obstruction of a single Member State; calls, therefore, for full use of the flexibility already provided for by the Treaties, including constructive abstention under Article 31(1) TEU, the entrusting of tasks to a group of Member States under Article 44 TEU and qualified majority voting where the Treaties already provide for it, notably for decisions on permanent structured cooperation under Article 46 TEU; stresses that permanent structured cooperation, so far used mainly for capability development and industrial projects, has a broader potential to allow willing Member States to move forward towards a common defence without requiring unanimity among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Geadis Geadi, 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underlines that the obligation of aid and assistance under Article 42(7) TEU arises from the very fact of armed aggression; calls on the European Council and the Member States to explore ways to ensure that, in the event of armed aggression against a Member State, the clause is applied automatically, without requiring a prior formal request from the Member State concerned, including by means of a relevant European Council decision or declaration;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Considers also that pursuing EDU can allow Member States to better consolidate demand through common procurement, create multinational formations with pre-assigned forces, jointly finance and operate capabilities that no single Member State can afford, and co-invest in strategic projects such as the European Defence Projects of Common Interest, so that Europe's usable military capacity grows faster than the number of national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Reiterates its call for the use of qualified majority voting in the common foreign and security policy wherever the Treaties allow, including through the passerelle clause of Article 31(3) TEU, and for a wider use of constructive abstention under Article 31(1)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Supports, within this framework, the operationalisation of Article 42(7) TEU, including through a playbook of graduated responses and regular exercises, the creation of new instruments for the joint purchase of capabilities and strategic enablers, and joint efforts by interested Member States, together with existing multinational formations and in association with Ukraine, to generate high-readiness forces contributing to NATO's New Force Model; stresses that all such efforts must be complementary to NATO, in particular as regards command structures, and must complement, not replace, national armed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Notes that the initial phase of permanent structured cooperation ended in 2025 and that a new phase runs from 2026 to 2030; regrets that PESCO has so far fallen short of its potential, not least because of the uneven fulfilment of the more binding commitments by participating Member States; calls for PESCO to be used beyond capability development, including for operational cooperation in command and control, secure military communications and space-based intelligence, surveillance and reconnaissance, in coordination with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Welcomes the continued expansion of the EU’s network of tailored bilateral security and defence partnerships, which now cover 12 partners; notes that six such partnerships were concluded in 2025 and 2026 alone;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Welcomes the continued expansion of the EU’s network of tailored bilateral security and defence partnerships, which now cover 12 partners; notes that six such partnerships were concluded in 2025 and 2026 alone;</w:t>
            </w:r>
          </w:p>
        </w:tc>
        <w:tc>
          <w:tcPr>
            <w:tcW w:w="4876" w:type="dxa"/>
            <w:tcBorders>
              <w:top w:val="nil"/>
              <w:left w:val="nil"/>
              <w:bottom w:val="nil"/>
              <w:right w:val="nil"/>
            </w:tcBorders>
          </w:tcPr>
          <w:p>
            <w:pPr>
              <w:pStyle w:val="Normal6a"/>
            </w:pPr>
            <w:r>
              <w:t>37.</w:t>
            </w:r>
            <w:r>
              <w:tab/>
            </w:r>
            <w:r>
              <w:t>Welcomes the continued expansion of the EU’s network of tailored bilateral security and defence partnerships, which now cover 12 partners; notes that six such partnerships were concluded in 2025 and 2026 alone</w:t>
            </w:r>
            <w:r>
              <w:rPr>
                <w:b/>
                <w:i/>
              </w:rPr>
              <w:t>, reflecting both the diversification of the Union’s partners and the growing appeal of association with EU Defense initiatives: welcomes, of particular significance, the partnership signed with the United Kingdom on 19 May 2025 which sets up a structured framework for security and Defense cooperation</w:t>
            </w:r>
            <w:r>
              <w:t xml:space="preserve">; </w:t>
            </w:r>
            <w:r>
              <w:rPr>
                <w:b/>
                <w:i/>
              </w:rPr>
              <w:t>welcomes the partnership with Canada signed on 23 June 2025, which places explicit emphasis on continued support to Ukraine, on maritime and space security and on -industrial cooperation via SAFE; welcomes the partnership signed with India on 27 January 2026 centred on maritime security, cyber, emerging and disruptive technologies and space, together with those concluded with Iceland and Australia on 18 March 2026, consolidating cooperation respectively in the North Atlantic and Arctic and across the Indo-Pacific; notes the partnership signed with Ghana on 24 March 2026, including on maritime security in the Gulf of Guinea;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Welcomes the continued expansion of the EU’s network of tailored bilateral security and defence partnerships, which now cover 12 partners; notes that six such partnerships were concluded in 2025 and 2026 alone;</w:t>
            </w:r>
          </w:p>
        </w:tc>
        <w:tc>
          <w:tcPr>
            <w:tcW w:w="4876" w:type="dxa"/>
            <w:tcBorders>
              <w:top w:val="nil"/>
              <w:left w:val="nil"/>
              <w:bottom w:val="nil"/>
              <w:right w:val="nil"/>
            </w:tcBorders>
          </w:tcPr>
          <w:p>
            <w:pPr>
              <w:pStyle w:val="Normal6a"/>
            </w:pPr>
            <w:r>
              <w:t>37.</w:t>
            </w:r>
            <w:r>
              <w:tab/>
            </w:r>
            <w:r>
              <w:t xml:space="preserve">Welcomes the continued expansion of the EU’s network of tailored bilateral security and defence partnerships, which now cover 12 partners; notes that six such partnerships were concluded in 2025 and 2026 alone; </w:t>
            </w:r>
            <w:r>
              <w:rPr>
                <w:b/>
                <w:i/>
              </w:rPr>
              <w:t>welcomes, in particular, the deepening of the EU-Canada Security and Defence Partnership and Canada’s participation in SAFE as a concrete example of closer cooperation with like-minded strategic partners; stresses that these partnerships should translate into concrete and mutually beneficial cooperation, including on capability development, interoperability, resilience, innovation and the reduction of strategic dependencies;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Welcomes the continued expansion of the EU’s network of tailored bilateral security and defence partnerships, which now cover 12 partners; notes that six such partnerships were concluded in 2025 and 2026 alone;</w:t>
            </w:r>
          </w:p>
        </w:tc>
        <w:tc>
          <w:tcPr>
            <w:tcW w:w="4876" w:type="dxa"/>
            <w:tcBorders>
              <w:top w:val="nil"/>
              <w:left w:val="nil"/>
              <w:bottom w:val="nil"/>
              <w:right w:val="nil"/>
            </w:tcBorders>
          </w:tcPr>
          <w:p>
            <w:pPr>
              <w:pStyle w:val="Normal6a"/>
            </w:pPr>
            <w:r>
              <w:t>37.</w:t>
            </w:r>
            <w:r>
              <w:tab/>
            </w:r>
            <w:r>
              <w:t xml:space="preserve">Welcomes the continued expansion of the EU’s network of tailored bilateral security and defence partnerships, which now cover 12 partners; notes that six such partnerships were concluded in 2025 and 2026 alone; </w:t>
            </w:r>
            <w:r>
              <w:rPr>
                <w:b/>
                <w:i/>
              </w:rPr>
              <w:t>insists that these partnerships be judged by their implementation and concrete deliverables; welcomes the agreement enabling Canada's participation in the SAFE instrument; regrets that the negotiations on the United Kingdom's participation in SAFE have not yet succeeded and calls for a balanced and mutually beneficial solution;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Welcomes the continued expansion of the EU’s network of tailored bilateral security and defence partnerships, which now cover 12 partners; notes that six such partnerships were concluded in 2025 and 2026 alone;</w:t>
            </w:r>
          </w:p>
        </w:tc>
        <w:tc>
          <w:tcPr>
            <w:tcW w:w="4876" w:type="dxa"/>
            <w:tcBorders>
              <w:top w:val="nil"/>
              <w:left w:val="nil"/>
              <w:bottom w:val="nil"/>
              <w:right w:val="nil"/>
            </w:tcBorders>
          </w:tcPr>
          <w:p>
            <w:pPr>
              <w:pStyle w:val="Normal6a"/>
            </w:pPr>
            <w:r>
              <w:t>37.</w:t>
            </w:r>
            <w:r>
              <w:tab/>
            </w:r>
            <w:r>
              <w:t xml:space="preserve">Welcomes the continued expansion of the EU’s network of tailored bilateral security and defence partnerships, which now cover 12 partners; notes that six such partnerships were concluded in 2025 and 2026 alone; </w:t>
            </w:r>
            <w:r>
              <w:rPr>
                <w:b/>
                <w:i/>
              </w:rPr>
              <w:t>stresses, however, that these partnerships must not compromise the resilience of industrial supply chains or make the Member States defence industries more dependent upon additional third countries;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Welcomes the continued expansion of the EU’s network of tailored bilateral security and defence partnerships, which now cover 12 partners; notes that six such partnerships were concluded in 2025 and 2026 alone;</w:t>
            </w:r>
          </w:p>
        </w:tc>
        <w:tc>
          <w:tcPr>
            <w:tcW w:w="4876" w:type="dxa"/>
            <w:tcBorders>
              <w:top w:val="nil"/>
              <w:left w:val="nil"/>
              <w:bottom w:val="nil"/>
              <w:right w:val="nil"/>
            </w:tcBorders>
          </w:tcPr>
          <w:p>
            <w:pPr>
              <w:pStyle w:val="Normal6a"/>
            </w:pPr>
            <w:r>
              <w:t>37.</w:t>
            </w:r>
            <w:r>
              <w:tab/>
            </w:r>
            <w:r>
              <w:t xml:space="preserve">Welcomes the continued expansion of the EU’s network of tailored bilateral security and defence partnerships, which now cover 12 partners; notes that six such partnerships were concluded in 2025 and 2026 alone </w:t>
            </w:r>
            <w:r>
              <w:rPr>
                <w:b/>
                <w:i/>
              </w:rPr>
              <w:t>and stresses that such partnerships should remain open to trusted democratic partners, including NATO Allies, irrespective of EU membership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Stresses the growing importance of security and defence convergence within the enlargement process; underlines that enlargement countries, while they may also remain security recipients, should progressively strengthen their role as contributors to the Union’s security, in line with their respective capacities, level of CFSP alignment and degree of integration into EU security and defence cooperation, including through participation in CSDP missions and operations and relevant EU defence instruments; calls for stronger EU coordination of bilateral defence initiatives with enlargement countries, including through joint planning and shared priorities, in order to avoid fragmentation and ensure their progressive convergence with the Union’s security and defence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Welcomes the deepening of security and defence cooperation with Japan, a like-minded partner and steadfast supporter of Ukraine, under the EU-Japan Security and Defence Partnership signed on 1 November 2024; calls for its swift operationalisation, in particular through enhanced cooperation on maritime security, cyber and space security, countering hybrid threats and foreign information manipulation and interference, and through joint exercises and practical cooperation with CSDP missions and operations, such as that already established with Operation Atalanta; encourages closer cooperation between European and Japanese defence industries, building on the Global Combat Air Programme jointly developed by Italy, the United Kingdom and Japan;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Stresses that the security of the Western Balkans is directly linked to the security of the Union; calls for the progressive involvement of candidate countries in relevant EU security and defence initiatives, where appropriate and in accordance with their alignment with the Union’s Common Foreign and Security Policy; supports deeper cooperation in defence industrial production, airspace protection, countering hybrid threats and strengthening the resilience of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Supports the operationalisation of the Black Sea Maritime Security Hub, jointly hosted by Romania and Bulgaria, which aims to improve real-time monitoring of maritime security developments and threats to critical maritime infrastructure and maritime traffic, facilitate structured information-sharing and analysis among participating states, as well as strengthen regional capacity to prevent, identify and counter complex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Nicolás Pascual de la Parte,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Calls for a substantial deepening of EU-NATO cooperation, including through regular high-level political and strategic dialogue and enhanced coordination on capability development, military mobility, exercises and defence planning, while ensuring coherence, complementarity and interoperability between both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Stresses that security and defence partnerships with third countries should be based on mutual interests, reciprocity and respect for the sovereignty, constitutional traditions and security interests of the respective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Remains concerned about </w:t>
            </w:r>
            <w:r>
              <w:rPr>
                <w:b/>
                <w:i/>
              </w:rPr>
              <w:t>Türkiye, a member of NATO, displaying ambiguous behaviour through</w:t>
            </w:r>
            <w:r>
              <w:t xml:space="preserve"> its continued challenges to the sovereignty and sovereign rights of EU Member States, </w:t>
            </w:r>
            <w:r>
              <w:rPr>
                <w:b/>
                <w:i/>
              </w:rPr>
              <w:t>first and foremost</w:t>
            </w:r>
            <w:r>
              <w:t xml:space="preserve"> the Republic of Cyprus and Greece;</w:t>
            </w:r>
          </w:p>
        </w:tc>
        <w:tc>
          <w:tcPr>
            <w:tcW w:w="4876" w:type="dxa"/>
            <w:tcBorders>
              <w:top w:val="nil"/>
              <w:left w:val="nil"/>
              <w:bottom w:val="nil"/>
              <w:right w:val="nil"/>
            </w:tcBorders>
          </w:tcPr>
          <w:p>
            <w:pPr>
              <w:pStyle w:val="Normal6a"/>
            </w:pPr>
            <w:r>
              <w:t>38.</w:t>
            </w:r>
            <w:r>
              <w:tab/>
            </w:r>
            <w:r>
              <w:rPr>
                <w:b/>
                <w:i/>
              </w:rPr>
              <w:t>Recognises Türkiye’s strategic and geopolitical importance, including as a NATO ally, and its substantial contribution to EU crisis management missions and operations under the CSDP; considers that pragmatic cooperation with Türkiye on security and defence can be strengthened where it serves mutual strategic interests;</w:t>
            </w:r>
            <w:r>
              <w:t xml:space="preserve"> remains concerned</w:t>
            </w:r>
            <w:r>
              <w:rPr>
                <w:b/>
                <w:i/>
              </w:rPr>
              <w:t>, however,</w:t>
            </w:r>
            <w:r>
              <w:t xml:space="preserve"> about </w:t>
            </w:r>
            <w:r>
              <w:rPr>
                <w:b/>
                <w:i/>
              </w:rPr>
              <w:t>Türkiye’s low level of alignment with the CFSP,</w:t>
            </w:r>
            <w:r>
              <w:t xml:space="preserve"> its continued </w:t>
            </w:r>
            <w:r>
              <w:rPr>
                <w:b/>
                <w:i/>
              </w:rPr>
              <w:t>exclusion of an EU Member State from cooperation with NATO and its</w:t>
            </w:r>
            <w:r>
              <w:t xml:space="preserve"> challenges to the sovereignty and sovereign rights of EU Member States, </w:t>
            </w:r>
            <w:r>
              <w:rPr>
                <w:b/>
                <w:i/>
              </w:rPr>
              <w:t>in particular</w:t>
            </w:r>
            <w:r>
              <w:t xml:space="preserve"> the Republic of Cyprus and Greece; </w:t>
            </w:r>
            <w:r>
              <w:rPr>
                <w:b/>
                <w:i/>
              </w:rPr>
              <w:t>stresses that closer security and defence cooperation requires the removal of obstacles that undermine trust among partners and allies;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Remains concerned about</w:t>
            </w:r>
            <w:r>
              <w:t xml:space="preserve"> Türkiye, </w:t>
            </w:r>
            <w:r>
              <w:rPr>
                <w:b/>
                <w:i/>
              </w:rPr>
              <w:t>a member of NATO, displaying ambiguous behaviour through its continued challenges to the sovereignty and sovereign rights of EU Member States,</w:t>
            </w:r>
            <w:r>
              <w:t xml:space="preserve"> first and foremost the Republic of Cyprus and Greece;</w:t>
            </w:r>
          </w:p>
        </w:tc>
        <w:tc>
          <w:tcPr>
            <w:tcW w:w="4876" w:type="dxa"/>
            <w:tcBorders>
              <w:top w:val="nil"/>
              <w:left w:val="nil"/>
              <w:bottom w:val="nil"/>
              <w:right w:val="nil"/>
            </w:tcBorders>
          </w:tcPr>
          <w:p>
            <w:pPr>
              <w:pStyle w:val="Normal6a"/>
            </w:pPr>
            <w:r>
              <w:t>38.</w:t>
            </w:r>
            <w:r>
              <w:tab/>
            </w:r>
            <w:r>
              <w:rPr>
                <w:b/>
                <w:i/>
              </w:rPr>
              <w:t>Calls on</w:t>
            </w:r>
            <w:r>
              <w:t xml:space="preserve"> Türkiye, </w:t>
            </w:r>
            <w:r>
              <w:rPr>
                <w:b/>
                <w:i/>
              </w:rPr>
              <w:t>as a NATO Ally and a key regional player, to contribute constructively to regional security and stability;</w:t>
            </w:r>
            <w:r>
              <w:t xml:space="preserve"> first and foremost the Republic of Cyprus and Greece; </w:t>
            </w:r>
            <w:r>
              <w:rPr>
                <w:b/>
                <w:i/>
              </w:rPr>
              <w:t>recognises Türkiye's important contribution to NATO and Euro-Atlantic security and calls for continued constructive dialogue between Türkiye, the EU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Remains concerned about Türkiye</w:t>
            </w:r>
            <w:r>
              <w:t xml:space="preserve">, a member of NATO, </w:t>
            </w:r>
            <w:r>
              <w:rPr>
                <w:b/>
                <w:i/>
              </w:rPr>
              <w:t>displaying ambiguous</w:t>
            </w:r>
            <w:r>
              <w:t xml:space="preserve"> behaviour through its continued challenges to the sovereignty and sovereign rights of EU Member States, first and foremost the Republic of Cyprus and Greece;</w:t>
            </w:r>
          </w:p>
        </w:tc>
        <w:tc>
          <w:tcPr>
            <w:tcW w:w="4876" w:type="dxa"/>
            <w:tcBorders>
              <w:top w:val="nil"/>
              <w:left w:val="nil"/>
              <w:bottom w:val="nil"/>
              <w:right w:val="nil"/>
            </w:tcBorders>
          </w:tcPr>
          <w:p>
            <w:pPr>
              <w:pStyle w:val="Normal6a"/>
            </w:pPr>
            <w:r>
              <w:t>38.</w:t>
            </w:r>
            <w:r>
              <w:tab/>
            </w:r>
            <w:r>
              <w:rPr>
                <w:b/>
                <w:i/>
              </w:rPr>
              <w:t>Regrets Türkiye's</w:t>
            </w:r>
            <w:r>
              <w:t xml:space="preserve">, a member of NATO, </w:t>
            </w:r>
            <w:r>
              <w:rPr>
                <w:b/>
                <w:i/>
              </w:rPr>
              <w:t>aggressive</w:t>
            </w:r>
            <w:r>
              <w:t xml:space="preserve"> behaviour </w:t>
            </w:r>
            <w:r>
              <w:rPr>
                <w:b/>
                <w:i/>
              </w:rPr>
              <w:t>against EU</w:t>
            </w:r>
            <w:r>
              <w:t xml:space="preserve"> through its continued challenges </w:t>
            </w:r>
            <w:r>
              <w:rPr>
                <w:b/>
                <w:i/>
              </w:rPr>
              <w:t>and violations</w:t>
            </w:r>
            <w:r>
              <w:t xml:space="preserve"> to the sovereignty and sovereign rights of EU Member States, first and foremost the Republic of Cyprus and Greece</w:t>
            </w:r>
            <w:r>
              <w:rPr>
                <w:b/>
                <w:i/>
              </w:rPr>
              <w:t>, in violation of international law, including UNCLOS</w:t>
            </w:r>
            <w:r>
              <w:t xml:space="preserve">; </w:t>
            </w:r>
            <w:r>
              <w:rPr>
                <w:b/>
                <w:i/>
              </w:rPr>
              <w:t>stresses that as long as Türkiye’s behaviour goes against EU and Member States’ interests and international law, Türkiye shall not participate in any initiative or programme related to CSDP or CFSP or any EU programme on defence or with implications for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Remains concerned about Türkiye, </w:t>
            </w:r>
            <w:r>
              <w:rPr>
                <w:b/>
                <w:i/>
              </w:rPr>
              <w:t>a</w:t>
            </w:r>
            <w:r>
              <w:t xml:space="preserve"> member of NATO</w:t>
            </w:r>
            <w:r>
              <w:rPr>
                <w:b/>
                <w:i/>
              </w:rPr>
              <w:t>, displaying ambiguous</w:t>
            </w:r>
            <w:r>
              <w:t xml:space="preserve"> behaviour through its continued challenges to the sovereignty and sovereign rights of EU Member States, first and foremost the Republic of Cyprus and Greece;</w:t>
            </w:r>
          </w:p>
        </w:tc>
        <w:tc>
          <w:tcPr>
            <w:tcW w:w="4876" w:type="dxa"/>
            <w:tcBorders>
              <w:top w:val="nil"/>
              <w:left w:val="nil"/>
              <w:bottom w:val="nil"/>
              <w:right w:val="nil"/>
            </w:tcBorders>
          </w:tcPr>
          <w:p>
            <w:pPr>
              <w:pStyle w:val="Normal6a"/>
            </w:pPr>
            <w:r>
              <w:t>38.</w:t>
            </w:r>
            <w:r>
              <w:tab/>
            </w:r>
            <w:r>
              <w:t xml:space="preserve">Remains </w:t>
            </w:r>
            <w:r>
              <w:rPr>
                <w:b/>
                <w:i/>
              </w:rPr>
              <w:t>deeply</w:t>
            </w:r>
            <w:r>
              <w:t xml:space="preserve"> concerned about Türkiye, </w:t>
            </w:r>
            <w:r>
              <w:rPr>
                <w:b/>
                <w:i/>
              </w:rPr>
              <w:t>the only</w:t>
            </w:r>
            <w:r>
              <w:t xml:space="preserve"> member of NATO </w:t>
            </w:r>
            <w:r>
              <w:rPr>
                <w:b/>
                <w:i/>
              </w:rPr>
              <w:t>which has no imposed any sanctions on Russia and which continues to display provocative</w:t>
            </w:r>
            <w:r>
              <w:t xml:space="preserve"> behaviour through its continued challenges to the sovereignty and sovereign rights of EU Member States, first and foremost the Republic of Cyprus and Greece; </w:t>
            </w:r>
            <w:r>
              <w:rPr>
                <w:b/>
                <w:i/>
              </w:rPr>
              <w:t>Notes in this regard the increasing number of violations of the territorial waters and national airspace of Greece by the Turkish navy and air force, and of infringements of air traffic regulations within the Athens FIR, as well as by provocative actions within the Greek Exclusive Economic Zone which have impeded or delayed the works on the Great Sea Interconnector between Greece and Cyprus, a project included in the EU list of Projects of Common Interest with EU financing; reiterates that as long as Türkiye continues to violate the sovereign rights of EU Member States in the Aegean and the Eastern Mediterranean, including the right to explore and exploit natural resources in accordance with EU and international law including UNCLOS, which is part of the EU acquis, maintains a formal threat of war (casus belli) against Greece and continues to illegally occupy 36 % of the territory of the Republic of Cyprus, it cannot participate in EU initiative in the area of the CFSP and the CSDP, including defence industrial programmes and related Union instruments, as it would go against the security and defence interests of the Union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Geadis Geadi, 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Remains concerned about Türkiye, a member of NATO, displaying ambiguous behaviour through its continued challenges to the sovereignty and sovereign rights of EU Member States, first and foremost the Republic of Cyprus and Greece;</w:t>
            </w:r>
          </w:p>
        </w:tc>
        <w:tc>
          <w:tcPr>
            <w:tcW w:w="4876" w:type="dxa"/>
            <w:tcBorders>
              <w:top w:val="nil"/>
              <w:left w:val="nil"/>
              <w:bottom w:val="nil"/>
              <w:right w:val="nil"/>
            </w:tcBorders>
          </w:tcPr>
          <w:p>
            <w:pPr>
              <w:pStyle w:val="Normal6a"/>
            </w:pPr>
            <w:r>
              <w:t>38.</w:t>
            </w:r>
            <w:r>
              <w:tab/>
            </w:r>
            <w:r>
              <w:t xml:space="preserve">Remains </w:t>
            </w:r>
            <w:r>
              <w:rPr>
                <w:b/>
                <w:i/>
              </w:rPr>
              <w:t>seriously</w:t>
            </w:r>
            <w:r>
              <w:t xml:space="preserve"> concerned about Türkiye, a member of NATO, displaying ambiguous behaviour through its continued challenges to the sovereignty and sovereign rights of EU Member States, first and foremost the Republic of Cyprus and Greece</w:t>
            </w:r>
            <w:r>
              <w:rPr>
                <w:b/>
                <w:i/>
              </w:rPr>
              <w:t>, as well as through its continued military occupation of part of the territory of the Republic of Cyprus and, by extension, of the territory of the Union</w:t>
            </w:r>
            <w:r>
              <w:t xml:space="preserve">; </w:t>
            </w:r>
            <w:r>
              <w:rPr>
                <w:b/>
                <w:i/>
              </w:rPr>
              <w:t>condemns the repeated violations of the national airspace and territorial waters of Member States, the obstruction of survey work for energy interconnection and subsea cable projects in the Eastern Mediterranean, and the instrumentalisation of migration as a form of hybrid threat against the EU; calls on Türkiye to withdraw its occupying troops from the Republic of Cyprus and also withdraw the threat of war (casus belli) against Greece, issued by a resolution of the Grand National Assembly of Türkiye in 1995, which is incompatible with good neighbourly relations and with international law, including the United Nations Convention on the Law of the Sea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Remains concerned about Türkiye, a member of NATO, displaying ambiguous behaviour through its continued challenges to the sovereignty and sovereign rights of EU Member States, first and foremost the Republic of Cyprus and Greece;</w:t>
            </w:r>
          </w:p>
        </w:tc>
        <w:tc>
          <w:tcPr>
            <w:tcW w:w="4876" w:type="dxa"/>
            <w:tcBorders>
              <w:top w:val="nil"/>
              <w:left w:val="nil"/>
              <w:bottom w:val="nil"/>
              <w:right w:val="nil"/>
            </w:tcBorders>
          </w:tcPr>
          <w:p>
            <w:pPr>
              <w:pStyle w:val="Normal6a"/>
            </w:pPr>
            <w:r>
              <w:t>38.</w:t>
            </w:r>
            <w:r>
              <w:tab/>
            </w:r>
            <w:r>
              <w:t>Remains concerned about Türkiye, a member of NATO, displaying ambiguous behaviour through its continued challenges to the sovereignty and sovereign rights of EU Member States, first and foremost the Republic of Cyprus and Greece</w:t>
            </w:r>
            <w:r>
              <w:rPr>
                <w:b/>
                <w:i/>
              </w:rPr>
              <w:t>, be it on land or on sea</w:t>
            </w:r>
            <w:r>
              <w:t xml:space="preserve">; </w:t>
            </w:r>
            <w:r>
              <w:rPr>
                <w:b/>
                <w:i/>
              </w:rPr>
              <w:t>condemns Türkiye’s violation of Syria’s territorial integrity; expresses deep concerns as attacks led or supported by Türkiye in northeastern Syria not only cause civilian casualties and increase the number of internally displaced persons, but also threaten the efficiency and continuity of the fight against Daesh;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Remains concerned about Türkiye, a member of NATO, </w:t>
            </w:r>
            <w:r>
              <w:rPr>
                <w:b/>
                <w:i/>
              </w:rPr>
              <w:t>displaying ambiguous behaviour through</w:t>
            </w:r>
            <w:r>
              <w:t xml:space="preserve"> its continued challenges to the sovereignty and sovereign rights of EU Member States, first and foremost the Republic of Cyprus and Greece;</w:t>
            </w:r>
          </w:p>
        </w:tc>
        <w:tc>
          <w:tcPr>
            <w:tcW w:w="4876" w:type="dxa"/>
            <w:tcBorders>
              <w:top w:val="nil"/>
              <w:left w:val="nil"/>
              <w:bottom w:val="nil"/>
              <w:right w:val="nil"/>
            </w:tcBorders>
          </w:tcPr>
          <w:p>
            <w:pPr>
              <w:pStyle w:val="Normal6a"/>
            </w:pPr>
            <w:r>
              <w:t>38.</w:t>
            </w:r>
            <w:r>
              <w:tab/>
            </w:r>
            <w:r>
              <w:t xml:space="preserve">Remains concerned about Türkiye, a member of NATO, </w:t>
            </w:r>
            <w:r>
              <w:rPr>
                <w:b/>
                <w:i/>
              </w:rPr>
              <w:t>due to</w:t>
            </w:r>
            <w:r>
              <w:t xml:space="preserve"> its continued challenges to the sovereignty and sovereign rights of EU Member States, first and foremost the Republic of Cyprus and Greece</w:t>
            </w:r>
            <w:r>
              <w:rPr>
                <w:b/>
                <w:i/>
              </w:rPr>
              <w:t>, as well as through its lack of alignment with EU sanctions against Russia</w:t>
            </w:r>
            <w:r>
              <w:t xml:space="preserve">; </w:t>
            </w:r>
            <w:r>
              <w:rPr>
                <w:b/>
                <w:i/>
              </w:rPr>
              <w:t>recalls that any deepening of EU-Türkiye cooperation in the field of security and defence, including any association with EU defence instruments, must remain conditional on the cessation of such challenges and on full respect for the sovereignty of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Remains concerned about Türkiye</w:t>
            </w:r>
            <w:r>
              <w:rPr>
                <w:b/>
                <w:i/>
              </w:rPr>
              <w:t>, a member of NATO,</w:t>
            </w:r>
            <w:r>
              <w:t xml:space="preserve"> displaying ambiguous behaviour through its continued challenges to the sovereignty and sovereign rights of EU Member States, first and foremost the Republic of Cyprus and Greece;</w:t>
            </w:r>
          </w:p>
        </w:tc>
        <w:tc>
          <w:tcPr>
            <w:tcW w:w="4876" w:type="dxa"/>
            <w:tcBorders>
              <w:top w:val="nil"/>
              <w:left w:val="nil"/>
              <w:bottom w:val="nil"/>
              <w:right w:val="nil"/>
            </w:tcBorders>
          </w:tcPr>
          <w:p>
            <w:pPr>
              <w:pStyle w:val="Normal6a"/>
            </w:pPr>
            <w:r>
              <w:t>38.</w:t>
            </w:r>
            <w:r>
              <w:tab/>
            </w:r>
            <w:r>
              <w:t xml:space="preserve">Remains concerned about Türkiye displaying ambiguous behaviour through its continued challenges to the sovereignty and sovereign rights of EU Member States, first and foremost the Republic of Cyprus and Greece; </w:t>
            </w:r>
            <w:r>
              <w:rPr>
                <w:b/>
                <w:i/>
              </w:rPr>
              <w:t>notes that Türkiye remains a key partner in many areas of joint interest, including security and defence, and acknowledges its contribution as a NATO ally and a contributor to EUFOR Althea;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Geadis Geadi, 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Stresses the geostrategic importance of the Republic of Cyprus as the easternmost outpost of the EU; calls on the VP/HR and the Council to consider establishing a regional EU operational headquarters for the CSDP and the CFSP in the Eastern Mediterranean at the Andreas Papandreou Air Base in Paphos;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Geadis Geadi, 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38b.</w:t>
            </w:r>
            <w:r>
              <w:tab/>
            </w:r>
            <w:r>
              <w:rPr>
                <w:b/>
                <w:i/>
              </w:rPr>
              <w:t>Deplores Türkiye's extremely low rate of alignment with the CFSP and its continued obstruction of the full participation of the Republic of Cyprus in EU-NATO cooperation; insists that any participation by Türkiye in EU defence initiatives and programmes, including SAFE, EDIP, PESCO projects and any security and defence partnership, must be conditional on full respect for the sovereignty, sovereign rights and territorial integrity of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Notes that corridors towards the eastern and northern flanks remain riddled with bottlenecks; welcomes</w:t>
            </w:r>
            <w:r>
              <w:t xml:space="preserve"> the Commission’s draft military mobility regulation of November 2025;</w:t>
            </w:r>
          </w:p>
        </w:tc>
        <w:tc>
          <w:tcPr>
            <w:tcW w:w="4876" w:type="dxa"/>
            <w:tcBorders>
              <w:top w:val="nil"/>
              <w:left w:val="nil"/>
              <w:bottom w:val="nil"/>
              <w:right w:val="nil"/>
            </w:tcBorders>
          </w:tcPr>
          <w:p>
            <w:pPr>
              <w:pStyle w:val="Normal6a"/>
            </w:pPr>
            <w:r>
              <w:t>39.</w:t>
            </w:r>
            <w:r>
              <w:tab/>
            </w:r>
            <w:r>
              <w:rPr>
                <w:b/>
                <w:i/>
              </w:rPr>
              <w:t>Rejects</w:t>
            </w:r>
            <w:r>
              <w:t xml:space="preserve"> the Commission’s draft military mobility regulation of November 2025 </w:t>
            </w:r>
            <w:r>
              <w:rPr>
                <w:b/>
                <w:i/>
              </w:rPr>
              <w:t>which will inevitably lead to the subordination of large parts of EU transport and infrastructure projects to a militarised approach</w:t>
            </w:r>
            <w:r>
              <w:t xml:space="preserve">; </w:t>
            </w:r>
            <w:r>
              <w:rPr>
                <w:b/>
                <w:i/>
              </w:rPr>
              <w:t>rejects furthermore the use and re-allocation of funding available under the current MFF, in particular from the European Regional Development Fund, Cohesion Fund and Recovery and Resilience Facility for military mobility or rearmament; insists that these funds are intended for reducing economic, social, and territorial disparities between EU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Notes that </w:t>
            </w:r>
            <w:r>
              <w:rPr>
                <w:b/>
                <w:i/>
              </w:rPr>
              <w:t>corridors towards the eastern and northern flanks remain riddled with</w:t>
            </w:r>
            <w:r>
              <w:t xml:space="preserve"> bottlenecks; welcomes the </w:t>
            </w:r>
            <w:r>
              <w:rPr>
                <w:b/>
                <w:i/>
              </w:rPr>
              <w:t>Commission’s draft</w:t>
            </w:r>
            <w:r>
              <w:t xml:space="preserve"> military mobility regulation </w:t>
            </w:r>
            <w:r>
              <w:rPr>
                <w:b/>
                <w:i/>
              </w:rPr>
              <w:t>of November 2025</w:t>
            </w:r>
            <w:r>
              <w:t>;</w:t>
            </w:r>
          </w:p>
        </w:tc>
        <w:tc>
          <w:tcPr>
            <w:tcW w:w="4876" w:type="dxa"/>
            <w:tcBorders>
              <w:top w:val="nil"/>
              <w:left w:val="nil"/>
              <w:bottom w:val="nil"/>
              <w:right w:val="nil"/>
            </w:tcBorders>
          </w:tcPr>
          <w:p>
            <w:pPr>
              <w:pStyle w:val="Normal6a"/>
            </w:pPr>
            <w:r>
              <w:t>39.</w:t>
            </w:r>
            <w:r>
              <w:tab/>
            </w:r>
            <w:r>
              <w:t xml:space="preserve">Notes that </w:t>
            </w:r>
            <w:r>
              <w:rPr>
                <w:b/>
                <w:i/>
              </w:rPr>
              <w:t>significant infrastructure</w:t>
            </w:r>
            <w:r>
              <w:t xml:space="preserve"> bottlenecks </w:t>
            </w:r>
            <w:r>
              <w:rPr>
                <w:b/>
                <w:i/>
              </w:rPr>
              <w:t>continue to affect military mobility corridors across the Union, with around 500 critical hotspots identified</w:t>
            </w:r>
            <w:r>
              <w:t xml:space="preserve">; welcomes the </w:t>
            </w:r>
            <w:r>
              <w:rPr>
                <w:b/>
                <w:i/>
              </w:rPr>
              <w:t>military mobility package presented by the Commission and the HR/VP and calls for a swift and ambitious agreement on the</w:t>
            </w:r>
            <w:r>
              <w:t xml:space="preserve"> military mobility regulation </w:t>
            </w:r>
            <w:r>
              <w:rPr>
                <w:b/>
                <w:i/>
              </w:rPr>
              <w:t>by the end of 2026, in line with Parliament's position</w:t>
            </w:r>
            <w:r>
              <w:t xml:space="preserve">; </w:t>
            </w:r>
            <w:r>
              <w:rPr>
                <w:b/>
                <w:i/>
              </w:rPr>
              <w:t>stresses that military mobility cannot be achieved without adequate funding under the next multiannual financial framework, including through the TEN-T framework, to ensure the timely removal of identified bottlenecks and the development of dual-use infrastructure along priority military mobility corridors; underlines that a genuinely resilient military mobility network requires redundancy, and therefore the development of maritime routes and connections across the Atlantic and Mediterranean, deep-water ports and airlift hubs through which allied reinforcements would flow to the continent, consistent with NATO's reinforcement plans;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Notes that corridors towards the eastern and northern flanks remain riddled with bottlenecks; </w:t>
            </w:r>
            <w:r>
              <w:rPr>
                <w:b/>
                <w:i/>
              </w:rPr>
              <w:t>welcomes the Commission’s draft</w:t>
            </w:r>
            <w:r>
              <w:t xml:space="preserve"> military mobility regulation </w:t>
            </w:r>
            <w:r>
              <w:rPr>
                <w:b/>
                <w:i/>
              </w:rPr>
              <w:t>of November 2025</w:t>
            </w:r>
            <w:r>
              <w:t>;</w:t>
            </w:r>
          </w:p>
        </w:tc>
        <w:tc>
          <w:tcPr>
            <w:tcW w:w="4876" w:type="dxa"/>
            <w:tcBorders>
              <w:top w:val="nil"/>
              <w:left w:val="nil"/>
              <w:bottom w:val="nil"/>
              <w:right w:val="nil"/>
            </w:tcBorders>
          </w:tcPr>
          <w:p>
            <w:pPr>
              <w:pStyle w:val="Normal6a"/>
            </w:pPr>
            <w:r>
              <w:t>39.</w:t>
            </w:r>
            <w:r>
              <w:tab/>
            </w:r>
            <w:r>
              <w:t xml:space="preserve">Notes that corridors towards the eastern and northern flanks remain riddled with bottlenecks; </w:t>
            </w:r>
            <w:r>
              <w:rPr>
                <w:b/>
                <w:i/>
              </w:rPr>
              <w:t>stresses, however, that</w:t>
            </w:r>
            <w:r>
              <w:t xml:space="preserve"> military mobility </w:t>
            </w:r>
            <w:r>
              <w:rPr>
                <w:b/>
                <w:i/>
              </w:rPr>
              <w:t>is not limited to land corridors, but also encompasses the open sea;</w:t>
            </w:r>
            <w:r>
              <w:t xml:space="preserve"> </w:t>
            </w:r>
            <w:r>
              <w:rPr>
                <w:b/>
                <w:i/>
              </w:rPr>
              <w:t>stresses in this respect that ports constitute essential alternative entry points for the lateral movement of forces and equipment when land corridors are saturated; </w:t>
            </w:r>
            <w:r>
              <w:t xml:space="preserve"> </w:t>
            </w:r>
            <w:r>
              <w:rPr>
                <w:b/>
                <w:i/>
              </w:rPr>
              <w:t>expresses concern at the powers granted to the Commission under its proposal for a</w:t>
            </w:r>
            <w:r>
              <w:t xml:space="preserve"> regulation </w:t>
            </w:r>
            <w:r>
              <w:rPr>
                <w:b/>
                <w:i/>
              </w:rPr>
              <w:t>on military mobility; </w:t>
            </w:r>
            <w:r>
              <w:t xml:space="preserve"> </w:t>
            </w:r>
            <w:r>
              <w:rPr>
                <w:b/>
                <w:i/>
              </w:rPr>
              <w:t>stresses that the Commission’s role must be strictly limited to helping tailor EU legislation on transport and customs, where necessary, to suit the requirements of military mobility, in accordance with the provisions of the Treaties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Notes that corridors towards the eastern and northern flanks remain riddled with bottlenecks; welcomes the Commission’s draft</w:t>
            </w:r>
            <w:r>
              <w:t xml:space="preserve"> military mobility </w:t>
            </w:r>
            <w:r>
              <w:rPr>
                <w:b/>
                <w:i/>
              </w:rPr>
              <w:t>regulation of November 2025</w:t>
            </w:r>
            <w:r>
              <w:t>;</w:t>
            </w:r>
          </w:p>
        </w:tc>
        <w:tc>
          <w:tcPr>
            <w:tcW w:w="4876" w:type="dxa"/>
            <w:tcBorders>
              <w:top w:val="nil"/>
              <w:left w:val="nil"/>
              <w:bottom w:val="nil"/>
              <w:right w:val="nil"/>
            </w:tcBorders>
          </w:tcPr>
          <w:p>
            <w:pPr>
              <w:pStyle w:val="Normal6a"/>
            </w:pPr>
            <w:r>
              <w:t>39.</w:t>
            </w:r>
            <w:r>
              <w:tab/>
            </w:r>
            <w:r>
              <w:rPr>
                <w:b/>
                <w:i/>
              </w:rPr>
              <w:t>Calls for further strengthening</w:t>
            </w:r>
            <w:r>
              <w:t xml:space="preserve"> military mobility </w:t>
            </w:r>
            <w:r>
              <w:rPr>
                <w:b/>
                <w:i/>
              </w:rPr>
              <w:t>across the EU with a 360º approach, by harmonising customs procedures, simplifying cross-border movement and authorisation procedures, and ensuring adequate investment in dual-use transport infrastructure, including ports, airports and multimodal transport networks, while ensuring interoperability with NATO requirements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Notes that</w:t>
            </w:r>
            <w:r>
              <w:t xml:space="preserve"> corridors towards the eastern and northern flanks </w:t>
            </w:r>
            <w:r>
              <w:rPr>
                <w:b/>
                <w:i/>
              </w:rPr>
              <w:t>remain riddled with bottlenecks</w:t>
            </w:r>
            <w:r>
              <w:t>; welcomes the Commission’s draft military mobility regulation of November 2025;</w:t>
            </w:r>
          </w:p>
        </w:tc>
        <w:tc>
          <w:tcPr>
            <w:tcW w:w="4876" w:type="dxa"/>
            <w:tcBorders>
              <w:top w:val="nil"/>
              <w:left w:val="nil"/>
              <w:bottom w:val="nil"/>
              <w:right w:val="nil"/>
            </w:tcBorders>
          </w:tcPr>
          <w:p>
            <w:pPr>
              <w:pStyle w:val="Normal6a"/>
            </w:pPr>
            <w:r>
              <w:t>39.</w:t>
            </w:r>
            <w:r>
              <w:tab/>
            </w:r>
            <w:r>
              <w:rPr>
                <w:b/>
                <w:i/>
              </w:rPr>
              <w:t>Stresses that removing bottlenecks in</w:t>
            </w:r>
            <w:r>
              <w:t xml:space="preserve"> corridors towards the eastern and northern flanks </w:t>
            </w:r>
            <w:r>
              <w:rPr>
                <w:b/>
                <w:i/>
              </w:rPr>
              <w:t>must be a priority for military mobility</w:t>
            </w:r>
            <w:r>
              <w:t>; welcomes the Commission’s draft military mobility regulation of November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Notes that corridors towards the eastern and northern flanks remain riddled with bottlenecks; welcomes the Commission’s draft military mobility regulation of November 2025;</w:t>
            </w:r>
          </w:p>
        </w:tc>
        <w:tc>
          <w:tcPr>
            <w:tcW w:w="4876" w:type="dxa"/>
            <w:tcBorders>
              <w:top w:val="nil"/>
              <w:left w:val="nil"/>
              <w:bottom w:val="nil"/>
              <w:right w:val="nil"/>
            </w:tcBorders>
          </w:tcPr>
          <w:p>
            <w:pPr>
              <w:pStyle w:val="Normal6a"/>
            </w:pPr>
            <w:r>
              <w:t>39.</w:t>
            </w:r>
            <w:r>
              <w:tab/>
            </w:r>
            <w:r>
              <w:t xml:space="preserve">Notes that corridors towards the eastern and northern flanks remain riddled with bottlenecks; welcomes the Commission’s draft military mobility regulation of November 2025; </w:t>
            </w:r>
            <w:r>
              <w:rPr>
                <w:b/>
                <w:i/>
              </w:rPr>
              <w:t>stresses that military mobility is a critical enabler of European defence readiness and of the effective deployment of CSDP missions and operations; calls for rapid progress towards a genuine European ‘Military Schengen’, by removing administrative, regulatory and infrastructure bottlenecks and ensuring harmonised, interoperable and digitalised procedures, while fully respecting national competences and safeguarding workers’ rights and the continuity of essential civilian transport services; stresses the need to assess and mitigate security risks arising from foreign ownership, control or access to infrastructure essential for military mobility, in particular ports and strategic logistics hubs;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Notes that corridors towards the eastern and northern flanks remain riddled with bottlenecks; welcomes the Commission’s draft military mobility regulation of November 2025;</w:t>
            </w:r>
          </w:p>
        </w:tc>
        <w:tc>
          <w:tcPr>
            <w:tcW w:w="4876" w:type="dxa"/>
            <w:tcBorders>
              <w:top w:val="nil"/>
              <w:left w:val="nil"/>
              <w:bottom w:val="nil"/>
              <w:right w:val="nil"/>
            </w:tcBorders>
          </w:tcPr>
          <w:p>
            <w:pPr>
              <w:pStyle w:val="Normal6a"/>
            </w:pPr>
            <w:r>
              <w:t>39.</w:t>
            </w:r>
            <w:r>
              <w:tab/>
            </w:r>
            <w:r>
              <w:t>Notes that</w:t>
            </w:r>
            <w:r>
              <w:rPr>
                <w:b/>
                <w:i/>
              </w:rPr>
              <w:t>, almost a decade after recognising military mobility as a critical enabler of European deterrence,</w:t>
            </w:r>
            <w:r>
              <w:t xml:space="preserve"> corridors towards the eastern and northern flanks remain riddled with bottlenecks</w:t>
            </w:r>
            <w:r>
              <w:rPr>
                <w:b/>
                <w:i/>
              </w:rPr>
              <w:t>, while EU–NATO cooperation still under-delivers</w:t>
            </w:r>
            <w:r>
              <w:t>; welcomes the Commission’s draft military mobility regulation of November 2025</w:t>
            </w:r>
            <w:r>
              <w:rPr>
                <w:b/>
                <w:i/>
              </w:rPr>
              <w:t>, in particular its emergency response system (EMERS), which, in line with Parliament's position, should apply across the whole Union once activated by the Council</w:t>
            </w:r>
            <w:r>
              <w:t xml:space="preserve">; </w:t>
            </w:r>
            <w:r>
              <w:rPr>
                <w:b/>
                <w:i/>
              </w:rPr>
              <w:t>calls on the Member States to conclude the ongoing interinstitutional negotiations swiftly, by the end of 2026; urges them further to secure ring-fenced funding in the next MFF and to accelerate the adaptation of dual-use infrastructure and the simplification of cross-border procedures towards a genuine 'military Schengen';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Notes that corridors towards the eastern and northern flanks remain riddled with bottlenecks; welcomes the Commission’s draft military mobility regulation of November 2025;</w:t>
            </w:r>
          </w:p>
        </w:tc>
        <w:tc>
          <w:tcPr>
            <w:tcW w:w="4876" w:type="dxa"/>
            <w:tcBorders>
              <w:top w:val="nil"/>
              <w:left w:val="nil"/>
              <w:bottom w:val="nil"/>
              <w:right w:val="nil"/>
            </w:tcBorders>
          </w:tcPr>
          <w:p>
            <w:pPr>
              <w:pStyle w:val="Normal6a"/>
            </w:pPr>
            <w:r>
              <w:t>39.</w:t>
            </w:r>
            <w:r>
              <w:tab/>
            </w:r>
            <w:r>
              <w:t xml:space="preserve">Notes that corridors towards the eastern and northern flanks remain riddled with bottlenecks; welcomes the Commission’s draft military mobility regulation of November 2025; </w:t>
            </w:r>
            <w:r>
              <w:rPr>
                <w:b/>
                <w:i/>
              </w:rPr>
              <w:t>calls for substantially increased and predictable EU funding for military mobility infrastructure, including dual-use transport and logistics infrastructure, particularly under the next multiannual financial framework; stresses the need to remove physical, administrative and regulatory barriers to the rapid movement of military personnel, equipment and supplies across Europe, including for NATO deployments, and to ensure close EU-NATO coordination and interoperability;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Notes that corridors towards the eastern and northern flanks remain riddled with bottlenecks; welcomes the Commission’s draft military mobility regulation of November 2025;</w:t>
            </w:r>
          </w:p>
        </w:tc>
        <w:tc>
          <w:tcPr>
            <w:tcW w:w="4876" w:type="dxa"/>
            <w:tcBorders>
              <w:top w:val="nil"/>
              <w:left w:val="nil"/>
              <w:bottom w:val="nil"/>
              <w:right w:val="nil"/>
            </w:tcBorders>
          </w:tcPr>
          <w:p>
            <w:pPr>
              <w:pStyle w:val="Normal6a"/>
            </w:pPr>
            <w:r>
              <w:t>39.</w:t>
            </w:r>
            <w:r>
              <w:tab/>
            </w:r>
            <w:r>
              <w:t xml:space="preserve">Notes that corridors towards the eastern and northern flanks remain riddled with bottlenecks; welcomes the </w:t>
            </w:r>
            <w:r>
              <w:rPr>
                <w:b/>
                <w:i/>
              </w:rPr>
              <w:t>ongoing work to finalize</w:t>
            </w:r>
            <w:r>
              <w:t xml:space="preserve"> Commission’s draft military mobility regulation of November 2025; </w:t>
            </w:r>
            <w:r>
              <w:rPr>
                <w:b/>
                <w:i/>
              </w:rPr>
              <w:t>strongly insists on finding the required funds for the establishment of the Military Mobility Digital Information System in the next year’s EU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Notes that corridors towards the eastern </w:t>
            </w:r>
            <w:r>
              <w:rPr>
                <w:b/>
                <w:i/>
              </w:rPr>
              <w:t>and</w:t>
            </w:r>
            <w:r>
              <w:t xml:space="preserve"> northern flanks remain riddled with bottlenecks; welcomes the Commission’s draft military mobility regulation of November 2025;</w:t>
            </w:r>
          </w:p>
        </w:tc>
        <w:tc>
          <w:tcPr>
            <w:tcW w:w="4876" w:type="dxa"/>
            <w:tcBorders>
              <w:top w:val="nil"/>
              <w:left w:val="nil"/>
              <w:bottom w:val="nil"/>
              <w:right w:val="nil"/>
            </w:tcBorders>
          </w:tcPr>
          <w:p>
            <w:pPr>
              <w:pStyle w:val="Normal6a"/>
            </w:pPr>
            <w:r>
              <w:t>39.</w:t>
            </w:r>
            <w:r>
              <w:tab/>
            </w:r>
            <w:r>
              <w:t>Notes that corridors towards the eastern</w:t>
            </w:r>
            <w:r>
              <w:rPr>
                <w:b/>
                <w:i/>
              </w:rPr>
              <w:t>,</w:t>
            </w:r>
            <w:r>
              <w:t xml:space="preserve"> northern </w:t>
            </w:r>
            <w:r>
              <w:rPr>
                <w:b/>
                <w:i/>
              </w:rPr>
              <w:t>and south-eastern</w:t>
            </w:r>
            <w:r>
              <w:t xml:space="preserve"> flanks remain riddled with bottlenecks</w:t>
            </w:r>
            <w:r>
              <w:rPr>
                <w:b/>
                <w:i/>
              </w:rPr>
              <w:t>; stresses the strategic importance of the Adriatic and South-East European corridors for the rapid movement of forces and equipment</w:t>
            </w:r>
            <w:r>
              <w:t>; welcomes the Commission’s draft military mobility regulation of November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Notes that corridors towards the eastern and northern flanks remain riddled with bottlenecks; welcomes the Commission’s draft military mobility regulation of November 2025;</w:t>
            </w:r>
          </w:p>
        </w:tc>
        <w:tc>
          <w:tcPr>
            <w:tcW w:w="4876" w:type="dxa"/>
            <w:tcBorders>
              <w:top w:val="nil"/>
              <w:left w:val="nil"/>
              <w:bottom w:val="nil"/>
              <w:right w:val="nil"/>
            </w:tcBorders>
          </w:tcPr>
          <w:p>
            <w:pPr>
              <w:pStyle w:val="Normal6a"/>
            </w:pPr>
            <w:r>
              <w:t>39.</w:t>
            </w:r>
            <w:r>
              <w:tab/>
            </w:r>
            <w:r>
              <w:t xml:space="preserve">Notes that corridors towards the eastern </w:t>
            </w:r>
            <w:r>
              <w:rPr>
                <w:b/>
                <w:i/>
              </w:rPr>
              <w:t>south-eastern</w:t>
            </w:r>
            <w:r>
              <w:t xml:space="preserve"> and northern flanks remain riddled with bottlenecks</w:t>
            </w:r>
            <w:r>
              <w:rPr>
                <w:b/>
                <w:i/>
              </w:rPr>
              <w:t>; stresses the strategic role of Black Sea and Danube ports, notably Constanța, and of rail and road links to Ukraine and Moldova</w:t>
            </w:r>
            <w:r>
              <w:t>; welcomes the Commission’s draft military mobility regulation of November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Notes that corridors towards the eastern and northern flanks remain riddled with bottlenecks; welcomes the Commission’s draft military mobility regulation of November 2025;</w:t>
            </w:r>
          </w:p>
        </w:tc>
        <w:tc>
          <w:tcPr>
            <w:tcW w:w="4876" w:type="dxa"/>
            <w:tcBorders>
              <w:top w:val="nil"/>
              <w:left w:val="nil"/>
              <w:bottom w:val="nil"/>
              <w:right w:val="nil"/>
            </w:tcBorders>
          </w:tcPr>
          <w:p>
            <w:pPr>
              <w:pStyle w:val="Normal6a"/>
            </w:pPr>
            <w:r>
              <w:t>39.</w:t>
            </w:r>
            <w:r>
              <w:tab/>
            </w:r>
            <w:r>
              <w:t xml:space="preserve">Notes that corridors towards the eastern and northern flanks remain riddled with bottlenecks; welcomes the Commission’s draft military mobility regulation of November 2025; </w:t>
            </w:r>
            <w:r>
              <w:rPr>
                <w:b/>
                <w:i/>
              </w:rPr>
              <w:t>stresses that military mobility investments must be prioritised in line with NATO’s operational requirements and defence plans;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40.</w:t>
            </w:r>
            <w:r>
              <w:tab/>
            </w:r>
            <w:r>
              <w:rPr>
                <w:b/>
                <w:i/>
              </w:rPr>
              <w:t>Calls on the Member States to extend military mobility corridors to Ukraine and to move from a narrow focus on ‘mobility’ towards a comprehensive approach to ‘logistics’;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Calls on the Member States to </w:t>
            </w:r>
            <w:r>
              <w:rPr>
                <w:b/>
                <w:i/>
              </w:rPr>
              <w:t>extend</w:t>
            </w:r>
            <w:r>
              <w:t xml:space="preserve"> military mobility corridors to </w:t>
            </w:r>
            <w:r>
              <w:rPr>
                <w:b/>
                <w:i/>
              </w:rPr>
              <w:t>Ukraine and to move from a narrow focus on ‘mobility’ towards a comprehensive approach to ‘logistics’</w:t>
            </w:r>
            <w:r>
              <w:t>;</w:t>
            </w:r>
          </w:p>
        </w:tc>
        <w:tc>
          <w:tcPr>
            <w:tcW w:w="4876" w:type="dxa"/>
            <w:tcBorders>
              <w:top w:val="nil"/>
              <w:left w:val="nil"/>
              <w:bottom w:val="nil"/>
              <w:right w:val="nil"/>
            </w:tcBorders>
          </w:tcPr>
          <w:p>
            <w:pPr>
              <w:pStyle w:val="Normal6a"/>
            </w:pPr>
            <w:r>
              <w:t>40.</w:t>
            </w:r>
            <w:r>
              <w:tab/>
            </w:r>
            <w:r>
              <w:t xml:space="preserve">Calls on the Member States to </w:t>
            </w:r>
            <w:r>
              <w:rPr>
                <w:b/>
                <w:i/>
              </w:rPr>
              <w:t>improve</w:t>
            </w:r>
            <w:r>
              <w:t xml:space="preserve"> military mobility </w:t>
            </w:r>
            <w:r>
              <w:rPr>
                <w:b/>
                <w:i/>
              </w:rPr>
              <w:t>and logistics and, where appropriate, extend relevant</w:t>
            </w:r>
            <w:r>
              <w:t xml:space="preserve"> corridors to </w:t>
            </w:r>
            <w:r>
              <w:rPr>
                <w:b/>
                <w:i/>
              </w:rPr>
              <w:t>relevant European partners; stresses that arrangements must respect national authority over military transit, infrastructure security and the admission of foreign forces, while enabling faster procedures agreed by the Member States; calls for alignment with NATO requirements and transparent financing, with EU action focused on cross-border obstacles that cannot be sufficiently addressed by individual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Wouter Beke,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Calls on the Member States to extend military mobility corridors to Ukraine and to move from a narrow focus on ‘mobility’ towards a comprehensive approach to ‘logistics’;</w:t>
            </w:r>
          </w:p>
        </w:tc>
        <w:tc>
          <w:tcPr>
            <w:tcW w:w="4876" w:type="dxa"/>
            <w:tcBorders>
              <w:top w:val="nil"/>
              <w:left w:val="nil"/>
              <w:bottom w:val="nil"/>
              <w:right w:val="nil"/>
            </w:tcBorders>
          </w:tcPr>
          <w:p>
            <w:pPr>
              <w:pStyle w:val="Normal6a"/>
            </w:pPr>
            <w:r>
              <w:t>40.</w:t>
            </w:r>
            <w:r>
              <w:tab/>
            </w:r>
            <w:r>
              <w:t xml:space="preserve">Calls on the Member States to extend military mobility corridors to Ukraine and to move from a narrow focus on ‘mobility’ towards a comprehensive approach to ‘logistics’; </w:t>
            </w:r>
            <w:r>
              <w:rPr>
                <w:b/>
                <w:i/>
              </w:rPr>
              <w:t>calls for a genuine ‘military Schengen’ removing administrative barriers to the cross-border movement of troops and equipment and addressing physical bottlenecks such as differing rail gauges; stresses the importance of major ports and logistical hubs and of rail connections for the rapid reinforcement of the eastern flank; calls for adequate funding under the Connecting Europe Facility for dual-use infrastructure, which also serves civilian evacuation and humanitarian supply;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Calls on the Member States </w:t>
            </w:r>
            <w:r>
              <w:rPr>
                <w:b/>
                <w:i/>
              </w:rPr>
              <w:t>to extend</w:t>
            </w:r>
            <w:r>
              <w:t xml:space="preserve"> military mobility </w:t>
            </w:r>
            <w:r>
              <w:rPr>
                <w:b/>
                <w:i/>
              </w:rPr>
              <w:t>corridors to</w:t>
            </w:r>
            <w:r>
              <w:t xml:space="preserve"> Ukraine and </w:t>
            </w:r>
            <w:r>
              <w:rPr>
                <w:b/>
                <w:i/>
              </w:rPr>
              <w:t>to move from a narrow focus on ‘mobility’ towards a comprehensive approach to ‘logistics’</w:t>
            </w:r>
            <w:r>
              <w:t>;</w:t>
            </w:r>
          </w:p>
        </w:tc>
        <w:tc>
          <w:tcPr>
            <w:tcW w:w="4876" w:type="dxa"/>
            <w:tcBorders>
              <w:top w:val="nil"/>
              <w:left w:val="nil"/>
              <w:bottom w:val="nil"/>
              <w:right w:val="nil"/>
            </w:tcBorders>
          </w:tcPr>
          <w:p>
            <w:pPr>
              <w:pStyle w:val="Normal6a"/>
            </w:pPr>
            <w:r>
              <w:t>40.</w:t>
            </w:r>
            <w:r>
              <w:tab/>
            </w:r>
            <w:r>
              <w:t>Calls on the Member States</w:t>
            </w:r>
            <w:r>
              <w:rPr>
                <w:b/>
                <w:i/>
              </w:rPr>
              <w:t>, and the Union to further develop cooperation in the field of</w:t>
            </w:r>
            <w:r>
              <w:t xml:space="preserve"> military mobility </w:t>
            </w:r>
            <w:r>
              <w:rPr>
                <w:b/>
                <w:i/>
              </w:rPr>
              <w:t>with</w:t>
            </w:r>
            <w:r>
              <w:t xml:space="preserve"> Ukraine and </w:t>
            </w:r>
            <w:r>
              <w:rPr>
                <w:b/>
                <w:i/>
              </w:rPr>
              <w:t>Moldova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Calls on the Member States to </w:t>
            </w:r>
            <w:r>
              <w:rPr>
                <w:b/>
                <w:i/>
              </w:rPr>
              <w:t>extend</w:t>
            </w:r>
            <w:r>
              <w:t xml:space="preserve"> military mobility </w:t>
            </w:r>
            <w:r>
              <w:rPr>
                <w:b/>
                <w:i/>
              </w:rPr>
              <w:t>corridors to</w:t>
            </w:r>
            <w:r>
              <w:t xml:space="preserve"> Ukraine and to </w:t>
            </w:r>
            <w:r>
              <w:rPr>
                <w:b/>
                <w:i/>
              </w:rPr>
              <w:t>move from a narrow focus on ‘mobility’ towards</w:t>
            </w:r>
            <w:r>
              <w:t xml:space="preserve"> a comprehensive approach to ‘logistics’;</w:t>
            </w:r>
          </w:p>
        </w:tc>
        <w:tc>
          <w:tcPr>
            <w:tcW w:w="4876" w:type="dxa"/>
            <w:tcBorders>
              <w:top w:val="nil"/>
              <w:left w:val="nil"/>
              <w:bottom w:val="nil"/>
              <w:right w:val="nil"/>
            </w:tcBorders>
          </w:tcPr>
          <w:p>
            <w:pPr>
              <w:pStyle w:val="Normal6a"/>
            </w:pPr>
            <w:r>
              <w:t>40.</w:t>
            </w:r>
            <w:r>
              <w:tab/>
            </w:r>
            <w:r>
              <w:t xml:space="preserve">Calls on the Member States to </w:t>
            </w:r>
            <w:r>
              <w:rPr>
                <w:b/>
                <w:i/>
              </w:rPr>
              <w:t>further strengthen</w:t>
            </w:r>
            <w:r>
              <w:t xml:space="preserve"> military mobility </w:t>
            </w:r>
            <w:r>
              <w:rPr>
                <w:b/>
                <w:i/>
              </w:rPr>
              <w:t>connections with</w:t>
            </w:r>
            <w:r>
              <w:t xml:space="preserve"> Ukraine and to </w:t>
            </w:r>
            <w:r>
              <w:rPr>
                <w:b/>
                <w:i/>
              </w:rPr>
              <w:t>develop</w:t>
            </w:r>
            <w:r>
              <w:t xml:space="preserve"> a comprehensive approach to ‘logistics’</w:t>
            </w:r>
            <w:r>
              <w:rPr>
                <w:b/>
                <w:i/>
              </w:rPr>
              <w:t>, including resilient and secure dual-use infrastructure, logistics hubs, strategic lift and secure supply chains</w:t>
            </w:r>
            <w:r>
              <w:t xml:space="preserve">; </w:t>
            </w:r>
            <w:r>
              <w:rPr>
                <w:b/>
                <w:i/>
              </w:rPr>
              <w:t>stresses that Union action should focus on its specific added value in harmonising rules, mobilising investment and strengthening infrastructure and cyber resilience, in close coordination with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Calls on the Member States to </w:t>
            </w:r>
            <w:r>
              <w:rPr>
                <w:b/>
                <w:i/>
              </w:rPr>
              <w:t>extend</w:t>
            </w:r>
            <w:r>
              <w:t xml:space="preserve"> military mobility corridors to Ukraine and to move from a narrow focus on ‘mobility’ towards a comprehensive approach to ‘logistics’;</w:t>
            </w:r>
          </w:p>
        </w:tc>
        <w:tc>
          <w:tcPr>
            <w:tcW w:w="4876" w:type="dxa"/>
            <w:tcBorders>
              <w:top w:val="nil"/>
              <w:left w:val="nil"/>
              <w:bottom w:val="nil"/>
              <w:right w:val="nil"/>
            </w:tcBorders>
          </w:tcPr>
          <w:p>
            <w:pPr>
              <w:pStyle w:val="Normal6a"/>
            </w:pPr>
            <w:r>
              <w:t>40.</w:t>
            </w:r>
            <w:r>
              <w:tab/>
            </w:r>
            <w:r>
              <w:t xml:space="preserve">Calls on the Member States to </w:t>
            </w:r>
            <w:r>
              <w:rPr>
                <w:b/>
                <w:i/>
              </w:rPr>
              <w:t>develop</w:t>
            </w:r>
            <w:r>
              <w:t xml:space="preserve"> military mobility corridors </w:t>
            </w:r>
            <w:r>
              <w:rPr>
                <w:b/>
                <w:i/>
              </w:rPr>
              <w:t>covering the entire territory of the Union, especially the Member States most exposed to conventional military threats, including on the southern and south-eastern flank and island regions, to extend them</w:t>
            </w:r>
            <w:r>
              <w:t xml:space="preserve"> to Ukraine and to move from a narrow focus on ‘mobility’ towards a comprehensive approach to ‘logistics’;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Calls on the Member States to extend military mobility corridors to Ukraine and to move from a narrow focus on ‘mobility’ towards a comprehensive approach to ‘logistics’;</w:t>
            </w:r>
          </w:p>
        </w:tc>
        <w:tc>
          <w:tcPr>
            <w:tcW w:w="4876" w:type="dxa"/>
            <w:tcBorders>
              <w:top w:val="nil"/>
              <w:left w:val="nil"/>
              <w:bottom w:val="nil"/>
              <w:right w:val="nil"/>
            </w:tcBorders>
          </w:tcPr>
          <w:p>
            <w:pPr>
              <w:pStyle w:val="Normal6a"/>
            </w:pPr>
            <w:r>
              <w:t>40.</w:t>
            </w:r>
            <w:r>
              <w:tab/>
            </w:r>
            <w:r>
              <w:t>Calls on the Member States to extend military mobility corridors to Ukraine and to move from a narrow focus on ‘mobility’ towards a comprehensive approach to ‘logistics’</w:t>
            </w:r>
            <w:r>
              <w:rPr>
                <w:b/>
                <w:i/>
              </w:rPr>
              <w:t>, encompassing transport corridors, hubs, storage, refuelling, maintenance and repair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Calls on the Member States to extend military mobility corridors to Ukraine and to move from a narrow focus on ‘mobility’ towards a comprehensive approach to ‘logistics’;</w:t>
            </w:r>
          </w:p>
        </w:tc>
        <w:tc>
          <w:tcPr>
            <w:tcW w:w="4876" w:type="dxa"/>
            <w:tcBorders>
              <w:top w:val="nil"/>
              <w:left w:val="nil"/>
              <w:bottom w:val="nil"/>
              <w:right w:val="nil"/>
            </w:tcBorders>
          </w:tcPr>
          <w:p>
            <w:pPr>
              <w:pStyle w:val="Normal6a"/>
            </w:pPr>
            <w:r>
              <w:t>40.</w:t>
            </w:r>
            <w:r>
              <w:tab/>
            </w:r>
            <w:r>
              <w:t xml:space="preserve">Calls on the Member States to extend military mobility corridors to Ukraine </w:t>
            </w:r>
            <w:r>
              <w:rPr>
                <w:b/>
                <w:i/>
              </w:rPr>
              <w:t>and Moldova</w:t>
            </w:r>
            <w:r>
              <w:t xml:space="preserve"> and to move from a narrow focus on ‘mobility’ towards a comprehensive approach to ‘logistics’;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Recalls that the EU's outermost regions and the overseas countries and territories associated with the Member States, including Greenland, extend the Union's presence across the Atlantic, the Caribbean, the Indian Ocean and the Pacific and are essential to its global security posture; stresses that their geographic position provides critical reach for maritime domain awareness, crisis management, the protection of sea lines of communication and the hosting of space and dual-use infrastructure, including Europe's spaceport in French Guiana; calls for these territories to be fully integrated into the EU's threat assessments, readiness and resilience planning and where relevant, military mobility network, for investment in their dual-use infrastructure and critical infrastructure protection, and for their exposure to hybrid activities and foreign interference to be addressed in cooperation with the Member States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Recalls the importance of joint training and exercises between European armed forces to promote interoperability and a shared European strategic culture; reiterates its support for the European Initiative for the Exchange of Young Officers (Military Erasmus – EMILYO), operated by the European Security and Defence College, and calls for it to be adequately funded and expanded; calls for the progressive development, by 2035, of a shared European military doctrine for hybrid and conventional scenarios;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Stresses that the massive use of low-cost drones and loitering munitions in Russia’s war of aggression against Ukraine has fundamentally changed the requirements for air defence; calls on the Member States to develop an integrated and multilayered European air and missile defence system with dedicated counter-drone capabilities, covering detection, identification, tracking and both soft-kill and hard-kill interception, fully interoperable with NATO’s Integrated Air and Missile Defence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Stresses that military mobility corridors should not stop at the Union’s borders; calls for strengthened connectivity with NATO Allies that are not EU Member States and with candidate countries, in particular in the Western Balkans, in order to ensure the continuity of strategic military corridors, avoid operational gaps and strengthen the security of the Union as a whole;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Underlines the importance of dual-use technologies as a driver for connecting defence, industry, innovation and economic growth; emphasises that military mobility and the resilience of critical infrastructure are essential pillars of credible European deterrence and of the Union’s capacity to project stability and pursue its strategic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Calls for the joint development and procurement of cost-effective interception solutions, including interceptor drones, gun-based systems and directed-energy weapons, in order to overcome the unsustainable cost asymmetry between inexpensive attack drones and conventional surface-to-air missiles; welcomes, in this regard, the European Drone Defence Initiative and the Eastern Flank Watch set out in the Readiness Roadmap 2030 and calls for their swift implementation, with priority given to the Member States most exposed to airspace violations;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40c.</w:t>
            </w:r>
            <w:r>
              <w:tab/>
            </w:r>
            <w:r>
              <w:rPr>
                <w:b/>
                <w:i/>
              </w:rPr>
              <w:t>Calls on the Member States and the EDTIB to accelerate the development, production and scaling-up of European drone technologies, including unmanned aerial, maritime and ground systems, autonomy, swarming and resilience to jamming; stresses the need for short innovation cycles and modular, open architectures; calls for the European Defence Fund and the EDIP to support start-ups and SMEs in this field and to deepen joint development and co-production with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40d.</w:t>
            </w:r>
            <w:r>
              <w:tab/>
            </w:r>
            <w:r>
              <w:rPr>
                <w:b/>
                <w:i/>
              </w:rPr>
              <w:t>Underlines that electronic warfare has become decisive on the modern battlefield; calls for the development of European capabilities in electronic attack, electronic protection and signals intelligence, including jam-resistant navigation and communications and alternatives to global navigation satellite systems; calls for these capabilities to be prioritised among the European defence projects of common 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rPr>
                <w:b/>
                <w:i/>
              </w:rPr>
              <w:t>Welcomes</w:t>
            </w:r>
            <w:r>
              <w:t xml:space="preserve"> the French nuclear doctrine of ‘forward deterrence’ set out in March 2026;</w:t>
            </w:r>
          </w:p>
        </w:tc>
        <w:tc>
          <w:tcPr>
            <w:tcW w:w="4876" w:type="dxa"/>
            <w:tcBorders>
              <w:top w:val="nil"/>
              <w:left w:val="nil"/>
              <w:bottom w:val="nil"/>
              <w:right w:val="nil"/>
            </w:tcBorders>
          </w:tcPr>
          <w:p>
            <w:pPr>
              <w:pStyle w:val="Normal6a"/>
            </w:pPr>
            <w:r>
              <w:t>41.</w:t>
            </w:r>
            <w:r>
              <w:tab/>
            </w:r>
            <w:r>
              <w:rPr>
                <w:b/>
                <w:i/>
              </w:rPr>
              <w:t>Rejects</w:t>
            </w:r>
            <w:r>
              <w:t xml:space="preserve"> the French nuclear doctrine of ‘forward deterrence’ set out in March 2026; </w:t>
            </w:r>
            <w:r>
              <w:rPr>
                <w:b/>
                <w:i/>
              </w:rPr>
              <w:t>rejects any proposal to expand the European nuclear deterrent or encourage nuclear latency among non-nuclear states; warns that the risk of nuclear escalation, whether through deliberate decision, miscalculation or accident, is categorically unacceptable in its potential consequences; calls on all nuclear-armed states to immediately resume arms control negotiations; regrets the overall weakening of non-proliferation and arms control and disarmamnet regimes; calls for diplomatic efforts to reverse this development; calls in this regards on the EU and its Members States to actively support the Treaty on the Prohibition of Nuclear Weapons (TPNW) and to work for its implementation and further ratification by EU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Hélder Sousa Silva,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rPr>
                <w:b/>
                <w:i/>
              </w:rPr>
              <w:t>Welcomes</w:t>
            </w:r>
            <w:r>
              <w:t xml:space="preserve"> the French nuclear doctrine of ‘forward deterrence’ set out in March 2026;</w:t>
            </w:r>
          </w:p>
        </w:tc>
        <w:tc>
          <w:tcPr>
            <w:tcW w:w="4876" w:type="dxa"/>
            <w:tcBorders>
              <w:top w:val="nil"/>
              <w:left w:val="nil"/>
              <w:bottom w:val="nil"/>
              <w:right w:val="nil"/>
            </w:tcBorders>
          </w:tcPr>
          <w:p>
            <w:pPr>
              <w:pStyle w:val="Normal6a"/>
            </w:pPr>
            <w:r>
              <w:t>41.</w:t>
            </w:r>
            <w:r>
              <w:tab/>
            </w:r>
            <w:r>
              <w:rPr>
                <w:b/>
                <w:i/>
              </w:rPr>
              <w:t>Takes note of</w:t>
            </w:r>
            <w:r>
              <w:t xml:space="preserve"> the French nuclear doctrine of ‘forward deterrence’ set out in March 2026; </w:t>
            </w:r>
            <w:r>
              <w:rPr>
                <w:b/>
                <w:i/>
              </w:rPr>
              <w:t>welcomes the structured strategic dialogue on the European dimension of deterrence that France has since established with European partners, including seven Member States, the United Kingdom and Norway; stresses that this dialogue must remain fully complementary to NATO's nuclear deterrence, on which the security of its European Allies continues to rest first and foremost; reaffirms the commitment of the EU and its Member States to the Treaty on the Non-Proliferation of Nuclear Weapons as the cornerstone of the non-proliferation and disarmament regime;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rPr>
                <w:b/>
                <w:i/>
              </w:rPr>
              <w:t>Welcomes</w:t>
            </w:r>
            <w:r>
              <w:t xml:space="preserve"> the French nuclear doctrine of ‘forward deterrence’ set out in March 2026;</w:t>
            </w:r>
          </w:p>
        </w:tc>
        <w:tc>
          <w:tcPr>
            <w:tcW w:w="4876" w:type="dxa"/>
            <w:tcBorders>
              <w:top w:val="nil"/>
              <w:left w:val="nil"/>
              <w:bottom w:val="nil"/>
              <w:right w:val="nil"/>
            </w:tcBorders>
          </w:tcPr>
          <w:p>
            <w:pPr>
              <w:pStyle w:val="Normal6a"/>
            </w:pPr>
            <w:r>
              <w:t>41.</w:t>
            </w:r>
            <w:r>
              <w:tab/>
            </w:r>
            <w:r>
              <w:rPr>
                <w:b/>
                <w:i/>
              </w:rPr>
              <w:t>Takes note of</w:t>
            </w:r>
            <w:r>
              <w:t xml:space="preserve"> the French nuclear doctrine of ‘forward deterrence’ set out in March 2026 </w:t>
            </w:r>
            <w:r>
              <w:rPr>
                <w:b/>
                <w:i/>
              </w:rPr>
              <w:t>as a contribution to the European dimension of nuclear deterrence, complementary to NATO’s nuclear deterrence</w:t>
            </w:r>
            <w:r>
              <w:t xml:space="preserve">; </w:t>
            </w:r>
            <w:r>
              <w:rPr>
                <w:b/>
                <w:i/>
              </w:rPr>
              <w:t>welcomes closer Franco-British coordination in this field; calls for a structured strategic dialogue among interested Member States and European allies on the role of nuclear deterrence in European security, while reaffirming the Union’s commitment to the Treaty on the Non-Proliferation of Nuclear Weapons;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Welcomes the French nuclear doctrine of ‘forward deterrence’ set out in March 2026;</w:t>
            </w:r>
          </w:p>
        </w:tc>
        <w:tc>
          <w:tcPr>
            <w:tcW w:w="4876" w:type="dxa"/>
            <w:tcBorders>
              <w:top w:val="nil"/>
              <w:left w:val="nil"/>
              <w:bottom w:val="nil"/>
              <w:right w:val="nil"/>
            </w:tcBorders>
          </w:tcPr>
          <w:p>
            <w:pPr>
              <w:pStyle w:val="Normal6a"/>
            </w:pPr>
            <w:r>
              <w:t>41.</w:t>
            </w:r>
            <w:r>
              <w:tab/>
            </w:r>
            <w:r>
              <w:t xml:space="preserve">Welcomes the French nuclear doctrine of ‘forward deterrence’ set out in March 2026 </w:t>
            </w:r>
            <w:r>
              <w:rPr>
                <w:b/>
                <w:i/>
              </w:rPr>
              <w:t>and its enhanced European dimension</w:t>
            </w:r>
            <w:r>
              <w:t xml:space="preserve">; </w:t>
            </w:r>
            <w:r>
              <w:rPr>
                <w:b/>
                <w:i/>
              </w:rPr>
              <w:t>recognises, in this context, the particular responsibility of France as the EU’s only nuclear-armed Member State and the potential contribution of its independent deterrent to Europe’s capacity to assume greater responsibility for its own security and strengthen its strategic autonomy while remaining fully consistent with international law and Europe’s commitments to nuclear non-proliferation and disarmament;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rPr>
                <w:b/>
                <w:i/>
              </w:rPr>
              <w:t>Welcomes</w:t>
            </w:r>
            <w:r>
              <w:t xml:space="preserve"> the French nuclear doctrine of ‘forward deterrence’ set out in March 2026;</w:t>
            </w:r>
          </w:p>
        </w:tc>
        <w:tc>
          <w:tcPr>
            <w:tcW w:w="4876" w:type="dxa"/>
            <w:tcBorders>
              <w:top w:val="nil"/>
              <w:left w:val="nil"/>
              <w:bottom w:val="nil"/>
              <w:right w:val="nil"/>
            </w:tcBorders>
          </w:tcPr>
          <w:p>
            <w:pPr>
              <w:pStyle w:val="Normal6a"/>
            </w:pPr>
            <w:r>
              <w:t>41.</w:t>
            </w:r>
            <w:r>
              <w:tab/>
            </w:r>
            <w:r>
              <w:rPr>
                <w:b/>
                <w:i/>
              </w:rPr>
              <w:t>Recalls that nuclear deterrence remains a cornerstone of NATO's security; takes note of</w:t>
            </w:r>
            <w:r>
              <w:t xml:space="preserve"> the French nuclear doctrine of 'forward deterrence' set out in March 2026 </w:t>
            </w:r>
            <w:r>
              <w:rPr>
                <w:b/>
                <w:i/>
              </w:rPr>
              <w:t>as a contribution to the overall deterrence and defence posture of the Alliance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Welcomes the French nuclear doctrine of ‘forward deterrence’ set out in March 2026;</w:t>
            </w:r>
          </w:p>
        </w:tc>
        <w:tc>
          <w:tcPr>
            <w:tcW w:w="4876" w:type="dxa"/>
            <w:tcBorders>
              <w:top w:val="nil"/>
              <w:left w:val="nil"/>
              <w:bottom w:val="nil"/>
              <w:right w:val="nil"/>
            </w:tcBorders>
          </w:tcPr>
          <w:p>
            <w:pPr>
              <w:pStyle w:val="Normal6a"/>
            </w:pPr>
            <w:r>
              <w:t>41.</w:t>
            </w:r>
            <w:r>
              <w:tab/>
            </w:r>
            <w:r>
              <w:t xml:space="preserve">Welcomes the French nuclear doctrine of ‘forward deterrence’ set out in March 2026; </w:t>
            </w:r>
            <w:r>
              <w:rPr>
                <w:b/>
                <w:i/>
              </w:rPr>
              <w:t>recognises that nuclear deterrence remains a necessary element of the security architecture of Europe and a fundamental component of NATO’s deterrence and defence posture; stresses that European Allies must assume greater responsibility for maintaining credible deterrence and for contributing to the conventional, nuclear, missile defence, space and cyber capabilities required to underpin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Welcomes the French </w:t>
            </w:r>
            <w:r>
              <w:rPr>
                <w:b/>
                <w:i/>
              </w:rPr>
              <w:t>nuclear</w:t>
            </w:r>
            <w:r>
              <w:t xml:space="preserve"> doctrine of ‘forward deterrence’ set out in March 2026;</w:t>
            </w:r>
          </w:p>
        </w:tc>
        <w:tc>
          <w:tcPr>
            <w:tcW w:w="4876" w:type="dxa"/>
            <w:tcBorders>
              <w:top w:val="nil"/>
              <w:left w:val="nil"/>
              <w:bottom w:val="nil"/>
              <w:right w:val="nil"/>
            </w:tcBorders>
          </w:tcPr>
          <w:p>
            <w:pPr>
              <w:pStyle w:val="Normal6a"/>
            </w:pPr>
            <w:r>
              <w:t>41.</w:t>
            </w:r>
            <w:r>
              <w:tab/>
            </w:r>
            <w:r>
              <w:t xml:space="preserve">Welcomes the French doctrine of ‘forward deterrence’ set out in March 2026; </w:t>
            </w:r>
            <w:r>
              <w:rPr>
                <w:b/>
                <w:i/>
              </w:rPr>
              <w:t>stresses that deterrence must be backed up by robust conventional forces, a credible air defence system and a deep-strike capability; </w:t>
            </w:r>
            <w:r>
              <w:t xml:space="preserve"> </w:t>
            </w:r>
            <w:r>
              <w:rPr>
                <w:b/>
                <w:i/>
              </w:rPr>
              <w:t>points out that the decision-making process regarding France’s nuclear deterrent remains strictly national and that any form of joint participation in it is thus out of the question;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Welcomes the French nuclear doctrine of ‘forward deterrence’ set out in March 2026;</w:t>
            </w:r>
          </w:p>
        </w:tc>
        <w:tc>
          <w:tcPr>
            <w:tcW w:w="4876" w:type="dxa"/>
            <w:tcBorders>
              <w:top w:val="nil"/>
              <w:left w:val="nil"/>
              <w:bottom w:val="nil"/>
              <w:right w:val="nil"/>
            </w:tcBorders>
          </w:tcPr>
          <w:p>
            <w:pPr>
              <w:pStyle w:val="Normal6a"/>
            </w:pPr>
            <w:r>
              <w:t>41.</w:t>
            </w:r>
            <w:r>
              <w:tab/>
            </w:r>
            <w:r>
              <w:t xml:space="preserve">Welcomes the French nuclear doctrine of ‘forward deterrence’ set out in March 2026 </w:t>
            </w:r>
            <w:r>
              <w:rPr>
                <w:b/>
                <w:i/>
              </w:rPr>
              <w:t>as a substantial added value to the security of Europe</w:t>
            </w:r>
            <w:r>
              <w:t xml:space="preserve">; </w:t>
            </w:r>
            <w:r>
              <w:rPr>
                <w:b/>
                <w:i/>
              </w:rPr>
              <w:t>notes the increased number of interested Member States taking part in strategic dialogues with France on this matter;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Welcomes the French nuclear doctrine of ‘forward deterrence’ set out in March 2026;</w:t>
            </w:r>
          </w:p>
        </w:tc>
        <w:tc>
          <w:tcPr>
            <w:tcW w:w="4876" w:type="dxa"/>
            <w:tcBorders>
              <w:top w:val="nil"/>
              <w:left w:val="nil"/>
              <w:bottom w:val="nil"/>
              <w:right w:val="nil"/>
            </w:tcBorders>
          </w:tcPr>
          <w:p>
            <w:pPr>
              <w:pStyle w:val="Normal6a"/>
            </w:pPr>
            <w:r>
              <w:t>41.</w:t>
            </w:r>
            <w:r>
              <w:tab/>
            </w:r>
            <w:r>
              <w:t xml:space="preserve">Welcomes the French nuclear doctrine of ‘forward deterrence’ set out in March 2026; </w:t>
            </w:r>
            <w:r>
              <w:rPr>
                <w:b/>
                <w:i/>
              </w:rPr>
              <w:t>stresses that NATO’s nuclear deterrence, underpinned by the strategic nuclear forces of the United States, remains the supreme guarantee of the security of the Allies;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Welcomes the French nuclear doctrine of ‘forward deterrence’ set out in March 2026;</w:t>
            </w:r>
          </w:p>
        </w:tc>
        <w:tc>
          <w:tcPr>
            <w:tcW w:w="4876" w:type="dxa"/>
            <w:tcBorders>
              <w:top w:val="nil"/>
              <w:left w:val="nil"/>
              <w:bottom w:val="nil"/>
              <w:right w:val="nil"/>
            </w:tcBorders>
          </w:tcPr>
          <w:p>
            <w:pPr>
              <w:pStyle w:val="Normal6a"/>
            </w:pPr>
            <w:r>
              <w:t>41.</w:t>
            </w:r>
            <w:r>
              <w:tab/>
            </w:r>
            <w:r>
              <w:t xml:space="preserve">Welcomes the French nuclear doctrine of ‘forward deterrence’ set out in March 2026; </w:t>
            </w:r>
            <w:r>
              <w:rPr>
                <w:b/>
                <w:i/>
              </w:rPr>
              <w:t>notes that several European countries have expressed an interest in participating in this deterrence, notably through ‘strategic support’;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Welcomes the French nuclear doctrine of ‘forward deterrence’ set out in March 2026;</w:t>
            </w:r>
          </w:p>
        </w:tc>
        <w:tc>
          <w:tcPr>
            <w:tcW w:w="4876" w:type="dxa"/>
            <w:tcBorders>
              <w:top w:val="nil"/>
              <w:left w:val="nil"/>
              <w:bottom w:val="nil"/>
              <w:right w:val="nil"/>
            </w:tcBorders>
          </w:tcPr>
          <w:p>
            <w:pPr>
              <w:pStyle w:val="Normal6a"/>
            </w:pPr>
            <w:r>
              <w:t>41.</w:t>
            </w:r>
            <w:r>
              <w:tab/>
            </w:r>
            <w:r>
              <w:t xml:space="preserve">Welcomes the French nuclear doctrine of ‘forward deterrence’ set out in March 2026; </w:t>
            </w:r>
            <w:r>
              <w:rPr>
                <w:b/>
                <w:i/>
              </w:rPr>
              <w:t>stresses that NATO’s nuclear deterrence, underpinned by US extended deterrence, remains a cornerstone of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Is of the firm view that, as the EU is increasingly ambitious on defence issues, there is a need for greater convergence and consistency in the Member States’ arms export policies; calls on Member States to fully comply with Common Position 2008/944/CFSP on common rules governing control of exports of military technology and equipment as it has been amended by Council Decision(CFSP)2019/1560, and to strictly implement criterion 4 on regional stability and halt any export of military equipment that could be used against other EU Member States; calls for a sanctions mechanism to be put in place against Member States that do not comply with the Common Position; calls for a consultation mechanism to be put in place among Member States to assess compliance with the Common Position;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Calls on the Member States to prioritise European defence procurement in order to reduce their strategic dependence on military technologies controlled by third countries and to support the development of the EDTIB's production capabilities;</w:t>
            </w:r>
            <w:r>
              <w:t xml:space="preserve"> </w:t>
            </w:r>
            <w:r>
              <w:rPr>
                <w:b/>
                <w:i/>
              </w:rPr>
              <w:t>stresses that Member States remain free to conduct their defence procurement in accordance with Article 346 of the TFEU;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Reaffirms a strong commitment to a merit-based approach to EU enlargement alongside a geopolitical approach that accelerates integration where strategically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Closing the gap between defence innovation and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Stresses that rearmament and capability development, as called for in this report, will only deter if they keep pace with innovation on the battlefield; notes that in Ukraine drones, electronic warfare and software-defined systems are fielded and superseded within months, while European acquisition still runs in years; considers that the capacity to turn innovation into fielded capability quickly, and to adapt it once fielded, is therefore a precondition for Readiness 2030 and must be built into the nine Member State-led capability coalitions established under the Defence Readiness Roadmap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41b.</w:t>
            </w:r>
            <w:r>
              <w:tab/>
            </w:r>
            <w:r>
              <w:rPr>
                <w:b/>
                <w:i/>
              </w:rPr>
              <w:t>Expresses concern at the EDTIB's increasing dependence on foreign components, particularly China for rare earths, batteries and semiconductors; </w:t>
            </w:r>
            <w:r>
              <w:t xml:space="preserve"> </w:t>
            </w:r>
            <w:r>
              <w:rPr>
                <w:b/>
                <w:i/>
              </w:rPr>
              <w:t>calls on the Member States to redouble their efforts to develop locally the supplier industries needed for a modern, competitive and autonomous defence industry;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41b.</w:t>
            </w:r>
            <w:r>
              <w:tab/>
            </w:r>
            <w:r>
              <w:rPr>
                <w:b/>
                <w:i/>
              </w:rPr>
              <w:t>Notes therefore that Europe's defence innovation problem is one of scale-up rather than invention, and that European innovators must cross two valleys of death, the first between a working technology and proof of its military utility, the second between a validated product and a first order in volume; notes that SMEs generate around 70 % of the value of European defence systems yet have received only about 20 % of European Defence Fund funding and that more than 230 defence start-ups have been founded in Europe since 2022 while there is still no EU instrument for buying experimental batches of innovative products;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41c.</w:t>
            </w:r>
            <w:r>
              <w:tab/>
            </w:r>
            <w:r>
              <w:rPr>
                <w:b/>
                <w:i/>
              </w:rPr>
              <w:t>Calls in that regard on Member States to earmark dedicated innovation procurement budgets that are explicitly not tied to guaranteed results, backed by accountability rules that distinguish careless spending from informed risk-taking; calls on Member States to commit to a fixed share of procurement spending for emerging and disruptive technologies by 2030 and to report it annually to the EDA, in addition to the existing EDA benchmark of 2 % of defence budgets for research and technology;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41d.</w:t>
            </w:r>
            <w:r>
              <w:tab/>
            </w:r>
            <w:r>
              <w:rPr>
                <w:b/>
                <w:i/>
              </w:rPr>
              <w:t>Calls further for the Union and the Member States to act as first customer for its own innovators and supports a European First Customer Facility allowing Member States, EU bodies and agencies to jointly procure limited operational batches from European start-ups and SMEs; calls also for allowing a Member State, in cooperation with NATO and the EDA, to join a contract already signed by another for a validated product; supports the Programme for Agile and Rapid Defence Innovation, after an early check that it works, to become a permanent feature under the European Competitiveness 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41d.</w:t>
            </w:r>
            <w:r>
              <w:tab/>
            </w:r>
            <w:r>
              <w:rPr>
                <w:b/>
                <w:i/>
              </w:rPr>
              <w:t>Calls also for a binding Regulation establishing a single EU certification framework and a 'test-once' principle in line with NATO standards, for NATO's Innovation Badges for tested products to count as a step within that system and for 'Initial Operational Capability' to serve as a standard phase of the innovation cycle; calls furthermore for the next MFF to fund a federated network of test facilities across the Union and for each of the nine capability coalitions to include a testing component open to start-ups;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41e.</w:t>
            </w:r>
            <w:r>
              <w:tab/>
            </w:r>
            <w:r>
              <w:rPr>
                <w:b/>
                <w:i/>
              </w:rPr>
              <w:t>Notes with concern that the EU still lacks a systematic channel through which Member States make their operational needs and procurement intentions visible to industry and; calls on the EDA and the Commission to explore a secured digital marketplace modelled on Ukraine's Brave1 Market, where SMEs list products and officers post urgent needs, test solutions and send feedback to buyers, as well as Ukrainian-style marketplaces allowing units and brigades to procure directly for their own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rPr>
                <w:b/>
                <w:i/>
              </w:rPr>
              <w:t>Demands that the next multiannual financial framework (MFF) fully reflects and adapts to</w:t>
            </w:r>
            <w:r>
              <w:t xml:space="preserve"> defence </w:t>
            </w:r>
            <w:r>
              <w:rPr>
                <w:b/>
                <w:i/>
              </w:rPr>
              <w:t>as a new and essential priority for the EU</w:t>
            </w:r>
            <w:r>
              <w:t xml:space="preserve">; insists that the principle and definition of a European preference, as enshrined in the European Defence Industry Programme (EDIP), be </w:t>
            </w:r>
            <w:r>
              <w:rPr>
                <w:b/>
                <w:i/>
              </w:rPr>
              <w:t>extended to all headings and instruments</w:t>
            </w:r>
            <w:r>
              <w:t xml:space="preserve"> of the </w:t>
            </w:r>
            <w:r>
              <w:rPr>
                <w:b/>
                <w:i/>
              </w:rPr>
              <w:t>future budget as a whole</w:t>
            </w:r>
            <w:r>
              <w:t>;</w:t>
            </w:r>
          </w:p>
        </w:tc>
        <w:tc>
          <w:tcPr>
            <w:tcW w:w="4876" w:type="dxa"/>
            <w:tcBorders>
              <w:top w:val="nil"/>
              <w:left w:val="nil"/>
              <w:bottom w:val="nil"/>
              <w:right w:val="nil"/>
            </w:tcBorders>
          </w:tcPr>
          <w:p>
            <w:pPr>
              <w:pStyle w:val="Normal6a"/>
            </w:pPr>
            <w:r>
              <w:t>42.</w:t>
            </w:r>
            <w:r>
              <w:tab/>
            </w:r>
            <w:r>
              <w:rPr>
                <w:b/>
                <w:i/>
              </w:rPr>
              <w:t>Recalls that, under Article 41(2) TEU, expenditure arising from operations having military or</w:t>
            </w:r>
            <w:r>
              <w:t xml:space="preserve"> defence </w:t>
            </w:r>
            <w:r>
              <w:rPr>
                <w:b/>
                <w:i/>
              </w:rPr>
              <w:t>implications is not to be charged to the Union budget, and that defence budgets are decided by the national parliaments; rejects any joint borrowing by the Union and any new own resources for defence purposes</w:t>
            </w:r>
            <w:r>
              <w:t xml:space="preserve">; insists that the principle and definition of a European preference, as enshrined in the European Defence Industry Programme (EDIP), be </w:t>
            </w:r>
            <w:r>
              <w:rPr>
                <w:b/>
                <w:i/>
              </w:rPr>
              <w:t>applied consistently to procurement financed from Union programmes and effectively benefit the defence technological and industrial base</w:t>
            </w:r>
            <w:r>
              <w:t xml:space="preserve"> of the </w:t>
            </w:r>
            <w:r>
              <w:rPr>
                <w:b/>
                <w:i/>
              </w:rPr>
              <w:t>Member States, in particular small and medium-sized enterprises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Özlem Demirel, Lynn Boylan, Marc Botenga,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rPr>
                <w:b/>
                <w:i/>
              </w:rPr>
              <w:t>Demands</w:t>
            </w:r>
            <w:r>
              <w:t xml:space="preserve"> that the next multiannual financial framework (MFF) fully reflects and adapts to defence as a new and </w:t>
            </w:r>
            <w:r>
              <w:rPr>
                <w:b/>
                <w:i/>
              </w:rPr>
              <w:t>essential</w:t>
            </w:r>
            <w:r>
              <w:t xml:space="preserve"> priority for the EU; insists that </w:t>
            </w:r>
            <w:r>
              <w:rPr>
                <w:b/>
                <w:i/>
              </w:rPr>
              <w:t>the principle and definition of a</w:t>
            </w:r>
            <w:r>
              <w:t xml:space="preserve"> European </w:t>
            </w:r>
            <w:r>
              <w:rPr>
                <w:b/>
                <w:i/>
              </w:rPr>
              <w:t>preference, as enshrined in the</w:t>
            </w:r>
            <w:r>
              <w:t xml:space="preserve"> European Defence Industry Programme (EDIP)</w:t>
            </w:r>
            <w:r>
              <w:rPr>
                <w:b/>
                <w:i/>
              </w:rPr>
              <w:t>, be extended to all headings and instruments</w:t>
            </w:r>
            <w:r>
              <w:t xml:space="preserve"> of the </w:t>
            </w:r>
            <w:r>
              <w:rPr>
                <w:b/>
                <w:i/>
              </w:rPr>
              <w:t>future budget as a whole</w:t>
            </w:r>
            <w:r>
              <w:t>;</w:t>
            </w:r>
          </w:p>
        </w:tc>
        <w:tc>
          <w:tcPr>
            <w:tcW w:w="4876" w:type="dxa"/>
            <w:tcBorders>
              <w:top w:val="nil"/>
              <w:left w:val="nil"/>
              <w:bottom w:val="nil"/>
              <w:right w:val="nil"/>
            </w:tcBorders>
          </w:tcPr>
          <w:p>
            <w:pPr>
              <w:pStyle w:val="Normal6a"/>
            </w:pPr>
            <w:r>
              <w:t>42.</w:t>
            </w:r>
            <w:r>
              <w:tab/>
            </w:r>
            <w:r>
              <w:rPr>
                <w:b/>
                <w:i/>
              </w:rPr>
              <w:t>Rejects</w:t>
            </w:r>
            <w:r>
              <w:t xml:space="preserve"> that the next multiannual financial framework (MFF) fully reflects and </w:t>
            </w:r>
            <w:r>
              <w:rPr>
                <w:b/>
                <w:i/>
              </w:rPr>
              <w:t>further</w:t>
            </w:r>
            <w:r>
              <w:t xml:space="preserve"> adapts to defence as a new and priority for the EU; insists that </w:t>
            </w:r>
            <w:r>
              <w:rPr>
                <w:b/>
                <w:i/>
              </w:rPr>
              <w:t>EU-programmes, such as</w:t>
            </w:r>
            <w:r>
              <w:t xml:space="preserve"> European </w:t>
            </w:r>
            <w:r>
              <w:rPr>
                <w:b/>
                <w:i/>
              </w:rPr>
              <w:t>Defence Fund (EDF) or</w:t>
            </w:r>
            <w:r>
              <w:t xml:space="preserve"> European Defence Industry Programme (EDIP) </w:t>
            </w:r>
            <w:r>
              <w:rPr>
                <w:b/>
                <w:i/>
              </w:rPr>
              <w:t>to promote the defence and arms industry violate Article 41.2 TEU and therefore need to be classified as illegal; opposes to the further militarisation</w:t>
            </w:r>
            <w:r>
              <w:t xml:space="preserve"> of the </w:t>
            </w:r>
            <w:r>
              <w:rPr>
                <w:b/>
                <w:i/>
              </w:rPr>
              <w:t>EU and the establishment of a military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rPr>
                <w:b/>
                <w:i/>
              </w:rPr>
              <w:t>Demands</w:t>
            </w:r>
            <w:r>
              <w:t xml:space="preserve"> that the next multiannual financial framework </w:t>
            </w:r>
            <w:r>
              <w:rPr>
                <w:b/>
                <w:i/>
              </w:rPr>
              <w:t>(MFF) fully reflects and adapts to defence as a new and essential priority for the EU</w:t>
            </w:r>
            <w:r>
              <w:t xml:space="preserve">; insists </w:t>
            </w:r>
            <w:r>
              <w:rPr>
                <w:b/>
                <w:i/>
              </w:rPr>
              <w:t>that the principle and definition of a European preference, as enshrined in</w:t>
            </w:r>
            <w:r>
              <w:t xml:space="preserve"> the European Defence </w:t>
            </w:r>
            <w:r>
              <w:rPr>
                <w:b/>
                <w:i/>
              </w:rPr>
              <w:t>Industry</w:t>
            </w:r>
            <w:r>
              <w:t xml:space="preserve"> Programme </w:t>
            </w:r>
            <w:r>
              <w:rPr>
                <w:b/>
                <w:i/>
              </w:rPr>
              <w:t>(EDIP), be extended to all headings and instruments of the future budget as a whole</w:t>
            </w:r>
            <w:r>
              <w:t>;</w:t>
            </w:r>
          </w:p>
        </w:tc>
        <w:tc>
          <w:tcPr>
            <w:tcW w:w="4876" w:type="dxa"/>
            <w:tcBorders>
              <w:top w:val="nil"/>
              <w:left w:val="nil"/>
              <w:bottom w:val="nil"/>
              <w:right w:val="nil"/>
            </w:tcBorders>
          </w:tcPr>
          <w:p>
            <w:pPr>
              <w:pStyle w:val="Normal6a"/>
            </w:pPr>
            <w:r>
              <w:t>42.</w:t>
            </w:r>
            <w:r>
              <w:tab/>
            </w:r>
            <w:r>
              <w:rPr>
                <w:b/>
                <w:i/>
              </w:rPr>
              <w:t>Considers</w:t>
            </w:r>
            <w:r>
              <w:t xml:space="preserve"> that the next multiannual financial framework </w:t>
            </w:r>
            <w:r>
              <w:rPr>
                <w:b/>
                <w:i/>
              </w:rPr>
              <w:t>should support defence-related measures within Union competences where they provide demonstrable added value and complement national efforts</w:t>
            </w:r>
            <w:r>
              <w:t xml:space="preserve">; insists </w:t>
            </w:r>
            <w:r>
              <w:rPr>
                <w:b/>
                <w:i/>
              </w:rPr>
              <w:t>on a transparent assessment of costs, effectiveness and effects on other budgetary priorities; supports strengthening</w:t>
            </w:r>
            <w:r>
              <w:t xml:space="preserve"> the European defence </w:t>
            </w:r>
            <w:r>
              <w:rPr>
                <w:b/>
                <w:i/>
              </w:rPr>
              <w:t>industrial base, while ensuring that eligibility and preference rules are proportionate, compatible with the Treaties and adapted to each</w:t>
            </w:r>
            <w:r>
              <w:t xml:space="preserve"> programme</w:t>
            </w:r>
            <w:r>
              <w:rPr>
                <w:b/>
                <w:i/>
              </w:rPr>
              <w:t>, taking account of interoperability, urgent capability needs and cooperation with trusted NATO partners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Alexandr Vondra, Adam Bielan,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rPr>
                <w:b/>
                <w:i/>
              </w:rPr>
              <w:t>Demands that</w:t>
            </w:r>
            <w:r>
              <w:t xml:space="preserve"> the next multiannual financial framework </w:t>
            </w:r>
            <w:r>
              <w:rPr>
                <w:b/>
                <w:i/>
              </w:rPr>
              <w:t>(MFF) fully reflects and adapts</w:t>
            </w:r>
            <w:r>
              <w:t xml:space="preserve"> to defence as </w:t>
            </w:r>
            <w:r>
              <w:rPr>
                <w:b/>
                <w:i/>
              </w:rPr>
              <w:t>a new and</w:t>
            </w:r>
            <w:r>
              <w:t xml:space="preserve"> essential priority </w:t>
            </w:r>
            <w:r>
              <w:rPr>
                <w:b/>
                <w:i/>
              </w:rPr>
              <w:t>for the EU; insists that the principle and definition of a European preference, as enshrined in the</w:t>
            </w:r>
            <w:r>
              <w:t xml:space="preserve"> European Defence </w:t>
            </w:r>
            <w:r>
              <w:rPr>
                <w:b/>
                <w:i/>
              </w:rPr>
              <w:t>Industry Programme (EDIP), be extended to all headings and</w:t>
            </w:r>
            <w:r>
              <w:t xml:space="preserve"> instruments </w:t>
            </w:r>
            <w:r>
              <w:rPr>
                <w:b/>
                <w:i/>
              </w:rPr>
              <w:t>of the future budget as a whole</w:t>
            </w:r>
            <w:r>
              <w:t>;</w:t>
            </w:r>
          </w:p>
        </w:tc>
        <w:tc>
          <w:tcPr>
            <w:tcW w:w="4876" w:type="dxa"/>
            <w:tcBorders>
              <w:top w:val="nil"/>
              <w:left w:val="nil"/>
              <w:bottom w:val="nil"/>
              <w:right w:val="nil"/>
            </w:tcBorders>
          </w:tcPr>
          <w:p>
            <w:pPr>
              <w:pStyle w:val="Normal6a"/>
            </w:pPr>
            <w:r>
              <w:t>42.</w:t>
            </w:r>
            <w:r>
              <w:tab/>
            </w:r>
            <w:r>
              <w:rPr>
                <w:b/>
                <w:i/>
              </w:rPr>
              <w:t>Calls for</w:t>
            </w:r>
            <w:r>
              <w:t xml:space="preserve"> the next multiannual financial framework to </w:t>
            </w:r>
            <w:r>
              <w:rPr>
                <w:b/>
                <w:i/>
              </w:rPr>
              <w:t>reflect</w:t>
            </w:r>
            <w:r>
              <w:t xml:space="preserve"> defence as </w:t>
            </w:r>
            <w:r>
              <w:rPr>
                <w:b/>
                <w:i/>
              </w:rPr>
              <w:t>an</w:t>
            </w:r>
            <w:r>
              <w:t xml:space="preserve"> essential priority </w:t>
            </w:r>
            <w:r>
              <w:rPr>
                <w:b/>
                <w:i/>
              </w:rPr>
              <w:t>and to strengthen</w:t>
            </w:r>
            <w:r>
              <w:t xml:space="preserve"> European defence </w:t>
            </w:r>
            <w:r>
              <w:rPr>
                <w:b/>
                <w:i/>
              </w:rPr>
              <w:t>industrial capacity, while ensuring that procurement and funding</w:t>
            </w:r>
            <w:r>
              <w:t xml:space="preserve"> instruments </w:t>
            </w:r>
            <w:r>
              <w:rPr>
                <w:b/>
                <w:i/>
              </w:rPr>
              <w:t>remain open to trusted NATO Allies and other reliable partners where this contributes to European security, capability, interoperability and resilience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w:t>
            </w:r>
            <w:r>
              <w:rPr>
                <w:b/>
                <w:i/>
              </w:rPr>
              <w:t>defence as a new and essential priority for the EU; insists that the principle and definition of a</w:t>
            </w:r>
            <w:r>
              <w:t xml:space="preserve"> European </w:t>
            </w:r>
            <w:r>
              <w:rPr>
                <w:b/>
                <w:i/>
              </w:rPr>
              <w:t>preference, as enshrined in</w:t>
            </w:r>
            <w:r>
              <w:t xml:space="preserve"> the European Defence </w:t>
            </w:r>
            <w:r>
              <w:rPr>
                <w:b/>
                <w:i/>
              </w:rPr>
              <w:t>Industry Programme (EDIP), be extended to all headings and instruments of the future budget as a whole</w:t>
            </w:r>
            <w:r>
              <w:t>;</w:t>
            </w:r>
          </w:p>
        </w:tc>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w:t>
            </w:r>
            <w:r>
              <w:rPr>
                <w:b/>
                <w:i/>
              </w:rPr>
              <w:t>the need to strengthen</w:t>
            </w:r>
            <w:r>
              <w:t xml:space="preserve"> European </w:t>
            </w:r>
            <w:r>
              <w:rPr>
                <w:b/>
                <w:i/>
              </w:rPr>
              <w:t>security and defence capabilities; stresses that EU defence funding should strengthen</w:t>
            </w:r>
            <w:r>
              <w:t xml:space="preserve"> the European defence </w:t>
            </w:r>
            <w:r>
              <w:rPr>
                <w:b/>
                <w:i/>
              </w:rPr>
              <w:t>industrial base without restricting Member States’ ability to procure the capabilities they need from key allies and trusted partners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w:t>
            </w:r>
          </w:p>
        </w:tc>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w:t>
            </w:r>
            <w:r>
              <w:rPr>
                <w:b/>
                <w:i/>
              </w:rPr>
              <w:t>, in light of new strategic challenges, and that the substantial increase in EU-level Defense funding proposed for 2028–2034 — in particular the EUR 131 bn Defense, security and space window of the European Competitiveness Fund, be endorsed in full in the negotiations; warns, however, that the lack of ambition on Defense in the 2021–2027 framework, when the European Defense Fund and military mobility were insufficiently funded, demonstrating a blatant lack of vision, must not be repeated; regrets that the budget dedicated to Military Mobility for 2028–2034 is still less than the amount required to meet the shortfall</w:t>
            </w:r>
            <w:r>
              <w:t>; insists that the principle and definition of a European preference, as enshrined in the European Defence Industry Programme (EDIP), be extended to all headings and instruments of the future budget as a whole</w:t>
            </w:r>
            <w:r>
              <w:rPr>
                <w:b/>
                <w:i/>
              </w:rPr>
              <w:t>, since it is the sine qua non of the Union's strategic autonomy</w:t>
            </w:r>
            <w:r>
              <w:t xml:space="preserve">; </w:t>
            </w:r>
            <w:r>
              <w:rPr>
                <w:b/>
                <w:i/>
              </w:rPr>
              <w:t>recalls, nonetheless, that even this amount remains well below the investment needs identified by the Draghi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w:t>
            </w:r>
          </w:p>
        </w:tc>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 </w:t>
            </w:r>
            <w:r>
              <w:rPr>
                <w:b/>
                <w:i/>
              </w:rPr>
              <w:t>stresses that the criteria for European preference currently set out in EDTIB must be regarded as a minimum threshold rather than a ceiling; </w:t>
            </w:r>
            <w:r>
              <w:t xml:space="preserve"> </w:t>
            </w:r>
            <w:r>
              <w:rPr>
                <w:b/>
                <w:i/>
              </w:rPr>
              <w:t>takes the view that the maximum percentage, by value, of components originating from third countries dictating eligibility for EU funding programmes should therefore be progressively reduced as the EDTIB's capabilities are strengthened, in order to scale down the external dependencies of Member States and their defence industries;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as enshrined in the European Defence Industry Programme (EDIP), be </w:t>
            </w:r>
            <w:r>
              <w:rPr>
                <w:b/>
                <w:i/>
              </w:rPr>
              <w:t>extended to all headings and</w:t>
            </w:r>
            <w:r>
              <w:t xml:space="preserve"> instruments of the </w:t>
            </w:r>
            <w:r>
              <w:rPr>
                <w:b/>
                <w:i/>
              </w:rPr>
              <w:t>future budget as a whole</w:t>
            </w:r>
            <w:r>
              <w:t>;</w:t>
            </w:r>
          </w:p>
        </w:tc>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as enshrined in the European Defence Industry Programme (EDIP), be </w:t>
            </w:r>
            <w:r>
              <w:rPr>
                <w:b/>
                <w:i/>
              </w:rPr>
              <w:t>applied consistently across all defence and defence-relevant</w:t>
            </w:r>
            <w:r>
              <w:t xml:space="preserve"> instruments of the </w:t>
            </w:r>
            <w:r>
              <w:rPr>
                <w:b/>
                <w:i/>
              </w:rPr>
              <w:t>next MFF, including the eligibility of EEA-EFTA States, Ukraine and partners that have concluded security and defence partnerships and participation agreements with the Union on reciprocal terms, without hindering the urgent replenishment of stocks; stresses that a European preference is only meaningful if accompanied by the dismantling of intra-EU barriers and national preferences in procurement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w:t>
            </w:r>
          </w:p>
        </w:tc>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w:t>
            </w:r>
            <w:r>
              <w:rPr>
                <w:b/>
                <w:i/>
              </w:rPr>
              <w:t>, ensuring control of our equipment, freedom of action and security of supply</w:t>
            </w:r>
            <w:r>
              <w:t xml:space="preserve">; </w:t>
            </w:r>
            <w:r>
              <w:rPr>
                <w:b/>
                <w:i/>
              </w:rPr>
              <w:t>stresses that a strong European preference clause could create new quality jobs in Europe and increase the interoperability and interchangeability of defence products in the Union as well as reduce our dependencies to third countries by increasing our ability to act collectively and autonomously when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as enshrined in the European Defence Industry Programme (EDIP), be </w:t>
            </w:r>
            <w:r>
              <w:rPr>
                <w:b/>
                <w:i/>
              </w:rPr>
              <w:t>extended to all headings and</w:t>
            </w:r>
            <w:r>
              <w:t xml:space="preserve"> instruments of the future budget </w:t>
            </w:r>
            <w:r>
              <w:rPr>
                <w:b/>
                <w:i/>
              </w:rPr>
              <w:t>as a whole</w:t>
            </w:r>
            <w:r>
              <w:t>;</w:t>
            </w:r>
          </w:p>
        </w:tc>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as enshrined in the European Defence Industry Programme (EDIP), be </w:t>
            </w:r>
            <w:r>
              <w:rPr>
                <w:b/>
                <w:i/>
              </w:rPr>
              <w:t>applied consistently across defence-related</w:t>
            </w:r>
            <w:r>
              <w:t xml:space="preserve"> instruments of the future budget</w:t>
            </w:r>
            <w:r>
              <w:rPr>
                <w:b/>
                <w:i/>
              </w:rPr>
              <w:t>, while preserving security and defence cooperation with like-minded partners and without jeopardising the immediate replenishment of stocks and arsenals; stresses that a European preference is only meaningful if accompanied by the dismantling of intra-EU barriers and national preferences in procurement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w:t>
            </w:r>
          </w:p>
        </w:tc>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 </w:t>
            </w:r>
            <w:r>
              <w:rPr>
                <w:b/>
                <w:i/>
              </w:rPr>
              <w:t>urges the Commission and Member States to establish a sustainable financing model for defence by exempting military expenditure from the EU's fiscal rules, thereby allowing Member States to increase defence spending while maintaining fiscal credibility and preserving favourable financing conditions;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w:t>
            </w:r>
          </w:p>
        </w:tc>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as enshrined in the European Defence Industry Programme (EDIP), be extended to all headings and instruments of the future budget as a whole; </w:t>
            </w:r>
            <w:r>
              <w:rPr>
                <w:b/>
                <w:i/>
              </w:rPr>
              <w:t>stresses that this must not delay the procurement of critical capabilities not yet available from the European industry, nor undermine interoperability and industrial cooperation with NATO Allies and close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w:t>
            </w:r>
            <w:r>
              <w:rPr>
                <w:b/>
                <w:i/>
              </w:rPr>
              <w:t>insists that the principle and definition of a European preference, as enshrined in the European Defence Industry Programme (EDIP), be extended to all headings and instruments of the future budget as a whole;</w:t>
            </w:r>
          </w:p>
        </w:tc>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w:t>
            </w:r>
            <w:r>
              <w:rPr>
                <w:b/>
                <w:i/>
              </w:rPr>
              <w:t>insists that the principle and definition of a European preference, as enshrined in the European Defence Industry Programme (EDIP), be extended to all headings and instruments of the future budget as a whole;</w:t>
            </w:r>
          </w:p>
        </w:tc>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Demands that the next multiannual financial framework (MFF) fully reflects and adapts to defence as a new and essential priority for the EU; insists that the principle and definition of a European preference</w:t>
            </w:r>
            <w:r>
              <w:rPr>
                <w:b/>
                <w:i/>
              </w:rPr>
              <w:t>, as enshrined in the European Defence Industry Programme (EDIP),</w:t>
            </w:r>
            <w:r>
              <w:t xml:space="preserve"> be extended to all headings and instruments of the future budget </w:t>
            </w:r>
            <w:r>
              <w:rPr>
                <w:b/>
                <w:i/>
              </w:rPr>
              <w:t>as a whole</w:t>
            </w:r>
            <w:r>
              <w:t>;</w:t>
            </w:r>
          </w:p>
        </w:tc>
        <w:tc>
          <w:tcPr>
            <w:tcW w:w="4876" w:type="dxa"/>
            <w:tcBorders>
              <w:top w:val="nil"/>
              <w:left w:val="nil"/>
              <w:bottom w:val="nil"/>
              <w:right w:val="nil"/>
            </w:tcBorders>
          </w:tcPr>
          <w:p>
            <w:pPr>
              <w:pStyle w:val="Normal6a"/>
            </w:pPr>
            <w:r>
              <w:t>42.</w:t>
            </w:r>
            <w:r>
              <w:tab/>
            </w:r>
            <w:r>
              <w:t xml:space="preserve">Demands that the next multiannual financial framework (MFF) fully reflects and adapts to defence as a new and essential priority for the EU; insists that the principle and definition of a European preference be extended to all </w:t>
            </w:r>
            <w:r>
              <w:rPr>
                <w:b/>
                <w:i/>
              </w:rPr>
              <w:t>defence-related expenditure under the relevant</w:t>
            </w:r>
            <w:r>
              <w:t xml:space="preserve"> headings and instruments of the future budget</w:t>
            </w:r>
            <w:r>
              <w:rPr>
                <w:b/>
                <w:i/>
              </w:rPr>
              <w:t>; stresses the need to identify additional budgetary resources in support of European security and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Recalls its resolution of 11 March 2026 on tackling barriers to the single market for defence; stresses that the unprecedented increase in defence spending will only deliver value for money if it is spent in a genuine single market for defence rather than in 27 fragmented national markets; welcomes the agreement on the directive simplifying intra-EU transfers of defence-related products and security and defence procurement as a first step; calls on the Commission to present without further delay its announced communication on the Defence Single Market, together with an ambitious and comprehensive revision of the Defence and Security Procurement Directive, to be followed by a revision of the Intra-EU Defence Transfers Directive, in order to facilitate joint and cross-border procurement, promote common standards and the mutual recognition of certification, and guarantee fair access for SMEs and companies from all Member States; insists that the national security exemption under Article 346 TFEU be applied only exceptionally, and calls on the Commission to issue interpretative guidance to that end and to monitor its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r>
        <w:rPr>
          <w:rStyle w:val="HideTWBExt"/>
          <w:b w:val="0"/>
        </w:rPr>
        <w:t>&lt;AuNomDe&gt;</w:t>
      </w:r>
      <w:r>
        <w:rPr>
          <w:rStyle w:val="HideTWBInt"/>
        </w:rPr>
        <w:t>{SEDE}</w:t>
      </w:r>
      <w:r>
        <w:t>on behalf of the Committee on Security and Defence</w:t>
      </w:r>
      <w:r>
        <w:rPr>
          <w:rStyle w:val="HideTWBExt"/>
          <w:b w:val="0"/>
        </w:rPr>
        <w:t>&lt;/AuNomDe&gt;</w:t>
      </w:r>
    </w:p>
    <w:p>
      <w:pPr>
        <w:pStyle w:val="NormalBold"/>
      </w:pPr>
      <w:r>
        <w:rPr>
          <w:rStyle w:val="HideTWBExt"/>
          <w:b w:val="0"/>
        </w:rPr>
        <w:t>&lt;Members&gt;</w:t>
      </w:r>
      <w:r>
        <w:t>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Underlines that European defence policy must be shaped in accordance with the political values that define the European project; stresses that a credible and legitimate European security and defence architecture must actively contribute to the protection of democracy, the rule of law and fundamental rights, both within and beyond EU borders; considers that European defence cannot be reduced to a purely military logic, but must equally safeguard our social model, ensure democratic accountability over defence decisions and place the security and wellbeing of citizens at its centre; calls on the EU institutions and Member States to ensure that capability development, financing, mission mandates and industrial policy all reflect these values consistently;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Calls for the completion of a genuine single market for defence; is concerned that national procurement practices continue to favour national industries, including through frequent recourse to and misuse of Article 346 TFEU; recalls the settled case-law of the Court of Justice according to which this derogation must be interpreted strictly and its necessity demonstrated by the Member State concerned; calls on the Commission to issue interpretative guidance on Article 346 TFEU, to monitor its application and, where appropriate, to launch infringement proceedings;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Recalls that European preference must be the norm for all European defence and industry funding programmes, in order to gradually strengthen the EDTIB and reduce the Union’s external dependencies;</w:t>
            </w:r>
            <w:r>
              <w:t xml:space="preserve"> </w:t>
            </w:r>
            <w:r>
              <w:rPr>
                <w:b/>
                <w:i/>
              </w:rPr>
              <w:t>points out that this European preference is not intended to force the armed forces of Member States to use European solutions, and that they remain free to use their national funds to procure equipment produced or developed in third countries;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Regrets the lack of an indicative breakdown by sub-policy and sub-component in the forthcoming multiannual financial framework with regard to Defense;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42b.</w:t>
            </w:r>
            <w:r>
              <w:tab/>
            </w:r>
            <w:r>
              <w:rPr>
                <w:b/>
                <w:i/>
              </w:rPr>
              <w:t>Condemns the pressure and threats exerted by the United States against the Union in the context of negotiations on its budget and the introduction of the ‘European preference’ in funding instruments for industry and defence;</w:t>
            </w:r>
            <w:r>
              <w:t xml:space="preserve"> </w:t>
            </w:r>
            <w:r>
              <w:rPr>
                <w:b/>
                <w:i/>
              </w:rPr>
              <w:t>points out that, under Title III of the Defense Production Act (DPA), the United States requires, for strategic industrial projects, that virtually all research, development and production activities, as well as components, be sourced domestically, whilst European instruments currently allow up to 35% of components to come from non-associated third countries;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rPr>
                <w:b/>
                <w:i/>
              </w:rPr>
              <w:t>Notes</w:t>
            </w:r>
            <w:r>
              <w:t xml:space="preserve"> that the </w:t>
            </w:r>
            <w:r>
              <w:rPr>
                <w:b/>
                <w:i/>
              </w:rPr>
              <w:t>ReArm Europe Plan/Readiness 2030 was announced as being capable of mobilising up to EUR 800 billion, of which some EUR 650 billion was to be freed up through the coordinated activation</w:t>
            </w:r>
            <w:r>
              <w:t xml:space="preserve"> of the </w:t>
            </w:r>
            <w:r>
              <w:rPr>
                <w:b/>
                <w:i/>
              </w:rPr>
              <w:t>national escape clause of the Stability and Growth Pact; observes the stark gap between this announcement and</w:t>
            </w:r>
            <w:r>
              <w:t xml:space="preserve"> implementation</w:t>
            </w:r>
            <w:r>
              <w:rPr>
                <w:b/>
                <w:i/>
              </w:rPr>
              <w:t>; warns against a ‘Potemkin’ Europe</w:t>
            </w:r>
            <w:r>
              <w:t xml:space="preserve"> of defence </w:t>
            </w:r>
            <w:r>
              <w:rPr>
                <w:b/>
                <w:i/>
              </w:rPr>
              <w:t>that promises far more than it delivers</w:t>
            </w:r>
            <w:r>
              <w:t>;</w:t>
            </w:r>
          </w:p>
        </w:tc>
        <w:tc>
          <w:tcPr>
            <w:tcW w:w="4876" w:type="dxa"/>
            <w:tcBorders>
              <w:top w:val="nil"/>
              <w:left w:val="nil"/>
              <w:bottom w:val="nil"/>
              <w:right w:val="nil"/>
            </w:tcBorders>
          </w:tcPr>
          <w:p>
            <w:pPr>
              <w:pStyle w:val="Normal6a"/>
            </w:pPr>
            <w:r>
              <w:t>43.</w:t>
            </w:r>
            <w:r>
              <w:tab/>
            </w:r>
            <w:r>
              <w:rPr>
                <w:b/>
                <w:i/>
              </w:rPr>
              <w:t>Stresses</w:t>
            </w:r>
            <w:r>
              <w:t xml:space="preserve"> that the </w:t>
            </w:r>
            <w:r>
              <w:rPr>
                <w:b/>
                <w:i/>
              </w:rPr>
              <w:t>implementation</w:t>
            </w:r>
            <w:r>
              <w:t xml:space="preserve"> of the </w:t>
            </w:r>
            <w:r>
              <w:rPr>
                <w:b/>
                <w:i/>
              </w:rPr>
              <w:t>Readiness 2030 plan must translate increased defence spending into concrete, deployable and interoperable capabilities; calls on the Member States and the Commission to ensure transparency and regular reporting on the</w:t>
            </w:r>
            <w:r>
              <w:t xml:space="preserve"> implementation of </w:t>
            </w:r>
            <w:r>
              <w:rPr>
                <w:b/>
                <w:i/>
              </w:rPr>
              <w:t>the plan, including progress towards meeting</w:t>
            </w:r>
            <w:r>
              <w:t xml:space="preserve"> defence </w:t>
            </w:r>
            <w:r>
              <w:rPr>
                <w:b/>
                <w:i/>
              </w:rPr>
              <w:t>investment and capability commitments undertaken within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Notes that the ReArm Europe Plan/Readiness 2030 was announced as being capable of mobilising up to EUR 800 billion, of which some EUR 650 billion was to be freed up through the coordinated activation of the national escape clause of the Stability and Growth Pact; </w:t>
            </w:r>
            <w:r>
              <w:rPr>
                <w:b/>
                <w:i/>
              </w:rPr>
              <w:t>observes the stark gap between this announcement and implementation; warns against a ‘Potemkin’ Europe of</w:t>
            </w:r>
            <w:r>
              <w:t xml:space="preserve"> defence </w:t>
            </w:r>
            <w:r>
              <w:rPr>
                <w:b/>
                <w:i/>
              </w:rPr>
              <w:t>that promises far more than it delivers</w:t>
            </w:r>
            <w:r>
              <w:t>;</w:t>
            </w:r>
          </w:p>
        </w:tc>
        <w:tc>
          <w:tcPr>
            <w:tcW w:w="4876" w:type="dxa"/>
            <w:tcBorders>
              <w:top w:val="nil"/>
              <w:left w:val="nil"/>
              <w:bottom w:val="nil"/>
              <w:right w:val="nil"/>
            </w:tcBorders>
          </w:tcPr>
          <w:p>
            <w:pPr>
              <w:pStyle w:val="Normal6a"/>
            </w:pPr>
            <w:r>
              <w:t>43.</w:t>
            </w:r>
            <w:r>
              <w:tab/>
            </w:r>
            <w:r>
              <w:t xml:space="preserve">Notes that the ReArm Europe Plan/Readiness 2030 was announced as being capable of mobilising up to EUR 800 billion, of which some EUR 650 billion was to be freed up through the coordinated activation of the national escape clause of the Stability and Growth Pact; </w:t>
            </w:r>
            <w:r>
              <w:rPr>
                <w:b/>
                <w:i/>
              </w:rPr>
              <w:t>welcomes, at the same time, the unprecedented effort undertaken by the Member States, whose</w:t>
            </w:r>
            <w:r>
              <w:t xml:space="preserve"> defence </w:t>
            </w:r>
            <w:r>
              <w:rPr>
                <w:b/>
                <w:i/>
              </w:rPr>
              <w:t>expenditure reached EUR 418 billion in 2025 and is projected at EUR 454 billion in 2026; stresses that the real structural weakness lies in fragmentation, with only around a quarter of equipment procurement conducted collaboratively, and insists on the delivery of the agreed targets of 40 % joint procurement by the end of 2027 and 55 % procurement with European preference by the end of 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 warns against a ‘Potemkin’ Europe of defence that promises far more than it delivers;</w:t>
            </w:r>
          </w:p>
        </w:tc>
        <w:tc>
          <w:tcPr>
            <w:tcW w:w="4876" w:type="dxa"/>
            <w:tcBorders>
              <w:top w:val="nil"/>
              <w:left w:val="nil"/>
              <w:bottom w:val="nil"/>
              <w:right w:val="nil"/>
            </w:tcBorders>
          </w:tcPr>
          <w:p>
            <w:pPr>
              <w:pStyle w:val="Normal6a"/>
            </w:pPr>
            <w:r>
              <w:t>43.</w:t>
            </w:r>
            <w:r>
              <w:tab/>
            </w:r>
            <w:r>
              <w:t>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w:t>
            </w:r>
            <w:r>
              <w:rPr>
                <w:b/>
                <w:i/>
              </w:rPr>
              <w:t>, the Commission having acknowledged that recourse to the clause falls far short of that projection</w:t>
            </w:r>
            <w:r>
              <w:t xml:space="preserve">; warns against a ‘Potemkin’ Europe of defence that promises far more than it delivers; </w:t>
            </w:r>
            <w:r>
              <w:rPr>
                <w:b/>
                <w:i/>
              </w:rPr>
              <w:t>is concerned, moreover, that the escape clause, by its very design, incentivises a surge in purely national Defense spending free of any European coordination or joint-procurement conditionality, and that SAFE, unless rigorously tied to genuine common capability development, risks reinforcing rather than overcoming the fragmentation of the European Defense market denounced by the Draghi report; calls on the Commission and Member States to ensure that every euro of additional EU Defense expenditure serves coordinated, European capability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Notes that the ReArm Europe Plan/Readiness 2030 was announced as being capable of mobilising up to EUR 800 billion, of which some EUR 650 billion was to be </w:t>
            </w:r>
            <w:r>
              <w:rPr>
                <w:b/>
                <w:i/>
              </w:rPr>
              <w:t>freed up</w:t>
            </w:r>
            <w:r>
              <w:t xml:space="preserve"> through the coordinated activation of the national escape clause of the Stability and Growth Pact; observes the stark gap between this announcement and implementation; warns against a ‘Potemkin’ Europe of defence that promises far more than it delivers;</w:t>
            </w:r>
          </w:p>
        </w:tc>
        <w:tc>
          <w:tcPr>
            <w:tcW w:w="4876" w:type="dxa"/>
            <w:tcBorders>
              <w:top w:val="nil"/>
              <w:left w:val="nil"/>
              <w:bottom w:val="nil"/>
              <w:right w:val="nil"/>
            </w:tcBorders>
          </w:tcPr>
          <w:p>
            <w:pPr>
              <w:pStyle w:val="Normal6a"/>
            </w:pPr>
            <w:r>
              <w:t>43.</w:t>
            </w:r>
            <w:r>
              <w:tab/>
            </w:r>
            <w:r>
              <w:t xml:space="preserve">Notes that the ReArm Europe Plan/Readiness 2030 was announced as being capable of mobilising up to EUR 800 billion, of which some EUR 650 billion was to be </w:t>
            </w:r>
            <w:r>
              <w:rPr>
                <w:b/>
                <w:i/>
              </w:rPr>
              <w:t>potentially mobilised in additional national defence expenditure</w:t>
            </w:r>
            <w:r>
              <w:t xml:space="preserve"> through the coordinated activation of the national escape clause of the Stability and Growth Pact; observes the stark gap between this announcement and implementation; warns against a ‘Potemkin’ Europe of defence that promises far more than it delivers; </w:t>
            </w:r>
            <w:r>
              <w:rPr>
                <w:b/>
                <w:i/>
              </w:rPr>
              <w:t>stresses that national fiscal flexibility and loans alone cannot provide a sufficient basis for financing European defence; underlines that European defence, preparedness and resilience are European public goods requiring stronger Union-level financing, including through common instruments and joint debt; stresses that such financing should deliver jointly developed European capabilities, interoperability and clear European added value, while ensuring fair burden-sharing and taking into account differences in Member States’ fiscal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 warns against a ‘Potemkin’ Europe of defence that promises far more than it delivers;</w:t>
            </w:r>
          </w:p>
        </w:tc>
        <w:tc>
          <w:tcPr>
            <w:tcW w:w="4876" w:type="dxa"/>
            <w:tcBorders>
              <w:top w:val="nil"/>
              <w:left w:val="nil"/>
              <w:bottom w:val="nil"/>
              <w:right w:val="nil"/>
            </w:tcBorders>
          </w:tcPr>
          <w:p>
            <w:pPr>
              <w:pStyle w:val="Normal6a"/>
            </w:pPr>
            <w:r>
              <w:t>43.</w:t>
            </w:r>
            <w:r>
              <w:tab/>
            </w:r>
            <w:r>
              <w:t xml:space="preserve">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 warns against a ‘Potemkin’ Europe of defence that promises far more than it delivers; </w:t>
            </w:r>
            <w:r>
              <w:rPr>
                <w:b/>
                <w:i/>
              </w:rPr>
              <w:t>considers that this gap results largely from reliance on national fiscal flexibility rather than on common European financing; calls, therefore, for the pooling of part of national defence budgets at EU level and for exploring common European financing, including European defence bonds building on the precedents of SAFE and the Ukraine Support Loan, for European public goods such as an integrated air and missile defence shield, space-based capabilities and strategic enablers; recalls that the lack of European cooperation is estimated to cost up to 19 % of defence spending;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 warns against a ‘Potemkin’ Europe of defence that promises far more than it delivers;</w:t>
            </w:r>
          </w:p>
        </w:tc>
        <w:tc>
          <w:tcPr>
            <w:tcW w:w="4876" w:type="dxa"/>
            <w:tcBorders>
              <w:top w:val="nil"/>
              <w:left w:val="nil"/>
              <w:bottom w:val="nil"/>
              <w:right w:val="nil"/>
            </w:tcBorders>
          </w:tcPr>
          <w:p>
            <w:pPr>
              <w:pStyle w:val="Normal6a"/>
            </w:pPr>
            <w:r>
              <w:t>43.</w:t>
            </w:r>
            <w:r>
              <w:tab/>
            </w:r>
            <w:r>
              <w:t xml:space="preserve">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 warns against a ‘Potemkin’ Europe of defence that promises far more than it delivers; </w:t>
            </w:r>
            <w:r>
              <w:rPr>
                <w:b/>
                <w:i/>
              </w:rPr>
              <w:t>stresses that EU-level funding cannot replace national efforts;</w:t>
            </w:r>
            <w:r>
              <w:t xml:space="preserve"> </w:t>
            </w:r>
            <w:r>
              <w:rPr>
                <w:b/>
                <w:i/>
              </w:rPr>
              <w:t>calls, therefore, on EU Member States in NATO to continue their efforts to meet the annual target of spending at least 3.5% of GDP on defence by 2035, in accordance with the commitments made at the NATO summit in The Hague on 25 June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 warns against a ‘</w:t>
            </w:r>
            <w:r>
              <w:rPr>
                <w:b/>
                <w:i/>
              </w:rPr>
              <w:t>Potemkin</w:t>
            </w:r>
            <w:r>
              <w:t>’ Europe of defence that promises far more than it delivers;</w:t>
            </w:r>
          </w:p>
        </w:tc>
        <w:tc>
          <w:tcPr>
            <w:tcW w:w="4876" w:type="dxa"/>
            <w:tcBorders>
              <w:top w:val="nil"/>
              <w:left w:val="nil"/>
              <w:bottom w:val="nil"/>
              <w:right w:val="nil"/>
            </w:tcBorders>
          </w:tcPr>
          <w:p>
            <w:pPr>
              <w:pStyle w:val="Normal6a"/>
            </w:pPr>
            <w:r>
              <w:t>43.</w:t>
            </w:r>
            <w:r>
              <w:tab/>
            </w:r>
            <w:r>
              <w:t>Notes that the ReArm Europe Plan/Readiness 2030 was announced as being capable of mobilising up to EUR 800 billion, of which some EUR 650 billion was to be freed up through the coordinated activation of the national escape clause of the Stability and Growth Pact; observes the stark gap between this announcement and implementation; warns against a ‘</w:t>
            </w:r>
            <w:r>
              <w:rPr>
                <w:b/>
                <w:i/>
              </w:rPr>
              <w:t>trompe-l’œil</w:t>
            </w:r>
            <w:r>
              <w:t>’ Europe of defence that promises far more than it delivers;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Condemns the repeated drone incursions into EU airspace; stresses that counter-drone capabilities must be affordable, scalable and rapidly deployable, including low-cost interceptors, electronic warfare and sensors, so that expensive munitions are not used against cheap drones; calls for the European Drone Defence Initiative and the DECODER project to be fully financed, for joint procurement and common standards, and for Ukraine's battlefield expertise to be systematically integrated;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43c.</w:t>
            </w:r>
            <w:r>
              <w:tab/>
            </w:r>
            <w:r>
              <w:rPr>
                <w:b/>
                <w:i/>
              </w:rPr>
              <w:t>Calls on the Commission to publish an annual implementation scoreboard of EU defence funding, broken down by Member State and by instrument, and to report to Parliament on progress in closing critical capability gaps on the eastern and south-eastern flanks;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Stresses that the choices made, at a time when European defence budgets are rising at an unprecedented pace, will shape the structure of the EDTIB for decades;</w:t>
            </w:r>
          </w:p>
        </w:tc>
        <w:tc>
          <w:tcPr>
            <w:tcW w:w="4876" w:type="dxa"/>
            <w:tcBorders>
              <w:top w:val="nil"/>
              <w:left w:val="nil"/>
              <w:bottom w:val="nil"/>
              <w:right w:val="nil"/>
            </w:tcBorders>
          </w:tcPr>
          <w:p>
            <w:pPr>
              <w:pStyle w:val="Normal6a"/>
            </w:pPr>
            <w:r>
              <w:t>44.</w:t>
            </w:r>
            <w:r>
              <w:tab/>
            </w:r>
            <w:r>
              <w:t xml:space="preserve">Stresses that the choices made, at a time when European defence budgets are rising at an unprecedented pace, will shape the structure of the EDTIB for decades; </w:t>
            </w:r>
            <w:r>
              <w:rPr>
                <w:b/>
                <w:i/>
              </w:rPr>
              <w:t>warns that, should these investments be programmed purely along national lines without coordination, the Union risks emerging from the current effort with an EDTIB more fragmented than before, at the expense of costs, interoperability and maintaining its dependence on third States; urges Member States to coordinate the scaling-up of production from the outset, by consolidating demand, as well as committing to long-term contracts giving industry the predictability and volumes required to invest; recalls the EDIS benchmarks of 40% collaborative procurement and 50% of intra-EU purchases by 2030, rising to 60% by 2035 and regrets that collaborative procurement remains limited and uneven across Member States, representing, according to the EDA, only 24% of total Defense equipment procurement in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Stresses that the choices made, at a time when European defence budgets are rising at an unprecedented pace, will shape the structure of the EDTIB for decades;</w:t>
            </w:r>
          </w:p>
        </w:tc>
        <w:tc>
          <w:tcPr>
            <w:tcW w:w="4876" w:type="dxa"/>
            <w:tcBorders>
              <w:top w:val="nil"/>
              <w:left w:val="nil"/>
              <w:bottom w:val="nil"/>
              <w:right w:val="nil"/>
            </w:tcBorders>
          </w:tcPr>
          <w:p>
            <w:pPr>
              <w:pStyle w:val="Normal6a"/>
            </w:pPr>
            <w:r>
              <w:t>44.</w:t>
            </w:r>
            <w:r>
              <w:tab/>
            </w:r>
            <w:r>
              <w:t xml:space="preserve">Stresses that the choices made, at a time when European defence budgets are rising at an unprecedented pace, will shape the structure of the EDTIB for decades; </w:t>
            </w:r>
            <w:r>
              <w:rPr>
                <w:b/>
                <w:i/>
              </w:rPr>
              <w:t>underlines that the EDTIB has the potential to serve as a blueprint for how public procurement and public investment can accelerate innovation, scale-up and industrial growth in Europe; stresses that lessons from defence innovation, including rapid procurement, demand-driven innovation and closer cooperation between governments, armed forces, established industry and innovative companies, can be proven in the defence sector, and then later be applied where appropriate across other industrial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Stresses that the choices made, at a time when European defence budgets are rising at an unprecedented pace, will shape the structure of the EDTIB for decades;</w:t>
            </w:r>
          </w:p>
        </w:tc>
        <w:tc>
          <w:tcPr>
            <w:tcW w:w="4876" w:type="dxa"/>
            <w:tcBorders>
              <w:top w:val="nil"/>
              <w:left w:val="nil"/>
              <w:bottom w:val="nil"/>
              <w:right w:val="nil"/>
            </w:tcBorders>
          </w:tcPr>
          <w:p>
            <w:pPr>
              <w:pStyle w:val="Normal6a"/>
            </w:pPr>
            <w:r>
              <w:t>44.</w:t>
            </w:r>
            <w:r>
              <w:tab/>
            </w:r>
            <w:r>
              <w:t xml:space="preserve">Stresses that the choices made, at a time when European defence budgets are rising at an unprecedented pace, will shape the structure of the EDTIB for decades; </w:t>
            </w:r>
            <w:r>
              <w:rPr>
                <w:b/>
                <w:i/>
              </w:rPr>
              <w:t>stresses, therefore, that increased defence investment should contribute to a more geographically balanced and integrated EDTIB, ensuring that public investment generates economic and industrial benefits across the Union, strengthens cross-border supply chains and enables SMEs and industrial actors from all Member States to participate in the European defence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Stresses that the choices made, at a time when European defence budgets are rising at an unprecedented pace, will shape the structure of the EDTIB for decades;</w:t>
            </w:r>
          </w:p>
        </w:tc>
        <w:tc>
          <w:tcPr>
            <w:tcW w:w="4876" w:type="dxa"/>
            <w:tcBorders>
              <w:top w:val="nil"/>
              <w:left w:val="nil"/>
              <w:bottom w:val="nil"/>
              <w:right w:val="nil"/>
            </w:tcBorders>
          </w:tcPr>
          <w:p>
            <w:pPr>
              <w:pStyle w:val="Normal6a"/>
            </w:pPr>
            <w:r>
              <w:t>44.</w:t>
            </w:r>
            <w:r>
              <w:tab/>
            </w:r>
            <w:r>
              <w:t xml:space="preserve">Stresses that the choices made, at a time when European defence budgets are rising at an unprecedented pace, will shape the structure of the EDTIB for decades; </w:t>
            </w:r>
            <w:r>
              <w:rPr>
                <w:b/>
                <w:i/>
              </w:rPr>
              <w:t>stresses the need to ensure that EU funds are channelled into collaborative projects, with clear European added value, that reduce our dependencies on non-EU countries; is of the view that, without structural European reform and collaboration, increased national spending may lead to continued duplication of efforts and inefficiencies;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Stresses that the choices made, at a time when European defence budgets are rising at an unprecedented pace, will shape the structure of the EDTIB for decades;</w:t>
            </w:r>
          </w:p>
        </w:tc>
        <w:tc>
          <w:tcPr>
            <w:tcW w:w="4876" w:type="dxa"/>
            <w:tcBorders>
              <w:top w:val="nil"/>
              <w:left w:val="nil"/>
              <w:bottom w:val="nil"/>
              <w:right w:val="nil"/>
            </w:tcBorders>
          </w:tcPr>
          <w:p>
            <w:pPr>
              <w:pStyle w:val="Normal6a"/>
            </w:pPr>
            <w:r>
              <w:t>44.</w:t>
            </w:r>
            <w:r>
              <w:tab/>
            </w:r>
            <w:r>
              <w:t>Stresses that the choices made, at a time when European defence budgets are rising at an unprecedented pace, will shape the structure of the EDTIB for decades;</w:t>
            </w:r>
            <w:r>
              <w:rPr>
                <w:b/>
                <w:i/>
              </w:rPr>
              <w:t> stresses that every additional euro spent on defence must deliver additional capabilities, European added value, industrial resilience, quality jobs and democratic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Reiterates that SMEs and mid-caps from across the Union are the backbone of the EDTIB and of defence supply chains; stresses that all EU defence industrial initiatives and financial instruments must ensure a level playing field for all defence industry actors across the Union and promote cooperation between larger and smaller companies from all 27 Member States, so as to avoid market domination by a few large companies from a limited number of Member States and to ensure a more balanced geographical distribution of industrial activity and its benefits;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Wouter Beke,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Regrets that joint procurement still accounts for only around one fifth of defence equipment purchases; calls on the Member States to meet their collaborative procurement commitments and to reduce the number of different weapon systems in use, in line with NATO standards; calls for the establishment of a ‘European DARPA’ with sufficient funding; stresses the need to ensure fair access for SMEs and innovative operators from all Member States and to develop regional innovation hubs and testing facilities;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44b.</w:t>
            </w:r>
            <w:r>
              <w:tab/>
            </w:r>
            <w:r>
              <w:rPr>
                <w:b/>
                <w:i/>
              </w:rPr>
              <w:t>Strongly believes that, together with the reinforcement of the EDTIB, greater convergence and consistency in Member States’ arms export policies is needed, ensuring that no EU-funded or European-made arms are used against the security interests of the Union and its Member States or to facilitate human rights violations; calls for Common Position 2008/944/CFSP to be further developed, made legally binding and implemented under the coordination of the VP/HR, and for Member States to strictly implement criterion 4 on regional stability and halt any export of military equipment that could be used against other EU Member States; calls for a consultation mechanism to assess compliance and for a sanctions mechanism against Member States that do not comply;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 calls for the EU and its Member States to step up joint efforts to address these gaps also through European defence projects of common interest;</w:t>
            </w:r>
          </w:p>
        </w:tc>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w:t>
            </w:r>
            <w:r>
              <w:rPr>
                <w:b/>
                <w:i/>
              </w:rPr>
              <w:t>; urges Member States to develop, in line with the recommendations of the white paper of 19 March 2025, air and missile Defense, artillery systems, ammunition and missiles, drone and counter-drone systems, military mobility, AI, quantum, cyberwarfare and electronic warfare, strategic enablers and critical infrastructure protection</w:t>
            </w:r>
            <w:r>
              <w:t xml:space="preserve">; calls for the EU and its Member States to step up joint efforts to address these gaps also through European defence projects of common interest; </w:t>
            </w:r>
            <w:r>
              <w:rPr>
                <w:b/>
                <w:i/>
              </w:rPr>
              <w:t>recalls the importance of strategic enablers enablers – air-to-air refuelling, strategic lift, strategic command and control, early warning and space surveillance – in view of the likely reduction of US assets in Europe, and on developing them cooperatively, including through European Defence Projects of Common Interestas critical support assets and force multipliers of any credible Defense and welcomes the announcement, on 16 September 2026, of a new European Instrument for Strategic Enablers; considers that it is becoming essential for the EDTIB to gain the ability to produce rapidly and to operate at scale, in particular through the support for ramp-up provided for under the EDIP and in the forthcoming ECF;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 calls for the EU and its Member States to step up joint efforts to address these gaps also through European defence projects of common interest;</w:t>
            </w:r>
          </w:p>
        </w:tc>
        <w:tc>
          <w:tcPr>
            <w:tcW w:w="4876" w:type="dxa"/>
            <w:tcBorders>
              <w:top w:val="nil"/>
              <w:left w:val="nil"/>
              <w:bottom w:val="nil"/>
              <w:right w:val="nil"/>
            </w:tcBorders>
          </w:tcPr>
          <w:p>
            <w:pPr>
              <w:pStyle w:val="Normal6a"/>
            </w:pPr>
            <w:r>
              <w:t>45.</w:t>
            </w:r>
            <w:r>
              <w:tab/>
            </w:r>
            <w:r>
              <w:t xml:space="preserve">Insists on the need to replenish depleted stocks, accelerate production capacities and close critical capability gaps; calls for the EU and its Member States to step up joint efforts to address these gaps also through European defence projects of common interest; </w:t>
            </w:r>
            <w:r>
              <w:rPr>
                <w:b/>
                <w:i/>
              </w:rPr>
              <w:t>welcomes the Council's identification, on 28 September 2026, of the first five such projects, covering drones and counter-drone systems, maritime and seabed defence, space, integrated air and missile defence and the Eastern Flank Watch, developed in close cooperation with Norway and Ukraine; notes, however, that the funding available under the EDIP for their initial deployment is modest compared with their scale, and insists that they receive adequate and predictable financing under the future European Competitiveness Fund; recalls that capability priorities must be anchored in the European Defence Agency's Capability Development Plan and the findings of the Coordinated Annual Review on Defence, in coherence with the NATO Defence Planning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 calls for the EU and its Member States to step up joint efforts to address these gaps also through European defence projects of common interest;</w:t>
            </w:r>
          </w:p>
        </w:tc>
        <w:tc>
          <w:tcPr>
            <w:tcW w:w="4876" w:type="dxa"/>
            <w:tcBorders>
              <w:top w:val="nil"/>
              <w:left w:val="nil"/>
              <w:bottom w:val="nil"/>
              <w:right w:val="nil"/>
            </w:tcBorders>
          </w:tcPr>
          <w:p>
            <w:pPr>
              <w:pStyle w:val="Normal6a"/>
            </w:pPr>
            <w:r>
              <w:t>45.</w:t>
            </w:r>
            <w:r>
              <w:tab/>
            </w:r>
            <w:r>
              <w:t xml:space="preserve">Insists </w:t>
            </w:r>
            <w:r>
              <w:rPr>
                <w:b/>
                <w:i/>
              </w:rPr>
              <w:t>that increased defence spending must go hand in hand with spending it strategically, replacing small numbers of costly manned platforms with mass numbers of low-cost unmanned systems, in line with a modern concept of warfare as learned from Ukraine’s combat experience; stresses</w:t>
            </w:r>
            <w:r>
              <w:t xml:space="preserve"> on the need to replenish depleted stocks, accelerate production capacities and close critical capability gaps </w:t>
            </w:r>
            <w:r>
              <w:rPr>
                <w:b/>
                <w:i/>
              </w:rPr>
              <w:t>while also adapting force structures, training and doctrine to a new operational reality</w:t>
            </w:r>
            <w:r>
              <w:t>; calls for the EU and its Member States to step up joint efforts to address these gaps also through European defence projects of common 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 calls for the EU and its Member States to step up joint efforts to address these gaps also through European defence projects of common interest;</w:t>
            </w:r>
          </w:p>
        </w:tc>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w:t>
            </w:r>
            <w:r>
              <w:rPr>
                <w:b/>
                <w:i/>
              </w:rPr>
              <w:t>, as identified in the NATO capability targets agreed by Allies</w:t>
            </w:r>
            <w:r>
              <w:t xml:space="preserve">; calls for the EU and its Member States to step up joint efforts to address these gaps also through European defence projects of common interest; </w:t>
            </w:r>
            <w:r>
              <w:rPr>
                <w:b/>
                <w:i/>
              </w:rPr>
              <w:t>welcomes the commitment made by Allies at the 2025 NATO Summit in The Hague to invest 5 % of GDP annually on core defence requirements as well as defence- and security-related spending by 2035, and calls on all Member States that are NATO Allies to honour it in full and without exemptions;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 calls for the EU and its Member States to step up joint efforts to address these gaps also through European defence projects of common interest;</w:t>
            </w:r>
          </w:p>
        </w:tc>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 calls for the EU and its Member States to step up joint efforts to address these gaps also through European defence projects of common interest;</w:t>
            </w:r>
            <w:r>
              <w:rPr>
                <w:b/>
                <w:i/>
              </w:rPr>
              <w:t> insists that joint procurement must become the norm rather than the exception, making extensive use of the Structure for European Armament Programme (SEAP), and calls on the Member States to commit to developing, by 2030, a genuine European Military Sales Mechanism managed by a reinforced European Defence Agency;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rPr>
                <w:b/>
                <w:i/>
              </w:rPr>
              <w:t>Insists</w:t>
            </w:r>
            <w:r>
              <w:t xml:space="preserve"> on the need to replenish depleted stocks, accelerate production capacities and close critical capability gaps; calls for the EU and its Member States to step up joint efforts to address these gaps also through European defence projects of common interest;</w:t>
            </w:r>
          </w:p>
        </w:tc>
        <w:tc>
          <w:tcPr>
            <w:tcW w:w="4876" w:type="dxa"/>
            <w:tcBorders>
              <w:top w:val="nil"/>
              <w:left w:val="nil"/>
              <w:bottom w:val="nil"/>
              <w:right w:val="nil"/>
            </w:tcBorders>
          </w:tcPr>
          <w:p>
            <w:pPr>
              <w:pStyle w:val="Normal6a"/>
            </w:pPr>
            <w:r>
              <w:t>45.</w:t>
            </w:r>
            <w:r>
              <w:tab/>
            </w:r>
            <w:r>
              <w:rPr>
                <w:b/>
                <w:i/>
              </w:rPr>
              <w:t> vInsists</w:t>
            </w:r>
            <w:r>
              <w:t xml:space="preserve"> on the need to replenish depleted stocks, accelerate production capacities and close critical capability gaps</w:t>
            </w:r>
            <w:r>
              <w:rPr>
                <w:b/>
                <w:i/>
              </w:rPr>
              <w:t>; insists also on efforts to mass produce material and equipment on affordable prices so that the enlarged defence budgets can actually create real large scale defence capabilities by following Ukraine's example</w:t>
            </w:r>
            <w:r>
              <w:t>; calls for the EU and its Member States to step up joint efforts to address these gaps also through European defence projects of common 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 calls for the EU and its Member States to step up joint efforts to address these gaps also through European defence projects of common interest;</w:t>
            </w:r>
          </w:p>
        </w:tc>
        <w:tc>
          <w:tcPr>
            <w:tcW w:w="4876" w:type="dxa"/>
            <w:tcBorders>
              <w:top w:val="nil"/>
              <w:left w:val="nil"/>
              <w:bottom w:val="nil"/>
              <w:right w:val="nil"/>
            </w:tcBorders>
          </w:tcPr>
          <w:p>
            <w:pPr>
              <w:pStyle w:val="Normal6a"/>
            </w:pPr>
            <w:r>
              <w:t>45.</w:t>
            </w:r>
            <w:r>
              <w:tab/>
            </w:r>
            <w:r>
              <w:t>Insists on the need to replenish depleted stocks, accelerate production capacities and close critical capability gaps</w:t>
            </w:r>
            <w:r>
              <w:rPr>
                <w:b/>
                <w:i/>
              </w:rPr>
              <w:t>; urges the development and production of advanced military and defence technologies, including unmanned systems for air, land and maritime domains, in close cooperation with Ukraine</w:t>
            </w:r>
            <w:r>
              <w:t>; calls for the EU and its Member States to step up joint efforts to address these gaps also through European defence projects of common 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Is deeply concerned by Europe's dependency on China for Critical Raw Materials (CRMs) underpinning defence production, including rare earths used for defence equipment such as ammunition, missiles, aircraft, unmanned aerial vehicles, and radar, sensor and communication technologies; notes that nitrocellulose is not classified as a rare earth but is a key propellant used in nearly all ammunition; warns that this dependency constitutes a direct strategic vulnerability for Europe; calls on the Commission to introduce stockpiling targets for CRMs to protect the EU against the immediate effects of supply disruptions, stressing that this can be especially helpful for the European defence technological and industrial base;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Welcomes the announcements made in the 2026 State of the Union address regarding the European Instrument for Strategic Enablers and the Freya missile-defence project; commends these initiatives for targeting specific critical enabling gaps, including air and missile defence, strategic transport, air-to-air refuelling, space, and cyber; stresses that these instruments must deliver standing, rapidly deployable capabilities rather than programme funding alone;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Stresses that attractive and sustainable conditions of service are essential to the recruitment, retention and motivation of military personnel; calls on the Member States to ensure adequate social and professional conditions which reflect the particular demands and constraints of military service and support the long-term attractiveness of military careers;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Nicolás Pascual de la Parte,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Calls on the Member States to prioritise joint procurement, standardisation and interoperability, including with NATO standards, to reduce fragmentation of the European defence market, avoid duplication of platforms and maximise economies of 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Petras Auštrevičius, Hilde Vautmans, Bart Groothuis, Urmas Paet,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Deeply regrets the significant differences among Member States in terms of defence expenditure and their progress towards meeting the NATO commitment to invest 5 percent of GDP annually in defence and defence- and security-related spending by 2035;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Stresses the need of financing defence sector in EU remote areas, particularly Eastern border regions, northern and sparsely populated regions, and other territories with strategic significance to EU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45c.</w:t>
            </w:r>
            <w:r>
              <w:tab/>
            </w:r>
            <w:r>
              <w:rPr>
                <w:b/>
                <w:i/>
              </w:rPr>
              <w:t>Recognises the important contribution of adequately trained and supported reserve forces to defence readiness and national resilience; stresses the importance of developing effective voluntary reserve forces, while respecting Member States' responsibility for determining their national military service models;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Elena Donazzan, Alberico Gambino,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Stresses that neither a </w:t>
            </w:r>
            <w:r>
              <w:rPr>
                <w:b/>
                <w:i/>
              </w:rPr>
              <w:t>ramped up</w:t>
            </w:r>
            <w:r>
              <w:t xml:space="preserve"> EDTIB nor the readiness of Europe’s armed forces </w:t>
            </w:r>
            <w:r>
              <w:rPr>
                <w:b/>
                <w:i/>
              </w:rPr>
              <w:t>will materialise</w:t>
            </w:r>
            <w:r>
              <w:t xml:space="preserve"> without the personnel </w:t>
            </w:r>
            <w:r>
              <w:rPr>
                <w:b/>
                <w:i/>
              </w:rPr>
              <w:t>to</w:t>
            </w:r>
            <w:r>
              <w:t xml:space="preserve"> deliver </w:t>
            </w:r>
            <w:r>
              <w:rPr>
                <w:b/>
                <w:i/>
              </w:rPr>
              <w:t>them</w:t>
            </w:r>
            <w:r>
              <w:t>;</w:t>
            </w:r>
          </w:p>
        </w:tc>
        <w:tc>
          <w:tcPr>
            <w:tcW w:w="4876" w:type="dxa"/>
            <w:tcBorders>
              <w:top w:val="nil"/>
              <w:left w:val="nil"/>
              <w:bottom w:val="nil"/>
              <w:right w:val="nil"/>
            </w:tcBorders>
          </w:tcPr>
          <w:p>
            <w:pPr>
              <w:pStyle w:val="Normal6a"/>
            </w:pPr>
            <w:r>
              <w:t>46.</w:t>
            </w:r>
            <w:r>
              <w:tab/>
            </w:r>
            <w:r>
              <w:t xml:space="preserve">Stresses that neither a EDTIB nor the readiness of Europe’s armed forces </w:t>
            </w:r>
            <w:r>
              <w:rPr>
                <w:b/>
                <w:i/>
              </w:rPr>
              <w:t>can be achieved</w:t>
            </w:r>
            <w:r>
              <w:t xml:space="preserve"> without the personnel </w:t>
            </w:r>
            <w:r>
              <w:rPr>
                <w:b/>
                <w:i/>
              </w:rPr>
              <w:t>required to operate and</w:t>
            </w:r>
            <w:r>
              <w:t xml:space="preserve"> deliver </w:t>
            </w:r>
            <w:r>
              <w:rPr>
                <w:b/>
                <w:i/>
              </w:rPr>
              <w:t>these capabilities</w:t>
            </w:r>
            <w:r>
              <w:t>;</w:t>
            </w:r>
            <w:r>
              <w:rPr>
                <w:b/>
                <w:i/>
              </w:rPr>
              <w:t>underlines that, despite the rapid evolution of artificial intelligence, autonomous systems, cyber capabilities and integrated platforms, modern warfare remains fundamentally human-centric, with military personnel continuing to play a central role in taking decisions under uncertainty, operating in complex environments and ensuring human control, accountability, and deterrence; emphasises that the European defence industrial, technological and policy ecosystem should place the operational needs of military personnel on the ground at its core, ensuring that new capabilities enhance their protection, effectiveness, interoperability and ability to adapt to rapidly evolving operational environments;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Stresses that neither a ramped up EDTIB nor the readiness of Europe’s armed forces will materialise without the personnel to deliver them;</w:t>
            </w:r>
          </w:p>
        </w:tc>
        <w:tc>
          <w:tcPr>
            <w:tcW w:w="4876" w:type="dxa"/>
            <w:tcBorders>
              <w:top w:val="nil"/>
              <w:left w:val="nil"/>
              <w:bottom w:val="nil"/>
              <w:right w:val="nil"/>
            </w:tcBorders>
          </w:tcPr>
          <w:p>
            <w:pPr>
              <w:pStyle w:val="Normal6a"/>
            </w:pPr>
            <w:r>
              <w:t>46.</w:t>
            </w:r>
            <w:r>
              <w:tab/>
            </w:r>
            <w:r>
              <w:t xml:space="preserve">Stresses that neither a ramped up EDTIB nor the readiness of Europe’s armed forces will materialise without the personnel to deliver them; </w:t>
            </w:r>
            <w:r>
              <w:rPr>
                <w:b/>
                <w:i/>
              </w:rPr>
              <w:t>calls for a European defence skills plan to support training, upskilling and reskilling and to address critical skills shortages across the defence ecosystem; stresses that workers must be among the main beneficiaries of the industrial ramp-up, through quality employment and appropriate social conditionality attached to EU defence funding, while Member States must also address persistent recruitment and retention challenges within their armed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Stresses that neither a ramped up EDTIB nor the readiness of Europe’s armed forces will materialise without the personnel to deliver them;</w:t>
            </w:r>
          </w:p>
        </w:tc>
        <w:tc>
          <w:tcPr>
            <w:tcW w:w="4876" w:type="dxa"/>
            <w:tcBorders>
              <w:top w:val="nil"/>
              <w:left w:val="nil"/>
              <w:bottom w:val="nil"/>
              <w:right w:val="nil"/>
            </w:tcBorders>
          </w:tcPr>
          <w:p>
            <w:pPr>
              <w:pStyle w:val="Normal6a"/>
            </w:pPr>
            <w:r>
              <w:t>46.</w:t>
            </w:r>
            <w:r>
              <w:tab/>
            </w:r>
            <w:r>
              <w:t xml:space="preserve">Stresses that neither a ramped up EDTIB nor the readiness of Europe’s armed forces will materialise without the personnel to deliver them; </w:t>
            </w:r>
            <w:r>
              <w:rPr>
                <w:b/>
                <w:i/>
              </w:rPr>
              <w:t>underlines that personnel readiness constitutes a strategic capability and that ensuring the recruitment and retention of sufficient numbers of qualified military personnel is essential to maintaining the operational readiness, resilience and long-term sustainability of Member States’ armed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Stresses that neither a ramped up EDTIB nor the readiness of Europe’s armed forces will materialise without the personnel to deliver them;</w:t>
            </w:r>
          </w:p>
        </w:tc>
        <w:tc>
          <w:tcPr>
            <w:tcW w:w="4876" w:type="dxa"/>
            <w:tcBorders>
              <w:top w:val="nil"/>
              <w:left w:val="nil"/>
              <w:bottom w:val="nil"/>
              <w:right w:val="nil"/>
            </w:tcBorders>
          </w:tcPr>
          <w:p>
            <w:pPr>
              <w:pStyle w:val="Normal6a"/>
            </w:pPr>
            <w:r>
              <w:t>46.</w:t>
            </w:r>
            <w:r>
              <w:tab/>
            </w:r>
            <w:r>
              <w:t xml:space="preserve">Stresses that neither a ramped up EDTIB nor the readiness of Europe’s armed forces will materialise without the personnel to deliver them; </w:t>
            </w:r>
            <w:r>
              <w:rPr>
                <w:b/>
                <w:i/>
              </w:rPr>
              <w:t>calls on the Member States to invest in the recruitment, retention and training of military personnel and defence-industrial skills, including through joint education and exercises, the Military Erasmus programme, and workforce upskilling in regions where defence production is expanding;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Stresses that neither a ramped up EDTIB nor the readiness of Europe’s armed forces will materialise without the </w:t>
            </w:r>
            <w:r>
              <w:rPr>
                <w:b/>
                <w:i/>
              </w:rPr>
              <w:t>personnel</w:t>
            </w:r>
            <w:r>
              <w:t xml:space="preserve"> to deliver them;</w:t>
            </w:r>
          </w:p>
        </w:tc>
        <w:tc>
          <w:tcPr>
            <w:tcW w:w="4876" w:type="dxa"/>
            <w:tcBorders>
              <w:top w:val="nil"/>
              <w:left w:val="nil"/>
              <w:bottom w:val="nil"/>
              <w:right w:val="nil"/>
            </w:tcBorders>
          </w:tcPr>
          <w:p>
            <w:pPr>
              <w:pStyle w:val="Normal6a"/>
            </w:pPr>
            <w:r>
              <w:t>46.</w:t>
            </w:r>
            <w:r>
              <w:tab/>
            </w:r>
            <w:r>
              <w:t xml:space="preserve">Stresses that neither a ramped up EDTIB nor the readiness of Europe’s armed forces will materialise without the </w:t>
            </w:r>
            <w:r>
              <w:rPr>
                <w:b/>
                <w:i/>
              </w:rPr>
              <w:t>sufficient human capital</w:t>
            </w:r>
            <w:r>
              <w:t xml:space="preserve"> to deliver them; </w:t>
            </w:r>
            <w:r>
              <w:rPr>
                <w:b/>
                <w:i/>
              </w:rPr>
              <w:t>calls on the Member States to address shortages of skilled workers and military personnel, to invest in training, to strengthen reserves and to consider measures to increase the attractiveness and retention of military careers and the defence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Stresses that neither a ramped up EDTIB nor the readiness of Europe’s armed forces will materialise without the personnel to deliver them;</w:t>
            </w:r>
          </w:p>
        </w:tc>
        <w:tc>
          <w:tcPr>
            <w:tcW w:w="4876" w:type="dxa"/>
            <w:tcBorders>
              <w:top w:val="nil"/>
              <w:left w:val="nil"/>
              <w:bottom w:val="nil"/>
              <w:right w:val="nil"/>
            </w:tcBorders>
          </w:tcPr>
          <w:p>
            <w:pPr>
              <w:pStyle w:val="Normal6a"/>
            </w:pPr>
            <w:r>
              <w:t>46.</w:t>
            </w:r>
            <w:r>
              <w:tab/>
            </w:r>
            <w:r>
              <w:t xml:space="preserve">Stresses that neither a ramped up EDTIB nor the readiness of Europe’s armed forces will materialise without the personnel to deliver them; </w:t>
            </w:r>
            <w:r>
              <w:rPr>
                <w:b/>
                <w:i/>
              </w:rPr>
              <w:t>notes the shortage of engineers, technicians and skilled workers facing the industry, as well as difficulties experienced by Member States' armed forces in recruiting and retaining personnel; calls for a European strategy for Defense skills and workforce;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Stresses that neither a ramped up EDTIB nor the readiness of Europe’s armed forces will materialise without the personnel to deliver them;</w:t>
            </w:r>
          </w:p>
        </w:tc>
        <w:tc>
          <w:tcPr>
            <w:tcW w:w="4876" w:type="dxa"/>
            <w:tcBorders>
              <w:top w:val="nil"/>
              <w:left w:val="nil"/>
              <w:bottom w:val="nil"/>
              <w:right w:val="nil"/>
            </w:tcBorders>
          </w:tcPr>
          <w:p>
            <w:pPr>
              <w:pStyle w:val="Normal6a"/>
            </w:pPr>
            <w:r>
              <w:t>46.</w:t>
            </w:r>
            <w:r>
              <w:tab/>
            </w:r>
            <w:r>
              <w:t>Stresses that neither a ramped up EDTIB nor the readiness of Europe’s armed forces will materialise without the personnel to deliver them;</w:t>
            </w:r>
            <w:r>
              <w:rPr>
                <w:b/>
                <w:i/>
              </w:rPr>
              <w:t> calls for a European defence skills plan, including training, upskilling and reskilling, and for social conditionality to be attached to EU defence funding, so that workers are among the main beneficiaries of the industrial ramp-up;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Stresses that attractive and sustainable conditions of service are essential to the recruitment, retention and motivation of military personnel; calls on the Member States to ensure adequate social and professional conditions which reflect the particular demands and constraints of military service and support the long-term attractiveness of military careers;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Wouter Beke,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Underlines that defence readiness must be embedded in a whole-of-society approach to preparedness, in line with the Niinistö report and the Preparedness Union Strategy; stresses the need to secure supply chains for critical raw materials, for which the Union remains heavily dependent on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Cristian Terheş, Reinis Pozņaks,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46b.</w:t>
            </w:r>
            <w:r>
              <w:tab/>
            </w:r>
            <w:r>
              <w:rPr>
                <w:b/>
                <w:i/>
              </w:rPr>
              <w:t>Recognises the important contribution of adequately trained and supported reserve forces to defence readiness and national resilience; stresses the importance of developing effective voluntary reserve forces, while respecting Member States' responsibility for determining their national military service models;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46c.</w:t>
            </w:r>
            <w:r>
              <w:tab/>
            </w:r>
            <w:r>
              <w:rPr>
                <w:b/>
                <w:i/>
              </w:rPr>
              <w:t>Recalls, in line with the Niinistö report, that a whole-of-society approach to preparedness is essential for Europe’s deterrence and resilience; stresses that the readiness of Europe’s armed forces also depends on a population equipped with the basic skills needed to withstand a crisis or an armed aggression; encourages the Member States, in full respect of their competences and national models, to develop voluntary civil preparedness programmes complementing their armed forces and reserves;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46d.</w:t>
            </w:r>
            <w:r>
              <w:tab/>
            </w:r>
            <w:r>
              <w:rPr>
                <w:b/>
                <w:i/>
              </w:rPr>
              <w:t>Encourages the Member States to support, including through targeted subsidies, vouchers or tax incentives, citizens’ voluntary participation in activities that build skills relevant to defence and resilience, such as sport shooting at licensed shooting ranges, in full compliance with Directive (EU) 2021/555 on control of the acquisition and possession of weapons, survival, orienteering and mountain training led by certified instructors and mountain guides, and first aid and emergency medical training;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46e.</w:t>
            </w:r>
            <w:r>
              <w:tab/>
            </w:r>
            <w:r>
              <w:rPr>
                <w:b/>
                <w:i/>
              </w:rPr>
              <w:t>Calls on the Member States to support vocational and technical courses relevant to preparedness, such as mechanics, electrical work, radio communications, drone piloting and maintenance, and the manufacture and repair of essential equipment, thereby strengthening both societal resilience and the skilled workforce of the EDTIB;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46f.</w:t>
            </w:r>
            <w:r>
              <w:tab/>
            </w:r>
            <w:r>
              <w:rPr>
                <w:b/>
                <w:i/>
              </w:rPr>
              <w:t>Calls on the Commission to facilitate the exchange of best practices among Member States on voluntary civil preparedness programmes and to examine how the Preparedness Union Strategy and the next MFF, including the NRPPs, could support such initiatives; stresses that these programmes should be accessible, inclusive and attractive to young people and could serve as a pathway towards voluntary military service and reserve forces;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46g.</w:t>
            </w:r>
            <w:r>
              <w:tab/>
            </w:r>
            <w:r>
              <w:rPr>
                <w:b/>
                <w:i/>
              </w:rPr>
              <w:t>Stresses that attractive and sustainable conditions of service are essential to the recruitment, retention and motivation of military personnel; calls on the Member States to ensure adequate social and professional conditions which reflect the particular demands and constraints of military service and support the long-term attractiveness of military careers;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46h.</w:t>
            </w:r>
            <w:r>
              <w:tab/>
            </w:r>
            <w:r>
              <w:rPr>
                <w:b/>
                <w:i/>
              </w:rPr>
              <w:t>Recognises the important contribution of adequately trained and supported reserve forces to defence readiness and national resilience; stresses the importance of developing effective voluntary reserve forces, while respecting Member States' responsibility for determining their national military service models;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rPr>
                <w:b/>
                <w:i/>
              </w:rPr>
              <w:t>Believes that recently adopted</w:t>
            </w:r>
            <w:r>
              <w:t xml:space="preserve"> EU programmes </w:t>
            </w:r>
            <w:r>
              <w:rPr>
                <w:b/>
                <w:i/>
              </w:rPr>
              <w:t>to support the coordinated development of the EDTIB are useful and well-designed instruments that can deliver, provided they are adequately financed; insists that all these instruments be integrated into the</w:t>
            </w:r>
            <w:r>
              <w:t xml:space="preserve"> future European Competitiveness Fund </w:t>
            </w:r>
            <w:r>
              <w:rPr>
                <w:b/>
                <w:i/>
              </w:rPr>
              <w:t>together with their respective criteria, in particular the EDIP’s requirements on</w:t>
            </w:r>
            <w:r>
              <w:t xml:space="preserve"> eligibility </w:t>
            </w:r>
            <w:r>
              <w:rPr>
                <w:b/>
                <w:i/>
              </w:rPr>
              <w:t>and on the location of production</w:t>
            </w:r>
            <w:r>
              <w:t>;</w:t>
            </w:r>
          </w:p>
        </w:tc>
        <w:tc>
          <w:tcPr>
            <w:tcW w:w="4876" w:type="dxa"/>
            <w:tcBorders>
              <w:top w:val="nil"/>
              <w:left w:val="nil"/>
              <w:bottom w:val="nil"/>
              <w:right w:val="nil"/>
            </w:tcBorders>
          </w:tcPr>
          <w:p>
            <w:pPr>
              <w:pStyle w:val="Normal6a"/>
            </w:pPr>
            <w:r>
              <w:t>47.</w:t>
            </w:r>
            <w:r>
              <w:tab/>
            </w:r>
            <w:r>
              <w:rPr>
                <w:b/>
                <w:i/>
              </w:rPr>
              <w:t>Considers that</w:t>
            </w:r>
            <w:r>
              <w:t xml:space="preserve"> EU programmes </w:t>
            </w:r>
            <w:r>
              <w:rPr>
                <w:b/>
                <w:i/>
              </w:rPr>
              <w:t>supporting the European defence technological and industrial base can contribute to readiness when they demonstrate measurable results and complement national investment; calls for any integration into a</w:t>
            </w:r>
            <w:r>
              <w:t xml:space="preserve"> future European Competitiveness Fund </w:t>
            </w:r>
            <w:r>
              <w:rPr>
                <w:b/>
                <w:i/>
              </w:rPr>
              <w:t>to preserve transparent</w:t>
            </w:r>
            <w:r>
              <w:t xml:space="preserve"> eligibility </w:t>
            </w:r>
            <w:r>
              <w:rPr>
                <w:b/>
                <w:i/>
              </w:rPr>
              <w:t>rules, national participation choices and effective parliamentary scrutiny; stresses that joint procurement should remain voluntary and that funding conditions must not prescribe Member States’ overall defence procurement policies or undermine cooperation with trusted allies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Believes that recently adopted EU programmes to support the coordinated development of the EDTIB </w:t>
            </w:r>
            <w:r>
              <w:rPr>
                <w:b/>
                <w:i/>
              </w:rPr>
              <w:t>are</w:t>
            </w:r>
            <w:r>
              <w:t xml:space="preserve"> useful </w:t>
            </w:r>
            <w:r>
              <w:rPr>
                <w:b/>
                <w:i/>
              </w:rPr>
              <w:t>and well-designed</w:t>
            </w:r>
            <w:r>
              <w:t xml:space="preserve"> instruments that </w:t>
            </w:r>
            <w:r>
              <w:rPr>
                <w:b/>
                <w:i/>
              </w:rPr>
              <w:t>can</w:t>
            </w:r>
            <w:r>
              <w:t xml:space="preserve"> deliver, provided they are adequately financed</w:t>
            </w:r>
            <w:r>
              <w:rPr>
                <w:b/>
                <w:i/>
              </w:rPr>
              <w:t>; insists that all</w:t>
            </w:r>
            <w:r>
              <w:t xml:space="preserve"> these instruments </w:t>
            </w:r>
            <w:r>
              <w:rPr>
                <w:b/>
                <w:i/>
              </w:rPr>
              <w:t>be integrated</w:t>
            </w:r>
            <w:r>
              <w:t xml:space="preserve"> into the future European Competitiveness Fund </w:t>
            </w:r>
            <w:r>
              <w:rPr>
                <w:b/>
                <w:i/>
              </w:rPr>
              <w:t>together with their respective criteria, in particular the EDIP’s requirements on eligibility and on the location of production</w:t>
            </w:r>
            <w:r>
              <w:t>;</w:t>
            </w:r>
          </w:p>
        </w:tc>
        <w:tc>
          <w:tcPr>
            <w:tcW w:w="4876" w:type="dxa"/>
            <w:tcBorders>
              <w:top w:val="nil"/>
              <w:left w:val="nil"/>
              <w:bottom w:val="nil"/>
              <w:right w:val="nil"/>
            </w:tcBorders>
          </w:tcPr>
          <w:p>
            <w:pPr>
              <w:pStyle w:val="Normal6a"/>
            </w:pPr>
            <w:r>
              <w:t>47.</w:t>
            </w:r>
            <w:r>
              <w:tab/>
            </w:r>
            <w:r>
              <w:t xml:space="preserve">Believes that recently adopted EU programmes to support the coordinated development of the EDTIB </w:t>
            </w:r>
            <w:r>
              <w:rPr>
                <w:b/>
                <w:i/>
              </w:rPr>
              <w:t>have the potential to be</w:t>
            </w:r>
            <w:r>
              <w:t xml:space="preserve"> useful instruments that </w:t>
            </w:r>
            <w:r>
              <w:rPr>
                <w:b/>
                <w:i/>
              </w:rPr>
              <w:t>may</w:t>
            </w:r>
            <w:r>
              <w:t xml:space="preserve"> deliver, provided they are adequately financed </w:t>
            </w:r>
            <w:r>
              <w:rPr>
                <w:b/>
                <w:i/>
              </w:rPr>
              <w:t>and ensure a level playing field, while reflecting the needs of Member States’ armed forces and the diversity of Member States’ defence industrial bases; stresses that any integration of</w:t>
            </w:r>
            <w:r>
              <w:t xml:space="preserve"> these instruments into the future European Competitiveness Fund </w:t>
            </w:r>
            <w:r>
              <w:rPr>
                <w:b/>
                <w:i/>
              </w:rPr>
              <w:t>must ensure geographical and industrial balance and fair access to funding, particularly for companies from Member States with less developed or more fragmented defence industrial ecosystems, SMEs and mid-caps, and preserving flexibility for cooperation with key allies and trusted partners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w:t>
            </w:r>
          </w:p>
        </w:tc>
        <w:tc>
          <w:tcPr>
            <w:tcW w:w="4876" w:type="dxa"/>
            <w:tcBorders>
              <w:top w:val="nil"/>
              <w:left w:val="nil"/>
              <w:bottom w:val="nil"/>
              <w:right w:val="nil"/>
            </w:tcBorders>
          </w:tcPr>
          <w:p>
            <w:pPr>
              <w:pStyle w:val="Normal6a"/>
            </w:pPr>
            <w:r>
              <w:t>47.</w:t>
            </w:r>
            <w:r>
              <w:tab/>
            </w:r>
            <w:r>
              <w:t xml:space="preserve">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 </w:t>
            </w:r>
            <w:r>
              <w:rPr>
                <w:b/>
                <w:i/>
              </w:rPr>
              <w:t>believes that recently adopted EU programmes to support the coordinated development of the EDTIB are useful and well-designed instruments that can deliver, provided they are adequately financed; insists that these instruments be fully integrated into the future European Competitiveness Fund, including their respective eligibility and production-location criteria, notably those established under the EDIP; stresses that technological excellence and industrial competitiveness are key criteria for EU support, and that they are found in all regions of the Union; calls, in addition, for the allocation of EU support to reflect the Union's security needs, including the resilience and security of supply of the EDTIB, through a geographically balanced distribution of production, maintenance and stockpiling capacities, the full use of the industrial and technological potential of all Member States, and the varying levels of exposure of Member States to security threats; considers that this approach reduces single points of failure, strengthens the Union's collective readiness and makes the EDTIB more resilient to attack, disruption and supply shocks;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w:t>
            </w:r>
          </w:p>
        </w:tc>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w:t>
            </w:r>
            <w:r>
              <w:rPr>
                <w:b/>
                <w:i/>
              </w:rPr>
              <w:t> demands that a strong and binding European preference clause be enshrined in the ECF, in particular in its defence and space window, as the general rule for all defence-related funding, ensuring that EU funds support only entities established in the EU and defence products for which the design authority lies within the Union underlines that European preference ensures control over equipment, freedom of action and security of supply, turning dependencies vis-à-vis third countries into interdependencies among Europeans; insists that entities from third countries which threaten the security and defence interests of the Union or its Member States must be excluded from any EU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w:t>
            </w:r>
          </w:p>
        </w:tc>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w:t>
            </w:r>
            <w:r>
              <w:rPr>
                <w:b/>
                <w:i/>
              </w:rPr>
              <w:t>; stresses that they all embed the principle of European preference, which is a guarantee of the Union's strategic autonomy and of the reduction of its dependence on third States</w:t>
            </w:r>
            <w:r>
              <w:t xml:space="preserve">; insists that all these instruments be integrated into the future European Competitiveness Fund together with their respective criteria, in particular the EDIP’s requirements on eligibility and on the location of production; </w:t>
            </w:r>
            <w:r>
              <w:rPr>
                <w:b/>
                <w:i/>
              </w:rPr>
              <w:t>welcomes the approval of EDPCIs, as necessary and useful means for driving Member States' coordination on the priority capability areas they have themselves identified, addressing proven gaps and significant needs, aligning national planning with EU funding and offering genuine market opportunities to the European Defense industry; encourages Member States to engage in EDPCIs;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w:t>
            </w:r>
          </w:p>
        </w:tc>
        <w:tc>
          <w:tcPr>
            <w:tcW w:w="4876" w:type="dxa"/>
            <w:tcBorders>
              <w:top w:val="nil"/>
              <w:left w:val="nil"/>
              <w:bottom w:val="nil"/>
              <w:right w:val="nil"/>
            </w:tcBorders>
          </w:tcPr>
          <w:p>
            <w:pPr>
              <w:pStyle w:val="Normal6a"/>
            </w:pPr>
            <w:r>
              <w:t>47.</w:t>
            </w:r>
            <w:r>
              <w:tab/>
            </w:r>
            <w:r>
              <w:t xml:space="preserve">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 </w:t>
            </w:r>
            <w:r>
              <w:rPr>
                <w:b/>
                <w:i/>
              </w:rPr>
              <w:t>stresses that such integration must preserve the specific objectives and eligibility conditions of EU defence instruments and be accompanied by adequate fresh resources, rather than being financed through cuts or redeployments from existing Union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Michael Gahler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w:t>
            </w:r>
          </w:p>
        </w:tc>
        <w:tc>
          <w:tcPr>
            <w:tcW w:w="4876" w:type="dxa"/>
            <w:tcBorders>
              <w:top w:val="nil"/>
              <w:left w:val="nil"/>
              <w:bottom w:val="nil"/>
              <w:right w:val="nil"/>
            </w:tcBorders>
          </w:tcPr>
          <w:p>
            <w:pPr>
              <w:pStyle w:val="Normal6a"/>
            </w:pPr>
            <w:r>
              <w:t>47.</w:t>
            </w:r>
            <w:r>
              <w:tab/>
            </w:r>
            <w:r>
              <w:t xml:space="preserve">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in particular the EDIP’s requirements on eligibility and on the location of production; </w:t>
            </w:r>
            <w:r>
              <w:rPr>
                <w:b/>
                <w:i/>
              </w:rPr>
              <w:t>stresses the importance of a consolidated assessment of the extent to which these instruments contribute to addressing identified defence capability gaps, with a view to strengthening Parliament’s scrutiny of the effectiveness of Union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w:t>
            </w:r>
            <w:r>
              <w:rPr>
                <w:b/>
                <w:i/>
              </w:rPr>
              <w:t>together with their respective criteria, in particular the EDIP’s requirements on eligibility</w:t>
            </w:r>
            <w:r>
              <w:t xml:space="preserve"> and on the </w:t>
            </w:r>
            <w:r>
              <w:rPr>
                <w:b/>
                <w:i/>
              </w:rPr>
              <w:t>location of production</w:t>
            </w:r>
            <w:r>
              <w:t>;</w:t>
            </w:r>
          </w:p>
        </w:tc>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w:t>
            </w:r>
            <w:r>
              <w:rPr>
                <w:b/>
                <w:i/>
              </w:rPr>
              <w:t>; insists on a ring-fenced defence window within the European Competitiveness Fund, with an envelope commensurate with the Union's stated level of ambition,</w:t>
            </w:r>
            <w:r>
              <w:t xml:space="preserve"> and on the </w:t>
            </w:r>
            <w:r>
              <w:rPr>
                <w:b/>
                <w:i/>
              </w:rPr>
              <w:t>preservation of Parliament's full legislative and budgetary prerogatives over 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w:t>
            </w:r>
            <w:r>
              <w:rPr>
                <w:b/>
                <w:i/>
              </w:rPr>
              <w:t>, in particular the EDIP’s requirements on eligibility and on the location of production</w:t>
            </w:r>
            <w:r>
              <w:t>;</w:t>
            </w:r>
          </w:p>
        </w:tc>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w:t>
            </w:r>
            <w:r>
              <w:rPr>
                <w:b/>
                <w:i/>
              </w:rPr>
              <w:t>in particular the EDIP’s requirements on eligibility and on the location of production;</w:t>
            </w:r>
          </w:p>
        </w:tc>
        <w:tc>
          <w:tcPr>
            <w:tcW w:w="4876" w:type="dxa"/>
            <w:tcBorders>
              <w:top w:val="nil"/>
              <w:left w:val="nil"/>
              <w:bottom w:val="nil"/>
              <w:right w:val="nil"/>
            </w:tcBorders>
          </w:tcPr>
          <w:p>
            <w:pPr>
              <w:pStyle w:val="Normal6a"/>
            </w:pPr>
            <w:r>
              <w:t>47.</w:t>
            </w:r>
            <w:r>
              <w:tab/>
            </w:r>
            <w:r>
              <w:t>Believes that recently adopted EU programmes to support the coordinated development of the EDTIB are useful and well-designed instruments that can deliver, provided they are adequately financed; insists that all these instruments be integrated into the future European Competitiveness Fund together with their respective criteria,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Eszter Lakos,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Welcomes the adoption of the Programme for Agile and Rapid Defence Innovation (AGILE) as an important step towards accelerating defence innovation in the Union; highlights its focus on providing rapid, simplified and targeted support to SMEs, start-ups and scale-ups developing emerging and disruptive defence technologies; stresses the importance of shortening the time between technological development and operational deployment, and of facilitating the uptake of innovative solutions by Member States’ armed forces and the prime contractors; underlines that faster access to funding, testing and market opportunities is essential to strengthen the competitiveness, resilience and technological edge of the EDTIB, and to provide the capabilities needed by Member States’ armed forces; calls for the continuation of this Programme under the upcoming European Competitiveness 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Calls for an ambitious revision of the Defence Procurement Directive with a view to creating a genuine European defence market, strengthening security of supply and facilitating faster and more systematic joint procurement at European 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Lynn Boylan, Kathleen Funchion, Özlem Demirel, 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rPr>
                <w:b/>
                <w:i/>
              </w:rPr>
              <w:t>Welcomes</w:t>
            </w:r>
            <w:r>
              <w:t xml:space="preserve"> the inclusion of defence among the sectors eligible for support under the national and regional partnership plans (NRPP) of the next MFF; </w:t>
            </w:r>
            <w:r>
              <w:rPr>
                <w:b/>
                <w:i/>
              </w:rPr>
              <w:t>insists that any</w:t>
            </w:r>
            <w:r>
              <w:t xml:space="preserve"> defence spending </w:t>
            </w:r>
            <w:r>
              <w:rPr>
                <w:b/>
                <w:i/>
              </w:rPr>
              <w:t>under the NRPPs comply with the same eligibility criteria as those laid down</w:t>
            </w:r>
            <w:r>
              <w:t xml:space="preserve"> in the </w:t>
            </w:r>
            <w:r>
              <w:rPr>
                <w:b/>
                <w:i/>
              </w:rPr>
              <w:t>EDIP</w:t>
            </w:r>
            <w:r>
              <w:t>;</w:t>
            </w:r>
          </w:p>
        </w:tc>
        <w:tc>
          <w:tcPr>
            <w:tcW w:w="4876" w:type="dxa"/>
            <w:tcBorders>
              <w:top w:val="nil"/>
              <w:left w:val="nil"/>
              <w:bottom w:val="nil"/>
              <w:right w:val="nil"/>
            </w:tcBorders>
          </w:tcPr>
          <w:p>
            <w:pPr>
              <w:pStyle w:val="Normal6a"/>
            </w:pPr>
            <w:r>
              <w:t>48.</w:t>
            </w:r>
            <w:r>
              <w:tab/>
            </w:r>
            <w:r>
              <w:rPr>
                <w:b/>
                <w:i/>
              </w:rPr>
              <w:t>Deeply regrets</w:t>
            </w:r>
            <w:r>
              <w:t xml:space="preserve"> the inclusion of defence among the sectors eligible for support under the national and regional partnership plans (NRPP) of the next MFF; </w:t>
            </w:r>
            <w:r>
              <w:rPr>
                <w:b/>
                <w:i/>
              </w:rPr>
              <w:t>notes that</w:t>
            </w:r>
            <w:r>
              <w:t xml:space="preserve"> defence spending </w:t>
            </w:r>
            <w:r>
              <w:rPr>
                <w:b/>
                <w:i/>
              </w:rPr>
              <w:t>will already receive substantial increases</w:t>
            </w:r>
            <w:r>
              <w:t xml:space="preserve"> in the </w:t>
            </w:r>
            <w:r>
              <w:rPr>
                <w:b/>
                <w:i/>
              </w:rPr>
              <w:t>next MFF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rPr>
                <w:b/>
                <w:i/>
              </w:rPr>
              <w:t>Welcomes the</w:t>
            </w:r>
            <w:r>
              <w:t xml:space="preserve"> inclusion of </w:t>
            </w:r>
            <w:r>
              <w:rPr>
                <w:b/>
                <w:i/>
              </w:rPr>
              <w:t>defence</w:t>
            </w:r>
            <w:r>
              <w:t xml:space="preserve"> among </w:t>
            </w:r>
            <w:r>
              <w:rPr>
                <w:b/>
                <w:i/>
              </w:rPr>
              <w:t>the sectors</w:t>
            </w:r>
            <w:r>
              <w:t xml:space="preserve"> eligible for support under the national and regional partnership plans </w:t>
            </w:r>
            <w:r>
              <w:rPr>
                <w:b/>
                <w:i/>
              </w:rPr>
              <w:t>(NRPP)</w:t>
            </w:r>
            <w:r>
              <w:t xml:space="preserve"> of the next MFF; </w:t>
            </w:r>
            <w:r>
              <w:rPr>
                <w:b/>
                <w:i/>
              </w:rPr>
              <w:t>insists that any defence spending under the NRPPs comply with the same</w:t>
            </w:r>
            <w:r>
              <w:t xml:space="preserve"> eligibility criteria </w:t>
            </w:r>
            <w:r>
              <w:rPr>
                <w:b/>
                <w:i/>
              </w:rPr>
              <w:t>as those laid down in the EDIP</w:t>
            </w:r>
            <w:r>
              <w:t>;</w:t>
            </w:r>
          </w:p>
        </w:tc>
        <w:tc>
          <w:tcPr>
            <w:tcW w:w="4876" w:type="dxa"/>
            <w:tcBorders>
              <w:top w:val="nil"/>
              <w:left w:val="nil"/>
              <w:bottom w:val="nil"/>
              <w:right w:val="nil"/>
            </w:tcBorders>
          </w:tcPr>
          <w:p>
            <w:pPr>
              <w:pStyle w:val="Normal6a"/>
            </w:pPr>
            <w:r>
              <w:t>48.</w:t>
            </w:r>
            <w:r>
              <w:tab/>
            </w:r>
            <w:r>
              <w:rPr>
                <w:b/>
                <w:i/>
              </w:rPr>
              <w:t>Takes note of the proposed</w:t>
            </w:r>
            <w:r>
              <w:t xml:space="preserve"> inclusion of </w:t>
            </w:r>
            <w:r>
              <w:rPr>
                <w:b/>
                <w:i/>
              </w:rPr>
              <w:t>defence-related measures</w:t>
            </w:r>
            <w:r>
              <w:t xml:space="preserve"> among </w:t>
            </w:r>
            <w:r>
              <w:rPr>
                <w:b/>
                <w:i/>
              </w:rPr>
              <w:t>activities</w:t>
            </w:r>
            <w:r>
              <w:t xml:space="preserve"> eligible for support under the national and regional partnership plans of the next MFF; </w:t>
            </w:r>
            <w:r>
              <w:rPr>
                <w:b/>
                <w:i/>
              </w:rPr>
              <w:t>stresses that Member States should retain the choice whether to include such measures in their plans, in accordance with national priorities and the applicable programme rules; calls for proportionate</w:t>
            </w:r>
            <w:r>
              <w:t xml:space="preserve"> eligibility criteria </w:t>
            </w:r>
            <w:r>
              <w:rPr>
                <w:b/>
                <w:i/>
              </w:rPr>
              <w:t>and adequate parliamentary scrutiny, and opposes using these plans to require reallocations to defence or to extend Union competences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Welcomes the inclusion of defence among the sectors eligible for support under the national and regional partnership plans (NRPP) of the next MFF; insists that any defence spending under the NRPPs comply with the same eligibility criteria as those laid down in the EDIP;</w:t>
            </w:r>
          </w:p>
        </w:tc>
        <w:tc>
          <w:tcPr>
            <w:tcW w:w="4876" w:type="dxa"/>
            <w:tcBorders>
              <w:top w:val="nil"/>
              <w:left w:val="nil"/>
              <w:bottom w:val="nil"/>
              <w:right w:val="nil"/>
            </w:tcBorders>
          </w:tcPr>
          <w:p>
            <w:pPr>
              <w:pStyle w:val="Normal6a"/>
            </w:pPr>
            <w:r>
              <w:t>48.</w:t>
            </w:r>
            <w:r>
              <w:tab/>
            </w:r>
            <w:r>
              <w:t xml:space="preserve">Welcomes the inclusion of defence among the sectors eligible for support under the national and regional partnership plans (NRPP) of the next MFF; insists that any defence spending under the NRPPs comply with the same eligibility criteria as those laid down in the EDIP </w:t>
            </w:r>
            <w:r>
              <w:rPr>
                <w:b/>
                <w:i/>
              </w:rPr>
              <w:t>and be implemented in a manner consistent with the Fund’s broader objectives, including reducing regional disparities and strengthening territorial cohesion, supporting quality employment, education and skills and social inclusion, and protecting democracy and Union values</w:t>
            </w:r>
            <w:r>
              <w:t xml:space="preserve">; </w:t>
            </w:r>
            <w:r>
              <w:rPr>
                <w:b/>
                <w:i/>
              </w:rPr>
              <w:t>stresses that defence-related investments should promote balanced territorial development, quality employment and the participation of SMEs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Welcomes the inclusion of defence among the sectors eligible for support under the national and regional partnership plans (NRPP) of the next MFF; insists that any defence spending under the NRPPs comply with the same eligibility criteria as those laid down in the EDIP;</w:t>
            </w:r>
          </w:p>
        </w:tc>
        <w:tc>
          <w:tcPr>
            <w:tcW w:w="4876" w:type="dxa"/>
            <w:tcBorders>
              <w:top w:val="nil"/>
              <w:left w:val="nil"/>
              <w:bottom w:val="nil"/>
              <w:right w:val="nil"/>
            </w:tcBorders>
          </w:tcPr>
          <w:p>
            <w:pPr>
              <w:pStyle w:val="Normal6a"/>
            </w:pPr>
            <w:r>
              <w:t>48.</w:t>
            </w:r>
            <w:r>
              <w:tab/>
            </w:r>
            <w:r>
              <w:t xml:space="preserve">Welcomes the inclusion of defence among the sectors eligible for support under the national and regional partnership plans (NRPP) of the next MFF; insists that any defence spending under the NRPPs comply with the same eligibility criteria as those laid down in the EDIP; </w:t>
            </w:r>
            <w:r>
              <w:rPr>
                <w:b/>
                <w:i/>
              </w:rPr>
              <w:t>stresses that all EU defence instruments must guarantee fair and effective access for small and medium-sized enterprises and for companies from all Member States, including smaller, peripheral and less industrialised ones, and supports the development of regional defence innovation hubs and testing facilities so that the defence ramp-up benefits the Union as a whole;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Welcomes the inclusion of defence among the sectors eligible for support under the national and regional partnership plans (NRPP) of the next MFF; insists that any defence spending under the NRPPs comply with the same eligibility criteria as those laid down in the EDIP;</w:t>
            </w:r>
          </w:p>
        </w:tc>
        <w:tc>
          <w:tcPr>
            <w:tcW w:w="4876" w:type="dxa"/>
            <w:tcBorders>
              <w:top w:val="nil"/>
              <w:left w:val="nil"/>
              <w:bottom w:val="nil"/>
              <w:right w:val="nil"/>
            </w:tcBorders>
          </w:tcPr>
          <w:p>
            <w:pPr>
              <w:pStyle w:val="Normal6a"/>
            </w:pPr>
            <w:r>
              <w:t>48.</w:t>
            </w:r>
            <w:r>
              <w:tab/>
            </w:r>
            <w:r>
              <w:t xml:space="preserve">Welcomes the inclusion of defence among the sectors eligible for support under the national and regional partnership plans (NRPP) of the next MFF; insists that any defence spending under the NRPPs </w:t>
            </w:r>
            <w:r>
              <w:rPr>
                <w:b/>
                <w:i/>
              </w:rPr>
              <w:t>and the European Competitiveness Fund (ECF)</w:t>
            </w:r>
            <w:r>
              <w:t xml:space="preserve"> comply with the same eligibility criteria as those laid down in the EDIP; </w:t>
            </w:r>
            <w:r>
              <w:rPr>
                <w:b/>
                <w:i/>
              </w:rPr>
              <w:t>opposes any attempt to extend the eligibility criteria for defence funding programmes to encompass companies controlled by or established in third countries, as this would risk undermining the Union’s objectives regarding strategic autonomy and the reduction of external dependencies;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Welcomes the inclusion of defence among the sectors eligible for support under the national and regional partnership plans (NRPP) of the next MFF; insists that any defence spending under the NRPPs comply with the same eligibility criteria as those laid down in the EDIP;</w:t>
            </w:r>
          </w:p>
        </w:tc>
        <w:tc>
          <w:tcPr>
            <w:tcW w:w="4876" w:type="dxa"/>
            <w:tcBorders>
              <w:top w:val="nil"/>
              <w:left w:val="nil"/>
              <w:bottom w:val="nil"/>
              <w:right w:val="nil"/>
            </w:tcBorders>
          </w:tcPr>
          <w:p>
            <w:pPr>
              <w:pStyle w:val="Normal6a"/>
            </w:pPr>
            <w:r>
              <w:t>48.</w:t>
            </w:r>
            <w:r>
              <w:tab/>
            </w:r>
            <w:r>
              <w:t>Welcomes the inclusion of defence among the sectors eligible for support under the national and regional partnership plans (NRPP) of the next MFF; insists that any defence spending under the NRPPs comply with the same eligibility criteria as those laid down in the EDIP</w:t>
            </w:r>
            <w:r>
              <w:rPr>
                <w:b/>
                <w:i/>
              </w:rPr>
              <w:t>, in particular as regards the location of production and the origin of components, so as to guarantee that these funds strengthen the EDTIB</w:t>
            </w:r>
            <w:r>
              <w:t xml:space="preserve">; </w:t>
            </w:r>
            <w:r>
              <w:rPr>
                <w:b/>
                <w:i/>
              </w:rPr>
              <w:t>calls on Member States to agree on a fixed share of their national envelopes to be devoted to Defense, in order to ensure reinforced steering and the predictability of this priority at Union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Welcomes the inclusion of defence among the sectors eligible for support under the national and regional partnership plans (NRPP) of the next MFF; insists that any defence spending under the NRPPs comply with the same eligibility criteria as those laid down in the EDIP;</w:t>
            </w:r>
          </w:p>
        </w:tc>
        <w:tc>
          <w:tcPr>
            <w:tcW w:w="4876" w:type="dxa"/>
            <w:tcBorders>
              <w:top w:val="nil"/>
              <w:left w:val="nil"/>
              <w:bottom w:val="nil"/>
              <w:right w:val="nil"/>
            </w:tcBorders>
          </w:tcPr>
          <w:p>
            <w:pPr>
              <w:pStyle w:val="Normal6a"/>
            </w:pPr>
            <w:r>
              <w:t>48.</w:t>
            </w:r>
            <w:r>
              <w:tab/>
            </w:r>
            <w:r>
              <w:t xml:space="preserve">Welcomes the inclusion of defence among the sectors eligible for support under the national and regional partnership plans (NRPP) of the next MFF; insists that any defence spending under the NRPPs comply with the same eligibility criteria as those laid down in the EDIP; </w:t>
            </w:r>
            <w:r>
              <w:rPr>
                <w:b/>
                <w:i/>
              </w:rPr>
              <w:t>calls for particular account to be taken of frontline Member States and regions on the eastern and south-eastern flanks that bear the highest security burden, including the hosting of allied forces and dual-use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Welcomes the inclusion of defence among the sectors eligible for support under the national and regional partnership plans (NRPP) of the next MFF; </w:t>
            </w:r>
            <w:r>
              <w:rPr>
                <w:b/>
                <w:i/>
              </w:rPr>
              <w:t>insists that any</w:t>
            </w:r>
            <w:r>
              <w:t xml:space="preserve"> defence spending under the NRPPs </w:t>
            </w:r>
            <w:r>
              <w:rPr>
                <w:b/>
                <w:i/>
              </w:rPr>
              <w:t>comply with the same eligibility criteria as</w:t>
            </w:r>
            <w:r>
              <w:t xml:space="preserve"> those laid down in the EDIP;</w:t>
            </w:r>
          </w:p>
        </w:tc>
        <w:tc>
          <w:tcPr>
            <w:tcW w:w="4876" w:type="dxa"/>
            <w:tcBorders>
              <w:top w:val="nil"/>
              <w:left w:val="nil"/>
              <w:bottom w:val="nil"/>
              <w:right w:val="nil"/>
            </w:tcBorders>
          </w:tcPr>
          <w:p>
            <w:pPr>
              <w:pStyle w:val="Normal6a"/>
            </w:pPr>
            <w:r>
              <w:t>48.</w:t>
            </w:r>
            <w:r>
              <w:tab/>
            </w:r>
            <w:r>
              <w:t xml:space="preserve">Welcomes the inclusion of defence among the sectors eligible for support under the national and regional partnership plans (NRPP) of the next MFF; </w:t>
            </w:r>
            <w:r>
              <w:rPr>
                <w:b/>
                <w:i/>
              </w:rPr>
              <w:t>stresses that the eligibility criteria applicable to</w:t>
            </w:r>
            <w:r>
              <w:t xml:space="preserve"> defence spending under the NRPPs </w:t>
            </w:r>
            <w:r>
              <w:rPr>
                <w:b/>
                <w:i/>
              </w:rPr>
              <w:t>should preserve sufficient flexibility for Member States, reflect the diversity and specific characteristics of their defence industrial bases and should not automatically replicate</w:t>
            </w:r>
            <w:r>
              <w:t xml:space="preserve"> those laid down in the EDIP;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Welcomes the inclusion of defence among the sectors eligible for support under the national and regional partnership plans (NRPP) of the next MFF; </w:t>
            </w:r>
            <w:r>
              <w:rPr>
                <w:b/>
                <w:i/>
              </w:rPr>
              <w:t>insists that any defence spending under the NRPPs comply with the same eligibility criteria as those laid down in the EDIP;</w:t>
            </w:r>
          </w:p>
        </w:tc>
        <w:tc>
          <w:tcPr>
            <w:tcW w:w="4876" w:type="dxa"/>
            <w:tcBorders>
              <w:top w:val="nil"/>
              <w:left w:val="nil"/>
              <w:bottom w:val="nil"/>
              <w:right w:val="nil"/>
            </w:tcBorders>
          </w:tcPr>
          <w:p>
            <w:pPr>
              <w:pStyle w:val="Normal6a"/>
            </w:pPr>
            <w:r>
              <w:t>48.</w:t>
            </w:r>
            <w:r>
              <w:tab/>
            </w:r>
            <w:r>
              <w:t>Welcomes the inclusion of defence among the sectors eligible for support under the national and regional partnership plans (NRPP) of the next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Stresses that raising public resources for defence must be done fairly, respecting the principle of social solidarity and preserving social cohesion and Europe’s welfare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Stresses that the first priority is </w:t>
            </w:r>
            <w:r>
              <w:rPr>
                <w:b/>
                <w:i/>
              </w:rPr>
              <w:t>rapid and coordinated rearmament,</w:t>
            </w:r>
            <w:r>
              <w:t xml:space="preserve"> closing the most pressing gaps, especially regarding strategic enablers; underlines that this requires massive additional investment;</w:t>
            </w:r>
          </w:p>
        </w:tc>
        <w:tc>
          <w:tcPr>
            <w:tcW w:w="4876" w:type="dxa"/>
            <w:tcBorders>
              <w:top w:val="nil"/>
              <w:left w:val="nil"/>
              <w:bottom w:val="nil"/>
              <w:right w:val="nil"/>
            </w:tcBorders>
          </w:tcPr>
          <w:p>
            <w:pPr>
              <w:pStyle w:val="Normal6a"/>
            </w:pPr>
            <w:r>
              <w:t>49.</w:t>
            </w:r>
            <w:r>
              <w:tab/>
            </w:r>
            <w:r>
              <w:t xml:space="preserve">Stresses that the first priority is </w:t>
            </w:r>
            <w:r>
              <w:rPr>
                <w:b/>
                <w:i/>
              </w:rPr>
              <w:t>to rapidly and collectively strengthen European defence readiness by</w:t>
            </w:r>
            <w:r>
              <w:t xml:space="preserve"> closing the most pressing gaps, especially regarding strategic enablers; underlines that this requires massive additional investment; </w:t>
            </w:r>
            <w:r>
              <w:rPr>
                <w:b/>
                <w:i/>
              </w:rPr>
              <w:t>welcomes in this regard the announcement of a European Instrument for Strategic Enablers, aligned with NATO, and stresses that it should support joint development and procurement where European scale provides clear added value; calls, in line with the Niinistö report, for common EU preparedness baseline requirements for vital functions and strategic enablers necessary to sustain civilian crisis response and military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Stresses that the first priority is rapid and coordinated rearmament, closing the most pressing gaps, especially regarding strategic enablers</w:t>
            </w:r>
            <w:r>
              <w:rPr>
                <w:b/>
                <w:i/>
              </w:rPr>
              <w:t>; underlines that this requires massive additional investment</w:t>
            </w:r>
            <w:r>
              <w:t>;</w:t>
            </w:r>
          </w:p>
        </w:tc>
        <w:tc>
          <w:tcPr>
            <w:tcW w:w="4876" w:type="dxa"/>
            <w:tcBorders>
              <w:top w:val="nil"/>
              <w:left w:val="nil"/>
              <w:bottom w:val="nil"/>
              <w:right w:val="nil"/>
            </w:tcBorders>
          </w:tcPr>
          <w:p>
            <w:pPr>
              <w:pStyle w:val="Normal6a"/>
            </w:pPr>
            <w:r>
              <w:t>49.</w:t>
            </w:r>
            <w:r>
              <w:tab/>
            </w:r>
            <w:r>
              <w:t>Stresses that the first priority is rapid and coordinated rearmament, closing the most pressing gaps, especially regarding strategic enablers</w:t>
            </w:r>
            <w:r>
              <w:rPr>
                <w:b/>
                <w:i/>
              </w:rPr>
              <w:t>, for which Europe remains heavily dependent on the United States, such as integrated air and missile defence, deep precision strike, air-to-air refuelling, strategic airlift, space-based intelligence, surveillance and reconnaissance and secure communications, suppression of enemy air defences, electronic warfare and counter-drone capabilities; welcomes in this context the announcement of the Commission President of a European instrument for strategic enablers and calls for it to be presented without delay</w:t>
            </w:r>
            <w:r>
              <w:t xml:space="preserve">; </w:t>
            </w:r>
            <w:r>
              <w:rPr>
                <w:b/>
                <w:i/>
              </w:rPr>
              <w:t>recalls that replacing the US strategic enablers currently stationed in Europe is estimated to cost around EUR 500 billion over the next decade;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Bart Groothuis,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Stresses that the first priority is rapid and coordinated rearmament, closing the most pressing gaps, especially regarding strategic enablers; underlines that this requires massive additional investment;</w:t>
            </w:r>
          </w:p>
        </w:tc>
        <w:tc>
          <w:tcPr>
            <w:tcW w:w="4876" w:type="dxa"/>
            <w:tcBorders>
              <w:top w:val="nil"/>
              <w:left w:val="nil"/>
              <w:bottom w:val="nil"/>
              <w:right w:val="nil"/>
            </w:tcBorders>
          </w:tcPr>
          <w:p>
            <w:pPr>
              <w:pStyle w:val="Normal6a"/>
            </w:pPr>
            <w:r>
              <w:t>49.</w:t>
            </w:r>
            <w:r>
              <w:tab/>
            </w:r>
            <w:r>
              <w:t xml:space="preserve">Stresses that the first priority is rapid and coordinated rearmament, closing the most pressing gaps, especially regarding strategic enablers; underlines that this requires massive additional investment; </w:t>
            </w:r>
            <w:r>
              <w:rPr>
                <w:b/>
                <w:i/>
              </w:rPr>
              <w:t>calls on the EU to organise a large-scale exercise on the Eastern flank, based on an Article 5 scenario, with the aim of testing and strengthening Europe's ability to defend itself with less reliance on the United States; considers that the exercise should therefore be conducted jointly with like-minded partners but without United States participation, in order to map where joint multidomain operations stall and to obtain a practice-based assessment of Europe's strategic enablers and capability shortfalls; calls for these findings to be translated into a list of the most critical capabilities on which Europe remains dependent on the United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Stresses that the first priority is rapid and coordinated rearmament, closing the most pressing gaps, especially regarding strategic enablers; underlines that this requires massive additional investment;</w:t>
            </w:r>
          </w:p>
        </w:tc>
        <w:tc>
          <w:tcPr>
            <w:tcW w:w="4876" w:type="dxa"/>
            <w:tcBorders>
              <w:top w:val="nil"/>
              <w:left w:val="nil"/>
              <w:bottom w:val="nil"/>
              <w:right w:val="nil"/>
            </w:tcBorders>
          </w:tcPr>
          <w:p>
            <w:pPr>
              <w:pStyle w:val="Normal6a"/>
            </w:pPr>
            <w:r>
              <w:t>49.</w:t>
            </w:r>
            <w:r>
              <w:tab/>
            </w:r>
            <w:r>
              <w:t xml:space="preserve">Stresses that the first priority is rapid and coordinated rearmament, closing the most pressing gaps, especially regarding strategic enablers; underlines that this requires </w:t>
            </w:r>
            <w:r>
              <w:rPr>
                <w:b/>
                <w:i/>
              </w:rPr>
              <w:t>sustained procurement, long-term investment in production and R&amp;D, de-risking of value chains, and hence a predictable and</w:t>
            </w:r>
            <w:r>
              <w:t xml:space="preserve"> massive additional </w:t>
            </w:r>
            <w:r>
              <w:rPr>
                <w:b/>
                <w:i/>
              </w:rPr>
              <w:t>budgetary</w:t>
            </w:r>
            <w:r>
              <w:t xml:space="preserve">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Michał Dworczyk, 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Stresses that the first priority is rapid and coordinated rearmament, closing the most pressing gaps, especially regarding strategic enablers; underlines that this requires massive additional investment;</w:t>
            </w:r>
          </w:p>
        </w:tc>
        <w:tc>
          <w:tcPr>
            <w:tcW w:w="4876" w:type="dxa"/>
            <w:tcBorders>
              <w:top w:val="nil"/>
              <w:left w:val="nil"/>
              <w:bottom w:val="nil"/>
              <w:right w:val="nil"/>
            </w:tcBorders>
          </w:tcPr>
          <w:p>
            <w:pPr>
              <w:pStyle w:val="Normal6a"/>
            </w:pPr>
            <w:r>
              <w:t>49.</w:t>
            </w:r>
            <w:r>
              <w:tab/>
            </w:r>
            <w:r>
              <w:t>Stresses that the first priority is rapid and coordinated rearmament, closing the most pressing gaps, especially regarding strategic enablers</w:t>
            </w:r>
            <w:r>
              <w:rPr>
                <w:b/>
                <w:i/>
              </w:rPr>
              <w:t>, with priority given to strengthening the eastern flank and Member States at the EU’s external borders</w:t>
            </w:r>
            <w:r>
              <w:t>; underlines that this requires massive additional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Stresses that the first priority is rapid and coordinated rearmament, closing the most pressing gaps, especially regarding strategic enablers; underlines that this requires massive additional investment;</w:t>
            </w:r>
          </w:p>
        </w:tc>
        <w:tc>
          <w:tcPr>
            <w:tcW w:w="4876" w:type="dxa"/>
            <w:tcBorders>
              <w:top w:val="nil"/>
              <w:left w:val="nil"/>
              <w:bottom w:val="nil"/>
              <w:right w:val="nil"/>
            </w:tcBorders>
          </w:tcPr>
          <w:p>
            <w:pPr>
              <w:pStyle w:val="Normal6a"/>
            </w:pPr>
            <w:r>
              <w:t>49.</w:t>
            </w:r>
            <w:r>
              <w:tab/>
            </w:r>
            <w:r>
              <w:t xml:space="preserve">Stresses that the first priority is rapid and coordinated rearmament, closing the most pressing gaps, especially regarding strategic enablers; underlines that this requires massive additional investment; </w:t>
            </w:r>
            <w:r>
              <w:rPr>
                <w:b/>
                <w:i/>
              </w:rPr>
              <w:t>rejects permanent common debt instruments for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Rasa Juknevičienė,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Welcomes the Commission proposal for a Regulation of the European Parliament and of the Council establishing the Connecting Europe Facility for the period 2028–2034 (the ‘CEF Regulation’), including the substantial increase in the financial envelope for military mobility; stresses that this increase reflects the urgent need to upgrade dual-use transport infrastructure and remove critical bottlenecks in order to enable the large-scale movement of military personnel, equipment and supplies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Insists that the military use of artificial intelligence and autonomous systems must remain subject to meaningful human control, democratic oversight, accountability, ethical standards and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49b.</w:t>
            </w:r>
            <w:r>
              <w:tab/>
            </w:r>
            <w:r>
              <w:rPr>
                <w:b/>
                <w:i/>
              </w:rPr>
              <w:t>Urges the Member States to prioritise cross-border links, when identifying and implementing military mobility projects under the CEF Regulation; stresses that the proposed envelope for military mobility and transport, despite its increase, remains insufficient to fully realise the ambitions set out in that Regulation; calls, therefore, for adequate Union and national financing to ensure the timely completion of projects of common interest with cross-border dimension, such as the Warszawa-Vilnius-Riga-Tallinn–Helsinki–Tampere connection, in order to strengthen the Union’s northern and eastern flank;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Hélder Sousa Silva, 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Calls for the </w:t>
            </w:r>
            <w:r>
              <w:rPr>
                <w:b/>
                <w:i/>
              </w:rPr>
              <w:t>EU and its Member States to guarantee the EDTIB’s access to bank and non-bank financing</w:t>
            </w:r>
            <w:r>
              <w:t>;</w:t>
            </w:r>
          </w:p>
        </w:tc>
        <w:tc>
          <w:tcPr>
            <w:tcW w:w="4876" w:type="dxa"/>
            <w:tcBorders>
              <w:top w:val="nil"/>
              <w:left w:val="nil"/>
              <w:bottom w:val="nil"/>
              <w:right w:val="nil"/>
            </w:tcBorders>
          </w:tcPr>
          <w:p>
            <w:pPr>
              <w:pStyle w:val="Normal6a"/>
            </w:pPr>
            <w:r>
              <w:t>50.</w:t>
            </w:r>
            <w:r>
              <w:tab/>
            </w:r>
            <w:r>
              <w:rPr>
                <w:b/>
                <w:i/>
              </w:rPr>
              <w:t>Welcomes the Commission Notice on the application of the EU sustainable finance framework to defence investments, which confirms that this framework does not require the exclusion of the defence sector; notes with concern, however, that financial institutions continue to apply internal exclusion and de-risking policies that restrict access to banking services and credit for defence companies, particularly SMEs; calls on the Commission to monitor the application of the Notice and report on the remaining barriers, to ensure that the review of the Sustainable Finance Disclosure Regulation confirms this clarification in law, and to make full use of InvestEU and European Investment Fund guarantee instruments to de-risk bank lending to defence SMEs;</w:t>
            </w:r>
            <w:r>
              <w:t xml:space="preserve"> calls for the </w:t>
            </w:r>
            <w:r>
              <w:rPr>
                <w:b/>
                <w:i/>
              </w:rPr>
              <w:t>swift completion of the Savings and Investment Union in order to deepen the capital markets on which the growth of European defence companies depends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Calls for the EU and its Member States to guarantee the EDTIB’s access to bank and non-bank financing;</w:t>
            </w:r>
          </w:p>
        </w:tc>
        <w:tc>
          <w:tcPr>
            <w:tcW w:w="4876" w:type="dxa"/>
            <w:tcBorders>
              <w:top w:val="nil"/>
              <w:left w:val="nil"/>
              <w:bottom w:val="nil"/>
              <w:right w:val="nil"/>
            </w:tcBorders>
          </w:tcPr>
          <w:p>
            <w:pPr>
              <w:pStyle w:val="Normal6a"/>
            </w:pPr>
            <w:r>
              <w:t>50.</w:t>
            </w:r>
            <w:r>
              <w:tab/>
            </w:r>
            <w:r>
              <w:rPr>
                <w:b/>
                <w:i/>
              </w:rPr>
              <w:t>Stresses that public money alone will not meet the scale of the effort, and that Europe's ample private savings should be mobilised for its rearmament;</w:t>
            </w:r>
            <w:r>
              <w:t xml:space="preserve"> calls for the EU and its Member States to guarantee the EDTIB’s access to bank and non-bank financing </w:t>
            </w:r>
            <w:r>
              <w:rPr>
                <w:b/>
                <w:i/>
              </w:rPr>
              <w:t>across the entire value chain, including SMEs and mid-caps, and to devise mechanisms to channel windfall profits and clawback funds into Defense and dual-use innovation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Calls for the EU and its Member States to guarantee the EDTIB’s access to bank and non-bank financing;</w:t>
            </w:r>
          </w:p>
        </w:tc>
        <w:tc>
          <w:tcPr>
            <w:tcW w:w="4876" w:type="dxa"/>
            <w:tcBorders>
              <w:top w:val="nil"/>
              <w:left w:val="nil"/>
              <w:bottom w:val="nil"/>
              <w:right w:val="nil"/>
            </w:tcBorders>
          </w:tcPr>
          <w:p>
            <w:pPr>
              <w:pStyle w:val="Normal6a"/>
            </w:pPr>
            <w:r>
              <w:t>50.</w:t>
            </w:r>
            <w:r>
              <w:tab/>
            </w:r>
            <w:r>
              <w:t xml:space="preserve">Calls for the EU and its Member States to guarantee the EDTIB’s access to bank and non-bank financing; </w:t>
            </w:r>
            <w:r>
              <w:rPr>
                <w:b/>
                <w:i/>
              </w:rPr>
              <w:t>stresses the importance of improving access to private capital for innovative SMEs and start-ups, mainly by creating a strong predictability by state demands and clear pathways to contract;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Calls for the EU and its Member States to guarantee the EDTIB’s access to bank and non-bank financing;</w:t>
            </w:r>
          </w:p>
        </w:tc>
        <w:tc>
          <w:tcPr>
            <w:tcW w:w="4876" w:type="dxa"/>
            <w:tcBorders>
              <w:top w:val="nil"/>
              <w:left w:val="nil"/>
              <w:bottom w:val="nil"/>
              <w:right w:val="nil"/>
            </w:tcBorders>
          </w:tcPr>
          <w:p>
            <w:pPr>
              <w:pStyle w:val="Normal6a"/>
            </w:pPr>
            <w:r>
              <w:t>50.</w:t>
            </w:r>
            <w:r>
              <w:tab/>
            </w:r>
            <w:r>
              <w:t>Calls for the EU and its Member States to guarantee the EDTIB’s access to bank and non-bank financing</w:t>
            </w:r>
            <w:r>
              <w:rPr>
                <w:b/>
                <w:i/>
              </w:rPr>
              <w:t>, paying particular attention to the financing needs of SMEs, mid-caps and innovative companies across the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Calls for the EU and its Member States to </w:t>
            </w:r>
            <w:r>
              <w:rPr>
                <w:b/>
                <w:i/>
              </w:rPr>
              <w:t>guarantee the EDTIB’s access to bank and non-bank</w:t>
            </w:r>
            <w:r>
              <w:t xml:space="preserve"> financing;</w:t>
            </w:r>
          </w:p>
        </w:tc>
        <w:tc>
          <w:tcPr>
            <w:tcW w:w="4876" w:type="dxa"/>
            <w:tcBorders>
              <w:top w:val="nil"/>
              <w:left w:val="nil"/>
              <w:bottom w:val="nil"/>
              <w:right w:val="nil"/>
            </w:tcBorders>
          </w:tcPr>
          <w:p>
            <w:pPr>
              <w:pStyle w:val="Normal6a"/>
            </w:pPr>
            <w:r>
              <w:t>50.</w:t>
            </w:r>
            <w:r>
              <w:tab/>
            </w:r>
            <w:r>
              <w:t xml:space="preserve">Calls for the EU and its Member States to </w:t>
            </w:r>
            <w:r>
              <w:rPr>
                <w:b/>
                <w:i/>
              </w:rPr>
              <w:t>identify and address remaining barriers for EDTIB</w:t>
            </w:r>
            <w:r>
              <w:t xml:space="preserve"> financing;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Stresses the important role of the SMEs in EU defence industry, highlights the challenges faced, including limited access to private and public funding as well as complex procurement processes; underlines that the participation of SMEs across all Member States should be facilitated and promoted, encouraging also in joint projects their collaboration with larger industry companies as well as ensuring a fair and equitable access to EU-funded projects;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Welcomes the broadening of the lending criteria of the European Investment Bank (EIB) to the defence sector and the scaling-up of the Defence Equity Facility; calls on the EIB to substantially reinforce its lending and equity support for this sector;</w:t>
            </w:r>
          </w:p>
        </w:tc>
        <w:tc>
          <w:tcPr>
            <w:tcW w:w="4876" w:type="dxa"/>
            <w:tcBorders>
              <w:top w:val="nil"/>
              <w:left w:val="nil"/>
              <w:bottom w:val="nil"/>
              <w:right w:val="nil"/>
            </w:tcBorders>
          </w:tcPr>
          <w:p>
            <w:pPr>
              <w:pStyle w:val="Normal6a"/>
            </w:pPr>
            <w:r>
              <w:t>51.</w:t>
            </w:r>
            <w:r>
              <w:tab/>
            </w:r>
            <w:r>
              <w:t xml:space="preserve">Welcomes the broadening of the lending criteria of the European Investment Bank (EIB) to the defence sector and the scaling-up of the Defence Equity Facility; calls on the EIB to substantially reinforce its lending and equity support for this sector; </w:t>
            </w:r>
            <w:r>
              <w:rPr>
                <w:b/>
                <w:i/>
              </w:rPr>
              <w:t>welcomes the fact that the EIB Group quadrupled its security and defence financing in 2025 to more than EUR 4 billion, reaching one year ahead of schedule its target of 5 % of its financing within the Union, and the expansion of the Defence Equity Facility to an initial target size of EUR 1 billion following the full allocation of its initial budget; calls on the EIB Group to raise its security and defence financing ceiling in the mid-term review of its operational plan and to ensure that its instruments reach SMEs and innovative operators in all Member States, including in cohesion regions and peripheral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Welcomes the broadening of the lending criteria of the European Investment Bank (EIB) to the defence sector and the scaling-up of the Defence Equity Facility; calls on the EIB to substantially reinforce its lending and equity support for this sector;</w:t>
            </w:r>
          </w:p>
        </w:tc>
        <w:tc>
          <w:tcPr>
            <w:tcW w:w="4876" w:type="dxa"/>
            <w:tcBorders>
              <w:top w:val="nil"/>
              <w:left w:val="nil"/>
              <w:bottom w:val="nil"/>
              <w:right w:val="nil"/>
            </w:tcBorders>
          </w:tcPr>
          <w:p>
            <w:pPr>
              <w:pStyle w:val="Normal6a"/>
            </w:pPr>
            <w:r>
              <w:t>51.</w:t>
            </w:r>
            <w:r>
              <w:tab/>
            </w:r>
            <w:r>
              <w:t>Welcomes the broadening of the lending criteria of the European Investment Bank (EIB) to the defence sector and the scaling-up of the Defence Equity Facility; calls on the EIB to substantially reinforce its lending and equity support for this sector</w:t>
            </w:r>
            <w:r>
              <w:rPr>
                <w:b/>
                <w:i/>
              </w:rPr>
              <w:t>, in particular for European strategic capabilities, SMEs and mid-caps</w:t>
            </w:r>
            <w:r>
              <w:t xml:space="preserve">; </w:t>
            </w:r>
            <w:r>
              <w:rPr>
                <w:b/>
                <w:i/>
              </w:rPr>
              <w:t>stresses that increased public financial support for the defence sector must deliver European added value, industrial resilience and quality employment, while remaining subject to transparency and democratic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Welcomes the broadening of the lending criteria of the European Investment Bank (EIB) to the defence sector and the scaling-up of the Defence Equity Facility; calls on the EIB to substantially reinforce its lending and equity support for this sector;</w:t>
            </w:r>
          </w:p>
        </w:tc>
        <w:tc>
          <w:tcPr>
            <w:tcW w:w="4876" w:type="dxa"/>
            <w:tcBorders>
              <w:top w:val="nil"/>
              <w:left w:val="nil"/>
              <w:bottom w:val="nil"/>
              <w:right w:val="nil"/>
            </w:tcBorders>
          </w:tcPr>
          <w:p>
            <w:pPr>
              <w:pStyle w:val="Normal6a"/>
            </w:pPr>
            <w:r>
              <w:t>51.</w:t>
            </w:r>
            <w:r>
              <w:tab/>
            </w:r>
            <w:r>
              <w:t xml:space="preserve">Welcomes the broadening of the lending criteria of the European Investment Bank (EIB) to the defence sector and the scaling-up of the Defence Equity Facility; </w:t>
            </w:r>
            <w:r>
              <w:rPr>
                <w:b/>
                <w:i/>
              </w:rPr>
              <w:t>notes however that the volumes committed remain out of proportion with the financing requirements of the EDTIB and its value chain;</w:t>
            </w:r>
            <w:r>
              <w:t xml:space="preserve"> calls on the EIB to substantially reinforce its lending and equity support for this sector</w:t>
            </w:r>
            <w:r>
              <w:rPr>
                <w:b/>
                <w:i/>
              </w:rPr>
              <w:t>, so as to de-risk investments and crowd in private capital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Bart Groothuis, Engin Eroglu,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Welcomes the broadening of the lending criteria of the European Investment Bank (EIB) to the defence sector and the scaling-up of the Defence Equity Facility; calls on the EIB to substantially reinforce its lending and equity support for this sector;</w:t>
            </w:r>
          </w:p>
        </w:tc>
        <w:tc>
          <w:tcPr>
            <w:tcW w:w="4876" w:type="dxa"/>
            <w:tcBorders>
              <w:top w:val="nil"/>
              <w:left w:val="nil"/>
              <w:bottom w:val="nil"/>
              <w:right w:val="nil"/>
            </w:tcBorders>
          </w:tcPr>
          <w:p>
            <w:pPr>
              <w:pStyle w:val="Normal6a"/>
            </w:pPr>
            <w:r>
              <w:t>51.</w:t>
            </w:r>
            <w:r>
              <w:tab/>
            </w:r>
            <w:r>
              <w:t xml:space="preserve">Welcomes the broadening of the lending criteria of the European Investment Bank (EIB) to the defence sector and the scaling-up of the Defence Equity Facility; calls on the EIB to substantially reinforce its lending and equity support for this sector; </w:t>
            </w:r>
            <w:r>
              <w:rPr>
                <w:b/>
                <w:i/>
              </w:rPr>
              <w:t>calls on the Member States to amend the EIB’s exclusion list in order to enable the financing of weapons and ammunition beyond mere dual-use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Nathalie Loiseau,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Welcomes the adoption of the Defence Readiness Omnibus as a first step towards rationalisation; calls on the Member States to step up their ambition </w:t>
            </w:r>
            <w:r>
              <w:rPr>
                <w:b/>
                <w:i/>
              </w:rPr>
              <w:t>and</w:t>
            </w:r>
            <w:r>
              <w:t xml:space="preserve"> build a more agile, efficient and </w:t>
            </w:r>
            <w:r>
              <w:rPr>
                <w:b/>
                <w:i/>
              </w:rPr>
              <w:t>faster</w:t>
            </w:r>
            <w:r>
              <w:t xml:space="preserve"> legislative ecosystem for European </w:t>
            </w:r>
            <w:r>
              <w:rPr>
                <w:b/>
                <w:i/>
              </w:rPr>
              <w:t>defence</w:t>
            </w:r>
            <w:r>
              <w:t>; underlines that all rationalisation and harmonisation efforts must be conducted in full respect of the Treaties;</w:t>
            </w:r>
          </w:p>
        </w:tc>
        <w:tc>
          <w:tcPr>
            <w:tcW w:w="4876" w:type="dxa"/>
            <w:tcBorders>
              <w:top w:val="nil"/>
              <w:left w:val="nil"/>
              <w:bottom w:val="nil"/>
              <w:right w:val="nil"/>
            </w:tcBorders>
          </w:tcPr>
          <w:p>
            <w:pPr>
              <w:pStyle w:val="Normal6a"/>
            </w:pPr>
            <w:r>
              <w:t>52.</w:t>
            </w:r>
            <w:r>
              <w:tab/>
            </w:r>
            <w:r>
              <w:t xml:space="preserve">Welcomes the adoption of the Defence Readiness Omnibus as a first step towards rationalisation; </w:t>
            </w:r>
            <w:r>
              <w:rPr>
                <w:b/>
                <w:i/>
              </w:rPr>
              <w:t>considers it far from sufficient;</w:t>
            </w:r>
            <w:r>
              <w:t xml:space="preserve"> calls on the Member States to step up their ambition</w:t>
            </w:r>
            <w:r>
              <w:rPr>
                <w:b/>
                <w:i/>
              </w:rPr>
              <w:t>, political will and action to harmonise national legislations, rules and procedures — including intra-EU transfers, certification and permitting practices — and to</w:t>
            </w:r>
            <w:r>
              <w:t xml:space="preserve"> build a more agile, efficient and </w:t>
            </w:r>
            <w:r>
              <w:rPr>
                <w:b/>
                <w:i/>
              </w:rPr>
              <w:t>fast</w:t>
            </w:r>
            <w:r>
              <w:t xml:space="preserve"> legislative ecosystem for European </w:t>
            </w:r>
            <w:r>
              <w:rPr>
                <w:b/>
                <w:i/>
              </w:rPr>
              <w:t>Defense, without which the European Defense Union will never take shape; stresses that national sovereignty must be fully respected, but must not serve as an argument against action, as the failure to harmonise ultimately weakens the very sovereignty it claims to protect</w:t>
            </w:r>
            <w:r>
              <w:t xml:space="preserve">; underlines that all rationalisation and harmonisation efforts must be conducted in full respect of the Treaties </w:t>
            </w:r>
            <w:r>
              <w:rPr>
                <w:b/>
                <w:i/>
              </w:rPr>
              <w:t>and of the division of competences they establish, in particular Article 4(2) TEU and Article 346 TFEU</w:t>
            </w:r>
            <w:r>
              <w:t xml:space="preserve">; </w:t>
            </w:r>
            <w:r>
              <w:rPr>
                <w:b/>
                <w:i/>
              </w:rPr>
              <w:t>recalls, in particular, that the control of exports of military technology and equipment remains a national competence of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Welcomes the adoption of the Defence Readiness Omnibus as a first step </w:t>
            </w:r>
            <w:r>
              <w:rPr>
                <w:b/>
                <w:i/>
              </w:rPr>
              <w:t>towards rationalisation</w:t>
            </w:r>
            <w:r>
              <w:t xml:space="preserve">; calls on the Member States to step up their ambition and build a more agile, efficient and faster </w:t>
            </w:r>
            <w:r>
              <w:rPr>
                <w:b/>
                <w:i/>
              </w:rPr>
              <w:t>legislative</w:t>
            </w:r>
            <w:r>
              <w:t xml:space="preserve"> ecosystem for European defence; underlines that all rationalisation and harmonisation efforts must be conducted in full respect of the Treaties;</w:t>
            </w:r>
          </w:p>
        </w:tc>
        <w:tc>
          <w:tcPr>
            <w:tcW w:w="4876" w:type="dxa"/>
            <w:tcBorders>
              <w:top w:val="nil"/>
              <w:left w:val="nil"/>
              <w:bottom w:val="nil"/>
              <w:right w:val="nil"/>
            </w:tcBorders>
          </w:tcPr>
          <w:p>
            <w:pPr>
              <w:pStyle w:val="Normal6a"/>
            </w:pPr>
            <w:r>
              <w:t>52.</w:t>
            </w:r>
            <w:r>
              <w:tab/>
            </w:r>
            <w:r>
              <w:t xml:space="preserve">Welcomes the adoption of the Defence Readiness Omnibus as a first step </w:t>
            </w:r>
            <w:r>
              <w:rPr>
                <w:b/>
                <w:i/>
              </w:rPr>
              <w:t>while acknowledging that it falls far short of the level of ambition required to meet the objectives of Defence Readiness 2030; is dismayed by the reluctance of the Council and the EU Member States when it comes to addressing deep structural challenges of the European defence industrial landscape and the lack of ambition as regards defence cooperation at EU level</w:t>
            </w:r>
            <w:r>
              <w:t xml:space="preserve">; calls on the Member States to step up their ambition and </w:t>
            </w:r>
            <w:r>
              <w:rPr>
                <w:b/>
                <w:i/>
              </w:rPr>
              <w:t>jointly</w:t>
            </w:r>
            <w:r>
              <w:t xml:space="preserve"> build a more </w:t>
            </w:r>
            <w:r>
              <w:rPr>
                <w:b/>
                <w:i/>
              </w:rPr>
              <w:t>integrated,</w:t>
            </w:r>
            <w:r>
              <w:t xml:space="preserve"> agile, efficient and faster ecosystem for European defence; underlines that all rationalisation and harmonisation efforts must be conducted in full respect of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w:t>
            </w:r>
          </w:p>
        </w:tc>
        <w:tc>
          <w:tcPr>
            <w:tcW w:w="4876" w:type="dxa"/>
            <w:tcBorders>
              <w:top w:val="nil"/>
              <w:left w:val="nil"/>
              <w:bottom w:val="nil"/>
              <w:right w:val="nil"/>
            </w:tcBorders>
          </w:tcPr>
          <w:p>
            <w:pPr>
              <w:pStyle w:val="Normal6a"/>
            </w:pPr>
            <w:r>
              <w:t>52.</w:t>
            </w:r>
            <w:r>
              <w:tab/>
            </w:r>
            <w:r>
              <w:t xml:space="preserve">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 </w:t>
            </w:r>
            <w:r>
              <w:rPr>
                <w:b/>
                <w:i/>
              </w:rPr>
              <w:t>stresses that they must also safeguard Member States’ competences in the areas of defence procurement and industrial policy, their essential security interests and their strategic know-how, and must not lead to the creation of a single defence market that would restrict their sovereignty in these areas;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w:t>
            </w:r>
          </w:p>
        </w:tc>
        <w:tc>
          <w:tcPr>
            <w:tcW w:w="4876" w:type="dxa"/>
            <w:tcBorders>
              <w:top w:val="nil"/>
              <w:left w:val="nil"/>
              <w:bottom w:val="nil"/>
              <w:right w:val="nil"/>
            </w:tcBorders>
          </w:tcPr>
          <w:p>
            <w:pPr>
              <w:pStyle w:val="Normal6a"/>
            </w:pPr>
            <w:r>
              <w:t>52.</w:t>
            </w:r>
            <w:r>
              <w:tab/>
            </w:r>
            <w:r>
              <w:t xml:space="preserve">Welcomes the adoption of the Defence Readiness Omnibus as a first step towards rationalisation; calls on the Member States to step up their ambition and build a more agile, efficient and faster legislative ecosystem for European defence; </w:t>
            </w:r>
            <w:r>
              <w:rPr>
                <w:b/>
                <w:i/>
              </w:rPr>
              <w:t>calls for a genuine single market for defence through simpler intra-EU transfer and common export procedures, mutual recognition of certification and better access for SMEs; calls for fewer different weapon systems in Europe and standardisation in line with NATO;</w:t>
            </w:r>
            <w:r>
              <w:t xml:space="preserve"> underlines that all rationalisation and harmonisation efforts must be conducted in full respect of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w:t>
            </w:r>
          </w:p>
        </w:tc>
        <w:tc>
          <w:tcPr>
            <w:tcW w:w="4876" w:type="dxa"/>
            <w:tcBorders>
              <w:top w:val="nil"/>
              <w:left w:val="nil"/>
              <w:bottom w:val="nil"/>
              <w:right w:val="nil"/>
            </w:tcBorders>
          </w:tcPr>
          <w:p>
            <w:pPr>
              <w:pStyle w:val="Normal6a"/>
            </w:pPr>
            <w:r>
              <w:t>52.</w:t>
            </w:r>
            <w:r>
              <w:tab/>
            </w:r>
            <w:r>
              <w:t xml:space="preserve">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 </w:t>
            </w:r>
            <w:r>
              <w:rPr>
                <w:b/>
                <w:i/>
              </w:rPr>
              <w:t>and must not weaken transparency, anti-fraud safeguards or democratic oversight applicable to EU defence funding</w:t>
            </w:r>
            <w:r>
              <w:t xml:space="preserve">; </w:t>
            </w:r>
            <w:r>
              <w:rPr>
                <w:b/>
                <w:i/>
              </w:rPr>
              <w:t>stresses that simplification should also facilitate the participation of SMEs and innovative companies in the European defence ecosystem;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w:t>
            </w:r>
          </w:p>
        </w:tc>
        <w:tc>
          <w:tcPr>
            <w:tcW w:w="4876" w:type="dxa"/>
            <w:tcBorders>
              <w:top w:val="nil"/>
              <w:left w:val="nil"/>
              <w:bottom w:val="nil"/>
              <w:right w:val="nil"/>
            </w:tcBorders>
          </w:tcPr>
          <w:p>
            <w:pPr>
              <w:pStyle w:val="Normal6a"/>
            </w:pPr>
            <w:r>
              <w:t>52.</w:t>
            </w:r>
            <w:r>
              <w:tab/>
            </w:r>
            <w:r>
              <w:t xml:space="preserve">Welcomes the adoption of the Defence Readiness Omnibus as a first step towards rationalisation; calls on the Member States to step up their ambition and build a more agile, efficient and faster legislative ecosystem for European defence; </w:t>
            </w:r>
            <w:r>
              <w:rPr>
                <w:b/>
                <w:i/>
              </w:rPr>
              <w:t>urges the Commission to present further legislative initiatives aimed at developing a genuine European market for defence goods through common standards, certification, resilient transnational supply chains, and harmonised common export rules;</w:t>
            </w:r>
            <w:r>
              <w:t xml:space="preserve"> underlines that all rationalisation and harmonisation efforts must be conducted in full respect of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w:t>
            </w:r>
          </w:p>
        </w:tc>
        <w:tc>
          <w:tcPr>
            <w:tcW w:w="4876" w:type="dxa"/>
            <w:tcBorders>
              <w:top w:val="nil"/>
              <w:left w:val="nil"/>
              <w:bottom w:val="nil"/>
              <w:right w:val="nil"/>
            </w:tcBorders>
          </w:tcPr>
          <w:p>
            <w:pPr>
              <w:pStyle w:val="Normal6a"/>
            </w:pPr>
            <w:r>
              <w:t>52.</w:t>
            </w:r>
            <w:r>
              <w:tab/>
            </w:r>
            <w:r>
              <w:t xml:space="preserve">Welcomes the adoption of the Defence Readiness Omnibus as a first step towards rationalisation; calls on the Member States to step up their ambition and build a more agile, efficient and faster legislative ecosystem for European defence; underlines that all rationalisation and harmonisation efforts must be conducted in full respect of the Treaties; </w:t>
            </w:r>
            <w:r>
              <w:rPr>
                <w:b/>
                <w:i/>
              </w:rPr>
              <w:t>underlines the need for particular attention to defence procurement, certification, testing and market access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Looks forward to the forthcoming comprehensive revision of the defence procurement directive and invites the Commission to also evaluate its transformation into a Regulation; calls on the Commission to ensure that this revision provides flexible procedures across all stages of defence and dual-use innovation cycles, including research and development, prototyping, experimentation, demonstration, and entry-level purchases of innovative solutions, and enables all of these steps to be a part of a single procurement process; calls furthermore on Member States to implement any adopted provisions in a way that ensures a fair, competitive single market for emerging and disruptive defence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Cristian Terheş, Reinis Pozņaks, Alexandr Vondra,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Welcomes the selection of the Eastern Flank Watch among the first European Defence Projects of Common Interest</w:t>
            </w:r>
            <w:r>
              <w:rPr>
                <w:b/>
                <w:i/>
                <w:vertAlign w:val="superscript"/>
              </w:rPr>
              <w:t>1a</w:t>
            </w:r>
            <w:r>
              <w:rPr>
                <w:b/>
                <w:i/>
              </w:rPr>
              <w:t>; insists that it deliver genuine 360-degree coverage from the Baltic to the Black Sea, with the Black Sea and the south-eastern flank given equal priority in planning, funding and deployment of layered air, maritime, land and cyber surveillance; calls for its financing to be secured in the next MFF, and for the full involvement of Romania, Bulgaria, Baltic states and the other frontline Member States, in close coordination with NATO, Ukraine and Republic of Moldova;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https://www.consilium.europa.eu/en/press/press-releases/2026/09/28/european-defence-industry-council-identifies-the-first-five-projects-of-common-interest/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Calls on the Council to keep unanimity in all procedures where it is currently used, and refrain from transitioning to qualified majority voting.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52b.</w:t>
            </w:r>
            <w:r>
              <w:tab/>
            </w:r>
            <w:r>
              <w:rPr>
                <w:b/>
                <w:i/>
              </w:rPr>
              <w:t>Welcomes the swift implementation of the SAFE instrument established by Regulation (EU) 2025/1106, with the national plans of 18 of the 19 participating Member States approved and the first disbursements made since the spring of 2026; welcomes the revised request submitted by the new Hungarian Government, which paves the way for the approval of the last outstanding plan; notes that the reduction of several national requests will free up resources within the instrument, and insists that their reallocation be decided transparently and with Parliament fully informed; reiterates its regret over the use of Article 122 TFEU as the legal basis and insists on being kept regularly informed of the instrument's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52b.</w:t>
            </w:r>
            <w:r>
              <w:tab/>
            </w:r>
            <w:r>
              <w:rPr>
                <w:b/>
                <w:i/>
              </w:rPr>
              <w:t>Calls once again for the establishing of another off-budget financial facility which would sufficiently pool and Europeanise parts of national defence budgets at EU level and address the entire life cycle of military capabilities, from collaborative R&amp;D and joint procurement to joint maintenance, training and security of supply, and which is, like the current off-budget EPF, open to non-EU countries such as Norway and the UK; stresses in this context the need to improve decision-making and oversight procedures compared to the current EPF governance model;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Hans Neuhoff,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Insists that </w:t>
            </w:r>
            <w:r>
              <w:rPr>
                <w:b/>
                <w:i/>
              </w:rPr>
              <w:t>Parliament’s oversight and</w:t>
            </w:r>
            <w:r>
              <w:t xml:space="preserve"> scrutiny </w:t>
            </w:r>
            <w:r>
              <w:rPr>
                <w:b/>
                <w:i/>
              </w:rPr>
              <w:t>role be strengthened in line with the expansion of the EU’s role in defence</w:t>
            </w:r>
            <w:r>
              <w:t xml:space="preserve"> and the </w:t>
            </w:r>
            <w:r>
              <w:rPr>
                <w:b/>
                <w:i/>
              </w:rPr>
              <w:t>unprecedented increase in spending on EU</w:t>
            </w:r>
            <w:r>
              <w:t xml:space="preserve"> defence </w:t>
            </w:r>
            <w:r>
              <w:rPr>
                <w:b/>
                <w:i/>
              </w:rPr>
              <w:t>policies and programmes</w:t>
            </w:r>
            <w:r>
              <w:t>;</w:t>
            </w:r>
          </w:p>
        </w:tc>
        <w:tc>
          <w:tcPr>
            <w:tcW w:w="4876" w:type="dxa"/>
            <w:tcBorders>
              <w:top w:val="nil"/>
              <w:left w:val="nil"/>
              <w:bottom w:val="nil"/>
              <w:right w:val="nil"/>
            </w:tcBorders>
          </w:tcPr>
          <w:p>
            <w:pPr>
              <w:pStyle w:val="Normal6a"/>
            </w:pPr>
            <w:r>
              <w:t>53.</w:t>
            </w:r>
            <w:r>
              <w:tab/>
            </w:r>
            <w:r>
              <w:rPr>
                <w:b/>
                <w:i/>
              </w:rPr>
              <w:t>Recalls that democratic control over the armed forces, over their deployment and over defence budgets lies with the national parliaments and that, in a number of Member States, any deployment requires prior parliamentary authorisation;</w:t>
            </w:r>
            <w:r>
              <w:t xml:space="preserve"> insists that </w:t>
            </w:r>
            <w:r>
              <w:rPr>
                <w:b/>
                <w:i/>
              </w:rPr>
              <w:t>any strengthening of</w:t>
            </w:r>
            <w:r>
              <w:t xml:space="preserve"> scrutiny </w:t>
            </w:r>
            <w:r>
              <w:rPr>
                <w:b/>
                <w:i/>
              </w:rPr>
              <w:t>at Union level must complement, and may not substitute for, national parliamentary control; calls for a structured dialogue between the European Parliament</w:t>
            </w:r>
            <w:r>
              <w:t xml:space="preserve"> and the </w:t>
            </w:r>
            <w:r>
              <w:rPr>
                <w:b/>
                <w:i/>
              </w:rPr>
              <w:t>national parliaments on the implementation of the CSDP and on the scrutiny of</w:t>
            </w:r>
            <w:r>
              <w:t xml:space="preserve"> defence </w:t>
            </w:r>
            <w:r>
              <w:rPr>
                <w:b/>
                <w:i/>
              </w:rPr>
              <w:t>expenditure financed from the Union budget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Insists that Parliament’s</w:t>
            </w:r>
            <w:r>
              <w:t xml:space="preserve"> oversight </w:t>
            </w:r>
            <w:r>
              <w:rPr>
                <w:b/>
                <w:i/>
              </w:rPr>
              <w:t>and scrutiny role be strengthened in line with the expansion of the EU’s role in defence and the unprecedented increase in spending on</w:t>
            </w:r>
            <w:r>
              <w:t xml:space="preserve"> EU defence policies and programmes;</w:t>
            </w:r>
          </w:p>
        </w:tc>
        <w:tc>
          <w:tcPr>
            <w:tcW w:w="4876" w:type="dxa"/>
            <w:tcBorders>
              <w:top w:val="nil"/>
              <w:left w:val="nil"/>
              <w:bottom w:val="nil"/>
              <w:right w:val="nil"/>
            </w:tcBorders>
          </w:tcPr>
          <w:p>
            <w:pPr>
              <w:pStyle w:val="Normal6a"/>
            </w:pPr>
            <w:r>
              <w:t>53.</w:t>
            </w:r>
            <w:r>
              <w:tab/>
            </w:r>
            <w:r>
              <w:rPr>
                <w:b/>
                <w:i/>
              </w:rPr>
              <w:t>Supports stronger European Parliament</w:t>
            </w:r>
            <w:r>
              <w:t xml:space="preserve"> oversight </w:t>
            </w:r>
            <w:r>
              <w:rPr>
                <w:b/>
                <w:i/>
              </w:rPr>
              <w:t>of</w:t>
            </w:r>
            <w:r>
              <w:t xml:space="preserve"> EU defence policies and programmes </w:t>
            </w:r>
            <w:r>
              <w:rPr>
                <w:b/>
                <w:i/>
              </w:rPr>
              <w:t>within its Treaty powers, particularly in relation to Union expenditure</w:t>
            </w:r>
            <w:r>
              <w:t xml:space="preserve">; </w:t>
            </w:r>
            <w:r>
              <w:rPr>
                <w:b/>
                <w:i/>
              </w:rPr>
              <w:t>underlines that this must complement the constitutional responsibilities of national parliaments for national defence policy, military deployments and defence budgets; calls for closer interparliamentary cooperation, appropriate access to information and clear reporting on costs and results, while safeguarding classified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Nicolás Pascual de la Parte,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Insists that</w:t>
            </w:r>
            <w:r>
              <w:t xml:space="preserve"> Parliament’s oversight </w:t>
            </w:r>
            <w:r>
              <w:rPr>
                <w:b/>
                <w:i/>
              </w:rPr>
              <w:t>and scrutiny role be strengthened</w:t>
            </w:r>
            <w:r>
              <w:t xml:space="preserve"> in line with the </w:t>
            </w:r>
            <w:r>
              <w:rPr>
                <w:b/>
                <w:i/>
              </w:rPr>
              <w:t>expansion</w:t>
            </w:r>
            <w:r>
              <w:t xml:space="preserve"> of the </w:t>
            </w:r>
            <w:r>
              <w:rPr>
                <w:b/>
                <w:i/>
              </w:rPr>
              <w:t>EU’s role</w:t>
            </w:r>
            <w:r>
              <w:t xml:space="preserve"> in defence and the </w:t>
            </w:r>
            <w:r>
              <w:rPr>
                <w:b/>
                <w:i/>
              </w:rPr>
              <w:t>unprecedented increase in spending on</w:t>
            </w:r>
            <w:r>
              <w:t xml:space="preserve"> EU defence policies and programmes;</w:t>
            </w:r>
          </w:p>
        </w:tc>
        <w:tc>
          <w:tcPr>
            <w:tcW w:w="4876" w:type="dxa"/>
            <w:tcBorders>
              <w:top w:val="nil"/>
              <w:left w:val="nil"/>
              <w:bottom w:val="nil"/>
              <w:right w:val="nil"/>
            </w:tcBorders>
          </w:tcPr>
          <w:p>
            <w:pPr>
              <w:pStyle w:val="Normal6a"/>
            </w:pPr>
            <w:r>
              <w:t>53.</w:t>
            </w:r>
            <w:r>
              <w:tab/>
            </w:r>
            <w:r>
              <w:rPr>
                <w:b/>
                <w:i/>
              </w:rPr>
              <w:t>Stresses the importance of strengthening the European</w:t>
            </w:r>
            <w:r>
              <w:t xml:space="preserve"> Parliament's oversight </w:t>
            </w:r>
            <w:r>
              <w:rPr>
                <w:b/>
                <w:i/>
              </w:rPr>
              <w:t>function</w:t>
            </w:r>
            <w:r>
              <w:t xml:space="preserve"> in line with the </w:t>
            </w:r>
            <w:r>
              <w:rPr>
                <w:b/>
                <w:i/>
              </w:rPr>
              <w:t>growing role</w:t>
            </w:r>
            <w:r>
              <w:t xml:space="preserve"> of the </w:t>
            </w:r>
            <w:r>
              <w:rPr>
                <w:b/>
                <w:i/>
              </w:rPr>
              <w:t>EU</w:t>
            </w:r>
            <w:r>
              <w:t xml:space="preserve"> in defence and the </w:t>
            </w:r>
            <w:r>
              <w:rPr>
                <w:b/>
                <w:i/>
              </w:rPr>
              <w:t>increasing resources allocated to</w:t>
            </w:r>
            <w:r>
              <w:t xml:space="preserve"> EU defence policies and programmes; </w:t>
            </w:r>
            <w:r>
              <w:rPr>
                <w:b/>
                <w:i/>
              </w:rPr>
              <w:t>calls for regular structured exchanges with the Commissioner for Defence and Space and the Vice-President of the Commission/High Representative , as well as enhanced access to relevant information on the implementation of EU defence instruments, including EDIP, EDF and the European Peace Facility, while fully respecting the applicable rules on classified and sensitive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Adam Bielan,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Insists that Parliament’s oversight and scrutiny role be strengthened in line with </w:t>
            </w:r>
            <w:r>
              <w:rPr>
                <w:b/>
                <w:i/>
              </w:rPr>
              <w:t>the expansion of the EU’s role in defence and</w:t>
            </w:r>
            <w:r>
              <w:t xml:space="preserve"> the unprecedented increase in spending on EU defence policies and programmes;</w:t>
            </w:r>
          </w:p>
        </w:tc>
        <w:tc>
          <w:tcPr>
            <w:tcW w:w="4876" w:type="dxa"/>
            <w:tcBorders>
              <w:top w:val="nil"/>
              <w:left w:val="nil"/>
              <w:bottom w:val="nil"/>
              <w:right w:val="nil"/>
            </w:tcBorders>
          </w:tcPr>
          <w:p>
            <w:pPr>
              <w:pStyle w:val="Normal6a"/>
            </w:pPr>
            <w:r>
              <w:t>53.</w:t>
            </w:r>
            <w:r>
              <w:tab/>
            </w:r>
            <w:r>
              <w:t xml:space="preserve">Insists that Parliament’s oversight and scrutiny role </w:t>
            </w:r>
            <w:r>
              <w:rPr>
                <w:b/>
                <w:i/>
              </w:rPr>
              <w:t>over EU defence programmes and expenditure</w:t>
            </w:r>
            <w:r>
              <w:t xml:space="preserve"> be strengthened in line with the unprecedented increase in spending on EU defence policies and programmes; </w:t>
            </w:r>
            <w:r>
              <w:rPr>
                <w:b/>
                <w:i/>
              </w:rPr>
              <w:t>recalls that, in accordance with Article 4(2) TEU, national security remains the sole responsibility of each Member State and that decisions on the deployment of national armed forces are subject to the democratic control of national parliaments;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Insists that Parliament’s </w:t>
            </w:r>
            <w:r>
              <w:rPr>
                <w:b/>
                <w:i/>
              </w:rPr>
              <w:t>oversight and scrutiny role</w:t>
            </w:r>
            <w:r>
              <w:t xml:space="preserve"> be strengthened in line with the expansion of the EU’s role in defence </w:t>
            </w:r>
            <w:r>
              <w:rPr>
                <w:b/>
                <w:i/>
              </w:rPr>
              <w:t>and</w:t>
            </w:r>
            <w:r>
              <w:t xml:space="preserve"> the unprecedented increase in spending on EU defence policies and programmes;</w:t>
            </w:r>
          </w:p>
        </w:tc>
        <w:tc>
          <w:tcPr>
            <w:tcW w:w="4876" w:type="dxa"/>
            <w:tcBorders>
              <w:top w:val="nil"/>
              <w:left w:val="nil"/>
              <w:bottom w:val="nil"/>
              <w:right w:val="nil"/>
            </w:tcBorders>
          </w:tcPr>
          <w:p>
            <w:pPr>
              <w:pStyle w:val="Normal6a"/>
            </w:pPr>
            <w:r>
              <w:t>53.</w:t>
            </w:r>
            <w:r>
              <w:tab/>
            </w:r>
            <w:r>
              <w:t>Insists that Parliament’s </w:t>
            </w:r>
            <w:r>
              <w:rPr>
                <w:b/>
                <w:i/>
              </w:rPr>
              <w:t>role in overseeing and scrutinising policies, programmes and expenditure falling within the Union’s remit</w:t>
            </w:r>
            <w:r>
              <w:t xml:space="preserve"> be strengthened in line with the expansion of the EU’s role in defence</w:t>
            </w:r>
            <w:r>
              <w:rPr>
                <w:b/>
                <w:i/>
              </w:rPr>
              <w:t>, and in light of</w:t>
            </w:r>
            <w:r>
              <w:t xml:space="preserve"> the unprecedented increase in spending on EU defence policies and programmes; </w:t>
            </w:r>
            <w:r>
              <w:rPr>
                <w:b/>
                <w:i/>
              </w:rPr>
              <w:t>stresses that this scrutiny must not extend to national decisions on defence policy, the command of, or the deployment of, the armed forces, which remain the responsibility of the Member States and their national institutions;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José Cepeda,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Insists that Parliament’s oversight and scrutiny role be strengthened in line with the expansion of the EU’s role in defence and the unprecedented increase in spending on EU defence policies and programmes;</w:t>
            </w:r>
          </w:p>
        </w:tc>
        <w:tc>
          <w:tcPr>
            <w:tcW w:w="4876" w:type="dxa"/>
            <w:tcBorders>
              <w:top w:val="nil"/>
              <w:left w:val="nil"/>
              <w:bottom w:val="nil"/>
              <w:right w:val="nil"/>
            </w:tcBorders>
          </w:tcPr>
          <w:p>
            <w:pPr>
              <w:pStyle w:val="Normal6a"/>
            </w:pPr>
            <w:r>
              <w:t>53.</w:t>
            </w:r>
            <w:r>
              <w:tab/>
            </w:r>
            <w:r>
              <w:t xml:space="preserve">Insists that Parliament’s oversight and scrutiny role be strengthened in line with the expansion of the EU’s role in defence and the unprecedented increase in spending on EU defence policies and programmes; </w:t>
            </w:r>
            <w:r>
              <w:rPr>
                <w:b/>
                <w:i/>
              </w:rPr>
              <w:t>stresses that this expansion must be accompanied by robust transparency, anti-fraud safeguards and democratic accountability, including systematic parliamentary scrutiny by the Committee on Security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Insists that Parliament’s oversight and scrutiny role be strengthened in line with the expansion of the EU’s role in defence and the unprecedented increase in spending on EU defence policies and programmes;</w:t>
            </w:r>
          </w:p>
        </w:tc>
        <w:tc>
          <w:tcPr>
            <w:tcW w:w="4876" w:type="dxa"/>
            <w:tcBorders>
              <w:top w:val="nil"/>
              <w:left w:val="nil"/>
              <w:bottom w:val="nil"/>
              <w:right w:val="nil"/>
            </w:tcBorders>
          </w:tcPr>
          <w:p>
            <w:pPr>
              <w:pStyle w:val="Normal6a"/>
            </w:pPr>
            <w:r>
              <w:t>53.</w:t>
            </w:r>
            <w:r>
              <w:tab/>
            </w:r>
            <w:r>
              <w:t>Insists that Parliament’s oversight and scrutiny role be strengthened in line with the expansion of the EU’s role in defence and the unprecedented increase in spending on EU defence policies and programmes</w:t>
            </w:r>
            <w:r>
              <w:rPr>
                <w:b/>
                <w:i/>
              </w:rPr>
              <w:t>, in particular as regards the implementation of defence industrial regulations via delegated acts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Insists that Parliament’s oversight and scrutiny role </w:t>
            </w:r>
            <w:r>
              <w:rPr>
                <w:b/>
                <w:i/>
              </w:rPr>
              <w:t>be strengthened</w:t>
            </w:r>
            <w:r>
              <w:t xml:space="preserve"> in line with the expansion of the EU’s role in defence and the unprecedented increase in spending on EU defence policies and programmes;</w:t>
            </w:r>
          </w:p>
        </w:tc>
        <w:tc>
          <w:tcPr>
            <w:tcW w:w="4876" w:type="dxa"/>
            <w:tcBorders>
              <w:top w:val="nil"/>
              <w:left w:val="nil"/>
              <w:bottom w:val="nil"/>
              <w:right w:val="nil"/>
            </w:tcBorders>
          </w:tcPr>
          <w:p>
            <w:pPr>
              <w:pStyle w:val="Normal6a"/>
            </w:pPr>
            <w:r>
              <w:t>53.</w:t>
            </w:r>
            <w:r>
              <w:tab/>
            </w:r>
            <w:r>
              <w:t xml:space="preserve">Insists that Parliament’s oversight and scrutiny role </w:t>
            </w:r>
            <w:r>
              <w:rPr>
                <w:b/>
                <w:i/>
              </w:rPr>
              <w:t>is</w:t>
            </w:r>
            <w:r>
              <w:t xml:space="preserve"> in line with the expansion of the EU’s role in defence and the unprecedented increase in spending on EU defence policies and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Mārtiņš Staķis</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Calls for the European Parliament and national parliaments to develop a structured dialogue on the implementation of the CSDP and the oversight of European defence spending, with the aim of improving transparency, accountability and public trust in the CSDP; notes that it is necessary to expand cooperation between Parliament’s Committee on Security and Defence and the security and defence committees of the national parliaments of EU Member States, in order to achieve a common understanding of threats, and cooperation on legislative work, to enable the rapid scaling up of the EU’s defence capabilities; stresses that similar parliamentary committees in the candidate countries should also be involved, where 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Deplores the recourse to Article 122 TFEU for the adoption of the SAFE instrument, which excluded Parliament from its legislative role; and insists that the Defense dimension of the next MFF — including the European Competitiveness Fund and the NRPPs — remain subject to Parliament's full legislative and budgetary prerogatives; recalls further that off-budget instruments such as the European Peace Facility continue to escape parliamentary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Calls for a structured dialogue between the European Parliament and the security and defence committees of national parliaments on the implementation of the CSDP and the oversight of European defence spending, involving, where possible, the corresponding committees of candidate countries, with the aim of building a common understanding of threats and improving transparency, accountability and public trust;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Nathalie Loiseau, Lucia Yar, Engin Eroglu, Petras Auštrevičius, Bart Groothuis,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53b.</w:t>
            </w:r>
            <w:r>
              <w:tab/>
            </w:r>
            <w:r>
              <w:rPr>
                <w:b/>
                <w:i/>
              </w:rPr>
              <w:t>Reiterates that Parliament must be consulted in advance and properly informed on the planning, modification and termination of CSDP missions and operations; calls for a structured dialogue with the VP/HR and the Commissioner for Defense and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796.331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414</w:t>
    </w:r>
    <w:r>
      <w:fldChar w:fldCharType="end"/>
    </w:r>
    <w:r>
      <w:t>/</w:t>
    </w:r>
    <w:r>
      <w:fldChar w:fldCharType="begin"/>
    </w:r>
    <w:r>
      <w:instrText xml:space="preserve"> NUMPAGES </w:instrText>
    </w:r>
    <w:r>
      <w:fldChar w:fldCharType="separate"/>
    </w:r>
    <w:r>
      <w:t>414</w:t>
    </w:r>
    <w:r>
      <w:fldChar w:fldCharType="end"/>
    </w:r>
    <w:r>
      <w:tab/>
    </w:r>
    <w:r>
      <w:rPr>
        <w:rStyle w:val="HideTWBExt"/>
      </w:rPr>
      <w:t>&lt;PathFdR&gt;</w:t>
    </w:r>
    <w:r>
      <w:t>AM\1351990EN.docx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AM\1351990EN.docx</w:t>
    </w:r>
    <w:r>
      <w:rPr>
        <w:rStyle w:val="HideTWBExt"/>
      </w:rPr>
      <w:t>&lt;/PathFdR&gt;</w:t>
    </w:r>
    <w:r>
      <w:tab/>
    </w:r>
    <w:r>
      <w:fldChar w:fldCharType="begin"/>
    </w:r>
    <w:r>
      <w:instrText xml:space="preserve"> PAGE </w:instrText>
    </w:r>
    <w:r>
      <w:fldChar w:fldCharType="separate"/>
    </w:r>
    <w:r>
      <w:t>413</w:t>
    </w:r>
    <w:r>
      <w:fldChar w:fldCharType="end"/>
    </w:r>
    <w:r>
      <w:t>/</w:t>
    </w:r>
    <w:r>
      <w:fldChar w:fldCharType="begin"/>
    </w:r>
    <w:r>
      <w:instrText xml:space="preserve"> NUMPAGES </w:instrText>
    </w:r>
    <w:r>
      <w:fldChar w:fldCharType="separate"/>
    </w:r>
    <w:r>
      <w:t>414</w:t>
    </w:r>
    <w:r>
      <w:fldChar w:fldCharType="end"/>
    </w:r>
    <w:r>
      <w:tab/>
    </w:r>
    <w:r>
      <w:t>PE</w:t>
    </w:r>
    <w:r>
      <w:rPr>
        <w:rStyle w:val="HideTWBExt"/>
      </w:rPr>
      <w:t>&lt;NoPE&gt;</w:t>
    </w:r>
    <w:r>
      <w:t>796.331</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AM\1351990EN.docx</w:t>
    </w:r>
    <w:r>
      <w:rPr>
        <w:rStyle w:val="HideTWBExt"/>
      </w:rPr>
      <w:t>&lt;/PathFdR&gt;</w:t>
    </w:r>
    <w:r>
      <w:tab/>
    </w:r>
    <w:r>
      <w:tab/>
    </w:r>
    <w:r>
      <w:t>PE</w:t>
    </w:r>
    <w:r>
      <w:rPr>
        <w:rStyle w:val="HideTWBExt"/>
      </w:rPr>
      <w:t>&lt;NoPE&gt;</w:t>
    </w:r>
    <w:r>
      <w:t>796.331</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414</Pages>
  <Words>92943</Words>
  <Characters>528551</Characters>
  <Application>Microsoft Office Word</Application>
  <DocSecurity>0</DocSecurity>
  <Lines>1</Lines>
  <Paragraphs>6547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1351990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653073</vt:lpwstr>
  </property>
  <property fmtid="{D5CDD505-2E9C-101B-9397-08002B2CF9AE}" pid="7" name="dmxml.render.traceId">
    <vt:lpwstr>6acdf2d94475f4c7bb3c85e14f58bc92</vt:lpwstr>
  </property>
  <property fmtid="{D5CDD505-2E9C-101B-9397-08002B2CF9AE}" pid="8" name="FooterPath">
    <vt:lpwstr>AM\1351990EN.docx</vt:lpwstr>
  </property>
  <property fmtid="{D5CDD505-2E9C-101B-9397-08002B2CF9AE}" pid="9" name="PE Number">
    <vt:lpwstr>796.331</vt:lpwstr>
  </property>
  <property fmtid="{D5CDD505-2E9C-101B-9397-08002B2CF9AE}" pid="10" name="UID">
    <vt:lpwstr>eu.europa.europarl-DIN1-2026-0000261331_01.00-en-01.00_text-xml</vt:lpwstr>
  </property>
</Properties>
</file>