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{TRAN}</w:t>
      </w:r>
      <w:r>
        <w:t>Výbor pre dopravu a cestovný ruch</w:t>
      </w:r>
      <w:r>
        <w:rPr>
          <w:rStyle w:val="HideTWBExt"/>
        </w:rPr>
        <w:t>&lt;/Commission&gt;</w:t>
      </w:r>
    </w:p>
    <w:p>
      <w:pPr>
        <w:pStyle w:val="LineBottom"/>
      </w:pPr>
      <w:r>
        <w:t xml:space="preserve"> </w:t>
      </w:r>
    </w:p>
    <w:p>
      <w:pPr>
        <w:pStyle w:val="CoverReference"/>
      </w:pPr>
      <w:r>
        <w:rPr>
          <w:rStyle w:val="HideTWBExt"/>
        </w:rPr>
        <w:t>&lt;RefProc&gt;</w:t>
      </w:r>
      <w:r>
        <w:t>2025/0424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1</w:t>
      </w:r>
      <w:r>
        <w:t xml:space="preserve"> - </w:t>
      </w:r>
      <w:r>
        <w:t>12</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Merja Kyllönen</w:t>
      </w:r>
      <w:r>
        <w:rPr>
          <w:rStyle w:val="HideTWBExt"/>
        </w:rPr>
        <w:t>&lt;/Rapporteur&gt;</w:t>
      </w:r>
    </w:p>
    <w:p>
      <w:pPr>
        <w:pStyle w:val="CoverNormal24a"/>
      </w:pPr>
      <w:r>
        <w:rPr>
          <w:rStyle w:val="HideTWBExt"/>
        </w:rPr>
        <w:t>&lt;DocRefPE&gt;</w:t>
      </w:r>
      <w:r>
        <w:t>(PE787.908v01-00)</w:t>
      </w:r>
      <w:r>
        <w:rPr>
          <w:rStyle w:val="HideTWBExt"/>
        </w:rPr>
        <w:t>&lt;/DocRefPE&gt;</w:t>
      </w:r>
    </w:p>
    <w:p>
      <w:pPr>
        <w:pStyle w:val="CoverNormal24a"/>
      </w:pPr>
      <w:r>
        <w:rPr>
          <w:rStyle w:val="HideTWBExt"/>
        </w:rPr>
        <w:t>&lt;Titre&gt;</w:t>
      </w:r>
      <w:r>
        <w:t>Zmena smernice 92/6/EHS s cieľom oslobodiť určité elektrické vozidlá kategórie N2 od požiadavky na montáž a používanie zariadenia obmedzujúceho rýchlosť</w:t>
      </w:r>
      <w:r>
        <w:rPr>
          <w:rStyle w:val="HideTWBExt"/>
        </w:rPr>
        <w:t>&lt;/Titre&gt;</w:t>
      </w:r>
    </w:p>
    <w:p>
      <w:pPr>
        <w:pStyle w:val="CoverNormal"/>
      </w:pPr>
      <w:r>
        <w:rPr>
          <w:rStyle w:val="HideTWBExt"/>
        </w:rPr>
        <w:t>&lt;DocAmend&gt;</w:t>
      </w:r>
      <w:r>
        <w:t>Návrh smernice</w:t>
      </w:r>
      <w:r>
        <w:rPr>
          <w:rStyle w:val="HideTWBExt"/>
        </w:rPr>
        <w:t>&lt;/DocAmend&gt;</w:t>
      </w:r>
    </w:p>
    <w:p>
      <w:pPr>
        <w:pStyle w:val="CoverNormal24a"/>
      </w:pPr>
      <w:r>
        <w:rPr>
          <w:rStyle w:val="HideTWBExt"/>
        </w:rPr>
        <w:t>&lt;DocRef&gt;</w:t>
      </w:r>
      <w:r>
        <w:t>(COM(2025)0999 – 2025/0424(COD))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Dodatočná hmotnosť batérie môže spôsobiť, že hmotnosť batériových elektrických ľahkých úžitkových vozidiel prekročí 3,5 tony. V dôsledku takéhoto zvýšenia hmotnosti sa na uvedené vozidlá vzťahuje požiadavka na zariadenie obmedzujúce rýchlosť, hoci ich užitočné zaťaženie a prípad použitia sú rovnaké ako v prípade ľahkých úžitkových vozidiel so spaľovacím motorom, ktoré nepatria do rozsahu pôsobnosti smernice 92/6/EHS. Táto požiadavka spôsobuje výrobcom vozidiel a podnikom kupujúcim takéto vozidlá </w:t>
            </w:r>
            <w:r>
              <w:rPr>
                <w:b/>
                <w:i/>
              </w:rPr>
              <w:t>neopodstatnené</w:t>
            </w:r>
            <w:r>
              <w:t xml:space="preserve"> náklady, </w:t>
            </w:r>
            <w:r>
              <w:rPr>
                <w:b/>
                <w:i/>
              </w:rPr>
              <w:t>v dôsledku čoho sa spomaľuje nárast počtu ľahkých úžitkových</w:t>
            </w:r>
            <w:r>
              <w:t xml:space="preserve"> vozidiel </w:t>
            </w:r>
            <w:r>
              <w:rPr>
                <w:b/>
                <w:i/>
              </w:rPr>
              <w:t>s nulovými emisiami na cestách</w:t>
            </w:r>
            <w:r>
              <w:t>. Preto je vhodné vozidlá kategórie N2 poháňané elektrickou energiou s technicky prípustnou maximálnou celkovou hmotnosťou od 3,5 do 4,25 tony oslobodiť od požiadavky, aby boli vybavené zariadeniami obmedzujúcimi rýchlosť.</w:t>
            </w:r>
          </w:p>
        </w:tc>
        <w:tc>
          <w:tcPr>
            <w:tcW w:w="4876" w:type="dxa"/>
            <w:tcBorders>
              <w:top w:val="nil"/>
              <w:left w:val="nil"/>
              <w:bottom w:val="nil"/>
              <w:right w:val="nil"/>
            </w:tcBorders>
          </w:tcPr>
          <w:p>
            <w:pPr>
              <w:pStyle w:val="Normal6a"/>
            </w:pPr>
            <w:r>
              <w:t>(2)</w:t>
            </w:r>
            <w:r>
              <w:tab/>
            </w:r>
            <w:r>
              <w:t xml:space="preserve">Dodatočná hmotnosť batérie môže spôsobiť, že hmotnosť batériových elektrických ľahkých úžitkových vozidiel prekročí 3,5 tony. V dôsledku takéhoto zvýšenia hmotnosti sa na uvedené vozidlá vzťahuje požiadavka na zariadenie obmedzujúce rýchlosť, hoci ich užitočné zaťaženie a prípad použitia sú rovnaké ako v prípade ľahkých úžitkových vozidiel so spaľovacím motorom, ktoré nepatria do rozsahu pôsobnosti smernice 92/6/EHS. Táto požiadavka spôsobuje výrobcom vozidiel a podnikom kupujúcim takéto vozidlá </w:t>
            </w:r>
            <w:r>
              <w:rPr>
                <w:b/>
                <w:i/>
              </w:rPr>
              <w:t>určité</w:t>
            </w:r>
            <w:r>
              <w:t xml:space="preserve"> náklady, </w:t>
            </w:r>
            <w:r>
              <w:rPr>
                <w:b/>
                <w:i/>
              </w:rPr>
              <w:t>hoci nie je jasné, do akej miery táto požiadavka ovplyvňuje využívanie takýchto</w:t>
            </w:r>
            <w:r>
              <w:t xml:space="preserve"> vozidiel</w:t>
            </w:r>
            <w:r>
              <w:rPr>
                <w:b/>
                <w:i/>
              </w:rPr>
              <w:t>, čiastočne z dôvodu chýbajúceho posúdenia vplyvu</w:t>
            </w:r>
            <w:r>
              <w:t xml:space="preserve">. Preto je vhodné vozidlá kategórie N2 poháňané elektrickou energiou s technicky prípustnou maximálnou celkovou hmotnosťou od 3,5 do 4,25 tony oslobodiť od požiadavky, aby boli vybavené zariadeniami obmedzujúcimi rýchlosť. </w:t>
            </w:r>
            <w:r>
              <w:rPr>
                <w:b/>
                <w:i/>
              </w:rPr>
              <w:t>Je však dôležité obmedziť rozsah pôsobnosti takejto výnimky, aby sa predišlo zbytočným bezpečnostným rizikám, ktoré predstavujú typy vozidiel s obzvlášť nebezpečnými konštrukčnými prvkami, ako sú pick-upy, pri ktorých môže byť  z dôvodu výšky a tvaru kapoty trikrát vyššia pravdepodobnosť usmrtenia zraniteľných účastníkov cestnej premávky pri nehodách.</w:t>
            </w:r>
            <w:r>
              <w:t xml:space="preserve"> </w:t>
            </w:r>
            <w:r>
              <w:rPr>
                <w:b/>
                <w:i/>
              </w:rPr>
              <w:t>Keďže okrem toho táto výnimka nebola predmetom osobitného posúdenia vplyvu s cieľom preskúmať bezpečnostné riziká a keďže sa očakáva, že hustota energie v batériách sa časom zlepší, v rámci hodnotenia smernice 92/6/EHS by sa mala preskúmať opodstatnenosť jej ďalšieho zachovania.</w:t>
            </w:r>
            <w:r>
              <w:t xml:space="preserve"> </w:t>
            </w:r>
            <w:r>
              <w:rPr>
                <w:b/>
                <w:i/>
              </w:rPr>
              <w:t>Komisia by preto mala posúdiť účinky výnimky na bezpečnosť cestnej premávky a technologický vývoj a vo vhodných prípadoch zvážiť, či je naďalej potrebná prahová hodnota maximálnej technicky prípustnej celkovej hmotnosti.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Vivien Costanzo, Sérgio Gonçalves, Johan Danielsson, François Kalfon, 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Dodatočná hmotnosť batérie môže spôsobiť, že hmotnosť batériových elektrických ľahkých úžitkových vozidiel prekročí 3,5 tony. V dôsledku takéhoto zvýšenia hmotnosti sa na uvedené vozidlá vzťahuje požiadavka na zariadenie obmedzujúce rýchlosť, hoci ich užitočné zaťaženie a prípad použitia sú rovnaké ako v prípade ľahkých úžitkových vozidiel so spaľovacím motorom, ktoré nepatria do rozsahu pôsobnosti smernice 92/6/EHS. </w:t>
            </w:r>
            <w:r>
              <w:rPr>
                <w:b/>
                <w:i/>
              </w:rPr>
              <w:t>Táto požiadavka spôsobuje výrobcom vozidiel a podnikom kupujúcim takéto vozidlá neopodstatnené náklady, v dôsledku čoho sa spomaľuje nárast počtu ľahkých úžitkových vozidiel s nulovými emisiami na cestách.</w:t>
            </w:r>
            <w:r>
              <w:t xml:space="preserve"> Preto je vhodné vozidlá kategórie N2 poháňané elektrickou energiou s technicky prípustnou maximálnou celkovou hmotnosťou od 3,5 do 4,25 tony oslobodiť od požiadavky, aby boli vybavené zariadeniami obmedzujúcimi rýchlosť.</w:t>
            </w:r>
          </w:p>
        </w:tc>
        <w:tc>
          <w:tcPr>
            <w:tcW w:w="4876" w:type="dxa"/>
            <w:tcBorders>
              <w:top w:val="nil"/>
              <w:left w:val="nil"/>
              <w:bottom w:val="nil"/>
              <w:right w:val="nil"/>
            </w:tcBorders>
          </w:tcPr>
          <w:p>
            <w:pPr>
              <w:pStyle w:val="Normal6a"/>
            </w:pPr>
            <w:r>
              <w:t>(2)</w:t>
            </w:r>
            <w:r>
              <w:tab/>
            </w:r>
            <w:r>
              <w:t xml:space="preserve">Dodatočná hmotnosť batérie môže spôsobiť, že hmotnosť batériových elektrických ľahkých úžitkových vozidiel prekročí 3,5 tony. V dôsledku takéhoto zvýšenia hmotnosti sa na uvedené vozidlá vzťahuje požiadavka na zariadenie obmedzujúce rýchlosť, hoci ich užitočné zaťaženie a prípad použitia sú rovnaké ako v prípade ľahkých úžitkových vozidiel so spaľovacím motorom, ktoré nepatria do rozsahu pôsobnosti smernice 92/6/EHS. Preto je vhodné vozidlá kategórie N2 poháňané </w:t>
            </w:r>
            <w:r>
              <w:rPr>
                <w:b/>
                <w:i/>
              </w:rPr>
              <w:t>výlučne</w:t>
            </w:r>
            <w:r>
              <w:t xml:space="preserve"> elektrickou energiou s technicky prípustnou maximálnou celkovou hmotnosťou od 3,5 do 4,25 tony oslobodiť od požiadavky, aby boli vybavené zariadeniami obmedzujúcimi rýchlosť.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Dodatočná hmotnosť </w:t>
            </w:r>
            <w:r>
              <w:rPr>
                <w:b/>
                <w:i/>
              </w:rPr>
              <w:t>batérie</w:t>
            </w:r>
            <w:r>
              <w:t xml:space="preserve"> môže spôsobiť, že hmotnosť </w:t>
            </w:r>
            <w:r>
              <w:rPr>
                <w:b/>
                <w:i/>
              </w:rPr>
              <w:t>batériových elektrických</w:t>
            </w:r>
            <w:r>
              <w:t xml:space="preserve"> ľahkých úžitkových vozidiel prekročí 3,5 tony. V dôsledku takéhoto zvýšenia hmotnosti sa na uvedené vozidlá vzťahuje požiadavka na zariadenie obmedzujúce rýchlosť, hoci ich užitočné zaťaženie a prípad použitia sú rovnaké ako v prípade ľahkých úžitkových vozidiel so spaľovacím motorom, ktoré nepatria do rozsahu pôsobnosti smernice 92/6/EHS. Táto požiadavka spôsobuje výrobcom vozidiel a podnikom kupujúcim takéto vozidlá neopodstatnené náklady, v dôsledku čoho sa spomaľuje nárast počtu ľahkých úžitkových vozidiel </w:t>
            </w:r>
            <w:r>
              <w:rPr>
                <w:b/>
                <w:i/>
              </w:rPr>
              <w:t>s nulovými emisiami</w:t>
            </w:r>
            <w:r>
              <w:t xml:space="preserve"> na cestách. Preto je vhodné vozidlá kategórie N2 poháňané </w:t>
            </w:r>
            <w:r>
              <w:rPr>
                <w:b/>
                <w:i/>
              </w:rPr>
              <w:t>elektrickou energiou</w:t>
            </w:r>
            <w:r>
              <w:t xml:space="preserve"> s technicky prípustnou maximálnou celkovou hmotnosťou </w:t>
            </w:r>
            <w:r>
              <w:rPr>
                <w:b/>
                <w:i/>
              </w:rPr>
              <w:t>od 3,5 do</w:t>
            </w:r>
            <w:r>
              <w:t xml:space="preserve"> 4,25 tony oslobodiť od požiadavky, aby boli vybavené zariadeniami obmedzujúcimi rýchlosť.</w:t>
            </w:r>
          </w:p>
        </w:tc>
        <w:tc>
          <w:tcPr>
            <w:tcW w:w="4876" w:type="dxa"/>
            <w:tcBorders>
              <w:top w:val="nil"/>
              <w:left w:val="nil"/>
              <w:bottom w:val="nil"/>
              <w:right w:val="nil"/>
            </w:tcBorders>
          </w:tcPr>
          <w:p>
            <w:pPr>
              <w:pStyle w:val="Normal6a"/>
            </w:pPr>
            <w:r>
              <w:t>(2)</w:t>
            </w:r>
            <w:r>
              <w:tab/>
            </w:r>
            <w:r>
              <w:t xml:space="preserve">Dodatočná hmotnosť </w:t>
            </w:r>
            <w:r>
              <w:rPr>
                <w:b/>
                <w:i/>
              </w:rPr>
              <w:t>technológie alternatívneho pohonu alebo systému uskladňovania energie</w:t>
            </w:r>
            <w:r>
              <w:t xml:space="preserve"> môže spôsobiť, že hmotnosť ľahkých úžitkových vozidiel </w:t>
            </w:r>
            <w:r>
              <w:rPr>
                <w:b/>
                <w:i/>
              </w:rPr>
              <w:t>poháňaných alternatívnymi palivami</w:t>
            </w:r>
            <w:r>
              <w:t xml:space="preserve"> prekročí 3,5 tony. V dôsledku takéhoto zvýšenia hmotnosti sa na uvedené vozidlá vzťahuje požiadavka na zariadenie obmedzujúce rýchlosť, hoci ich užitočné zaťaženie a prípad použitia sú rovnaké ako v prípade ľahkých úžitkových vozidiel so spaľovacím motorom, ktoré nepatria do rozsahu pôsobnosti smernice 92/6/EHS. Táto požiadavka spôsobuje výrobcom vozidiel a podnikom kupujúcim takéto vozidlá neopodstatnené náklady, v dôsledku čoho sa spomaľuje nárast počtu </w:t>
            </w:r>
            <w:r>
              <w:rPr>
                <w:b/>
                <w:i/>
              </w:rPr>
              <w:t>ekologickejších</w:t>
            </w:r>
            <w:r>
              <w:t xml:space="preserve"> ľahkých úžitkových vozidiel na cestách. Preto je vhodné vozidlá kategórie N2 poháňané </w:t>
            </w:r>
            <w:r>
              <w:rPr>
                <w:b/>
                <w:i/>
              </w:rPr>
              <w:t>alternatívnymi palivami</w:t>
            </w:r>
            <w:r>
              <w:t xml:space="preserve"> s technicky prípustnou maximálnou celkovou hmotnosťou </w:t>
            </w:r>
            <w:r>
              <w:rPr>
                <w:b/>
                <w:i/>
              </w:rPr>
              <w:t>nad 3,5 tony, avšak najviac</w:t>
            </w:r>
            <w:r>
              <w:t xml:space="preserve"> 4,25 tony</w:t>
            </w:r>
            <w:r>
              <w:rPr>
                <w:b/>
                <w:i/>
              </w:rPr>
              <w:t>,</w:t>
            </w:r>
            <w:r>
              <w:t xml:space="preserve"> oslobodiť od požiadavky, aby boli vybavené zariadeniami obmedzujúcimi rýchlosť.</w:t>
            </w:r>
          </w:p>
        </w:tc>
      </w:tr>
    </w:tbl>
    <w:p>
      <w:pPr>
        <w:pStyle w:val="AmOrLang"/>
      </w:pPr>
      <w:r>
        <w:t xml:space="preserve">Or. </w:t>
      </w:r>
      <w:r>
        <w:rPr>
          <w:rStyle w:val="HideTWBExt"/>
        </w:rPr>
        <w:t>&lt;Original&gt;</w:t>
      </w:r>
      <w:r>
        <w:rPr>
          <w:rStyle w:val="HideTWBInt"/>
        </w:rPr>
        <w:t>{NL}</w:t>
      </w:r>
      <w:r>
        <w:t>nl</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Táto výnimka by mala byť technologicky neutrálna.</w:t>
      </w:r>
      <w:r>
        <w:t xml:space="preserve"> </w:t>
      </w:r>
      <w:r>
        <w:t>Nielen batériou poháňané elektrické vozidlá môžu byť vzhľadom na svoj pohon ťažšie ako 3,5 tony;</w:t>
      </w:r>
      <w:r>
        <w:t xml:space="preserve"> </w:t>
      </w:r>
      <w:r>
        <w:t>váhu môžu zvýšiť aj iné alternatívne pohonné technológie.</w:t>
      </w:r>
    </w:p>
    <w:p>
      <w:r>
        <w:rPr>
          <w:rStyle w:val="HideTWBExt"/>
        </w:rPr>
        <w:t>&lt;/Amend&gt;</w:t>
      </w:r>
    </w:p>
    <w:p>
      <w:pPr>
        <w:pStyle w:val="AmNumberTabs"/>
      </w:pPr>
      <w:r>
        <w:rPr>
          <w:rStyle w:val="HideTWBExt"/>
        </w:rPr>
        <w:t>&lt;Amend&gt;</w:t>
      </w:r>
      <w:r>
        <w:t>Pozmeňujúci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Luis-Vicențiu Lazarus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Dodatočná hmotnosť batérie môže spôsobiť, že hmotnosť batériových elektrických ľahkých úžitkových vozidiel prekročí 3,5 tony. V dôsledku takéhoto zvýšenia hmotnosti sa na uvedené vozidlá vzťahuje požiadavka na zariadenie obmedzujúce rýchlosť, hoci ich užitočné zaťaženie a prípad použitia sú rovnaké ako v prípade ľahkých úžitkových vozidiel so spaľovacím motorom, ktoré nepatria do rozsahu pôsobnosti smernice 92/6/EHS. Táto požiadavka spôsobuje výrobcom vozidiel a podnikom kupujúcim takéto vozidlá neopodstatnené náklady</w:t>
            </w:r>
            <w:r>
              <w:rPr>
                <w:b/>
                <w:i/>
              </w:rPr>
              <w:t>, v dôsledku čoho sa spomaľuje nárast počtu ľahkých úžitkových vozidiel s nulovými emisiami na cestách</w:t>
            </w:r>
            <w:r>
              <w:t>. Preto je vhodné vozidlá kategórie N2 poháňané elektrickou energiou s technicky prípustnou maximálnou celkovou hmotnosťou od 3,5 do 4,25 tony oslobodiť od požiadavky, aby boli vybavené zariadeniami obmedzujúcimi rýchlosť.</w:t>
            </w:r>
          </w:p>
        </w:tc>
        <w:tc>
          <w:tcPr>
            <w:tcW w:w="4876" w:type="dxa"/>
            <w:tcBorders>
              <w:top w:val="nil"/>
              <w:left w:val="nil"/>
              <w:bottom w:val="nil"/>
              <w:right w:val="nil"/>
            </w:tcBorders>
          </w:tcPr>
          <w:p>
            <w:pPr>
              <w:pStyle w:val="Normal6a"/>
            </w:pPr>
            <w:r>
              <w:t>(2)</w:t>
            </w:r>
            <w:r>
              <w:tab/>
            </w:r>
            <w:r>
              <w:t>Dodatočná hmotnosť batérie môže spôsobiť, že hmotnosť batériových elektrických ľahkých úžitkových vozidiel prekročí 3,5 tony. V dôsledku takéhoto zvýšenia hmotnosti sa na uvedené vozidlá vzťahuje požiadavka na zariadenie obmedzujúce rýchlosť, hoci ich užitočné zaťaženie a prípad použitia sú rovnaké ako v prípade ľahkých úžitkových vozidiel so spaľovacím motorom, ktoré nepatria do rozsahu pôsobnosti smernice 92/6/EHS. Táto požiadavka spôsobuje výrobcom vozidiel a podnikom kupujúcim takéto vozidlá</w:t>
            </w:r>
            <w:r>
              <w:rPr>
                <w:b/>
                <w:i/>
              </w:rPr>
              <w:t>, najmä malým a stredným podnikom a mikropodnikom,</w:t>
            </w:r>
            <w:r>
              <w:t xml:space="preserve"> neopodstatnené náklady </w:t>
            </w:r>
            <w:r>
              <w:rPr>
                <w:b/>
                <w:i/>
              </w:rPr>
              <w:t>a administratívnu záťaž, a tým oslabuje konkurencieschopnosť automobilového odvetvia Únie a riadne fungovanie jednotného trhu</w:t>
            </w:r>
            <w:r>
              <w:t>. Preto je vhodné vozidlá kategórie N2 poháňané elektrickou energiou s technicky prípustnou maximálnou celkovou hmotnosťou od 3,5 do 4,25 tony oslobodiť od požiadavky, aby boli vybavené zariadeniami obmedzujúcimi rýchlosť.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Zároveň sa mení nariadenie (EÚ) 2019/2144 s cieľom oslobodiť vozidlá kategórie N2 poháňané </w:t>
            </w:r>
            <w:r>
              <w:rPr>
                <w:b/>
                <w:i/>
              </w:rPr>
              <w:t>elektrickou energiou</w:t>
            </w:r>
            <w:r>
              <w:t xml:space="preserve"> s technicky prípustnou maximálnou celkovou hmotnosťou </w:t>
            </w:r>
            <w:r>
              <w:rPr>
                <w:b/>
                <w:i/>
              </w:rPr>
              <w:t>od 3,5 do</w:t>
            </w:r>
            <w:r>
              <w:t xml:space="preserve"> 4,25 tony od požiadavky, aby boli vybavené obmedzovačmi rýchlosti v súlade s predpisom OSN č. 89.</w:t>
            </w:r>
          </w:p>
        </w:tc>
        <w:tc>
          <w:tcPr>
            <w:tcW w:w="4876" w:type="dxa"/>
            <w:tcBorders>
              <w:top w:val="nil"/>
              <w:left w:val="nil"/>
              <w:bottom w:val="nil"/>
              <w:right w:val="nil"/>
            </w:tcBorders>
          </w:tcPr>
          <w:p>
            <w:pPr>
              <w:pStyle w:val="Normal6a"/>
            </w:pPr>
            <w:r>
              <w:t>(3)</w:t>
            </w:r>
            <w:r>
              <w:tab/>
            </w:r>
            <w:r>
              <w:t xml:space="preserve">Zároveň sa mení nariadenie (EÚ) 2019/2144 s cieľom oslobodiť vozidlá kategórie N2 poháňané </w:t>
            </w:r>
            <w:r>
              <w:rPr>
                <w:b/>
                <w:i/>
              </w:rPr>
              <w:t>alternatívnymi palivami</w:t>
            </w:r>
            <w:r>
              <w:t xml:space="preserve"> s technicky prípustnou maximálnou celkovou hmotnosťou </w:t>
            </w:r>
            <w:r>
              <w:rPr>
                <w:b/>
                <w:i/>
              </w:rPr>
              <w:t>nad 3,5 tony, avšak najviac</w:t>
            </w:r>
            <w:r>
              <w:t xml:space="preserve"> 4,25 tony</w:t>
            </w:r>
            <w:r>
              <w:rPr>
                <w:b/>
                <w:i/>
              </w:rPr>
              <w:t>,</w:t>
            </w:r>
            <w:r>
              <w:t xml:space="preserve"> od požiadavky, aby boli vybavené obmedzovačmi rýchlosti v súlade s predpisom OSN č. 89.</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Odôvodnenie 3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Technologicky neutrálna výnimka ponecháva priestor na inovácie a zabezpečuje rovnaké podmienky pre ľahké úžitkové vozidlá poháňané alternatívnymi palivami.</w:t>
            </w:r>
            <w:r>
              <w:t xml:space="preserve"> </w:t>
            </w:r>
            <w:r>
              <w:rPr>
                <w:b/>
                <w:i/>
              </w:rPr>
              <w:t>Týka sa to vozidiel, ktoré z dôvodu dodatočnej hmotnosti pohonnej technológie alebo systému uskladňovania energie patria do kategórie N2, ale naďalej sa používajú podobne ako ľahké úžitkové vozidlá kategórie N1.</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 – odsek 1 a (nový)</w:t>
      </w:r>
      <w:r>
        <w:rPr>
          <w:rStyle w:val="HideTWBExt"/>
        </w:rPr>
        <w:t>&lt;/Article&gt;</w:t>
      </w:r>
    </w:p>
    <w:p>
      <w:r>
        <w:rPr>
          <w:rStyle w:val="HideTWBExt"/>
        </w:rPr>
        <w:t>&lt;DocAmend2&gt;</w:t>
      </w:r>
      <w:r>
        <w:t>Smernica 92/6/EHS</w:t>
      </w:r>
      <w:r>
        <w:rPr>
          <w:rStyle w:val="HideTWBExt"/>
        </w:rPr>
        <w:t>&lt;/DocAmend2&gt;</w:t>
      </w:r>
    </w:p>
    <w:p>
      <w:r>
        <w:rPr>
          <w:rStyle w:val="HideTWBExt"/>
        </w:rPr>
        <w:t>&lt;Article2&gt;</w:t>
      </w:r>
      <w:r>
        <w:t>Článok 6 b (nový)</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Vkladá sa tento článok: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„Článok 6b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Komisia do 31. decembra 2028 predloží Európskemu parlamentu a Rade správu, v ktorej posúdi dôsledky výnimky stanovenej v článku 3 ods. 1 pre vozidlá kategórie N2 poháňané elektrickou energiou a s maximálnou prípustnou hmotnosťou od 3,5 do 4,25 tony, ako aj opodstatnenosť jej ďalšieho zachovania.</w:t>
            </w:r>
            <w:r>
              <w:t xml:space="preserve"> </w:t>
            </w:r>
            <w:r>
              <w:rPr>
                <w:b/>
                <w:i/>
              </w:rPr>
              <w:t>Vo vhodnom prípade priloží k správe príslušný legislatívny návrh.“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 – odsek 1</w:t>
      </w:r>
      <w:r>
        <w:rPr>
          <w:rStyle w:val="HideTWBExt"/>
        </w:rPr>
        <w:t>&lt;/Article&gt;</w:t>
      </w:r>
    </w:p>
    <w:p>
      <w:r>
        <w:rPr>
          <w:rStyle w:val="HideTWBExt"/>
        </w:rPr>
        <w:t>&lt;DocAmend2&gt;</w:t>
      </w:r>
      <w:r>
        <w:t>Smernica 92/6/EHS</w:t>
      </w:r>
      <w:r>
        <w:rPr>
          <w:rStyle w:val="HideTWBExt"/>
        </w:rPr>
        <w:t>&lt;/DocAmend2&gt;</w:t>
      </w:r>
    </w:p>
    <w:p>
      <w:r>
        <w:rPr>
          <w:rStyle w:val="HideTWBExt"/>
        </w:rPr>
        <w:t>&lt;Article2&gt;</w:t>
      </w:r>
      <w:r>
        <w:t>Článok 3 – odsek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štáty prijmú nevyhnutné opatrenia aby zabezpečili, že motorové vozidlá kategórie N2 a N3 s výnimkou vozidiel kategórie N2 poháňaných elektrickou energiou a s najväčšou technicky prípustnou hmotnosťou od 3,5 do 4,25 tony sa môžu používať na cestách iba vtedy, ak sú vybavené zariadením obmedzujúcim rýchlosť nastaveným tak, aby rýchlosť vozidiel nemohla prekročiť 90 km/h.</w:t>
            </w:r>
          </w:p>
        </w:tc>
        <w:tc>
          <w:tcPr>
            <w:tcW w:w="4876" w:type="dxa"/>
            <w:tcBorders>
              <w:top w:val="nil"/>
              <w:left w:val="nil"/>
              <w:bottom w:val="nil"/>
              <w:right w:val="nil"/>
            </w:tcBorders>
          </w:tcPr>
          <w:p>
            <w:pPr>
              <w:pStyle w:val="Normal6a"/>
            </w:pPr>
            <w:r>
              <w:t>1.</w:t>
            </w:r>
            <w:r>
              <w:tab/>
            </w:r>
            <w:r>
              <w:t>Členské štáty prijmú nevyhnutné opatrenia</w:t>
            </w:r>
            <w:r>
              <w:rPr>
                <w:b/>
                <w:i/>
              </w:rPr>
              <w:t>,</w:t>
            </w:r>
            <w:r>
              <w:t xml:space="preserve"> aby zabezpečili, že motorové vozidlá kategórie N2 a N3 s výnimkou vozidiel kategórie N2 poháňaných elektrickou energiou a s najväčšou technicky prípustnou hmotnosťou od 3,5 do 4,25 tony sa môžu používať na cestách iba vtedy, ak sú vybavené zariadením obmedzujúcim rýchlosť nastaveným tak, aby rýchlosť vozidiel nemohla prekročiť 90 km/h. </w:t>
            </w:r>
            <w:r>
              <w:rPr>
                <w:b/>
                <w:i/>
              </w:rPr>
              <w:t>Uvedená výnimka sa nevzťahuje na vozidlá s karosériou pick-upu, ako sa uvádza v časti C bode 4.5 prílohy I k nariadeniu Európskeho parlamentu a Rady (EÚ) 2018/858</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rámci hodnotiacej správy uvedenej v článku 6b tejto smernice Komisia posúdi, či je výnimka uvedená v prvom pododseku naďalej opodstatnená.</w:t>
            </w:r>
            <w:r>
              <w:t xml:space="preserve"> </w:t>
            </w:r>
            <w:r>
              <w:rPr>
                <w:b/>
                <w:i/>
              </w:rPr>
              <w:t>Platnosť tejto výnimky sa skončí 31. decembra 2031.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Nariadenie Európskeho parlamentu a Rady (EÚ) 2018/858 z 30. mája 2018 o schvaľovaní motorových vozidiel a ich prípojných vozidiel, ako aj systémov, komponentov a samostatných technických jednotiek určených pre takéto vozidlá a o dohľade nad trhom s nimi, ktorým sa menia nariadenia (ES) č. 715/2007 a (ES) č. 595/2009 a zrušuje smernica 2007/46/ES (Ú. v. EÚ L 151, 14.6.2018, s.</w:t>
            </w:r>
            <w:r>
              <w:t xml:space="preserve"> </w:t>
            </w:r>
            <w:r>
              <w:rPr>
                <w:b/>
                <w:i/>
              </w:rPr>
              <w:t>1, ELI: http://data.europa.eu/eli/reg/2018/858/oj).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 – odsek 1</w:t>
      </w:r>
      <w:r>
        <w:rPr>
          <w:rStyle w:val="HideTWBExt"/>
        </w:rPr>
        <w:t>&lt;/Article&gt;</w:t>
      </w:r>
    </w:p>
    <w:p>
      <w:r>
        <w:rPr>
          <w:rStyle w:val="HideTWBExt"/>
        </w:rPr>
        <w:t>&lt;DocAmend2&gt;</w:t>
      </w:r>
      <w:r>
        <w:t>Smernica 92/6/EHS</w:t>
      </w:r>
      <w:r>
        <w:rPr>
          <w:rStyle w:val="HideTWBExt"/>
        </w:rPr>
        <w:t>&lt;/DocAmend2&gt;</w:t>
      </w:r>
    </w:p>
    <w:p>
      <w:r>
        <w:rPr>
          <w:rStyle w:val="HideTWBExt"/>
        </w:rPr>
        <w:t>&lt;Article2&gt;</w:t>
      </w:r>
      <w:r>
        <w:t>Článok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Členské štáty prijmú nevyhnutné opatrenia aby zabezpečili, že motorové vozidlá kategórie N2 a N3 s výnimkou vozidiel kategórie N2 poháňaných </w:t>
            </w:r>
            <w:r>
              <w:rPr>
                <w:b/>
                <w:i/>
              </w:rPr>
              <w:t>elektrickou energiou</w:t>
            </w:r>
            <w:r>
              <w:t xml:space="preserve"> a s najväčšou technicky prípustnou hmotnosťou </w:t>
            </w:r>
            <w:r>
              <w:rPr>
                <w:b/>
                <w:i/>
              </w:rPr>
              <w:t>od 3,5 do</w:t>
            </w:r>
            <w:r>
              <w:t xml:space="preserve"> 4,25 tony sa môžu používať na cestách iba vtedy, ak sú vybavené zariadením obmedzujúcim rýchlosť nastaveným tak, aby rýchlosť vozidiel nemohla prekročiť 90 km/h.</w:t>
            </w:r>
          </w:p>
        </w:tc>
        <w:tc>
          <w:tcPr>
            <w:tcW w:w="4876" w:type="dxa"/>
            <w:tcBorders>
              <w:top w:val="nil"/>
              <w:left w:val="nil"/>
              <w:bottom w:val="nil"/>
              <w:right w:val="nil"/>
            </w:tcBorders>
          </w:tcPr>
          <w:p>
            <w:pPr>
              <w:pStyle w:val="Normal6a"/>
            </w:pPr>
            <w:r>
              <w:t>1.</w:t>
            </w:r>
            <w:r>
              <w:tab/>
            </w:r>
            <w:r>
              <w:t>Členské štáty prijmú nevyhnutné opatrenia</w:t>
            </w:r>
            <w:r>
              <w:rPr>
                <w:b/>
                <w:i/>
              </w:rPr>
              <w:t>,</w:t>
            </w:r>
            <w:r>
              <w:t xml:space="preserve"> aby zabezpečili, že motorové vozidlá kategórie N2 a N3 s výnimkou vozidiel kategórie N2 poháňaných </w:t>
            </w:r>
            <w:r>
              <w:rPr>
                <w:b/>
                <w:i/>
              </w:rPr>
              <w:t>alternatívnymi palivami</w:t>
            </w:r>
            <w:r>
              <w:t xml:space="preserve"> a s najväčšou technicky prípustnou hmotnosťou </w:t>
            </w:r>
            <w:r>
              <w:rPr>
                <w:b/>
                <w:i/>
              </w:rPr>
              <w:t>nad 3,5 tony, avšak najviac</w:t>
            </w:r>
            <w:r>
              <w:t xml:space="preserve"> 4,25 tony</w:t>
            </w:r>
            <w:r>
              <w:rPr>
                <w:b/>
                <w:i/>
              </w:rPr>
              <w:t>,</w:t>
            </w:r>
            <w:r>
              <w:t xml:space="preserve"> sa môžu používať na cestách iba vtedy, ak sú vybavené zariadením obmedzujúcim rýchlosť nastaveným tak, aby rýchlosť vozidiel nemohla prekročiť 90 km/h.</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Luis-Vicențiu Lazarus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 – odsek 1</w:t>
      </w:r>
      <w:r>
        <w:rPr>
          <w:rStyle w:val="HideTWBExt"/>
        </w:rPr>
        <w:t>&lt;/Article&gt;</w:t>
      </w:r>
    </w:p>
    <w:p>
      <w:r>
        <w:rPr>
          <w:rStyle w:val="HideTWBExt"/>
        </w:rPr>
        <w:t>&lt;DocAmend2&gt;</w:t>
      </w:r>
      <w:r>
        <w:t>Smernica 92/6/EHS</w:t>
      </w:r>
      <w:r>
        <w:rPr>
          <w:rStyle w:val="HideTWBExt"/>
        </w:rPr>
        <w:t>&lt;/DocAmend2&gt;</w:t>
      </w:r>
    </w:p>
    <w:p>
      <w:r>
        <w:rPr>
          <w:rStyle w:val="HideTWBExt"/>
        </w:rPr>
        <w:t>&lt;Article2&gt;</w:t>
      </w:r>
      <w:r>
        <w:t>Článok 3 – odsek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štáty prijmú nevyhnutné opatrenia aby zabezpečili, že motorové vozidlá kategórie N2 a N3 s výnimkou vozidiel kategórie N2 poháňaných elektrickou energiou a s najväčšou technicky prípustnou hmotnosťou od 3,5 do 4,25 tony sa môžu používať na cestách iba vtedy, ak sú vybavené zariadením obmedzujúcim rýchlosť nastaveným tak, aby rýchlosť vozidiel nemohla prekročiť 90 km/h.</w:t>
            </w:r>
          </w:p>
        </w:tc>
        <w:tc>
          <w:tcPr>
            <w:tcW w:w="4876" w:type="dxa"/>
            <w:tcBorders>
              <w:top w:val="nil"/>
              <w:left w:val="nil"/>
              <w:bottom w:val="nil"/>
              <w:right w:val="nil"/>
            </w:tcBorders>
          </w:tcPr>
          <w:p>
            <w:pPr>
              <w:pStyle w:val="Normal6a"/>
            </w:pPr>
            <w:r>
              <w:t>1.</w:t>
            </w:r>
            <w:r>
              <w:tab/>
            </w:r>
            <w:r>
              <w:t>Členské štáty prijmú nevyhnutné opatrenia</w:t>
            </w:r>
            <w:r>
              <w:rPr>
                <w:b/>
                <w:i/>
              </w:rPr>
              <w:t>,</w:t>
            </w:r>
            <w:r>
              <w:t xml:space="preserve"> aby zabezpečili, že motorové vozidlá kategórie N2 a N3 s výnimkou vozidiel kategórie N2 poháňaných elektrickou energiou a s najväčšou technicky prípustnou </w:t>
            </w:r>
            <w:r>
              <w:rPr>
                <w:b/>
                <w:i/>
              </w:rPr>
              <w:t>celkovou</w:t>
            </w:r>
            <w:r>
              <w:t xml:space="preserve"> hmotnosťou od 3,5 do 4,25 tony sa môžu používať na cestách iba vtedy, ak sú vybavené zariadením obmedzujúcim rýchlosť nastaveným tak, aby rýchlosť vozidiel nemohla prekročiť 90 km/h.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Vivien Costanzo, Sérgio Gonçalves, Johan Danielsson, François Kalfon, 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1 – odsek 1</w:t>
      </w:r>
      <w:r>
        <w:rPr>
          <w:rStyle w:val="HideTWBExt"/>
        </w:rPr>
        <w:t>&lt;/Article&gt;</w:t>
      </w:r>
    </w:p>
    <w:p>
      <w:r>
        <w:rPr>
          <w:rStyle w:val="HideTWBExt"/>
        </w:rPr>
        <w:t>&lt;DocAmend2&gt;</w:t>
      </w:r>
      <w:r>
        <w:t>Smernica 92/6/EHS</w:t>
      </w:r>
      <w:r>
        <w:rPr>
          <w:rStyle w:val="HideTWBExt"/>
        </w:rPr>
        <w:t>&lt;/DocAmend2&gt;</w:t>
      </w:r>
    </w:p>
    <w:p>
      <w:r>
        <w:rPr>
          <w:rStyle w:val="HideTWBExt"/>
        </w:rPr>
        <w:t>&lt;Article2&gt;</w:t>
      </w:r>
      <w:r>
        <w:t>Článok 3 – odsek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Členské štáty prijmú nevyhnutné opatrenia aby zabezpečili, že motorové vozidlá kategórie N2 a N3 s výnimkou vozidiel kategórie N2 poháňaných elektrickou energiou a s najväčšou technicky prípustnou hmotnosťou od 3,5 do 4,25 tony sa môžu používať na cestách iba vtedy, ak sú vybavené zariadením obmedzujúcim rýchlosť nastaveným tak, aby rýchlosť vozidiel nemohla prekročiť 90 km/h.</w:t>
            </w:r>
          </w:p>
        </w:tc>
        <w:tc>
          <w:tcPr>
            <w:tcW w:w="4876" w:type="dxa"/>
            <w:tcBorders>
              <w:top w:val="nil"/>
              <w:left w:val="nil"/>
              <w:bottom w:val="nil"/>
              <w:right w:val="nil"/>
            </w:tcBorders>
          </w:tcPr>
          <w:p>
            <w:pPr>
              <w:pStyle w:val="Normal6a"/>
            </w:pPr>
            <w:r>
              <w:t>1.</w:t>
            </w:r>
            <w:r>
              <w:tab/>
            </w:r>
            <w:r>
              <w:t>Členské štáty prijmú nevyhnutné opatrenia</w:t>
            </w:r>
            <w:r>
              <w:rPr>
                <w:b/>
                <w:i/>
              </w:rPr>
              <w:t>,</w:t>
            </w:r>
            <w:r>
              <w:t xml:space="preserve"> aby zabezpečili, že motorové vozidlá kategórie N2 a N3 s výnimkou vozidiel kategórie N2 poháňaných </w:t>
            </w:r>
            <w:r>
              <w:rPr>
                <w:b/>
                <w:i/>
              </w:rPr>
              <w:t>výlučne</w:t>
            </w:r>
            <w:r>
              <w:t xml:space="preserve"> elektrickou energiou a s najväčšou technicky prípustnou hmotnosťou od 3,5 do 4,25 tony sa môžu používať na cestách iba vtedy, ak sú vybavené zariadením obmedzujúcim rýchlosť nastaveným tak, aby rýchlosť vozidiel nemohla prekročiť 90 km/h.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Ondřej Krutílek, Alexandr Vondra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smernice</w:t>
      </w:r>
      <w:r>
        <w:rPr>
          <w:rStyle w:val="HideTWBExt"/>
        </w:rPr>
        <w:t>&lt;/DocAmend&gt;</w:t>
      </w:r>
    </w:p>
    <w:p>
      <w:pPr>
        <w:pStyle w:val="NormalBold"/>
      </w:pPr>
      <w:r>
        <w:rPr>
          <w:rStyle w:val="HideTWBExt"/>
        </w:rPr>
        <w:t>&lt;Article&gt;</w:t>
      </w:r>
      <w:r>
        <w:t>Článok 2 – odsek 1 - pododsek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Členské štáty prijmú a uverejnia najneskôr do [</w:t>
            </w:r>
            <w:r>
              <w:rPr>
                <w:b/>
                <w:i/>
              </w:rPr>
              <w:t>troch</w:t>
            </w:r>
            <w:r>
              <w:t xml:space="preserve"> mesiacov po nadobudnutí účinnosti nariadenia založeného na dokumente COM(2023) 993 final] zákony, iné právne predpisy a administratívne opatrenia potrebné na dosiahnutie súladu s touto smernicou. Znenie týchto ustanovení bezodkladne oznámia Komisii.</w:t>
            </w:r>
          </w:p>
        </w:tc>
        <w:tc>
          <w:tcPr>
            <w:tcW w:w="4876" w:type="dxa"/>
            <w:tcBorders>
              <w:top w:val="nil"/>
              <w:left w:val="nil"/>
              <w:bottom w:val="nil"/>
              <w:right w:val="nil"/>
            </w:tcBorders>
          </w:tcPr>
          <w:p>
            <w:pPr>
              <w:pStyle w:val="Normal6a"/>
            </w:pPr>
            <w:r>
              <w:t>Členské štáty prijmú a uverejnia najneskôr do [</w:t>
            </w:r>
            <w:r>
              <w:rPr>
                <w:b/>
                <w:i/>
              </w:rPr>
              <w:t>šiestich</w:t>
            </w:r>
            <w:r>
              <w:t xml:space="preserve"> mesiacov po nadobudnutí účinnosti nariadenia založeného na dokumente COM(2023) 993 final] zákony, iné právne predpisy a administratívne opatrenia potrebné na dosiahnutie súladu s touto smernicou. Znenie týchto ustanovení bezodkladne oznámia Komisii.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789.944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11</w:t>
    </w:r>
    <w:r>
      <w:fldChar w:fldCharType="end"/>
    </w:r>
    <w:r>
      <w:tab/>
    </w:r>
    <w:r>
      <w:rPr>
        <w:rStyle w:val="HideTWBExt"/>
      </w:rPr>
      <w:t>&lt;PathFdR&gt;</w:t>
    </w:r>
    <w:r>
      <w:t>AM\1345609SK.docx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AM\1345609SK.docx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11</w:t>
    </w:r>
    <w:r>
      <w:fldChar w:fldCharType="end"/>
    </w:r>
    <w:r>
      <w:tab/>
    </w:r>
    <w:r>
      <w:t>PE</w:t>
    </w:r>
    <w:r>
      <w:rPr>
        <w:rStyle w:val="HideTWBExt"/>
      </w:rPr>
      <w:t>&lt;NoPE&gt;</w:t>
    </w:r>
    <w:r>
      <w:t>789.944</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AM\1345609SK.docx</w:t>
    </w:r>
    <w:r>
      <w:rPr>
        <w:rStyle w:val="HideTWBExt"/>
      </w:rPr>
      <w:t>&lt;/PathFdR&gt;</w:t>
    </w:r>
    <w:r>
      <w:tab/>
    </w:r>
    <w:r>
      <w:tab/>
    </w:r>
    <w:r>
      <w:t>PE</w:t>
    </w:r>
    <w:r>
      <w:rPr>
        <w:rStyle w:val="HideTWBExt"/>
      </w:rPr>
      <w:t>&lt;NoPE&gt;</w:t>
    </w:r>
    <w:r>
      <w:t>789.944</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Pages>
  <Words>2194</Words>
  <Characters>13802</Characters>
  <Application>Microsoft Office Word</Application>
  <DocSecurity>0</DocSecurity>
  <Lines>1</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1345609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548427</vt:lpwstr>
  </property>
  <property fmtid="{D5CDD505-2E9C-101B-9397-08002B2CF9AE}" pid="7" name="dmxml.render.traceId">
    <vt:lpwstr>6a3e6b69567dfe96cb57a1ecb08c233c</vt:lpwstr>
  </property>
  <property fmtid="{D5CDD505-2E9C-101B-9397-08002B2CF9AE}" pid="8" name="FooterPath">
    <vt:lpwstr>AM\1345609SK.docx</vt:lpwstr>
  </property>
  <property fmtid="{D5CDD505-2E9C-101B-9397-08002B2CF9AE}" pid="9" name="PE Number">
    <vt:lpwstr>789.944</vt:lpwstr>
  </property>
  <property fmtid="{D5CDD505-2E9C-101B-9397-08002B2CF9AE}" pid="10" name="UID">
    <vt:lpwstr>eu.europa.europarl-DIN1-2026-0000167786_02.00-sk-01.00_text-xml</vt:lpwstr>
  </property>
</Properties>
</file>