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{TRAN}</w:t>
      </w:r>
      <w:r>
        <w:t>Committee on Transport and Tourism</w:t>
      </w:r>
      <w:r>
        <w:rPr>
          <w:rStyle w:val="HideTWBExt"/>
        </w:rPr>
        <w:t>&lt;/Commission&gt;</w:t>
      </w:r>
    </w:p>
    <w:p>
      <w:pPr>
        <w:pStyle w:val="LineBottom"/>
      </w:pPr>
      <w:r>
        <w:t xml:space="preserve"> </w:t>
      </w:r>
    </w:p>
    <w:p>
      <w:pPr>
        <w:pStyle w:val="CoverReference"/>
      </w:pPr>
      <w:r>
        <w:rPr>
          <w:rStyle w:val="HideTWBExt"/>
        </w:rPr>
        <w:t>&lt;RefProc&gt;</w:t>
      </w:r>
      <w:r>
        <w:t>2026/2040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{30/09/2026}</w:t>
      </w:r>
      <w:r>
        <w:t>30.9.2026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2</w:t>
      </w:r>
      <w:r>
        <w:t xml:space="preserve"> - </w:t>
      </w:r>
      <w:r>
        <w:t>138</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Jan-Christoph Oetjen</w:t>
      </w:r>
      <w:r>
        <w:rPr>
          <w:rStyle w:val="HideTWBExt"/>
        </w:rPr>
        <w:t>&lt;/Rapporteur&gt;</w:t>
      </w:r>
    </w:p>
    <w:p>
      <w:pPr>
        <w:pStyle w:val="CoverNormal24a"/>
      </w:pPr>
      <w:r>
        <w:rPr>
          <w:rStyle w:val="HideTWBExt"/>
        </w:rPr>
        <w:t>&lt;DocRefPE&gt;</w:t>
      </w:r>
      <w:r>
        <w:t>(PE791.896v01-00)</w:t>
      </w:r>
      <w:r>
        <w:rPr>
          <w:rStyle w:val="HideTWBExt"/>
        </w:rPr>
        <w:t>&lt;/DocRefPE&gt;</w:t>
      </w:r>
    </w:p>
    <w:p>
      <w:pPr>
        <w:pStyle w:val="CoverNormal"/>
      </w:pPr>
      <w:r>
        <w:rPr>
          <w:rStyle w:val="HideTWBExt"/>
        </w:rPr>
        <w:t>&lt;Titre&gt;</w:t>
      </w:r>
      <w:r>
        <w:t>A regulatory framework to promote the uptake of sustainable aviation fuels</w:t>
      </w:r>
      <w:r>
        <w:rPr>
          <w:rStyle w:val="HideTWBExt"/>
        </w:rPr>
        <w:t>&lt;/Titre&gt;</w:t>
      </w:r>
    </w:p>
    <w:p>
      <w:pPr>
        <w:pStyle w:val="CoverNormal24a"/>
      </w:pPr>
      <w:r>
        <w:rPr>
          <w:rStyle w:val="HideTWBExt"/>
        </w:rPr>
        <w:t>&lt;DocRef&gt;</w:t>
      </w:r>
      <w:r>
        <w:t>(2026/2040(INI))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Johan Danielsson, Matteo Ricci, Andreas Schieder,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EASA report of September 2026 entitled “ReFuelEU Aviation Annual Technical Report 2026 – 2025 in review”,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Johan Danielsson, Matteo Ricci, Andreas Schieder,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Commission report of 27 February 2025 entitled “The ReFuelEU Aviation SAF flexibility mechanism” (COM(2025) 59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Commission proposal of 17 July 2026 for a targeted revision of the EU Emissions Trading System, COM(2026) 616, and its accompanying impact assessment;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EASA ReFuelEU Aviation Annual Technical Report 2026, published on 17 September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Volker Schnurrbusch, Milan Mazurek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whereas sustainable aviation fuels (SAF) are indispensable for achieving the Union’s climate objectives and decarbonising aviation;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sustainable aviation fuels (SAF) are indispensable for achieving the Union’s climate objectives and decarbonising aviation;</w:t>
            </w:r>
          </w:p>
        </w:tc>
        <w:tc>
          <w:tcPr>
            <w:tcW w:w="4876" w:type="dxa"/>
            <w:tcBorders>
              <w:top w:val="nil"/>
              <w:left w:val="nil"/>
              <w:bottom w:val="nil"/>
              <w:right w:val="nil"/>
            </w:tcBorders>
          </w:tcPr>
          <w:p>
            <w:pPr>
              <w:pStyle w:val="Normal6a"/>
            </w:pPr>
            <w:r>
              <w:t>A.</w:t>
            </w:r>
            <w:r>
              <w:tab/>
            </w:r>
            <w:r>
              <w:t xml:space="preserve">whereas </w:t>
            </w:r>
            <w:r>
              <w:rPr>
                <w:b/>
                <w:i/>
              </w:rPr>
              <w:t>the decarbonisation of aviation requires a combination of measures, including the uptake of</w:t>
            </w:r>
            <w:r>
              <w:t xml:space="preserve"> sustainable aviation fuels (SAF)</w:t>
            </w:r>
            <w:r>
              <w:rPr>
                <w:b/>
                <w:i/>
              </w:rPr>
              <w:t>, improvements in flight and air traffic operations, and investment in more efficient and lower- and zero-emission aircraft technologies, all of which</w:t>
            </w:r>
            <w:r>
              <w:t xml:space="preserve"> are indispensable for achieving the Union’s climate objectives and decarbonising aviation; </w:t>
            </w:r>
            <w:r>
              <w:rPr>
                <w:b/>
                <w:i/>
              </w:rPr>
              <w:t>whereas high production costs, limited production capacity, the restricted range and availability of eligible sustainable feedstocks within the Union, and uneven access to SAF across Member States remain significant barriers to its uptake; whereas further obstacles include difficulties for aircraft operators in claiming the environmental benefits associated with the SAF for which they have paid, insufficient price transparency coupled with additional surcharges, limited competition, infrastructure related bottlenecks and disproportionate administrative burdens; whereas addressing those barriers is essential to developing a competitive and resilient European SAF industry;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sustainable aviation fuels (SAF) </w:t>
            </w:r>
            <w:r>
              <w:rPr>
                <w:b/>
                <w:i/>
              </w:rPr>
              <w:t>are indispensable for</w:t>
            </w:r>
            <w:r>
              <w:t xml:space="preserve"> achieving the Union’s climate objectives and decarbonising aviation;</w:t>
            </w:r>
          </w:p>
        </w:tc>
        <w:tc>
          <w:tcPr>
            <w:tcW w:w="4876" w:type="dxa"/>
            <w:tcBorders>
              <w:top w:val="nil"/>
              <w:left w:val="nil"/>
              <w:bottom w:val="nil"/>
              <w:right w:val="nil"/>
            </w:tcBorders>
          </w:tcPr>
          <w:p>
            <w:pPr>
              <w:pStyle w:val="Normal6a"/>
            </w:pPr>
            <w:r>
              <w:t>A.</w:t>
            </w:r>
            <w:r>
              <w:tab/>
            </w:r>
            <w:r>
              <w:t xml:space="preserve">whereas sustainable aviation fuels (SAF) </w:t>
            </w:r>
            <w:r>
              <w:rPr>
                <w:b/>
                <w:i/>
              </w:rPr>
              <w:t>can play an important role in</w:t>
            </w:r>
            <w:r>
              <w:t xml:space="preserve"> achieving the Union’s climate objectives and decarbonising aviation</w:t>
            </w:r>
            <w:r>
              <w:rPr>
                <w:b/>
                <w:i/>
              </w:rPr>
              <w:t>, however climate-related measures affecting aviation should be proportionate and should not result in excessive additional costs for aircraft operators and passengers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sustainable aviation fuels (SAF) are indispensable for achieving the Union’s climate objectives and decarbonising aviation;</w:t>
            </w:r>
          </w:p>
        </w:tc>
        <w:tc>
          <w:tcPr>
            <w:tcW w:w="4876" w:type="dxa"/>
            <w:tcBorders>
              <w:top w:val="nil"/>
              <w:left w:val="nil"/>
              <w:bottom w:val="nil"/>
              <w:right w:val="nil"/>
            </w:tcBorders>
          </w:tcPr>
          <w:p>
            <w:pPr>
              <w:pStyle w:val="Normal6a"/>
            </w:pPr>
            <w:r>
              <w:t>A.</w:t>
            </w:r>
            <w:r>
              <w:tab/>
            </w:r>
            <w:r>
              <w:t xml:space="preserve">whereas sustainable aviation fuels (SAF) are indispensable for achieving the Union’s climate objectives and decarbonising aviation; </w:t>
            </w:r>
            <w:r>
              <w:rPr>
                <w:b/>
                <w:i/>
              </w:rPr>
              <w:t>sustainable aviation fuels (SAF), particularly synthetic aviation fuels (eSAF), are therefore indispensable and key levers for reducing aviation emissions.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Luis-Vicențiu Lazarus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sustainable aviation fuels (SAF) </w:t>
            </w:r>
            <w:r>
              <w:rPr>
                <w:b/>
                <w:i/>
              </w:rPr>
              <w:t>are indispensable for achieving the Union’s climate objectives and</w:t>
            </w:r>
            <w:r>
              <w:t xml:space="preserve"> decarbonising aviation;</w:t>
            </w:r>
          </w:p>
        </w:tc>
        <w:tc>
          <w:tcPr>
            <w:tcW w:w="4876" w:type="dxa"/>
            <w:tcBorders>
              <w:top w:val="nil"/>
              <w:left w:val="nil"/>
              <w:bottom w:val="nil"/>
              <w:right w:val="nil"/>
            </w:tcBorders>
          </w:tcPr>
          <w:p>
            <w:pPr>
              <w:pStyle w:val="Normal6a"/>
            </w:pPr>
            <w:r>
              <w:t>A.</w:t>
            </w:r>
            <w:r>
              <w:tab/>
            </w:r>
            <w:r>
              <w:t xml:space="preserve">whereas sustainable aviation fuels (SAF) </w:t>
            </w:r>
            <w:r>
              <w:rPr>
                <w:b/>
                <w:i/>
              </w:rPr>
              <w:t>can contribute to</w:t>
            </w:r>
            <w:r>
              <w:t xml:space="preserve"> decarbonising aviation</w:t>
            </w:r>
            <w:r>
              <w:rPr>
                <w:b/>
                <w:i/>
              </w:rPr>
              <w:t>, provided they are available in sufficient quantities and at affordable prices, without penalising passengers and European carriers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sustainable aviation fuels (SAF) are indispensable for achieving the Union’s climate objectives and decarbonising aviation;</w:t>
            </w:r>
          </w:p>
        </w:tc>
        <w:tc>
          <w:tcPr>
            <w:tcW w:w="4876" w:type="dxa"/>
            <w:tcBorders>
              <w:top w:val="nil"/>
              <w:left w:val="nil"/>
              <w:bottom w:val="nil"/>
              <w:right w:val="nil"/>
            </w:tcBorders>
          </w:tcPr>
          <w:p>
            <w:pPr>
              <w:pStyle w:val="Normal6a"/>
            </w:pPr>
            <w:r>
              <w:t>A.</w:t>
            </w:r>
            <w:r>
              <w:tab/>
            </w:r>
            <w:r>
              <w:t>whereas sustainable aviation fuels (SAF)</w:t>
            </w:r>
            <w:r>
              <w:rPr>
                <w:b/>
                <w:i/>
              </w:rPr>
              <w:t>, and in particular synthetic aviation fuels (e-SAF),</w:t>
            </w:r>
            <w:r>
              <w:t xml:space="preserve"> are indispensable for achieving the Union’s climate objectives and decarbonising aviation;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The ETS is not solely a climate policy instrument; it is increasingly also an industrial and energy policy instrument. In supporting the EU’s energy independence and resilience, ReFuelEU Aviation (mandate for the use of SAFs), together with the ETS SAF support mechanism (FEETS, Fuels Eligible in the ETS), provides demand certainty for fuel producers and suppliers, enables airlines to use SAF beyond mandated levels, and improves revenue certainty and investment conditions for new technologies and market entrants.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Benoit Cassart, Valérie Devaux,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the intermediate crops referred to in Annex IX constitute a major lever for increasing the supply of sustainable biomass for advanced biofuels and sustainable aviation fuels; whereas they make it possible to avoid competition with food and feed production, while actively contributing to the objectives of Regulation (EU) 2023/2405 and Directive (EU) 2018/2001;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the combined costs resulting from the EU ETS and SAF-related requirements increase the cost of air transport and ultimately affect air fares, connectivity and the affordability of air travel for European citizens;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a book-and-claim mechanism (B/C) </w:t>
            </w:r>
            <w:r>
              <w:rPr>
                <w:b/>
                <w:i/>
              </w:rPr>
              <w:t>allows SAF</w:t>
            </w:r>
            <w:r>
              <w:t xml:space="preserve"> to be physically supplied to one aircraft while another aircraft operator, including business aviation, can claim their environmental attributes;</w:t>
            </w:r>
          </w:p>
        </w:tc>
        <w:tc>
          <w:tcPr>
            <w:tcW w:w="4876" w:type="dxa"/>
            <w:tcBorders>
              <w:top w:val="nil"/>
              <w:left w:val="nil"/>
              <w:bottom w:val="nil"/>
              <w:right w:val="nil"/>
            </w:tcBorders>
          </w:tcPr>
          <w:p>
            <w:pPr>
              <w:pStyle w:val="Normal6a"/>
            </w:pPr>
            <w:r>
              <w:t>B.</w:t>
            </w:r>
            <w:r>
              <w:tab/>
            </w:r>
            <w:r>
              <w:t xml:space="preserve">whereas a book-and-claim mechanism (B/C) </w:t>
            </w:r>
            <w:r>
              <w:rPr>
                <w:b/>
                <w:i/>
              </w:rPr>
              <w:t>could allow e-SAF</w:t>
            </w:r>
            <w:r>
              <w:t xml:space="preserve"> to be physically supplied to one aircraft while another aircraft operator, including business aviation, can claim their environmental attributes; </w:t>
            </w:r>
            <w:r>
              <w:rPr>
                <w:b/>
                <w:i/>
              </w:rPr>
              <w:t>whereas a proper system of traceability, with the necessary guarantees of origin, is needed as well as the adequate mechanisms to prevent double-booking or any form of fraud;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Johan Danielsson, Matteo Ricci, Andreas Schieder,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a book-and-claim mechanism (B/C) allows SAF to be physically supplied to one aircraft while another aircraft operator</w:t>
            </w:r>
            <w:r>
              <w:rPr>
                <w:b/>
                <w:i/>
              </w:rPr>
              <w:t>, including business aviation,</w:t>
            </w:r>
            <w:r>
              <w:t xml:space="preserve"> can claim their environmental attributes;</w:t>
            </w:r>
          </w:p>
        </w:tc>
        <w:tc>
          <w:tcPr>
            <w:tcW w:w="4876" w:type="dxa"/>
            <w:tcBorders>
              <w:top w:val="nil"/>
              <w:left w:val="nil"/>
              <w:bottom w:val="nil"/>
              <w:right w:val="nil"/>
            </w:tcBorders>
          </w:tcPr>
          <w:p>
            <w:pPr>
              <w:pStyle w:val="Normal6a"/>
            </w:pPr>
            <w:r>
              <w:t>B.</w:t>
            </w:r>
            <w:r>
              <w:tab/>
            </w:r>
            <w:r>
              <w:t>whereas a book-and-claim mechanism (B/C) allows SAF to be physically supplied to one aircraft while another aircraft operator can claim their environmental attributes;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whereas a European </w:t>
            </w:r>
            <w:r>
              <w:rPr>
                <w:b/>
                <w:i/>
              </w:rPr>
              <w:t>SAF</w:t>
            </w:r>
            <w:r>
              <w:t xml:space="preserve"> B/C mechanism should complement, and not replace or prejudice, the flexibility mechanism established under ReFuelEU Aviation, with both mechanisms operating in parallel to facilitate the efficient uptake and distribution of </w:t>
            </w:r>
            <w:r>
              <w:rPr>
                <w:b/>
                <w:i/>
              </w:rPr>
              <w:t>SAF</w:t>
            </w:r>
            <w:r>
              <w:t xml:space="preserve"> across the Union;</w:t>
            </w:r>
          </w:p>
        </w:tc>
        <w:tc>
          <w:tcPr>
            <w:tcW w:w="4876" w:type="dxa"/>
            <w:tcBorders>
              <w:top w:val="nil"/>
              <w:left w:val="nil"/>
              <w:bottom w:val="nil"/>
              <w:right w:val="nil"/>
            </w:tcBorders>
          </w:tcPr>
          <w:p>
            <w:pPr>
              <w:pStyle w:val="Normal6a"/>
            </w:pPr>
            <w:r>
              <w:t>D.</w:t>
            </w:r>
            <w:r>
              <w:tab/>
            </w:r>
            <w:r>
              <w:t xml:space="preserve">whereas a European </w:t>
            </w:r>
            <w:r>
              <w:rPr>
                <w:b/>
                <w:i/>
              </w:rPr>
              <w:t>e-SAF</w:t>
            </w:r>
            <w:r>
              <w:t xml:space="preserve"> B/C mechanism should complement, and not replace or prejudice, the flexibility mechanism established under ReFuelEU Aviation, with both mechanisms operating in parallel to facilitate the efficient uptake and distribution of </w:t>
            </w:r>
            <w:r>
              <w:rPr>
                <w:b/>
                <w:i/>
              </w:rPr>
              <w:t>e-SAF</w:t>
            </w:r>
            <w:r>
              <w:t xml:space="preserve"> across the Union; </w:t>
            </w:r>
            <w:r>
              <w:rPr>
                <w:b/>
                <w:i/>
              </w:rPr>
              <w:t>whereas in the short term they have the potential to reduce emissions linked to the transport of small amounts of e-SAF to all the different airports in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whereas a European SAF B/C mechanism should complement, and not replace or prejudice, the flexibility mechanism established under ReFuelEU Aviation, with both mechanisms operating in parallel to facilitate the efficient uptake and distribution of SAF across the Union;</w:t>
            </w:r>
          </w:p>
        </w:tc>
        <w:tc>
          <w:tcPr>
            <w:tcW w:w="4876" w:type="dxa"/>
            <w:tcBorders>
              <w:top w:val="nil"/>
              <w:left w:val="nil"/>
              <w:bottom w:val="nil"/>
              <w:right w:val="nil"/>
            </w:tcBorders>
          </w:tcPr>
          <w:p>
            <w:pPr>
              <w:pStyle w:val="Normal6a"/>
            </w:pPr>
            <w:r>
              <w:t>D.</w:t>
            </w:r>
            <w:r>
              <w:tab/>
            </w:r>
            <w:r>
              <w:t xml:space="preserve">whereas a European SAF B/C mechanism should complement, and not replace or prejudice, the flexibility mechanism established under ReFuelEU Aviation, with both mechanisms operating in parallel to facilitate the efficient uptake and distribution of SAF across the Union; </w:t>
            </w:r>
            <w:r>
              <w:rPr>
                <w:b/>
                <w:i/>
              </w:rPr>
              <w:t>following the full phase-out of free allocation, aircraft operators bear substantial and increasing ETS compliance costs. The ETS framework and FEETS should therefore maintain and strengthen the carbon-price incentive while facilitating the effective deployment of sustainable aviation fuels.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whereas the development of the production capacity of renewable-based synthetic fuels in particular is essential in order not only to meet the established sub-targets, but even the SAF targets overall; whereas such developments can contribute to lowering their actual costs, both through the continuous optimisation of the processing technology and also thanks to economies of scale; whereas currently under ETS, synthetic aviation fuels benefit from a very favourable framework of contract for difference with free allowances for the purpose until 2030, which should incentivise such timely investments;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whereas SAF currently remain significantly more expensive than conventional aviation fuels, and there are concerns that limited competition in SAF supply may contribute to inflated prices;</w:t>
            </w:r>
          </w:p>
        </w:tc>
        <w:tc>
          <w:tcPr>
            <w:tcW w:w="4876" w:type="dxa"/>
            <w:tcBorders>
              <w:top w:val="nil"/>
              <w:left w:val="nil"/>
              <w:bottom w:val="nil"/>
              <w:right w:val="nil"/>
            </w:tcBorders>
          </w:tcPr>
          <w:p>
            <w:pPr>
              <w:pStyle w:val="Normal6a"/>
            </w:pPr>
            <w:r>
              <w:t>E.</w:t>
            </w:r>
            <w:r>
              <w:tab/>
            </w:r>
            <w:r>
              <w:t>whereas SAF currently remain significantly more expensive than conventional aviation fuels, and there are concerns that limited competition in SAF supply may contribute to inflated prices;</w:t>
            </w:r>
            <w:r>
              <w:rPr>
                <w:b/>
                <w:i/>
              </w:rPr>
              <w:t> the production costs of SAF and eSAF remain substantially higher than those of fossil kerosene. Reducing the existing support levels in FEETS would transfer a larger share of that price differential to aircraft operators without reducing the underlying production-cost gap. This would make the transition even more expensive, weaken demand beyond legally mandated quantities, and diminish the investment signal to fuel producers.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whereas SAF currently remain significantly more expensive than conventional aviation fuels, and there are concerns that limited competition in SAF supply may contribute to inflated prices;</w:t>
            </w:r>
          </w:p>
        </w:tc>
        <w:tc>
          <w:tcPr>
            <w:tcW w:w="4876" w:type="dxa"/>
            <w:tcBorders>
              <w:top w:val="nil"/>
              <w:left w:val="nil"/>
              <w:bottom w:val="nil"/>
              <w:right w:val="nil"/>
            </w:tcBorders>
          </w:tcPr>
          <w:p>
            <w:pPr>
              <w:pStyle w:val="Normal6a"/>
            </w:pPr>
            <w:r>
              <w:t>E.</w:t>
            </w:r>
            <w:r>
              <w:tab/>
            </w:r>
            <w:r>
              <w:t xml:space="preserve">whereas SAF currently remain significantly more expensive than conventional aviation fuels, and there are concerns that limited competition in SAF supply may contribute to inflated prices; </w:t>
            </w:r>
            <w:r>
              <w:rPr>
                <w:b/>
                <w:i/>
              </w:rPr>
              <w:t>whereas the current situation of higher prices for kerosene and overall uncertainty regarding the global oil market derived from the Ormuz strait crisis reduces such a gap and incentivises to invest in e-SAF production;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Anne-Sophie Frigout, Julien Leonardelli, Philippe Olivier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whereas SAF currently remain significantly more expensive than conventional aviation fuels, and there are concerns that limited competition in SAF supply may contribute to inflated prices;</w:t>
            </w:r>
          </w:p>
        </w:tc>
        <w:tc>
          <w:tcPr>
            <w:tcW w:w="4876" w:type="dxa"/>
            <w:tcBorders>
              <w:top w:val="nil"/>
              <w:left w:val="nil"/>
              <w:bottom w:val="nil"/>
              <w:right w:val="nil"/>
            </w:tcBorders>
          </w:tcPr>
          <w:p>
            <w:pPr>
              <w:pStyle w:val="Normal6a"/>
            </w:pPr>
            <w:r>
              <w:t>E.</w:t>
            </w:r>
            <w:r>
              <w:tab/>
            </w:r>
            <w:r>
              <w:t xml:space="preserve">whereas SAF currently remain significantly more expensive than conventional aviation fuels, and there are concerns that limited competition in SAF supply may contribute to inflated prices </w:t>
            </w:r>
            <w:r>
              <w:rPr>
                <w:b/>
                <w:i/>
              </w:rPr>
              <w:t>and deprive the most economically disadvantaged of air travel</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Anne-Sophie Frigout, Julien Leonardelli, Philippe Olivier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whereas European producers of SAF are limited to second-generation biofuels, which are difficult to deploy at scale, and to e-SAF, which is still too expensive and unavailable on the market, without benefiting from a level playing field with major global producers, and whereas there is a real risk of loss of industrial sovereignty, making the possibility of using first-generation biofuels essential;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whereas energy sovereignty is a crucial pillar of strategic autonomy for the Union; whereas due consideration is to be given to the need of guaranteeing fuel supply for public flights, such as rescue helicopters and military aircrafts, particularly also in times of crisis;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whereas the affordability and accessibility of air transport are important elements of the freedom of movement within the Union and the development and uptake of SAF cnannot result in increases in air fares or undermine connectivity for European citizens;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Anne-Sophie Frigout, Julien Leonardelli, Philippe Olivier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whereas making full use of the sustainable raw materials available in the EU enhances security of supply, the competitiveness of the sector and the contribution of the agricultural sector to the decarbonisation of aviation;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whereas a European B/C mechanism could improve market liquidity and price transparency and facilitate access to SAF;</w:t>
            </w:r>
          </w:p>
        </w:tc>
        <w:tc>
          <w:tcPr>
            <w:tcW w:w="4876" w:type="dxa"/>
            <w:tcBorders>
              <w:top w:val="nil"/>
              <w:left w:val="nil"/>
              <w:bottom w:val="nil"/>
              <w:right w:val="nil"/>
            </w:tcBorders>
          </w:tcPr>
          <w:p>
            <w:pPr>
              <w:pStyle w:val="Normal6a"/>
            </w:pPr>
            <w:r>
              <w:t>F.</w:t>
            </w:r>
            <w:r>
              <w:tab/>
            </w:r>
            <w:r>
              <w:t>whereas a European B/C mechanism could improve market liquidity and price transparency and facilitate access to SAF;</w:t>
            </w:r>
            <w:r>
              <w:rPr>
                <w:b/>
                <w:i/>
              </w:rPr>
              <w:t> The FEETS mechanism is performance-based: support is linked to the actual use of eligible fuel and to the remaining price differential with fossil kerosene. Maintaining an effective level of support therefore facilitates verified emissions reductions rather than providing untargeted operating support.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whereas a European B/C mechanism could improve market liquidity and price transparency </w:t>
            </w:r>
            <w:r>
              <w:rPr>
                <w:b/>
                <w:i/>
              </w:rPr>
              <w:t>and</w:t>
            </w:r>
            <w:r>
              <w:t xml:space="preserve"> facilitate access to SAF;</w:t>
            </w:r>
          </w:p>
        </w:tc>
        <w:tc>
          <w:tcPr>
            <w:tcW w:w="4876" w:type="dxa"/>
            <w:tcBorders>
              <w:top w:val="nil"/>
              <w:left w:val="nil"/>
              <w:bottom w:val="nil"/>
              <w:right w:val="nil"/>
            </w:tcBorders>
          </w:tcPr>
          <w:p>
            <w:pPr>
              <w:pStyle w:val="Normal6a"/>
            </w:pPr>
            <w:r>
              <w:t>F.</w:t>
            </w:r>
            <w:r>
              <w:tab/>
            </w:r>
            <w:r>
              <w:t>whereas a European B/C mechanism could improve market liquidity</w:t>
            </w:r>
            <w:r>
              <w:rPr>
                <w:b/>
                <w:i/>
              </w:rPr>
              <w:t>, competition</w:t>
            </w:r>
            <w:r>
              <w:t xml:space="preserve"> and price transparency</w:t>
            </w:r>
            <w:r>
              <w:rPr>
                <w:b/>
                <w:i/>
              </w:rPr>
              <w:t>,</w:t>
            </w:r>
            <w:r>
              <w:t xml:space="preserve"> facilitate access to SAF </w:t>
            </w:r>
            <w:r>
              <w:rPr>
                <w:b/>
                <w:i/>
              </w:rPr>
              <w:t>and contribute to reducing the price differential between SAF and conventional aviation fuels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whereas one of the main shortcomings in order to stabilise and increase the e-SAF supply market in the EU is the current investment gap; whereas such gap could be significantly bridged, among others, by means of double-sided auctions through robust market intermediaries and other demand pooling instruments that would provide enough predictability and a solid business case for potential producers;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whereas a phased approach to a European SAF B/C mechanism would allow the rapid deployment of a system based on existing reporting obligations, while </w:t>
            </w:r>
            <w:r>
              <w:rPr>
                <w:b/>
                <w:i/>
              </w:rPr>
              <w:t>laying the groundwork for a more comprehensive framework in the longer term</w:t>
            </w:r>
            <w:r>
              <w:t>;</w:t>
            </w:r>
          </w:p>
        </w:tc>
        <w:tc>
          <w:tcPr>
            <w:tcW w:w="4876" w:type="dxa"/>
            <w:tcBorders>
              <w:top w:val="nil"/>
              <w:left w:val="nil"/>
              <w:bottom w:val="nil"/>
              <w:right w:val="nil"/>
            </w:tcBorders>
          </w:tcPr>
          <w:p>
            <w:pPr>
              <w:pStyle w:val="Normal6a"/>
            </w:pPr>
            <w:r>
              <w:t>G.</w:t>
            </w:r>
            <w:r>
              <w:tab/>
            </w:r>
            <w:r>
              <w:t xml:space="preserve">whereas a phased approach to a European SAF B/C mechanism would allow the rapid deployment of a system based on existing reporting obligations, while </w:t>
            </w:r>
            <w:r>
              <w:rPr>
                <w:b/>
                <w:i/>
              </w:rPr>
              <w:t>allowing the development of SAF production capacity, competition and market liquidity and ensuring that the costs of the transition do not disproportionately affect aircraft operators or passengers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whereas a phased approach to a European SAF B/C mechanism would allow the </w:t>
            </w:r>
            <w:r>
              <w:rPr>
                <w:b/>
                <w:i/>
              </w:rPr>
              <w:t>rapid</w:t>
            </w:r>
            <w:r>
              <w:t xml:space="preserve"> deployment of a system based on existing reporting obligations</w:t>
            </w:r>
            <w:r>
              <w:rPr>
                <w:b/>
                <w:i/>
              </w:rPr>
              <w:t>,</w:t>
            </w:r>
            <w:r>
              <w:t xml:space="preserve"> while laying the groundwork for a more comprehensive framework in the longer term;</w:t>
            </w:r>
          </w:p>
        </w:tc>
        <w:tc>
          <w:tcPr>
            <w:tcW w:w="4876" w:type="dxa"/>
            <w:tcBorders>
              <w:top w:val="nil"/>
              <w:left w:val="nil"/>
              <w:bottom w:val="nil"/>
              <w:right w:val="nil"/>
            </w:tcBorders>
          </w:tcPr>
          <w:p>
            <w:pPr>
              <w:pStyle w:val="Normal6a"/>
            </w:pPr>
            <w:r>
              <w:t>G.</w:t>
            </w:r>
            <w:r>
              <w:tab/>
            </w:r>
            <w:r>
              <w:t xml:space="preserve">whereas a phased approach to a European SAF B/C mechanism would allow the deployment of a system based on existing reporting obligations </w:t>
            </w:r>
            <w:r>
              <w:rPr>
                <w:b/>
                <w:i/>
              </w:rPr>
              <w:t>by enabling digital traceability and proof of sustainability</w:t>
            </w:r>
            <w:r>
              <w:t xml:space="preserve"> while laying the groundwork for a more comprehensive framework in the longer term</w:t>
            </w:r>
            <w:r>
              <w:rPr>
                <w:b/>
                <w:i/>
              </w:rPr>
              <w:t>, building, inter alia, on the requirements laid down in the Renewable Energy Directive, the EU ETS Directive and the ReFuelEU Aviation Regulation</w:t>
            </w:r>
            <w:r>
              <w:t xml:space="preserve">; </w:t>
            </w:r>
            <w:r>
              <w:rPr>
                <w:b/>
                <w:i/>
              </w:rPr>
              <w:t>whereas the relevant reporting requirements should be reviewed and streamlined to reduce unnecessary administrative burdens, while making any adjustments needed to safeguard the integrity of the B/C mechanism; whereas a permanent European book-and-claim mechanism could support not only the uptake of SAF in aviation but also the use of sustainable fuels in maritime transport and other hard-to-decarbonise sectors; whereas the integration of additional transport modes and sectors could generate economies of scale and contribute to the development of an integrated digital market for sustainable fuels;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whereas the introduction of a B/C mechanism should build</w:t>
            </w:r>
            <w:r>
              <w:rPr>
                <w:b/>
                <w:i/>
              </w:rPr>
              <w:t>, as far as possible,</w:t>
            </w:r>
            <w:r>
              <w:t xml:space="preserve"> on existing </w:t>
            </w:r>
            <w:r>
              <w:rPr>
                <w:b/>
                <w:i/>
              </w:rPr>
              <w:t>reporting obligations</w:t>
            </w:r>
            <w:r>
              <w:t xml:space="preserve"> in order to minimise administrative burdens </w:t>
            </w:r>
            <w:r>
              <w:rPr>
                <w:b/>
                <w:i/>
              </w:rPr>
              <w:t>and avoid unnecessary changes</w:t>
            </w:r>
            <w:r>
              <w:t xml:space="preserve"> to the current regulatory framework;</w:t>
            </w:r>
          </w:p>
        </w:tc>
        <w:tc>
          <w:tcPr>
            <w:tcW w:w="4876" w:type="dxa"/>
            <w:tcBorders>
              <w:top w:val="nil"/>
              <w:left w:val="nil"/>
              <w:bottom w:val="nil"/>
              <w:right w:val="nil"/>
            </w:tcBorders>
          </w:tcPr>
          <w:p>
            <w:pPr>
              <w:pStyle w:val="Normal6a"/>
            </w:pPr>
            <w:r>
              <w:t>H.</w:t>
            </w:r>
            <w:r>
              <w:tab/>
            </w:r>
            <w:r>
              <w:t xml:space="preserve">whereas the introduction of a B/C mechanism should build on existing </w:t>
            </w:r>
            <w:r>
              <w:rPr>
                <w:b/>
                <w:i/>
              </w:rPr>
              <w:t>legal requirements</w:t>
            </w:r>
            <w:r>
              <w:t xml:space="preserve"> in order to minimise administrative burdens</w:t>
            </w:r>
            <w:r>
              <w:rPr>
                <w:b/>
                <w:i/>
              </w:rPr>
              <w:t>; whereas those requirements, including reporting obligations, should be reviewed with a view to further reducing excessive administrative complexity and making any adjustments</w:t>
            </w:r>
            <w:r>
              <w:t xml:space="preserve"> to the current regulatory framework </w:t>
            </w:r>
            <w:r>
              <w:rPr>
                <w:b/>
                <w:i/>
              </w:rPr>
              <w:t>necessary for the effective functioning of the mechanism, subject to further legal and technical analysis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whereas the introduction of a B/C mechanism should build, as far as possible, on existing reporting obligations in order to minimise administrative burdens and avoid unnecessary changes to the current regulatory framework;</w:t>
            </w:r>
          </w:p>
        </w:tc>
        <w:tc>
          <w:tcPr>
            <w:tcW w:w="4876" w:type="dxa"/>
            <w:tcBorders>
              <w:top w:val="nil"/>
              <w:left w:val="nil"/>
              <w:bottom w:val="nil"/>
              <w:right w:val="nil"/>
            </w:tcBorders>
          </w:tcPr>
          <w:p>
            <w:pPr>
              <w:pStyle w:val="Normal6a"/>
            </w:pPr>
            <w:r>
              <w:t>H.</w:t>
            </w:r>
            <w:r>
              <w:tab/>
            </w:r>
            <w:r>
              <w:t>whereas the introduction of a B/C mechanism should build, as far as possible, on existing reporting obligations in order to minimise administrative burdens and avoid unnecessary changes to the current regulatory framework</w:t>
            </w:r>
            <w:r>
              <w:rPr>
                <w:b/>
                <w:i/>
              </w:rPr>
              <w:t>, while always ensuring the due traceability and “uniqueness” of every transaction in relation of a certain feedstock or RFNBO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whereas, for the purposes of a European SAF B/C mechanism, a SAF ticket should constitute a transferable </w:t>
            </w:r>
            <w:r>
              <w:rPr>
                <w:b/>
                <w:i/>
              </w:rPr>
              <w:t>proof of purchase of</w:t>
            </w:r>
            <w:r>
              <w:t xml:space="preserve"> a given quantity of SAF physically supplied at an EU airport;</w:t>
            </w:r>
          </w:p>
        </w:tc>
        <w:tc>
          <w:tcPr>
            <w:tcW w:w="4876" w:type="dxa"/>
            <w:tcBorders>
              <w:top w:val="nil"/>
              <w:left w:val="nil"/>
              <w:bottom w:val="nil"/>
              <w:right w:val="nil"/>
            </w:tcBorders>
          </w:tcPr>
          <w:p>
            <w:pPr>
              <w:pStyle w:val="Normal6a"/>
            </w:pPr>
            <w:r>
              <w:t>I.</w:t>
            </w:r>
            <w:r>
              <w:tab/>
            </w:r>
            <w:r>
              <w:t>whereas, for the purposes of a European SAF B/C mechanism, a SAF ticket should constitute a transferable</w:t>
            </w:r>
            <w:r>
              <w:rPr>
                <w:b/>
                <w:i/>
              </w:rPr>
              <w:t>, traceable and uniquely identifiable digital record representing the verified environmental attributes associated with</w:t>
            </w:r>
            <w:r>
              <w:t xml:space="preserve"> a given quantity of SAF physically supplied at an EU airport; </w:t>
            </w:r>
            <w:r>
              <w:rPr>
                <w:b/>
                <w:i/>
              </w:rPr>
              <w:t>whereas the transferability of SAF tickets would allow those environmental attributes to reach aircraft operators that are unable to access SAF physically at the airports from which they operate, thereby improving access to SAF and its benefits as well as supporting an efficient European market; whereas transferability must be accompanied by effective safeguards ensuring that every certificate and transaction is recorded from issuance to final use, that the certificate remains linked to the underlying quantity and sustainability characteristics of the fuel, and that it is permanently cancelled once the associated environmental attributes have been claimed;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whereas Article 8 of ReFuelEU Aviation already establishes reporting obligations for aircraft operators, which, together with the corresponding proofs of sustainability, could </w:t>
            </w:r>
            <w:r>
              <w:rPr>
                <w:b/>
                <w:i/>
              </w:rPr>
              <w:t>serve as the basis for the issuance</w:t>
            </w:r>
            <w:r>
              <w:t xml:space="preserve"> of SAF tickets </w:t>
            </w:r>
            <w:r>
              <w:rPr>
                <w:b/>
                <w:i/>
              </w:rPr>
              <w:t>in the first phase of a European SAF B/C mechanism</w:t>
            </w:r>
            <w:r>
              <w:t>, thereby ensuring legal certainty and reducing the risk of double counting and fraud;</w:t>
            </w:r>
          </w:p>
        </w:tc>
        <w:tc>
          <w:tcPr>
            <w:tcW w:w="4876" w:type="dxa"/>
            <w:tcBorders>
              <w:top w:val="nil"/>
              <w:left w:val="nil"/>
              <w:bottom w:val="nil"/>
              <w:right w:val="nil"/>
            </w:tcBorders>
          </w:tcPr>
          <w:p>
            <w:pPr>
              <w:pStyle w:val="Normal6a"/>
            </w:pPr>
            <w:r>
              <w:t>J.</w:t>
            </w:r>
            <w:r>
              <w:tab/>
            </w:r>
            <w:r>
              <w:t xml:space="preserve">whereas Article 8 of ReFuelEU Aviation already establishes reporting obligations for aircraft operators, which, together with the corresponding proofs of sustainability, could </w:t>
            </w:r>
            <w:r>
              <w:rPr>
                <w:b/>
                <w:i/>
              </w:rPr>
              <w:t>provide input for designing and issuing</w:t>
            </w:r>
            <w:r>
              <w:t xml:space="preserve"> of SAF tickets, thereby ensuring legal certainty and reducing the risk of double counting and fraud;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whereas </w:t>
            </w:r>
            <w:r>
              <w:rPr>
                <w:b/>
                <w:i/>
              </w:rPr>
              <w:t>the extension of the</w:t>
            </w:r>
            <w:r>
              <w:t xml:space="preserve"> European Union Database (UDB) </w:t>
            </w:r>
            <w:r>
              <w:rPr>
                <w:b/>
                <w:i/>
              </w:rPr>
              <w:t>to aircraft operators</w:t>
            </w:r>
            <w:r>
              <w:t xml:space="preserve"> constitutes a necessary precondition for a fully functioning SAF B/C mechanism;</w:t>
            </w:r>
          </w:p>
        </w:tc>
        <w:tc>
          <w:tcPr>
            <w:tcW w:w="4876" w:type="dxa"/>
            <w:tcBorders>
              <w:top w:val="nil"/>
              <w:left w:val="nil"/>
              <w:bottom w:val="nil"/>
              <w:right w:val="nil"/>
            </w:tcBorders>
          </w:tcPr>
          <w:p>
            <w:pPr>
              <w:pStyle w:val="Normal6a"/>
            </w:pPr>
            <w:r>
              <w:t>K.</w:t>
            </w:r>
            <w:r>
              <w:tab/>
            </w:r>
            <w:r>
              <w:t xml:space="preserve">whereas </w:t>
            </w:r>
            <w:r>
              <w:rPr>
                <w:b/>
                <w:i/>
              </w:rPr>
              <w:t>a fully operational and mandatory</w:t>
            </w:r>
            <w:r>
              <w:t xml:space="preserve"> European Union Database (UDB) constitutes a necessary precondition for a fully functioning SAF B/C mechanism </w:t>
            </w:r>
            <w:r>
              <w:rPr>
                <w:b/>
                <w:i/>
              </w:rPr>
              <w:t>as it would enable SAF flows to be traced across individual economic operators throughout the Union SAF supply chain</w:t>
            </w:r>
            <w:r>
              <w:t xml:space="preserve">; </w:t>
            </w:r>
            <w:r>
              <w:rPr>
                <w:b/>
                <w:i/>
              </w:rPr>
              <w:t>whereas the EASA Sustainability Portal could serve as a digital platform extending traceability to aircraft operators and thereby become a key component of a permanent European book-and-claim mechanism; whereas the further development, operation and supervision of the Portal for that purpose would entail additional technical and administrative responsibilities for EASA, which should be matched by adequate, stable and proportionate resources;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whereas a dedicated trading platform </w:t>
            </w:r>
            <w:r>
              <w:rPr>
                <w:b/>
                <w:i/>
              </w:rPr>
              <w:t>within</w:t>
            </w:r>
            <w:r>
              <w:t xml:space="preserve"> the UDB would improve transparency and facilitate access to SAF;</w:t>
            </w:r>
          </w:p>
        </w:tc>
        <w:tc>
          <w:tcPr>
            <w:tcW w:w="4876" w:type="dxa"/>
            <w:tcBorders>
              <w:top w:val="nil"/>
              <w:left w:val="nil"/>
              <w:bottom w:val="nil"/>
              <w:right w:val="nil"/>
            </w:tcBorders>
          </w:tcPr>
          <w:p>
            <w:pPr>
              <w:pStyle w:val="Normal6a"/>
            </w:pPr>
            <w:r>
              <w:t>L.</w:t>
            </w:r>
            <w:r>
              <w:tab/>
            </w:r>
            <w:r>
              <w:t xml:space="preserve">whereas a dedicated trading platform </w:t>
            </w:r>
            <w:r>
              <w:rPr>
                <w:b/>
                <w:i/>
              </w:rPr>
              <w:t>linked with</w:t>
            </w:r>
            <w:r>
              <w:t xml:space="preserve"> the UDB would improve transparency and facilitate access to SAF;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whereas the trading of </w:t>
            </w:r>
            <w:r>
              <w:rPr>
                <w:b/>
                <w:i/>
              </w:rPr>
              <w:t>SAF tickets</w:t>
            </w:r>
            <w:r>
              <w:t xml:space="preserve"> could increase the risk of speculation in the </w:t>
            </w:r>
            <w:r>
              <w:rPr>
                <w:b/>
                <w:i/>
              </w:rPr>
              <w:t>SAF</w:t>
            </w:r>
            <w:r>
              <w:t xml:space="preserve"> market;</w:t>
            </w:r>
          </w:p>
        </w:tc>
        <w:tc>
          <w:tcPr>
            <w:tcW w:w="4876" w:type="dxa"/>
            <w:tcBorders>
              <w:top w:val="nil"/>
              <w:left w:val="nil"/>
              <w:bottom w:val="nil"/>
              <w:right w:val="nil"/>
            </w:tcBorders>
          </w:tcPr>
          <w:p>
            <w:pPr>
              <w:pStyle w:val="Normal6a"/>
            </w:pPr>
            <w:r>
              <w:t>M.</w:t>
            </w:r>
            <w:r>
              <w:tab/>
            </w:r>
            <w:r>
              <w:t xml:space="preserve">whereas the trading of </w:t>
            </w:r>
            <w:r>
              <w:rPr>
                <w:b/>
                <w:i/>
              </w:rPr>
              <w:t>e-SAF certificates</w:t>
            </w:r>
            <w:r>
              <w:rPr>
                <w:b/>
                <w:i/>
                <w:vertAlign w:val="superscript"/>
              </w:rPr>
              <w:t>1a</w:t>
            </w:r>
            <w:r>
              <w:t xml:space="preserve"> could increase the risk of speculation in the </w:t>
            </w:r>
            <w:r>
              <w:rPr>
                <w:b/>
                <w:i/>
              </w:rPr>
              <w:t>e-SAF</w:t>
            </w:r>
            <w:r>
              <w:t xml:space="preserve"> market; </w:t>
            </w:r>
            <w:r>
              <w:rPr>
                <w:b/>
                <w:i/>
              </w:rPr>
              <w:t>whereas appropriate mechanisms need to be put in place to prevent such a development;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Change to be applied throughout the text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whereas the trading of SAF tickets could increase the risk of speculation in the SAF market;</w:t>
            </w:r>
          </w:p>
        </w:tc>
        <w:tc>
          <w:tcPr>
            <w:tcW w:w="4876" w:type="dxa"/>
            <w:tcBorders>
              <w:top w:val="nil"/>
              <w:left w:val="nil"/>
              <w:bottom w:val="nil"/>
              <w:right w:val="nil"/>
            </w:tcBorders>
          </w:tcPr>
          <w:p>
            <w:pPr>
              <w:pStyle w:val="Normal6a"/>
            </w:pPr>
            <w:r>
              <w:t>M.</w:t>
            </w:r>
            <w:r>
              <w:tab/>
            </w:r>
            <w:r>
              <w:t xml:space="preserve">whereas the trading of SAF tickets could increase the risk of speculation in the SAF market </w:t>
            </w:r>
            <w:r>
              <w:rPr>
                <w:b/>
                <w:i/>
              </w:rPr>
              <w:t>unless it is governed by clearly defined rules on transferability with appropriate safeguards, including transaction records, traceability and effective market oversight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Julien Leonardelli, Philippe Olivier, Anne-Sophie Frigout,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whereas only SAF physically supplied at EU airports should be eligible for the issuance of SAF tickets in order to safeguard European energy security, industrial investment and climate benefits within the EU;</w:t>
            </w:r>
          </w:p>
        </w:tc>
        <w:tc>
          <w:tcPr>
            <w:tcW w:w="4876" w:type="dxa"/>
            <w:tcBorders>
              <w:top w:val="nil"/>
              <w:left w:val="nil"/>
              <w:bottom w:val="nil"/>
              <w:right w:val="nil"/>
            </w:tcBorders>
          </w:tcPr>
          <w:p>
            <w:pPr>
              <w:pStyle w:val="Normal6a"/>
            </w:pPr>
            <w:r>
              <w:t>N.</w:t>
            </w:r>
            <w:r>
              <w:tab/>
            </w:r>
            <w:r>
              <w:t xml:space="preserve">whereas only SAF physically supplied at EU airports should be eligible for the issuance of SAF tickets in order to safeguard European energy security, industrial investment and climate benefits within the EU; </w:t>
            </w:r>
            <w:r>
              <w:rPr>
                <w:b/>
                <w:i/>
              </w:rPr>
              <w:t>whereas the EU should actively promote and encourage the production of sustainable fuels within the EU and ensure the full traceability of raw materials, in order to strengthen European industrial capacity and reduce strategic dependence on imported fuels;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whereas only </w:t>
            </w:r>
            <w:r>
              <w:rPr>
                <w:b/>
                <w:i/>
              </w:rPr>
              <w:t>SAF</w:t>
            </w:r>
            <w:r>
              <w:t xml:space="preserve"> physically supplied at EU airports should be eligible for the issuance of </w:t>
            </w:r>
            <w:r>
              <w:rPr>
                <w:b/>
                <w:i/>
              </w:rPr>
              <w:t>SAF tickets</w:t>
            </w:r>
            <w:r>
              <w:t xml:space="preserve"> in order to safeguard European energy security, industrial investment and climate benefits within the EU;</w:t>
            </w:r>
          </w:p>
        </w:tc>
        <w:tc>
          <w:tcPr>
            <w:tcW w:w="4876" w:type="dxa"/>
            <w:tcBorders>
              <w:top w:val="nil"/>
              <w:left w:val="nil"/>
              <w:bottom w:val="nil"/>
              <w:right w:val="nil"/>
            </w:tcBorders>
          </w:tcPr>
          <w:p>
            <w:pPr>
              <w:pStyle w:val="Normal6a"/>
            </w:pPr>
            <w:r>
              <w:t>N.</w:t>
            </w:r>
            <w:r>
              <w:tab/>
            </w:r>
            <w:r>
              <w:t xml:space="preserve">whereas only </w:t>
            </w:r>
            <w:r>
              <w:rPr>
                <w:b/>
                <w:i/>
              </w:rPr>
              <w:t>e-SAF</w:t>
            </w:r>
            <w:r>
              <w:t xml:space="preserve"> physically supplied at EU airports </w:t>
            </w:r>
            <w:r>
              <w:rPr>
                <w:b/>
                <w:i/>
              </w:rPr>
              <w:t>and produced within the Union</w:t>
            </w:r>
            <w:r>
              <w:t xml:space="preserve"> should be eligible for the issuance of </w:t>
            </w:r>
            <w:r>
              <w:rPr>
                <w:b/>
                <w:i/>
              </w:rPr>
              <w:t>e-SAF certificates</w:t>
            </w:r>
            <w:r>
              <w:t xml:space="preserve"> in order to safeguard European energy security, industrial investment and climate benefits within the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Johan Danielsson, Matteo Ricci, Andreas Schieder, Ştefan Muşoiu,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whereas only SAF physically supplied at EU airports should be eligible for the issuance of SAF tickets in order to safeguard European energy security, industrial investment and climate benefits within the EU;</w:t>
            </w:r>
          </w:p>
        </w:tc>
        <w:tc>
          <w:tcPr>
            <w:tcW w:w="4876" w:type="dxa"/>
            <w:tcBorders>
              <w:top w:val="nil"/>
              <w:left w:val="nil"/>
              <w:bottom w:val="nil"/>
              <w:right w:val="nil"/>
            </w:tcBorders>
          </w:tcPr>
          <w:p>
            <w:pPr>
              <w:pStyle w:val="Normal6a"/>
            </w:pPr>
            <w:r>
              <w:t>N.</w:t>
            </w:r>
            <w:r>
              <w:tab/>
            </w:r>
            <w:r>
              <w:t xml:space="preserve">whereas only SAF physically supplied at EU airports </w:t>
            </w:r>
            <w:r>
              <w:rPr>
                <w:b/>
                <w:i/>
              </w:rPr>
              <w:t>and produced within the Union</w:t>
            </w:r>
            <w:r>
              <w:t xml:space="preserve"> should be eligible for the issuance of SAF tickets in order to safeguard European energy security, industrial investment and climate benefits within the EU</w:t>
            </w:r>
            <w:r>
              <w:rPr>
                <w:b/>
                <w:i/>
              </w:rPr>
              <w:t>, while acknowledging that current SAF production in the Union remains significantly dependent on imported feedstocks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whereas only SAF physically supplied at EU airports should be eligible for the issuance of SAF tickets in order to safeguard European energy security, industrial investment and climate benefits within the EU;</w:t>
            </w:r>
          </w:p>
        </w:tc>
        <w:tc>
          <w:tcPr>
            <w:tcW w:w="4876" w:type="dxa"/>
            <w:tcBorders>
              <w:top w:val="nil"/>
              <w:left w:val="nil"/>
              <w:bottom w:val="nil"/>
              <w:right w:val="nil"/>
            </w:tcBorders>
          </w:tcPr>
          <w:p>
            <w:pPr>
              <w:pStyle w:val="Normal6a"/>
            </w:pPr>
            <w:r>
              <w:t>N.</w:t>
            </w:r>
            <w:r>
              <w:tab/>
            </w:r>
            <w:r>
              <w:t xml:space="preserve">whereas only SAF physically supplied </w:t>
            </w:r>
            <w:r>
              <w:rPr>
                <w:b/>
                <w:i/>
              </w:rPr>
              <w:t>and uplifted</w:t>
            </w:r>
            <w:r>
              <w:t xml:space="preserve"> at EU airports should be eligible for the issuance of SAF tickets in order to safeguard European energy security, industrial investment and climate benefits within the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Valérie Devaux, Benoit Cassart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N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Whereas traceability of feedstocks should be ensured in order to reduce strategic dependence on imported fuels;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w:t>
            </w:r>
            <w:r>
              <w:tab/>
            </w:r>
            <w:r>
              <w:rPr>
                <w:b/>
                <w:i/>
              </w:rPr>
              <w:t>whereas extending the ReFuelEU Aviation flexibility mechanism indefinitely would facilitate a more efficient distribution of SAF across the Union;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Johan Danielsson, Matteo Ricci, Andreas Schieder,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whereas </w:t>
            </w:r>
            <w:r>
              <w:rPr>
                <w:b/>
                <w:i/>
              </w:rPr>
              <w:t>extending</w:t>
            </w:r>
            <w:r>
              <w:t xml:space="preserve"> the ReFuelEU Aviation flexibility mechanism </w:t>
            </w:r>
            <w:r>
              <w:rPr>
                <w:b/>
                <w:i/>
              </w:rPr>
              <w:t>indefinitely would facilitate a more efficient distribution</w:t>
            </w:r>
            <w:r>
              <w:t xml:space="preserve"> of SAF across </w:t>
            </w:r>
            <w:r>
              <w:rPr>
                <w:b/>
                <w:i/>
              </w:rPr>
              <w:t>the</w:t>
            </w:r>
            <w:r>
              <w:t xml:space="preserve"> Union;</w:t>
            </w:r>
          </w:p>
        </w:tc>
        <w:tc>
          <w:tcPr>
            <w:tcW w:w="4876" w:type="dxa"/>
            <w:tcBorders>
              <w:top w:val="nil"/>
              <w:left w:val="nil"/>
              <w:bottom w:val="nil"/>
              <w:right w:val="nil"/>
            </w:tcBorders>
          </w:tcPr>
          <w:p>
            <w:pPr>
              <w:pStyle w:val="Normal6a"/>
            </w:pPr>
            <w:r>
              <w:t>P.</w:t>
            </w:r>
            <w:r>
              <w:tab/>
            </w:r>
            <w:r>
              <w:t xml:space="preserve">whereas </w:t>
            </w:r>
            <w:r>
              <w:rPr>
                <w:b/>
                <w:i/>
              </w:rPr>
              <w:t>any extension of</w:t>
            </w:r>
            <w:r>
              <w:t xml:space="preserve"> the ReFuelEU Aviation flexibility mechanism </w:t>
            </w:r>
            <w:r>
              <w:rPr>
                <w:b/>
                <w:i/>
              </w:rPr>
              <w:t>should be assessed against the objective of ensuring the physical availability</w:t>
            </w:r>
            <w:r>
              <w:t xml:space="preserve"> of SAF across Union </w:t>
            </w:r>
            <w:r>
              <w:rPr>
                <w:b/>
                <w:i/>
              </w:rPr>
              <w:t>airports and taking into account the impact of other existing and proposed flexibility mechanisms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P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whereas a permanent book-and-claim mechanism would complement that flexibility by aggregating demand, widening access for aircraft operators, supporting long-term offtake, improving price transparency and enabling SAF volumes to be produced and physically supplied where this is most efficient, while preserving traceability and preventing double counting and fraud;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Luis-Vicențiu Lazarus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 xml:space="preserve">whereas </w:t>
            </w:r>
            <w:r>
              <w:rPr>
                <w:b/>
                <w:i/>
              </w:rPr>
              <w:t>the current stepwise increase in SAF mandates may discourage immediate investment in production capacity, while</w:t>
            </w:r>
            <w:r>
              <w:t xml:space="preserve"> a linear trajectory </w:t>
            </w:r>
            <w:r>
              <w:rPr>
                <w:b/>
                <w:i/>
              </w:rPr>
              <w:t>could provide stronger and more predictable investment signals</w:t>
            </w:r>
            <w:r>
              <w:t>;</w:t>
            </w:r>
          </w:p>
        </w:tc>
        <w:tc>
          <w:tcPr>
            <w:tcW w:w="4876" w:type="dxa"/>
            <w:tcBorders>
              <w:top w:val="nil"/>
              <w:left w:val="nil"/>
              <w:bottom w:val="nil"/>
              <w:right w:val="nil"/>
            </w:tcBorders>
          </w:tcPr>
          <w:p>
            <w:pPr>
              <w:pStyle w:val="Normal6a"/>
            </w:pPr>
            <w:r>
              <w:t>Q.</w:t>
            </w:r>
            <w:r>
              <w:tab/>
            </w:r>
            <w:r>
              <w:t xml:space="preserve">whereas a linear trajectory </w:t>
            </w:r>
            <w:r>
              <w:rPr>
                <w:b/>
                <w:i/>
              </w:rPr>
              <w:t>would front-load SAF obligations in the years between the current milestones, at a time when SAF remains scarce and significantly more expensive than conventional aviation fuel, thereby increasing costs for passengers and European carriers without guaranteeing additional production capacity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 xml:space="preserve">whereas the current stepwise increase in </w:t>
            </w:r>
            <w:r>
              <w:rPr>
                <w:b/>
                <w:i/>
              </w:rPr>
              <w:t>SAF</w:t>
            </w:r>
            <w:r>
              <w:t xml:space="preserve"> mandates </w:t>
            </w:r>
            <w:r>
              <w:rPr>
                <w:b/>
                <w:i/>
              </w:rPr>
              <w:t>may discourage immediate investment in production capacity, while a linear trajectory could provide stronger and more predictable investment signals</w:t>
            </w:r>
            <w:r>
              <w:t>;</w:t>
            </w:r>
          </w:p>
        </w:tc>
        <w:tc>
          <w:tcPr>
            <w:tcW w:w="4876" w:type="dxa"/>
            <w:tcBorders>
              <w:top w:val="nil"/>
              <w:left w:val="nil"/>
              <w:bottom w:val="nil"/>
              <w:right w:val="nil"/>
            </w:tcBorders>
          </w:tcPr>
          <w:p>
            <w:pPr>
              <w:pStyle w:val="Normal6a"/>
            </w:pPr>
            <w:r>
              <w:t>Q.</w:t>
            </w:r>
            <w:r>
              <w:tab/>
            </w:r>
            <w:r>
              <w:t xml:space="preserve">whereas the current stepwise increase in </w:t>
            </w:r>
            <w:r>
              <w:rPr>
                <w:b/>
                <w:i/>
              </w:rPr>
              <w:t>e-SAF</w:t>
            </w:r>
            <w:r>
              <w:t xml:space="preserve"> mandates </w:t>
            </w:r>
            <w:r>
              <w:rPr>
                <w:b/>
                <w:i/>
              </w:rPr>
              <w:t>builds on scalability but the necessary investments are held back with airlines counting on watering down the ambition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whereas the current stepwise increase in SAF mandates may discourage immediate investment in production capacity, while a linear trajectory could provide stronger and more predictable investment signals;</w:t>
            </w:r>
          </w:p>
        </w:tc>
        <w:tc>
          <w:tcPr>
            <w:tcW w:w="4876" w:type="dxa"/>
            <w:tcBorders>
              <w:top w:val="nil"/>
              <w:left w:val="nil"/>
              <w:bottom w:val="nil"/>
              <w:right w:val="nil"/>
            </w:tcBorders>
          </w:tcPr>
          <w:p>
            <w:pPr>
              <w:pStyle w:val="Normal6a"/>
            </w:pPr>
            <w:r>
              <w:t>Q.</w:t>
            </w:r>
            <w:r>
              <w:tab/>
            </w:r>
            <w:r>
              <w:t xml:space="preserve">whereas the current stepwise increase in SAF mandates may discourage immediate investment in production capacity, while a </w:t>
            </w:r>
            <w:r>
              <w:rPr>
                <w:b/>
                <w:i/>
              </w:rPr>
              <w:t>smoother and more</w:t>
            </w:r>
            <w:r>
              <w:t xml:space="preserve"> linear trajectory could provide stronger and more predictable investment signals</w:t>
            </w:r>
            <w:r>
              <w:rPr>
                <w:b/>
                <w:i/>
              </w:rPr>
              <w:t>, support the gradual build-up of Union production capacity, facilitate the orderly development of supply chains and help avoid abrupt increases in demand and potential supply bottlenecks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Johan Danielsson, Matteo Ricci, Andreas Schieder,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whereas the revision of the EU Emissions Trading System (ETS) </w:t>
            </w:r>
            <w:r>
              <w:rPr>
                <w:b/>
                <w:i/>
              </w:rPr>
              <w:t>provides an opportunity to address competitive distortions affecting</w:t>
            </w:r>
            <w:r>
              <w:t xml:space="preserve"> European </w:t>
            </w:r>
            <w:r>
              <w:rPr>
                <w:b/>
                <w:i/>
              </w:rPr>
              <w:t>airlines, particularly by decoupling the physical uplift of SAF from the claiming of their environmental attributes</w:t>
            </w:r>
            <w:r>
              <w:t>;</w:t>
            </w:r>
          </w:p>
        </w:tc>
        <w:tc>
          <w:tcPr>
            <w:tcW w:w="4876" w:type="dxa"/>
            <w:tcBorders>
              <w:top w:val="nil"/>
              <w:left w:val="nil"/>
              <w:bottom w:val="nil"/>
              <w:right w:val="nil"/>
            </w:tcBorders>
          </w:tcPr>
          <w:p>
            <w:pPr>
              <w:pStyle w:val="Normal6a"/>
            </w:pPr>
            <w:r>
              <w:t>R.</w:t>
            </w:r>
            <w:r>
              <w:tab/>
            </w:r>
            <w:r>
              <w:t xml:space="preserve">whereas the </w:t>
            </w:r>
            <w:r>
              <w:rPr>
                <w:b/>
                <w:i/>
              </w:rPr>
              <w:t>ongoing</w:t>
            </w:r>
            <w:r>
              <w:t xml:space="preserve"> revision of the EU Emissions Trading System (ETS) </w:t>
            </w:r>
            <w:r>
              <w:rPr>
                <w:b/>
                <w:i/>
              </w:rPr>
              <w:t>includes proposals to provide aircraft operators with additional flexibility in the accounting of eligible aviation fuels; whereas the impact of any such additional flexibility should be taken into account before and when assessing the need and added value of a</w:t>
            </w:r>
            <w:r>
              <w:t xml:space="preserve"> European </w:t>
            </w:r>
            <w:r>
              <w:rPr>
                <w:b/>
                <w:i/>
              </w:rPr>
              <w:t>B/C mechanism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whereas the revision of the EU Emissions Trading System (ETS) provides an opportunity to </w:t>
            </w:r>
            <w:r>
              <w:rPr>
                <w:b/>
                <w:i/>
              </w:rPr>
              <w:t>address competitive distortions affecting European airlines, particularly by decoupling the physical uplift of SAF from the claiming of their environmental attributes</w:t>
            </w:r>
            <w:r>
              <w:t>;</w:t>
            </w:r>
          </w:p>
        </w:tc>
        <w:tc>
          <w:tcPr>
            <w:tcW w:w="4876" w:type="dxa"/>
            <w:tcBorders>
              <w:top w:val="nil"/>
              <w:left w:val="nil"/>
              <w:bottom w:val="nil"/>
              <w:right w:val="nil"/>
            </w:tcBorders>
          </w:tcPr>
          <w:p>
            <w:pPr>
              <w:pStyle w:val="Normal6a"/>
            </w:pPr>
            <w:r>
              <w:t>R.</w:t>
            </w:r>
            <w:r>
              <w:tab/>
            </w:r>
            <w:r>
              <w:t xml:space="preserve">whereas the revision of the EU Emissions Trading System (ETS) provides an opportunity to </w:t>
            </w:r>
            <w:r>
              <w:rPr>
                <w:b/>
                <w:i/>
              </w:rPr>
              <w:t>further incentivise a quicker uptake of e-SAF</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whereas the revision of the EU Emissions Trading System (ETS) provides an opportunity to address competitive distortions affecting European airlines</w:t>
            </w:r>
            <w:r>
              <w:rPr>
                <w:b/>
                <w:i/>
              </w:rPr>
              <w:t>, particularly by decoupling the physical uplift of SAF from the claiming of their environmental attributes</w:t>
            </w:r>
            <w:r>
              <w:t>;</w:t>
            </w:r>
          </w:p>
        </w:tc>
        <w:tc>
          <w:tcPr>
            <w:tcW w:w="4876" w:type="dxa"/>
            <w:tcBorders>
              <w:top w:val="nil"/>
              <w:left w:val="nil"/>
              <w:bottom w:val="nil"/>
              <w:right w:val="nil"/>
            </w:tcBorders>
          </w:tcPr>
          <w:p>
            <w:pPr>
              <w:pStyle w:val="Normal6a"/>
            </w:pPr>
            <w:r>
              <w:t>R.</w:t>
            </w:r>
            <w:r>
              <w:tab/>
            </w:r>
            <w:r>
              <w:t xml:space="preserve">whereas the revision of the EU Emissions Trading System (ETS) provides an opportunity to </w:t>
            </w:r>
            <w:r>
              <w:rPr>
                <w:b/>
                <w:i/>
              </w:rPr>
              <w:t>reduce the regulatory and financial burden on European aviation,</w:t>
            </w:r>
            <w:r>
              <w:t xml:space="preserve"> address competitive distortions affecting European airlines </w:t>
            </w:r>
            <w:r>
              <w:rPr>
                <w:b/>
                <w:i/>
              </w:rPr>
              <w:t>and improve the affordability and connectivity of air transport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whereas the revision of the EU Emissions Trading System (ETS) provides an opportunity to address competitive distortions affecting European airlines</w:t>
            </w:r>
            <w:r>
              <w:rPr>
                <w:b/>
                <w:i/>
              </w:rPr>
              <w:t>, particularly by</w:t>
            </w:r>
            <w:r>
              <w:t xml:space="preserve"> decoupling the physical uplift of SAF from the claiming of their environmental attributes;</w:t>
            </w:r>
          </w:p>
        </w:tc>
        <w:tc>
          <w:tcPr>
            <w:tcW w:w="4876" w:type="dxa"/>
            <w:tcBorders>
              <w:top w:val="nil"/>
              <w:left w:val="nil"/>
              <w:bottom w:val="nil"/>
              <w:right w:val="nil"/>
            </w:tcBorders>
          </w:tcPr>
          <w:p>
            <w:pPr>
              <w:pStyle w:val="Normal6a"/>
            </w:pPr>
            <w:r>
              <w:t>R.</w:t>
            </w:r>
            <w:r>
              <w:tab/>
            </w:r>
            <w:r>
              <w:t xml:space="preserve">whereas the </w:t>
            </w:r>
            <w:r>
              <w:rPr>
                <w:b/>
                <w:i/>
              </w:rPr>
              <w:t>ongoing</w:t>
            </w:r>
            <w:r>
              <w:t xml:space="preserve"> revision of the EU Emissions Trading System (ETS) provides an opportunity to address competitive distortions affecting European airlines</w:t>
            </w:r>
            <w:r>
              <w:rPr>
                <w:b/>
                <w:i/>
              </w:rPr>
              <w:t>; whereas</w:t>
            </w:r>
            <w:r>
              <w:t xml:space="preserve"> decoupling the physical uplift of SAF from the claiming of their environmental attributes </w:t>
            </w:r>
            <w:r>
              <w:rPr>
                <w:b/>
                <w:i/>
              </w:rPr>
              <w:t>is a precondition to set up the European B/C mechanism</w:t>
            </w:r>
            <w:r>
              <w:t xml:space="preserve">; </w:t>
            </w:r>
            <w:r>
              <w:rPr>
                <w:b/>
                <w:i/>
              </w:rPr>
              <w:t>whereas the proposed by the Commission SAF allowances are insufficient and represent only a limited contribution towards closing the persistent price gap between eligible aviation fuels and fossil kerosene; whereas the volume reserved specifically for SAF should therefore be substantially increased and determined by reference to the expected volumes required under Regulation (EU) 2023/2405 and the remaining price differential with fossil kerosene, rather than being made dependent on an extension of the geographical scope of the EU ETS; whereas access to the SAF allowance mechanism should remain restricted to aircraft operators that are required to surrender allowances under the EU ETS, irrespective of their country of establishment, in order to ensure that support is directed towards operators contributing to the system and to preserve equal treatment and fair competition;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R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From 2030, a separate 1.2 % supply mandate will apply to eSAF. The eSAF project pipeline has not yet translated into sufficient final investment decisions and commercial-scale capacity to provide confidence that future demand can be met cost-effectively. Stable, predictable, and substantial FEETS support is needed during the market-development phase to improve project bankability and the viability of long-term offtake agreements.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Johan Danielsson, Matteo Ricci, Andreas Schieder,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whereas </w:t>
            </w:r>
            <w:r>
              <w:rPr>
                <w:b/>
                <w:i/>
              </w:rPr>
              <w:t>aircraft operators should be able to claim emission reductions under the EU ETS on the basis</w:t>
            </w:r>
            <w:r>
              <w:t xml:space="preserve"> of certified SAF tickets;</w:t>
            </w:r>
          </w:p>
        </w:tc>
        <w:tc>
          <w:tcPr>
            <w:tcW w:w="4876" w:type="dxa"/>
            <w:tcBorders>
              <w:top w:val="nil"/>
              <w:left w:val="nil"/>
              <w:bottom w:val="nil"/>
              <w:right w:val="nil"/>
            </w:tcBorders>
          </w:tcPr>
          <w:p>
            <w:pPr>
              <w:pStyle w:val="Normal6a"/>
            </w:pPr>
            <w:r>
              <w:t>S.</w:t>
            </w:r>
            <w:r>
              <w:tab/>
            </w:r>
            <w:r>
              <w:t xml:space="preserve">whereas </w:t>
            </w:r>
            <w:r>
              <w:rPr>
                <w:b/>
                <w:i/>
              </w:rPr>
              <w:t>if a European B/C mechanism were to be implemented, any recognition</w:t>
            </w:r>
            <w:r>
              <w:t xml:space="preserve"> of certified SAF tickets </w:t>
            </w:r>
            <w:r>
              <w:rPr>
                <w:b/>
                <w:i/>
              </w:rPr>
              <w:t>under the EU ETS must be subject to robust traceability and safeguards against double counting, double claiming and fraud, and should provide clear added value compared with existing and proposed flexibility mechanisms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whereas aircraft operators should be able to claim emission reductions under the EU ETS on the basis of </w:t>
            </w:r>
            <w:r>
              <w:rPr>
                <w:b/>
                <w:i/>
              </w:rPr>
              <w:t>certified SAF tickets</w:t>
            </w:r>
            <w:r>
              <w:t>;</w:t>
            </w:r>
          </w:p>
        </w:tc>
        <w:tc>
          <w:tcPr>
            <w:tcW w:w="4876" w:type="dxa"/>
            <w:tcBorders>
              <w:top w:val="nil"/>
              <w:left w:val="nil"/>
              <w:bottom w:val="nil"/>
              <w:right w:val="nil"/>
            </w:tcBorders>
          </w:tcPr>
          <w:p>
            <w:pPr>
              <w:pStyle w:val="Normal6a"/>
            </w:pPr>
            <w:r>
              <w:t>S.</w:t>
            </w:r>
            <w:r>
              <w:tab/>
            </w:r>
            <w:r>
              <w:t xml:space="preserve">whereas aircraft operators should be able to claim emission reductions under the EU ETS on the basis of </w:t>
            </w:r>
            <w:r>
              <w:rPr>
                <w:b/>
                <w:i/>
              </w:rPr>
              <w:t>e-SAF certificates only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Valérie Devaux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S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Whereas outermost regions rely heavily on aviation as their primary means of connectivity, they should not be disproportionately affected by the obligations arising from SAF mandates, and access to essential goods and services for these regions should be safeguarded;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 xml:space="preserve">whereas the Renewable Energy Directive’s mass balance system should continue to govern the traceability of SAF throughout the supply chain up to the point of physical delivery </w:t>
            </w:r>
            <w:r>
              <w:rPr>
                <w:b/>
                <w:i/>
              </w:rPr>
              <w:t>at airports</w:t>
            </w:r>
            <w:r>
              <w:t xml:space="preserve"> within the scope of ReFuelEU Aviation</w:t>
            </w:r>
            <w:r>
              <w:rPr>
                <w:b/>
                <w:i/>
              </w:rPr>
              <w:t>, which should constitute the ‘</w:t>
            </w:r>
            <w:r>
              <w:t xml:space="preserve">point </w:t>
            </w:r>
            <w:r>
              <w:rPr>
                <w:b/>
                <w:i/>
              </w:rPr>
              <w:t>of no return’ beyond</w:t>
            </w:r>
            <w:r>
              <w:t xml:space="preserve"> which </w:t>
            </w:r>
            <w:r>
              <w:rPr>
                <w:b/>
                <w:i/>
              </w:rPr>
              <w:t>B/C</w:t>
            </w:r>
            <w:r>
              <w:t xml:space="preserve"> elements may be applied;</w:t>
            </w:r>
          </w:p>
        </w:tc>
        <w:tc>
          <w:tcPr>
            <w:tcW w:w="4876" w:type="dxa"/>
            <w:tcBorders>
              <w:top w:val="nil"/>
              <w:left w:val="nil"/>
              <w:bottom w:val="nil"/>
              <w:right w:val="nil"/>
            </w:tcBorders>
          </w:tcPr>
          <w:p>
            <w:pPr>
              <w:pStyle w:val="Normal6a"/>
            </w:pPr>
            <w:r>
              <w:t>U.</w:t>
            </w:r>
            <w:r>
              <w:tab/>
            </w:r>
            <w:r>
              <w:t xml:space="preserve">whereas the Renewable Energy Directive’s mass balance system should continue to govern the traceability of SAF throughout the </w:t>
            </w:r>
            <w:r>
              <w:rPr>
                <w:b/>
                <w:i/>
              </w:rPr>
              <w:t>physical</w:t>
            </w:r>
            <w:r>
              <w:t xml:space="preserve"> supply chain up to the point of physical delivery within the scope of ReFuelEU Aviation</w:t>
            </w:r>
            <w:r>
              <w:rPr>
                <w:b/>
                <w:i/>
              </w:rPr>
              <w:t>; whereas, in view of the different production, blending, storage and distribution configurations used across the Union, the</w:t>
            </w:r>
            <w:r>
              <w:t xml:space="preserve"> point </w:t>
            </w:r>
            <w:r>
              <w:rPr>
                <w:b/>
                <w:i/>
              </w:rPr>
              <w:t>at</w:t>
            </w:r>
            <w:r>
              <w:t xml:space="preserve"> which </w:t>
            </w:r>
            <w:r>
              <w:rPr>
                <w:b/>
                <w:i/>
              </w:rPr>
              <w:t>book-and-claim</w:t>
            </w:r>
            <w:r>
              <w:t xml:space="preserve"> elements may be applied </w:t>
            </w:r>
            <w:r>
              <w:rPr>
                <w:b/>
                <w:i/>
              </w:rPr>
              <w:t>should not necessarily be linked to physical delivery or blending at an airport</w:t>
            </w:r>
            <w:r>
              <w:t xml:space="preserve">; </w:t>
            </w:r>
            <w:r>
              <w:rPr>
                <w:b/>
                <w:i/>
              </w:rPr>
              <w:t>whereas SAF certificates should be issued only once the corresponding fuel quantity has been verified, recorded and allocated to aviation within the geographical scope of the mechanism, and its environmental attributes have been excluded from any further claim through the physical supply chain;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Julien Leonardelli, Philippe Olivier, Anne-Sophie Frigout,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U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Ua.</w:t>
            </w:r>
            <w:r>
              <w:tab/>
            </w:r>
            <w:r>
              <w:rPr>
                <w:b/>
                <w:i/>
              </w:rPr>
              <w:t>whereas the energy transition in aviation must not come at the expense of agriculture and the European agro-industrial sector, and whereas all sustainable first- and second-generation biofuel sectors and national technological innovations should be fully exploited in a spirit of strict technological neutrality;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Considers that a European B/C mechanism would allow aircraft operators to purchase </w:t>
            </w:r>
            <w:r>
              <w:rPr>
                <w:b/>
                <w:i/>
              </w:rPr>
              <w:t>SAF</w:t>
            </w:r>
            <w:r>
              <w:t xml:space="preserve"> regardless of the airport to which it is physically supplied and uplifted; notes that with every purchase, fuel suppliers should issue the purchasing aircraft operator with proof of purchase in the form of a </w:t>
            </w:r>
            <w:r>
              <w:rPr>
                <w:b/>
                <w:i/>
              </w:rPr>
              <w:t>SAF ticket</w:t>
            </w:r>
            <w:r>
              <w:t xml:space="preserve">; notes, furthermore, that the aircraft operator can then use this </w:t>
            </w:r>
            <w:r>
              <w:rPr>
                <w:b/>
                <w:i/>
              </w:rPr>
              <w:t>ticket</w:t>
            </w:r>
            <w:r>
              <w:t xml:space="preserve"> to claim the associated emissions reductions;</w:t>
            </w:r>
          </w:p>
        </w:tc>
        <w:tc>
          <w:tcPr>
            <w:tcW w:w="4876" w:type="dxa"/>
            <w:tcBorders>
              <w:top w:val="nil"/>
              <w:left w:val="nil"/>
              <w:bottom w:val="nil"/>
              <w:right w:val="nil"/>
            </w:tcBorders>
          </w:tcPr>
          <w:p>
            <w:pPr>
              <w:pStyle w:val="Normal6a"/>
            </w:pPr>
            <w:r>
              <w:t>1.</w:t>
            </w:r>
            <w:r>
              <w:tab/>
            </w:r>
            <w:r>
              <w:t xml:space="preserve">Considers that a European B/C mechanism would allow aircraft operators to purchase </w:t>
            </w:r>
            <w:r>
              <w:rPr>
                <w:b/>
                <w:i/>
              </w:rPr>
              <w:t>e-SAF eligible under Regulation (EU) 2023/2405</w:t>
            </w:r>
            <w:r>
              <w:t xml:space="preserve"> regardless of the airport to which it is physically supplied and uplifted; notes that with every purchase, fuel suppliers should issue the purchasing aircraft operator with proof of purchase in the form of a </w:t>
            </w:r>
            <w:r>
              <w:rPr>
                <w:b/>
                <w:i/>
              </w:rPr>
              <w:t>e-SAF certificate</w:t>
            </w:r>
            <w:r>
              <w:t xml:space="preserve">; notes, furthermore, that the aircraft operator can then use this </w:t>
            </w:r>
            <w:r>
              <w:rPr>
                <w:b/>
                <w:i/>
              </w:rPr>
              <w:t>certificate</w:t>
            </w:r>
            <w:r>
              <w:t xml:space="preserve"> to claim the associated emissions reductions;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Considers that a European B/C mechanism would allow aircraft operators to purchase SAF regardless of the airport to which it is physically supplied and uplifted; notes that with every purchase, fuel suppliers should issue the purchasing aircraft operator with proof of purchase in the form of a SAF ticket; notes, furthermore, that the aircraft operator can then use this ticket to claim the associated </w:t>
            </w:r>
            <w:r>
              <w:rPr>
                <w:b/>
                <w:i/>
              </w:rPr>
              <w:t>emissions reductions</w:t>
            </w:r>
            <w:r>
              <w:t>;</w:t>
            </w:r>
          </w:p>
        </w:tc>
        <w:tc>
          <w:tcPr>
            <w:tcW w:w="4876" w:type="dxa"/>
            <w:tcBorders>
              <w:top w:val="nil"/>
              <w:left w:val="nil"/>
              <w:bottom w:val="nil"/>
              <w:right w:val="nil"/>
            </w:tcBorders>
          </w:tcPr>
          <w:p>
            <w:pPr>
              <w:pStyle w:val="Normal6a"/>
            </w:pPr>
            <w:r>
              <w:t>1.</w:t>
            </w:r>
            <w:r>
              <w:tab/>
            </w:r>
            <w:r>
              <w:t>Considers that a European B/C mechanism would allow aircraft operators to purchase SAF regardless of the airport to which it is physically supplied and uplifted</w:t>
            </w:r>
            <w:r>
              <w:rPr>
                <w:b/>
                <w:i/>
              </w:rPr>
              <w:t>; Stresses that each SAF ticket should constitute a uniquely identifiable digital record representing a verified quantity of eligible SAF and its associated lifecycle greenhouse-gas-emission savings and should be issued, transferred, used and permanently cancelled within a system that prevents double counting and fraud</w:t>
            </w:r>
            <w:r>
              <w:t xml:space="preserve">; notes that with every purchase, fuel suppliers should issue the purchasing aircraft operator with proof of purchase in the form of a SAF ticket; notes, furthermore, that the aircraft operator can then use this ticket to claim the associated </w:t>
            </w:r>
            <w:r>
              <w:rPr>
                <w:b/>
                <w:i/>
              </w:rPr>
              <w:t>environmental benefits under ETS directive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Johan Danielsson, Matteo Ricci, Andreas Schieder,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Considers that a European B/C mechanism would allow aircraft operators to purchase SAF regardless of the airport to which it is physically supplied and uplifted; notes that with every purchase, fuel suppliers should issue the purchasing aircraft operator with proof of purchase in the form of a SAF ticket; notes, furthermore, that the aircraft operator can then use this ticket to claim the associated emissions reductions;</w:t>
            </w:r>
          </w:p>
        </w:tc>
        <w:tc>
          <w:tcPr>
            <w:tcW w:w="4876" w:type="dxa"/>
            <w:tcBorders>
              <w:top w:val="nil"/>
              <w:left w:val="nil"/>
              <w:bottom w:val="nil"/>
              <w:right w:val="nil"/>
            </w:tcBorders>
          </w:tcPr>
          <w:p>
            <w:pPr>
              <w:pStyle w:val="Normal6a"/>
            </w:pPr>
            <w:r>
              <w:t>1.</w:t>
            </w:r>
            <w:r>
              <w:tab/>
            </w:r>
            <w:r>
              <w:t>Considers that</w:t>
            </w:r>
            <w:r>
              <w:rPr>
                <w:b/>
                <w:i/>
              </w:rPr>
              <w:t>, taking into account future market developments and existing and proposed flexibility mechanisms in Union legislation, consideration can be given to establishing</w:t>
            </w:r>
            <w:r>
              <w:t xml:space="preserve"> a European B/C mechanism would allow aircraft operators to purchase SAF </w:t>
            </w:r>
            <w:r>
              <w:rPr>
                <w:b/>
                <w:i/>
              </w:rPr>
              <w:t>produced within the Union</w:t>
            </w:r>
            <w:r>
              <w:t xml:space="preserve"> regardless of the airport to which it is physically supplied and uplifted; notes that with every purchase, fuel suppliers should issue the purchasing aircraft operator with proof of purchase in the form of a SAF ticket; notes, furthermore, that the aircraft operator can then use this ticket to claim the associated emissions reductions;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Johan Danielsson, Matteo Ricci, Andreas Schieder, Ştefan Muşoiu,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Calls for the European B/C mechanism to apply until 31 December 2034 and for the Commission to carry out a review before that date to assess whether the mechanism remains necessary and fit for purpose, taking into account the development of the SAF market, including supply, demand, price differentials and the availability of SAF across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Low-carbon synthetic aviation fuels should be recognised as a separate eligible eSAF category in FEETS, subject to the applicable Union lifecycle greenhouse-gas emissions-saving and certification requirements. This would broaden the investable project base and complement, without replacing, renewable fuels of non-biological origin (RFNBOs).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Calls on the Commission to ensure that the proposed book-and-claim mechanism covers all sustainable aviation fuels eligible under ReFuelEU Aviation, provided that environmental attributes of each fuel are verified, traceable and claimed only once;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Johan Danielsson, Matteo Ricci, Andreas Schieder, Ştefan Muşoiu,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Stresses that a European B/C mechanism should not be regarded as a substitute for measures addressing constraints relating to SAF production, availability and supply; considers that such a mechanism should only be introduced where there is a demonstrated need and clear added value, taking into account developments in the SAF market and existing and proposed flexibility and support mechanisms under Union law; Stresses that any stage of a European B/C mechanism involving the transfer or trading of SAF tickets should be conditional on the availability of a robust digital system ensuring full traceability and preventing double counting, double claiming and fraud;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Calls on the Commission to establish, as the first stage of a European SAF B/C mechanism, a mechanism based on the reporting obligations </w:t>
            </w:r>
            <w:r>
              <w:rPr>
                <w:b/>
                <w:i/>
              </w:rPr>
              <w:t>already established</w:t>
            </w:r>
            <w:r>
              <w:t xml:space="preserve"> under ReFuelEU Aviation and the Renewable Energy Directive, including the use of proofs of sustainability as the basis for the issuance of SAF tickets;</w:t>
            </w:r>
          </w:p>
        </w:tc>
        <w:tc>
          <w:tcPr>
            <w:tcW w:w="4876" w:type="dxa"/>
            <w:tcBorders>
              <w:top w:val="nil"/>
              <w:left w:val="nil"/>
              <w:bottom w:val="nil"/>
              <w:right w:val="nil"/>
            </w:tcBorders>
          </w:tcPr>
          <w:p>
            <w:pPr>
              <w:pStyle w:val="Normal6a"/>
            </w:pPr>
            <w:r>
              <w:t>2.</w:t>
            </w:r>
            <w:r>
              <w:tab/>
            </w:r>
            <w:r>
              <w:t xml:space="preserve">Calls on the Commission to establish, as the first stage of a European SAF B/C mechanism, a mechanism based on the reporting obligations under ReFuelEU Aviation and the Renewable Energy Directive, including the use of proofs of sustainability </w:t>
            </w:r>
            <w:r>
              <w:rPr>
                <w:b/>
                <w:i/>
              </w:rPr>
              <w:t>and digital traceability</w:t>
            </w:r>
            <w:r>
              <w:t xml:space="preserve"> as the basis for the issuance of SAF tickets; </w:t>
            </w:r>
            <w:r>
              <w:rPr>
                <w:b/>
                <w:i/>
              </w:rPr>
              <w:t>calls on the Commission, subject to further legal and technical analysis, to review and streamline the relevant reporting requirements in order to reduce unnecessary administrative burdens, while making any adjustments necessary to safeguard the integrity and effective functioning of the B/C mechanism; stresses that this first stage should lay the groundwork for a more comprehensive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Johan Danielsson, Matteo Ricci, Andreas Schieder,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Calls on the Commission to establish, as the first stage of a European SAF B/C mechanism, a mechanism based on the reporting obligations already established under ReFuelEU Aviation and the Renewable Energy Directive, including the use of proofs of sustainability as the basis for the issuance of SAF tickets;</w:t>
            </w:r>
          </w:p>
        </w:tc>
        <w:tc>
          <w:tcPr>
            <w:tcW w:w="4876" w:type="dxa"/>
            <w:tcBorders>
              <w:top w:val="nil"/>
              <w:left w:val="nil"/>
              <w:bottom w:val="nil"/>
              <w:right w:val="nil"/>
            </w:tcBorders>
          </w:tcPr>
          <w:p>
            <w:pPr>
              <w:pStyle w:val="Normal6a"/>
            </w:pPr>
            <w:r>
              <w:t>2.</w:t>
            </w:r>
            <w:r>
              <w:tab/>
            </w:r>
            <w:r>
              <w:t xml:space="preserve">Calls on the Commission </w:t>
            </w:r>
            <w:r>
              <w:rPr>
                <w:b/>
                <w:i/>
              </w:rPr>
              <w:t>to review the feasability</w:t>
            </w:r>
            <w:r>
              <w:t xml:space="preserve"> to establish, as the first stage of a European SAF B/C mechanism, a mechanism based on the reporting obligations already established under ReFuelEU Aviation and the Renewable Energy Directive, including the use of proofs of sustainability as the basis for the issuance of SAF tickets</w:t>
            </w:r>
            <w:r>
              <w:rPr>
                <w:b/>
                <w:i/>
              </w:rPr>
              <w:t>, while ensuring that the mass balance system under the Renewable Energy Directive continues to govern the traceability of SAF throughout the supply chain until its physical delivery at an EU airport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Volker Schnurrbusch, Milan Mazurek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Calls on the Commission to establish, as the first stage of a European SAF B/C mechanism, a mechanism based on the reporting obligations already established under ReFuelEU Aviation and the Renewable Energy Directive, including the use of proofs of sustainability as the basis for the issuance of SAF tickets;</w:t>
            </w:r>
          </w:p>
        </w:tc>
        <w:tc>
          <w:tcPr>
            <w:tcW w:w="4876" w:type="dxa"/>
            <w:tcBorders>
              <w:top w:val="nil"/>
              <w:left w:val="nil"/>
              <w:bottom w:val="nil"/>
              <w:right w:val="nil"/>
            </w:tcBorders>
          </w:tcPr>
          <w:p>
            <w:pPr>
              <w:pStyle w:val="Normal6a"/>
            </w:pPr>
            <w:r>
              <w:t>2.</w:t>
            </w:r>
            <w:r>
              <w:tab/>
            </w:r>
            <w:r>
              <w:t xml:space="preserve">Calls on the Commission to establish, as the first stage of a European SAF B/C mechanism, a mechanism based on the reporting obligations already established under ReFuelEU Aviation and the Renewable Energy Directive, including the use of proofs of sustainability as the basis for the issuance of SAF tickets; </w:t>
            </w:r>
            <w:r>
              <w:rPr>
                <w:b/>
                <w:i/>
              </w:rPr>
              <w:t>calls on the Commission to establish a user friendly and non-bureaucratic SAF B/C mechanism to avoid any further administrative burden or supplementary costs to carriers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Considers that the data reported by aircraft operators under ReFuelEU Aviation and the Renewable Energy Directive should constitute </w:t>
            </w:r>
            <w:r>
              <w:rPr>
                <w:b/>
                <w:i/>
              </w:rPr>
              <w:t>the</w:t>
            </w:r>
            <w:r>
              <w:t xml:space="preserve"> basis for SAF tickets;</w:t>
            </w:r>
          </w:p>
        </w:tc>
        <w:tc>
          <w:tcPr>
            <w:tcW w:w="4876" w:type="dxa"/>
            <w:tcBorders>
              <w:top w:val="nil"/>
              <w:left w:val="nil"/>
              <w:bottom w:val="nil"/>
              <w:right w:val="nil"/>
            </w:tcBorders>
          </w:tcPr>
          <w:p>
            <w:pPr>
              <w:pStyle w:val="Normal6a"/>
            </w:pPr>
            <w:r>
              <w:t>3.</w:t>
            </w:r>
            <w:r>
              <w:tab/>
            </w:r>
            <w:r>
              <w:t xml:space="preserve">Considers that the data reported by aircraft operators under ReFuelEU Aviation and the Renewable Energy Directive should constitute </w:t>
            </w:r>
            <w:r>
              <w:rPr>
                <w:b/>
                <w:i/>
              </w:rPr>
              <w:t>an important</w:t>
            </w:r>
            <w:r>
              <w:t xml:space="preserve"> basis for </w:t>
            </w:r>
            <w:r>
              <w:rPr>
                <w:b/>
                <w:i/>
              </w:rPr>
              <w:t>designing and issuing</w:t>
            </w:r>
            <w:r>
              <w:t xml:space="preserve"> SAF tickets;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Notes that SAF tickets should </w:t>
            </w:r>
            <w:r>
              <w:rPr>
                <w:b/>
                <w:i/>
              </w:rPr>
              <w:t>be</w:t>
            </w:r>
            <w:r>
              <w:t xml:space="preserve"> the basis for airlines to claim </w:t>
            </w:r>
            <w:r>
              <w:rPr>
                <w:b/>
                <w:i/>
              </w:rPr>
              <w:t>SAF ETS allowances</w:t>
            </w:r>
            <w:r>
              <w:t xml:space="preserve"> under </w:t>
            </w:r>
            <w:r>
              <w:rPr>
                <w:b/>
                <w:i/>
              </w:rPr>
              <w:t>the ETS directive, rather than proof of physical uplift of SAF</w:t>
            </w:r>
            <w:r>
              <w:t>;</w:t>
            </w:r>
          </w:p>
        </w:tc>
        <w:tc>
          <w:tcPr>
            <w:tcW w:w="4876" w:type="dxa"/>
            <w:tcBorders>
              <w:top w:val="nil"/>
              <w:left w:val="nil"/>
              <w:bottom w:val="nil"/>
              <w:right w:val="nil"/>
            </w:tcBorders>
          </w:tcPr>
          <w:p>
            <w:pPr>
              <w:pStyle w:val="Normal6a"/>
            </w:pPr>
            <w:r>
              <w:t>4.</w:t>
            </w:r>
            <w:r>
              <w:tab/>
            </w:r>
            <w:r>
              <w:t xml:space="preserve">Notes that SAF tickets should </w:t>
            </w:r>
            <w:r>
              <w:rPr>
                <w:b/>
                <w:i/>
              </w:rPr>
              <w:t>provide for</w:t>
            </w:r>
            <w:r>
              <w:t xml:space="preserve"> the basis for airlines to claim </w:t>
            </w:r>
            <w:r>
              <w:rPr>
                <w:b/>
                <w:i/>
              </w:rPr>
              <w:t>environmental benefits</w:t>
            </w:r>
            <w:r>
              <w:t xml:space="preserve"> under </w:t>
            </w:r>
            <w:r>
              <w:rPr>
                <w:b/>
                <w:i/>
              </w:rPr>
              <w:t>Union law, irrespective of the Union airport at which the associated SAF is physically uplifted, provided that the ticket is uniquely identifiable, fully traceable and permanently cancelled upon use and that the associated environmental attributes and emissions reductions are not claimed more than once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Notes that </w:t>
            </w:r>
            <w:r>
              <w:rPr>
                <w:b/>
                <w:i/>
              </w:rPr>
              <w:t>SAF tickets should</w:t>
            </w:r>
            <w:r>
              <w:t xml:space="preserve"> be the basis for airlines to claim </w:t>
            </w:r>
            <w:r>
              <w:rPr>
                <w:b/>
                <w:i/>
              </w:rPr>
              <w:t>SAF</w:t>
            </w:r>
            <w:r>
              <w:t xml:space="preserve"> ETS allowances under the ETS directive, </w:t>
            </w:r>
            <w:r>
              <w:rPr>
                <w:b/>
                <w:i/>
              </w:rPr>
              <w:t>rather than proof of</w:t>
            </w:r>
            <w:r>
              <w:t xml:space="preserve"> physical uplift of </w:t>
            </w:r>
            <w:r>
              <w:rPr>
                <w:b/>
                <w:i/>
              </w:rPr>
              <w:t>SAF</w:t>
            </w:r>
            <w:r>
              <w:t>;</w:t>
            </w:r>
          </w:p>
        </w:tc>
        <w:tc>
          <w:tcPr>
            <w:tcW w:w="4876" w:type="dxa"/>
            <w:tcBorders>
              <w:top w:val="nil"/>
              <w:left w:val="nil"/>
              <w:bottom w:val="nil"/>
              <w:right w:val="nil"/>
            </w:tcBorders>
          </w:tcPr>
          <w:p>
            <w:pPr>
              <w:pStyle w:val="Normal6a"/>
            </w:pPr>
            <w:r>
              <w:t>4.</w:t>
            </w:r>
            <w:r>
              <w:tab/>
            </w:r>
            <w:r>
              <w:t xml:space="preserve">Notes that </w:t>
            </w:r>
            <w:r>
              <w:rPr>
                <w:b/>
                <w:i/>
              </w:rPr>
              <w:t>e-SAF certificates can only</w:t>
            </w:r>
            <w:r>
              <w:t xml:space="preserve"> be the basis for airlines to claim </w:t>
            </w:r>
            <w:r>
              <w:rPr>
                <w:b/>
                <w:i/>
              </w:rPr>
              <w:t>e-SAF</w:t>
            </w:r>
            <w:r>
              <w:t xml:space="preserve"> ETS allowances under the ETS directive, </w:t>
            </w:r>
            <w:r>
              <w:rPr>
                <w:b/>
                <w:i/>
              </w:rPr>
              <w:t>if they are beyond doubt connected to</w:t>
            </w:r>
            <w:r>
              <w:t xml:space="preserve"> physical uplift of </w:t>
            </w:r>
            <w:r>
              <w:rPr>
                <w:b/>
                <w:i/>
              </w:rPr>
              <w:t>e-SAF</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Johan Danielsson, Matteo Ricci, Andreas Schieder,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Notes that SAF tickets </w:t>
            </w:r>
            <w:r>
              <w:rPr>
                <w:b/>
                <w:i/>
              </w:rPr>
              <w:t>should be the</w:t>
            </w:r>
            <w:r>
              <w:t xml:space="preserve"> basis for airlines to claim SAF ETS allowances under the ETS directive, rather than proof of physical uplift of SAF;</w:t>
            </w:r>
          </w:p>
        </w:tc>
        <w:tc>
          <w:tcPr>
            <w:tcW w:w="4876" w:type="dxa"/>
            <w:tcBorders>
              <w:top w:val="nil"/>
              <w:left w:val="nil"/>
              <w:bottom w:val="nil"/>
              <w:right w:val="nil"/>
            </w:tcBorders>
          </w:tcPr>
          <w:p>
            <w:pPr>
              <w:pStyle w:val="Normal6a"/>
            </w:pPr>
            <w:r>
              <w:t>4.</w:t>
            </w:r>
            <w:r>
              <w:tab/>
            </w:r>
            <w:r>
              <w:t xml:space="preserve">Notes that </w:t>
            </w:r>
            <w:r>
              <w:rPr>
                <w:b/>
                <w:i/>
              </w:rPr>
              <w:t>the use of</w:t>
            </w:r>
            <w:r>
              <w:t xml:space="preserve"> SAF tickets </w:t>
            </w:r>
            <w:r>
              <w:rPr>
                <w:b/>
                <w:i/>
              </w:rPr>
              <w:t>as a</w:t>
            </w:r>
            <w:r>
              <w:t xml:space="preserve"> basis for airlines to claim SAF ETS allowances under the ETS directive, rather than proof of physical uplift of SAF</w:t>
            </w:r>
            <w:r>
              <w:rPr>
                <w:b/>
                <w:i/>
              </w:rPr>
              <w:t>, should be assessed taking into account existing and proposed flexibility mechanisms under the EU ETS and subject to robust traceability and safeguards against double counting, double claiming and fraud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Considers that a well-functioning B/C mechanism could accelerate </w:t>
            </w:r>
            <w:r>
              <w:rPr>
                <w:b/>
                <w:i/>
              </w:rPr>
              <w:t>SAF</w:t>
            </w:r>
            <w:r>
              <w:t xml:space="preserve"> uptake and therefore urges the Commission to considerably increase the number of </w:t>
            </w:r>
            <w:r>
              <w:rPr>
                <w:b/>
                <w:i/>
              </w:rPr>
              <w:t>SAF</w:t>
            </w:r>
            <w:r>
              <w:t xml:space="preserve"> ETS allowances available and to extend </w:t>
            </w:r>
            <w:r>
              <w:rPr>
                <w:b/>
                <w:i/>
              </w:rPr>
              <w:t>their</w:t>
            </w:r>
            <w:r>
              <w:t xml:space="preserve"> availability beyond 2030;</w:t>
            </w:r>
          </w:p>
        </w:tc>
        <w:tc>
          <w:tcPr>
            <w:tcW w:w="4876" w:type="dxa"/>
            <w:tcBorders>
              <w:top w:val="nil"/>
              <w:left w:val="nil"/>
              <w:bottom w:val="nil"/>
              <w:right w:val="nil"/>
            </w:tcBorders>
          </w:tcPr>
          <w:p>
            <w:pPr>
              <w:pStyle w:val="Normal6a"/>
            </w:pPr>
            <w:r>
              <w:t>5.</w:t>
            </w:r>
            <w:r>
              <w:tab/>
            </w:r>
            <w:r>
              <w:t xml:space="preserve">Considers that a well-functioning B/C mechanism could accelerate </w:t>
            </w:r>
            <w:r>
              <w:rPr>
                <w:b/>
                <w:i/>
              </w:rPr>
              <w:t>e-SAF</w:t>
            </w:r>
            <w:r>
              <w:t xml:space="preserve"> uptake and therefore urges the Commission to considerably increase the number of </w:t>
            </w:r>
            <w:r>
              <w:rPr>
                <w:b/>
                <w:i/>
              </w:rPr>
              <w:t>e-SAF</w:t>
            </w:r>
            <w:r>
              <w:t xml:space="preserve"> ETS allowances available and to extend </w:t>
            </w:r>
            <w:r>
              <w:rPr>
                <w:b/>
                <w:i/>
              </w:rPr>
              <w:t>the</w:t>
            </w:r>
            <w:r>
              <w:t xml:space="preserve"> availability </w:t>
            </w:r>
            <w:r>
              <w:rPr>
                <w:b/>
                <w:i/>
              </w:rPr>
              <w:t>of e-SAF allowances</w:t>
            </w:r>
            <w:r>
              <w:t xml:space="preserve"> beyond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Considers that a well-functioning B/C mechanism could accelerate SAF uptake and therefore urges the Commission to considerably increase the number of SAF ETS allowances available and to extend their availability beyond 2030;</w:t>
            </w:r>
          </w:p>
        </w:tc>
        <w:tc>
          <w:tcPr>
            <w:tcW w:w="4876" w:type="dxa"/>
            <w:tcBorders>
              <w:top w:val="nil"/>
              <w:left w:val="nil"/>
              <w:bottom w:val="nil"/>
              <w:right w:val="nil"/>
            </w:tcBorders>
          </w:tcPr>
          <w:p>
            <w:pPr>
              <w:pStyle w:val="Normal6a"/>
            </w:pPr>
            <w:r>
              <w:t>5.</w:t>
            </w:r>
            <w:r>
              <w:tab/>
            </w:r>
            <w:r>
              <w:t xml:space="preserve">Considers that a well-functioning B/C mechanism </w:t>
            </w:r>
            <w:r>
              <w:rPr>
                <w:b/>
                <w:i/>
              </w:rPr>
              <w:t>coupled with flexibility mechanism established under ReFuelEU</w:t>
            </w:r>
            <w:r>
              <w:t xml:space="preserve"> could accelerate SAF uptake and therefore urges the Commission to considerably increase the number of SAF ETS allowances available and to extend their availability beyond 2030 </w:t>
            </w:r>
            <w:r>
              <w:rPr>
                <w:b/>
                <w:i/>
              </w:rPr>
              <w:t>in order to give predictability to the aircraft operators, fuel and SAF producers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Calls on the Commission to regularly assess the impact of SAF-related regulatory requirements, support measures and the EU ETS on aviation fuel prices, air fares, connectivity and the competitiveness of European aircraft operators, and to take corrective action where such measures result in disproportionate costs for passengers or undermine the affordability and connectivity of air transport within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Julien Leonardelli, Philippe Olivier, Anne-Sophie Frigout,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Calls on the Commission to introduce a binding safeguard clause allowing for the temporary suspension of SAF blending obligations and associated mechanisms in the event of an abnormal spike in fuel prices or a proven shortage on the market, in order to ensure the security of energy supplies and preserve the competitiveness of the European aviation sector;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Points out to the crucial importance of ensuring intra-EU e-SAF production, in order to also enhance strategic autonomy and reduce foreign dependence; considers that a proper assessment is needed on the impacts that a B/C system could have to that end;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Calls on the Commission to refrain from further increasing the EU ETS burden on aviation unless it can be demonstrated that such measures will not result in disproportionate additional costs for aircraft operators and passengers or undermine European connectivity;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Johan Danielsson, Matteo Ricci, Andreas Schieder,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Calls on the Commission to include aircraft operators as account holders in the UDB (established under the Renewable Energy Directive), aimed at ensuring that environmental attributes remain fully traceable from production to final allocation;</w:t>
            </w:r>
          </w:p>
        </w:tc>
        <w:tc>
          <w:tcPr>
            <w:tcW w:w="4876" w:type="dxa"/>
            <w:tcBorders>
              <w:top w:val="nil"/>
              <w:left w:val="nil"/>
              <w:bottom w:val="nil"/>
              <w:right w:val="nil"/>
            </w:tcBorders>
          </w:tcPr>
          <w:p>
            <w:pPr>
              <w:pStyle w:val="Normal6a"/>
            </w:pPr>
            <w:r>
              <w:t>6.</w:t>
            </w:r>
            <w:r>
              <w:tab/>
            </w:r>
            <w:r>
              <w:t xml:space="preserve">Calls on the Commission </w:t>
            </w:r>
            <w:r>
              <w:rPr>
                <w:b/>
                <w:i/>
              </w:rPr>
              <w:t>to review the feasability</w:t>
            </w:r>
            <w:r>
              <w:t xml:space="preserve"> to include aircraft operators as account holders in the UDB (established under the Renewable Energy Directive), aimed at ensuring that environmental attributes remain fully traceable from production to final allocation</w:t>
            </w:r>
            <w:r>
              <w:rPr>
                <w:b/>
                <w:i/>
              </w:rPr>
              <w:t>, without replacing or undermining the physical traceability requirements applicable until the point of delivery at an EU airport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Calls on the Commission to include aircraft operators as account holders in the UDB (established under the Renewable Energy Directive), aimed at ensuring that environmental attributes remain fully traceable from production to final allocation;</w:t>
            </w:r>
          </w:p>
        </w:tc>
        <w:tc>
          <w:tcPr>
            <w:tcW w:w="4876" w:type="dxa"/>
            <w:tcBorders>
              <w:top w:val="nil"/>
              <w:left w:val="nil"/>
              <w:bottom w:val="nil"/>
              <w:right w:val="nil"/>
            </w:tcBorders>
          </w:tcPr>
          <w:p>
            <w:pPr>
              <w:pStyle w:val="Normal6a"/>
            </w:pPr>
            <w:r>
              <w:t>6.</w:t>
            </w:r>
            <w:r>
              <w:tab/>
            </w:r>
            <w:r>
              <w:t>Calls on the Commission to include aircraft operators as account holders in the UDB (established under the Renewable Energy Directive), aimed at ensuring that environmental attributes remain fully traceable from production to final allocation</w:t>
            </w:r>
            <w:r>
              <w:rPr>
                <w:b/>
                <w:i/>
              </w:rPr>
              <w:t>, without replacing or undermining the physical traceability requirements applicable until the point of delivery at an EU airport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Calls on the Commission to </w:t>
            </w:r>
            <w:r>
              <w:rPr>
                <w:b/>
                <w:i/>
              </w:rPr>
              <w:t>include aircraft operators as account holders in</w:t>
            </w:r>
            <w:r>
              <w:t xml:space="preserve"> the UDB </w:t>
            </w:r>
            <w:r>
              <w:rPr>
                <w:b/>
                <w:i/>
              </w:rPr>
              <w:t>(</w:t>
            </w:r>
            <w:r>
              <w:t>established under the Renewable Energy Directive</w:t>
            </w:r>
            <w:r>
              <w:rPr>
                <w:b/>
                <w:i/>
              </w:rPr>
              <w:t>), aimed at ensuring that</w:t>
            </w:r>
            <w:r>
              <w:t xml:space="preserve"> environmental attributes remain fully traceable from production to final allocation;</w:t>
            </w:r>
          </w:p>
        </w:tc>
        <w:tc>
          <w:tcPr>
            <w:tcW w:w="4876" w:type="dxa"/>
            <w:tcBorders>
              <w:top w:val="nil"/>
              <w:left w:val="nil"/>
              <w:bottom w:val="nil"/>
              <w:right w:val="nil"/>
            </w:tcBorders>
          </w:tcPr>
          <w:p>
            <w:pPr>
              <w:pStyle w:val="Normal6a"/>
            </w:pPr>
            <w:r>
              <w:t>6.</w:t>
            </w:r>
            <w:r>
              <w:tab/>
            </w:r>
            <w:r>
              <w:t xml:space="preserve">Calls on the Commission to </w:t>
            </w:r>
            <w:r>
              <w:rPr>
                <w:b/>
                <w:i/>
              </w:rPr>
              <w:t>continue assessing the future IT architecture of the B/C mechanism, including the complimentary use of</w:t>
            </w:r>
            <w:r>
              <w:t xml:space="preserve"> the UDB established under the Renewable Energy Directive </w:t>
            </w:r>
            <w:r>
              <w:rPr>
                <w:b/>
                <w:i/>
              </w:rPr>
              <w:t>and EASA Sustainability Portal to ensure that the</w:t>
            </w:r>
            <w:r>
              <w:t xml:space="preserve"> environmental attributes </w:t>
            </w:r>
            <w:r>
              <w:rPr>
                <w:b/>
                <w:i/>
              </w:rPr>
              <w:t>associated with SAF</w:t>
            </w:r>
            <w:r>
              <w:t xml:space="preserve"> remain fully traceable from production to </w:t>
            </w:r>
            <w:r>
              <w:rPr>
                <w:b/>
                <w:i/>
              </w:rPr>
              <w:t>their</w:t>
            </w:r>
            <w:r>
              <w:t xml:space="preserve"> final allocation;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Calls on the Commission to establish a dedicated platform within the UDB enabling aircraft operators to trade </w:t>
            </w:r>
            <w:r>
              <w:rPr>
                <w:b/>
                <w:i/>
              </w:rPr>
              <w:t>SAF tickets</w:t>
            </w:r>
            <w:r>
              <w:t xml:space="preserve"> linked to </w:t>
            </w:r>
            <w:r>
              <w:rPr>
                <w:b/>
                <w:i/>
              </w:rPr>
              <w:t>SAF</w:t>
            </w:r>
            <w:r>
              <w:t xml:space="preserve"> supplied at EU airports, while pursuing the extension of the mechanism to EEA-EFTA countries;</w:t>
            </w:r>
          </w:p>
        </w:tc>
        <w:tc>
          <w:tcPr>
            <w:tcW w:w="4876" w:type="dxa"/>
            <w:tcBorders>
              <w:top w:val="nil"/>
              <w:left w:val="nil"/>
              <w:bottom w:val="nil"/>
              <w:right w:val="nil"/>
            </w:tcBorders>
          </w:tcPr>
          <w:p>
            <w:pPr>
              <w:pStyle w:val="Normal6a"/>
            </w:pPr>
            <w:r>
              <w:t>7.</w:t>
            </w:r>
            <w:r>
              <w:tab/>
            </w:r>
            <w:r>
              <w:t xml:space="preserve">Calls on the Commission to establish a dedicated platform within the UDB enabling aircraft operators to trade </w:t>
            </w:r>
            <w:r>
              <w:rPr>
                <w:b/>
                <w:i/>
              </w:rPr>
              <w:t>e-SAF certificates</w:t>
            </w:r>
            <w:r>
              <w:t xml:space="preserve"> linked to </w:t>
            </w:r>
            <w:r>
              <w:rPr>
                <w:b/>
                <w:i/>
              </w:rPr>
              <w:t>e-SAF produced within the Union and physically</w:t>
            </w:r>
            <w:r>
              <w:t xml:space="preserve"> supplied at EU airports, while pursuing the extension of the mechanism to EEA-EFTA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Calls on the Commission to establish a dedicated platform </w:t>
            </w:r>
            <w:r>
              <w:rPr>
                <w:b/>
                <w:i/>
              </w:rPr>
              <w:t>within</w:t>
            </w:r>
            <w:r>
              <w:t xml:space="preserve"> the UDB enabling aircraft operators to trade SAF tickets linked to SAF supplied at EU airports, while pursuing the extension of the mechanism to EEA-EFTA countries;</w:t>
            </w:r>
          </w:p>
        </w:tc>
        <w:tc>
          <w:tcPr>
            <w:tcW w:w="4876" w:type="dxa"/>
            <w:tcBorders>
              <w:top w:val="nil"/>
              <w:left w:val="nil"/>
              <w:bottom w:val="nil"/>
              <w:right w:val="nil"/>
            </w:tcBorders>
          </w:tcPr>
          <w:p>
            <w:pPr>
              <w:pStyle w:val="Normal6a"/>
            </w:pPr>
            <w:r>
              <w:t>7.</w:t>
            </w:r>
            <w:r>
              <w:tab/>
            </w:r>
            <w:r>
              <w:t xml:space="preserve">Calls on the Commission to establish a dedicated platform </w:t>
            </w:r>
            <w:r>
              <w:rPr>
                <w:b/>
                <w:i/>
              </w:rPr>
              <w:t>interoperable with</w:t>
            </w:r>
            <w:r>
              <w:t xml:space="preserve"> the UDB enabling aircraft operators to trade SAF tickets linked to SAF supplied at EU airports, while pursuing the extension of the mechanism to EEA-EFTA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Calls on the Commission to establish a dedicated platform within the UDB enabling aircraft operators to trade SAF tickets linked to SAF supplied at EU airports, while pursuing the extension of the mechanism to EEA-EFTA countries;</w:t>
            </w:r>
          </w:p>
        </w:tc>
        <w:tc>
          <w:tcPr>
            <w:tcW w:w="4876" w:type="dxa"/>
            <w:tcBorders>
              <w:top w:val="nil"/>
              <w:left w:val="nil"/>
              <w:bottom w:val="nil"/>
              <w:right w:val="nil"/>
            </w:tcBorders>
          </w:tcPr>
          <w:p>
            <w:pPr>
              <w:pStyle w:val="Normal6a"/>
            </w:pPr>
            <w:r>
              <w:t>7.</w:t>
            </w:r>
            <w:r>
              <w:tab/>
            </w:r>
            <w:r>
              <w:t xml:space="preserve">Calls on the Commission to establish a dedicated platform within the UDB enabling aircraft operators to trade SAF tickets linked to SAF supplied at EU airports, while pursuing the extension of the mechanism to EEA-EFTA countries; </w:t>
            </w:r>
            <w:r>
              <w:rPr>
                <w:b/>
                <w:i/>
              </w:rPr>
              <w:t>stresses that access to the platform should be straightforward and affordable for aircraft operators of different sizes and should not require the repeated submission of data already reported under Union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Johan Danielsson, Matteo Ricci, Andreas Schieder,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Calls on the Commission to establish a dedicated platform within the UDB enabling aircraft operators to trade SAF tickets linked to SAF supplied at EU airports, while pursuing the extension of the mechanism to EEA-EFTA countries;</w:t>
            </w:r>
          </w:p>
        </w:tc>
        <w:tc>
          <w:tcPr>
            <w:tcW w:w="4876" w:type="dxa"/>
            <w:tcBorders>
              <w:top w:val="nil"/>
              <w:left w:val="nil"/>
              <w:bottom w:val="nil"/>
              <w:right w:val="nil"/>
            </w:tcBorders>
          </w:tcPr>
          <w:p>
            <w:pPr>
              <w:pStyle w:val="Normal6a"/>
            </w:pPr>
            <w:r>
              <w:t>7.</w:t>
            </w:r>
            <w:r>
              <w:tab/>
            </w:r>
            <w:r>
              <w:t xml:space="preserve">Calls on the Commission </w:t>
            </w:r>
            <w:r>
              <w:rPr>
                <w:b/>
                <w:i/>
              </w:rPr>
              <w:t>to, when the need and added value of tradability have been demonstrated and once the Union Database is fully operational, review the feasability</w:t>
            </w:r>
            <w:r>
              <w:t xml:space="preserve"> to establish a dedicated platform within the UDB enabling aircraft operators to trade SAF tickets linked to SAF supplied at EU airports, while pursuing the extension of the mechanism to EEA-EFTA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Calls on the Commission to assess the extension of a harmonised book-and-claim framework for verified environmental attributes to sustainable fuels used in other transport modes, including but not limited to maritime transport as well as other relevant sectors, with a view to developing an integrated and interoperable digital market for sustainable fuels; stresses that such a framework should allow purchasers to support decarbonisation where physical access to sustainable fuels is limited, while respecting each mode’s legal and accounting requirements and ensuring traceability, transparent claims and safeguards against double counting and fraud;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Stresses that only aircraft operators should be entitled to participate in the secondary market for </w:t>
            </w:r>
            <w:r>
              <w:rPr>
                <w:b/>
                <w:i/>
              </w:rPr>
              <w:t>SAF tickets</w:t>
            </w:r>
            <w:r>
              <w:t>;</w:t>
            </w:r>
          </w:p>
        </w:tc>
        <w:tc>
          <w:tcPr>
            <w:tcW w:w="4876" w:type="dxa"/>
            <w:tcBorders>
              <w:top w:val="nil"/>
              <w:left w:val="nil"/>
              <w:bottom w:val="nil"/>
              <w:right w:val="nil"/>
            </w:tcBorders>
          </w:tcPr>
          <w:p>
            <w:pPr>
              <w:pStyle w:val="Normal6a"/>
            </w:pPr>
            <w:r>
              <w:t>8.</w:t>
            </w:r>
            <w:r>
              <w:tab/>
            </w:r>
            <w:r>
              <w:t xml:space="preserve">Stresses that only aircraft operators should be entitled to participate in the secondary market for </w:t>
            </w:r>
            <w:r>
              <w:rPr>
                <w:b/>
                <w:i/>
              </w:rPr>
              <w:t>e-SAF certificates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Stresses that only aircraft operators should be entitled to participate in the secondary market for SAF tickets;</w:t>
            </w:r>
          </w:p>
        </w:tc>
        <w:tc>
          <w:tcPr>
            <w:tcW w:w="4876" w:type="dxa"/>
            <w:tcBorders>
              <w:top w:val="nil"/>
              <w:left w:val="nil"/>
              <w:bottom w:val="nil"/>
              <w:right w:val="nil"/>
            </w:tcBorders>
          </w:tcPr>
          <w:p>
            <w:pPr>
              <w:pStyle w:val="Normal6a"/>
            </w:pPr>
            <w:r>
              <w:t>8.</w:t>
            </w:r>
            <w:r>
              <w:tab/>
            </w:r>
            <w:r>
              <w:rPr>
                <w:b/>
                <w:i/>
              </w:rPr>
              <w:t>Considers that the categories of entities entitled to hold and transfer SAF tickets should be determined when designing the mechanism, following appropriate legal, technical and market analysis and taking account of their role in the SAF value chain, the need for effective market functioning and the importance of preventing unnecessary intermediation, speculation and conflicts of interest;</w:t>
            </w:r>
            <w:r>
              <w:t xml:space="preserve"> stresses that only aircraft operators should be entitled to participate in the secondary market for SAF tickets</w:t>
            </w:r>
            <w:r>
              <w:rPr>
                <w:b/>
                <w:i/>
              </w:rPr>
              <w:t>, subject to further analysis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Reiterates that the mechanism is only to apply to </w:t>
            </w:r>
            <w:r>
              <w:rPr>
                <w:b/>
                <w:i/>
              </w:rPr>
              <w:t>SAF</w:t>
            </w:r>
            <w:r>
              <w:t xml:space="preserve"> physically uplifted at EU airports;</w:t>
            </w:r>
          </w:p>
        </w:tc>
        <w:tc>
          <w:tcPr>
            <w:tcW w:w="4876" w:type="dxa"/>
            <w:tcBorders>
              <w:top w:val="nil"/>
              <w:left w:val="nil"/>
              <w:bottom w:val="nil"/>
              <w:right w:val="nil"/>
            </w:tcBorders>
          </w:tcPr>
          <w:p>
            <w:pPr>
              <w:pStyle w:val="Normal6a"/>
            </w:pPr>
            <w:r>
              <w:t>9.</w:t>
            </w:r>
            <w:r>
              <w:tab/>
            </w:r>
            <w:r>
              <w:t xml:space="preserve">Reiterates that the mechanism is only to apply to </w:t>
            </w:r>
            <w:r>
              <w:rPr>
                <w:b/>
                <w:i/>
              </w:rPr>
              <w:t>e-SAF produced within the Union and</w:t>
            </w:r>
            <w:r>
              <w:t xml:space="preserve"> physically uplifted at EU airports;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Reiterates that the mechanism is only to apply to SAF physically uplifted at EU airports;</w:t>
            </w:r>
          </w:p>
        </w:tc>
        <w:tc>
          <w:tcPr>
            <w:tcW w:w="4876" w:type="dxa"/>
            <w:tcBorders>
              <w:top w:val="nil"/>
              <w:left w:val="nil"/>
              <w:bottom w:val="nil"/>
              <w:right w:val="nil"/>
            </w:tcBorders>
          </w:tcPr>
          <w:p>
            <w:pPr>
              <w:pStyle w:val="Normal6a"/>
            </w:pPr>
            <w:r>
              <w:t>9.</w:t>
            </w:r>
            <w:r>
              <w:tab/>
            </w:r>
            <w:r>
              <w:t xml:space="preserve">Reiterates that the mechanism is only to apply to SAF physically </w:t>
            </w:r>
            <w:r>
              <w:rPr>
                <w:b/>
                <w:i/>
              </w:rPr>
              <w:t>supplied to and</w:t>
            </w:r>
            <w:r>
              <w:t xml:space="preserve"> uplifted at EU airports</w:t>
            </w:r>
            <w:r>
              <w:rPr>
                <w:b/>
                <w:i/>
              </w:rPr>
              <w:t>, while the purchaser need not uplift that SAF at the same airport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Johan Danielsson, Matteo Ricci, Andreas Schieder,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Reiterates that the mechanism is only to apply to SAF physically uplifted at EU airports;</w:t>
            </w:r>
          </w:p>
        </w:tc>
        <w:tc>
          <w:tcPr>
            <w:tcW w:w="4876" w:type="dxa"/>
            <w:tcBorders>
              <w:top w:val="nil"/>
              <w:left w:val="nil"/>
              <w:bottom w:val="nil"/>
              <w:right w:val="nil"/>
            </w:tcBorders>
          </w:tcPr>
          <w:p>
            <w:pPr>
              <w:pStyle w:val="Normal6a"/>
            </w:pPr>
            <w:r>
              <w:t>9.</w:t>
            </w:r>
            <w:r>
              <w:tab/>
            </w:r>
            <w:r>
              <w:t xml:space="preserve">Reiterates that the mechanism is only to apply to SAF physically uplifted at EU airports </w:t>
            </w:r>
            <w:r>
              <w:rPr>
                <w:b/>
                <w:i/>
              </w:rPr>
              <w:t>and produced within the Union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Considers that</w:t>
            </w:r>
            <w:r>
              <w:t xml:space="preserve"> SAF tickets </w:t>
            </w:r>
            <w:r>
              <w:rPr>
                <w:b/>
                <w:i/>
              </w:rPr>
              <w:t>should be transferred no more than twice and only within a</w:t>
            </w:r>
            <w:r>
              <w:t xml:space="preserve"> period of </w:t>
            </w:r>
            <w:r>
              <w:rPr>
                <w:b/>
                <w:i/>
              </w:rPr>
              <w:t>12 months from the date of issuance</w:t>
            </w:r>
            <w:r>
              <w:t>;</w:t>
            </w:r>
          </w:p>
        </w:tc>
        <w:tc>
          <w:tcPr>
            <w:tcW w:w="4876" w:type="dxa"/>
            <w:tcBorders>
              <w:top w:val="nil"/>
              <w:left w:val="nil"/>
              <w:bottom w:val="nil"/>
              <w:right w:val="nil"/>
            </w:tcBorders>
          </w:tcPr>
          <w:p>
            <w:pPr>
              <w:pStyle w:val="Normal6a"/>
            </w:pPr>
            <w:r>
              <w:t>10.</w:t>
            </w:r>
            <w:r>
              <w:tab/>
            </w:r>
            <w:r>
              <w:rPr>
                <w:b/>
                <w:i/>
              </w:rPr>
              <w:t>Calls on the Commission to establish, as part of the design of the B/C mechanism and on the basis of appropriate legal, technical and market analysis, proportionate rules governing the transferability of</w:t>
            </w:r>
            <w:r>
              <w:t xml:space="preserve"> SAF tickets</w:t>
            </w:r>
            <w:r>
              <w:rPr>
                <w:b/>
                <w:i/>
              </w:rPr>
              <w:t>, including their</w:t>
            </w:r>
            <w:r>
              <w:t xml:space="preserve"> period of </w:t>
            </w:r>
            <w:r>
              <w:rPr>
                <w:b/>
                <w:i/>
              </w:rPr>
              <w:t>validity, the number and nature of permitted transfers, eligible market participants, their use for regulatory and voluntary claims and the conditions for final cancellation</w:t>
            </w:r>
            <w:r>
              <w:t xml:space="preserve">; </w:t>
            </w:r>
            <w:r>
              <w:rPr>
                <w:b/>
                <w:i/>
              </w:rPr>
              <w:t>stresses that those rules should ensure comprehensive transaction records, end-to-end traceability and effective oversight;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Considers that </w:t>
            </w:r>
            <w:r>
              <w:rPr>
                <w:b/>
                <w:i/>
              </w:rPr>
              <w:t>SAF tickets</w:t>
            </w:r>
            <w:r>
              <w:t xml:space="preserve"> should be transferred no more than twice and only within a period of 12 months from the date of issuance;</w:t>
            </w:r>
          </w:p>
        </w:tc>
        <w:tc>
          <w:tcPr>
            <w:tcW w:w="4876" w:type="dxa"/>
            <w:tcBorders>
              <w:top w:val="nil"/>
              <w:left w:val="nil"/>
              <w:bottom w:val="nil"/>
              <w:right w:val="nil"/>
            </w:tcBorders>
          </w:tcPr>
          <w:p>
            <w:pPr>
              <w:pStyle w:val="Normal6a"/>
            </w:pPr>
            <w:r>
              <w:t>10.</w:t>
            </w:r>
            <w:r>
              <w:tab/>
            </w:r>
            <w:r>
              <w:t xml:space="preserve">Considers that </w:t>
            </w:r>
            <w:r>
              <w:rPr>
                <w:b/>
                <w:i/>
              </w:rPr>
              <w:t>e-SAF certificates</w:t>
            </w:r>
            <w:r>
              <w:t xml:space="preserve"> should be transferred no more than twice and only within a period of 12 months from the date of issuance;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Johan Danielsson, Matteo Ricci, Andreas Schieder,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Considers that SAF tickets should be transferred no more than </w:t>
            </w:r>
            <w:r>
              <w:rPr>
                <w:b/>
                <w:i/>
              </w:rPr>
              <w:t>twice</w:t>
            </w:r>
            <w:r>
              <w:t xml:space="preserve"> and only within a period of 12 months from the date of issuance;</w:t>
            </w:r>
          </w:p>
        </w:tc>
        <w:tc>
          <w:tcPr>
            <w:tcW w:w="4876" w:type="dxa"/>
            <w:tcBorders>
              <w:top w:val="nil"/>
              <w:left w:val="nil"/>
              <w:bottom w:val="nil"/>
              <w:right w:val="nil"/>
            </w:tcBorders>
          </w:tcPr>
          <w:p>
            <w:pPr>
              <w:pStyle w:val="Normal6a"/>
            </w:pPr>
            <w:r>
              <w:t>10.</w:t>
            </w:r>
            <w:r>
              <w:tab/>
            </w:r>
            <w:r>
              <w:t xml:space="preserve">Considers that SAF tickets should be transferred no more than </w:t>
            </w:r>
            <w:r>
              <w:rPr>
                <w:b/>
                <w:i/>
              </w:rPr>
              <w:t>once</w:t>
            </w:r>
            <w:r>
              <w:t xml:space="preserve"> and only within a period of 12 months from the date of issuance;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Considers that SAF tickets should be transferred no more than twice and only within a period of 12 months from the date of issuance;</w:t>
            </w:r>
          </w:p>
        </w:tc>
        <w:tc>
          <w:tcPr>
            <w:tcW w:w="4876" w:type="dxa"/>
            <w:tcBorders>
              <w:top w:val="nil"/>
              <w:left w:val="nil"/>
              <w:bottom w:val="nil"/>
              <w:right w:val="nil"/>
            </w:tcBorders>
          </w:tcPr>
          <w:p>
            <w:pPr>
              <w:pStyle w:val="Normal6a"/>
            </w:pPr>
            <w:r>
              <w:t>10.</w:t>
            </w:r>
            <w:r>
              <w:tab/>
            </w:r>
            <w:r>
              <w:t xml:space="preserve">Considers that SAF tickets should be transferred no more than twice and only within a period of 12 months from the date of issuance; </w:t>
            </w:r>
            <w:r>
              <w:rPr>
                <w:b/>
                <w:i/>
              </w:rPr>
              <w:t>stresses that every transfer should be recorded in the Union Database and that a ticket should be cancelled upon its final use, so as to prevent further trading or multiple claims of the same environmental attributes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Considers that any eventual European B/C mechanism should apply only until 31 December 2034; asks the Commission to carry out a review before that date to assess whether such a mechanism remains necessary and fit for purpose, with due consideration of the development of the e-SAF market, including supply, demand, price differentials, the overall availability of e-SAF across the Union and the geographical spread of its production;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Calls for the flexibility mechanism established under ReFuelEU Aviation to be </w:t>
            </w:r>
            <w:r>
              <w:rPr>
                <w:b/>
                <w:i/>
              </w:rPr>
              <w:t>extended indefinitely</w:t>
            </w:r>
            <w:r>
              <w:t>;</w:t>
            </w:r>
          </w:p>
        </w:tc>
        <w:tc>
          <w:tcPr>
            <w:tcW w:w="4876" w:type="dxa"/>
            <w:tcBorders>
              <w:top w:val="nil"/>
              <w:left w:val="nil"/>
              <w:bottom w:val="nil"/>
              <w:right w:val="nil"/>
            </w:tcBorders>
          </w:tcPr>
          <w:p>
            <w:pPr>
              <w:pStyle w:val="Normal6a"/>
            </w:pPr>
            <w:r>
              <w:t>11.</w:t>
            </w:r>
            <w:r>
              <w:tab/>
            </w:r>
            <w:r>
              <w:t xml:space="preserve">Calls for the flexibility mechanism established under ReFuelEU Aviation to be </w:t>
            </w:r>
            <w:r>
              <w:rPr>
                <w:b/>
                <w:i/>
              </w:rPr>
              <w:t>maintained until the end of its current transitional period on 31 December 2034, and for the Commission to assess before that date whether any further extension or re-direction exclusively towards e-SAF is necessary, taking into account the availability of e-SAF across Union airports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Johan Danielsson, Matteo Ricci, Andreas Schieder,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Calls for the flexibility mechanism established under ReFuelEU Aviation to be </w:t>
            </w:r>
            <w:r>
              <w:rPr>
                <w:b/>
                <w:i/>
              </w:rPr>
              <w:t>extended indefinitely</w:t>
            </w:r>
            <w:r>
              <w:t>;</w:t>
            </w:r>
          </w:p>
        </w:tc>
        <w:tc>
          <w:tcPr>
            <w:tcW w:w="4876" w:type="dxa"/>
            <w:tcBorders>
              <w:top w:val="nil"/>
              <w:left w:val="nil"/>
              <w:bottom w:val="nil"/>
              <w:right w:val="nil"/>
            </w:tcBorders>
          </w:tcPr>
          <w:p>
            <w:pPr>
              <w:pStyle w:val="Normal6a"/>
            </w:pPr>
            <w:r>
              <w:t>11.</w:t>
            </w:r>
            <w:r>
              <w:tab/>
            </w:r>
            <w:r>
              <w:t xml:space="preserve">Calls for the flexibility mechanism established under ReFuelEU Aviation to be </w:t>
            </w:r>
            <w:r>
              <w:rPr>
                <w:b/>
                <w:i/>
              </w:rPr>
              <w:t>maintained until the end of its current transitional period on 31 December 2034, and for the Commission to assess before that date whether any further extension is necessary, taking into account the availability of SAF across Union airports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Calls for the flexibility mechanism established under ReFuelEU Aviation to be extended indefinitely;</w:t>
            </w:r>
          </w:p>
        </w:tc>
        <w:tc>
          <w:tcPr>
            <w:tcW w:w="4876" w:type="dxa"/>
            <w:tcBorders>
              <w:top w:val="nil"/>
              <w:left w:val="nil"/>
              <w:bottom w:val="nil"/>
              <w:right w:val="nil"/>
            </w:tcBorders>
          </w:tcPr>
          <w:p>
            <w:pPr>
              <w:pStyle w:val="Normal6a"/>
            </w:pPr>
            <w:r>
              <w:t>11.</w:t>
            </w:r>
            <w:r>
              <w:tab/>
            </w:r>
            <w:r>
              <w:t xml:space="preserve">Calls for the flexibility mechanism established under ReFuelEU Aviation to be extended indefinitely </w:t>
            </w:r>
            <w:r>
              <w:rPr>
                <w:b/>
                <w:i/>
              </w:rPr>
              <w:t>so that each aviation fuel supplier may continue to meet the minimum SAF shares as a weighted average across the Union airports it supplies, subject to effective monitoring and enforcement</w:t>
            </w:r>
            <w:r>
              <w:t xml:space="preserve">; </w:t>
            </w:r>
            <w:r>
              <w:rPr>
                <w:b/>
                <w:i/>
              </w:rPr>
              <w:t>considers that permanent flexibility would optimise production, blending and transport logistics without reducing the aggregate SAF volumes that the supplier is required to place on the market;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Calls for the flexibility mechanism established under ReFuelEU Aviation to be extended indefinitely;</w:t>
            </w:r>
          </w:p>
        </w:tc>
        <w:tc>
          <w:tcPr>
            <w:tcW w:w="4876" w:type="dxa"/>
            <w:tcBorders>
              <w:top w:val="nil"/>
              <w:left w:val="nil"/>
              <w:bottom w:val="nil"/>
              <w:right w:val="nil"/>
            </w:tcBorders>
          </w:tcPr>
          <w:p>
            <w:pPr>
              <w:pStyle w:val="Normal6a"/>
            </w:pPr>
            <w:r>
              <w:t>11.</w:t>
            </w:r>
            <w:r>
              <w:tab/>
            </w:r>
            <w:r>
              <w:t>Calls for the flexibility mechanism established under ReFuelEU Aviation to be extended indefinitely</w:t>
            </w:r>
            <w:r>
              <w:rPr>
                <w:b/>
                <w:i/>
              </w:rPr>
              <w:t> in order to prevent shortages of SAF from creating unnecessary additional costs for aircraft operators and passengers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Calls on the Commission to establish a permanent European SAF book-and-claim mechanism alongside the flexibility mechanism under Regulation (EU) 2023/2405;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Luis-Vicențiu Lazarus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Calls on the Commission to replace the current stepwise SAF mandate trajectory with</w:t>
            </w:r>
            <w:r>
              <w:t xml:space="preserve"> a linear trajectory </w:t>
            </w:r>
            <w:r>
              <w:rPr>
                <w:b/>
                <w:i/>
              </w:rPr>
              <w:t>in order to provide stronger and more predictable investment signals</w:t>
            </w:r>
            <w:r>
              <w:t>;</w:t>
            </w:r>
          </w:p>
        </w:tc>
        <w:tc>
          <w:tcPr>
            <w:tcW w:w="4876" w:type="dxa"/>
            <w:tcBorders>
              <w:top w:val="nil"/>
              <w:left w:val="nil"/>
              <w:bottom w:val="nil"/>
              <w:right w:val="nil"/>
            </w:tcBorders>
          </w:tcPr>
          <w:p>
            <w:pPr>
              <w:pStyle w:val="Normal6a"/>
            </w:pPr>
            <w:r>
              <w:t>12.</w:t>
            </w:r>
            <w:r>
              <w:tab/>
            </w:r>
            <w:r>
              <w:rPr>
                <w:b/>
                <w:i/>
              </w:rPr>
              <w:t>Opposes any front-loading of SAF obligations, including through the introduction of</w:t>
            </w:r>
            <w:r>
              <w:t xml:space="preserve"> a linear trajectory</w:t>
            </w:r>
            <w:r>
              <w:rPr>
                <w:b/>
                <w:i/>
              </w:rPr>
              <w:t>, as this would increase costs for passengers and undermine the competitiveness of European carriers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Calls on the Commission </w:t>
            </w:r>
            <w:r>
              <w:rPr>
                <w:b/>
                <w:i/>
              </w:rPr>
              <w:t>to replace the current stepwise SAF mandate trajectory with a linear trajectory in order</w:t>
            </w:r>
            <w:r>
              <w:t xml:space="preserve"> to provide stronger and more predictable investment signals;</w:t>
            </w:r>
          </w:p>
        </w:tc>
        <w:tc>
          <w:tcPr>
            <w:tcW w:w="4876" w:type="dxa"/>
            <w:tcBorders>
              <w:top w:val="nil"/>
              <w:left w:val="nil"/>
              <w:bottom w:val="nil"/>
              <w:right w:val="nil"/>
            </w:tcBorders>
          </w:tcPr>
          <w:p>
            <w:pPr>
              <w:pStyle w:val="Normal6a"/>
            </w:pPr>
            <w:r>
              <w:t>12.</w:t>
            </w:r>
            <w:r>
              <w:tab/>
            </w:r>
            <w:r>
              <w:t>Calls on the Commission to provide stronger and more predictable investment signals</w:t>
            </w:r>
            <w:r>
              <w:rPr>
                <w:b/>
                <w:i/>
              </w:rPr>
              <w:t>, where appropriate through a more linear trajectory -while allowing for short-term banking and borrowing mechanisms-, without lowering the overall level of ambition, including in the intermediate milestones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Calls on the Commission to replace the </w:t>
            </w:r>
            <w:r>
              <w:rPr>
                <w:b/>
                <w:i/>
              </w:rPr>
              <w:t>current stepwise SAF mandate trajectory</w:t>
            </w:r>
            <w:r>
              <w:t xml:space="preserve"> with a linear trajectory in order to provide stronger and more predictable investment signals;</w:t>
            </w:r>
          </w:p>
        </w:tc>
        <w:tc>
          <w:tcPr>
            <w:tcW w:w="4876" w:type="dxa"/>
            <w:tcBorders>
              <w:top w:val="nil"/>
              <w:left w:val="nil"/>
              <w:bottom w:val="nil"/>
              <w:right w:val="nil"/>
            </w:tcBorders>
          </w:tcPr>
          <w:p>
            <w:pPr>
              <w:pStyle w:val="Normal6a"/>
            </w:pPr>
            <w:r>
              <w:t>12.</w:t>
            </w:r>
            <w:r>
              <w:tab/>
            </w:r>
            <w:r>
              <w:t>Calls on the Commission</w:t>
            </w:r>
            <w:r>
              <w:rPr>
                <w:b/>
                <w:i/>
              </w:rPr>
              <w:t>, when reviewing Regulation (EU) 2023/2405,</w:t>
            </w:r>
            <w:r>
              <w:t xml:space="preserve"> to replace the </w:t>
            </w:r>
            <w:r>
              <w:rPr>
                <w:b/>
                <w:i/>
              </w:rPr>
              <w:t>large step changes between the minimum SAF shares</w:t>
            </w:r>
            <w:r>
              <w:t xml:space="preserve"> with a </w:t>
            </w:r>
            <w:r>
              <w:rPr>
                <w:b/>
                <w:i/>
              </w:rPr>
              <w:t>smoother and more</w:t>
            </w:r>
            <w:r>
              <w:t xml:space="preserve"> linear trajectory in order to provide stronger and more predictable investment signals</w:t>
            </w:r>
            <w:r>
              <w:rPr>
                <w:b/>
                <w:i/>
              </w:rPr>
              <w:t>, support the gradual build-up of Union production capacity, facilitate the orderly development of supply chains and avoid abrupt increases in required volumes and potential supply bottlenecks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Calls on the Commission to replace the current stepwise SAF mandate trajectory with a linear trajectory in order to provide stronger and more predictable investment signals;</w:t>
            </w:r>
          </w:p>
        </w:tc>
        <w:tc>
          <w:tcPr>
            <w:tcW w:w="4876" w:type="dxa"/>
            <w:tcBorders>
              <w:top w:val="nil"/>
              <w:left w:val="nil"/>
              <w:bottom w:val="nil"/>
              <w:right w:val="nil"/>
            </w:tcBorders>
          </w:tcPr>
          <w:p>
            <w:pPr>
              <w:pStyle w:val="Normal6a"/>
            </w:pPr>
            <w:r>
              <w:t>12.</w:t>
            </w:r>
            <w:r>
              <w:tab/>
            </w:r>
            <w:r>
              <w:t>Calls on the Commission to replace the current stepwise SAF mandate trajectory with a linear trajectory</w:t>
            </w:r>
            <w:r>
              <w:rPr>
                <w:b/>
                <w:i/>
              </w:rPr>
              <w:t>, taking into account the development of SAF production capacity, availability and price competitiveness,</w:t>
            </w:r>
            <w:r>
              <w:t xml:space="preserve"> in order to provide stronger and more predictable investment signals </w:t>
            </w:r>
            <w:r>
              <w:rPr>
                <w:b/>
                <w:i/>
              </w:rPr>
              <w:t>while avoiding disproportionate increases in fuel costs and air fares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Johan Danielsson, Matteo Ricci, Andreas Schieder,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Calls on the Commission to replace the current stepwise SAF mandate trajectory with a linear trajectory in order to provide stronger and more predictable investment signals;</w:t>
            </w:r>
          </w:p>
        </w:tc>
        <w:tc>
          <w:tcPr>
            <w:tcW w:w="4876" w:type="dxa"/>
            <w:tcBorders>
              <w:top w:val="nil"/>
              <w:left w:val="nil"/>
              <w:bottom w:val="nil"/>
              <w:right w:val="nil"/>
            </w:tcBorders>
          </w:tcPr>
          <w:p>
            <w:pPr>
              <w:pStyle w:val="Normal6a"/>
            </w:pPr>
            <w:r>
              <w:t>12.</w:t>
            </w:r>
            <w:r>
              <w:tab/>
            </w:r>
            <w:r>
              <w:rPr>
                <w:b/>
                <w:i/>
              </w:rPr>
              <w:t>Stresses that the European Parliament stands firmly behind the existing ambition and targets of the ReFuelEU Aviation Regulation;</w:t>
            </w:r>
            <w:r>
              <w:t xml:space="preserve"> Calls on the Commission to replace the current stepwise SAF mandate trajectory with a linear trajectory</w:t>
            </w:r>
            <w:r>
              <w:rPr>
                <w:b/>
                <w:i/>
              </w:rPr>
              <w:t>, while maintaining the agreed level of ambition,</w:t>
            </w:r>
            <w:r>
              <w:t xml:space="preserve"> in order to provide stronger and more predictable investment signals;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Julien Leonardelli, Philippe Olivier, Anne-Sophie Frigout,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Recognises the maturity of the ‘Alcohol-to-Jet’ (AtJ) sectors as a European solution that can be implemented and can overcome the limited supply of HEFA and the still immature nature of e-SAF; considers that its deployment is key to achieving the ReFuelEU Aviation targets with fuels produced in the EU;</w:t>
            </w:r>
            <w:r>
              <w:t xml:space="preserve"> </w:t>
            </w:r>
            <w:r>
              <w:rPr>
                <w:b/>
                <w:i/>
              </w:rPr>
              <w:t>calls on the Commission to grant this sector a specific place within the SAF framework, comparable to that already accorded to synthetic aviation fuels (e-SAF), in order to ensure predictable demand and unlock the industrial investments needed for its large-scale development;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Calls on the Commission, in the context of the upcoming revision of ReFuelEU Aviation, to perform a comprehensive environmental sustainability assessment of the different feedstocks which currently are eligible - including their vulnerability to fraud cases - to determine if they should still be eligible for SAF production; asks for an assessment of new dependencies if feedstock for SAF is imported from non-EU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Calls on the Commission to review the exclusion under Article 4(5) of Regulation (EU) 2023/2405 of aviation biofuels produced from food and feed crops, intermediate crops, palm fatty acid distillate, palm- and soy-derived materials, soap stock and its derivatives with the view to expand the eligible feedstocks based on robust sustainability, land-use and lifecycle greenhouse-gas-emission-saving criteria;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Anne-Sophie Frigout, Julien Leonardelli, Philippe Olivier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Recognises the contribution that crop-based biofuels produced in the EU can make to sovereign and competitive SAF production;</w:t>
            </w:r>
            <w:r>
              <w:t xml:space="preserve"> </w:t>
            </w:r>
            <w:r>
              <w:rPr>
                <w:b/>
                <w:i/>
              </w:rPr>
              <w:t>calls for the applicable framework to allow full use to be made of them;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Anne-Sophie Frigout, Julien Leonardelli, Philippe Olivier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Recognises the contribution that crop-based biofuels produced in the EU can make to sovereign and competitive SAF production;</w:t>
            </w:r>
            <w:r>
              <w:t xml:space="preserve"> </w:t>
            </w:r>
            <w:r>
              <w:rPr>
                <w:b/>
                <w:i/>
              </w:rPr>
              <w:t>calls for the applicable framework to allow full use to be made of them, subject to sustainability criteria;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Calls on the Commission, in the context of the revision of Delegated Act 2023/1185, to explicitly exclude any RFNBO used as an intermediate input in biofuel production from the calculation of RFNBO outputs and any related accounting towards the e-SAF subtarget;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Calls on the Commission, in the context of the </w:t>
            </w:r>
            <w:r>
              <w:rPr>
                <w:b/>
                <w:i/>
              </w:rPr>
              <w:t>new proposal for</w:t>
            </w:r>
            <w:r>
              <w:t xml:space="preserve"> the EU ETS, to assess the extension of </w:t>
            </w:r>
            <w:r>
              <w:rPr>
                <w:b/>
                <w:i/>
              </w:rPr>
              <w:t>the system to extra EEA routes in order to address competitive distortions affecting</w:t>
            </w:r>
            <w:r>
              <w:t xml:space="preserve"> European carriers;</w:t>
            </w:r>
          </w:p>
        </w:tc>
        <w:tc>
          <w:tcPr>
            <w:tcW w:w="4876" w:type="dxa"/>
            <w:tcBorders>
              <w:top w:val="nil"/>
              <w:left w:val="nil"/>
              <w:bottom w:val="nil"/>
              <w:right w:val="nil"/>
            </w:tcBorders>
          </w:tcPr>
          <w:p>
            <w:pPr>
              <w:pStyle w:val="Normal6a"/>
            </w:pPr>
            <w:r>
              <w:t>13.</w:t>
            </w:r>
            <w:r>
              <w:tab/>
            </w:r>
            <w:r>
              <w:t xml:space="preserve">Calls on the Commission, in the context of the </w:t>
            </w:r>
            <w:r>
              <w:rPr>
                <w:b/>
                <w:i/>
              </w:rPr>
              <w:t>revision of</w:t>
            </w:r>
            <w:r>
              <w:t xml:space="preserve"> the EU ETS, to assess the </w:t>
            </w:r>
            <w:r>
              <w:rPr>
                <w:b/>
                <w:i/>
              </w:rPr>
              <w:t>impact of any</w:t>
            </w:r>
            <w:r>
              <w:t xml:space="preserve"> extension of </w:t>
            </w:r>
            <w:r>
              <w:rPr>
                <w:b/>
                <w:i/>
              </w:rPr>
              <w:t>its scope and to ensure that it does not result in disproportionate additional costs, reduced connectivity or a loss of competitiveness for</w:t>
            </w:r>
            <w:r>
              <w:t xml:space="preserve"> European carriers;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Calls on the Commission, in the context of the new proposal for the EU ETS, to assess the extension of the system to extra EEA routes in order to address competitive distortions affecting European carriers;</w:t>
            </w:r>
          </w:p>
        </w:tc>
        <w:tc>
          <w:tcPr>
            <w:tcW w:w="4876" w:type="dxa"/>
            <w:tcBorders>
              <w:top w:val="nil"/>
              <w:left w:val="nil"/>
              <w:bottom w:val="nil"/>
              <w:right w:val="nil"/>
            </w:tcBorders>
          </w:tcPr>
          <w:p>
            <w:pPr>
              <w:pStyle w:val="Normal6a"/>
            </w:pPr>
            <w:r>
              <w:t>13.</w:t>
            </w:r>
            <w:r>
              <w:tab/>
            </w:r>
            <w:r>
              <w:t xml:space="preserve">Calls on the Commission, in the context of the new proposal for the EU ETS, to assess the extension of the system to extra EEA routes in order to address competitive distortions affecting European carriers; </w:t>
            </w:r>
            <w:r>
              <w:rPr>
                <w:b/>
                <w:i/>
              </w:rPr>
              <w:t>Notes that the Commission has proposed extending the EU ETS for aviation to flights departing the EEA for aerodromes located within 5 000 kilometres of Frankfurt Airport; calls for a dedicated assessment of that specific threshold before its adoption, based on route, traffic, connectivity, fare and emissions data and examining its effects on European carriers and hubs, carbon and business leakage, international obligation under CORSIA, and wider geopolitical and market developments; further calls for EU ETS support for SAF to remain restricted to aircraft operators subject to a surrender obligation under the Directive, irrespective of their country of establishment, while allowing eligible operators to receive support on the basis of verified eligible aviation fuels supplied under Regulation (EU) 2023/2405 and while limiting the allocation to the ETS price finally paid; calls for the SAF allowance reserve to be commensurate with the increasing mandated volumes and the remaining price differential with fossil kerosene and to be reviewed regularly;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Volker Schnurrbusch, Milan Mazurek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Calls on the Commission, in the context of the new proposal for the EU ETS, to assess the extension of the system to extra EEA routes in order to address competitive distortions affecting European carriers;</w:t>
            </w:r>
          </w:p>
        </w:tc>
        <w:tc>
          <w:tcPr>
            <w:tcW w:w="4876" w:type="dxa"/>
            <w:tcBorders>
              <w:top w:val="nil"/>
              <w:left w:val="nil"/>
              <w:bottom w:val="nil"/>
              <w:right w:val="nil"/>
            </w:tcBorders>
          </w:tcPr>
          <w:p>
            <w:pPr>
              <w:pStyle w:val="Normal6a"/>
            </w:pPr>
            <w:r>
              <w:t>13.</w:t>
            </w:r>
            <w:r>
              <w:tab/>
            </w:r>
            <w:r>
              <w:t xml:space="preserve">Calls on the Commission, in the context of the new proposal for the EU ETS, </w:t>
            </w:r>
            <w:r>
              <w:rPr>
                <w:b/>
                <w:i/>
              </w:rPr>
              <w:t>not</w:t>
            </w:r>
            <w:r>
              <w:t xml:space="preserve"> to assess the extension of the system to extra EEA routes in order to address competitive distortions affecting European carriers; </w:t>
            </w:r>
            <w:r>
              <w:rPr>
                <w:b/>
                <w:i/>
              </w:rPr>
              <w:t>emphasizes the fact that airline carriers have rejected the extension of the system to extra EEA routes;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Considers that extending the EU ETS to flights beyond the EEA at this stage would risk adding a further regional regulatory burden to international aviation; calls on the Commission to give priority to strengthening CORSIA as the global market-based mechanism and to assess its implementation following the conclusion of its first phase before proposing any such extension of the EU ETS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Volker Schnurrbusch, Milan Mazurek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Calls on the Commission not to take unilateral measures by extending the system to extra EEA flights because it will increase costs and favour non EU carriers and increase the risk of retaliatory measures from third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Volker Schnurrbusch, Milan Mazurek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Calls on the Commission to ensure a level playing field for EU carriers by making sure that the ETS costs are on the level of CORSIA; Calls on the Commission to publish exact calculations how the the extension of the system to extra EEA flight would impact the carriers' competitivity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Calls on the Commission to remove the current preferential treatment related to SAF supply to islands, which may create unnecessary market distortions;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Volker Schnurrbusch, Milan Mazurek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Calls on the Commission to remove the current preferential treatment related to SAF supply to islands, which may create unnecessary market distortions;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Julien Leonardelli, Philippe Olivier, Anne-Sophie Frigout,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Calls on the Commission to remove the current</w:t>
            </w:r>
            <w:r>
              <w:t xml:space="preserve"> preferential treatment related to SAF supply to islands</w:t>
            </w:r>
            <w:r>
              <w:rPr>
                <w:b/>
                <w:i/>
              </w:rPr>
              <w:t>, which may create unnecessary market distortions</w:t>
            </w:r>
            <w:r>
              <w:t>;</w:t>
            </w:r>
          </w:p>
        </w:tc>
        <w:tc>
          <w:tcPr>
            <w:tcW w:w="4876" w:type="dxa"/>
            <w:tcBorders>
              <w:top w:val="nil"/>
              <w:left w:val="nil"/>
              <w:bottom w:val="nil"/>
              <w:right w:val="nil"/>
            </w:tcBorders>
          </w:tcPr>
          <w:p>
            <w:pPr>
              <w:pStyle w:val="Normal6a"/>
            </w:pPr>
            <w:r>
              <w:t>14.</w:t>
            </w:r>
            <w:r>
              <w:tab/>
            </w:r>
            <w:r>
              <w:rPr>
                <w:b/>
                <w:i/>
              </w:rPr>
              <w:t>Rejects any abolition of the</w:t>
            </w:r>
            <w:r>
              <w:t xml:space="preserve"> preferential treatment related to SAF supply to islands </w:t>
            </w:r>
            <w:r>
              <w:rPr>
                <w:b/>
                <w:i/>
              </w:rPr>
              <w:t>and outermost regions, recalling that these support measures are essential to ensure territorial continuity, protect the purchasing power of overseas and island residents, and prevent the economic strangulation of territories already heavily penalised by insularity</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Julien Leonardelli, Philippe Olivier, Anne-Sophie Frigout,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Urges the Commission to suspend the increase in the financial burden on the European aviation sector under the Emissions Trading System (ETS) as long as non-EU carriers on international routes are not subject to equivalent requirements, in order to put an end to unsustainable distortions of competition and prevent the risk of bankruptcy or relocation of European airlines;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Calls on the Commission to ensure that the implementation of a European SAF B/C mechanism promotes effective competition among SAF producers and suppliers and prevents excessive market concentration or speculative practices from increasing the cost of SAF for aircraft operators and passengers;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VI. Link with the Renewable Energy Directive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Calls on the Commission, in the context of the upcoming revision of the Renewable Energy Directive, to assess whether the current eligible feedstock base for SAF production is sufficient to meet future demand and obligations;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Calls on the Commission, in the context of the upcoming revision of the Renewable Energy Directive, to assess whether the current eligible feedstock base for SAF production is sufficient to meet future demand and obligations;</w:t>
            </w:r>
          </w:p>
        </w:tc>
        <w:tc>
          <w:tcPr>
            <w:tcW w:w="4876" w:type="dxa"/>
            <w:tcBorders>
              <w:top w:val="nil"/>
              <w:left w:val="nil"/>
              <w:bottom w:val="nil"/>
              <w:right w:val="nil"/>
            </w:tcBorders>
          </w:tcPr>
          <w:p>
            <w:pPr>
              <w:pStyle w:val="Normal6a"/>
            </w:pPr>
            <w:r>
              <w:t>15.</w:t>
            </w:r>
            <w:r>
              <w:tab/>
            </w:r>
            <w:r>
              <w:t>Calls on the Commission, in the context of the upcoming revision of the Renewable Energy Directive, to assess whether the current eligible feedstock base for SAF production is sufficient to meet future demand and obligations;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Currently available HEFA-produced SAF needs to continue to be eligible under FEETS. It remains the most accessible and scalable SAF in foreseeable future. If HEFA-produced SAF would be phased-out from FEETS, airlines would not be able to take full advantage of FEETS for at least early part of 2030’s.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Calls on the Commission, in the context of the upcoming revision of the Renewable Energy Directive, to assess whether the current eligible feedstock base for SAF production is sufficient to meet future demand and obligations</w:t>
            </w:r>
            <w:r>
              <w:rPr>
                <w:b/>
                <w:i/>
              </w:rPr>
              <w:t>;</w:t>
            </w:r>
          </w:p>
        </w:tc>
        <w:tc>
          <w:tcPr>
            <w:tcW w:w="4876" w:type="dxa"/>
            <w:tcBorders>
              <w:top w:val="nil"/>
              <w:left w:val="nil"/>
              <w:bottom w:val="nil"/>
              <w:right w:val="nil"/>
            </w:tcBorders>
          </w:tcPr>
          <w:p>
            <w:pPr>
              <w:pStyle w:val="Normal6a"/>
            </w:pPr>
            <w:r>
              <w:t>15.</w:t>
            </w:r>
            <w:r>
              <w:tab/>
            </w:r>
            <w:r>
              <w:t xml:space="preserve">Calls on the Commission, in the context of the upcoming revision of the Renewable Energy Directive, to assess whether the current eligible feedstock base for SAF production is sufficient to meet future demand and obligations </w:t>
            </w:r>
            <w:r>
              <w:rPr>
                <w:b/>
                <w:i/>
              </w:rPr>
              <w:t>at affordable prices, taking into account the competetiveness of European aviation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Anne-Sophie Frigout, Julien Leonardelli, Philippe Olivier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Stresses that making full use of all sustainable raw materials available in the EU is an asset for the security of supply and the competitiveness of European SAF production;</w:t>
            </w:r>
            <w:r>
              <w:t xml:space="preserve"> </w:t>
            </w:r>
            <w:r>
              <w:rPr>
                <w:b/>
                <w:i/>
              </w:rPr>
              <w:t>calls on the Commission, when revising the Renewable Energy Directive, to ensure that the applicable framework allows all these raw materials to fully contribute to the goals;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Valérie Devaux, Benoit Cassart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Notes that Alcohol-to-Jet offers an additional, readily available technology within the Union for contributing to the decarbonisation of air transport, while diversifying the range of feedstocks available and alleviating pressure on competing feedstock resources;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Johan Danielsson, Matteo Ricci, Andreas Schieder,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Calls on the Commission, where appropriate, to propose an expansion of the eligible feedstock base while maintaining robust sustainability safeguards;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Calls on the Commission, where appropriate, to propose an expansion of the eligible feedstock base while maintaining robust sustainability safeguards;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Volker Schnurrbusch, Milan Mazurek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Calls on the Commission, where appropriate, to </w:t>
            </w:r>
            <w:r>
              <w:rPr>
                <w:b/>
                <w:i/>
              </w:rPr>
              <w:t>propose an expansion of</w:t>
            </w:r>
            <w:r>
              <w:t xml:space="preserve"> the eligible feedstock base while maintaining robust sustainability safeguards;</w:t>
            </w:r>
          </w:p>
        </w:tc>
        <w:tc>
          <w:tcPr>
            <w:tcW w:w="4876" w:type="dxa"/>
            <w:tcBorders>
              <w:top w:val="nil"/>
              <w:left w:val="nil"/>
              <w:bottom w:val="nil"/>
              <w:right w:val="nil"/>
            </w:tcBorders>
          </w:tcPr>
          <w:p>
            <w:pPr>
              <w:pStyle w:val="Normal6a"/>
            </w:pPr>
            <w:r>
              <w:t>16.</w:t>
            </w:r>
            <w:r>
              <w:tab/>
            </w:r>
            <w:r>
              <w:t xml:space="preserve">Calls on the Commission, where appropriate, to </w:t>
            </w:r>
            <w:r>
              <w:rPr>
                <w:b/>
                <w:i/>
              </w:rPr>
              <w:t>encourage member states to expand</w:t>
            </w:r>
            <w:r>
              <w:t xml:space="preserve"> the eligible feedstock base while maintaining robust sustainability safeguards;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Calls on the Commission, where appropriate, to propose an expansion of the eligible feedstock base while maintaining robust sustainability safeguards;</w:t>
            </w:r>
          </w:p>
        </w:tc>
        <w:tc>
          <w:tcPr>
            <w:tcW w:w="4876" w:type="dxa"/>
            <w:tcBorders>
              <w:top w:val="nil"/>
              <w:left w:val="nil"/>
              <w:bottom w:val="nil"/>
              <w:right w:val="nil"/>
            </w:tcBorders>
          </w:tcPr>
          <w:p>
            <w:pPr>
              <w:pStyle w:val="Normal6a"/>
            </w:pPr>
            <w:r>
              <w:t>16.</w:t>
            </w:r>
            <w:r>
              <w:tab/>
            </w:r>
            <w:r>
              <w:t xml:space="preserve">Calls on the Commission, where appropriate, to propose an expansion of the eligible feedstock base while maintaining robust sustainability safeguards; </w:t>
            </w:r>
            <w:r>
              <w:rPr>
                <w:b/>
                <w:i/>
              </w:rPr>
              <w:t>recalls that EASA reported that approximately 80 % of SAF supplied in 2025 consisted of aviation biofuels, overwhelmingly derived from used cooking oil, and that 85 % of reported feedstocks were imported, including 61 % from China; stresses that diversifying sustainable feedstocks available within the Union would strengthen resilience and support the gradual expansion of European SAF production capacity;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Benoit Cassart, Valérie Devaux,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Recalls that biomass from the cover crops listed in Annex IX constitutes a sustainable resource for the production of SAF and advanced biofuels, provided that it does not compromise food security or animal feed production and stresses that certification and traceability requirements should remain practical and proportionate for farmers, thereby enabling the scale-up of sustainable feedstock supply needed to meet SAF deployment objectives.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Stresses the need to increase SAF production capacity in the Union by providing a stable investment framework and removing unnecessary obstacles to new production projects, in order to improve fuel availability and reduce dependence on imports;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Calls on the Commission and the Member States to introduce a system for taxing oil companies’ windfall profits and to earmark part of this tax revenue for investments aimed at reducing the Union’s dependence on fossil fuels and accelerating the decarbonisation of transport, including investments in Made in EU SAFs and e-SAFs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796.284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64</w:t>
    </w:r>
    <w:r>
      <w:fldChar w:fldCharType="end"/>
    </w:r>
    <w:r>
      <w:t>/</w:t>
    </w:r>
    <w:r>
      <w:fldChar w:fldCharType="begin"/>
    </w:r>
    <w:r>
      <w:instrText xml:space="preserve"> NUMPAGES </w:instrText>
    </w:r>
    <w:r>
      <w:fldChar w:fldCharType="separate"/>
    </w:r>
    <w:r>
      <w:t>65</w:t>
    </w:r>
    <w:r>
      <w:fldChar w:fldCharType="end"/>
    </w:r>
    <w:r>
      <w:tab/>
    </w:r>
    <w:r>
      <w:rPr>
        <w:rStyle w:val="HideTWBExt"/>
      </w:rPr>
      <w:t>&lt;PathFdR&gt;</w:t>
    </w:r>
    <w:r>
      <w:t>AM\1351745EN.docx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AM\1351745EN.docx</w:t>
    </w:r>
    <w:r>
      <w:rPr>
        <w:rStyle w:val="HideTWBExt"/>
      </w:rPr>
      <w:t>&lt;/PathFdR&gt;</w:t>
    </w:r>
    <w:r>
      <w:tab/>
    </w:r>
    <w:r>
      <w:fldChar w:fldCharType="begin"/>
    </w:r>
    <w:r>
      <w:instrText xml:space="preserve"> PAGE </w:instrText>
    </w:r>
    <w:r>
      <w:fldChar w:fldCharType="separate"/>
    </w:r>
    <w:r>
      <w:t>65</w:t>
    </w:r>
    <w:r>
      <w:fldChar w:fldCharType="end"/>
    </w:r>
    <w:r>
      <w:t>/</w:t>
    </w:r>
    <w:r>
      <w:fldChar w:fldCharType="begin"/>
    </w:r>
    <w:r>
      <w:instrText xml:space="preserve"> NUMPAGES </w:instrText>
    </w:r>
    <w:r>
      <w:fldChar w:fldCharType="separate"/>
    </w:r>
    <w:r>
      <w:t>65</w:t>
    </w:r>
    <w:r>
      <w:fldChar w:fldCharType="end"/>
    </w:r>
    <w:r>
      <w:tab/>
    </w:r>
    <w:r>
      <w:t>PE</w:t>
    </w:r>
    <w:r>
      <w:rPr>
        <w:rStyle w:val="HideTWBExt"/>
      </w:rPr>
      <w:t>&lt;NoPE&gt;</w:t>
    </w:r>
    <w:r>
      <w:t>796.284</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AM\1351745EN.docx</w:t>
    </w:r>
    <w:r>
      <w:rPr>
        <w:rStyle w:val="HideTWBExt"/>
      </w:rPr>
      <w:t>&lt;/PathFdR&gt;</w:t>
    </w:r>
    <w:r>
      <w:tab/>
    </w:r>
    <w:r>
      <w:tab/>
    </w:r>
    <w:r>
      <w:t>PE</w:t>
    </w:r>
    <w:r>
      <w:rPr>
        <w:rStyle w:val="HideTWBExt"/>
      </w:rPr>
      <w:t>&lt;NoPE&gt;</w:t>
    </w:r>
    <w:r>
      <w:t>796.284</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65</Pages>
  <Words>12443</Words>
  <Characters>70175</Characters>
  <Application>Microsoft Office Word</Application>
  <DocSecurity>0</DocSecurity>
  <Lines>1</Lines>
  <Paragraphs>1204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1351745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640756</vt:lpwstr>
  </property>
  <property fmtid="{D5CDD505-2E9C-101B-9397-08002B2CF9AE}" pid="7" name="dmxml.render.traceId">
    <vt:lpwstr>6ac4bf2197c478e878cdbc8e12c8bd7c</vt:lpwstr>
  </property>
  <property fmtid="{D5CDD505-2E9C-101B-9397-08002B2CF9AE}" pid="8" name="FooterPath">
    <vt:lpwstr>AM\1351745EN.docx</vt:lpwstr>
  </property>
  <property fmtid="{D5CDD505-2E9C-101B-9397-08002B2CF9AE}" pid="9" name="PE Number">
    <vt:lpwstr>796.284</vt:lpwstr>
  </property>
  <property fmtid="{D5CDD505-2E9C-101B-9397-08002B2CF9AE}" pid="10" name="UID">
    <vt:lpwstr>eu.europa.europarl-DIN1-2026-0000258115_01.00-en-01.00_text-xml</vt:lpwstr>
  </property>
</Properties>
</file>