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328D0" w:rsidRPr="006436A5" w:rsidTr="0004333E">
        <w:trPr>
          <w:trHeight w:hRule="exact" w:val="1418"/>
        </w:trPr>
        <w:tc>
          <w:tcPr>
            <w:tcW w:w="6804" w:type="dxa"/>
            <w:shd w:val="clear" w:color="auto" w:fill="auto"/>
            <w:vAlign w:val="center"/>
          </w:tcPr>
          <w:p w:rsidR="00BA3E40" w:rsidRPr="006436A5" w:rsidRDefault="00121F06" w:rsidP="0004333E">
            <w:pPr>
              <w:pStyle w:val="EPName"/>
            </w:pPr>
            <w:r w:rsidRPr="006436A5">
              <w:t>Europäisches Parlament</w:t>
            </w:r>
          </w:p>
          <w:p w:rsidR="00BA3E40" w:rsidRPr="006436A5" w:rsidRDefault="00121F06" w:rsidP="00E35335">
            <w:pPr>
              <w:pStyle w:val="EPTerm"/>
            </w:pPr>
            <w:r w:rsidRPr="006436A5">
              <w:t>2019-2024</w:t>
            </w:r>
          </w:p>
        </w:tc>
        <w:tc>
          <w:tcPr>
            <w:tcW w:w="2268" w:type="dxa"/>
            <w:shd w:val="clear" w:color="auto" w:fill="auto"/>
          </w:tcPr>
          <w:p w:rsidR="00BA3E40" w:rsidRPr="006436A5" w:rsidRDefault="00121F06" w:rsidP="0004333E">
            <w:pPr>
              <w:pStyle w:val="EPLogo"/>
            </w:pPr>
            <w:r w:rsidRPr="006436A5">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6436A5" w:rsidRDefault="00F24D40" w:rsidP="00F24D40">
      <w:pPr>
        <w:pStyle w:val="LineTop"/>
      </w:pPr>
    </w:p>
    <w:p w:rsidR="00F24D40" w:rsidRPr="006436A5" w:rsidRDefault="00121F06" w:rsidP="00F24D40">
      <w:pPr>
        <w:pStyle w:val="EPBody"/>
      </w:pPr>
      <w:r w:rsidRPr="006436A5">
        <w:rPr>
          <w:rStyle w:val="HideTWBExt"/>
        </w:rPr>
        <w:t>&lt;</w:t>
      </w:r>
      <w:r w:rsidRPr="006436A5">
        <w:rPr>
          <w:rStyle w:val="HideTWBExt"/>
          <w:i w:val="0"/>
        </w:rPr>
        <w:t>Commission</w:t>
      </w:r>
      <w:r w:rsidRPr="006436A5">
        <w:rPr>
          <w:rStyle w:val="HideTWBExt"/>
        </w:rPr>
        <w:t>&gt;</w:t>
      </w:r>
      <w:r w:rsidRPr="006436A5">
        <w:rPr>
          <w:rStyle w:val="HideTWBInt"/>
          <w:color w:val="auto"/>
        </w:rPr>
        <w:t>{AFET}</w:t>
      </w:r>
      <w:r w:rsidRPr="006436A5">
        <w:t>Ausschuss für auswärtige Angelegenheiten</w:t>
      </w:r>
      <w:r w:rsidRPr="006436A5">
        <w:rPr>
          <w:rStyle w:val="HideTWBExt"/>
        </w:rPr>
        <w:t>&lt;/</w:t>
      </w:r>
      <w:r w:rsidRPr="006436A5">
        <w:rPr>
          <w:rStyle w:val="HideTWBExt"/>
          <w:i w:val="0"/>
        </w:rPr>
        <w:t>Commission</w:t>
      </w:r>
      <w:r w:rsidRPr="006436A5">
        <w:rPr>
          <w:rStyle w:val="HideTWBExt"/>
        </w:rPr>
        <w:t>&gt;</w:t>
      </w:r>
    </w:p>
    <w:p w:rsidR="00F24D40" w:rsidRPr="006436A5" w:rsidRDefault="00F24D40" w:rsidP="00F24D40">
      <w:pPr>
        <w:pStyle w:val="LineBottom"/>
      </w:pPr>
    </w:p>
    <w:p w:rsidR="00DB56E4" w:rsidRPr="006436A5" w:rsidRDefault="00121F06" w:rsidP="00DB56E4">
      <w:pPr>
        <w:pStyle w:val="CoverReference"/>
      </w:pPr>
      <w:r w:rsidRPr="006436A5">
        <w:rPr>
          <w:rStyle w:val="HideTWBExt"/>
          <w:b w:val="0"/>
        </w:rPr>
        <w:t>&lt;RefProc&gt;</w:t>
      </w:r>
      <w:r w:rsidRPr="006436A5">
        <w:t>2023/0441</w:t>
      </w:r>
      <w:r w:rsidRPr="006436A5">
        <w:rPr>
          <w:rStyle w:val="HideTWBExt"/>
          <w:b w:val="0"/>
        </w:rPr>
        <w:t>&lt;/RefProc&gt;&lt;RefTypeProc&gt;</w:t>
      </w:r>
      <w:r w:rsidRPr="006436A5">
        <w:t>(CNS)</w:t>
      </w:r>
      <w:r w:rsidRPr="006436A5">
        <w:rPr>
          <w:rStyle w:val="HideTWBExt"/>
          <w:b w:val="0"/>
        </w:rPr>
        <w:t>&lt;/RefTypeProc&gt;</w:t>
      </w:r>
    </w:p>
    <w:p w:rsidR="00DB56E4" w:rsidRPr="006436A5" w:rsidRDefault="00121F06" w:rsidP="00DB56E4">
      <w:pPr>
        <w:pStyle w:val="CoverDate"/>
      </w:pPr>
      <w:r w:rsidRPr="006436A5">
        <w:rPr>
          <w:rStyle w:val="HideTWBExt"/>
        </w:rPr>
        <w:t>&lt;Date&gt;</w:t>
      </w:r>
      <w:r w:rsidRPr="006436A5">
        <w:rPr>
          <w:rStyle w:val="HideTWBInt"/>
          <w:color w:val="auto"/>
        </w:rPr>
        <w:t>{21/02/2024}</w:t>
      </w:r>
      <w:r w:rsidRPr="006436A5">
        <w:t>21.2.2024</w:t>
      </w:r>
      <w:r w:rsidRPr="006436A5">
        <w:rPr>
          <w:rStyle w:val="HideTWBExt"/>
        </w:rPr>
        <w:t>&lt;/Date&gt;</w:t>
      </w:r>
    </w:p>
    <w:p w:rsidR="00DB56E4" w:rsidRPr="006436A5" w:rsidRDefault="00121F06" w:rsidP="00DB56E4">
      <w:pPr>
        <w:pStyle w:val="CoverDocType24a"/>
      </w:pPr>
      <w:r w:rsidRPr="006436A5">
        <w:rPr>
          <w:rStyle w:val="HideTWBExt"/>
          <w:b w:val="0"/>
        </w:rPr>
        <w:t>&lt;TitreType&gt;</w:t>
      </w:r>
      <w:r w:rsidRPr="006436A5">
        <w:t>ENTWURF EINER STELLUNGNAHME</w:t>
      </w:r>
      <w:r w:rsidRPr="006436A5">
        <w:rPr>
          <w:rStyle w:val="HideTWBExt"/>
          <w:b w:val="0"/>
        </w:rPr>
        <w:t>&lt;/TitreType&gt;</w:t>
      </w:r>
    </w:p>
    <w:p w:rsidR="00DB56E4" w:rsidRPr="006436A5" w:rsidRDefault="00121F06" w:rsidP="00DB56E4">
      <w:pPr>
        <w:pStyle w:val="CoverNormal24a"/>
      </w:pPr>
      <w:r w:rsidRPr="006436A5">
        <w:rPr>
          <w:rStyle w:val="HideTWBExt"/>
        </w:rPr>
        <w:t>&lt;CommissionResp&gt;</w:t>
      </w:r>
      <w:r w:rsidRPr="006436A5">
        <w:t>des Ausschusses für auswärtige Angelegenheiten</w:t>
      </w:r>
      <w:r w:rsidRPr="006436A5">
        <w:rPr>
          <w:rStyle w:val="HideTWBExt"/>
        </w:rPr>
        <w:t>&lt;/CommissionResp&gt;</w:t>
      </w:r>
    </w:p>
    <w:p w:rsidR="00DB56E4" w:rsidRPr="006436A5" w:rsidRDefault="00121F06" w:rsidP="00DB56E4">
      <w:pPr>
        <w:pStyle w:val="CoverNormal24a"/>
      </w:pPr>
      <w:r w:rsidRPr="006436A5">
        <w:rPr>
          <w:rStyle w:val="HideTWBExt"/>
        </w:rPr>
        <w:t>&lt;CommissionInt&gt;</w:t>
      </w:r>
      <w:r w:rsidRPr="006436A5">
        <w:t>für den Ausschuss für bürgerliche Freiheiten, Justiz und Inneres</w:t>
      </w:r>
      <w:r w:rsidRPr="006436A5">
        <w:rPr>
          <w:rStyle w:val="HideTWBExt"/>
        </w:rPr>
        <w:t>&lt;/CommissionInt&gt;</w:t>
      </w:r>
    </w:p>
    <w:p w:rsidR="00DB56E4" w:rsidRPr="006436A5" w:rsidRDefault="00121F06" w:rsidP="00DB56E4">
      <w:pPr>
        <w:pStyle w:val="CoverNormal"/>
      </w:pPr>
      <w:r w:rsidRPr="006436A5">
        <w:rPr>
          <w:rStyle w:val="HideTWBExt"/>
        </w:rPr>
        <w:t>&lt;Titre&gt;</w:t>
      </w:r>
      <w:r w:rsidRPr="006436A5">
        <w:t xml:space="preserve">zu dem Vorschlag für eine Richtlinie des Rates zur Änderung </w:t>
      </w:r>
      <w:r w:rsidRPr="006436A5">
        <w:t>der Richtlinie (EU) 2015/637 über Koordinierungs- und Kooperationsmaßnahmen zur Erleichterung des konsularischen Schutzes von nicht vertretenen Unionsbürgern in Drittländern und der Richtlinie (EU) 2019/997 zur Festlegung eines EU-Rückkehrausweises</w:t>
      </w:r>
      <w:r w:rsidRPr="006436A5">
        <w:rPr>
          <w:rStyle w:val="HideTWBExt"/>
        </w:rPr>
        <w:t>&lt;/Titre&gt;</w:t>
      </w:r>
    </w:p>
    <w:p w:rsidR="00DB56E4" w:rsidRPr="006436A5" w:rsidRDefault="00121F06" w:rsidP="00DB56E4">
      <w:pPr>
        <w:pStyle w:val="CoverNormal24a"/>
      </w:pPr>
      <w:r w:rsidRPr="006436A5">
        <w:rPr>
          <w:rStyle w:val="HideTWBExt"/>
        </w:rPr>
        <w:t>&lt;DocRef&gt;</w:t>
      </w:r>
      <w:r w:rsidRPr="006436A5">
        <w:t>(COM(2023)0930 – C9</w:t>
      </w:r>
      <w:r w:rsidRPr="006436A5">
        <w:noBreakHyphen/>
        <w:t>0015/2024 – 2023/0441(CNS))</w:t>
      </w:r>
      <w:r w:rsidRPr="006436A5">
        <w:rPr>
          <w:rStyle w:val="HideTWBExt"/>
        </w:rPr>
        <w:t>&lt;/DocRef&gt;</w:t>
      </w:r>
    </w:p>
    <w:p w:rsidR="00DB56E4" w:rsidRPr="006436A5" w:rsidRDefault="00121F06" w:rsidP="00DB56E4">
      <w:pPr>
        <w:pStyle w:val="CoverNormal24a"/>
      </w:pPr>
      <w:r w:rsidRPr="006436A5">
        <w:t xml:space="preserve">Verfasser der Stellungnahme (*): </w:t>
      </w:r>
      <w:r w:rsidRPr="006436A5">
        <w:rPr>
          <w:rStyle w:val="HideTWBExt"/>
        </w:rPr>
        <w:t>&lt;Depute&gt;</w:t>
      </w:r>
      <w:r w:rsidRPr="006436A5">
        <w:t>Nacho Sánchez Amor</w:t>
      </w:r>
      <w:r w:rsidRPr="006436A5">
        <w:rPr>
          <w:rStyle w:val="HideTWBExt"/>
        </w:rPr>
        <w:t>&lt;/Depute&gt;</w:t>
      </w:r>
    </w:p>
    <w:p w:rsidR="00487596" w:rsidRPr="006436A5" w:rsidRDefault="00121F06" w:rsidP="00487596">
      <w:pPr>
        <w:pStyle w:val="CoverNormal"/>
      </w:pPr>
      <w:r w:rsidRPr="006436A5">
        <w:t>(*)</w:t>
      </w:r>
      <w:r w:rsidRPr="006436A5">
        <w:tab/>
        <w:t>Assoziierter Ausschuss – Artikel 57 der Geschäftsordnung</w:t>
      </w:r>
    </w:p>
    <w:p w:rsidR="00DB56E4" w:rsidRPr="006436A5" w:rsidRDefault="00121F06" w:rsidP="0004474F">
      <w:pPr>
        <w:tabs>
          <w:tab w:val="center" w:pos="4677"/>
        </w:tabs>
      </w:pPr>
      <w:r w:rsidRPr="006436A5">
        <w:br w:type="page"/>
      </w:r>
      <w:r w:rsidRPr="006436A5">
        <w:lastRenderedPageBreak/>
        <w:t>PA_Legam</w:t>
      </w:r>
    </w:p>
    <w:p w:rsidR="00DB56E4" w:rsidRPr="006436A5" w:rsidRDefault="00121F06" w:rsidP="00DB56E4">
      <w:pPr>
        <w:pStyle w:val="PageHeadingNotTOC"/>
      </w:pPr>
      <w:r w:rsidRPr="006436A5">
        <w:br w:type="page"/>
      </w:r>
      <w:r w:rsidRPr="006436A5">
        <w:lastRenderedPageBreak/>
        <w:t>KURZE BEGRÜNDUNG</w:t>
      </w:r>
    </w:p>
    <w:p w:rsidR="00221197" w:rsidRPr="006436A5" w:rsidRDefault="00121F06" w:rsidP="00221197">
      <w:pPr>
        <w:pStyle w:val="Normal12a"/>
        <w:rPr>
          <w:bCs/>
        </w:rPr>
      </w:pPr>
      <w:r w:rsidRPr="006436A5">
        <w:t xml:space="preserve">Der Kommissionsvorschlag sieht </w:t>
      </w:r>
      <w:r w:rsidRPr="006436A5">
        <w:t>eine wesentliche Erweiterung der Rolle und der Tätigkeiten des Europäischen Auswärtigen Dienstes und der Delegationen der Europäischen Union vor, einschließlich neuer und geänderter Bestimmungen über die Krisenvorsorge und -reaktion außerhalb der Europäisc</w:t>
      </w:r>
      <w:r w:rsidRPr="006436A5">
        <w:t>hen Union.</w:t>
      </w:r>
    </w:p>
    <w:p w:rsidR="00221197" w:rsidRPr="006436A5" w:rsidRDefault="00121F06" w:rsidP="00221197">
      <w:pPr>
        <w:pStyle w:val="Normal12a"/>
        <w:rPr>
          <w:bCs/>
        </w:rPr>
      </w:pPr>
      <w:r w:rsidRPr="006436A5">
        <w:t>Gemäß Anlage VI Nummer I.3 der Geschäftsordnung fällt die Aufsicht über den EAD und seine verschiedenen Dienststellen, einschließlich der Organisation und Arbeitsweise der EU-Delegationen und des Krisenreaktionszentrums des EAD, in die ausschlie</w:t>
      </w:r>
      <w:r w:rsidRPr="006436A5">
        <w:t>ßliche Zuständigkeit des Ausschusses für auswärtige Angelegenheiten (AFET). Die Tätigkeiten der EU-Delegationen umfassen auch die Umsetzung des Rechts der Unionsbürger auf Schutz im Hoheitsgebiet von Drittländern gemäß Artikel 35 des Vertrags über die Euro</w:t>
      </w:r>
      <w:r w:rsidRPr="006436A5">
        <w:t>päische Union.</w:t>
      </w:r>
    </w:p>
    <w:p w:rsidR="00221197" w:rsidRPr="006436A5" w:rsidRDefault="00121F06" w:rsidP="00221197">
      <w:pPr>
        <w:pStyle w:val="Normal12a"/>
        <w:rPr>
          <w:bCs/>
        </w:rPr>
      </w:pPr>
      <w:r w:rsidRPr="006436A5">
        <w:t>Die Organisation und Arbeitsweise des EAD, der EU-Delegationen und die Krisenreaktionsstrukturen sind im Beschluss 2010/427/EU des Rates vom 26. Juli 2010 festgelegt, für den der AFET zuständig ist. Mit dem Strategischen Kompass für Sicherhe</w:t>
      </w:r>
      <w:r w:rsidRPr="006436A5">
        <w:t>it und Verteidigung von 2022, ebenfalls in der Zuständigkeit des AFET, wurde eine Überprüfung der Krisenreaktionsmechanismen des EAD eingeleitet, die unter anderem die konsularische Unterstützung und Sicherheit im Einsatzgebiet einschloss.</w:t>
      </w:r>
    </w:p>
    <w:p w:rsidR="00221197" w:rsidRPr="006436A5" w:rsidRDefault="00121F06" w:rsidP="00221197">
      <w:pPr>
        <w:pStyle w:val="Normal12a"/>
        <w:rPr>
          <w:bCs/>
        </w:rPr>
      </w:pPr>
      <w:r w:rsidRPr="006436A5">
        <w:t>Am 15. März 2023</w:t>
      </w:r>
      <w:r w:rsidRPr="006436A5">
        <w:t xml:space="preserve"> nahm das Parlament eine vom AFET geleitete GASP-Empfehlung an, in der eine Bestandsaufnahme der Funktionsweise des EAD und für eine stärkere EU in der Welt erstellt wurde (2021/2065(INI)). Sie deckt ein breites Spektrum von EAD-Aufgaben ab, darunter die U</w:t>
      </w:r>
      <w:r w:rsidRPr="006436A5">
        <w:t>nterstützung des Krisenreaktionszentrums der EU bei der Koordinierung der Reaktion der Botschaften und Delegationen der EU und der Mitgliedstaaten sowie der den EU-Bürgern in Krisenzeiten angebotenen Dienstleistungen.</w:t>
      </w:r>
    </w:p>
    <w:p w:rsidR="00DB56E4" w:rsidRPr="006436A5" w:rsidRDefault="00121F06" w:rsidP="00221197">
      <w:pPr>
        <w:pStyle w:val="Normal12a"/>
      </w:pPr>
      <w:r w:rsidRPr="006436A5">
        <w:t xml:space="preserve">Mit dem Vorschlag der Kommission wird </w:t>
      </w:r>
      <w:r w:rsidRPr="006436A5">
        <w:t>die Rolle des EAD (und seiner Krisenmanagementstrukturen und EU-Delegationen) auf eine neue Ebene der Beteiligung dergestalt gebracht, dass der konsularische Schutz mit der außen-, sicherheits- und verteidigungspolitischen Rolle des EAD verknüpft wird, wan</w:t>
      </w:r>
      <w:r w:rsidRPr="006436A5">
        <w:t>n immer Entscheidungen auf der Grundlage von Bewertungen, Kontakten mit Drittländern, des Einsatzes militärischer Mittel und anderer typischer GASP-/GSVP-Elemente getroffen werden müssen.</w:t>
      </w:r>
    </w:p>
    <w:p w:rsidR="00DB56E4" w:rsidRPr="006436A5" w:rsidRDefault="00121F06" w:rsidP="00DB56E4">
      <w:pPr>
        <w:pStyle w:val="AmHeadingPA"/>
      </w:pPr>
      <w:r w:rsidRPr="006436A5">
        <w:t>ÄNDERUNGSANTRÄGE</w:t>
      </w:r>
    </w:p>
    <w:p w:rsidR="00DB56E4" w:rsidRPr="006436A5" w:rsidRDefault="00121F06" w:rsidP="001E3AC4">
      <w:pPr>
        <w:pStyle w:val="Normal12a"/>
      </w:pPr>
      <w:bookmarkStart w:id="0" w:name="IntroA"/>
      <w:r w:rsidRPr="006436A5">
        <w:t xml:space="preserve">Der Ausschuss für auswärtige Angelegenheiten </w:t>
      </w:r>
      <w:r w:rsidRPr="006436A5">
        <w:t>ersucht den federführenden Ausschuss für bürgerliche Freiheiten, Justiz und Inneres, Folgendes zu berücksichtigen:</w:t>
      </w:r>
    </w:p>
    <w:p w:rsidR="00DB56E4" w:rsidRPr="006436A5" w:rsidRDefault="00121F06" w:rsidP="00DB56E4">
      <w:pPr>
        <w:pStyle w:val="AmNumberTabs"/>
        <w:keepNext/>
      </w:pPr>
      <w:bookmarkStart w:id="1" w:name="IntroB"/>
      <w:bookmarkEnd w:id="0"/>
      <w:r w:rsidRPr="006436A5">
        <w:rPr>
          <w:rStyle w:val="HideTWBExt"/>
          <w:b w:val="0"/>
        </w:rPr>
        <w:t>&lt;RepeatBlock-Amend&gt;</w:t>
      </w:r>
      <w:bookmarkStart w:id="2" w:name="restart"/>
      <w:bookmarkEnd w:id="1"/>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1</w:t>
      </w:r>
      <w:r w:rsidRPr="006436A5">
        <w:rPr>
          <w:rStyle w:val="HideTWBExt"/>
          <w:b w:val="0"/>
        </w:rPr>
        <w:t>&lt;/NumAm&gt;</w:t>
      </w:r>
    </w:p>
    <w:p w:rsidR="00DB56E4" w:rsidRPr="006436A5" w:rsidRDefault="00121F06" w:rsidP="00DB56E4">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DB56E4" w:rsidRPr="006436A5" w:rsidRDefault="00121F06" w:rsidP="00DB56E4">
      <w:pPr>
        <w:pStyle w:val="NormalBold"/>
        <w:keepNext/>
      </w:pPr>
      <w:r w:rsidRPr="006436A5">
        <w:rPr>
          <w:rStyle w:val="HideTWBExt"/>
          <w:b w:val="0"/>
        </w:rPr>
        <w:t>&lt;Article&gt;</w:t>
      </w:r>
      <w:r w:rsidRPr="006436A5">
        <w:t>Erwägung 24 a (neu)</w:t>
      </w:r>
      <w:r w:rsidRPr="006436A5">
        <w:rPr>
          <w:rStyle w:val="HideTWBExt"/>
          <w:b w:val="0"/>
        </w:rPr>
        <w:t>&lt;/</w:t>
      </w:r>
      <w:r w:rsidRPr="006436A5">
        <w:rPr>
          <w:rStyle w:val="HideTWBExt"/>
          <w:b w:val="0"/>
        </w:rPr>
        <w: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DB56E4">
        <w:trPr>
          <w:jc w:val="center"/>
        </w:trPr>
        <w:tc>
          <w:tcPr>
            <w:tcW w:w="9752" w:type="dxa"/>
            <w:gridSpan w:val="2"/>
          </w:tcPr>
          <w:p w:rsidR="00DB56E4" w:rsidRPr="006436A5" w:rsidRDefault="00DB56E4" w:rsidP="00DB56E4">
            <w:pPr>
              <w:keepNext/>
            </w:pPr>
          </w:p>
        </w:tc>
      </w:tr>
      <w:tr w:rsidR="000328D0" w:rsidRPr="006436A5" w:rsidTr="00DB56E4">
        <w:trPr>
          <w:jc w:val="center"/>
        </w:trPr>
        <w:tc>
          <w:tcPr>
            <w:tcW w:w="4876" w:type="dxa"/>
          </w:tcPr>
          <w:p w:rsidR="00DB56E4" w:rsidRPr="006436A5" w:rsidRDefault="00121F06" w:rsidP="00E35335">
            <w:pPr>
              <w:pStyle w:val="AmColumnHeading"/>
              <w:keepNext/>
            </w:pPr>
            <w:r w:rsidRPr="006436A5">
              <w:t>Vorschlag der Kommission</w:t>
            </w:r>
          </w:p>
        </w:tc>
        <w:tc>
          <w:tcPr>
            <w:tcW w:w="4876" w:type="dxa"/>
          </w:tcPr>
          <w:p w:rsidR="00DB56E4" w:rsidRPr="006436A5" w:rsidRDefault="00121F06" w:rsidP="00DB56E4">
            <w:pPr>
              <w:pStyle w:val="AmColumnHeading"/>
              <w:keepNext/>
            </w:pPr>
            <w:r w:rsidRPr="006436A5">
              <w:t>Geänderter Text</w:t>
            </w:r>
          </w:p>
        </w:tc>
      </w:tr>
      <w:tr w:rsidR="000328D0" w:rsidRPr="006436A5" w:rsidTr="00DB56E4">
        <w:trPr>
          <w:jc w:val="center"/>
        </w:trPr>
        <w:tc>
          <w:tcPr>
            <w:tcW w:w="4876" w:type="dxa"/>
          </w:tcPr>
          <w:p w:rsidR="00DB56E4" w:rsidRPr="006436A5" w:rsidRDefault="00121F06" w:rsidP="00DB56E4">
            <w:pPr>
              <w:pStyle w:val="Normal6a"/>
            </w:pPr>
            <w:r w:rsidRPr="006436A5">
              <w:t xml:space="preserve"> </w:t>
            </w:r>
          </w:p>
        </w:tc>
        <w:tc>
          <w:tcPr>
            <w:tcW w:w="4876" w:type="dxa"/>
          </w:tcPr>
          <w:p w:rsidR="00DB56E4" w:rsidRPr="006436A5" w:rsidRDefault="00121F06" w:rsidP="00DB56E4">
            <w:pPr>
              <w:pStyle w:val="Normal6a"/>
              <w:rPr>
                <w:szCs w:val="24"/>
              </w:rPr>
            </w:pPr>
            <w:r w:rsidRPr="006436A5">
              <w:rPr>
                <w:b/>
                <w:i/>
              </w:rPr>
              <w:t>(24a)</w:t>
            </w:r>
            <w:r w:rsidRPr="006436A5">
              <w:tab/>
            </w:r>
            <w:r w:rsidRPr="006436A5">
              <w:rPr>
                <w:b/>
                <w:i/>
              </w:rPr>
              <w:t xml:space="preserve">Die Mitgliedstaaten stellen sicher, </w:t>
            </w:r>
            <w:r w:rsidRPr="006436A5">
              <w:rPr>
                <w:b/>
                <w:i/>
              </w:rPr>
              <w:lastRenderedPageBreak/>
              <w:t xml:space="preserve">dass die Informationen für die Bürger über den konsularischen Schutz leicht zugänglich und auf dem neuesten Stand sind. In diesem Sinne sollten die EU-Bürger </w:t>
            </w:r>
            <w:r w:rsidRPr="006436A5">
              <w:rPr>
                <w:b/>
                <w:i/>
              </w:rPr>
              <w:t>kontextspezifische Nachrichten erhalten, die sich auf ihre Rechte beziehen und wie sie diese insbesondere in Krisenzeiten mittels Sofortbenachrichtigungen ausüben können, wenn sie sich in Drittländern aufhalten.</w:t>
            </w:r>
          </w:p>
        </w:tc>
      </w:tr>
    </w:tbl>
    <w:p w:rsidR="00DB56E4" w:rsidRPr="006436A5" w:rsidRDefault="00121F06" w:rsidP="00DB56E4">
      <w:pPr>
        <w:pStyle w:val="AmOrLang"/>
      </w:pPr>
      <w:r w:rsidRPr="006436A5">
        <w:lastRenderedPageBreak/>
        <w:t xml:space="preserve">Or. </w:t>
      </w:r>
      <w:r w:rsidRPr="006436A5">
        <w:rPr>
          <w:rStyle w:val="HideTWBExt"/>
          <w:noProof w:val="0"/>
        </w:rPr>
        <w:t>&lt;Original&gt;</w:t>
      </w:r>
      <w:r w:rsidR="00E35335" w:rsidRPr="006436A5">
        <w:rPr>
          <w:rStyle w:val="HideTWBInt"/>
        </w:rPr>
        <w:t>{EN}</w:t>
      </w:r>
      <w:r w:rsidR="00E35335" w:rsidRPr="006436A5">
        <w:t>en</w:t>
      </w:r>
      <w:r w:rsidRPr="006436A5">
        <w:rPr>
          <w:rStyle w:val="HideTWBExt"/>
          <w:noProof w:val="0"/>
        </w:rPr>
        <w:t>&lt;/Original&gt;</w:t>
      </w:r>
    </w:p>
    <w:p w:rsidR="00DB56E4" w:rsidRPr="006436A5" w:rsidRDefault="00121F06" w:rsidP="00DB56E4">
      <w:r w:rsidRPr="006436A5">
        <w:rPr>
          <w:rStyle w:val="HideTWBExt"/>
        </w:rPr>
        <w:t>&lt;/Amend&gt;</w:t>
      </w:r>
      <w:bookmarkEnd w:id="2"/>
    </w:p>
    <w:p w:rsidR="00E35335" w:rsidRPr="006436A5" w:rsidRDefault="00121F06" w:rsidP="0004333E">
      <w:pPr>
        <w:pStyle w:val="AmNumberTabs"/>
        <w:keepNext/>
      </w:pPr>
      <w:bookmarkStart w:id="3" w:name="EndB"/>
      <w:r w:rsidRPr="006436A5">
        <w:rPr>
          <w:rStyle w:val="HideTWBExt"/>
          <w:b w:val="0"/>
        </w:rPr>
        <w:t>&lt;A</w:t>
      </w:r>
      <w:r w:rsidRPr="006436A5">
        <w:rPr>
          <w:rStyle w:val="HideTWBExt"/>
          <w:b w:val="0"/>
        </w:rPr>
        <w:t>mend&gt;</w:t>
      </w:r>
      <w:r w:rsidRPr="006436A5">
        <w:t>Änderungsantrag</w:t>
      </w:r>
      <w:r w:rsidRPr="006436A5">
        <w:tab/>
      </w:r>
      <w:r w:rsidRPr="006436A5">
        <w:tab/>
      </w:r>
      <w:r w:rsidRPr="006436A5">
        <w:rPr>
          <w:rStyle w:val="HideTWBExt"/>
          <w:b w:val="0"/>
        </w:rPr>
        <w:t>&lt;NumAm&gt;</w:t>
      </w:r>
      <w:r w:rsidRPr="006436A5">
        <w:t>2</w:t>
      </w:r>
      <w:r w:rsidRPr="006436A5">
        <w:rPr>
          <w:rStyle w:val="HideTWBExt"/>
          <w:b w:val="0"/>
        </w:rPr>
        <w:t>&lt;/NumAm&gt;</w:t>
      </w:r>
    </w:p>
    <w:p w:rsidR="00E35335" w:rsidRPr="006436A5" w:rsidRDefault="00121F06" w:rsidP="0004333E">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04333E">
      <w:pPr>
        <w:pStyle w:val="NormalBold"/>
        <w:keepNext/>
      </w:pPr>
      <w:r w:rsidRPr="006436A5">
        <w:rPr>
          <w:rStyle w:val="HideTWBExt"/>
          <w:b w:val="0"/>
        </w:rPr>
        <w:t>&lt;Article&gt;</w:t>
      </w:r>
      <w:r w:rsidRPr="006436A5">
        <w:t>Erwägung 26</w:t>
      </w:r>
      <w:r w:rsidRPr="006436A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DB56E4">
        <w:trPr>
          <w:jc w:val="center"/>
        </w:trPr>
        <w:tc>
          <w:tcPr>
            <w:tcW w:w="9752" w:type="dxa"/>
            <w:gridSpan w:val="2"/>
          </w:tcPr>
          <w:p w:rsidR="00E35335" w:rsidRPr="006436A5" w:rsidRDefault="00E35335" w:rsidP="00DB56E4">
            <w:pPr>
              <w:keepNext/>
            </w:pPr>
          </w:p>
        </w:tc>
      </w:tr>
      <w:tr w:rsidR="000328D0" w:rsidRPr="006436A5" w:rsidTr="00DB56E4">
        <w:trPr>
          <w:jc w:val="center"/>
        </w:trPr>
        <w:tc>
          <w:tcPr>
            <w:tcW w:w="4876" w:type="dxa"/>
          </w:tcPr>
          <w:p w:rsidR="00E35335" w:rsidRPr="006436A5" w:rsidRDefault="00121F06" w:rsidP="00E35335">
            <w:pPr>
              <w:pStyle w:val="AmColumnHeading"/>
              <w:keepNext/>
            </w:pPr>
            <w:r w:rsidRPr="006436A5">
              <w:t>Vorschlag der Kommission</w:t>
            </w:r>
          </w:p>
        </w:tc>
        <w:tc>
          <w:tcPr>
            <w:tcW w:w="4876" w:type="dxa"/>
          </w:tcPr>
          <w:p w:rsidR="00E35335" w:rsidRPr="006436A5" w:rsidRDefault="00121F06" w:rsidP="00DB56E4">
            <w:pPr>
              <w:pStyle w:val="AmColumnHeading"/>
              <w:keepNext/>
            </w:pPr>
            <w:r w:rsidRPr="006436A5">
              <w:t>Geänderter Text</w:t>
            </w:r>
          </w:p>
        </w:tc>
      </w:tr>
      <w:tr w:rsidR="000328D0" w:rsidRPr="006436A5" w:rsidTr="00DB56E4">
        <w:trPr>
          <w:jc w:val="center"/>
        </w:trPr>
        <w:tc>
          <w:tcPr>
            <w:tcW w:w="4876" w:type="dxa"/>
          </w:tcPr>
          <w:p w:rsidR="00E35335" w:rsidRPr="006436A5" w:rsidRDefault="00121F06" w:rsidP="00DB56E4">
            <w:pPr>
              <w:pStyle w:val="Normal6a"/>
            </w:pPr>
            <w:r w:rsidRPr="006436A5">
              <w:t xml:space="preserve">(26) Eine effiziente Koordinierung ist von entscheidender Bedeutung für eine wirksame </w:t>
            </w:r>
            <w:r w:rsidRPr="006436A5">
              <w:t>Krisenreaktion. Um eine solche Koordinierung zu gewährleisten, sollten die Mitgliedstaaten durch das Krisenreaktionszentrum des EAD und das Zentrum für die Koordination von Notfallmaßnahmen der Kommission unterstützt werden. Eine koordinierte Krisenreaktio</w:t>
            </w:r>
            <w:r w:rsidRPr="006436A5">
              <w:t>n der Union ist besonders wichtig in Fällen, in denen Evakuierungen erforderlich sind; sie trägt dazu bei, dass die verfügbare Unterstützung effizient bereitgestellt und die verfügbaren Evakuierungskapazitäten bestmöglich genutzt werden. Aus diesem Grund s</w:t>
            </w:r>
            <w:r w:rsidRPr="006436A5">
              <w:t>ollten Informationen über die verfügbaren Evakuierungskapazitäten zeitnah ausgetauscht werden, auch für Fälle von Rettungs- und Evakuierungseinsätzen mit militärischen Mitteln.</w:t>
            </w:r>
          </w:p>
        </w:tc>
        <w:tc>
          <w:tcPr>
            <w:tcW w:w="4876" w:type="dxa"/>
          </w:tcPr>
          <w:p w:rsidR="00E35335" w:rsidRPr="006436A5" w:rsidRDefault="00121F06" w:rsidP="00DB56E4">
            <w:pPr>
              <w:pStyle w:val="Normal6a"/>
              <w:rPr>
                <w:szCs w:val="24"/>
              </w:rPr>
            </w:pPr>
            <w:r w:rsidRPr="006436A5">
              <w:t>(26) Eine effiziente Koordinierung ist von entscheidender Bedeutung für eine wi</w:t>
            </w:r>
            <w:r w:rsidRPr="006436A5">
              <w:t>rksame Krisenreaktion. Um eine solche Koordinierung zu gewährleisten, sollten die Mitgliedstaaten durch das Krisenreaktionszentrum des EAD und das Zentrum für die Koordination von Notfallmaßnahmen der Kommission unterstützt werden. Eine koordinierte Krisen</w:t>
            </w:r>
            <w:r w:rsidRPr="006436A5">
              <w:t xml:space="preserve">reaktion der Union ist besonders wichtig in Fällen, in denen Evakuierungen erforderlich sind; sie trägt dazu bei, dass die verfügbare Unterstützung effizient bereitgestellt und die verfügbaren Evakuierungskapazitäten bestmöglich genutzt werden. Aus diesem </w:t>
            </w:r>
            <w:r w:rsidRPr="006436A5">
              <w:t xml:space="preserve">Grund sollten </w:t>
            </w:r>
            <w:r w:rsidRPr="006436A5">
              <w:rPr>
                <w:b/>
                <w:bCs/>
                <w:i/>
                <w:iCs/>
              </w:rPr>
              <w:t>einschlägige</w:t>
            </w:r>
            <w:r w:rsidRPr="006436A5">
              <w:t xml:space="preserve"> Informationen </w:t>
            </w:r>
            <w:r w:rsidRPr="006436A5">
              <w:rPr>
                <w:b/>
                <w:bCs/>
                <w:i/>
                <w:iCs/>
              </w:rPr>
              <w:t>aus erster Hand, wie etwa</w:t>
            </w:r>
            <w:r w:rsidRPr="006436A5">
              <w:t xml:space="preserve"> über die verfügbaren Evakuierungskapazitäten zeitnah ausgetauscht werden, </w:t>
            </w:r>
            <w:r w:rsidRPr="006436A5">
              <w:rPr>
                <w:b/>
                <w:bCs/>
                <w:i/>
                <w:iCs/>
              </w:rPr>
              <w:t>um rasch und wirksam reagieren zu können,</w:t>
            </w:r>
            <w:r w:rsidRPr="006436A5">
              <w:t xml:space="preserve"> auch für Fälle von Rettungs- und Evakuierungseinsätzen mit militärischen Mitteln. </w:t>
            </w:r>
            <w:r w:rsidRPr="006436A5">
              <w:rPr>
                <w:b/>
                <w:i/>
              </w:rPr>
              <w:t xml:space="preserve">In diesem Zusammenhang sollte der EAD in der Lage sein, automatisch kontinuierliche Informationen von den </w:t>
            </w:r>
            <w:r w:rsidRPr="006436A5">
              <w:rPr>
                <w:b/>
                <w:i/>
              </w:rPr>
              <w:lastRenderedPageBreak/>
              <w:t>Mitgliedstaaten über die Lage in Drittländern zu erhalten.</w:t>
            </w:r>
          </w:p>
        </w:tc>
      </w:tr>
    </w:tbl>
    <w:p w:rsidR="00E35335" w:rsidRPr="006436A5" w:rsidRDefault="00121F06" w:rsidP="0004333E">
      <w:pPr>
        <w:pStyle w:val="AmOrLang"/>
      </w:pPr>
      <w:r w:rsidRPr="006436A5">
        <w:lastRenderedPageBreak/>
        <w:t xml:space="preserve">Or. </w:t>
      </w:r>
      <w:r w:rsidRPr="006436A5">
        <w:rPr>
          <w:rStyle w:val="HideTWBExt"/>
          <w:rFonts w:eastAsiaTheme="majorEastAsia"/>
        </w:rPr>
        <w:t>&lt;Or</w:t>
      </w:r>
      <w:r w:rsidRPr="006436A5">
        <w:rPr>
          <w:rStyle w:val="HideTWBExt"/>
          <w:rFonts w:eastAsiaTheme="majorEastAsia"/>
        </w:rPr>
        <w:t>iginal&gt;</w:t>
      </w:r>
      <w:r w:rsidR="00E03C69" w:rsidRPr="006436A5">
        <w:rPr>
          <w:rStyle w:val="HideTWBInt"/>
        </w:rPr>
        <w:t>{EN}</w:t>
      </w:r>
      <w:r w:rsidR="00E03C69" w:rsidRPr="006436A5">
        <w:t>en</w:t>
      </w:r>
      <w:r w:rsidRPr="006436A5">
        <w:rPr>
          <w:rStyle w:val="HideTWBExt"/>
          <w:rFonts w:eastAsiaTheme="majorEastAsia"/>
        </w:rPr>
        <w:t>&lt;/Original&gt;</w:t>
      </w:r>
    </w:p>
    <w:p w:rsidR="00E35335" w:rsidRPr="006436A5" w:rsidRDefault="00121F06" w:rsidP="0004333E">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3</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Erwägung 34 a (neu)</w:t>
      </w:r>
      <w:r w:rsidRPr="006436A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E03C69">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 </w:t>
            </w:r>
          </w:p>
        </w:tc>
        <w:tc>
          <w:tcPr>
            <w:tcW w:w="4876" w:type="dxa"/>
          </w:tcPr>
          <w:p w:rsidR="00E35335" w:rsidRPr="006436A5" w:rsidRDefault="00121F06" w:rsidP="0004333E">
            <w:pPr>
              <w:pStyle w:val="Normal6a"/>
              <w:rPr>
                <w:szCs w:val="24"/>
              </w:rPr>
            </w:pPr>
            <w:r w:rsidRPr="006436A5">
              <w:rPr>
                <w:b/>
                <w:i/>
              </w:rPr>
              <w:t>(34a)</w:t>
            </w:r>
            <w:r w:rsidRPr="006436A5">
              <w:tab/>
            </w:r>
            <w:r w:rsidRPr="006436A5">
              <w:rPr>
                <w:b/>
                <w:i/>
              </w:rPr>
              <w:t xml:space="preserve">Zusätzlich zu den Einnahmen aus den </w:t>
            </w:r>
            <w:r w:rsidRPr="006436A5">
              <w:rPr>
                <w:b/>
                <w:i/>
              </w:rPr>
              <w:t>Erstattungen der Mitgliedstaaten sollte eine angemessene Aufstockung des EAD-Haushalts gewährt werden, um die ordnungsgemäße Ausführung der Zuständigkeiten bei der Bereitstellung von Unterstützung und/oder Schutz für EU-Bürger sicherzustellen. Die Auswirku</w:t>
            </w:r>
            <w:r w:rsidRPr="006436A5">
              <w:rPr>
                <w:b/>
                <w:i/>
              </w:rPr>
              <w:t>ngen anhaltender Krisen und Konflikte weltweit können die Gefahr einer Überlastung des konsularischen Schutzes und/oder der konsularischen Unterstützung der Mitgliedstaaten bergen, insbesondere in Zeiten großer Krisen. Dem EAD und den Delegationen der Unio</w:t>
            </w:r>
            <w:r w:rsidRPr="006436A5">
              <w:rPr>
                <w:b/>
                <w:i/>
              </w:rPr>
              <w:t>n, die in dieser Hinsicht eine immer wichtigere Rolle spielen, kommen eine zentrale Koordinierungsfunktion vor Ort zu.</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E03C69" w:rsidRPr="006436A5">
        <w:rPr>
          <w:rStyle w:val="HideTWBInt"/>
        </w:rPr>
        <w:t>{EN}</w:t>
      </w:r>
      <w:r w:rsidR="00E03C69"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4</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4</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11 – Absatz 2 a (neu)</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516E52">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 </w:t>
            </w:r>
          </w:p>
        </w:tc>
        <w:tc>
          <w:tcPr>
            <w:tcW w:w="4876" w:type="dxa"/>
          </w:tcPr>
          <w:p w:rsidR="00E35335" w:rsidRPr="006436A5" w:rsidRDefault="00121F06" w:rsidP="0004333E">
            <w:pPr>
              <w:pStyle w:val="Normal6a"/>
              <w:rPr>
                <w:szCs w:val="24"/>
              </w:rPr>
            </w:pPr>
            <w:r w:rsidRPr="006436A5">
              <w:rPr>
                <w:b/>
                <w:i/>
              </w:rPr>
              <w:t>(2a)</w:t>
            </w:r>
            <w:r w:rsidRPr="006436A5">
              <w:tab/>
            </w:r>
            <w:r w:rsidRPr="006436A5">
              <w:rPr>
                <w:b/>
                <w:i/>
              </w:rPr>
              <w:t xml:space="preserve">Der EAD und die Delegationen der Union erhalten die </w:t>
            </w:r>
            <w:r w:rsidRPr="006436A5">
              <w:rPr>
                <w:b/>
                <w:i/>
              </w:rPr>
              <w:t xml:space="preserve">zusätzlich erforderlichen finanziellen und </w:t>
            </w:r>
            <w:r w:rsidRPr="006436A5">
              <w:rPr>
                <w:b/>
                <w:i/>
              </w:rPr>
              <w:lastRenderedPageBreak/>
              <w:t>personellen Ressourcen zur Deckung der Gemeinkosten und des zusätzlichen horizontalen Verwaltungsaufwands.</w:t>
            </w:r>
          </w:p>
        </w:tc>
      </w:tr>
    </w:tbl>
    <w:p w:rsidR="00E35335" w:rsidRPr="006436A5" w:rsidRDefault="00121F06" w:rsidP="00E35335">
      <w:pPr>
        <w:pStyle w:val="AmOrLang"/>
      </w:pPr>
      <w:r w:rsidRPr="006436A5">
        <w:lastRenderedPageBreak/>
        <w:t xml:space="preserve">Or. </w:t>
      </w:r>
      <w:r w:rsidRPr="006436A5">
        <w:rPr>
          <w:rStyle w:val="HideTWBExt"/>
          <w:rFonts w:eastAsiaTheme="majorEastAsia"/>
        </w:rPr>
        <w:t>&lt;Original&gt;</w:t>
      </w:r>
      <w:r w:rsidR="00516E52" w:rsidRPr="006436A5">
        <w:rPr>
          <w:rStyle w:val="HideTWBInt"/>
        </w:rPr>
        <w:t>{EN}</w:t>
      </w:r>
      <w:r w:rsidR="00516E52"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5</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w:t>
      </w:r>
      <w:r w:rsidRPr="006436A5">
        <w:t xml:space="preserve">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4</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13 – Absatz 4 a (neu)</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2D3573">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 </w:t>
            </w:r>
          </w:p>
        </w:tc>
        <w:tc>
          <w:tcPr>
            <w:tcW w:w="4876" w:type="dxa"/>
          </w:tcPr>
          <w:p w:rsidR="00E35335" w:rsidRPr="006436A5" w:rsidRDefault="00121F06" w:rsidP="0004333E">
            <w:pPr>
              <w:pStyle w:val="Normal6a"/>
              <w:rPr>
                <w:szCs w:val="24"/>
              </w:rPr>
            </w:pPr>
            <w:r w:rsidRPr="006436A5">
              <w:rPr>
                <w:b/>
                <w:i/>
              </w:rPr>
              <w:t>(4a)</w:t>
            </w:r>
            <w:r w:rsidRPr="006436A5">
              <w:rPr>
                <w:b/>
                <w:i/>
              </w:rPr>
              <w:tab/>
              <w:t xml:space="preserve">Die Mitgliedstaaten </w:t>
            </w:r>
            <w:r w:rsidRPr="006436A5">
              <w:rPr>
                <w:b/>
                <w:i/>
              </w:rPr>
              <w:t>verbessern mit den Delegationen der Union die Lageerfassung in Drittländern, unter anderem durch die regelmäßige Weitergabe aktualisierter Risikobewertungen und möglicher Bedrohungen für die Sicherheit der EU-Bürger.</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2D3573" w:rsidRPr="006436A5">
        <w:rPr>
          <w:rStyle w:val="HideTWBInt"/>
        </w:rPr>
        <w:t>{EN}</w:t>
      </w:r>
      <w:r w:rsidR="002D3573"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6</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4</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13 – Absatz 5 a (neu)</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2D3573">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 </w:t>
            </w:r>
          </w:p>
        </w:tc>
        <w:tc>
          <w:tcPr>
            <w:tcW w:w="4876" w:type="dxa"/>
          </w:tcPr>
          <w:p w:rsidR="00E35335" w:rsidRPr="006436A5" w:rsidRDefault="00121F06" w:rsidP="0004333E">
            <w:pPr>
              <w:pStyle w:val="Normal6a"/>
              <w:rPr>
                <w:szCs w:val="24"/>
              </w:rPr>
            </w:pPr>
            <w:r w:rsidRPr="006436A5">
              <w:rPr>
                <w:b/>
                <w:i/>
              </w:rPr>
              <w:t>(5a)</w:t>
            </w:r>
            <w:r w:rsidRPr="006436A5">
              <w:tab/>
            </w:r>
            <w:r w:rsidRPr="006436A5">
              <w:rPr>
                <w:b/>
                <w:i/>
              </w:rPr>
              <w:t xml:space="preserve">Der EAD bietet in enger Zusammenarbeit mit den Mitgliedstaaten für Unionsbedienstete sowie für diplomatisches und konsularisches Personal der Mitgliedstaaten Schulungen zur konsularischen Krisenvorsorge und </w:t>
            </w:r>
            <w:r w:rsidRPr="006436A5">
              <w:rPr>
                <w:b/>
                <w:i/>
              </w:rPr>
              <w:t>-reaktion an.</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2D3573" w:rsidRPr="006436A5">
        <w:rPr>
          <w:rStyle w:val="HideTWBInt"/>
        </w:rPr>
        <w:t>{EN}</w:t>
      </w:r>
      <w:r w:rsidR="002D3573"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lastRenderedPageBreak/>
        <w:t>&lt;Amend&gt;</w:t>
      </w:r>
      <w:r w:rsidRPr="006436A5">
        <w:t>Änderungsantrag</w:t>
      </w:r>
      <w:r w:rsidRPr="006436A5">
        <w:tab/>
      </w:r>
      <w:r w:rsidRPr="006436A5">
        <w:tab/>
      </w:r>
      <w:r w:rsidRPr="006436A5">
        <w:rPr>
          <w:rStyle w:val="HideTWBExt"/>
          <w:b w:val="0"/>
        </w:rPr>
        <w:t>&lt;NumAm&gt;</w:t>
      </w:r>
      <w:r w:rsidRPr="006436A5">
        <w:t>7</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5</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13 a – Absatz 2</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78423E">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(2)</w:t>
            </w:r>
            <w:r w:rsidRPr="006436A5">
              <w:tab/>
              <w:t>Erforderlichenfalls können die Mitgliedstaaten von gemeinsamen konsularischen Teams unterstützt werden, die sich aus Experten der Mitgliedstaaten, insbesondere aus</w:t>
            </w:r>
            <w:r w:rsidRPr="006436A5">
              <w:t xml:space="preserve"> Mitgliedstaaten, die in dem von der Krise betroffenen Drittland nicht vertreten sind, des EAD und der Kommissionsdienststellen zusammensetzen. Die gemeinsamen konsularischen Teams stehen für eine schnelle Entsendung in von einer konsularischen Krise betro</w:t>
            </w:r>
            <w:r w:rsidRPr="006436A5">
              <w:t>ffene Drittländer zur Verfügung. Die Beteiligung an gemeinsamen konsularischen Teams ist freiwillig.</w:t>
            </w:r>
          </w:p>
        </w:tc>
        <w:tc>
          <w:tcPr>
            <w:tcW w:w="4876" w:type="dxa"/>
          </w:tcPr>
          <w:p w:rsidR="00E35335" w:rsidRPr="006436A5" w:rsidRDefault="00121F06" w:rsidP="0004333E">
            <w:pPr>
              <w:pStyle w:val="Normal6a"/>
              <w:rPr>
                <w:szCs w:val="24"/>
              </w:rPr>
            </w:pPr>
            <w:r w:rsidRPr="006436A5">
              <w:t>(2)</w:t>
            </w:r>
            <w:r w:rsidRPr="006436A5">
              <w:tab/>
              <w:t>Erforderlichenfalls können die Mitgliedstaaten von gemeinsamen konsularischen Teams unterstützt werden, die sich aus Experten der Mitgliedstaaten, insb</w:t>
            </w:r>
            <w:r w:rsidRPr="006436A5">
              <w:t>esondere aus Mitgliedstaaten, die in dem von der Krise betroffenen Drittland nicht vertreten sind, des EAD und der Kommissionsdienststellen zusammensetzen. Die gemeinsamen konsularischen Teams stehen für eine schnelle Entsendung in von einer konsularischen</w:t>
            </w:r>
            <w:r w:rsidRPr="006436A5">
              <w:t xml:space="preserve"> Krise betroffene Drittländer zur Verfügung. Die Beteiligung an gemeinsamen konsularischen Teams ist freiwillig.</w:t>
            </w:r>
            <w:r w:rsidRPr="006436A5">
              <w:rPr>
                <w:b/>
                <w:i/>
              </w:rPr>
              <w:t xml:space="preserve"> Der EAD und die Kommission unterstützen die Vorbereitung dieser Experten und der gemeinsamen konsularischen Teams.</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78423E" w:rsidRPr="006436A5">
        <w:rPr>
          <w:rStyle w:val="HideTWBInt"/>
        </w:rPr>
        <w:t>{EN}</w:t>
      </w:r>
      <w:r w:rsidR="0078423E" w:rsidRPr="006436A5">
        <w:t>en</w:t>
      </w:r>
      <w:r w:rsidRPr="006436A5">
        <w:rPr>
          <w:rStyle w:val="HideTWBExt"/>
          <w:rFonts w:eastAsiaTheme="majorEastAsia"/>
        </w:rPr>
        <w:t>&lt;/Origi</w:t>
      </w:r>
      <w:r w:rsidRPr="006436A5">
        <w:rPr>
          <w:rStyle w:val="HideTWBExt"/>
          <w:rFonts w:eastAsiaTheme="majorEastAsia"/>
        </w:rPr>
        <w:t>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8</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5</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13 a – Absatz 4</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78423E">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78423E">
            <w:pPr>
              <w:pStyle w:val="Normal6a"/>
            </w:pPr>
            <w:r w:rsidRPr="006436A5">
              <w:t>(4)</w:t>
            </w:r>
            <w:r w:rsidRPr="006436A5">
              <w:tab/>
              <w:t xml:space="preserve">Bei der Leistung von Hilfe können die Mitgliedstaaten gegebenenfalls </w:t>
            </w:r>
            <w:r w:rsidRPr="006436A5">
              <w:rPr>
                <w:b/>
                <w:bCs/>
                <w:i/>
                <w:iCs/>
              </w:rPr>
              <w:t>um Unterstützung</w:t>
            </w:r>
            <w:r w:rsidRPr="006436A5">
              <w:t xml:space="preserve"> durch Instrumente der Union wie die Krisenbewältigungsstrukturen des EAD und sein Krisenreaktionszentrum </w:t>
            </w:r>
            <w:r w:rsidRPr="006436A5">
              <w:rPr>
                <w:b/>
                <w:bCs/>
                <w:i/>
                <w:iCs/>
              </w:rPr>
              <w:t>und – über</w:t>
            </w:r>
            <w:r w:rsidRPr="006436A5">
              <w:t xml:space="preserve"> das mit Artikel 7 des Beschlusses Nr. 1313/2013/EU eingerichtete Zentrum </w:t>
            </w:r>
            <w:r w:rsidRPr="006436A5">
              <w:lastRenderedPageBreak/>
              <w:t xml:space="preserve">für die Koordination von Notfallmaßnahmen </w:t>
            </w:r>
            <w:r w:rsidRPr="006436A5">
              <w:rPr>
                <w:b/>
                <w:bCs/>
                <w:i/>
                <w:iCs/>
              </w:rPr>
              <w:t>–</w:t>
            </w:r>
            <w:r w:rsidRPr="006436A5">
              <w:t xml:space="preserve"> das Katastrophenschutzverfahren der Union </w:t>
            </w:r>
            <w:r w:rsidRPr="006436A5">
              <w:rPr>
                <w:b/>
                <w:bCs/>
                <w:i/>
                <w:iCs/>
              </w:rPr>
              <w:t>ersuchen</w:t>
            </w:r>
            <w:r w:rsidRPr="006436A5">
              <w:t>.</w:t>
            </w:r>
          </w:p>
        </w:tc>
        <w:tc>
          <w:tcPr>
            <w:tcW w:w="4876" w:type="dxa"/>
          </w:tcPr>
          <w:p w:rsidR="00E35335" w:rsidRPr="006436A5" w:rsidRDefault="00121F06" w:rsidP="0078423E">
            <w:pPr>
              <w:pStyle w:val="Normal6a"/>
              <w:rPr>
                <w:szCs w:val="24"/>
              </w:rPr>
            </w:pPr>
            <w:r w:rsidRPr="006436A5">
              <w:lastRenderedPageBreak/>
              <w:t>(4)</w:t>
            </w:r>
            <w:r w:rsidRPr="006436A5">
              <w:tab/>
              <w:t>Bei der Leistung von Hilfe können die Mitgliedstaaten gegebenenfalls durch Instrum</w:t>
            </w:r>
            <w:r w:rsidRPr="006436A5">
              <w:t xml:space="preserve">ente der Union wie die Krisenbewältigungsstrukturen des EAD und sein Krisenreaktionszentrum </w:t>
            </w:r>
            <w:r w:rsidRPr="006436A5">
              <w:rPr>
                <w:b/>
                <w:bCs/>
                <w:i/>
                <w:iCs/>
              </w:rPr>
              <w:t>unterstützt werden.</w:t>
            </w:r>
            <w:r w:rsidRPr="006436A5">
              <w:rPr>
                <w:b/>
                <w:i/>
              </w:rPr>
              <w:t xml:space="preserve"> </w:t>
            </w:r>
            <w:r w:rsidRPr="006436A5">
              <w:rPr>
                <w:b/>
                <w:bCs/>
                <w:i/>
                <w:iCs/>
              </w:rPr>
              <w:t>Die Mitgliedstaaten können auch</w:t>
            </w:r>
            <w:r w:rsidRPr="006436A5">
              <w:t xml:space="preserve"> das mit Artikel 7 des Beschlusses Nr. 1313/2013/EU </w:t>
            </w:r>
            <w:r w:rsidRPr="006436A5">
              <w:lastRenderedPageBreak/>
              <w:t>eingerichtete Zentrum für die Koordination von Notfallmaßnahm</w:t>
            </w:r>
            <w:r w:rsidRPr="006436A5">
              <w:t>en</w:t>
            </w:r>
            <w:r w:rsidRPr="006436A5">
              <w:rPr>
                <w:b/>
                <w:bCs/>
                <w:i/>
                <w:iCs/>
              </w:rPr>
              <w:t>,</w:t>
            </w:r>
            <w:r w:rsidRPr="006436A5">
              <w:t xml:space="preserve"> das Katastrophenschutzverfahren der Union </w:t>
            </w:r>
            <w:r w:rsidRPr="006436A5">
              <w:rPr>
                <w:b/>
                <w:bCs/>
                <w:i/>
                <w:iCs/>
              </w:rPr>
              <w:t>sowie gegebenenfalls EU-Missionen und Operationen im Rahmen der Gemeinsamen Sicherheits- und Verteidigungspolitik einbeziehen</w:t>
            </w:r>
            <w:r w:rsidRPr="006436A5">
              <w:t>.</w:t>
            </w:r>
          </w:p>
        </w:tc>
      </w:tr>
    </w:tbl>
    <w:p w:rsidR="00E35335" w:rsidRPr="006436A5" w:rsidRDefault="00121F06" w:rsidP="00E35335">
      <w:pPr>
        <w:pStyle w:val="AmOrLang"/>
      </w:pPr>
      <w:r w:rsidRPr="006436A5">
        <w:lastRenderedPageBreak/>
        <w:t xml:space="preserve">Or. </w:t>
      </w:r>
      <w:r w:rsidRPr="006436A5">
        <w:rPr>
          <w:rStyle w:val="HideTWBExt"/>
          <w:rFonts w:eastAsiaTheme="majorEastAsia"/>
        </w:rPr>
        <w:t>&lt;Original&gt;</w:t>
      </w:r>
      <w:r w:rsidR="0078423E" w:rsidRPr="006436A5">
        <w:rPr>
          <w:rStyle w:val="HideTWBInt"/>
        </w:rPr>
        <w:t>{EN}</w:t>
      </w:r>
      <w:r w:rsidR="0078423E"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9</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6</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Kapitel 2 a – Artikel 13 b – Absatz 1 – Einleitung</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6F3B42">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6F3B42">
            <w:pPr>
              <w:pStyle w:val="Normal6a"/>
            </w:pPr>
            <w:r w:rsidRPr="006436A5">
              <w:t>(1)</w:t>
            </w:r>
            <w:r w:rsidRPr="006436A5">
              <w:tab/>
              <w:t xml:space="preserve">Mindestens einmal jährlich stellen die Mitgliedstaaten der Kommission </w:t>
            </w:r>
            <w:r w:rsidRPr="006436A5">
              <w:rPr>
                <w:b/>
                <w:bCs/>
                <w:i/>
                <w:iCs/>
              </w:rPr>
              <w:t>und dem Hohen Vertreter der Union für Außen- und Sicherheitspolitik</w:t>
            </w:r>
            <w:r w:rsidRPr="006436A5">
              <w:t xml:space="preserve"> die folgenden Informationen zur Verfügung:</w:t>
            </w:r>
          </w:p>
        </w:tc>
        <w:tc>
          <w:tcPr>
            <w:tcW w:w="4876" w:type="dxa"/>
          </w:tcPr>
          <w:p w:rsidR="00E35335" w:rsidRPr="006436A5" w:rsidRDefault="00121F06" w:rsidP="006F3B42">
            <w:pPr>
              <w:pStyle w:val="Normal6a"/>
              <w:rPr>
                <w:szCs w:val="24"/>
              </w:rPr>
            </w:pPr>
            <w:r w:rsidRPr="006436A5">
              <w:t>(1)</w:t>
            </w:r>
            <w:r w:rsidRPr="006436A5">
              <w:tab/>
              <w:t>Mindestens einmal jährlich stellen die Mitgliedsta</w:t>
            </w:r>
            <w:r w:rsidRPr="006436A5">
              <w:t xml:space="preserve">aten </w:t>
            </w:r>
            <w:r w:rsidRPr="006436A5">
              <w:rPr>
                <w:b/>
                <w:bCs/>
                <w:i/>
                <w:iCs/>
              </w:rPr>
              <w:t>dem EAD</w:t>
            </w:r>
            <w:r w:rsidRPr="006436A5">
              <w:t xml:space="preserve"> </w:t>
            </w:r>
            <w:r w:rsidRPr="006436A5">
              <w:rPr>
                <w:b/>
                <w:bCs/>
                <w:i/>
                <w:iCs/>
              </w:rPr>
              <w:t>und</w:t>
            </w:r>
            <w:r w:rsidRPr="006436A5">
              <w:t xml:space="preserve"> der Kommission die folgenden Informationen zur Verfügung:</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6F3B42" w:rsidRPr="006436A5">
        <w:rPr>
          <w:rStyle w:val="HideTWBInt"/>
        </w:rPr>
        <w:t>{EN}</w:t>
      </w:r>
      <w:r w:rsidR="006F3B42"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10</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6</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Kapitel 2 a – Artikel 13 c – Absatz 1 – Einleitung</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6F3B42">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6F3B42" w:rsidRPr="006436A5" w:rsidRDefault="00121F06" w:rsidP="006F3B42">
            <w:pPr>
              <w:pStyle w:val="Normal6a"/>
            </w:pPr>
            <w:r w:rsidRPr="006436A5">
              <w:t>(1)</w:t>
            </w:r>
            <w:r w:rsidRPr="006436A5">
              <w:tab/>
              <w:t xml:space="preserve">Die Mitgliedstaaten treffen Maßnahmen, um ihre Bürger über ihr Recht nach </w:t>
            </w:r>
            <w:r w:rsidRPr="006436A5">
              <w:t>Artikel 20 Absatz 2 Buchstabe c AEUV zu informieren</w:t>
            </w:r>
            <w:r w:rsidRPr="006436A5">
              <w:rPr>
                <w:b/>
                <w:bCs/>
                <w:i/>
                <w:iCs/>
              </w:rPr>
              <w:t>. Hierzu können insbesondere die folgenden Maßnahmen gehören</w:t>
            </w:r>
            <w:r w:rsidRPr="006436A5">
              <w:t>:</w:t>
            </w:r>
          </w:p>
          <w:p w:rsidR="00E35335" w:rsidRPr="006436A5" w:rsidRDefault="00E35335" w:rsidP="006F3B42">
            <w:pPr>
              <w:pStyle w:val="Normal6a"/>
            </w:pPr>
          </w:p>
        </w:tc>
        <w:tc>
          <w:tcPr>
            <w:tcW w:w="4876" w:type="dxa"/>
          </w:tcPr>
          <w:p w:rsidR="00E35335" w:rsidRPr="006436A5" w:rsidRDefault="00121F06" w:rsidP="006F3B42">
            <w:pPr>
              <w:pStyle w:val="Normal6a"/>
            </w:pPr>
            <w:r w:rsidRPr="006436A5">
              <w:t>(1)</w:t>
            </w:r>
            <w:r w:rsidRPr="006436A5">
              <w:tab/>
              <w:t>Die Mitgliedstaaten treffen Maßnahmen, um ihre Bürger über ihr Recht nach Artikel 20 Absatz 2 Buchstabe c AEUV zu informieren</w:t>
            </w:r>
            <w:r w:rsidRPr="006436A5">
              <w:rPr>
                <w:b/>
                <w:bCs/>
                <w:i/>
                <w:iCs/>
              </w:rPr>
              <w:t>, insbesonder</w:t>
            </w:r>
            <w:r w:rsidRPr="006436A5">
              <w:rPr>
                <w:b/>
                <w:bCs/>
                <w:i/>
                <w:iCs/>
              </w:rPr>
              <w:t>e durch</w:t>
            </w:r>
            <w:r w:rsidRPr="006436A5">
              <w:t>:</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6F3B42" w:rsidRPr="006436A5">
        <w:rPr>
          <w:rStyle w:val="HideTWBInt"/>
        </w:rPr>
        <w:t>{EN}</w:t>
      </w:r>
      <w:r w:rsidR="006F3B42" w:rsidRPr="006436A5">
        <w:t>en</w:t>
      </w:r>
      <w:r w:rsidRPr="006436A5">
        <w:rPr>
          <w:rStyle w:val="HideTWBExt"/>
          <w:rFonts w:eastAsiaTheme="majorEastAsia"/>
        </w:rPr>
        <w:t>&lt;/Original&gt;</w:t>
      </w:r>
    </w:p>
    <w:p w:rsidR="00E35335" w:rsidRPr="006436A5" w:rsidRDefault="00121F06" w:rsidP="00E35335">
      <w:r w:rsidRPr="006436A5">
        <w:rPr>
          <w:rStyle w:val="HideTWBExt"/>
        </w:rPr>
        <w:lastRenderedPageBreak/>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11</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6</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Kapitel 2 a – Artikel 13 c – Absatz 1 – Einleitung – Buchstabe a</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6F3B42">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rPr>
                <w:b/>
                <w:i/>
              </w:rPr>
              <w:t>f)</w:t>
            </w:r>
            <w:r w:rsidRPr="006436A5">
              <w:rPr>
                <w:b/>
                <w:i/>
              </w:rPr>
              <w:tab/>
              <w:t>Wiedergabe des Artikels 23 Absatz 1 Satz 1 AEUV in den nationalen Reisepässen;</w:t>
            </w:r>
          </w:p>
        </w:tc>
        <w:tc>
          <w:tcPr>
            <w:tcW w:w="4876" w:type="dxa"/>
          </w:tcPr>
          <w:p w:rsidR="00E35335" w:rsidRPr="006436A5" w:rsidRDefault="00121F06" w:rsidP="0004333E">
            <w:pPr>
              <w:pStyle w:val="Normal6a"/>
              <w:rPr>
                <w:b/>
                <w:i/>
                <w:szCs w:val="24"/>
              </w:rPr>
            </w:pPr>
            <w:r w:rsidRPr="006436A5">
              <w:rPr>
                <w:b/>
                <w:i/>
              </w:rPr>
              <w:t>entfällt</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F8696F" w:rsidRPr="006436A5">
        <w:rPr>
          <w:rStyle w:val="HideTWBInt"/>
        </w:rPr>
        <w:t>{EN}</w:t>
      </w:r>
      <w:r w:rsidR="00F8696F"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12</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6</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Kapitel 2 a – Artikel 13 c – Absatz 1 – Einleitung – B</w:t>
      </w:r>
      <w:r w:rsidRPr="006436A5">
        <w:t>uchstabe d(neu)</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F8696F">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 </w:t>
            </w:r>
          </w:p>
        </w:tc>
        <w:tc>
          <w:tcPr>
            <w:tcW w:w="4876" w:type="dxa"/>
          </w:tcPr>
          <w:p w:rsidR="00E35335" w:rsidRPr="006436A5" w:rsidRDefault="00121F06" w:rsidP="0004333E">
            <w:pPr>
              <w:pStyle w:val="Normal6a"/>
              <w:rPr>
                <w:szCs w:val="24"/>
              </w:rPr>
            </w:pPr>
            <w:r w:rsidRPr="006436A5">
              <w:rPr>
                <w:b/>
                <w:i/>
              </w:rPr>
              <w:t>d)</w:t>
            </w:r>
            <w:r w:rsidRPr="006436A5">
              <w:rPr>
                <w:b/>
                <w:i/>
              </w:rPr>
              <w:tab/>
              <w:t xml:space="preserve">Entwicklung automatischer Meldesysteme, wie Kurznachrichtensysteme über Telefonnetze, um allen EU-Bürgern bei der Ankunft in einem Drittland grundlegende Kontaktinformationen für </w:t>
            </w:r>
            <w:r w:rsidRPr="006436A5">
              <w:rPr>
                <w:b/>
                <w:i/>
              </w:rPr>
              <w:t>den konsularischen Schutz sowie Warnmeldungen im Krisenfall zur Verfügung zu stellen;</w:t>
            </w:r>
          </w:p>
        </w:tc>
      </w:tr>
      <w:tr w:rsidR="000328D0" w:rsidRPr="006436A5" w:rsidTr="0004333E">
        <w:trPr>
          <w:jc w:val="center"/>
        </w:trPr>
        <w:tc>
          <w:tcPr>
            <w:tcW w:w="4876" w:type="dxa"/>
          </w:tcPr>
          <w:p w:rsidR="00F8696F" w:rsidRPr="006436A5" w:rsidRDefault="00F8696F" w:rsidP="0004333E">
            <w:pPr>
              <w:pStyle w:val="Normal6a"/>
            </w:pPr>
          </w:p>
        </w:tc>
        <w:tc>
          <w:tcPr>
            <w:tcW w:w="4876" w:type="dxa"/>
          </w:tcPr>
          <w:p w:rsidR="00F8696F" w:rsidRPr="006436A5" w:rsidRDefault="00121F06" w:rsidP="0004333E">
            <w:pPr>
              <w:pStyle w:val="Normal6a"/>
              <w:rPr>
                <w:b/>
                <w:i/>
              </w:rPr>
            </w:pPr>
            <w:r w:rsidRPr="006436A5">
              <w:rPr>
                <w:b/>
                <w:i/>
              </w:rPr>
              <w:t>Zusätzlich können die Mitgliedstaaten in den nationalen Reisepässen den ersten Satz des Artikels 23 AEUV wiedergeben.</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F8696F" w:rsidRPr="006436A5">
        <w:rPr>
          <w:rStyle w:val="HideTWBInt"/>
        </w:rPr>
        <w:t>{EN}</w:t>
      </w:r>
      <w:r w:rsidR="00F8696F"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lastRenderedPageBreak/>
        <w:t>&lt;Amend&gt;</w:t>
      </w:r>
      <w:r w:rsidRPr="006436A5">
        <w:t>Änderungsantrag</w:t>
      </w:r>
      <w:r w:rsidRPr="006436A5">
        <w:tab/>
      </w:r>
      <w:r w:rsidRPr="006436A5">
        <w:tab/>
      </w:r>
      <w:r w:rsidRPr="006436A5">
        <w:rPr>
          <w:rStyle w:val="HideTWBExt"/>
          <w:b w:val="0"/>
        </w:rPr>
        <w:t>&lt;NumAm&gt;</w:t>
      </w:r>
      <w:r w:rsidRPr="006436A5">
        <w:t>13</w:t>
      </w:r>
      <w:r w:rsidRPr="006436A5">
        <w:rPr>
          <w:rStyle w:val="HideTWBExt"/>
          <w:b w:val="0"/>
        </w:rPr>
        <w:t>&lt;/NumAm&gt;</w:t>
      </w:r>
    </w:p>
    <w:p w:rsidR="00E35335" w:rsidRPr="006436A5" w:rsidRDefault="00121F06" w:rsidP="00E35335">
      <w:pPr>
        <w:pStyle w:val="NormalBold12b"/>
        <w:keepNext/>
      </w:pPr>
      <w:r w:rsidRPr="006436A5">
        <w:rPr>
          <w:rStyle w:val="HideTWBExt"/>
          <w:b w:val="0"/>
        </w:rPr>
        <w:t>&lt;DocAmend&gt;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9</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16 b – Absatz 1 – Einleitung</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F8696F">
            <w:pPr>
              <w:pStyle w:val="AmColumnHeading"/>
              <w:keepNext/>
            </w:pPr>
            <w:r w:rsidRPr="006436A5">
              <w:t xml:space="preserve">Vorschlag </w:t>
            </w:r>
            <w:r w:rsidRPr="006436A5">
              <w:t>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F8696F">
            <w:pPr>
              <w:pStyle w:val="Normal6a"/>
            </w:pPr>
            <w:r w:rsidRPr="006436A5">
              <w:t xml:space="preserve">Die Mitgliedstaaten stellen sicher, dass nicht vertretenen Bürgern bei Verletzung ihrer Rechte nach dieser Richtlinie ein wirksamer </w:t>
            </w:r>
            <w:r w:rsidRPr="006436A5">
              <w:rPr>
                <w:b/>
                <w:bCs/>
                <w:i/>
                <w:iCs/>
              </w:rPr>
              <w:t>Rechtsbehelf</w:t>
            </w:r>
            <w:r w:rsidRPr="006436A5">
              <w:t xml:space="preserve"> nach nationalem Recht zusteht.</w:t>
            </w:r>
          </w:p>
        </w:tc>
        <w:tc>
          <w:tcPr>
            <w:tcW w:w="4876" w:type="dxa"/>
          </w:tcPr>
          <w:p w:rsidR="00E35335" w:rsidRPr="006436A5" w:rsidRDefault="00121F06" w:rsidP="00221197">
            <w:pPr>
              <w:pStyle w:val="Normal6a"/>
              <w:rPr>
                <w:szCs w:val="24"/>
              </w:rPr>
            </w:pPr>
            <w:r w:rsidRPr="006436A5">
              <w:t>Die Mitgliedstaaten stellen sicher, dass nicht v</w:t>
            </w:r>
            <w:r w:rsidRPr="006436A5">
              <w:t xml:space="preserve">ertretenen Bürgern bei Verletzung ihrer Rechte nach dieser Richtlinie ein wirksamer </w:t>
            </w:r>
            <w:r w:rsidRPr="006436A5">
              <w:rPr>
                <w:b/>
                <w:bCs/>
                <w:i/>
                <w:iCs/>
              </w:rPr>
              <w:t>Zugang zu Beschwerdemechanismen und</w:t>
            </w:r>
            <w:r w:rsidRPr="006436A5">
              <w:t xml:space="preserve"> </w:t>
            </w:r>
            <w:r w:rsidRPr="006436A5">
              <w:rPr>
                <w:b/>
                <w:bCs/>
                <w:i/>
                <w:iCs/>
              </w:rPr>
              <w:t>Rechtsbehelfen</w:t>
            </w:r>
            <w:r w:rsidRPr="006436A5">
              <w:t xml:space="preserve"> nach nationalem Recht zusteht.</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04333E" w:rsidRPr="006436A5">
        <w:rPr>
          <w:rStyle w:val="HideTWBInt"/>
        </w:rPr>
        <w:t>{EN}</w:t>
      </w:r>
      <w:r w:rsidR="0004333E"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E35335" w:rsidRPr="006436A5" w:rsidRDefault="00121F06" w:rsidP="00E35335">
      <w:pPr>
        <w:pStyle w:val="AmNumberTabs"/>
        <w:keepNext/>
      </w:pPr>
      <w:r w:rsidRPr="006436A5">
        <w:rPr>
          <w:rStyle w:val="HideTWBExt"/>
          <w:b w:val="0"/>
        </w:rPr>
        <w:t>&lt;Amend&gt;</w:t>
      </w:r>
      <w:r w:rsidRPr="006436A5">
        <w:t>Änderungsantrag</w:t>
      </w:r>
      <w:r w:rsidRPr="006436A5">
        <w:tab/>
      </w:r>
      <w:r w:rsidRPr="006436A5">
        <w:tab/>
      </w:r>
      <w:r w:rsidRPr="006436A5">
        <w:rPr>
          <w:rStyle w:val="HideTWBExt"/>
          <w:b w:val="0"/>
        </w:rPr>
        <w:t>&lt;NumAm&gt;</w:t>
      </w:r>
      <w:r w:rsidRPr="006436A5">
        <w:t>14</w:t>
      </w:r>
      <w:r w:rsidRPr="006436A5">
        <w:rPr>
          <w:rStyle w:val="HideTWBExt"/>
          <w:b w:val="0"/>
        </w:rPr>
        <w:t>&lt;/NumAm&gt;</w:t>
      </w:r>
    </w:p>
    <w:p w:rsidR="00E35335" w:rsidRPr="006436A5" w:rsidRDefault="00121F06" w:rsidP="00E35335">
      <w:pPr>
        <w:pStyle w:val="NormalBold12b"/>
        <w:keepNext/>
      </w:pPr>
      <w:r w:rsidRPr="006436A5">
        <w:rPr>
          <w:rStyle w:val="HideTWBExt"/>
          <w:b w:val="0"/>
        </w:rPr>
        <w:t>&lt;DocAm</w:t>
      </w:r>
      <w:r w:rsidRPr="006436A5">
        <w:rPr>
          <w:rStyle w:val="HideTWBExt"/>
          <w:b w:val="0"/>
        </w:rPr>
        <w:t>end&gt;</w:t>
      </w:r>
      <w:r w:rsidRPr="006436A5">
        <w:t>Vorschlag für eine Richtlinie</w:t>
      </w:r>
      <w:r w:rsidRPr="006436A5">
        <w:rPr>
          <w:rStyle w:val="HideTWBExt"/>
          <w:b w:val="0"/>
        </w:rPr>
        <w:t>&lt;/DocAmend&gt;</w:t>
      </w:r>
    </w:p>
    <w:p w:rsidR="00E35335" w:rsidRPr="006436A5" w:rsidRDefault="00121F06" w:rsidP="00E35335">
      <w:pPr>
        <w:pStyle w:val="NormalBold"/>
        <w:keepNext/>
      </w:pPr>
      <w:r w:rsidRPr="006436A5">
        <w:rPr>
          <w:rStyle w:val="HideTWBExt"/>
          <w:b w:val="0"/>
        </w:rPr>
        <w:t>&lt;Article&gt;</w:t>
      </w:r>
      <w:r w:rsidRPr="006436A5">
        <w:t>Artikel 1 – Absatz 1 – Nummer 10</w:t>
      </w:r>
      <w:r w:rsidRPr="006436A5">
        <w:rPr>
          <w:rStyle w:val="HideTWBExt"/>
          <w:b w:val="0"/>
        </w:rPr>
        <w:t>&lt;/Article&gt;</w:t>
      </w:r>
    </w:p>
    <w:p w:rsidR="00E35335" w:rsidRPr="006436A5" w:rsidRDefault="00121F06" w:rsidP="00E35335">
      <w:pPr>
        <w:keepNext/>
      </w:pPr>
      <w:r w:rsidRPr="006436A5">
        <w:rPr>
          <w:rStyle w:val="HideTWBExt"/>
        </w:rPr>
        <w:t>&lt;DocAmend2&gt;</w:t>
      </w:r>
      <w:r w:rsidRPr="006436A5">
        <w:t>Richtlinie (EU) 2015/637</w:t>
      </w:r>
      <w:r w:rsidRPr="006436A5">
        <w:rPr>
          <w:rStyle w:val="HideTWBExt"/>
        </w:rPr>
        <w:t>&lt;/DocAmend2&gt;</w:t>
      </w:r>
    </w:p>
    <w:p w:rsidR="00E35335" w:rsidRPr="006436A5" w:rsidRDefault="00121F06" w:rsidP="00E35335">
      <w:r w:rsidRPr="006436A5">
        <w:rPr>
          <w:rStyle w:val="HideTWBExt"/>
        </w:rPr>
        <w:t>&lt;Article2&gt;</w:t>
      </w:r>
      <w:r w:rsidRPr="006436A5">
        <w:t>Artikel 19 – Absatz 3 – Unterabsatz 1</w:t>
      </w:r>
      <w:r w:rsidRPr="006436A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328D0" w:rsidRPr="006436A5" w:rsidTr="0004333E">
        <w:trPr>
          <w:jc w:val="center"/>
        </w:trPr>
        <w:tc>
          <w:tcPr>
            <w:tcW w:w="9752" w:type="dxa"/>
            <w:gridSpan w:val="2"/>
          </w:tcPr>
          <w:p w:rsidR="00E35335" w:rsidRPr="006436A5" w:rsidRDefault="00E35335" w:rsidP="0004333E">
            <w:pPr>
              <w:keepNext/>
            </w:pPr>
          </w:p>
        </w:tc>
      </w:tr>
      <w:tr w:rsidR="000328D0" w:rsidRPr="006436A5" w:rsidTr="0004333E">
        <w:trPr>
          <w:jc w:val="center"/>
        </w:trPr>
        <w:tc>
          <w:tcPr>
            <w:tcW w:w="4876" w:type="dxa"/>
          </w:tcPr>
          <w:p w:rsidR="00E35335" w:rsidRPr="006436A5" w:rsidRDefault="00121F06" w:rsidP="0004333E">
            <w:pPr>
              <w:pStyle w:val="AmColumnHeading"/>
              <w:keepNext/>
            </w:pPr>
            <w:r w:rsidRPr="006436A5">
              <w:t>Vorschlag der Kommission</w:t>
            </w:r>
          </w:p>
        </w:tc>
        <w:tc>
          <w:tcPr>
            <w:tcW w:w="4876" w:type="dxa"/>
          </w:tcPr>
          <w:p w:rsidR="00E35335" w:rsidRPr="006436A5" w:rsidRDefault="00121F06" w:rsidP="0004333E">
            <w:pPr>
              <w:pStyle w:val="AmColumnHeading"/>
              <w:keepNext/>
            </w:pPr>
            <w:r w:rsidRPr="006436A5">
              <w:t>Geänderter Text</w:t>
            </w:r>
          </w:p>
        </w:tc>
      </w:tr>
      <w:tr w:rsidR="000328D0" w:rsidRPr="006436A5" w:rsidTr="0004333E">
        <w:trPr>
          <w:jc w:val="center"/>
        </w:trPr>
        <w:tc>
          <w:tcPr>
            <w:tcW w:w="4876" w:type="dxa"/>
          </w:tcPr>
          <w:p w:rsidR="00E35335" w:rsidRPr="006436A5" w:rsidRDefault="00121F06" w:rsidP="0004333E">
            <w:pPr>
              <w:pStyle w:val="Normal6a"/>
            </w:pPr>
            <w:r w:rsidRPr="006436A5">
              <w:t xml:space="preserve">(3) </w:t>
            </w:r>
            <w:r w:rsidRPr="006436A5">
              <w:rPr>
                <w:b/>
                <w:bCs/>
                <w:i/>
                <w:iCs/>
              </w:rPr>
              <w:t>Frühestens</w:t>
            </w:r>
            <w:r w:rsidRPr="006436A5">
              <w:t xml:space="preserve"> [</w:t>
            </w:r>
            <w:r w:rsidRPr="006436A5">
              <w:rPr>
                <w:b/>
                <w:bCs/>
                <w:i/>
                <w:iCs/>
              </w:rPr>
              <w:t>acht</w:t>
            </w:r>
            <w:r w:rsidRPr="006436A5">
              <w:t xml:space="preserve"> Jahre nach Ablauf der Frist für die Umsetzung der Änderungsrichtlinie] nimmt die Kommission eine Evaluierung dieser Richtlinie vor und legt dem Europäischen Parlament und dem Rat einen Bericht mit den wichtigsten Ergebnissen vor.</w:t>
            </w:r>
          </w:p>
        </w:tc>
        <w:tc>
          <w:tcPr>
            <w:tcW w:w="4876" w:type="dxa"/>
          </w:tcPr>
          <w:p w:rsidR="00E35335" w:rsidRPr="006436A5" w:rsidRDefault="00121F06" w:rsidP="0004333E">
            <w:pPr>
              <w:pStyle w:val="Normal6a"/>
              <w:rPr>
                <w:szCs w:val="24"/>
              </w:rPr>
            </w:pPr>
            <w:r w:rsidRPr="006436A5">
              <w:t xml:space="preserve">(3) </w:t>
            </w:r>
            <w:r w:rsidRPr="006436A5">
              <w:rPr>
                <w:b/>
                <w:bCs/>
                <w:i/>
                <w:iCs/>
              </w:rPr>
              <w:t>Ab</w:t>
            </w:r>
            <w:r w:rsidRPr="006436A5">
              <w:t xml:space="preserve"> [</w:t>
            </w:r>
            <w:r w:rsidRPr="006436A5">
              <w:rPr>
                <w:b/>
                <w:bCs/>
                <w:i/>
                <w:iCs/>
              </w:rPr>
              <w:t>f</w:t>
            </w:r>
            <w:r w:rsidRPr="006436A5">
              <w:rPr>
                <w:b/>
                <w:bCs/>
                <w:i/>
                <w:iCs/>
              </w:rPr>
              <w:t>ünf</w:t>
            </w:r>
            <w:r w:rsidRPr="006436A5">
              <w:t xml:space="preserve"> Jahre nach Ablauf der Frist für die Umsetzung der Änderungsrichtlinie] </w:t>
            </w:r>
            <w:r w:rsidRPr="006436A5">
              <w:rPr>
                <w:b/>
                <w:bCs/>
                <w:i/>
                <w:iCs/>
              </w:rPr>
              <w:t>und danach alle fünf Jahre</w:t>
            </w:r>
            <w:r w:rsidRPr="006436A5">
              <w:t xml:space="preserve"> nimmt die Kommission eine Evaluierung </w:t>
            </w:r>
            <w:r w:rsidRPr="006436A5">
              <w:rPr>
                <w:b/>
                <w:bCs/>
                <w:i/>
                <w:iCs/>
              </w:rPr>
              <w:t>der Umsetzung und Anwendung</w:t>
            </w:r>
            <w:r w:rsidRPr="006436A5">
              <w:t xml:space="preserve"> dieser Richtlinie vor und legt dem Europäischen Parlament und dem Rat einen Bericht mit </w:t>
            </w:r>
            <w:r w:rsidRPr="006436A5">
              <w:t>den wichtigsten Ergebnissen</w:t>
            </w:r>
            <w:r w:rsidRPr="006436A5">
              <w:rPr>
                <w:b/>
                <w:bCs/>
                <w:i/>
                <w:iCs/>
              </w:rPr>
              <w:t>, ei</w:t>
            </w:r>
            <w:bookmarkStart w:id="4" w:name="_GoBack"/>
            <w:bookmarkEnd w:id="4"/>
            <w:r w:rsidRPr="006436A5">
              <w:rPr>
                <w:b/>
                <w:bCs/>
                <w:i/>
                <w:iCs/>
              </w:rPr>
              <w:t>nschließlich möglicher Verletzungen der Rechte nach Maßgabe dieser Richtlinie,</w:t>
            </w:r>
            <w:r w:rsidRPr="006436A5">
              <w:t xml:space="preserve"> vor.</w:t>
            </w:r>
          </w:p>
        </w:tc>
      </w:tr>
    </w:tbl>
    <w:p w:rsidR="00E35335" w:rsidRPr="006436A5" w:rsidRDefault="00121F06" w:rsidP="00E35335">
      <w:pPr>
        <w:pStyle w:val="AmOrLang"/>
      </w:pPr>
      <w:r w:rsidRPr="006436A5">
        <w:t xml:space="preserve">Or. </w:t>
      </w:r>
      <w:r w:rsidRPr="006436A5">
        <w:rPr>
          <w:rStyle w:val="HideTWBExt"/>
          <w:rFonts w:eastAsiaTheme="majorEastAsia"/>
        </w:rPr>
        <w:t>&lt;Original&gt;</w:t>
      </w:r>
      <w:r w:rsidR="0004333E" w:rsidRPr="006436A5">
        <w:rPr>
          <w:rStyle w:val="HideTWBInt"/>
        </w:rPr>
        <w:t>{EN}</w:t>
      </w:r>
      <w:r w:rsidR="0004333E" w:rsidRPr="006436A5">
        <w:t>en</w:t>
      </w:r>
      <w:r w:rsidRPr="006436A5">
        <w:rPr>
          <w:rStyle w:val="HideTWBExt"/>
          <w:rFonts w:eastAsiaTheme="majorEastAsia"/>
        </w:rPr>
        <w:t>&lt;/Original&gt;</w:t>
      </w:r>
    </w:p>
    <w:p w:rsidR="00E35335" w:rsidRPr="006436A5" w:rsidRDefault="00121F06" w:rsidP="00E35335">
      <w:r w:rsidRPr="006436A5">
        <w:rPr>
          <w:rStyle w:val="HideTWBExt"/>
        </w:rPr>
        <w:t>&lt;/Amend&gt;</w:t>
      </w:r>
    </w:p>
    <w:p w:rsidR="00DB56E4" w:rsidRPr="006436A5" w:rsidRDefault="00121F06" w:rsidP="00DB56E4">
      <w:r w:rsidRPr="006436A5">
        <w:rPr>
          <w:rStyle w:val="HideTWBExt"/>
        </w:rPr>
        <w:t>&lt;/RepeatBlock-Amend&gt;</w:t>
      </w:r>
      <w:bookmarkEnd w:id="3"/>
    </w:p>
    <w:p w:rsidR="00DB56E4" w:rsidRPr="006436A5" w:rsidRDefault="00DB56E4" w:rsidP="00DB56E4"/>
    <w:sectPr w:rsidR="00DB56E4" w:rsidRPr="006436A5" w:rsidSect="001638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436A5" w:rsidRDefault="00121F06">
      <w:r w:rsidRPr="006436A5">
        <w:separator/>
      </w:r>
    </w:p>
  </w:endnote>
  <w:endnote w:type="continuationSeparator" w:id="0">
    <w:p w:rsidR="00000000" w:rsidRPr="006436A5" w:rsidRDefault="00121F06">
      <w:r w:rsidRPr="006436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823" w:rsidRPr="006436A5" w:rsidRDefault="00163823" w:rsidP="00163823">
    <w:pPr>
      <w:pStyle w:val="EPFooter"/>
    </w:pPr>
    <w:r w:rsidRPr="006436A5">
      <w:t>PE</w:t>
    </w:r>
    <w:r w:rsidRPr="006436A5">
      <w:rPr>
        <w:rStyle w:val="HideTWBExt"/>
      </w:rPr>
      <w:t>&lt;NoPE&gt;</w:t>
    </w:r>
    <w:r w:rsidRPr="006436A5">
      <w:t>758.853</w:t>
    </w:r>
    <w:r w:rsidRPr="006436A5">
      <w:rPr>
        <w:rStyle w:val="HideTWBExt"/>
      </w:rPr>
      <w:t>&lt;/NoPE&gt;&lt;Version&gt;</w:t>
    </w:r>
    <w:r w:rsidRPr="006436A5">
      <w:t>v01-00</w:t>
    </w:r>
    <w:r w:rsidRPr="006436A5">
      <w:rPr>
        <w:rStyle w:val="HideTWBExt"/>
      </w:rPr>
      <w:t>&lt;/Version&gt;</w:t>
    </w:r>
    <w:r w:rsidRPr="006436A5">
      <w:tab/>
    </w:r>
    <w:r w:rsidRPr="006436A5">
      <w:fldChar w:fldCharType="begin"/>
    </w:r>
    <w:r w:rsidRPr="006436A5">
      <w:instrText xml:space="preserve"> PAGE  \* MERGEFORMAT </w:instrText>
    </w:r>
    <w:r w:rsidRPr="006436A5">
      <w:fldChar w:fldCharType="separate"/>
    </w:r>
    <w:r w:rsidR="00121F06">
      <w:rPr>
        <w:noProof/>
      </w:rPr>
      <w:t>10</w:t>
    </w:r>
    <w:r w:rsidRPr="006436A5">
      <w:fldChar w:fldCharType="end"/>
    </w:r>
    <w:r w:rsidRPr="006436A5">
      <w:t>/</w:t>
    </w:r>
    <w:fldSimple w:instr=" NUMPAGES  \* MERGEFORMAT ">
      <w:r w:rsidR="00121F06">
        <w:rPr>
          <w:noProof/>
        </w:rPr>
        <w:t>10</w:t>
      </w:r>
    </w:fldSimple>
    <w:r w:rsidRPr="006436A5">
      <w:tab/>
    </w:r>
    <w:r w:rsidRPr="006436A5">
      <w:rPr>
        <w:rStyle w:val="HideTWBExt"/>
      </w:rPr>
      <w:t>&lt;PathFdR&gt;</w:t>
    </w:r>
    <w:r w:rsidRPr="006436A5">
      <w:t>PA\1295950DE.docx</w:t>
    </w:r>
    <w:r w:rsidRPr="006436A5">
      <w:rPr>
        <w:rStyle w:val="HideTWBExt"/>
      </w:rPr>
      <w:t>&lt;/PathFdR&gt;</w:t>
    </w:r>
  </w:p>
  <w:p w:rsidR="0004333E" w:rsidRPr="006436A5" w:rsidRDefault="00163823" w:rsidP="00163823">
    <w:pPr>
      <w:pStyle w:val="EPFooter2"/>
    </w:pPr>
    <w:r w:rsidRPr="006436A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823" w:rsidRPr="006436A5" w:rsidRDefault="00163823" w:rsidP="00163823">
    <w:pPr>
      <w:pStyle w:val="EPFooter"/>
    </w:pPr>
    <w:r w:rsidRPr="006436A5">
      <w:rPr>
        <w:rStyle w:val="HideTWBExt"/>
      </w:rPr>
      <w:t>&lt;PathFdR&gt;</w:t>
    </w:r>
    <w:r w:rsidRPr="006436A5">
      <w:t>PA\1295950DE.docx</w:t>
    </w:r>
    <w:r w:rsidRPr="006436A5">
      <w:rPr>
        <w:rStyle w:val="HideTWBExt"/>
      </w:rPr>
      <w:t>&lt;/PathFdR&gt;</w:t>
    </w:r>
    <w:r w:rsidRPr="006436A5">
      <w:tab/>
    </w:r>
    <w:r w:rsidRPr="006436A5">
      <w:fldChar w:fldCharType="begin"/>
    </w:r>
    <w:r w:rsidRPr="006436A5">
      <w:instrText xml:space="preserve"> PAGE  \* MERGEFORMAT </w:instrText>
    </w:r>
    <w:r w:rsidRPr="006436A5">
      <w:fldChar w:fldCharType="separate"/>
    </w:r>
    <w:r w:rsidR="00121F06">
      <w:rPr>
        <w:noProof/>
      </w:rPr>
      <w:t>9</w:t>
    </w:r>
    <w:r w:rsidRPr="006436A5">
      <w:fldChar w:fldCharType="end"/>
    </w:r>
    <w:r w:rsidRPr="006436A5">
      <w:t>/</w:t>
    </w:r>
    <w:fldSimple w:instr=" NUMPAGES  \* MERGEFORMAT ">
      <w:r w:rsidR="00121F06">
        <w:rPr>
          <w:noProof/>
        </w:rPr>
        <w:t>10</w:t>
      </w:r>
    </w:fldSimple>
    <w:r w:rsidRPr="006436A5">
      <w:tab/>
      <w:t>PE</w:t>
    </w:r>
    <w:r w:rsidRPr="006436A5">
      <w:rPr>
        <w:rStyle w:val="HideTWBExt"/>
      </w:rPr>
      <w:t>&lt;NoPE&gt;</w:t>
    </w:r>
    <w:r w:rsidRPr="006436A5">
      <w:t>758.853</w:t>
    </w:r>
    <w:r w:rsidRPr="006436A5">
      <w:rPr>
        <w:rStyle w:val="HideTWBExt"/>
      </w:rPr>
      <w:t>&lt;/NoPE&gt;&lt;Version&gt;</w:t>
    </w:r>
    <w:r w:rsidRPr="006436A5">
      <w:t>v01-00</w:t>
    </w:r>
    <w:r w:rsidRPr="006436A5">
      <w:rPr>
        <w:rStyle w:val="HideTWBExt"/>
      </w:rPr>
      <w:t>&lt;/Version&gt;</w:t>
    </w:r>
  </w:p>
  <w:p w:rsidR="0004333E" w:rsidRPr="006436A5" w:rsidRDefault="00163823" w:rsidP="00163823">
    <w:pPr>
      <w:pStyle w:val="EPFooter2"/>
    </w:pPr>
    <w:r w:rsidRPr="006436A5">
      <w:tab/>
    </w:r>
    <w:r w:rsidRPr="006436A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823" w:rsidRPr="006436A5" w:rsidRDefault="00163823" w:rsidP="00163823">
    <w:pPr>
      <w:pStyle w:val="EPFooter"/>
    </w:pPr>
    <w:r w:rsidRPr="006436A5">
      <w:rPr>
        <w:rStyle w:val="HideTWBExt"/>
      </w:rPr>
      <w:t>&lt;PathFdR&gt;</w:t>
    </w:r>
    <w:r w:rsidRPr="006436A5">
      <w:t>PA\1295950DE.docx</w:t>
    </w:r>
    <w:r w:rsidRPr="006436A5">
      <w:rPr>
        <w:rStyle w:val="HideTWBExt"/>
      </w:rPr>
      <w:t>&lt;/PathFdR&gt;</w:t>
    </w:r>
    <w:r w:rsidRPr="006436A5">
      <w:tab/>
    </w:r>
    <w:r w:rsidRPr="006436A5">
      <w:tab/>
      <w:t>PE</w:t>
    </w:r>
    <w:r w:rsidRPr="006436A5">
      <w:rPr>
        <w:rStyle w:val="HideTWBExt"/>
      </w:rPr>
      <w:t>&lt;NoPE&gt;</w:t>
    </w:r>
    <w:r w:rsidRPr="006436A5">
      <w:t>758.853</w:t>
    </w:r>
    <w:r w:rsidRPr="006436A5">
      <w:rPr>
        <w:rStyle w:val="HideTWBExt"/>
      </w:rPr>
      <w:t>&lt;/NoPE&gt;&lt;Version&gt;</w:t>
    </w:r>
    <w:r w:rsidRPr="006436A5">
      <w:t>v01-00</w:t>
    </w:r>
    <w:r w:rsidRPr="006436A5">
      <w:rPr>
        <w:rStyle w:val="HideTWBExt"/>
      </w:rPr>
      <w:t>&lt;/Version&gt;</w:t>
    </w:r>
  </w:p>
  <w:p w:rsidR="0004333E" w:rsidRPr="006436A5" w:rsidRDefault="00163823" w:rsidP="00163823">
    <w:pPr>
      <w:pStyle w:val="EPFooter2"/>
    </w:pPr>
    <w:r w:rsidRPr="006436A5">
      <w:t>DE</w:t>
    </w:r>
    <w:r w:rsidRPr="006436A5">
      <w:tab/>
    </w:r>
    <w:r w:rsidRPr="006436A5">
      <w:rPr>
        <w:b w:val="0"/>
        <w:i/>
        <w:color w:val="C0C0C0"/>
        <w:sz w:val="22"/>
      </w:rPr>
      <w:t>In Vielfalt geeint</w:t>
    </w:r>
    <w:r w:rsidRPr="006436A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436A5" w:rsidRDefault="00121F06">
      <w:r w:rsidRPr="006436A5">
        <w:separator/>
      </w:r>
    </w:p>
  </w:footnote>
  <w:footnote w:type="continuationSeparator" w:id="0">
    <w:p w:rsidR="00000000" w:rsidRPr="006436A5" w:rsidRDefault="00121F06">
      <w:r w:rsidRPr="006436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F06" w:rsidRDefault="00121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F06" w:rsidRDefault="00121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F06" w:rsidRDefault="00121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2"/>
    <w:docVar w:name="COM2KEY" w:val="LIBE"/>
    <w:docVar w:name="COMKEY" w:val="AFET"/>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ITLECNSMNU" w:val=" 1"/>
    <w:docVar w:name="TVTACTPART" w:val="Article 19 – paragraph 3"/>
    <w:docVar w:name="TVTAMACTPART" w:val="Article 1 – paragraph 1 – point 10"/>
    <w:docVar w:name="TXTLANGUE" w:val="DE"/>
    <w:docVar w:name="TXTLANGUEMIN" w:val="de"/>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PA\1295950DE.docx"/>
    <w:docVar w:name="TXTVERSION" w:val="01-00"/>
  </w:docVars>
  <w:rsids>
    <w:rsidRoot w:val="00222D54"/>
    <w:rsid w:val="00026559"/>
    <w:rsid w:val="00027FA8"/>
    <w:rsid w:val="000328D0"/>
    <w:rsid w:val="0004333E"/>
    <w:rsid w:val="0004474F"/>
    <w:rsid w:val="00082EC4"/>
    <w:rsid w:val="000D44A6"/>
    <w:rsid w:val="00121F06"/>
    <w:rsid w:val="00122C05"/>
    <w:rsid w:val="00134974"/>
    <w:rsid w:val="00141CD7"/>
    <w:rsid w:val="001616BD"/>
    <w:rsid w:val="00163823"/>
    <w:rsid w:val="001820A9"/>
    <w:rsid w:val="001A0556"/>
    <w:rsid w:val="001B0A1E"/>
    <w:rsid w:val="001C0886"/>
    <w:rsid w:val="001D5154"/>
    <w:rsid w:val="001E3AC4"/>
    <w:rsid w:val="0020077A"/>
    <w:rsid w:val="00221197"/>
    <w:rsid w:val="00222D54"/>
    <w:rsid w:val="0023131B"/>
    <w:rsid w:val="002A67EE"/>
    <w:rsid w:val="002D3573"/>
    <w:rsid w:val="00304EA8"/>
    <w:rsid w:val="00341A99"/>
    <w:rsid w:val="00360FAA"/>
    <w:rsid w:val="0038294E"/>
    <w:rsid w:val="003A2F84"/>
    <w:rsid w:val="003C7390"/>
    <w:rsid w:val="003E1280"/>
    <w:rsid w:val="003F128E"/>
    <w:rsid w:val="0040055C"/>
    <w:rsid w:val="00487596"/>
    <w:rsid w:val="004B3A53"/>
    <w:rsid w:val="004C2A0D"/>
    <w:rsid w:val="004F1D2F"/>
    <w:rsid w:val="00502B76"/>
    <w:rsid w:val="00513F6F"/>
    <w:rsid w:val="00516E52"/>
    <w:rsid w:val="00522B51"/>
    <w:rsid w:val="00524707"/>
    <w:rsid w:val="005539B7"/>
    <w:rsid w:val="00571233"/>
    <w:rsid w:val="00613134"/>
    <w:rsid w:val="00626D52"/>
    <w:rsid w:val="006436A5"/>
    <w:rsid w:val="00643DA8"/>
    <w:rsid w:val="00657D5C"/>
    <w:rsid w:val="00683DD1"/>
    <w:rsid w:val="00691B1C"/>
    <w:rsid w:val="006A0F0A"/>
    <w:rsid w:val="006A48AA"/>
    <w:rsid w:val="006B1267"/>
    <w:rsid w:val="006D292E"/>
    <w:rsid w:val="006F3B42"/>
    <w:rsid w:val="00712462"/>
    <w:rsid w:val="00716BAA"/>
    <w:rsid w:val="0078423E"/>
    <w:rsid w:val="0078548A"/>
    <w:rsid w:val="007A4B51"/>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B2544"/>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219C"/>
    <w:rsid w:val="00C510FC"/>
    <w:rsid w:val="00C52A28"/>
    <w:rsid w:val="00C709B7"/>
    <w:rsid w:val="00C75E98"/>
    <w:rsid w:val="00C81C5B"/>
    <w:rsid w:val="00C83B35"/>
    <w:rsid w:val="00D25CF2"/>
    <w:rsid w:val="00D377B5"/>
    <w:rsid w:val="00D56CE0"/>
    <w:rsid w:val="00D6254D"/>
    <w:rsid w:val="00D67D0A"/>
    <w:rsid w:val="00D74FD1"/>
    <w:rsid w:val="00D943A5"/>
    <w:rsid w:val="00D9581F"/>
    <w:rsid w:val="00DB56E4"/>
    <w:rsid w:val="00E03C69"/>
    <w:rsid w:val="00E27F01"/>
    <w:rsid w:val="00E35335"/>
    <w:rsid w:val="00E77FF5"/>
    <w:rsid w:val="00E94D64"/>
    <w:rsid w:val="00EA3802"/>
    <w:rsid w:val="00EF1432"/>
    <w:rsid w:val="00EF33D5"/>
    <w:rsid w:val="00F15744"/>
    <w:rsid w:val="00F24D40"/>
    <w:rsid w:val="00F8696F"/>
    <w:rsid w:val="00FC4B53"/>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C5AA7-EC0C-46DC-8849-0F3E5783D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1747</Words>
  <Characters>11624</Characters>
  <Application>Microsoft Office Word</Application>
  <DocSecurity>0</DocSecurity>
  <Lines>425</Lines>
  <Paragraphs>150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2024-03-04T12:38:00Z</dcterms:created>
  <dcterms:modified xsi:type="dcterms:W3CDTF">2024-03-04T12:38:00Z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1295950</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PA</vt:lpwstr>
  </property>
  <property fmtid="{D5CDD505-2E9C-101B-9397-08002B2CF9AE}" pid="8" name="Created with">
    <vt:lpwstr>9.17.1 Build [20240201]</vt:lpwstr>
  </property>
  <property fmtid="{D5CDD505-2E9C-101B-9397-08002B2CF9AE}" pid="9" name="FooterPath">
    <vt:lpwstr>PA\1295950DE.docx</vt:lpwstr>
  </property>
  <property fmtid="{D5CDD505-2E9C-101B-9397-08002B2CF9AE}" pid="10" name="LastEdited with">
    <vt:lpwstr>9.17.2 Build [20240212]</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- 2024/02/21 22:17</vt:lpwstr>
  </property>
  <property fmtid="{D5CDD505-2E9C-101B-9397-08002B2CF9AE}" pid="14" name="Bookout">
    <vt:lpwstr>OK - 2024/03/04 13:38</vt:lpwstr>
  </property>
</Properties>
</file>