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967B9" w:rsidTr="00C85D0F">
        <w:trPr>
          <w:trHeight w:hRule="exact" w:val="1418"/>
        </w:trPr>
        <w:tc>
          <w:tcPr>
            <w:tcW w:w="6804" w:type="dxa"/>
            <w:shd w:val="clear" w:color="auto" w:fill="auto"/>
            <w:vAlign w:val="center"/>
          </w:tcPr>
          <w:p w:rsidR="00BA3E40" w:rsidRPr="00251F1D" w:rsidRDefault="007668AF" w:rsidP="00C85D0F">
            <w:pPr>
              <w:pStyle w:val="EPName"/>
            </w:pPr>
            <w:r>
              <w:t>Europos Parlamentas</w:t>
            </w:r>
          </w:p>
          <w:p w:rsidR="00BA3E40" w:rsidRPr="00251F1D" w:rsidRDefault="007668AF" w:rsidP="00251F1D">
            <w:pPr>
              <w:pStyle w:val="EPTerm"/>
            </w:pPr>
            <w:r>
              <w:t>2019-2024</w:t>
            </w:r>
          </w:p>
        </w:tc>
        <w:tc>
          <w:tcPr>
            <w:tcW w:w="2268" w:type="dxa"/>
            <w:shd w:val="clear" w:color="auto" w:fill="auto"/>
          </w:tcPr>
          <w:p w:rsidR="00BA3E40" w:rsidRPr="00251F1D" w:rsidRDefault="007668AF" w:rsidP="00C85D0F">
            <w:pPr>
              <w:pStyle w:val="EPLogo"/>
            </w:pPr>
            <w:r w:rsidRPr="00251F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251F1D" w:rsidRDefault="00F24D40" w:rsidP="00F24D40">
      <w:pPr>
        <w:pStyle w:val="LineTop"/>
      </w:pPr>
    </w:p>
    <w:p w:rsidR="00F24D40" w:rsidRPr="00251F1D" w:rsidRDefault="007668AF" w:rsidP="00F24D40">
      <w:pPr>
        <w:pStyle w:val="EPBody"/>
      </w:pPr>
      <w:r>
        <w:rPr>
          <w:rStyle w:val="HideTWBExt"/>
        </w:rPr>
        <w:t>&lt;</w:t>
      </w:r>
      <w:r>
        <w:rPr>
          <w:rStyle w:val="HideTWBExt"/>
          <w:i w:val="0"/>
        </w:rPr>
        <w:t>Commission</w:t>
      </w:r>
      <w:r>
        <w:rPr>
          <w:rStyle w:val="HideTWBExt"/>
        </w:rPr>
        <w:t>&gt;</w:t>
      </w:r>
      <w:r>
        <w:rPr>
          <w:rStyle w:val="HideTWBInt"/>
          <w:color w:val="auto"/>
        </w:rPr>
        <w:t>{AFET}</w:t>
      </w:r>
      <w:r>
        <w:t>Užsienio reikalų komitetas</w:t>
      </w:r>
      <w:r>
        <w:rPr>
          <w:rStyle w:val="HideTWBExt"/>
        </w:rPr>
        <w:t>&lt;/</w:t>
      </w:r>
      <w:r>
        <w:rPr>
          <w:rStyle w:val="HideTWBExt"/>
          <w:i w:val="0"/>
        </w:rPr>
        <w:t>Commission</w:t>
      </w:r>
      <w:r>
        <w:rPr>
          <w:rStyle w:val="HideTWBExt"/>
        </w:rPr>
        <w:t>&gt;</w:t>
      </w:r>
    </w:p>
    <w:p w:rsidR="00F24D40" w:rsidRPr="00251F1D" w:rsidRDefault="00F24D40" w:rsidP="00F24D40">
      <w:pPr>
        <w:pStyle w:val="LineBottom"/>
      </w:pPr>
    </w:p>
    <w:p w:rsidR="00DB56E4" w:rsidRPr="00251F1D" w:rsidRDefault="007668AF" w:rsidP="00DB56E4">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DB56E4" w:rsidRPr="00251F1D" w:rsidRDefault="007668AF" w:rsidP="00DB56E4">
      <w:pPr>
        <w:pStyle w:val="CoverDate"/>
      </w:pPr>
      <w:r>
        <w:rPr>
          <w:rStyle w:val="HideTWBExt"/>
        </w:rPr>
        <w:t>&lt;Date&gt;</w:t>
      </w:r>
      <w:r>
        <w:rPr>
          <w:rStyle w:val="HideTWBInt"/>
          <w:color w:val="auto"/>
        </w:rPr>
        <w:t>{21/02/2024}</w:t>
      </w:r>
      <w:r>
        <w:t>21.2.2024</w:t>
      </w:r>
      <w:r>
        <w:rPr>
          <w:rStyle w:val="HideTWBExt"/>
        </w:rPr>
        <w:t>&lt;/Date&gt;</w:t>
      </w:r>
    </w:p>
    <w:p w:rsidR="00DB56E4" w:rsidRPr="00251F1D" w:rsidRDefault="007668AF" w:rsidP="00DB56E4">
      <w:pPr>
        <w:pStyle w:val="CoverDocType24a"/>
      </w:pPr>
      <w:r>
        <w:rPr>
          <w:rStyle w:val="HideTWBExt"/>
          <w:b w:val="0"/>
        </w:rPr>
        <w:t>&lt;TitreType&gt;</w:t>
      </w:r>
      <w:r>
        <w:t>NUOMONĖS PROJEKTAS</w:t>
      </w:r>
      <w:r>
        <w:rPr>
          <w:rStyle w:val="HideTWBExt"/>
          <w:b w:val="0"/>
        </w:rPr>
        <w:t>&lt;/TitreType&gt;</w:t>
      </w:r>
    </w:p>
    <w:p w:rsidR="00DB56E4" w:rsidRPr="00251F1D" w:rsidRDefault="007668AF" w:rsidP="00DB56E4">
      <w:pPr>
        <w:pStyle w:val="CoverNormal24a"/>
      </w:pPr>
      <w:r>
        <w:rPr>
          <w:rStyle w:val="HideTWBExt"/>
        </w:rPr>
        <w:t>&lt;CommissionResp&gt;</w:t>
      </w:r>
      <w:r>
        <w:t>Užsienio</w:t>
      </w:r>
      <w:r>
        <w:t xml:space="preserve"> reikalų komiteto</w:t>
      </w:r>
      <w:r>
        <w:rPr>
          <w:rStyle w:val="HideTWBExt"/>
        </w:rPr>
        <w:t>&lt;/CommissionResp&gt;</w:t>
      </w:r>
    </w:p>
    <w:p w:rsidR="00DB56E4" w:rsidRPr="00251F1D" w:rsidRDefault="007668AF" w:rsidP="00DB56E4">
      <w:pPr>
        <w:pStyle w:val="CoverNormal24a"/>
      </w:pPr>
      <w:r>
        <w:rPr>
          <w:rStyle w:val="HideTWBExt"/>
        </w:rPr>
        <w:t>&lt;CommissionInt&gt;</w:t>
      </w:r>
      <w:r>
        <w:t>pateiktas Piliečių laisvių, teisingumo ir vidaus reikalų komitetui</w:t>
      </w:r>
      <w:r>
        <w:rPr>
          <w:rStyle w:val="HideTWBExt"/>
        </w:rPr>
        <w:t>&lt;/CommissionInt&gt;</w:t>
      </w:r>
    </w:p>
    <w:p w:rsidR="00DB56E4" w:rsidRPr="00251F1D" w:rsidRDefault="007668AF" w:rsidP="00DB56E4">
      <w:pPr>
        <w:pStyle w:val="CoverNormal"/>
      </w:pPr>
      <w:r>
        <w:rPr>
          <w:rStyle w:val="HideTWBExt"/>
        </w:rPr>
        <w:t>&lt;Titre&gt;</w:t>
      </w:r>
      <w:r>
        <w:t>Pasiūlymas dėl Tarybos direktyvos, kuria iš dalies keičiama Direktyva (ES) 2015/637 dėl koordinavimo ir bendradarbia</w:t>
      </w:r>
      <w:r>
        <w:t>vimo priemonių, skirtų neatstovaujamų Sąjungos piliečių konsulinei apsaugai trečiosiose šalyse palengvinti, ir Direktyva (ES) 2019/997/EB, kuria nustatomas ES laikinasis kelionės dokumentas</w:t>
      </w:r>
      <w:r>
        <w:rPr>
          <w:rStyle w:val="HideTWBExt"/>
        </w:rPr>
        <w:t>&lt;/Titre&gt;</w:t>
      </w:r>
    </w:p>
    <w:p w:rsidR="00DB56E4" w:rsidRPr="00251F1D" w:rsidRDefault="007668AF" w:rsidP="00DB56E4">
      <w:pPr>
        <w:pStyle w:val="CoverNormal24a"/>
      </w:pPr>
      <w:r>
        <w:rPr>
          <w:rStyle w:val="HideTWBExt"/>
        </w:rPr>
        <w:t>&lt;DocRef&gt;</w:t>
      </w:r>
      <w:r>
        <w:t>(COM(2023)0930 – C9</w:t>
      </w:r>
      <w:r>
        <w:noBreakHyphen/>
        <w:t xml:space="preserve">0015/2024 – </w:t>
      </w:r>
      <w:bookmarkStart w:id="0" w:name="DocEPLastVariable"/>
      <w:bookmarkEnd w:id="0"/>
      <w:r>
        <w:t>2023/0441(CNS))</w:t>
      </w:r>
      <w:r>
        <w:rPr>
          <w:rStyle w:val="HideTWBExt"/>
        </w:rPr>
        <w:t>&lt;/DocRef&gt;</w:t>
      </w:r>
    </w:p>
    <w:p w:rsidR="00DB56E4" w:rsidRPr="00251F1D" w:rsidRDefault="007668AF" w:rsidP="00DB56E4">
      <w:pPr>
        <w:pStyle w:val="CoverNormal24a"/>
      </w:pPr>
      <w:r>
        <w:t xml:space="preserve">Nuomonės referentas (*): </w:t>
      </w:r>
      <w:r>
        <w:rPr>
          <w:rStyle w:val="HideTWBExt"/>
        </w:rPr>
        <w:t>&lt;Depute&gt;</w:t>
      </w:r>
      <w:r>
        <w:t>Nacho Sánchez Amor</w:t>
      </w:r>
      <w:r>
        <w:rPr>
          <w:rStyle w:val="HideTWBExt"/>
        </w:rPr>
        <w:t>&lt;/Depute&gt;</w:t>
      </w:r>
    </w:p>
    <w:p w:rsidR="00251F1D" w:rsidRPr="00251F1D" w:rsidRDefault="007668AF" w:rsidP="00251F1D">
      <w:pPr>
        <w:pStyle w:val="CoverNormal"/>
      </w:pPr>
      <w:r>
        <w:t>(*)</w:t>
      </w:r>
      <w:r>
        <w:tab/>
        <w:t>Susijusių komitetų procedūra. Darbo tvarkos taisyklių 57 straipsnis</w:t>
      </w:r>
    </w:p>
    <w:p w:rsidR="00487596" w:rsidRPr="00251F1D" w:rsidRDefault="00487596" w:rsidP="00487596">
      <w:pPr>
        <w:pStyle w:val="CoverNormal"/>
      </w:pPr>
    </w:p>
    <w:p w:rsidR="00DB56E4" w:rsidRPr="00251F1D" w:rsidRDefault="007668AF" w:rsidP="0004474F">
      <w:pPr>
        <w:tabs>
          <w:tab w:val="center" w:pos="4677"/>
        </w:tabs>
      </w:pPr>
      <w:r>
        <w:br w:type="page"/>
      </w:r>
      <w:r>
        <w:lastRenderedPageBreak/>
        <w:t>PA_Legam</w:t>
      </w:r>
    </w:p>
    <w:p w:rsidR="00DB56E4" w:rsidRPr="00251F1D" w:rsidRDefault="007668AF" w:rsidP="00DB56E4">
      <w:pPr>
        <w:pStyle w:val="PageHeadingNotTOC"/>
      </w:pPr>
      <w:r>
        <w:br w:type="page"/>
      </w:r>
      <w:r>
        <w:lastRenderedPageBreak/>
        <w:t>TRUMPAS PAGRINDIMAS</w:t>
      </w:r>
    </w:p>
    <w:p w:rsidR="00251F1D" w:rsidRPr="00251F1D" w:rsidRDefault="007668AF" w:rsidP="00251F1D">
      <w:pPr>
        <w:pStyle w:val="Normal12a"/>
        <w:rPr>
          <w:bCs/>
        </w:rPr>
      </w:pPr>
      <w:r>
        <w:t>Komisijos pasiūlyme numatyta iš esmės išplėsti Europos išorės veiksmų tarnybos (E</w:t>
      </w:r>
      <w:r>
        <w:t>IVT) ir Europos Sąjungos delegacijų vaidmenį ir veiklą, be kita ko, įtraukiant naujas ir iš dalies pakeistas nuostatas dėl pasirengimo už Europos Sąjungos ribų kylančioms krizėms ir reagavimo į jas.</w:t>
      </w:r>
    </w:p>
    <w:p w:rsidR="00251F1D" w:rsidRPr="00251F1D" w:rsidRDefault="007668AF" w:rsidP="00251F1D">
      <w:pPr>
        <w:pStyle w:val="Normal12a"/>
        <w:rPr>
          <w:bCs/>
        </w:rPr>
      </w:pPr>
      <w:r>
        <w:t>Pagal Darbo tvarkos taisyklių VI priedo I punkto 3 papunk</w:t>
      </w:r>
      <w:r>
        <w:t>tį EIVT ir įvairių jos tarnybų priežiūra, įskaitant ES delegacijų ir EIVT reagavimo į krizes centro struktūros ir veikimo priežiūrą, priklauso išimtinei Užsienio reikalų (AFET) komiteto kompetencijai. ES delegacijų veikla taip pat apima Sąjungos piliečių t</w:t>
      </w:r>
      <w:r>
        <w:t>eisių į apsaugą trečiųjų šalių teritorijoje įgyvendinimą, kaip nurodyta Europos Sąjungos sutarties 35 straipsnyje.</w:t>
      </w:r>
    </w:p>
    <w:p w:rsidR="00251F1D" w:rsidRPr="00251F1D" w:rsidRDefault="007668AF" w:rsidP="00251F1D">
      <w:pPr>
        <w:pStyle w:val="Normal12a"/>
        <w:rPr>
          <w:bCs/>
        </w:rPr>
      </w:pPr>
      <w:r>
        <w:t>EIVT, ES delegacijų ir reagavimo į krizes struktūrų struktūra ir veikimas nustatyti 2010 m. liepos 26 d. Tarybos sprendimu 2010/427/ES, kuris</w:t>
      </w:r>
      <w:r>
        <w:t xml:space="preserve"> priklauso AFET komiteto kompetencijai. 2022 m. ES saugumo ir gynybos strateginis kelrodis, kuris taip pat priklauso AFET komiteto kompetencijai, pradėjo EIVT reagavimo į krizes mechanizmų, be kita ko, konsulinės paramos mechanizmų ir saugumo vietoje, perž</w:t>
      </w:r>
      <w:r>
        <w:t>iūrą.</w:t>
      </w:r>
    </w:p>
    <w:p w:rsidR="00251F1D" w:rsidRPr="00251F1D" w:rsidRDefault="007668AF" w:rsidP="00251F1D">
      <w:pPr>
        <w:pStyle w:val="Normal12a"/>
        <w:rPr>
          <w:bCs/>
        </w:rPr>
      </w:pPr>
      <w:r>
        <w:t>2023 m. kovo 15 d. Parlamentas priėmė AFET komiteto parengtą bendros užsienio ir saugumo politikos (BUSP) rekomendaciją dėl EIVT veikimo apžvalgos ir stipresnio ES vaidmens pasaulyje (2021/2065(INI)). Ji apima įvairius su EIVT susijusius klausimus, į</w:t>
      </w:r>
      <w:r>
        <w:t>skaitant ES reagavimo į krizes centro pagalbą koordinuojant ES ir valstybių narių ambasadų ir delegacijų reagavimą ir paslaugas, kurias jos teikia ES piliečiams krizių metu.</w:t>
      </w:r>
    </w:p>
    <w:p w:rsidR="00251F1D" w:rsidRPr="00251F1D" w:rsidRDefault="007668AF" w:rsidP="00251F1D">
      <w:pPr>
        <w:pStyle w:val="Normal12a"/>
      </w:pPr>
      <w:r>
        <w:t xml:space="preserve">Komisijos pasiūlymu EIVT (ir jos krizių valdymo struktūrų bei ES delegacijų) </w:t>
      </w:r>
      <w:r>
        <w:t xml:space="preserve">vaidmuo perkeliamas į naują dalyvavimo lygį, konsulinę apsaugą susiejant su EIVT veikla užsienio, saugumo ir gynybos politikos srityse, kai sprendimai turi būti priimami remiantis vertinimais, ryšiais su trečiosiomis šalimis, karinių išteklių naudojimu ir </w:t>
      </w:r>
      <w:r>
        <w:t>kitais įprastais BUSP ir bendros saugumo ir gynybos politikos (BSGP) elementais.</w:t>
      </w:r>
    </w:p>
    <w:p w:rsidR="00DB56E4" w:rsidRPr="00251F1D" w:rsidRDefault="007668AF" w:rsidP="00DB56E4">
      <w:pPr>
        <w:pStyle w:val="AmHeadingPA"/>
      </w:pPr>
      <w:bookmarkStart w:id="1" w:name="DocEPLastPosition"/>
      <w:bookmarkEnd w:id="1"/>
      <w:r>
        <w:t>PAKEITIMAI</w:t>
      </w:r>
    </w:p>
    <w:p w:rsidR="00DB56E4" w:rsidRPr="00251F1D" w:rsidRDefault="007668AF" w:rsidP="001E3AC4">
      <w:pPr>
        <w:pStyle w:val="Normal12a"/>
      </w:pPr>
      <w:bookmarkStart w:id="2" w:name="IntroA"/>
      <w:r>
        <w:t>Užsienio reikalų komitetas ragina atsakingą Piliečių laisvių, teisingumo ir vidaus reikalų komitetą atsižvelgti į toliau pateikiamą tekstą:</w:t>
      </w:r>
    </w:p>
    <w:p w:rsidR="00251F1D" w:rsidRPr="00251F1D" w:rsidRDefault="007668AF" w:rsidP="00251F1D">
      <w:pPr>
        <w:pStyle w:val="AmNumberTabs"/>
        <w:keepNext/>
      </w:pPr>
      <w:bookmarkStart w:id="3" w:name="IntroB"/>
      <w:bookmarkStart w:id="4" w:name="EndA"/>
      <w:bookmarkEnd w:id="2"/>
      <w:r>
        <w:rPr>
          <w:rStyle w:val="HideTWBExt"/>
          <w:b w:val="0"/>
        </w:rPr>
        <w:t>&lt;RepeatBlock-Amend&gt;</w:t>
      </w:r>
      <w:bookmarkStart w:id="5" w:name="restart"/>
      <w:bookmarkEnd w:id="3"/>
      <w:r>
        <w:rPr>
          <w:rStyle w:val="HideTWBExt"/>
          <w:b w:val="0"/>
        </w:rPr>
        <w:t>&lt;Amen</w:t>
      </w:r>
      <w:r>
        <w:rPr>
          <w:rStyle w:val="HideTWBExt"/>
          <w:b w:val="0"/>
        </w:rPr>
        <w:t>d&gt;</w:t>
      </w:r>
      <w:r>
        <w:t>Pakeitimas</w:t>
      </w:r>
      <w:r>
        <w:tab/>
      </w:r>
      <w:r>
        <w:tab/>
      </w:r>
      <w:r>
        <w:rPr>
          <w:rStyle w:val="HideTWBExt"/>
          <w:b w:val="0"/>
        </w:rPr>
        <w:t>&lt;NumAm&gt;</w:t>
      </w:r>
      <w:r>
        <w:t>1</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24 a 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 xml:space="preserve"> </w:t>
            </w:r>
          </w:p>
        </w:tc>
        <w:tc>
          <w:tcPr>
            <w:tcW w:w="4876" w:type="dxa"/>
          </w:tcPr>
          <w:p w:rsidR="00251F1D" w:rsidRPr="00251F1D" w:rsidRDefault="007668AF" w:rsidP="00ED4E1A">
            <w:pPr>
              <w:pStyle w:val="Normal6a"/>
              <w:rPr>
                <w:szCs w:val="24"/>
              </w:rPr>
            </w:pPr>
            <w:r>
              <w:rPr>
                <w:b/>
                <w:i/>
              </w:rPr>
              <w:t>(24a)</w:t>
            </w:r>
            <w:r>
              <w:tab/>
            </w:r>
            <w:r>
              <w:rPr>
                <w:b/>
                <w:i/>
              </w:rPr>
              <w:t xml:space="preserve">valstybės narės užtikrina, kad piliečiams teikiama informacija apie </w:t>
            </w:r>
            <w:r>
              <w:rPr>
                <w:b/>
                <w:i/>
              </w:rPr>
              <w:t xml:space="preserve">konsulinę apsaugą būtų lengvai prieinama ir atnaujinta. Atsižvelgiant į </w:t>
            </w:r>
            <w:r>
              <w:rPr>
                <w:b/>
                <w:i/>
              </w:rPr>
              <w:lastRenderedPageBreak/>
              <w:t>tai, trečiose šalyse esantys ES piliečiai išsiunčiant skubų perspėjimą turėtų gauti transliacinius ir kontekstinius pranešimus, susijusius su jų teisėmis ir tuo, kaip jomis pasinaudoti</w:t>
            </w:r>
            <w:r>
              <w:rPr>
                <w:b/>
                <w:i/>
              </w:rPr>
              <w:t>, visų pirma ištikus krizei;</w:t>
            </w:r>
          </w:p>
        </w:tc>
      </w:tr>
    </w:tbl>
    <w:p w:rsidR="00251F1D" w:rsidRPr="00251F1D" w:rsidRDefault="007668AF" w:rsidP="00251F1D">
      <w:pPr>
        <w:pStyle w:val="AmOrLang"/>
      </w:pPr>
      <w:r w:rsidRPr="00251F1D">
        <w:lastRenderedPageBreak/>
        <w:t xml:space="preserve">Or. </w:t>
      </w:r>
      <w:r w:rsidRPr="00251F1D">
        <w:rPr>
          <w:rStyle w:val="HideTWBExt"/>
          <w:noProof w:val="0"/>
        </w:rPr>
        <w:t>&lt;Original&gt;</w:t>
      </w:r>
      <w:r w:rsidRPr="00251F1D">
        <w:rPr>
          <w:rStyle w:val="HideTWBInt"/>
        </w:rPr>
        <w:t>{EN}</w:t>
      </w:r>
      <w:r w:rsidRPr="00251F1D">
        <w:t>en</w:t>
      </w:r>
      <w:r w:rsidRPr="00251F1D">
        <w:rPr>
          <w:rStyle w:val="HideTWBExt"/>
          <w:noProof w:val="0"/>
        </w:rPr>
        <w:t>&lt;/Original&gt;</w:t>
      </w:r>
    </w:p>
    <w:p w:rsidR="00251F1D" w:rsidRPr="00251F1D" w:rsidRDefault="007668AF" w:rsidP="00251F1D">
      <w:r>
        <w:rPr>
          <w:rStyle w:val="HideTWBExt"/>
        </w:rPr>
        <w:t>&lt;/Amend&gt;</w:t>
      </w:r>
      <w:bookmarkEnd w:id="5"/>
    </w:p>
    <w:p w:rsidR="00251F1D" w:rsidRPr="00251F1D" w:rsidRDefault="007668AF" w:rsidP="00251F1D">
      <w:pPr>
        <w:pStyle w:val="AmNumberTabs"/>
        <w:keepNext/>
      </w:pPr>
      <w:bookmarkStart w:id="6" w:name="EndB"/>
      <w:r>
        <w:rPr>
          <w:rStyle w:val="HideTWBExt"/>
          <w:b w:val="0"/>
        </w:rPr>
        <w:t>&lt;Amend&gt;</w:t>
      </w:r>
      <w:r>
        <w:t>Pakeitimas</w:t>
      </w:r>
      <w:r>
        <w:tab/>
      </w:r>
      <w:r>
        <w:tab/>
      </w:r>
      <w:r>
        <w:rPr>
          <w:rStyle w:val="HideTWBExt"/>
          <w:b w:val="0"/>
        </w:rPr>
        <w:t>&lt;NumAm&gt;</w:t>
      </w:r>
      <w:r>
        <w:t>2</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26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 xml:space="preserve">(26) veiksmingas </w:t>
            </w:r>
            <w:r>
              <w:t>koordinavimas yra labai svarbus siekiant užtikrinti veiksmingą reagavimą į krizes. Siekiant užtikrinti tokį koordinavimą, valstybėms narėms turėtų padėti EIVT reagavimo į krizes centras ir Komisijos reagavimo į nelaimes koordinavimo centras. Koordinuotas S</w:t>
            </w:r>
            <w:r>
              <w:t>ąjungos reagavimas į krizes ypač svarbus tais atvejais, kai būtina evakuacija, siekiant užtikrinti, kad turima parama būtų teikiama veiksmingai ir kad būtų kuo geriau panaudoti turimi evakuacijos pajėgumai. Dėl tos priežasties informacija apie turimus evak</w:t>
            </w:r>
            <w:r>
              <w:t>uacijos pajėgumus turėtų būti dalijamasi laiku, be kita ko, kai gelbėjimo ir evakuacijos operacijoms panaudojami kariniai ištekliai;</w:t>
            </w:r>
          </w:p>
        </w:tc>
        <w:tc>
          <w:tcPr>
            <w:tcW w:w="4876" w:type="dxa"/>
          </w:tcPr>
          <w:p w:rsidR="00251F1D" w:rsidRPr="00251F1D" w:rsidRDefault="007668AF" w:rsidP="00ED4E1A">
            <w:pPr>
              <w:pStyle w:val="Normal6a"/>
              <w:rPr>
                <w:szCs w:val="24"/>
              </w:rPr>
            </w:pPr>
            <w:r>
              <w:t>(26) veiksmingas koordinavimas yra labai svarbus siekiant užtikrinti veiksmingą reagavimą į krizes. Siekiant užtikrinti tok</w:t>
            </w:r>
            <w:r>
              <w:t>į koordinavimą, valstybėms narėms turėtų padėti EIVT reagavimo į krizes centras ir Komisijos reagavimo į nelaimes koordinavimo centras. Koordinuotas Sąjungos reagavimas į krizes ypač svarbus tais atvejais, kai būtina evakuacija, siekiant užtikrinti, kad tu</w:t>
            </w:r>
            <w:r>
              <w:t xml:space="preserve">rima parama būtų teikiama veiksmingai ir kad būtų kuo geriau panaudoti turimi evakuacijos pajėgumai. Dėl tos priežasties </w:t>
            </w:r>
            <w:r>
              <w:rPr>
                <w:b/>
                <w:i/>
              </w:rPr>
              <w:t xml:space="preserve">tiesiogine ir aktualia </w:t>
            </w:r>
            <w:r>
              <w:t>informacija</w:t>
            </w:r>
            <w:r>
              <w:rPr>
                <w:b/>
                <w:i/>
              </w:rPr>
              <w:t>, pavyzdžiui,</w:t>
            </w:r>
            <w:r>
              <w:t xml:space="preserve"> apie turimus evakuacijos pajėgumus</w:t>
            </w:r>
            <w:r>
              <w:rPr>
                <w:b/>
                <w:i/>
              </w:rPr>
              <w:t>,</w:t>
            </w:r>
            <w:r>
              <w:t xml:space="preserve"> turėtų būti dalijamasi laiku</w:t>
            </w:r>
            <w:r>
              <w:rPr>
                <w:b/>
                <w:i/>
              </w:rPr>
              <w:t xml:space="preserve"> siekiant reaguoti skub</w:t>
            </w:r>
            <w:r>
              <w:rPr>
                <w:b/>
                <w:i/>
              </w:rPr>
              <w:t>iai ir veiksmingai</w:t>
            </w:r>
            <w:r>
              <w:t>, be kita ko, kai gelbėjimo ir evakuacijos operacijoms panaudojami kariniai ištekliai</w:t>
            </w:r>
            <w:r>
              <w:rPr>
                <w:b/>
                <w:bCs/>
                <w:i/>
                <w:iCs/>
              </w:rPr>
              <w:t>.</w:t>
            </w:r>
            <w:r>
              <w:t xml:space="preserve"> </w:t>
            </w:r>
            <w:r>
              <w:rPr>
                <w:b/>
                <w:i/>
              </w:rPr>
              <w:t>Šiuo atžvilgiu EIVT turėtų turėti galimybę iš valstybių narių automatiškai ir nuolat gauti informaciją apie padėtį trečiosiose šalyse;</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lastRenderedPageBreak/>
        <w:t>&lt;Amend&gt;</w:t>
      </w:r>
      <w:r>
        <w:t>Pakeitimas</w:t>
      </w:r>
      <w:r>
        <w:tab/>
      </w:r>
      <w:r>
        <w:tab/>
      </w:r>
      <w:r>
        <w:rPr>
          <w:rStyle w:val="HideTWBExt"/>
          <w:b w:val="0"/>
        </w:rPr>
        <w:t>&lt;NumAm&gt;</w:t>
      </w:r>
      <w:r>
        <w:t>3</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34 a 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 xml:space="preserve"> </w:t>
            </w:r>
          </w:p>
        </w:tc>
        <w:tc>
          <w:tcPr>
            <w:tcW w:w="4876" w:type="dxa"/>
          </w:tcPr>
          <w:p w:rsidR="00251F1D" w:rsidRPr="00251F1D" w:rsidRDefault="007668AF" w:rsidP="00ED4E1A">
            <w:pPr>
              <w:pStyle w:val="Normal6a"/>
              <w:rPr>
                <w:szCs w:val="24"/>
              </w:rPr>
            </w:pPr>
            <w:r>
              <w:rPr>
                <w:b/>
                <w:i/>
              </w:rPr>
              <w:t>(34a)</w:t>
            </w:r>
            <w:r>
              <w:tab/>
            </w:r>
            <w:r>
              <w:rPr>
                <w:b/>
                <w:i/>
              </w:rPr>
              <w:t xml:space="preserve">be to, kad EIVT gauna pajamas iš valstybių </w:t>
            </w:r>
            <w:r>
              <w:rPr>
                <w:b/>
                <w:i/>
              </w:rPr>
              <w:t>narių kaip išlaidų atlyginimą, turėtų būti atitinkamai padidintas jos biudžetas, siekiant užtikrinti tinkamą įsipareigojimų vykdymą teikiant pagalbą ir (arba) apsaugą ES piliečiams. Dėl nuolatinių krizių ir konfliktų visame pasaulyje poveikio gali kilti pa</w:t>
            </w:r>
            <w:r>
              <w:rPr>
                <w:b/>
                <w:i/>
              </w:rPr>
              <w:t>vojus, kad valstybių narių konsulinės apsaugos ir (arba) pagalbos pajėgumai bus per daug apkrauti, ypač didelių krizių metu. EIVT ir Sąjungos delegacijos, kurios šioje srityje tampa vis svarbesnės, atlieka pagrindinį koordinavimo vaidmenį vietoje;</w:t>
            </w:r>
          </w:p>
        </w:tc>
      </w:tr>
    </w:tbl>
    <w:p w:rsidR="00251F1D" w:rsidRPr="00251F1D" w:rsidRDefault="007668AF" w:rsidP="00251F1D">
      <w:pPr>
        <w:pStyle w:val="AmOrLang"/>
      </w:pPr>
      <w:r w:rsidRPr="00251F1D">
        <w:t xml:space="preserve">Or. </w:t>
      </w:r>
      <w:r w:rsidRPr="00251F1D">
        <w:rPr>
          <w:rStyle w:val="HideTWBExt"/>
          <w:rFonts w:eastAsiaTheme="majorEastAsia"/>
        </w:rPr>
        <w:t>&lt;Or</w:t>
      </w:r>
      <w:r w:rsidRPr="00251F1D">
        <w:rPr>
          <w:rStyle w:val="HideTWBExt"/>
          <w:rFonts w:eastAsiaTheme="majorEastAsia"/>
        </w:rPr>
        <w:t>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4</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4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 xml:space="preserve">11 straipsnio 2 a dalis </w:t>
      </w:r>
      <w:r>
        <w:t>(nauja)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 xml:space="preserve"> </w:t>
            </w:r>
          </w:p>
        </w:tc>
        <w:tc>
          <w:tcPr>
            <w:tcW w:w="4876" w:type="dxa"/>
          </w:tcPr>
          <w:p w:rsidR="00251F1D" w:rsidRPr="00251F1D" w:rsidRDefault="007668AF" w:rsidP="00ED4E1A">
            <w:pPr>
              <w:pStyle w:val="Normal6a"/>
              <w:rPr>
                <w:szCs w:val="24"/>
              </w:rPr>
            </w:pPr>
            <w:r>
              <w:rPr>
                <w:b/>
                <w:i/>
              </w:rPr>
              <w:t>2a.</w:t>
            </w:r>
            <w:r>
              <w:tab/>
            </w:r>
            <w:r>
              <w:rPr>
                <w:b/>
                <w:i/>
              </w:rPr>
              <w:t>EIVT ir Sąjungos delegacijoms skiriami būtini papildomi finansiniai ir žmogiškieji ištekliai pridėtinėms išlaidoms ir papildomam horizontaliajam administraciniam darbo krūviui padengti.</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lastRenderedPageBreak/>
        <w:t>&lt;Amend&gt;</w:t>
      </w:r>
      <w:r>
        <w:t>Pakeitimas</w:t>
      </w:r>
      <w:r>
        <w:tab/>
      </w:r>
      <w:r>
        <w:tab/>
      </w:r>
      <w:r>
        <w:rPr>
          <w:rStyle w:val="HideTWBExt"/>
          <w:b w:val="0"/>
        </w:rPr>
        <w:t>&lt;NumAm&gt;</w:t>
      </w:r>
      <w:r>
        <w:t>5</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4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13 straipsnio 4 a da</w:t>
      </w:r>
      <w:r>
        <w:t>lis (nauja)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 xml:space="preserve"> </w:t>
            </w:r>
          </w:p>
        </w:tc>
        <w:tc>
          <w:tcPr>
            <w:tcW w:w="4876" w:type="dxa"/>
          </w:tcPr>
          <w:p w:rsidR="00251F1D" w:rsidRPr="00251F1D" w:rsidRDefault="007668AF" w:rsidP="00ED4E1A">
            <w:pPr>
              <w:pStyle w:val="Normal6a"/>
              <w:rPr>
                <w:szCs w:val="24"/>
              </w:rPr>
            </w:pPr>
            <w:r>
              <w:rPr>
                <w:b/>
                <w:i/>
              </w:rPr>
              <w:t>4a.</w:t>
            </w:r>
            <w:r>
              <w:rPr>
                <w:b/>
                <w:i/>
              </w:rPr>
              <w:tab/>
              <w:t xml:space="preserve">Valstybės narės didina Sąjungos delegacijų informuotumą apie padėtį trečiosiose šalyse, be kita ko, reguliariai dalydamosi naujausiais rizikos vertinimo rezultatais ir informacija apie </w:t>
            </w:r>
            <w:r>
              <w:rPr>
                <w:b/>
                <w:i/>
              </w:rPr>
              <w:t>galimas grėsmes ES piliečių saugumui.</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6</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4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13 straipsnio 5 a dalis (nauja)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 xml:space="preserve"> </w:t>
            </w:r>
          </w:p>
        </w:tc>
        <w:tc>
          <w:tcPr>
            <w:tcW w:w="4876" w:type="dxa"/>
          </w:tcPr>
          <w:p w:rsidR="00251F1D" w:rsidRPr="00251F1D" w:rsidRDefault="007668AF" w:rsidP="00ED4E1A">
            <w:pPr>
              <w:pStyle w:val="Normal6a"/>
              <w:rPr>
                <w:szCs w:val="24"/>
              </w:rPr>
            </w:pPr>
            <w:r>
              <w:rPr>
                <w:b/>
                <w:i/>
              </w:rPr>
              <w:t>5a.</w:t>
            </w:r>
            <w:r>
              <w:tab/>
            </w:r>
            <w:r>
              <w:rPr>
                <w:b/>
                <w:i/>
              </w:rPr>
              <w:t>EIVT, glaudžiai bendradarbiaudama su valstybėmis narėmis, Sąjungos pareigūnams ir valstybių narių diplomatinio bei konsulinio personalo nariams</w:t>
            </w:r>
            <w:r>
              <w:rPr>
                <w:b/>
                <w:i/>
              </w:rPr>
              <w:t xml:space="preserve"> rengia pasirengimo konsulinėms krizėms ir reagavimo į jas mokymus.</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7</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5 punktas</w:t>
      </w:r>
      <w:r>
        <w:rPr>
          <w:rStyle w:val="HideTWBExt"/>
          <w:b w:val="0"/>
        </w:rPr>
        <w:t>&lt;/Article&gt;</w:t>
      </w:r>
    </w:p>
    <w:p w:rsidR="00251F1D" w:rsidRPr="00251F1D" w:rsidRDefault="007668AF" w:rsidP="00251F1D">
      <w:pPr>
        <w:keepNext/>
      </w:pPr>
      <w:r>
        <w:rPr>
          <w:rStyle w:val="HideTWBExt"/>
        </w:rPr>
        <w:t>&lt;DocAmen</w:t>
      </w:r>
      <w:r>
        <w:rPr>
          <w:rStyle w:val="HideTWBExt"/>
        </w:rPr>
        <w:t>d2&gt;</w:t>
      </w:r>
      <w:r>
        <w:t>Direktyva (ES) 2015/637</w:t>
      </w:r>
      <w:r>
        <w:rPr>
          <w:rStyle w:val="HideTWBExt"/>
        </w:rPr>
        <w:t>&lt;/DocAmend2&gt;</w:t>
      </w:r>
    </w:p>
    <w:p w:rsidR="00251F1D" w:rsidRPr="00251F1D" w:rsidRDefault="007668AF" w:rsidP="00251F1D">
      <w:r>
        <w:rPr>
          <w:rStyle w:val="HideTWBExt"/>
        </w:rPr>
        <w:t>&lt;Article2&gt;</w:t>
      </w:r>
      <w:r>
        <w:t>13 a straipsnio 2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2.</w:t>
            </w:r>
            <w:r>
              <w:tab/>
              <w:t xml:space="preserve">Prireikus valstybėms narėms gali padėti jungtinės konsulinės grupės, kurias sudaro valstybių narių ekspertai, visų pirma iš </w:t>
            </w:r>
            <w:r>
              <w:t>valstybių narių, kurioms neatstovaujama krizės paveiktoje trečiojoje šalyje, taip pat EIVT ir Komisijos tarnybų atstovai. Jungtines konsulines grupes galima greitai dislokuoti konsulinės krizės paveiktose trečiosiose šalyse. Dalyvavimas jungtinėse konsulin</w:t>
            </w:r>
            <w:r>
              <w:t>ėse grupėse yra savanoriškas.</w:t>
            </w:r>
          </w:p>
        </w:tc>
        <w:tc>
          <w:tcPr>
            <w:tcW w:w="4876" w:type="dxa"/>
          </w:tcPr>
          <w:p w:rsidR="00251F1D" w:rsidRPr="00251F1D" w:rsidRDefault="007668AF" w:rsidP="00ED4E1A">
            <w:pPr>
              <w:pStyle w:val="Normal6a"/>
              <w:rPr>
                <w:szCs w:val="24"/>
              </w:rPr>
            </w:pPr>
            <w:r>
              <w:t>2.</w:t>
            </w:r>
            <w:r>
              <w:tab/>
              <w:t>Prireikus valstybėms narėms gali padėti jungtinės konsulinės grupės, kurias sudaro valstybių narių ekspertai, visų pirma iš valstybių narių, kurioms neatstovaujama krizės paveiktoje trečiojoje šalyje, taip pat EIVT ir Komis</w:t>
            </w:r>
            <w:r>
              <w:t>ijos tarnybų atstovai. Jungtines konsulines grupes galima greitai dislokuoti konsulinės krizės paveiktose trečiosiose šalyse. Dalyvavimas jungtinėse konsulinėse grupėse yra savanoriškas.</w:t>
            </w:r>
            <w:r>
              <w:rPr>
                <w:b/>
                <w:i/>
              </w:rPr>
              <w:t xml:space="preserve"> EIVT ir Komisija remia tų ekspertų ir jungtinių konsulinių grupių pas</w:t>
            </w:r>
            <w:r>
              <w:rPr>
                <w:b/>
                <w:i/>
              </w:rPr>
              <w:t>irengimą.</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8</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5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 xml:space="preserve">13 a </w:t>
      </w:r>
      <w:r>
        <w:t>straipsnio 4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4.</w:t>
            </w:r>
            <w:r>
              <w:tab/>
              <w:t xml:space="preserve">Teikdamos paramą valstybės narės </w:t>
            </w:r>
            <w:r>
              <w:rPr>
                <w:b/>
                <w:i/>
              </w:rPr>
              <w:t xml:space="preserve">prireikus </w:t>
            </w:r>
            <w:r>
              <w:t xml:space="preserve">gali </w:t>
            </w:r>
            <w:r>
              <w:rPr>
                <w:b/>
                <w:i/>
              </w:rPr>
              <w:t>prašyti paramos</w:t>
            </w:r>
            <w:r>
              <w:t xml:space="preserve"> pagal Sąjungos priemones, pavyzdžiui, iš EIVT ir jos Reagavimo į krizes centro krizių valdymo struktūrų, </w:t>
            </w:r>
            <w:r>
              <w:rPr>
                <w:b/>
                <w:i/>
              </w:rPr>
              <w:t>o per</w:t>
            </w:r>
            <w:r>
              <w:t xml:space="preserve"> Sprendi</w:t>
            </w:r>
            <w:r>
              <w:t>mo Nr. 1313/2013/ES 7</w:t>
            </w:r>
            <w:r>
              <w:rPr>
                <w:b/>
                <w:i/>
              </w:rPr>
              <w:t xml:space="preserve"> straipsniu įsteigtą </w:t>
            </w:r>
            <w:r>
              <w:t>Reagavimo į nelaimes koordinavimo centrą</w:t>
            </w:r>
            <w:r>
              <w:rPr>
                <w:b/>
                <w:i/>
              </w:rPr>
              <w:t> – iš Sąjungos civilinės saugos mechanizmo</w:t>
            </w:r>
            <w:r>
              <w:t>.</w:t>
            </w:r>
          </w:p>
        </w:tc>
        <w:tc>
          <w:tcPr>
            <w:tcW w:w="4876" w:type="dxa"/>
          </w:tcPr>
          <w:p w:rsidR="00251F1D" w:rsidRPr="00251F1D" w:rsidRDefault="007668AF" w:rsidP="00ED4E1A">
            <w:pPr>
              <w:pStyle w:val="Normal6a"/>
              <w:rPr>
                <w:szCs w:val="24"/>
              </w:rPr>
            </w:pPr>
            <w:r>
              <w:t>4.</w:t>
            </w:r>
            <w:r>
              <w:tab/>
              <w:t xml:space="preserve">Teikdamos paramą valstybės narės gali </w:t>
            </w:r>
            <w:r>
              <w:rPr>
                <w:b/>
                <w:i/>
              </w:rPr>
              <w:t>gauti paramą</w:t>
            </w:r>
            <w:r>
              <w:t xml:space="preserve"> pagal Sąjungos priemones, pavyzdžiui, iš EIVT ir jos Reagavimo į krizes cent</w:t>
            </w:r>
            <w:r>
              <w:t>ro krizių valdymo struktūrų</w:t>
            </w:r>
            <w:r>
              <w:rPr>
                <w:b/>
                <w:i/>
              </w:rPr>
              <w:t xml:space="preserve">. Valstybės narės taip pat gali įtraukti </w:t>
            </w:r>
            <w:r>
              <w:t xml:space="preserve">Reagavimo į nelaimes koordinavimo centrą, </w:t>
            </w:r>
            <w:r>
              <w:rPr>
                <w:b/>
                <w:i/>
              </w:rPr>
              <w:t>įsteigtą pagal</w:t>
            </w:r>
            <w:r>
              <w:t xml:space="preserve"> Sprendimo Nr. 1313/2013/ES 7</w:t>
            </w:r>
            <w:r>
              <w:rPr>
                <w:b/>
                <w:i/>
              </w:rPr>
              <w:t> straipsnį, Sąjungos civilinės saugos mechanizmą ir, jei tikslinga, ES misijas ir operacijas pagal bend</w:t>
            </w:r>
            <w:r>
              <w:rPr>
                <w:b/>
                <w:i/>
              </w:rPr>
              <w:t>rą saugumo ir gynybos politiką</w:t>
            </w:r>
            <w:r>
              <w:t>.</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lastRenderedPageBreak/>
        <w:t>&lt;Amend&gt;</w:t>
      </w:r>
      <w:r>
        <w:t>Pakeitimas</w:t>
      </w:r>
      <w:r>
        <w:tab/>
      </w:r>
      <w:r>
        <w:tab/>
      </w:r>
      <w:r>
        <w:rPr>
          <w:rStyle w:val="HideTWBExt"/>
          <w:b w:val="0"/>
        </w:rPr>
        <w:t>&lt;NumAm&gt;</w:t>
      </w:r>
      <w:r>
        <w:t>9</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6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2a skyriaus 13b straipsnio 1 dalies įžanginė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1.</w:t>
            </w:r>
            <w:r>
              <w:tab/>
              <w:t xml:space="preserve">Bent kartą per metus valstybės narės </w:t>
            </w:r>
            <w:r>
              <w:rPr>
                <w:b/>
                <w:i/>
              </w:rPr>
              <w:t>Komisijai ir Sąjungos vyriausiajam įgaliotiniui užsienio reikalams</w:t>
            </w:r>
            <w:r>
              <w:t xml:space="preserve"> ir </w:t>
            </w:r>
            <w:r>
              <w:rPr>
                <w:b/>
                <w:i/>
              </w:rPr>
              <w:t>saugumo politikai</w:t>
            </w:r>
            <w:r>
              <w:t xml:space="preserve"> pateikia tokią informaciją:</w:t>
            </w:r>
          </w:p>
        </w:tc>
        <w:tc>
          <w:tcPr>
            <w:tcW w:w="4876" w:type="dxa"/>
          </w:tcPr>
          <w:p w:rsidR="00251F1D" w:rsidRPr="00251F1D" w:rsidRDefault="007668AF" w:rsidP="00ED4E1A">
            <w:pPr>
              <w:pStyle w:val="Normal6a"/>
              <w:rPr>
                <w:szCs w:val="24"/>
              </w:rPr>
            </w:pPr>
            <w:r>
              <w:t>1.</w:t>
            </w:r>
            <w:r>
              <w:tab/>
              <w:t xml:space="preserve">Bent kartą per metus valstybės narės </w:t>
            </w:r>
            <w:r>
              <w:rPr>
                <w:b/>
                <w:i/>
              </w:rPr>
              <w:t>EIVT</w:t>
            </w:r>
            <w:r>
              <w:t xml:space="preserve"> ir </w:t>
            </w:r>
            <w:r>
              <w:rPr>
                <w:b/>
                <w:i/>
              </w:rPr>
              <w:t>Komisijai</w:t>
            </w:r>
            <w:r>
              <w:t xml:space="preserve"> pateikia tokią informaciją:</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10</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 xml:space="preserve">1 </w:t>
      </w:r>
      <w:r>
        <w:t>straipsnio 1 pastraipos 6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2a skyriaus 13c straipsnio 1 dalies įžanginė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1.</w:t>
            </w:r>
            <w:r>
              <w:tab/>
              <w:t>Valstybės narės imasi priemonių, kad informuotų s</w:t>
            </w:r>
            <w:r>
              <w:t>avo piliečius apie jų teisę, nustatytą SESV 20 straipsnio 2 dalies c punkte</w:t>
            </w:r>
            <w:r>
              <w:rPr>
                <w:b/>
                <w:i/>
              </w:rPr>
              <w:t>.Be kita ko</w:t>
            </w:r>
            <w:r>
              <w:t xml:space="preserve">, </w:t>
            </w:r>
            <w:r>
              <w:rPr>
                <w:b/>
                <w:i/>
              </w:rPr>
              <w:t>tokiomis priemonėmis gali būti siekiama</w:t>
            </w:r>
            <w:r>
              <w:t>:</w:t>
            </w:r>
          </w:p>
          <w:p w:rsidR="00251F1D" w:rsidRPr="00251F1D" w:rsidRDefault="00251F1D" w:rsidP="00ED4E1A">
            <w:pPr>
              <w:pStyle w:val="Normal6a"/>
            </w:pPr>
          </w:p>
        </w:tc>
        <w:tc>
          <w:tcPr>
            <w:tcW w:w="4876" w:type="dxa"/>
          </w:tcPr>
          <w:p w:rsidR="00251F1D" w:rsidRPr="00251F1D" w:rsidRDefault="007668AF" w:rsidP="00ED4E1A">
            <w:pPr>
              <w:pStyle w:val="Normal6a"/>
            </w:pPr>
            <w:r>
              <w:t>1.</w:t>
            </w:r>
            <w:r>
              <w:tab/>
            </w:r>
            <w:r>
              <w:t xml:space="preserve">Valstybės narės imasi priemonių, kad informuotų savo piliečius apie jų teisę, nustatytą SESV 20 straipsnio 2 dalies c punkte, </w:t>
            </w:r>
            <w:r>
              <w:rPr>
                <w:b/>
                <w:i/>
              </w:rPr>
              <w:t>visų pirma šių</w:t>
            </w:r>
            <w:r>
              <w:t>:</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11</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6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2a skyriaus 13c straipsnio 1 dalies įžanginės dalies a punktas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rPr>
                <w:b/>
                <w:i/>
              </w:rPr>
              <w:t>a)</w:t>
            </w:r>
            <w:r>
              <w:rPr>
                <w:b/>
                <w:i/>
              </w:rPr>
              <w:tab/>
              <w:t>pakartoti SESV</w:t>
            </w:r>
            <w:r>
              <w:rPr>
                <w:b/>
                <w:i/>
              </w:rPr>
              <w:t xml:space="preserve"> 23 straipsnio </w:t>
            </w:r>
            <w:r>
              <w:rPr>
                <w:b/>
                <w:i/>
              </w:rPr>
              <w:lastRenderedPageBreak/>
              <w:t>pirmą sakinį dėl nacionalinių pasų;</w:t>
            </w:r>
          </w:p>
        </w:tc>
        <w:tc>
          <w:tcPr>
            <w:tcW w:w="4876" w:type="dxa"/>
          </w:tcPr>
          <w:p w:rsidR="00251F1D" w:rsidRPr="00251F1D" w:rsidRDefault="007668AF" w:rsidP="00ED4E1A">
            <w:pPr>
              <w:pStyle w:val="Normal6a"/>
              <w:rPr>
                <w:b/>
                <w:i/>
                <w:szCs w:val="24"/>
              </w:rPr>
            </w:pPr>
            <w:r>
              <w:rPr>
                <w:b/>
                <w:i/>
              </w:rPr>
              <w:lastRenderedPageBreak/>
              <w:t>Išbraukta.</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12</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6 punktas</w:t>
      </w:r>
      <w:r>
        <w:rPr>
          <w:rStyle w:val="HideTWBExt"/>
          <w:b w:val="0"/>
        </w:rPr>
        <w:t>&lt;/Article&gt;</w:t>
      </w:r>
    </w:p>
    <w:p w:rsidR="00251F1D" w:rsidRPr="00251F1D" w:rsidRDefault="007668AF" w:rsidP="00251F1D">
      <w:pPr>
        <w:keepNext/>
      </w:pPr>
      <w:r>
        <w:rPr>
          <w:rStyle w:val="HideTWBExt"/>
        </w:rPr>
        <w:t>&lt;DocAmend2&gt;</w:t>
      </w:r>
      <w:r>
        <w:t>Di</w:t>
      </w:r>
      <w:r>
        <w:t>rektyva (ES) 2015/637</w:t>
      </w:r>
      <w:r>
        <w:rPr>
          <w:rStyle w:val="HideTWBExt"/>
        </w:rPr>
        <w:t>&lt;/DocAmend2&gt;</w:t>
      </w:r>
    </w:p>
    <w:p w:rsidR="00251F1D" w:rsidRPr="00251F1D" w:rsidRDefault="007668AF" w:rsidP="00251F1D">
      <w:r>
        <w:rPr>
          <w:rStyle w:val="HideTWBExt"/>
        </w:rPr>
        <w:t>&lt;Article2&gt;</w:t>
      </w:r>
      <w:r>
        <w:t>2a skyriaus 13c straipsnio 1 dalies įžanginės dalies c punktas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 xml:space="preserve"> </w:t>
            </w:r>
          </w:p>
        </w:tc>
        <w:tc>
          <w:tcPr>
            <w:tcW w:w="4876" w:type="dxa"/>
          </w:tcPr>
          <w:p w:rsidR="00251F1D" w:rsidRPr="00251F1D" w:rsidRDefault="007668AF" w:rsidP="00ED4E1A">
            <w:pPr>
              <w:pStyle w:val="Normal6a"/>
              <w:rPr>
                <w:szCs w:val="24"/>
              </w:rPr>
            </w:pPr>
            <w:r>
              <w:rPr>
                <w:b/>
                <w:i/>
              </w:rPr>
              <w:t>c)</w:t>
            </w:r>
            <w:r>
              <w:rPr>
                <w:b/>
                <w:i/>
              </w:rPr>
              <w:tab/>
              <w:t xml:space="preserve">sukurti automatines pranešimų sistemas, pavyzdžiui, telefono tinklais siunčiamų trumpųjų </w:t>
            </w:r>
            <w:r>
              <w:rPr>
                <w:b/>
                <w:i/>
              </w:rPr>
              <w:t>žinučių sistemas, kad visiems į trečiąją šalį atvykusiems ES piliečiams, būtų suteikta pagrindinė su konsuline apsauga susijusi kontaktinė informacija, taip pat, kad jiems būtų išsiusti įspėjamieji pranešimai krizės atveju.</w:t>
            </w:r>
          </w:p>
        </w:tc>
      </w:tr>
      <w:tr w:rsidR="002967B9" w:rsidTr="00ED4E1A">
        <w:trPr>
          <w:jc w:val="center"/>
        </w:trPr>
        <w:tc>
          <w:tcPr>
            <w:tcW w:w="4876" w:type="dxa"/>
          </w:tcPr>
          <w:p w:rsidR="00251F1D" w:rsidRPr="00251F1D" w:rsidRDefault="00251F1D" w:rsidP="00ED4E1A">
            <w:pPr>
              <w:pStyle w:val="Normal6a"/>
            </w:pPr>
          </w:p>
        </w:tc>
        <w:tc>
          <w:tcPr>
            <w:tcW w:w="4876" w:type="dxa"/>
          </w:tcPr>
          <w:p w:rsidR="00251F1D" w:rsidRPr="00251F1D" w:rsidRDefault="007668AF" w:rsidP="00ED4E1A">
            <w:pPr>
              <w:pStyle w:val="Normal6a"/>
              <w:rPr>
                <w:b/>
                <w:i/>
              </w:rPr>
            </w:pPr>
            <w:r>
              <w:rPr>
                <w:b/>
                <w:i/>
              </w:rPr>
              <w:t>Be to, valstybės narės gali na</w:t>
            </w:r>
            <w:r>
              <w:rPr>
                <w:b/>
                <w:i/>
              </w:rPr>
              <w:t>cionaliniuose pasuose nurodyti SESV 23 straipsnio pirmą sakinį;</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13</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9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16b straipsnio 1 pastraipos įžanginė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Valstybės narės užtikrina, kad neatstovaujami piliečiai jų teisių pažeidimo pagal šią direktyvą atveju galėtų naudo</w:t>
            </w:r>
            <w:r>
              <w:t xml:space="preserve">tis nacionalinėje teisėje </w:t>
            </w:r>
            <w:r>
              <w:rPr>
                <w:b/>
                <w:i/>
              </w:rPr>
              <w:t>numatyta veiksminga</w:t>
            </w:r>
            <w:r>
              <w:t xml:space="preserve"> teisių gynimo </w:t>
            </w:r>
            <w:r>
              <w:rPr>
                <w:b/>
                <w:i/>
              </w:rPr>
              <w:t>priemone</w:t>
            </w:r>
            <w:r>
              <w:t>.</w:t>
            </w:r>
          </w:p>
        </w:tc>
        <w:tc>
          <w:tcPr>
            <w:tcW w:w="4876" w:type="dxa"/>
          </w:tcPr>
          <w:p w:rsidR="00251F1D" w:rsidRPr="00251F1D" w:rsidRDefault="007668AF" w:rsidP="00ED4E1A">
            <w:pPr>
              <w:pStyle w:val="Normal6a"/>
              <w:rPr>
                <w:szCs w:val="24"/>
              </w:rPr>
            </w:pPr>
            <w:r>
              <w:t xml:space="preserve">Valstybės narės užtikrina, kad neatstovaujami piliečiai jų teisių pažeidimo pagal šią direktyvą atveju galėtų </w:t>
            </w:r>
            <w:r>
              <w:rPr>
                <w:b/>
                <w:i/>
              </w:rPr>
              <w:t xml:space="preserve">veiksmingai </w:t>
            </w:r>
            <w:r>
              <w:t xml:space="preserve">naudotis nacionalinėje teisėje </w:t>
            </w:r>
            <w:r>
              <w:rPr>
                <w:b/>
                <w:i/>
              </w:rPr>
              <w:t>numatytomis skundų nagrinėjimo ir</w:t>
            </w:r>
            <w:r>
              <w:t xml:space="preserve"> teisių gynimo </w:t>
            </w:r>
            <w:r>
              <w:rPr>
                <w:b/>
                <w:i/>
              </w:rPr>
              <w:t>priemonėmis</w:t>
            </w:r>
            <w:r>
              <w:t>.</w:t>
            </w:r>
          </w:p>
        </w:tc>
      </w:tr>
    </w:tbl>
    <w:p w:rsidR="00251F1D" w:rsidRPr="00251F1D" w:rsidRDefault="007668AF" w:rsidP="00251F1D">
      <w:pPr>
        <w:pStyle w:val="AmOrLang"/>
      </w:pPr>
      <w:r w:rsidRPr="00251F1D">
        <w:lastRenderedPageBreak/>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pPr>
        <w:pStyle w:val="AmNumberTabs"/>
        <w:keepNext/>
      </w:pPr>
      <w:r>
        <w:rPr>
          <w:rStyle w:val="HideTWBExt"/>
          <w:b w:val="0"/>
        </w:rPr>
        <w:t>&lt;Amend&gt;</w:t>
      </w:r>
      <w:r>
        <w:t>Pakeitimas</w:t>
      </w:r>
      <w:r>
        <w:tab/>
      </w:r>
      <w:r>
        <w:tab/>
      </w:r>
      <w:r>
        <w:rPr>
          <w:rStyle w:val="HideTWBExt"/>
          <w:b w:val="0"/>
        </w:rPr>
        <w:t>&lt;NumAm&gt;</w:t>
      </w:r>
      <w:r>
        <w:t>14</w:t>
      </w:r>
      <w:r>
        <w:rPr>
          <w:rStyle w:val="HideTWBExt"/>
          <w:b w:val="0"/>
        </w:rPr>
        <w:t>&lt;/NumAm&gt;</w:t>
      </w:r>
    </w:p>
    <w:p w:rsidR="00251F1D" w:rsidRPr="00251F1D" w:rsidRDefault="007668AF" w:rsidP="00251F1D">
      <w:pPr>
        <w:pStyle w:val="NormalBold12b"/>
        <w:keepNext/>
      </w:pPr>
      <w:r>
        <w:rPr>
          <w:rStyle w:val="HideTWBExt"/>
          <w:b w:val="0"/>
        </w:rPr>
        <w:t>&lt;DocAmend&gt;</w:t>
      </w:r>
      <w:r>
        <w:t>Pasiūlymas dėl direktyvos</w:t>
      </w:r>
      <w:r>
        <w:rPr>
          <w:rStyle w:val="HideTWBExt"/>
          <w:b w:val="0"/>
        </w:rPr>
        <w:t>&lt;/DocAmend&gt;</w:t>
      </w:r>
    </w:p>
    <w:p w:rsidR="00251F1D" w:rsidRPr="00251F1D" w:rsidRDefault="007668AF" w:rsidP="00251F1D">
      <w:pPr>
        <w:pStyle w:val="NormalBold"/>
        <w:keepNext/>
      </w:pPr>
      <w:r>
        <w:rPr>
          <w:rStyle w:val="HideTWBExt"/>
          <w:b w:val="0"/>
        </w:rPr>
        <w:t>&lt;Article&gt;</w:t>
      </w:r>
      <w:r>
        <w:t>1 straipsnio 1 pastraipos 10 punktas</w:t>
      </w:r>
      <w:r>
        <w:rPr>
          <w:rStyle w:val="HideTWBExt"/>
          <w:b w:val="0"/>
        </w:rPr>
        <w:t>&lt;/Article&gt;</w:t>
      </w:r>
    </w:p>
    <w:p w:rsidR="00251F1D" w:rsidRPr="00251F1D" w:rsidRDefault="007668AF" w:rsidP="00251F1D">
      <w:pPr>
        <w:keepNext/>
      </w:pPr>
      <w:r>
        <w:rPr>
          <w:rStyle w:val="HideTWBExt"/>
        </w:rPr>
        <w:t>&lt;DocAmend2&gt;</w:t>
      </w:r>
      <w:r>
        <w:t>Direktyva (ES) 2015/637</w:t>
      </w:r>
      <w:r>
        <w:rPr>
          <w:rStyle w:val="HideTWBExt"/>
        </w:rPr>
        <w:t>&lt;/DocAmend2&gt;</w:t>
      </w:r>
    </w:p>
    <w:p w:rsidR="00251F1D" w:rsidRPr="00251F1D" w:rsidRDefault="007668AF" w:rsidP="00251F1D">
      <w:r>
        <w:rPr>
          <w:rStyle w:val="HideTWBExt"/>
        </w:rPr>
        <w:t>&lt;Article2&gt;</w:t>
      </w:r>
      <w:r>
        <w:t>19 straipsnio 3 dalies 1 pastraipa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67B9" w:rsidTr="00ED4E1A">
        <w:trPr>
          <w:jc w:val="center"/>
        </w:trPr>
        <w:tc>
          <w:tcPr>
            <w:tcW w:w="9752" w:type="dxa"/>
            <w:gridSpan w:val="2"/>
          </w:tcPr>
          <w:p w:rsidR="00251F1D" w:rsidRPr="00251F1D" w:rsidRDefault="00251F1D" w:rsidP="00ED4E1A">
            <w:pPr>
              <w:keepNext/>
            </w:pPr>
          </w:p>
        </w:tc>
      </w:tr>
      <w:tr w:rsidR="002967B9" w:rsidTr="00ED4E1A">
        <w:trPr>
          <w:jc w:val="center"/>
        </w:trPr>
        <w:tc>
          <w:tcPr>
            <w:tcW w:w="4876" w:type="dxa"/>
          </w:tcPr>
          <w:p w:rsidR="00251F1D" w:rsidRPr="00251F1D" w:rsidRDefault="007668AF" w:rsidP="00ED4E1A">
            <w:pPr>
              <w:pStyle w:val="AmColumnHeading"/>
              <w:keepNext/>
            </w:pPr>
            <w:r>
              <w:t>Komisijos siūlomas tekstas</w:t>
            </w:r>
          </w:p>
        </w:tc>
        <w:tc>
          <w:tcPr>
            <w:tcW w:w="4876" w:type="dxa"/>
          </w:tcPr>
          <w:p w:rsidR="00251F1D" w:rsidRPr="00251F1D" w:rsidRDefault="007668AF" w:rsidP="00ED4E1A">
            <w:pPr>
              <w:pStyle w:val="AmColumnHeading"/>
              <w:keepNext/>
            </w:pPr>
            <w:r>
              <w:t>Pakeitimas</w:t>
            </w:r>
          </w:p>
        </w:tc>
      </w:tr>
      <w:tr w:rsidR="002967B9" w:rsidTr="00ED4E1A">
        <w:trPr>
          <w:jc w:val="center"/>
        </w:trPr>
        <w:tc>
          <w:tcPr>
            <w:tcW w:w="4876" w:type="dxa"/>
          </w:tcPr>
          <w:p w:rsidR="00251F1D" w:rsidRPr="00251F1D" w:rsidRDefault="007668AF" w:rsidP="00ED4E1A">
            <w:pPr>
              <w:pStyle w:val="Normal6a"/>
            </w:pPr>
            <w:r>
              <w:t xml:space="preserve">3. Komisija ne </w:t>
            </w:r>
            <w:r>
              <w:rPr>
                <w:b/>
                <w:i/>
              </w:rPr>
              <w:t>anksčiau</w:t>
            </w:r>
            <w:r>
              <w:t xml:space="preserve"> kaip </w:t>
            </w:r>
            <w:r>
              <w:rPr>
                <w:b/>
                <w:i/>
              </w:rPr>
              <w:t>[aštuoneri</w:t>
            </w:r>
            <w:r>
              <w:t xml:space="preserve"> </w:t>
            </w:r>
            <w:r>
              <w:rPr>
                <w:i/>
                <w:iCs/>
              </w:rPr>
              <w:t>metai nuo iš dalies keičiančios direktyvos perkėlimo į nacionalinę teisę termino</w:t>
            </w:r>
            <w:r>
              <w:t>] atlieka šios direktyvos vertinimą ir</w:t>
            </w:r>
            <w:r>
              <w:t xml:space="preserve"> jo pagrindinių išvadų ataskaitą pateikia Europos Parlamentui ir Tarybai.</w:t>
            </w:r>
          </w:p>
        </w:tc>
        <w:tc>
          <w:tcPr>
            <w:tcW w:w="4876" w:type="dxa"/>
          </w:tcPr>
          <w:p w:rsidR="00251F1D" w:rsidRPr="00251F1D" w:rsidRDefault="007668AF" w:rsidP="00ED4E1A">
            <w:pPr>
              <w:pStyle w:val="Normal6a"/>
              <w:rPr>
                <w:szCs w:val="24"/>
              </w:rPr>
            </w:pPr>
            <w:r>
              <w:t xml:space="preserve">3. Komisija ne </w:t>
            </w:r>
            <w:r>
              <w:rPr>
                <w:b/>
                <w:i/>
              </w:rPr>
              <w:t>vėliau</w:t>
            </w:r>
            <w:r>
              <w:t xml:space="preserve"> kaip </w:t>
            </w:r>
            <w:r>
              <w:rPr>
                <w:b/>
                <w:i/>
              </w:rPr>
              <w:t>[penkeri</w:t>
            </w:r>
            <w:r>
              <w:t xml:space="preserve"> </w:t>
            </w:r>
            <w:r>
              <w:rPr>
                <w:i/>
                <w:iCs/>
              </w:rPr>
              <w:t>metai nuo iš dalies keičiančios direktyvos perkėlimo į nacionalinę teisę termino</w:t>
            </w:r>
            <w:r>
              <w:t xml:space="preserve">] </w:t>
            </w:r>
            <w:r>
              <w:rPr>
                <w:b/>
                <w:i/>
              </w:rPr>
              <w:t xml:space="preserve">ir po to kas penkerius metus </w:t>
            </w:r>
            <w:r>
              <w:t xml:space="preserve">atlieka šios direktyvos </w:t>
            </w:r>
            <w:r>
              <w:rPr>
                <w:b/>
                <w:i/>
              </w:rPr>
              <w:t>perkėlimo į</w:t>
            </w:r>
            <w:r>
              <w:rPr>
                <w:b/>
                <w:i/>
              </w:rPr>
              <w:t xml:space="preserve"> nacionalinę teisę ir taikymo </w:t>
            </w:r>
            <w:r>
              <w:t>vertinimą ir jo pagrindinių išvadų ataskaitą pateikia Europos Parlamentui ir Tarybai</w:t>
            </w:r>
            <w:r>
              <w:rPr>
                <w:b/>
                <w:i/>
              </w:rPr>
              <w:t>, įskaitant informaciją apie galimus šioje direktyvoje numatytų teisių pažeidimus</w:t>
            </w:r>
            <w:r>
              <w:t>.</w:t>
            </w:r>
          </w:p>
        </w:tc>
      </w:tr>
    </w:tbl>
    <w:p w:rsidR="00251F1D" w:rsidRPr="00251F1D" w:rsidRDefault="007668AF" w:rsidP="00251F1D">
      <w:pPr>
        <w:pStyle w:val="AmOrLang"/>
      </w:pPr>
      <w:r w:rsidRPr="00251F1D">
        <w:t xml:space="preserve">Or. </w:t>
      </w:r>
      <w:r w:rsidRPr="00251F1D">
        <w:rPr>
          <w:rStyle w:val="HideTWBExt"/>
          <w:rFonts w:eastAsiaTheme="majorEastAsia"/>
        </w:rPr>
        <w:t>&lt;Original&gt;</w:t>
      </w:r>
      <w:r w:rsidRPr="00251F1D">
        <w:rPr>
          <w:rStyle w:val="HideTWBInt"/>
        </w:rPr>
        <w:t>{EN}</w:t>
      </w:r>
      <w:r w:rsidRPr="00251F1D">
        <w:t>en</w:t>
      </w:r>
      <w:r w:rsidRPr="00251F1D">
        <w:rPr>
          <w:rStyle w:val="HideTWBExt"/>
          <w:rFonts w:eastAsiaTheme="majorEastAsia"/>
        </w:rPr>
        <w:t>&lt;/Original&gt;</w:t>
      </w:r>
    </w:p>
    <w:p w:rsidR="00251F1D" w:rsidRPr="00251F1D" w:rsidRDefault="007668AF" w:rsidP="00251F1D">
      <w:r>
        <w:rPr>
          <w:rStyle w:val="HideTWBExt"/>
        </w:rPr>
        <w:t>&lt;/Amend&gt;</w:t>
      </w:r>
    </w:p>
    <w:p w:rsidR="00251F1D" w:rsidRPr="00251F1D" w:rsidRDefault="007668AF" w:rsidP="00251F1D">
      <w:r>
        <w:rPr>
          <w:rStyle w:val="HideTWBExt"/>
        </w:rPr>
        <w:t>&lt;/RepeatBlock-Amend&gt;</w:t>
      </w:r>
      <w:bookmarkEnd w:id="6"/>
    </w:p>
    <w:p w:rsidR="00DB56E4" w:rsidRPr="00251F1D" w:rsidRDefault="00DB56E4" w:rsidP="00DB56E4"/>
    <w:bookmarkEnd w:id="4"/>
    <w:p w:rsidR="00DB56E4" w:rsidRPr="00251F1D" w:rsidRDefault="00DB56E4" w:rsidP="00DB56E4"/>
    <w:p w:rsidR="00DB56E4" w:rsidRPr="00251F1D" w:rsidRDefault="00DB56E4" w:rsidP="00DB56E4">
      <w:bookmarkStart w:id="7" w:name="_GoBack"/>
      <w:bookmarkEnd w:id="7"/>
    </w:p>
    <w:sectPr w:rsidR="00DB56E4" w:rsidRPr="00251F1D" w:rsidSect="00251F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668AF">
      <w:r>
        <w:separator/>
      </w:r>
    </w:p>
  </w:endnote>
  <w:endnote w:type="continuationSeparator" w:id="0">
    <w:p w:rsidR="00000000" w:rsidRDefault="00766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1D" w:rsidRPr="00251F1D" w:rsidRDefault="007668AF" w:rsidP="00251F1D">
    <w:pPr>
      <w:pStyle w:val="EPFooter"/>
    </w:pPr>
    <w:r w:rsidRPr="00251F1D">
      <w:t>PE</w:t>
    </w:r>
    <w:r w:rsidRPr="00251F1D">
      <w:rPr>
        <w:rStyle w:val="HideTWBExt"/>
      </w:rPr>
      <w:t>&lt;NoPE&gt;</w:t>
    </w:r>
    <w:r w:rsidRPr="00251F1D">
      <w:t>758.853</w:t>
    </w:r>
    <w:r w:rsidRPr="00251F1D">
      <w:rPr>
        <w:rStyle w:val="HideTWBExt"/>
      </w:rPr>
      <w:t>&lt;/NoPE&gt;&lt;Version&gt;</w:t>
    </w:r>
    <w:r w:rsidRPr="00251F1D">
      <w:t>v01-00</w:t>
    </w:r>
    <w:r w:rsidRPr="00251F1D">
      <w:rPr>
        <w:rStyle w:val="HideTWBExt"/>
      </w:rPr>
      <w:t>&lt;/Version&gt;</w:t>
    </w:r>
    <w:r w:rsidRPr="00251F1D">
      <w:tab/>
    </w:r>
    <w:r w:rsidRPr="00251F1D">
      <w:fldChar w:fldCharType="begin"/>
    </w:r>
    <w:r w:rsidRPr="00251F1D">
      <w:instrText xml:space="preserve"> PAGE  \* MERGEFORMAT </w:instrText>
    </w:r>
    <w:r w:rsidRPr="00251F1D">
      <w:fldChar w:fldCharType="separate"/>
    </w:r>
    <w:r>
      <w:rPr>
        <w:noProof/>
      </w:rPr>
      <w:t>6</w:t>
    </w:r>
    <w:r w:rsidRPr="00251F1D">
      <w:fldChar w:fldCharType="end"/>
    </w:r>
    <w:r w:rsidRPr="00251F1D">
      <w:t>/</w:t>
    </w:r>
    <w:r w:rsidR="00CC1FDD">
      <w:fldChar w:fldCharType="begin"/>
    </w:r>
    <w:r>
      <w:instrText xml:space="preserve"> NUMPAGES  \* MERGEFORMAT </w:instrText>
    </w:r>
    <w:r w:rsidR="00CC1FDD">
      <w:fldChar w:fldCharType="separate"/>
    </w:r>
    <w:r>
      <w:rPr>
        <w:noProof/>
      </w:rPr>
      <w:t>10</w:t>
    </w:r>
    <w:r w:rsidR="00CC1FDD">
      <w:rPr>
        <w:noProof/>
      </w:rPr>
      <w:fldChar w:fldCharType="end"/>
    </w:r>
    <w:r w:rsidRPr="00251F1D">
      <w:tab/>
    </w:r>
    <w:r w:rsidRPr="00251F1D">
      <w:rPr>
        <w:rStyle w:val="HideTWBExt"/>
      </w:rPr>
      <w:t>&lt;PathFdR&gt;</w:t>
    </w:r>
    <w:r w:rsidRPr="00251F1D">
      <w:t>PA\1295950LT.docx</w:t>
    </w:r>
    <w:r w:rsidRPr="00251F1D">
      <w:rPr>
        <w:rStyle w:val="HideTWBExt"/>
      </w:rPr>
      <w:t>&lt;/PathFdR&gt;</w:t>
    </w:r>
  </w:p>
  <w:p w:rsidR="007F187F" w:rsidRPr="00251F1D" w:rsidRDefault="007668AF" w:rsidP="00251F1D">
    <w:pPr>
      <w:pStyle w:val="EPFooter2"/>
    </w:pPr>
    <w:r w:rsidRPr="00251F1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1D" w:rsidRPr="00251F1D" w:rsidRDefault="007668AF" w:rsidP="00251F1D">
    <w:pPr>
      <w:pStyle w:val="EPFooter"/>
    </w:pPr>
    <w:r w:rsidRPr="00251F1D">
      <w:rPr>
        <w:rStyle w:val="HideTWBExt"/>
      </w:rPr>
      <w:t>&lt;PathFdR&gt;</w:t>
    </w:r>
    <w:r w:rsidRPr="00251F1D">
      <w:t>PA\1295950LT.docx</w:t>
    </w:r>
    <w:r w:rsidRPr="00251F1D">
      <w:rPr>
        <w:rStyle w:val="HideTWBExt"/>
      </w:rPr>
      <w:t>&lt;/PathFdR&gt;</w:t>
    </w:r>
    <w:r w:rsidRPr="00251F1D">
      <w:tab/>
    </w:r>
    <w:r w:rsidRPr="00251F1D">
      <w:fldChar w:fldCharType="begin"/>
    </w:r>
    <w:r w:rsidRPr="00251F1D">
      <w:instrText xml:space="preserve"> PAGE  \* MERGEFORMAT </w:instrText>
    </w:r>
    <w:r w:rsidRPr="00251F1D">
      <w:fldChar w:fldCharType="separate"/>
    </w:r>
    <w:r>
      <w:rPr>
        <w:noProof/>
      </w:rPr>
      <w:t>7</w:t>
    </w:r>
    <w:r w:rsidRPr="00251F1D">
      <w:fldChar w:fldCharType="end"/>
    </w:r>
    <w:r w:rsidRPr="00251F1D">
      <w:t>/</w:t>
    </w:r>
    <w:r w:rsidR="00CC1FDD">
      <w:fldChar w:fldCharType="begin"/>
    </w:r>
    <w:r>
      <w:instrText xml:space="preserve"> NUMPAGES  \* MERGEFORMAT </w:instrText>
    </w:r>
    <w:r w:rsidR="00CC1FDD">
      <w:fldChar w:fldCharType="separate"/>
    </w:r>
    <w:r>
      <w:rPr>
        <w:noProof/>
      </w:rPr>
      <w:t>10</w:t>
    </w:r>
    <w:r w:rsidR="00CC1FDD">
      <w:rPr>
        <w:noProof/>
      </w:rPr>
      <w:fldChar w:fldCharType="end"/>
    </w:r>
    <w:r w:rsidRPr="00251F1D">
      <w:tab/>
      <w:t>PE</w:t>
    </w:r>
    <w:r w:rsidRPr="00251F1D">
      <w:rPr>
        <w:rStyle w:val="HideTWBExt"/>
      </w:rPr>
      <w:t>&lt;NoPE&gt;</w:t>
    </w:r>
    <w:r w:rsidRPr="00251F1D">
      <w:t>758.853</w:t>
    </w:r>
    <w:r w:rsidRPr="00251F1D">
      <w:rPr>
        <w:rStyle w:val="HideTWBExt"/>
      </w:rPr>
      <w:t>&lt;/NoPE&gt;&lt;Version&gt;</w:t>
    </w:r>
    <w:r w:rsidRPr="00251F1D">
      <w:t>v01-00</w:t>
    </w:r>
    <w:r w:rsidRPr="00251F1D">
      <w:rPr>
        <w:rStyle w:val="HideTWBExt"/>
      </w:rPr>
      <w:t>&lt;/Version&gt;</w:t>
    </w:r>
  </w:p>
  <w:p w:rsidR="007F187F" w:rsidRPr="00251F1D" w:rsidRDefault="007668AF" w:rsidP="00251F1D">
    <w:pPr>
      <w:pStyle w:val="EPFooter2"/>
    </w:pPr>
    <w:r w:rsidRPr="00251F1D">
      <w:tab/>
    </w:r>
    <w:r w:rsidRPr="00251F1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1D" w:rsidRPr="00251F1D" w:rsidRDefault="007668AF" w:rsidP="00251F1D">
    <w:pPr>
      <w:pStyle w:val="EPFooter"/>
    </w:pPr>
    <w:r w:rsidRPr="00251F1D">
      <w:rPr>
        <w:rStyle w:val="HideTWBExt"/>
      </w:rPr>
      <w:t>&lt;PathFdR&gt;</w:t>
    </w:r>
    <w:r w:rsidRPr="00251F1D">
      <w:t>PA\1295950LT.docx</w:t>
    </w:r>
    <w:r w:rsidRPr="00251F1D">
      <w:rPr>
        <w:rStyle w:val="HideTWBExt"/>
      </w:rPr>
      <w:t>&lt;/PathFdR&gt;</w:t>
    </w:r>
    <w:r w:rsidRPr="00251F1D">
      <w:tab/>
    </w:r>
    <w:r w:rsidRPr="00251F1D">
      <w:tab/>
      <w:t>PE</w:t>
    </w:r>
    <w:r w:rsidRPr="00251F1D">
      <w:rPr>
        <w:rStyle w:val="HideTWBExt"/>
      </w:rPr>
      <w:t>&lt;NoPE&gt;</w:t>
    </w:r>
    <w:r w:rsidRPr="00251F1D">
      <w:t>758.853</w:t>
    </w:r>
    <w:r w:rsidRPr="00251F1D">
      <w:rPr>
        <w:rStyle w:val="HideTWBExt"/>
      </w:rPr>
      <w:t>&lt;/NoPE&gt;&lt;Version&gt;</w:t>
    </w:r>
    <w:r w:rsidRPr="00251F1D">
      <w:t>v01-00</w:t>
    </w:r>
    <w:r w:rsidRPr="00251F1D">
      <w:rPr>
        <w:rStyle w:val="HideTWBExt"/>
      </w:rPr>
      <w:t>&lt;/Version&gt;</w:t>
    </w:r>
  </w:p>
  <w:p w:rsidR="007F187F" w:rsidRPr="00251F1D" w:rsidRDefault="007668AF" w:rsidP="00251F1D">
    <w:pPr>
      <w:pStyle w:val="EPFooter2"/>
    </w:pPr>
    <w:r w:rsidRPr="00251F1D">
      <w:t>LT</w:t>
    </w:r>
    <w:r w:rsidRPr="00251F1D">
      <w:tab/>
    </w:r>
    <w:r w:rsidRPr="00251F1D">
      <w:rPr>
        <w:b w:val="0"/>
        <w:i/>
        <w:color w:val="C0C0C0"/>
        <w:sz w:val="22"/>
      </w:rPr>
      <w:t>Suvienijusi įvairovę</w:t>
    </w:r>
    <w:r w:rsidRPr="00251F1D">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668AF">
      <w:r>
        <w:separator/>
      </w:r>
    </w:p>
  </w:footnote>
  <w:footnote w:type="continuationSeparator" w:id="0">
    <w:p w:rsidR="00000000" w:rsidRDefault="00766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1D" w:rsidRPr="00251F1D" w:rsidRDefault="00251F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1D" w:rsidRPr="00251F1D" w:rsidRDefault="00251F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1D" w:rsidRPr="00251F1D" w:rsidRDefault="00251F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JMNU" w:val="1"/>
    <w:docVar w:name="CODEMNU" w:val=" 2"/>
    <w:docVar w:name="COM2KEY" w:val="LIBE"/>
    <w:docVar w:name="COMKEY" w:val="AFET"/>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52623 HideTWBExt;}{_x000d__x000a_\s18\ql \li0\ri0\sa120\nowidctlpar\wrapdefault\aspalpha\aspnum\faauto\adjustright\rin0\lin0\itap0 \rtlch\fcs1 \af0\afs20\alang1025 \ltrch\fcs0 \fs24\lang1063\langfe2057\cgrid\langnp1063\langfenp2057 \sbasedon0 \snext18 \spriority0 \styrsid11352623 _x000d__x000a_Normal6a;}{\s19\ql \li0\ri0\nowidctlpar\wrapdefault\aspalpha\aspnum\faauto\adjustright\rin0\lin0\itap0 \rtlch\fcs1 \af0\afs20\alang1025 \ltrch\fcs0 \b\fs24\lang1063\langfe2057\cgrid\langnp1063\langfenp2057 \sbasedon0 \snext19 \spriority0 \styrsid11352623 _x000d__x000a_NormalBold;}{\*\cs20 \additive \v\f1\fs20\cf15 \spriority0 \styrsid11352623 HideTWBInt;}{\s21\qr \li0\ri0\sb240\sa240\nowidctlpar\wrapdefault\aspalpha\aspnum\faauto\adjustright\rin0\lin0\itap0 \rtlch\fcs1 \af0\afs20\alang1025 \ltrch\fcs0 _x000d__x000a_\fs24\lang1063\langfe2057\cgrid\langnp1063\langfenp2057 \sbasedon0 \snext21 \spriority0 \styrsid11352623 AmOrLang;}{\s22\qc \li0\ri0\sa240\nowidctlpar\wrapdefault\aspalpha\aspnum\faauto\adjustright\rin0\lin0\itap0 \rtlch\fcs1 \af0\afs20\alang1025 _x000d__x000a_\ltrch\fcs0 \i\fs24\lang1063\langfe2057\cgrid\langnp1063\langfenp2057 \sbasedon0 \snext22 \spriority0 \styrsid113526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3 \spriority0 \styrsid11352623 AmNumberTabs;}{\s24\ql \li0\ri0\sb240\nowidctlpar\wrapdefault\aspalpha\aspnum\faauto\adjustright\rin0\lin0\itap0 \rtlch\fcs1 _x000d__x000a_\af0\afs20\alang1025 \ltrch\fcs0 \b\fs24\lang1063\langfe2057\cgrid\langnp1063\langfenp2057 \sbasedon0 \snext24 \spriority0 \styrsid11352623 NormalBold12b;}}{\*\rsidtbl \rsid24658\rsid223860\rsid735077\rsid1718133\rsid2892074\rsid3565327\rsid3952567_x000d__x000a_\rsid4666813\rsid6641733\rsid7823322\rsid9636012\rsid10377208\rsid11215221\rsid11352623\rsid11549030\rsid12154954\rsid14382809\rsid14424199\rsid15204470\rsid15285974\rsid15950462\rsid16324206\rsid16662270}{\mmathPr\mmathFont34\mbrkBin0\mbrkBinSub0_x000d__x000a_\msmallFrac0\mdispDef1\mlMargin0\mrMargin0\mdefJc1\mwrapIndent1440\mintLim0\mnaryLim1}{\info{\upr{\author PUOD\'8eIUKYNAIT? Just?}{\*\ud\uc0{\author PUOD\'8eIUKYNAIT{\uc1\u278 E Just\u279 e}}}}{\upr{\operator PUOD\'8eIUKYNAIT? Just?}_x000d__x000a_{\*\ud\uc0{\operator PUOD\'8eIUKYNAIT{\uc1\u278 E Just\u279 e}}}}{\creatim\yr2024\mo2\dy22\hr11\min11}{\revtim\yr2024\mo2\dy22\hr11\min11}{\version1}{\edmins0}{\nofpages1}{\nofwords44}{\nofchars256}{\nofcharsws299}{\vern109}}{\*\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352623\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3952567 \chftnsep _x000d__x000a_\par }}{\*\ftnsepc \ltrpar \pard\plain \ltrpar\ql \li0\ri0\widctlpar\wrapdefault\aspalpha\aspnum\faauto\adjustright\rin0\lin0\itap0 \rtlch\fcs1 \af0\afs20\alang1025 \ltrch\fcs0 \fs24\lang2057\langfe2057\cgrid\langnp2057\langfenp2057 {\rtlch\fcs1 \af0 _x000d__x000a_\ltrch\fcs0 \insrsid3952567 \chftnsepc _x000d__x000a_\par }}{\*\aftnsep \ltrpar \pard\plain \ltrpar\ql \li0\ri0\widctlpar\wrapdefault\aspalpha\aspnum\faauto\adjustright\rin0\lin0\itap0 \rtlch\fcs1 \af0\afs20\alang1025 \ltrch\fcs0 \fs24\lang2057\langfe2057\cgrid\langnp2057\langfenp2057 {\rtlch\fcs1 \af0 _x000d__x000a_\ltrch\fcs0 \insrsid3952567 \chftnsep _x000d__x000a_\par }}{\*\aftnsepc \ltrpar \pard\plain \ltrpar\ql \li0\ri0\widctlpar\wrapdefault\aspalpha\aspnum\faauto\adjustright\rin0\lin0\itap0 \rtlch\fcs1 \af0\afs20\alang1025 \ltrch\fcs0 \fs24\lang2057\langfe2057\cgrid\langnp2057\langfenp2057 {\rtlch\fcs1 \af0 _x000d__x000a_\ltrch\fcs0 \insrsid39525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352623 \rtlch\fcs1 _x000d__x000a_\af0\afs20\alang1025 \ltrch\fcs0 \b\fs24\lang1063\langfe2057\cgrid\langnp1063\langfenp2057 {\rtlch\fcs1 \af0 \ltrch\fcs0 \cs17\b0\v\fs20\cf9\lang1024\langfe1024\loch\af1\hich\af1\dbch\af31501\noproof\insrsid11352623\charrsid7171628 {\*\bkmkstart restartA}_x000d__x000a_\hich\af1\dbch\af31501\loch\f1 &lt;AmendA&gt;}{\rtlch\fcs1 \af0 \ltrch\fcs0 \insrsid11352623\charrsid7171628 Pakeitimas\tab \tab }{\rtlch\fcs1 \af0 \ltrch\fcs0 _x000d__x000a_\cs17\b0\v\fs20\cf9\lang1024\langfe1024\loch\af1\hich\af1\dbch\af31501\noproof\insrsid11352623\charrsid7171628 \hich\af1\dbch\af31501\loch\f1 &lt;NumAmA&gt;}{\rtlch\fcs1 \af0 \ltrch\fcs0 \insrsid11352623\charrsid7171628 #}{\rtlch\fcs1 \af1 \ltrch\fcs0 _x000d__x000a_\cs20\v\f1\fs20\cf15\insrsid11352623\charrsid7171628 ENMIENDA@NRAM@}{\rtlch\fcs1 \af0 \ltrch\fcs0 \insrsid11352623\charrsid7171628 #}{\rtlch\fcs1 \af0 \ltrch\fcs0 _x000d__x000a_\cs17\b0\v\fs20\cf9\lang1024\langfe1024\loch\af1\hich\af1\dbch\af31501\noproof\insrsid11352623\charrsid7171628 \hich\af1\dbch\af31501\loch\f1 &lt;/NumAmA&gt;}{\rtlch\fcs1 \af0 \ltrch\fcs0 \insrsid11352623\charrsid7171628 _x000d__x000a_\par }\pard\plain \ltrpar\s24\ql \li0\ri0\sb240\keepn\nowidctlpar\wrapdefault\aspalpha\aspnum\faauto\adjustright\rin0\lin0\itap0\pararsid11352623 \rtlch\fcs1 \af0\afs20\alang1025 \ltrch\fcs0 \b\fs24\lang1063\langfe2057\cgrid\langnp1063\langfenp2057 {_x000d__x000a_\rtlch\fcs1 \af0 \ltrch\fcs0 \cs17\b0\v\fs20\cf9\lang1024\langfe1024\loch\af1\hich\af1\dbch\af31501\noproof\insrsid11352623\charrsid7171628 \hich\af1\dbch\af31501\loch\f1 &lt;DocAmend&gt;}{\rtlch\fcs1 \af0 \ltrch\fcs0 \insrsid11352623\charrsid7171628 Te}{_x000d__x000a_\rtlch\fcs1 \af340 \ltrch\fcs0 \f340\insrsid11352623\charrsid7171628 is\'ebk\'fbros rezoliucjos projektas}{\rtlch\fcs1 \af0 \ltrch\fcs0 \cs17\b0\v\fs20\cf9\lang1024\langfe1024\loch\af1\hich\af1\dbch\af31501\noproof\insrsid11352623\charrsid7171628 _x000d__x000a_\hich\af1\dbch\af31501\loch\f1 &lt;/DocAmend&gt;}{\rtlch\fcs1 \af0 \ltrch\fcs0 \insrsid11352623\charrsid7171628 _x000d__x000a_\par }\pard\plain \ltrpar\s19\ql \li0\ri0\nowidctlpar\wrapdefault\aspalpha\aspnum\faauto\adjustright\rin0\lin0\itap0\pararsid11352623 \rtlch\fcs1 \af0\afs20\alang1025 \ltrch\fcs0 \b\fs24\lang1063\langfe2057\cgrid\langnp1063\langfenp2057 {\rtlch\fcs1 \af0 _x000d__x000a_\ltrch\fcs0 \cs17\b0\v\fs20\cf9\lang1024\langfe1024\loch\af1\hich\af1\dbch\af31501\noproof\insrsid11352623\charrsid7171628 \hich\af1\dbch\af31501\loch\f1 &lt;Article&gt;}{\rtlch\fcs1 \af0 \ltrch\fcs0 \cf10\insrsid11352623\charrsid7171628 \u9668\'3f}{_x000d__x000a_\rtlch\fcs1 \af0 \ltrch\fcs0 \insrsid11352623\charrsid7171628 #}{\rtlch\fcs1 \af1 \ltrch\fcs0 \cs20\v\f1\fs20\cf15\insrsid11352623\charrsid7171628 TVTRESPART@RESPART@}{\rtlch\fcs1 \af0 \ltrch\fcs0 \insrsid11352623\charrsid7171628 #}{\rtlch\fcs1 \af0 _x000d__x000a_\ltrch\fcs0 \cf10\insrsid11352623\charrsid7171628 \u9658\'3f}{\rtlch\fcs1 \af0 \ltrch\fcs0 \cs17\b0\v\fs20\cf9\lang1024\langfe1024\loch\af1\hich\af1\dbch\af31501\noproof\insrsid11352623\charrsid7171628 \hich\af1\dbch\af31501\loch\f1 &lt;/Article&gt;}{_x000d__x000a_\rtlch\fcs1 \af0 \ltrch\fcs0 \insrsid11352623\charrsid7171628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63\langfe2057\langnp1063\insrsid11352623\charrsid7171628 \cell }\pard\plain \ltrpar_x000d__x000a_\ql \li0\ri0\widctlpar\intbl\wrapdefault\aspalpha\aspnum\faauto\adjustright\rin0\lin0 \rtlch\fcs1 \af0\afs20\alang1025 \ltrch\fcs0 \fs24\lang2057\langfe2057\cgrid\langnp2057\langfenp2057 {\rtlch\fcs1 \af0 \ltrch\fcs0 _x000d__x000a_\lang1063\langfe2057\langnp1063\insrsid11352623\charrsid7171628 \trowd \irow0\irowband0\ltrrow\ts11\trqc\trgaph340\trleft0\trftsWidth1\trftsWidthB3\trpaddl340\trpaddr340\trpaddfl3\trpaddft3\trpaddfb3\trpaddfr3\tblrsid14374628\tblind0\tblindtype3 _x000d__x000a_\clvertalt\clbrdrt\brdrtbl \clbrdrl\brdrtbl \clbrdrb\brdrtbl \clbrdrr\brdrtbl \cltxlrtb\clftsWidth3\clwWidth9752\clshdrawnil \cellx9752\row \ltrrow}\trowd \irow1\irowband1\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63\langfe2057\cgrid\langnp1063\langfenp2057 {\rtlch\fcs1 \af340 _x000d__x000a_\ltrch\fcs0 \f340\insrsid11352623\charrsid7171628 Teis\'ebk\'fbros rezoliucjos projektas}{\rtlch\fcs1 \af0 \ltrch\fcs0 \insrsid11352623\charrsid7171628 \cell Pakeitimas\cell }\pard\plain \ltrpar_x000d__x000a_\ql \li0\ri0\widctlpar\intbl\wrapdefault\aspalpha\aspnum\faauto\adjustright\rin0\lin0 \rtlch\fcs1 \af0\afs20\alang1025 \ltrch\fcs0 \fs24\lang2057\langfe2057\cgrid\langnp2057\langfenp2057 {\rtlch\fcs1 \af0 \ltrch\fcs0 _x000d__x000a_\lang1063\langfe2057\langnp1063\insrsid11352623\charrsid7171628 \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ltrrow}\pard\plain \ltrpar\s18\ql \li0\ri0\sa120\nowidctlpar\intbl\wrapdefault\aspalpha\aspnum\faauto\adjustright\rin0\lin0\pararsid14374628 \rtlch\fcs1 \af0\afs20\alang1025 \ltrch\fcs0 _x000d__x000a_\fs24\lang1063\langfe2057\cgrid\langnp1063\langfenp2057 {\rtlch\fcs1 \af0 \ltrch\fcs0 \insrsid11352623\charrsid7171628 #}{\rtlch\fcs1 \af1 \ltrch\fcs0 \cs20\v\f1\fs20\cf15\insrsid11352623\charrsid7171628 Tekstas}{\rtlch\fcs1 \af0 \ltrch\fcs0 _x000d__x000a_\insrsid11352623\charrsid7171628 #\cell #}{\rtlch\fcs1 \af1 \ltrch\fcs0 \cs20\v\f1\fs20\cf15\insrsid11352623\charrsid7171628 Tekstas}{\rtlch\fcs1 \af0 \ltrch\fcs0 \insrsid11352623\charrsid7171628 #}{\rtlch\fcs1 \af0\afs24 \ltrch\fcs0 _x000d__x000a_\insrsid11352623\charrsid7171628 \cell }\pard\plain \ltrpar\ql \li0\ri0\widctlpar\intbl\wrapdefault\aspalpha\aspnum\faauto\adjustright\rin0\lin0 \rtlch\fcs1 \af0\afs20\alang1025 \ltrch\fcs0 \fs24\lang2057\langfe2057\cgrid\langnp2057\langfenp2057 {_x000d__x000a_\rtlch\fcs1 \af0 \ltrch\fcs0 \lang1063\langfe2057\langnp1063\insrsid11352623\charrsid7171628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352623 \rtlch\fcs1 \af0\afs20\alang1025 \ltrch\fcs0 \fs24\lang1063\langfe2057\cgrid\langnp1063\langfenp2057 {\rtlch\fcs1 \af0 \ltrch\fcs0 _x000d__x000a_\insrsid11352623\charrsid7171628 Or. }{\rtlch\fcs1 \af0 \ltrch\fcs0 \cs17\v\fs20\cf9\lang1024\langfe1024\loch\af1\hich\af1\dbch\af31501\noproof\insrsid11352623\charrsid7171628 \hich\af1\dbch\af31501\loch\f1 &lt;Original&gt;}{\rtlch\fcs1 \af0 \ltrch\fcs0 _x000d__x000a_\insrsid11352623\charrsid7171628 #}{\rtlch\fcs1 \af1 \ltrch\fcs0 \cs20\v\f1\fs20\cf15\insrsid11352623\charrsid7171628 MNU[OPTORLANG][ORLANGMORE]@CHOICE@AMPLURMNU}{\rtlch\fcs1 \af0 \ltrch\fcs0 \insrsid11352623\charrsid7171628 #}{\rtlch\fcs1 \af0 _x000d__x000a_\ltrch\fcs0 \cs17\v\fs20\cf9\lang1024\langfe1024\loch\af1\hich\af1\dbch\af31501\noproof\insrsid11352623\charrsid7171628 \hich\af1\dbch\af31501\loch\f1 &lt;/Original&gt;}{\rtlch\fcs1 \af0 \ltrch\fcs0 \insrsid11352623\charrsid7171628 _x000d__x000a_\par }\pard\plain \ltrpar\ql \li0\ri0\widctlpar\wrapdefault\aspalpha\aspnum\faauto\adjustright\rin0\lin0\itap0\pararsid11352623 \rtlch\fcs1 \af0\afs20\alang1025 \ltrch\fcs0 \fs24\lang2057\langfe2057\cgrid\langnp2057\langfenp2057 {\rtlch\fcs1 \af0 \ltrch\fcs0 _x000d__x000a_\cs17\v\fs20\cf9\lang1024\langfe1024\loch\af1\hich\af1\dbch\af31501\noproof\langnp1063\insrsid11352623\charrsid71716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d_x000d__x000a_2b8a776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061021 HideTWBExt;}{_x000d__x000a_\s18\ql \li0\ri0\sa120\nowidctlpar\wrapdefault\aspalpha\aspnum\faauto\adjustright\rin0\lin0\itap0 \rtlch\fcs1 \af0\afs20\alang1025 \ltrch\fcs0 \fs24\lang1063\langfe2057\cgrid\langnp1063\langfenp2057 \sbasedon0 \snext18 \spriority0 \styrsid13061021 _x000d__x000a_Normal6a;}{\s19\ql \li0\ri0\nowidctlpar\wrapdefault\aspalpha\aspnum\faauto\adjustright\rin0\lin0\itap0 \rtlch\fcs1 \af0\afs20\alang1025 \ltrch\fcs0 \b\fs24\lang1063\langfe2057\cgrid\langnp1063\langfenp2057 \sbasedon0 \snext19 \spriority0 \styrsid13061021 _x000d__x000a_NormalBold;}{\s20\ql \li0\ri0\sa240\nowidctlpar\wrapdefault\aspalpha\aspnum\faauto\adjustright\rin0\lin0\itap0 \rtlch\fcs1 \af0\afs20\alang1025 \ltrch\fcs0 \i\fs24\lang1063\langfe2057\cgrid\langnp1063\langfenp2057 _x000d__x000a_\sbasedon0 \snext20 \spriority0 \styrsid13061021 AmJustText;}{\s21\qc \li0\ri0\sb240\sa240\nowidctlpar\wrapdefault\aspalpha\aspnum\faauto\adjustright\rin0\lin0\itap0 \rtlch\fcs1 \af0\afs20\alang1025 \ltrch\fcs0 _x000d__x000a_\i\fs24\lang1063\langfe2057\cgrid\langnp1063\langfenp2057 \sbasedon0 \snext21 \spriority0 \styrsid13061021 AmCrossRef;}{\*\cs22 \additive \v\f1\fs20\cf15 \spriority0 \styrsid13061021 HideTWBInt;}{_x000d__x000a_\s23\qc \li0\ri0\sb240\sa240\keepn\nowidctlpar\wrapdefault\aspalpha\aspnum\faauto\adjustright\rin0\lin0\itap0 \rtlch\fcs1 \af0\afs20\alang1025 \ltrch\fcs0 \i\fs24\lang1063\langfe2057\cgrid\langnp1063\langfenp2057 _x000d__x000a_\sbasedon0 \snext20 \spriority0 \styrsid13061021 AmJustTitle;}{\s24\qr \li0\ri0\sb240\sa240\nowidctlpar\wrapdefault\aspalpha\aspnum\faauto\adjustright\rin0\lin0\itap0 \rtlch\fcs1 \af0\afs20\alang1025 \ltrch\fcs0 _x000d__x000a_\fs24\lang1063\langfe2057\cgrid\langnp1063\langfenp2057 \sbasedon0 \snext24 \spriority0 \styrsid13061021 AmOrLang;}{\s25\qc \li0\ri0\sa240\nowidctlpar\wrapdefault\aspalpha\aspnum\faauto\adjustright\rin0\lin0\itap0 \rtlch\fcs1 \af0\afs20\alang1025 _x000d__x000a_\ltrch\fcs0 \i\fs24\lang1063\langfe2057\cgrid\langnp1063\langfenp2057 \sbasedon0 \snext25 \spriority0 \styrsid130610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13061021 AmNumberTabs;}{\s27\ql \li0\ri0\sb240\nowidctlpar\wrapdefault\aspalpha\aspnum\faauto\adjustright\rin0\lin0\itap0 \rtlch\fcs1 _x000d__x000a_\af0\afs20\alang1025 \ltrch\fcs0 \b\fs24\lang1063\langfe2057\cgrid\langnp1063\langfenp2057 \sbasedon0 \snext27 \spriority0 \styrsid13061021 NormalBold12b;}}{\*\rsidtbl \rsid24658\rsid223860\rsid735077\rsid1718133\rsid2892074\rsid3565327\rsid4666813_x000d__x000a_\rsid6641733\rsid7823322\rsid9636012\rsid10377208\rsid11215221\rsid11549030\rsid12154954\rsid13061021\rsid14382809\rsid14424199\rsid15204470\rsid15285974\rsid15824935\rsid15950462\rsid16324206\rsid16662270}{\mmathPr\mmathFont34\mbrkBin0\mbrkBinSub0_x000d__x000a_\msmallFrac0\mdispDef1\mlMargin0\mrMargin0\mdefJc1\mwrapIndent1440\mintLim0\mnaryLim1}{\info{\upr{\author PUOD\'8eIUKYNAIT? Just?}{\*\ud\uc0{\author PUOD\'8eIUKYNAIT{\uc1\u278 E Just\u279 e}}}}{\upr{\operator PUOD\'8eIUKYNAIT? Just?}_x000d__x000a_{\*\ud\uc0{\operator PUOD\'8eIUKYNAIT{\uc1\u278 E Just\u279 e}}}}{\creatim\yr2024\mo2\dy22\hr11\min11}{\revtim\yr2024\mo2\dy22\hr11\min11}{\version1}{\edmins0}{\nofpages1}{\nofwords112}{\nofchars639}{\nofcharsws750}{\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61021\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15824935 \chftnsep _x000d__x000a_\par }}{\*\ftnsepc \ltrpar \pard\plain \ltrpar\ql \li0\ri0\widctlpar\wrapdefault\aspalpha\aspnum\faauto\adjustright\rin0\lin0\itap0 \rtlch\fcs1 \af0\afs20\alang1025 \ltrch\fcs0 \fs24\lang2057\langfe2057\cgrid\langnp2057\langfenp2057 {\rtlch\fcs1 \af0 _x000d__x000a_\ltrch\fcs0 \insrsid15824935 \chftnsepc _x000d__x000a_\par }}{\*\aftnsep \ltrpar \pard\plain \ltrpar\ql \li0\ri0\widctlpar\wrapdefault\aspalpha\aspnum\faauto\adjustright\rin0\lin0\itap0 \rtlch\fcs1 \af0\afs20\alang1025 \ltrch\fcs0 \fs24\lang2057\langfe2057\cgrid\langnp2057\langfenp2057 {\rtlch\fcs1 \af0 _x000d__x000a_\ltrch\fcs0 \insrsid15824935 \chftnsep _x000d__x000a_\par }}{\*\aftnsepc \ltrpar \pard\plain \ltrpar\ql \li0\ri0\widctlpar\wrapdefault\aspalpha\aspnum\faauto\adjustright\rin0\lin0\itap0 \rtlch\fcs1 \af0\afs20\alang1025 \ltrch\fcs0 \fs24\lang2057\langfe2057\cgrid\langnp2057\langfenp2057 {\rtlch\fcs1 \af0 _x000d__x000a_\ltrch\fcs0 \insrsid158249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061021 \rtlch\fcs1 _x000d__x000a_\af0\afs20\alang1025 \ltrch\fcs0 \b\fs24\lang1063\langfe2057\cgrid\langnp1063\langfenp2057 {\rtlch\fcs1 \af0 \ltrch\fcs0 \cs17\b0\v\fs20\cf9\lang1024\langfe1024\loch\af1\hich\af1\dbch\af31501\noproof\insrsid13061021\charrsid7171628 {\*\bkmkstart restartB}_x000d__x000a_\hich\af1\dbch\af31501\loch\f1 &lt;AmendB&gt;}{\rtlch\fcs1 \af0 \ltrch\fcs0 \insrsid13061021\charrsid7171628 Pakeitimas\tab \tab }{\rtlch\fcs1 \af0 \ltrch\fcs0 _x000d__x000a_\cs17\b0\v\fs20\cf9\lang1024\langfe1024\loch\af1\hich\af1\dbch\af31501\noproof\insrsid13061021\charrsid7171628 \hich\af1\dbch\af31501\loch\f1 &lt;NumAmB&gt;}{\rtlch\fcs1 \af0 \ltrch\fcs0 \insrsid13061021\charrsid7171628 #}{\rtlch\fcs1 \af1 \ltrch\fcs0 _x000d__x000a_\cs22\v\f1\fs20\cf15\insrsid13061021\charrsid7171628 ENMIENDA@NRAM@}{\rtlch\fcs1 \af0 \ltrch\fcs0 \insrsid13061021\charrsid7171628 #}{\rtlch\fcs1 \af0 \ltrch\fcs0 _x000d__x000a_\cs17\b0\v\fs20\cf9\lang1024\langfe1024\loch\af1\hich\af1\dbch\af31501\noproof\insrsid13061021\charrsid7171628 \hich\af1\dbch\af31501\loch\f1 &lt;/NumAmB&gt;}{\rtlch\fcs1 \af0 \ltrch\fcs0 \insrsid13061021\charrsid7171628 _x000d__x000a_\par }\pard\plain \ltrpar\s27\ql \li0\ri0\sb240\keepn\nowidctlpar\wrapdefault\aspalpha\aspnum\faauto\adjustright\rin0\lin0\itap0\pararsid13061021 \rtlch\fcs1 \af0\afs20\alang1025 \ltrch\fcs0 \b\fs24\lang1063\langfe2057\cgrid\langnp1063\langfenp2057 {_x000d__x000a_\rtlch\fcs1 \af0 \ltrch\fcs0 \cs17\b0\v\fs20\cf9\lang1024\langfe1024\loch\af1\hich\af1\dbch\af31501\noproof\insrsid13061021\charrsid7171628 \hich\af1\dbch\af31501\loch\f1 &lt;DocAmend&gt;}{\rtlch\fcs1 \af0 \ltrch\fcs0 \insrsid13061021\charrsid7171628 =#}{_x000d__x000a_\rtlch\fcs1 \af1 \ltrch\fcs0 \cs22\v\f1\fs20\cf15\insrsid13061021\charrsid7171628 MNU[OPTPROPOSALCOD][OPTPROPOSALCNS][OPTPROPOSALNLE][OPTPROPOSALINL]@CHOICE@CODEMNU}{\rtlch\fcs1 \af0 \ltrch\fcs0 \insrsid13061021\charrsid7171628 ##}{\rtlch\fcs1 \af1 _x000d__x000a_\ltrch\fcs0 \cs22\v\f1\fs20\cf15\insrsid13061021\charrsid7171628 MNU[AMACTYES][NOTAPP]@CHOICE@AMACTMNU}{\rtlch\fcs1 \af0 \ltrch\fcs0 \insrsid13061021\charrsid7171628 #}{\rtlch\fcs1 \af0 \ltrch\fcs0 _x000d__x000a_\cs17\b0\v\fs20\cf9\lang1024\langfe1024\loch\af1\hich\af1\dbch\af31501\noproof\insrsid13061021\charrsid7171628 \hich\af1\dbch\af31501\loch\f1 &lt;/DocAmend&gt;}{\rtlch\fcs1 \af0 \ltrch\fcs0 \insrsid13061021\charrsid7171628 _x000d__x000a_\par }\pard\plain \ltrpar\s19\ql \li0\ri0\keepn\nowidctlpar\wrapdefault\aspalpha\aspnum\faauto\adjustright\rin0\lin0\itap0\pararsid13061021 \rtlch\fcs1 \af0\afs20\alang1025 \ltrch\fcs0 \b\fs24\lang1063\langfe2057\cgrid\langnp1063\langfenp2057 {\rtlch\fcs1 _x000d__x000a_\af0 \ltrch\fcs0 \cs17\b0\v\fs20\cf9\lang1024\langfe1024\loch\af1\hich\af1\dbch\af31501\noproof\insrsid13061021\charrsid7171628 \hich\af1\dbch\af31501\loch\f1 &lt;Article&gt;}{\rtlch\fcs1 \af0 \ltrch\fcs0 \insrsid13061021\charrsid7171628 #}{\rtlch\fcs1 \af1 _x000d__x000a_\ltrch\fcs0 \cs22\v\f1\fs20\cf15\insrsid13061021\charrsid7171628 MNU[AMACTPARTYES][AMACTPARTNO]@CHOICE@AMACTMNU}{\rtlch\fcs1 \af0 \ltrch\fcs0 \insrsid13061021\charrsid7171628 #}{\rtlch\fcs1 \af0 \ltrch\fcs0 _x000d__x000a_\cs17\b0\v\fs20\cf9\lang1024\langfe1024\loch\af1\hich\af1\dbch\af31501\noproof\insrsid13061021\charrsid7171628 \hich\af1\dbch\af31501\loch\f1 &lt;/Article&gt;}{\rtlch\fcs1 \af0 \ltrch\fcs0 \insrsid13061021\charrsid7171628 _x000d__x000a_\par }\pard\plain \ltrpar\ql \li0\ri0\keepn\widctlpar\wrapdefault\aspalpha\aspnum\faauto\adjustright\rin0\lin0\itap0\pararsid13061021 \rtlch\fcs1 \af0\afs20\alang1025 \ltrch\fcs0 \fs24\lang2057\langfe2057\cgrid\langnp2057\langfenp2057 {\rtlch\fcs1 \af0 _x000d__x000a_\ltrch\fcs0 \cs17\v\fs20\cf9\lang1024\langfe1024\loch\af1\hich\af1\dbch\af31501\noproof\langnp1063\insrsid13061021\charrsid7171628 \hich\af1\dbch\af31501\loch\f1 &lt;DocAmend2&gt;&lt;OptDel&gt;}{\rtlch\fcs1 \af0 \ltrch\fcs0 _x000d__x000a_\lang1063\langfe2057\langnp1063\insrsid13061021\charrsid7171628 #}{\rtlch\fcs1 \af1 \ltrch\fcs0 \cs22\v\f1\fs20\cf15\lang1063\langfe2057\langnp1063\insrsid13061021\charrsid7171628 MNU[OPTNRACTYES][NOTAPP]@CHOICE@AMACTMNU}{\rtlch\fcs1 \af0 \ltrch\fcs0 _x000d__x000a_\lang1063\langfe2057\langnp1063\insrsid13061021\charrsid7171628 #}{\rtlch\fcs1 \af0 \ltrch\fcs0 \cs17\v\fs20\cf9\lang1024\langfe1024\loch\af1\hich\af1\dbch\af31501\noproof\langnp1063\insrsid13061021\charrsid7171628 \hich\af1\dbch\af31501\loch\f1 _x000d__x000a_&lt;/OptDel&gt;&lt;/DocAmend2&gt;}{\rtlch\fcs1 \af0 \ltrch\fcs0 \lang1063\langfe2057\langnp1063\insrsid13061021\charrsid7171628 _x000d__x000a_\par }\pard \ltrpar\ql \li0\ri0\widctlpar\wrapdefault\aspalpha\aspnum\faauto\adjustright\rin0\lin0\itap0\pararsid13061021 {\rtlch\fcs1 \af0 \ltrch\fcs0 _x000d__x000a_\cs17\v\fs20\cf9\lang1024\langfe1024\loch\af1\hich\af1\dbch\af31501\noproof\langnp1063\insrsid13061021\charrsid7171628 \hich\af1\dbch\af31501\loch\f1 &lt;Article2&gt;&lt;OptDel&gt;}{\rtlch\fcs1 \af0 \ltrch\fcs0 _x000d__x000a_\lang1063\langfe2057\langnp1063\insrsid13061021\charrsid7171628 #}{\rtlch\fcs1 \af1 \ltrch\fcs0 \cs22\v\f1\fs20\cf15\lang1063\langfe2057\langnp1063\insrsid13061021\charrsid7171628 MNU[OPTACTPARTYES][NOTAPP]@CHOICE@AMACTMNU}{\rtlch\fcs1 \af0 \ltrch\fcs0 _x000d__x000a_\lang1063\langfe2057\langnp1063\insrsid13061021\charrsid7171628 #}{\rtlch\fcs1 \af0 \ltrch\fcs0 \cs17\v\fs20\cf9\lang1024\langfe1024\loch\af1\hich\af1\dbch\af31501\noproof\langnp1063\insrsid13061021\charrsid7171628 \hich\af1\dbch\af31501\loch\f1 _x000d__x000a_&lt;/OptDel&gt;&lt;/Article2&gt;}{\rtlch\fcs1 \af0 \ltrch\fcs0 \lang1063\langfe2057\langnp1063\insrsid13061021\charrsid7171628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lang1063\langfe2057\langnp1063\insrsid13061021\charrsid7171628 \cell }\pard\plain \ltrpar_x000d__x000a_\ql \li0\ri0\widctlpar\intbl\wrapdefault\aspalpha\aspnum\faauto\adjustright\rin0\lin0 \rtlch\fcs1 \af0\afs20\alang1025 \ltrch\fcs0 \fs24\lang2057\langfe2057\cgrid\langnp2057\langfenp2057 {\rtlch\fcs1 \af0 \ltrch\fcs0 _x000d__x000a_\lang1063\langfe2057\langnp1063\insrsid13061021\charrsid7171628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63\langfe2057\cgrid\langnp1063\langfenp2057 {\rtlch\fcs1 \af0 \ltrch\fcs0 _x000d__x000a_\insrsid13061021\charrsid7171628 #}{\rtlch\fcs1 \af1 \ltrch\fcs0 \cs22\v\f1\fs20\cf15\insrsid13061021\charrsid7171628 MNU[OPTLEFTAMACT][LEFTPROP]@CHOICE@AMACTMNU}{\rtlch\fcs1 \af0 \ltrch\fcs0 \insrsid13061021\charrsid7171628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3061021\charrsid7171628 \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63\langfe2057\cgrid\langnp1063\langfenp2057 {\rtlch\fcs1 \af0 \ltrch\fcs0 _x000d__x000a_\insrsid13061021\charrsid7171628 #}{\rtlch\fcs1 \af1 \ltrch\fcs0 \cs22\v\f1\fs20\cf15\insrsid13061021\charrsid7171628 Tekstas}{\rtlch\fcs1 \af0 \ltrch\fcs0 \insrsid13061021\charrsid7171628 #\cell #}{\rtlch\fcs1 \af1 \ltrch\fcs0 _x000d__x000a_\cs22\v\f1\fs20\cf15\insrsid13061021\charrsid7171628 Tekstas}{\rtlch\fcs1 \af0 \ltrch\fcs0 \insrsid13061021\charrsid7171628 #}{\rtlch\fcs1 \af0\afs24 \ltrch\fcs0 \insrsid13061021\charrsid7171628 \cell }\pard\plain \ltrpar_x000d__x000a_\ql \li0\ri0\widctlpar\intbl\wrapdefault\aspalpha\aspnum\faauto\adjustright\rin0\lin0 \rtlch\fcs1 \af0\afs20\alang1025 \ltrch\fcs0 \fs24\lang2057\langfe2057\cgrid\langnp2057\langfenp2057 {\rtlch\fcs1 \af0 \ltrch\fcs0 _x000d__x000a_\lang1063\langfe2057\langnp1063\insrsid13061021\charrsid7171628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061021 \rtlch\fcs1 \af0\afs20\alang1025 \ltrch\fcs0 \fs24\lang1063\langfe2057\cgrid\langnp1063\langfenp2057 {\rtlch\fcs1 \af0 \ltrch\fcs0 _x000d__x000a_\insrsid13061021\charrsid7171628 Or. }{\rtlch\fcs1 \af0 \ltrch\fcs0 \cs17\v\fs20\cf9\lang1024\langfe1024\loch\af1\hich\af1\dbch\af31501\noproof\insrsid13061021\charrsid7171628 \hich\af1\dbch\af31501\loch\f1 &lt;Original&gt;}{\rtlch\fcs1 \af0 \ltrch\fcs0 _x000d__x000a_\insrsid13061021\charrsid7171628 #}{\rtlch\fcs1 \af1 \ltrch\fcs0 \cs22\v\f1\fs20\cf15\insrsid13061021\charrsid7171628 MNU[OPTORLANG][ORLANGMORE]@CHOICE@AMPLURMNU}{\rtlch\fcs1 \af0 \ltrch\fcs0 \insrsid13061021\charrsid7171628 #}{\rtlch\fcs1 \af0 _x000d__x000a_\ltrch\fcs0 \cs17\v\fs20\cf9\lang1024\langfe1024\loch\af1\hich\af1\dbch\af31501\noproof\insrsid13061021\charrsid7171628 \hich\af1\dbch\af31501\loch\f1 &lt;/Original&gt;}{\rtlch\fcs1 \af0 \ltrch\fcs0 \insrsid13061021\charrsid7171628 _x000d__x000a_\par }\pard\plain \ltrpar\s21\qc \li0\ri0\sb240\sa240\nowidctlpar\wrapdefault\aspalpha\aspnum\faauto\adjustright\rin0\lin0\itap0\pararsid13061021 \rtlch\fcs1 \af0\afs20\alang1025 \ltrch\fcs0 \i\fs24\lang1063\langfe2057\cgrid\langnp1063\langfenp2057 {_x000d__x000a_\rtlch\fcs1 \af0 \ltrch\fcs0 \cs17\i0\v\fs20\cf9\lang1024\langfe1024\loch\af1\hich\af1\dbch\af31501\noproof\insrsid13061021\charrsid7171628 \hich\af1\dbch\af31501\loch\f1 &lt;OptDel&gt;}{\rtlch\fcs1 \af0 \ltrch\fcs0 \insrsid13061021\charrsid7171628 #}{_x000d__x000a_\rtlch\fcs1 \af1 \ltrch\fcs0 \cs22\v\f1\fs20\cf15\insrsid13061021\charrsid7171628 MNU[CROSSREFNO][CROSSREFYES]@CHOICE@}{\rtlch\fcs1 \af0 \ltrch\fcs0 \insrsid13061021\charrsid7171628 #}{\rtlch\fcs1 \af0 \ltrch\fcs0 _x000d__x000a_\cs17\i0\v\fs20\cf9\lang1024\langfe1024\loch\af1\hich\af1\dbch\af31501\noproof\insrsid13061021\charrsid7171628 \hich\af1\dbch\af31501\loch\f1 &lt;/OptDel&gt;}{\rtlch\fcs1 \af0 \ltrch\fcs0 \insrsid13061021\charrsid7171628 _x000d__x000a_\par }\pard\plain \ltrpar\s23\qc \li0\ri0\sb240\sa240\keepn\nowidctlpar\wrapdefault\aspalpha\aspnum\faauto\adjustright\rin0\lin0\itap0\pararsid13061021 \rtlch\fcs1 \af0\afs20\alang1025 \ltrch\fcs0 \i\fs24\lang1063\langfe2057\cgrid\langnp1063\langfenp2057 {_x000d__x000a_\rtlch\fcs1 \af0 \ltrch\fcs0 \cs17\i0\v\fs20\cf9\lang1024\langfe1024\loch\af1\hich\af1\dbch\af31501\noproof\insrsid13061021\charrsid7171628 \hich\af1\dbch\af31501\loch\f1 &lt;TitreJust&gt;}{\rtlch\fcs1 \af0 \ltrch\fcs0 \insrsid13061021\charrsid7171628 _x000d__x000a_Pagrindimas}{\rtlch\fcs1 \af0 \ltrch\fcs0 \cs17\i0\v\fs20\cf9\lang1024\langfe1024\loch\af1\hich\af1\dbch\af31501\noproof\insrsid13061021\charrsid7171628 \hich\af1\dbch\af31501\loch\f1 &lt;/TitreJust&gt;}{\rtlch\fcs1 \af0 \ltrch\fcs0 _x000d__x000a_\insrsid13061021\charrsid7171628 _x000d__x000a_\par }\pard\plain \ltrpar\s20\ql \li0\ri0\sa240\nowidctlpar\wrapdefault\aspalpha\aspnum\faauto\adjustright\rin0\lin0\itap0\pararsid13061021 \rtlch\fcs1 \af0\afs20\alang1025 \ltrch\fcs0 \i\fs24\lang1063\langfe2057\cgrid\langnp1063\langfenp2057 {\rtlch\fcs1 _x000d__x000a_\af0 \ltrch\fcs0 \cs17\i0\v\fs20\cf9\lang1024\langfe1024\loch\af1\hich\af1\dbch\af31501\noproof\insrsid13061021\charrsid7171628 \hich\af1\dbch\af31501\loch\f1 &lt;OptDelPrev&gt;}{\rtlch\fcs1 \af0 \ltrch\fcs0 \insrsid13061021\charrsid7171628 #}{\rtlch\fcs1 \af1 _x000d__x000a_\ltrch\fcs0 \cs22\v\f1\fs20\cf15\insrsid13061021\charrsid7171628 MNU[TEXTJUSTYES][TEXTJUSTNO]@CHOICE@}{\rtlch\fcs1 \af0 \ltrch\fcs0 \insrsid13061021\charrsid7171628 #}{\rtlch\fcs1 \af0 \ltrch\fcs0 _x000d__x000a_\cs17\i0\v\fs20\cf9\lang1024\langfe1024\loch\af1\hich\af1\dbch\af31501\noproof\insrsid13061021\charrsid7171628 \hich\af1\dbch\af31501\loch\f1 &lt;/OptDelPrev&gt;}{\rtlch\fcs1 \af0 \ltrch\fcs0 \insrsid13061021\charrsid7171628 _x000d__x000a_\par }\pard\plain \ltrpar\ql \li0\ri0\widctlpar\wrapdefault\aspalpha\aspnum\faauto\adjustright\rin0\lin0\itap0\pararsid13061021 \rtlch\fcs1 \af0\afs20\alang1025 \ltrch\fcs0 \fs24\lang2057\langfe2057\cgrid\langnp2057\langfenp2057 {\rtlch\fcs1 \af0 \ltrch\fcs0 _x000d__x000a_\cs17\v\fs20\cf9\lang1024\langfe1024\loch\af1\hich\af1\dbch\af31501\noproof\langnp1063\insrsid13061021\charrsid71716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3_x000d__x000a_7a8a776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5"/>
    <w:docVar w:name="TITLECNSMNU" w:val=" 1"/>
    <w:docVar w:name="TXTLANGUE" w:val="LT"/>
    <w:docVar w:name="TXTLANGUEMIN" w:val="lt"/>
    <w:docVar w:name="TXTNRC" w:val="0015/2024"/>
    <w:docVar w:name="TXTNRCOM" w:val="(2023)0930"/>
    <w:docVar w:name="TXTNRPE" w:val="758.853"/>
    <w:docVar w:name="TXTNRPROC" w:val="2023/0441"/>
    <w:docVar w:name="TXTPEorAP" w:val="PE"/>
    <w:docVar w:name="TXTROUTE" w:val="PA\1295950LT.docx"/>
    <w:docVar w:name="TXTVERSION" w:val="01-00"/>
  </w:docVars>
  <w:rsids>
    <w:rsidRoot w:val="006D6E2C"/>
    <w:rsid w:val="00026559"/>
    <w:rsid w:val="00027FA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51F1D"/>
    <w:rsid w:val="002967B9"/>
    <w:rsid w:val="002A67EE"/>
    <w:rsid w:val="00304EA8"/>
    <w:rsid w:val="00341A99"/>
    <w:rsid w:val="00360FAA"/>
    <w:rsid w:val="0038294E"/>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6D6E2C"/>
    <w:rsid w:val="00712462"/>
    <w:rsid w:val="00716BAA"/>
    <w:rsid w:val="007668AF"/>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C2A60"/>
    <w:rsid w:val="00AD49D0"/>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5D0F"/>
    <w:rsid w:val="00CC1FDD"/>
    <w:rsid w:val="00D25CF2"/>
    <w:rsid w:val="00D56CE0"/>
    <w:rsid w:val="00D6254D"/>
    <w:rsid w:val="00D67D0A"/>
    <w:rsid w:val="00D74FD1"/>
    <w:rsid w:val="00D943A5"/>
    <w:rsid w:val="00D9581F"/>
    <w:rsid w:val="00DB56E4"/>
    <w:rsid w:val="00E27F01"/>
    <w:rsid w:val="00E77FF5"/>
    <w:rsid w:val="00E94D64"/>
    <w:rsid w:val="00EA3802"/>
    <w:rsid w:val="00ED4E1A"/>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EBFFBC-B194-44CC-84EB-3AD94A221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251F1D"/>
    <w:pPr>
      <w:tabs>
        <w:tab w:val="center" w:pos="4513"/>
        <w:tab w:val="right" w:pos="9026"/>
      </w:tabs>
    </w:pPr>
  </w:style>
  <w:style w:type="character" w:customStyle="1" w:styleId="FooterChar">
    <w:name w:val="Footer Char"/>
    <w:basedOn w:val="DefaultParagraphFont"/>
    <w:link w:val="Footer"/>
    <w:rsid w:val="00251F1D"/>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UODZ~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82EF6-C1BE-4804-9174-E13566D2B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10</Pages>
  <Words>1580</Words>
  <Characters>10379</Characters>
  <Application>Microsoft Office Word</Application>
  <DocSecurity>0</DocSecurity>
  <Lines>381</Lines>
  <Paragraphs>150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2024-03-05T09:36:00Z</dcterms:created>
  <dcterms:modified xsi:type="dcterms:W3CDTF">2024-03-05T09:36:00Z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1295950</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\\eiciBRUpr1\pdocep$\DocEP\TRANSFIL\LT\PA_Legam.LT(27/03/2023 15:02:01)</vt:lpwstr>
  </property>
  <property fmtid="{D5CDD505-2E9C-101B-9397-08002B2CF9AE}" pid="7" name="&lt;Type&gt;">
    <vt:lpwstr>PA</vt:lpwstr>
  </property>
  <property fmtid="{D5CDD505-2E9C-101B-9397-08002B2CF9AE}" pid="8" name="Bookout">
    <vt:lpwstr>OK - 2024/03/05 10:36</vt:lpwstr>
  </property>
  <property fmtid="{D5CDD505-2E9C-101B-9397-08002B2CF9AE}" pid="9" name="Created with">
    <vt:lpwstr>9.17.1 Build [20240202]</vt:lpwstr>
  </property>
  <property fmtid="{D5CDD505-2E9C-101B-9397-08002B2CF9AE}" pid="10" name="FooterPath">
    <vt:lpwstr>PA\1295950LT.docx</vt:lpwstr>
  </property>
  <property fmtid="{D5CDD505-2E9C-101B-9397-08002B2CF9AE}" pid="11" name="LastEdited with">
    <vt:lpwstr>9.17.1 Build [20240202]</vt:lpwstr>
  </property>
  <property fmtid="{D5CDD505-2E9C-101B-9397-08002B2CF9AE}" pid="12" name="PE number">
    <vt:lpwstr>758.853</vt:lpwstr>
  </property>
  <property fmtid="{D5CDD505-2E9C-101B-9397-08002B2CF9AE}" pid="13" name="SDLStudio">
    <vt:lpwstr/>
  </property>
</Properties>
</file>