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European Parliament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106862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BUDG</w:t>
      </w:r>
      <w:r>
        <w:rPr>
          <w:rStyle w:val="HideTWBInt"/>
        </w:rPr>
        <w:t>}</w:t>
      </w:r>
      <w:r>
        <w:t>Committee on Budgets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2023/2123(INI)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20/09/2023</w:t>
      </w:r>
      <w:r>
        <w:rPr>
          <w:rStyle w:val="HideTWBInt"/>
        </w:rPr>
        <w:t>}</w:t>
      </w:r>
      <w:r>
        <w:t>20.09.2023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DRAFT OPINION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CommissionResp</w:t>
      </w:r>
      <w:r>
        <w:rPr>
          <w:rStyle w:val="HideTWBExt"/>
        </w:rPr>
        <w:t>&gt;</w:t>
      </w:r>
      <w:r>
        <w:t>of the Committee on Budgets</w:t>
      </w:r>
      <w:r>
        <w:rPr>
          <w:rStyle w:val="HideTWBExt"/>
        </w:rPr>
        <w:t>&lt;/</w:t>
      </w:r>
      <w:r>
        <w:rPr>
          <w:rStyle w:val="HideTWBExt"/>
        </w:rPr>
        <w:t>CommissionResp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CommissionInt</w:t>
      </w:r>
      <w:r>
        <w:rPr>
          <w:rStyle w:val="HideTWBExt"/>
        </w:rPr>
        <w:t>&gt;</w:t>
      </w:r>
      <w:r>
        <w:t>for the Committee on Industry, Research and Energy</w:t>
      </w:r>
      <w:r>
        <w:rPr>
          <w:rStyle w:val="HideTWBExt"/>
        </w:rPr>
        <w:t>&lt;/</w:t>
      </w:r>
      <w:r>
        <w:rPr>
          <w:rStyle w:val="HideTWBExt"/>
        </w:rPr>
        <w:t>CommissionInt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on the european Hydrogen Bank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(2023/2123(INI))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t>Rapporteur for opinion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Adam Jarubas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PA_NonLeg</w:t>
      </w:r>
    </w:p>
    <w:p>
      <w:pPr>
        <w:sectPr>
          <w:footerReference w:type="even" r:id="rId5"/>
          <w:footerReference w:type="default" r:id="rId6"/>
          <w:footerReference w:type="first" r:id="rId7"/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NotTOC"/>
      </w:pPr>
      <w:r>
        <w:t>SUGGESTIONS</w:t>
      </w:r>
    </w:p>
    <w:p>
      <w:pPr>
        <w:pStyle w:val="Normal12a"/>
      </w:pPr>
      <w:r>
        <w:t>The Committee on Budgets</w:t>
      </w:r>
      <w:r>
        <w:t xml:space="preserve"> </w:t>
      </w:r>
      <w:r>
        <w:t>calls on the Committee on Industry, Research and Energy, as the committee responsible,</w:t>
      </w:r>
      <w:r>
        <w:t xml:space="preserve"> </w:t>
      </w:r>
      <w:r>
        <w:t>to incorporate the following suggestions into its motion for a resolution:</w:t>
      </w:r>
    </w:p>
    <w:p>
      <w:pPr>
        <w:pStyle w:val="NormalHanging12a"/>
      </w:pPr>
      <w:r>
        <w:t>A.</w:t>
      </w:r>
      <w:r>
        <w:tab/>
      </w:r>
      <w:r>
        <w:t>whereas the EU budget must continue to pave the way for climate neutrality by 2050; whereas renewable hydrogen has untapped potential that could contribute to achieving this objective;</w:t>
      </w:r>
    </w:p>
    <w:p>
      <w:pPr>
        <w:pStyle w:val="NormalHanging12a"/>
      </w:pPr>
      <w:r>
        <w:t>B.</w:t>
      </w:r>
      <w:r>
        <w:tab/>
      </w:r>
      <w:r>
        <w:t>whereas the EU hydrogen strategy and REPowerEU include an objective of producing 10 million tonnes of renewable hydrogen in the EU by 2030 and importing the same amount; whereas the total investment required is estimated at almost EUR 1 trillion;</w:t>
      </w:r>
    </w:p>
    <w:p>
      <w:pPr>
        <w:pStyle w:val="NormalHanging12a"/>
      </w:pPr>
      <w:r>
        <w:t>1.</w:t>
      </w:r>
      <w:r>
        <w:tab/>
      </w:r>
      <w:r>
        <w:t>Welcomes the European Hydrogen Bank (EHB) initiative; regrets the use of the word ‘bank’, since the project will not entail investment and lending activities; calls on the Commission to rename the initiative;</w:t>
      </w:r>
    </w:p>
    <w:p>
      <w:pPr>
        <w:pStyle w:val="NormalHanging12a"/>
      </w:pPr>
      <w:r>
        <w:t>2.</w:t>
      </w:r>
      <w:r>
        <w:tab/>
      </w:r>
      <w:r>
        <w:t>Recalls that a budget of EUR 3 billion was announced for the EHB in the 2022 State of the European Union address; takes note that a budget of EUR 800 million is expected for the first EU pilot auction for renewable hydrogen production; calls on the Commission to detail what further funding will be made available;</w:t>
      </w:r>
    </w:p>
    <w:p>
      <w:pPr>
        <w:pStyle w:val="NormalHanging12a"/>
      </w:pPr>
      <w:r>
        <w:t>3.</w:t>
      </w:r>
      <w:r>
        <w:tab/>
      </w:r>
      <w:r>
        <w:t>Highlights that pillars 1 and 4 of the EHB will partly rely on the coordination of the same EU programmes as the Strategic Technologies for Europe Platform in order to support the development of hydrogen production; invites the Commission to clarify the interaction between the two initiatives;</w:t>
      </w:r>
    </w:p>
    <w:p>
      <w:pPr>
        <w:pStyle w:val="NormalHanging12a"/>
      </w:pPr>
      <w:r>
        <w:t>4.</w:t>
      </w:r>
      <w:r>
        <w:tab/>
      </w:r>
      <w:r>
        <w:t>Welcomes the ambition of EHB pillar 1 to spur the development of a domestic market for hydrogen; calls on the Commission to ensure a level playing field when conducting auctions, including by considering support for hydrogen based on renewable sources from other bidding zones than the production zone; agrees that a well-functioning domestic market requires cross-border hydrogen infrastructure; regrets the fact that the Commission’s proposal for the revision of the multiannual financial framework (MFF) did not include an increase in funding for the Connecting Europe Facility;</w:t>
      </w:r>
    </w:p>
    <w:p>
      <w:pPr>
        <w:pStyle w:val="NormalHanging12a"/>
      </w:pPr>
      <w:r>
        <w:t>5.</w:t>
      </w:r>
      <w:r>
        <w:tab/>
      </w:r>
      <w:r>
        <w:t>Takes note that there is no financing instrument to support the implementation of EHB pillar 2; regrets the fact that the Commission did not submit a proposal in this regard as part of the MFF revision; calls on the Commission to quickly address this gap.</w:t>
      </w:r>
    </w:p>
    <w:p>
      <w:pPr>
        <w:pStyle w:val="Normal12a"/>
      </w:pPr>
    </w:p>
    <w:sect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751.738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PA\1283146EN.docx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EN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PA\1283146EN.docx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751.738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EN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PA\1283146EN.docx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751.738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EN</w:t>
    </w:r>
    <w:r>
      <w:tab/>
    </w:r>
    <w:r>
      <w:rPr>
        <w:rStyle w:val="EPFooter2Motto"/>
      </w:rPr>
      <w:t>United in diversity</w:t>
    </w:r>
    <w:r>
      <w:tab/>
    </w:r>
    <w:r>
      <w:t>EN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538D7"/>
    <w:multiLevelType w:val="hybridMultilevel"/>
    <w:tmpl w:val="B4A836B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COMKEY" w:val="BUDG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12a"/>
    <w:next w:val="Normal12a"/>
    <w:qFormat/>
    <w:rsid w:val="00DC11F3"/>
    <w:pPr>
      <w:keepNext/>
      <w:spacing w:before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F06867"/>
    <w:pPr>
      <w:spacing w:after="240"/>
    </w:pPr>
    <w:rPr>
      <w:i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44AF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B44A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8B277F"/>
    <w:pPr>
      <w:spacing w:before="240" w:after="240"/>
      <w:jc w:val="right"/>
    </w:pPr>
  </w:style>
  <w:style w:type="paragraph" w:customStyle="1" w:styleId="Normal6a">
    <w:name w:val="Normal6a"/>
    <w:basedOn w:val="Normal"/>
    <w:rsid w:val="008B277F"/>
    <w:pPr>
      <w:spacing w:after="120"/>
    </w:pPr>
  </w:style>
  <w:style w:type="paragraph" w:customStyle="1" w:styleId="CoverReference">
    <w:name w:val="CoverReference"/>
    <w:basedOn w:val="Normal"/>
    <w:rsid w:val="005D698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A235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Bold">
    <w:name w:val="NormalBold"/>
    <w:basedOn w:val="Normal"/>
    <w:rsid w:val="008B277F"/>
    <w:rPr>
      <w:b/>
    </w:rPr>
  </w:style>
  <w:style w:type="paragraph" w:customStyle="1" w:styleId="AmColumnHeading">
    <w:name w:val="AmColumnHeading"/>
    <w:basedOn w:val="Normal"/>
    <w:rsid w:val="008B27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B27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B277F"/>
    <w:pPr>
      <w:spacing w:before="240"/>
    </w:pPr>
    <w:rPr>
      <w:b/>
    </w:rPr>
  </w:style>
  <w:style w:type="paragraph" w:customStyle="1" w:styleId="AmCrossRef">
    <w:name w:val="AmCrossRef"/>
    <w:basedOn w:val="Normal"/>
    <w:rsid w:val="00DE433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06867"/>
    <w:pPr>
      <w:keepNext/>
      <w:spacing w:before="240" w:after="240"/>
      <w:jc w:val="center"/>
    </w:pPr>
    <w:rPr>
      <w:i/>
    </w:rPr>
  </w:style>
  <w:style w:type="paragraph" w:customStyle="1" w:styleId="EPFooter">
    <w:name w:val="EPFooter"/>
    <w:basedOn w:val="Normal"/>
    <w:rsid w:val="00A23545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B44AFC"/>
    <w:rPr>
      <w:sz w:val="24"/>
    </w:rPr>
  </w:style>
  <w:style w:type="paragraph" w:customStyle="1" w:styleId="Arial14CentreBold">
    <w:name w:val="Arial14CentreBold"/>
    <w:basedOn w:val="Normal"/>
    <w:qFormat/>
    <w:rsid w:val="00DA7A40"/>
    <w:pPr>
      <w:jc w:val="center"/>
    </w:pPr>
    <w:rPr>
      <w:rFonts w:ascii="Arial" w:hAnsi="Arial"/>
      <w:b/>
      <w:sz w:val="28"/>
    </w:rPr>
  </w:style>
  <w:style w:type="character" w:customStyle="1" w:styleId="Bold">
    <w:name w:val="Bold"/>
    <w:uiPriority w:val="1"/>
    <w:rsid w:val="007E4DED"/>
    <w:rPr>
      <w:b/>
    </w:rPr>
  </w:style>
  <w:style w:type="character" w:customStyle="1" w:styleId="BoldItalic">
    <w:name w:val="BoldItalic"/>
    <w:uiPriority w:val="1"/>
    <w:rsid w:val="007E4DED"/>
    <w:rPr>
      <w:b/>
      <w:i/>
      <w:u w:val="none"/>
    </w:rPr>
  </w:style>
  <w:style w:type="paragraph" w:customStyle="1" w:styleId="CoverNormal12a">
    <w:name w:val="CoverNormal12a"/>
    <w:basedOn w:val="Normal"/>
    <w:rsid w:val="00DA7A40"/>
    <w:pPr>
      <w:spacing w:after="240"/>
      <w:ind w:left="1418"/>
    </w:pPr>
  </w:style>
  <w:style w:type="paragraph" w:customStyle="1" w:styleId="CoverDocType">
    <w:name w:val="CoverDocType"/>
    <w:basedOn w:val="Normal"/>
    <w:rsid w:val="00DA7A40"/>
    <w:pPr>
      <w:ind w:left="1418"/>
    </w:pPr>
    <w:rPr>
      <w:rFonts w:ascii="Arial" w:hAnsi="Arial"/>
      <w:b/>
      <w:sz w:val="48"/>
    </w:rPr>
  </w:style>
  <w:style w:type="paragraph" w:customStyle="1" w:styleId="EPFooter2Landscape">
    <w:name w:val="EPFooter2Landscape"/>
    <w:qFormat/>
    <w:rsid w:val="00DA7A4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E04FE2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DA7A4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7E4DED"/>
    <w:rPr>
      <w:i/>
    </w:rPr>
  </w:style>
  <w:style w:type="paragraph" w:customStyle="1" w:styleId="ProcedureTable">
    <w:name w:val="ProcedureTable"/>
    <w:basedOn w:val="Normal"/>
    <w:rsid w:val="000203F7"/>
    <w:rPr>
      <w:sz w:val="20"/>
    </w:rPr>
  </w:style>
  <w:style w:type="paragraph" w:customStyle="1" w:styleId="ProcedureTableBold">
    <w:name w:val="ProcedureTableBold"/>
    <w:basedOn w:val="Normal"/>
    <w:rsid w:val="000203F7"/>
    <w:rPr>
      <w:b/>
      <w:sz w:val="20"/>
    </w:rPr>
  </w:style>
  <w:style w:type="paragraph" w:customStyle="1" w:styleId="NormalCenter">
    <w:name w:val="NormalCenter"/>
    <w:basedOn w:val="Normal"/>
    <w:rsid w:val="007417D2"/>
    <w:pPr>
      <w:jc w:val="center"/>
    </w:pPr>
  </w:style>
  <w:style w:type="paragraph" w:customStyle="1" w:styleId="Normal12a12b">
    <w:name w:val="Normal12a12b"/>
    <w:basedOn w:val="Normal"/>
    <w:rsid w:val="00DA7A40"/>
    <w:pPr>
      <w:spacing w:before="240" w:after="240"/>
    </w:pPr>
  </w:style>
  <w:style w:type="character" w:customStyle="1" w:styleId="NormalBI">
    <w:name w:val="NormalBI"/>
    <w:basedOn w:val="DefaultParagraphFont"/>
    <w:uiPriority w:val="1"/>
    <w:qFormat/>
    <w:rsid w:val="001659AC"/>
    <w:rPr>
      <w:rFonts w:ascii="Times New Roman" w:hAnsi="Times New Roman"/>
      <w:b/>
      <w:i/>
      <w:sz w:val="24"/>
    </w:rPr>
  </w:style>
  <w:style w:type="paragraph" w:customStyle="1" w:styleId="Normal12aBullet1">
    <w:name w:val="Normal12aBullet1"/>
    <w:basedOn w:val="Normal12a"/>
    <w:qFormat/>
    <w:rsid w:val="00DA7A40"/>
    <w:pPr>
      <w:numPr>
        <w:numId w:val="1"/>
      </w:numPr>
    </w:pPr>
  </w:style>
  <w:style w:type="paragraph" w:customStyle="1" w:styleId="NormalHanging12a1">
    <w:name w:val="NormalHanging12a1"/>
    <w:basedOn w:val="Normal"/>
    <w:qFormat/>
    <w:rsid w:val="006400BF"/>
    <w:pPr>
      <w:spacing w:after="240"/>
      <w:ind w:left="992" w:hanging="425"/>
    </w:pPr>
  </w:style>
  <w:style w:type="paragraph" w:customStyle="1" w:styleId="NormalHanging12a2">
    <w:name w:val="NormalHanging12a2"/>
    <w:basedOn w:val="Normal"/>
    <w:qFormat/>
    <w:rsid w:val="00DA7A40"/>
    <w:pPr>
      <w:spacing w:after="240"/>
      <w:ind w:left="1417" w:hanging="425"/>
    </w:pPr>
  </w:style>
  <w:style w:type="paragraph" w:customStyle="1" w:styleId="NormalHanging12a3">
    <w:name w:val="NormalHanging12a3"/>
    <w:basedOn w:val="NormalHanging12a2"/>
    <w:qFormat/>
    <w:rsid w:val="00DA7A40"/>
    <w:pPr>
      <w:ind w:left="1843"/>
    </w:pPr>
  </w:style>
  <w:style w:type="paragraph" w:customStyle="1" w:styleId="NormalHanging12a4">
    <w:name w:val="NormalHanging12a4"/>
    <w:basedOn w:val="NormalHanging12a3"/>
    <w:qFormat/>
    <w:rsid w:val="00DA7A40"/>
    <w:pPr>
      <w:ind w:left="2268"/>
    </w:pPr>
  </w:style>
  <w:style w:type="paragraph" w:customStyle="1" w:styleId="NormalHanging12a5">
    <w:name w:val="NormalHanging12a5"/>
    <w:basedOn w:val="NormalHanging12a4"/>
    <w:qFormat/>
    <w:rsid w:val="00DA7A40"/>
    <w:pPr>
      <w:ind w:left="2693"/>
    </w:pPr>
  </w:style>
  <w:style w:type="paragraph" w:customStyle="1" w:styleId="NormalHanging12a6">
    <w:name w:val="NormalHanging12a6"/>
    <w:basedOn w:val="NormalHanging12a5"/>
    <w:qFormat/>
    <w:rsid w:val="00DA7A40"/>
    <w:pPr>
      <w:ind w:left="3118"/>
    </w:pPr>
  </w:style>
  <w:style w:type="paragraph" w:customStyle="1" w:styleId="NormalHanging12a7">
    <w:name w:val="NormalHanging12a7"/>
    <w:basedOn w:val="NormalHanging12a6"/>
    <w:qFormat/>
    <w:rsid w:val="00DA7A40"/>
    <w:pPr>
      <w:ind w:left="3544"/>
    </w:pPr>
  </w:style>
  <w:style w:type="paragraph" w:customStyle="1" w:styleId="NormalHanging12a8">
    <w:name w:val="NormalHanging12a8"/>
    <w:basedOn w:val="NormalHanging12a7"/>
    <w:qFormat/>
    <w:rsid w:val="00DA7A40"/>
    <w:pPr>
      <w:ind w:left="3969"/>
    </w:pPr>
  </w:style>
  <w:style w:type="paragraph" w:customStyle="1" w:styleId="Normal12HangingCenter">
    <w:name w:val="Normal12HangingCenter"/>
    <w:basedOn w:val="Normal"/>
    <w:qFormat/>
    <w:rsid w:val="00DA7A40"/>
    <w:pPr>
      <w:spacing w:after="240"/>
      <w:ind w:left="567" w:hanging="567"/>
      <w:jc w:val="center"/>
    </w:pPr>
  </w:style>
  <w:style w:type="paragraph" w:customStyle="1" w:styleId="Normal12HangingJustified">
    <w:name w:val="Normal12HangingJustified"/>
    <w:basedOn w:val="Normal"/>
    <w:qFormat/>
    <w:rsid w:val="00DA7A40"/>
    <w:pPr>
      <w:spacing w:after="240"/>
      <w:ind w:left="714" w:hanging="357"/>
      <w:jc w:val="both"/>
    </w:pPr>
  </w:style>
  <w:style w:type="paragraph" w:customStyle="1" w:styleId="Normal2">
    <w:name w:val="Normal2"/>
    <w:next w:val="Normal"/>
    <w:qFormat/>
    <w:rsid w:val="00DA7A40"/>
    <w:pPr>
      <w:spacing w:line="120" w:lineRule="auto"/>
    </w:pPr>
    <w:rPr>
      <w:color w:val="000000"/>
      <w:sz w:val="4"/>
      <w:szCs w:val="24"/>
    </w:rPr>
  </w:style>
  <w:style w:type="paragraph" w:customStyle="1" w:styleId="NormalBoldCenter">
    <w:name w:val="NormalBoldCenter"/>
    <w:basedOn w:val="Normal"/>
    <w:rsid w:val="00DA7A40"/>
    <w:pPr>
      <w:jc w:val="center"/>
    </w:pPr>
    <w:rPr>
      <w:b/>
    </w:rPr>
  </w:style>
  <w:style w:type="paragraph" w:customStyle="1" w:styleId="NormalBoldItalic6a">
    <w:name w:val="NormalBoldItalic6a"/>
    <w:basedOn w:val="Normal6a"/>
    <w:qFormat/>
    <w:rsid w:val="00DA7A40"/>
    <w:rPr>
      <w:b/>
      <w:i/>
    </w:rPr>
  </w:style>
  <w:style w:type="paragraph" w:customStyle="1" w:styleId="NormalBoldItalicCenter6a">
    <w:name w:val="NormalBoldItalicCenter6a"/>
    <w:basedOn w:val="Normal6a"/>
    <w:qFormat/>
    <w:rsid w:val="00DA7A4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DA7A40"/>
    <w:rPr>
      <w:i/>
    </w:rPr>
  </w:style>
  <w:style w:type="character" w:customStyle="1" w:styleId="Sub">
    <w:name w:val="Sub"/>
    <w:uiPriority w:val="1"/>
    <w:qFormat/>
    <w:rsid w:val="007E4DED"/>
    <w:rPr>
      <w:vertAlign w:val="subscript"/>
    </w:rPr>
  </w:style>
  <w:style w:type="character" w:customStyle="1" w:styleId="SubBold">
    <w:name w:val="SubBold"/>
    <w:uiPriority w:val="1"/>
    <w:qFormat/>
    <w:rsid w:val="007E4DED"/>
    <w:rPr>
      <w:b/>
      <w:vertAlign w:val="subscript"/>
    </w:rPr>
  </w:style>
  <w:style w:type="character" w:customStyle="1" w:styleId="SubBoldItalic">
    <w:name w:val="SubBoldItalic"/>
    <w:uiPriority w:val="1"/>
    <w:rsid w:val="007E4DED"/>
    <w:rPr>
      <w:b/>
      <w:i/>
      <w:vertAlign w:val="subscript"/>
    </w:rPr>
  </w:style>
  <w:style w:type="character" w:customStyle="1" w:styleId="SubItalic">
    <w:name w:val="SubItalic"/>
    <w:uiPriority w:val="1"/>
    <w:qFormat/>
    <w:rsid w:val="007E4DED"/>
    <w:rPr>
      <w:b/>
      <w:i/>
      <w:vertAlign w:val="subscript"/>
    </w:rPr>
  </w:style>
  <w:style w:type="character" w:customStyle="1" w:styleId="Sup">
    <w:name w:val="Sup"/>
    <w:uiPriority w:val="1"/>
    <w:rsid w:val="007E4DED"/>
    <w:rPr>
      <w:vertAlign w:val="superscript"/>
    </w:rPr>
  </w:style>
  <w:style w:type="character" w:customStyle="1" w:styleId="SupBoldItalic">
    <w:name w:val="SupBoldItalic"/>
    <w:uiPriority w:val="1"/>
    <w:qFormat/>
    <w:rsid w:val="007E4DED"/>
    <w:rPr>
      <w:b/>
      <w:i/>
      <w:vertAlign w:val="superscript"/>
    </w:rPr>
  </w:style>
  <w:style w:type="paragraph" w:customStyle="1" w:styleId="PageHeading">
    <w:name w:val="PageHeading"/>
    <w:basedOn w:val="Normal12a12b"/>
    <w:rsid w:val="00DA7A40"/>
    <w:pPr>
      <w:keepNext/>
      <w:jc w:val="center"/>
    </w:pPr>
    <w:rPr>
      <w:rFonts w:ascii="Arial" w:hAnsi="Arial"/>
      <w:b/>
    </w:rPr>
  </w:style>
  <w:style w:type="paragraph" w:customStyle="1" w:styleId="Olang">
    <w:name w:val="Olang"/>
    <w:basedOn w:val="Normal"/>
    <w:rsid w:val="00DA7A40"/>
    <w:pPr>
      <w:spacing w:before="240" w:after="240"/>
      <w:jc w:val="right"/>
    </w:pPr>
    <w:rPr>
      <w:noProof/>
    </w:rPr>
  </w:style>
  <w:style w:type="paragraph" w:customStyle="1" w:styleId="TOCPage">
    <w:name w:val="TOC Page"/>
    <w:basedOn w:val="Normal12a"/>
    <w:next w:val="TOC1"/>
    <w:rsid w:val="00DA7A40"/>
    <w:pPr>
      <w:keepNext/>
      <w:jc w:val="right"/>
    </w:pPr>
    <w:rPr>
      <w:rFonts w:ascii="Arial" w:hAnsi="Arial"/>
      <w:b/>
    </w:rPr>
  </w:style>
  <w:style w:type="character" w:customStyle="1" w:styleId="Underline">
    <w:name w:val="Underline"/>
    <w:uiPriority w:val="1"/>
    <w:rsid w:val="007E4DED"/>
    <w:rPr>
      <w:u w:val="single"/>
    </w:rPr>
  </w:style>
  <w:style w:type="character" w:customStyle="1" w:styleId="HideTermComment">
    <w:name w:val="HideTermComment"/>
    <w:uiPriority w:val="1"/>
    <w:qFormat/>
    <w:rsid w:val="0046408C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46408C"/>
    <w:rPr>
      <w:rFonts w:ascii="Arial" w:hAnsi="Arial"/>
      <w:vanish/>
      <w:color w:val="538135" w:themeColor="accent6" w:themeShade="BF"/>
      <w:sz w:val="18"/>
    </w:rPr>
  </w:style>
  <w:style w:type="paragraph" w:customStyle="1" w:styleId="NormalCenter12a">
    <w:name w:val="NormalCenter12a"/>
    <w:basedOn w:val="Normal"/>
    <w:rsid w:val="00975932"/>
    <w:pPr>
      <w:spacing w:after="240"/>
      <w:jc w:val="center"/>
    </w:pPr>
  </w:style>
  <w:style w:type="paragraph" w:customStyle="1" w:styleId="NormalHanging12a">
    <w:name w:val="NormalHanging12a"/>
    <w:basedOn w:val="Normal"/>
    <w:rsid w:val="00160E3B"/>
    <w:pPr>
      <w:spacing w:after="240"/>
      <w:ind w:left="567" w:hanging="567"/>
    </w:pPr>
  </w:style>
  <w:style w:type="paragraph" w:customStyle="1" w:styleId="Subheading">
    <w:name w:val="Subheading"/>
    <w:basedOn w:val="Normal"/>
    <w:rsid w:val="00312D68"/>
    <w:pPr>
      <w:spacing w:before="480" w:after="240"/>
    </w:pPr>
    <w:rPr>
      <w:b/>
      <w:i/>
      <w:szCs w:val="24"/>
    </w:rPr>
  </w:style>
  <w:style w:type="character" w:customStyle="1" w:styleId="BoldItalicUnderline">
    <w:name w:val="BoldItalicUnderline"/>
    <w:uiPriority w:val="1"/>
    <w:rsid w:val="007E4DED"/>
    <w:rPr>
      <w:b/>
      <w:i/>
      <w:u w:val="single"/>
    </w:rPr>
  </w:style>
  <w:style w:type="character" w:customStyle="1" w:styleId="BoldUnderline">
    <w:name w:val="BoldUnderline"/>
    <w:uiPriority w:val="1"/>
    <w:rsid w:val="007E4DED"/>
    <w:rPr>
      <w:b/>
      <w:u w:val="single"/>
    </w:rPr>
  </w:style>
  <w:style w:type="character" w:customStyle="1" w:styleId="ItalicUnderline">
    <w:name w:val="ItalicUnderline"/>
    <w:uiPriority w:val="1"/>
    <w:rsid w:val="007E4DED"/>
    <w:rPr>
      <w:i/>
      <w:u w:val="single"/>
    </w:rPr>
  </w:style>
  <w:style w:type="character" w:customStyle="1" w:styleId="SubBoldItalicUnderline">
    <w:name w:val="SubBoldItalicUnderline"/>
    <w:uiPriority w:val="1"/>
    <w:rsid w:val="007E4DE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7E4DE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7E4DE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7E4DED"/>
    <w:rPr>
      <w:u w:val="single"/>
      <w:vertAlign w:val="subscript"/>
    </w:rPr>
  </w:style>
  <w:style w:type="character" w:customStyle="1" w:styleId="SupBold">
    <w:name w:val="SupBold"/>
    <w:uiPriority w:val="1"/>
    <w:rsid w:val="007E4DED"/>
    <w:rPr>
      <w:b/>
      <w:vertAlign w:val="superscript"/>
    </w:rPr>
  </w:style>
  <w:style w:type="character" w:customStyle="1" w:styleId="SupBoldItalicUnderline">
    <w:name w:val="SupBoldItalicUnderline"/>
    <w:uiPriority w:val="1"/>
    <w:rsid w:val="007E4DE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7E4DED"/>
    <w:rPr>
      <w:b/>
      <w:u w:val="single"/>
      <w:vertAlign w:val="superscript"/>
    </w:rPr>
  </w:style>
  <w:style w:type="character" w:customStyle="1" w:styleId="SupItalic">
    <w:name w:val="SupItalic"/>
    <w:uiPriority w:val="1"/>
    <w:rsid w:val="007E4DED"/>
    <w:rPr>
      <w:i/>
      <w:vertAlign w:val="superscript"/>
    </w:rPr>
  </w:style>
  <w:style w:type="character" w:customStyle="1" w:styleId="SupItalicUnderline">
    <w:name w:val="SupItalicUnderline"/>
    <w:uiPriority w:val="1"/>
    <w:rsid w:val="007E4DE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7E4DED"/>
    <w:rPr>
      <w:u w:val="single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1283146</vt:lpwstr>
  </property>
  <property fmtid="{D5CDD505-2E9C-101B-9397-08002B2CF9AE}" pid="4" name="&lt;Model&gt;">
    <vt:lpwstr>PA_NonLeg</vt:lpwstr>
  </property>
  <property fmtid="{D5CDD505-2E9C-101B-9397-08002B2CF9AE}" pid="5" name="&lt;Type&gt;">
    <vt:lpwstr>PA</vt:lpwstr>
  </property>
  <property fmtid="{D5CDD505-2E9C-101B-9397-08002B2CF9AE}" pid="6" name="DMXMLUID">
    <vt:lpwstr>20230921-161601-006705-886269</vt:lpwstr>
  </property>
  <property fmtid="{D5CDD505-2E9C-101B-9397-08002B2CF9AE}" pid="7" name="FooterPath">
    <vt:lpwstr>PA\1283146EN.doc</vt:lpwstr>
  </property>
  <property fmtid="{D5CDD505-2E9C-101B-9397-08002B2CF9AE}" pid="8" name="PE Number">
    <vt:lpwstr>751.738</vt:lpwstr>
  </property>
  <property fmtid="{D5CDD505-2E9C-101B-9397-08002B2CF9AE}" pid="9" name="UID">
    <vt:lpwstr>eu.europa.europarl-DIN1-2023-0000103950_01.04-en-01.00_text-xml</vt:lpwstr>
  </property>
</Properties>
</file>