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FE6FA62"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721031" w:rsidP="00C85D0F" w14:paraId="57A7575B" w14:textId="77777777">
            <w:pPr>
              <w:pStyle w:val="EPName"/>
            </w:pPr>
            <w:r w:rsidRPr="00721031">
              <w:t>Európsky parlament</w:t>
            </w:r>
          </w:p>
          <w:p w:rsidR="00854CAC" w:rsidRPr="00721031" w:rsidP="00C85D0F" w14:paraId="49CF1952" w14:textId="77777777">
            <w:pPr>
              <w:pStyle w:val="EPTerm"/>
            </w:pPr>
            <w:r w:rsidRPr="00721031">
              <w:t>2024-2029</w:t>
            </w:r>
          </w:p>
        </w:tc>
        <w:tc>
          <w:tcPr>
            <w:tcW w:w="2268" w:type="dxa"/>
            <w:shd w:val="clear" w:color="auto" w:fill="auto"/>
          </w:tcPr>
          <w:p w:rsidR="00854CAC" w:rsidRPr="00721031" w:rsidP="00C85D0F" w14:paraId="290B41C5" w14:textId="77777777">
            <w:pPr>
              <w:pStyle w:val="EPLogo"/>
            </w:pPr>
            <w:r w:rsidRPr="0072103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6286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21031" w:rsidP="001746D0" w14:paraId="4B2056F2" w14:textId="77777777">
      <w:pPr>
        <w:pStyle w:val="LineTop"/>
      </w:pPr>
    </w:p>
    <w:p w:rsidR="001746D0" w:rsidRPr="00721031" w:rsidP="001746D0" w14:paraId="32B4577C" w14:textId="77777777">
      <w:pPr>
        <w:pStyle w:val="EPBody"/>
      </w:pPr>
      <w:r w:rsidRPr="00721031">
        <w:rPr>
          <w:rStyle w:val="HideTWBExt"/>
        </w:rPr>
        <w:t>&lt;</w:t>
      </w:r>
      <w:r w:rsidRPr="00721031">
        <w:rPr>
          <w:rStyle w:val="HideTWBExt"/>
          <w:i w:val="0"/>
        </w:rPr>
        <w:t>Commission</w:t>
      </w:r>
      <w:r w:rsidRPr="00721031">
        <w:rPr>
          <w:rStyle w:val="HideTWBExt"/>
        </w:rPr>
        <w:t>&gt;</w:t>
      </w:r>
      <w:r w:rsidRPr="00721031">
        <w:rPr>
          <w:rStyle w:val="HideTWBInt"/>
          <w:i w:val="0"/>
          <w:color w:val="auto"/>
        </w:rPr>
        <w:t>{BUDG}</w:t>
      </w:r>
      <w:r w:rsidRPr="00721031">
        <w:t>Výbor pre rozpočet</w:t>
      </w:r>
      <w:r w:rsidRPr="00721031">
        <w:rPr>
          <w:rStyle w:val="HideTWBExt"/>
        </w:rPr>
        <w:t>&lt;/</w:t>
      </w:r>
      <w:r w:rsidRPr="00721031">
        <w:rPr>
          <w:rStyle w:val="HideTWBExt"/>
          <w:i w:val="0"/>
        </w:rPr>
        <w:t>Commission</w:t>
      </w:r>
      <w:r w:rsidRPr="00721031">
        <w:rPr>
          <w:rStyle w:val="HideTWBExt"/>
        </w:rPr>
        <w:t>&gt;</w:t>
      </w:r>
    </w:p>
    <w:p w:rsidR="001746D0" w:rsidRPr="00721031" w:rsidP="001746D0" w14:paraId="4B8CF428" w14:textId="77777777">
      <w:pPr>
        <w:pStyle w:val="LineBottom"/>
      </w:pPr>
    </w:p>
    <w:p w:rsidR="002E2F2E" w:rsidRPr="00721031" w14:paraId="797F80A3" w14:textId="77777777">
      <w:pPr>
        <w:pStyle w:val="CoverReference"/>
      </w:pPr>
      <w:r w:rsidRPr="00721031">
        <w:rPr>
          <w:rStyle w:val="HideTWBExt"/>
          <w:b w:val="0"/>
        </w:rPr>
        <w:t>&lt;RefProc&gt;</w:t>
      </w:r>
      <w:r w:rsidRPr="00721031">
        <w:t>2026/0084</w:t>
      </w:r>
      <w:r w:rsidRPr="00721031">
        <w:rPr>
          <w:rStyle w:val="HideTWBExt"/>
          <w:b w:val="0"/>
        </w:rPr>
        <w:t>&lt;/RefProc&gt;&lt;RefTypeProc&gt;</w:t>
      </w:r>
      <w:r w:rsidRPr="00721031">
        <w:t>(COD)</w:t>
      </w:r>
      <w:r w:rsidRPr="00721031">
        <w:rPr>
          <w:rStyle w:val="HideTWBExt"/>
          <w:b w:val="0"/>
        </w:rPr>
        <w:t>&lt;/RefTypeProc&gt;</w:t>
      </w:r>
    </w:p>
    <w:p w:rsidR="002E2F2E" w:rsidRPr="00721031" w14:paraId="2B76F2D0" w14:textId="77777777">
      <w:pPr>
        <w:pStyle w:val="CoverDate"/>
      </w:pPr>
      <w:r w:rsidRPr="00721031">
        <w:rPr>
          <w:rStyle w:val="HideTWBExt"/>
        </w:rPr>
        <w:t>&lt;Date&gt;</w:t>
      </w:r>
      <w:r w:rsidRPr="00721031">
        <w:rPr>
          <w:rStyle w:val="HideTWBInt"/>
          <w:color w:val="auto"/>
        </w:rPr>
        <w:t>{11/09/2026}</w:t>
      </w:r>
      <w:r w:rsidRPr="00721031">
        <w:t>11.9.2026</w:t>
      </w:r>
      <w:r w:rsidRPr="00721031">
        <w:rPr>
          <w:rStyle w:val="HideTWBExt"/>
        </w:rPr>
        <w:t>&lt;/Date&gt;</w:t>
      </w:r>
    </w:p>
    <w:p w:rsidR="002E2F2E" w:rsidRPr="00721031" w14:paraId="0D4DEA4F" w14:textId="77777777">
      <w:pPr>
        <w:pStyle w:val="CoverDocType24a"/>
      </w:pPr>
      <w:r w:rsidRPr="00721031">
        <w:rPr>
          <w:rStyle w:val="HideTWBExt"/>
          <w:b w:val="0"/>
        </w:rPr>
        <w:t>&lt;TitreType&gt;</w:t>
      </w:r>
      <w:r w:rsidRPr="00721031">
        <w:t>NÁVRH ROZPOČTOVÉHO POSÚDENIA</w:t>
      </w:r>
      <w:r w:rsidRPr="00721031">
        <w:rPr>
          <w:rStyle w:val="HideTWBExt"/>
          <w:b w:val="0"/>
        </w:rPr>
        <w:t>&lt;/TitreType&gt;</w:t>
      </w:r>
    </w:p>
    <w:p w:rsidR="002E2F2E" w:rsidRPr="00721031" w14:paraId="01229CE3" w14:textId="77777777">
      <w:pPr>
        <w:pStyle w:val="CoverNormal24a"/>
      </w:pPr>
      <w:r w:rsidRPr="00721031">
        <w:rPr>
          <w:rStyle w:val="HideTWBExt"/>
        </w:rPr>
        <w:t>&lt;CommissionResp&gt;</w:t>
      </w:r>
      <w:r w:rsidRPr="00721031">
        <w:t>Výboru pre rozpočet</w:t>
      </w:r>
      <w:r w:rsidRPr="00721031">
        <w:rPr>
          <w:rStyle w:val="HideTWBExt"/>
        </w:rPr>
        <w:t>&lt;/CommissionResp&gt;</w:t>
      </w:r>
    </w:p>
    <w:p w:rsidR="002E2F2E" w:rsidRPr="00721031" w14:paraId="27E96F2E" w14:textId="77777777">
      <w:pPr>
        <w:pStyle w:val="CoverNormal24a"/>
      </w:pPr>
      <w:r w:rsidRPr="00721031">
        <w:rPr>
          <w:rStyle w:val="HideTWBExt"/>
        </w:rPr>
        <w:t>&lt;CommissionInt&gt;</w:t>
      </w:r>
      <w:r w:rsidRPr="00721031">
        <w:t>pre Výbor pre priemysel, výskum a energetiku</w:t>
      </w:r>
      <w:r w:rsidRPr="00721031">
        <w:rPr>
          <w:rStyle w:val="HideTWBExt"/>
        </w:rPr>
        <w:t>&lt;/CommissionInt&gt;</w:t>
      </w:r>
    </w:p>
    <w:p w:rsidR="002E2F2E" w:rsidRPr="00721031" w14:paraId="415B12D3" w14:textId="77777777">
      <w:pPr>
        <w:pStyle w:val="CoverNormal"/>
      </w:pPr>
      <w:r w:rsidRPr="00721031">
        <w:rPr>
          <w:rStyle w:val="HideTWBExt"/>
        </w:rPr>
        <w:t>&lt;Titre&gt;</w:t>
      </w:r>
      <w:r w:rsidRPr="00721031">
        <w:t>k návrhu nariadenia Európskeho parlamentu a Rady o Agentúre Európskej únie pre vesmírne služby a o zmene nariadenia (EÚ) 2021/696</w:t>
      </w:r>
      <w:r w:rsidRPr="00721031">
        <w:rPr>
          <w:rStyle w:val="HideTWBExt"/>
        </w:rPr>
        <w:t>&lt;/Titre&gt;</w:t>
      </w:r>
    </w:p>
    <w:p w:rsidR="002E2F2E" w:rsidRPr="00721031" w14:paraId="5DEE0932" w14:textId="77777777">
      <w:pPr>
        <w:pStyle w:val="CoverNormal24a"/>
      </w:pPr>
      <w:r w:rsidRPr="00721031">
        <w:rPr>
          <w:rStyle w:val="HideTWBExt"/>
        </w:rPr>
        <w:t>&lt;DocRef&gt;</w:t>
      </w:r>
      <w:r w:rsidRPr="00721031">
        <w:t>(COM(2026)0152 – C10</w:t>
      </w:r>
      <w:r w:rsidRPr="00721031">
        <w:noBreakHyphen/>
        <w:t>0094/2026 – 2026/0084(COD))</w:t>
      </w:r>
      <w:r w:rsidRPr="00721031">
        <w:rPr>
          <w:rStyle w:val="HideTWBExt"/>
        </w:rPr>
        <w:t>&lt;/DocRef&gt;</w:t>
      </w:r>
    </w:p>
    <w:p w:rsidR="00A72C35" w:rsidRPr="00721031" w:rsidP="00FC42F1" w14:paraId="0FE3B1E9" w14:textId="77777777">
      <w:pPr>
        <w:pStyle w:val="CoverNormal24a"/>
      </w:pPr>
      <w:r w:rsidRPr="00721031">
        <w:t xml:space="preserve">Spravodajca výboru požiadaného o rozpočtové posúdenie: </w:t>
      </w:r>
      <w:r w:rsidRPr="00721031">
        <w:rPr>
          <w:rStyle w:val="HideTWBExt"/>
        </w:rPr>
        <w:t>&lt;Depute&gt;</w:t>
      </w:r>
      <w:r w:rsidRPr="00721031">
        <w:t>Hélder Sousa Silva</w:t>
      </w:r>
      <w:r w:rsidRPr="00721031">
        <w:rPr>
          <w:rStyle w:val="HideTWBExt"/>
        </w:rPr>
        <w:t>&lt;/Depute&gt;</w:t>
      </w:r>
    </w:p>
    <w:p w:rsidR="002E2F2E" w:rsidRPr="00721031" w:rsidP="00E856D2" w14:paraId="2D2CFCF4" w14:textId="77777777">
      <w:pPr>
        <w:widowControl/>
        <w:tabs>
          <w:tab w:val="center" w:pos="4677"/>
        </w:tabs>
      </w:pPr>
      <w:r w:rsidRPr="00721031">
        <w:br w:type="page"/>
      </w:r>
      <w:r w:rsidRPr="00721031">
        <w:t>PA_LegEvaluation</w:t>
      </w:r>
    </w:p>
    <w:p w:rsidR="002E2F2E" w:rsidRPr="00721031" w:rsidP="00757C4C" w14:paraId="31F0F728" w14:textId="77777777">
      <w:pPr>
        <w:pStyle w:val="PageHeadingNotTOC"/>
      </w:pPr>
      <w:r w:rsidRPr="00721031">
        <w:br w:type="page"/>
      </w:r>
      <w:r w:rsidRPr="00721031">
        <w:t>ROZPOČTOVÉ POSÚDENIE</w:t>
      </w:r>
    </w:p>
    <w:p w:rsidR="00757C4C" w:rsidRPr="00721031" w:rsidP="00757C4C" w14:paraId="04467D32" w14:textId="77777777">
      <w:pPr>
        <w:pStyle w:val="NormalBold"/>
      </w:pPr>
      <w:r w:rsidRPr="00721031">
        <w:t xml:space="preserve">pre Výbor pre priemysel, výskum a </w:t>
      </w:r>
      <w:r w:rsidRPr="00721031">
        <w:t>energetiku k návrhu nariadenia Európskeho parlamentu a Rady o Agentúre Európskej únie pre vesmírne služby a o zmene nariadenia (EÚ) 2021/696</w:t>
      </w:r>
    </w:p>
    <w:p w:rsidR="00006F54" w:rsidRPr="00721031" w:rsidP="00006F54" w14:paraId="1F3D9B77" w14:textId="77777777">
      <w:pPr>
        <w:pStyle w:val="NormalBold"/>
      </w:pPr>
      <w:r w:rsidRPr="00721031">
        <w:t>(COM(2026)0152 – C10</w:t>
      </w:r>
      <w:r w:rsidRPr="00721031">
        <w:noBreakHyphen/>
        <w:t>0094/2026 – 2026/0084(COD))</w:t>
      </w:r>
    </w:p>
    <w:p w:rsidR="00AE79AF" w:rsidRPr="00721031" w:rsidP="00006F54" w14:paraId="1981F5D4" w14:textId="77777777">
      <w:pPr>
        <w:pStyle w:val="Normal12a"/>
        <w:spacing w:before="480"/>
      </w:pPr>
      <w:r w:rsidRPr="00721031">
        <w:rPr>
          <w:rStyle w:val="HideTWBExt"/>
        </w:rPr>
        <w:t>&lt;Intro&gt;</w:t>
      </w:r>
      <w:r w:rsidRPr="00721031">
        <w:t xml:space="preserve">Výbor pre rozpočet v súlade s článkom 58 </w:t>
      </w:r>
      <w:r w:rsidRPr="00721031">
        <w:t>rokovacieho poriadku vydal rozpočtové posúdenie návrhu a dospel k tomuto záveru:</w:t>
      </w:r>
      <w:r w:rsidRPr="00721031">
        <w:rPr>
          <w:rStyle w:val="HideTWBExt"/>
        </w:rPr>
        <w:t>&lt;/Intro&gt;</w:t>
      </w:r>
    </w:p>
    <w:p w:rsidR="00CE6558" w:rsidRPr="00721031" w:rsidP="00CE6558" w14:paraId="29C09870" w14:textId="77777777">
      <w:pPr>
        <w:pStyle w:val="EPComma"/>
      </w:pPr>
      <w:r w:rsidRPr="00721031">
        <w:rPr>
          <w:i/>
          <w:iCs/>
        </w:rPr>
        <w:t>Výbor pre rozpočet</w:t>
      </w:r>
      <w:r w:rsidRPr="00721031">
        <w:t>,</w:t>
      </w:r>
    </w:p>
    <w:p w:rsidR="00CE6558" w:rsidRPr="00721031" w:rsidP="00B53538" w14:paraId="5CA4D308" w14:textId="77777777">
      <w:pPr>
        <w:pStyle w:val="NormalHanging12a"/>
      </w:pPr>
      <w:r w:rsidRPr="00721031">
        <w:t>-</w:t>
      </w:r>
      <w:r w:rsidRPr="00721031">
        <w:tab/>
        <w:t>so zreteľom na nariadenie Európskeho parlamentu a Rady (EÚ, Euratom) 2024/2509 z 23. septembra 2024 o rozpočtových pravidlách, ktoré sa vzťahujú na všeobecný rozpočet Únie,</w:t>
      </w:r>
    </w:p>
    <w:p w:rsidR="00F61A2E" w:rsidRPr="00721031" w:rsidP="00F61A2E" w14:paraId="3A40CBA6" w14:textId="77777777">
      <w:pPr>
        <w:pStyle w:val="NormalHanging12a"/>
      </w:pPr>
      <w:r w:rsidRPr="00721031">
        <w:t>-</w:t>
      </w:r>
      <w:r w:rsidRPr="00721031">
        <w:tab/>
        <w:t>so zreteľom na delegované nariadenie Komisie (EÚ) 2019/715 z 18. decembra 2018 o rámcovom nariadení o rozpočtových pravidlách pre subjekty zriadené podľa ZFEÚ a Zmluvy o Euratome a uvedené v článku 70 nariadenia Európskeho parlamentu a Rady (EÚ, Euratom) 2024/2509,</w:t>
      </w:r>
    </w:p>
    <w:p w:rsidR="007638D0" w:rsidRPr="00721031" w:rsidP="00AD1695" w14:paraId="62D16ECD" w14:textId="77777777">
      <w:pPr>
        <w:pStyle w:val="NormalHanging12a"/>
      </w:pPr>
      <w:r w:rsidRPr="00721031">
        <w:t>-</w:t>
      </w:r>
      <w:r w:rsidRPr="00721031">
        <w:tab/>
        <w:t>so zreteľom na spoločné vyhlásenie Európskeho parlamentu, Rady Európskej únie a Európskej komisie o decentralizovaných agentúrach z 19. júla 2012 („spoločné vyhlásenie“),</w:t>
      </w:r>
    </w:p>
    <w:p w:rsidR="00685809" w:rsidRPr="00721031" w:rsidP="00685809" w14:paraId="1794A3F7" w14:textId="77777777">
      <w:pPr>
        <w:pStyle w:val="NormalHanging12a"/>
        <w:rPr>
          <w:rStyle w:val="HideTWBExt"/>
          <w:rFonts w:ascii="Times New Roman" w:hAnsi="Times New Roman"/>
          <w:noProof w:val="0"/>
          <w:vanish w:val="0"/>
          <w:color w:val="auto"/>
          <w:sz w:val="24"/>
        </w:rPr>
      </w:pPr>
      <w:r w:rsidRPr="00721031">
        <w:t>A.</w:t>
      </w:r>
      <w:r w:rsidRPr="00721031">
        <w:tab/>
        <w:t>keďže príspevok Únie pre agentúru v rámci súčasného VFR je 525,7 milióna EUR a keďže Komisia navrhuje zvýšiť príspevok v budúcom VFR na 979,6 milióna EUR; keďže časť tohto zvýšenia zohľadňuje nové úlohy agentúry; keďže významná časť len kompenzuje náklady na vysokú infláciu, ktorá v posledných rokoch znížila kúpnu silu agentúry;</w:t>
      </w:r>
    </w:p>
    <w:p w:rsidR="00C10369" w:rsidRPr="00721031" w:rsidP="00F531B6" w14:paraId="3C62E703" w14:textId="77777777">
      <w:pPr>
        <w:pStyle w:val="NormalHanging12a"/>
        <w:rPr>
          <w:rStyle w:val="HideTWBExt"/>
          <w:rFonts w:ascii="Times New Roman" w:hAnsi="Times New Roman"/>
          <w:noProof w:val="0"/>
          <w:vanish w:val="0"/>
          <w:color w:val="auto"/>
          <w:sz w:val="24"/>
        </w:rPr>
      </w:pPr>
      <w:r w:rsidRPr="00721031">
        <w:t>B.</w:t>
      </w:r>
      <w:r w:rsidRPr="00721031">
        <w:tab/>
        <w:t>keďže v návrhu aktu EÚ o vesmíre sa stanovuje, že agentúra účtuje poplatky na úplné pokrytie potrebných výdavkov, ktoré jej vznikli; keďže neexistuje žiadne ustanovenie, na základe ktorého by agentúra spoplatňovala publikácie;</w:t>
      </w:r>
    </w:p>
    <w:p w:rsidR="00C10369" w:rsidRPr="00721031" w:rsidP="00F531B6" w14:paraId="39454557" w14:textId="77777777">
      <w:pPr>
        <w:pStyle w:val="NormalHanging12a"/>
        <w:rPr>
          <w:rStyle w:val="HideTWBExt"/>
          <w:rFonts w:ascii="Times New Roman" w:hAnsi="Times New Roman"/>
          <w:noProof w:val="0"/>
          <w:vanish w:val="0"/>
          <w:color w:val="auto"/>
          <w:sz w:val="24"/>
        </w:rPr>
      </w:pPr>
      <w:r w:rsidRPr="00721031">
        <w:t>C.</w:t>
      </w:r>
      <w:r w:rsidRPr="00721031">
        <w:tab/>
        <w:t>keďže agentúra by mala zaznamenať výrazný nárast počtu a zložitosti svojich úloh v dôsledku rozširovania vesmírnych činností Únie prostredníctvom ECF a aktu o vesmíre; keďže mnohé z týchto úloh sú z hľadiska bezpečnosti mimoriadne citlivé a keďže je nevyhnutné zabezpečiť, aby boli vesmírne služby Únie dostupné bez prerušenia, a to aj v prípade krízy;</w:t>
      </w:r>
    </w:p>
    <w:p w:rsidR="00C10369" w:rsidRPr="00721031" w:rsidP="00F531B6" w14:paraId="3181FFFC" w14:textId="77777777">
      <w:pPr>
        <w:pStyle w:val="NormalHanging12a"/>
        <w:rPr>
          <w:rStyle w:val="HideTWBExt"/>
          <w:rFonts w:ascii="Times New Roman" w:hAnsi="Times New Roman"/>
          <w:noProof w:val="0"/>
          <w:vanish w:val="0"/>
          <w:color w:val="auto"/>
          <w:sz w:val="24"/>
        </w:rPr>
      </w:pPr>
      <w:r w:rsidRPr="00721031">
        <w:t>D.</w:t>
      </w:r>
      <w:r w:rsidRPr="00721031">
        <w:tab/>
        <w:t xml:space="preserve">keďže v návrhu sa stanovuje, že agentúra môže využívať iných zamestnancov, ktorí nie sú zamestnancami agentúry, čo sa vzťahuje na zamestnancov subdodávateľov; keďže niektorí z nich vykonávajú úlohy, ktoré si vyžadujú vysoko špecializované technické odborné znalosti, pričom ich outsourcing predstavuje riziko pre kontinuitu a bezpečnosť; keďže agentúra dostala v nedávnych ročných rozpočtoch dodatočné </w:t>
      </w:r>
      <w:r w:rsidRPr="00721031">
        <w:t>pracovné miesta na riešenie tohto problému, domnieva sa však, že jej stále chýba 82 ekvivalentov plného praco</w:t>
      </w:r>
      <w:r w:rsidRPr="00721031">
        <w:t>vného času (74 dočasných zamestnancov a 8 zmluvných zamestnancov); keďže zvýšenie počtu pracovných miest v návrhu je určené len na plnenie nových úloh agentúry;</w:t>
      </w:r>
    </w:p>
    <w:p w:rsidR="00C10369" w:rsidRPr="00721031" w:rsidP="00F531B6" w14:paraId="6346372B" w14:textId="77777777">
      <w:pPr>
        <w:pStyle w:val="NormalHanging12a"/>
        <w:rPr>
          <w:rStyle w:val="HideTWBExt"/>
          <w:rFonts w:ascii="Times New Roman" w:hAnsi="Times New Roman"/>
          <w:noProof w:val="0"/>
          <w:vanish w:val="0"/>
          <w:color w:val="auto"/>
          <w:sz w:val="24"/>
        </w:rPr>
      </w:pPr>
      <w:r w:rsidRPr="00721031">
        <w:t>E.</w:t>
      </w:r>
      <w:r w:rsidRPr="00721031">
        <w:tab/>
        <w:t>keďže Komisia navrhuje, aby agentúra mohla využívať skupinu zamestnancov z členských štátov na krátkodobé nasadenie v trvaní najviac dvoch rokov, aby bolo možné čeliť nárastu práce alebo naliehavým situáciám, ktoré majú vplyv na kontinuitu služieb;</w:t>
      </w:r>
    </w:p>
    <w:p w:rsidR="00C10369" w:rsidRPr="00721031" w:rsidP="00F531B6" w14:paraId="17BF578C" w14:textId="77777777">
      <w:pPr>
        <w:pStyle w:val="NormalHanging12a"/>
        <w:rPr>
          <w:rStyle w:val="HideTWBExt"/>
          <w:rFonts w:ascii="Times New Roman" w:hAnsi="Times New Roman"/>
          <w:noProof w:val="0"/>
          <w:vanish w:val="0"/>
          <w:color w:val="auto"/>
          <w:sz w:val="24"/>
        </w:rPr>
      </w:pPr>
      <w:r w:rsidRPr="00721031">
        <w:t>F.</w:t>
      </w:r>
      <w:r w:rsidRPr="00721031">
        <w:tab/>
        <w:t>keďže je dôležité, aby agentúra mala plán pracovných miest, ktorý umožňuje kariérny postup, aby mohla zostať atraktívnym zamestnávateľom;</w:t>
      </w:r>
    </w:p>
    <w:p w:rsidR="00C10369" w:rsidRPr="00721031" w:rsidP="00F531B6" w14:paraId="228E510E" w14:textId="77777777">
      <w:pPr>
        <w:pStyle w:val="NormalHanging12a"/>
        <w:rPr>
          <w:rStyle w:val="HideTWBExt"/>
          <w:rFonts w:ascii="Times New Roman" w:hAnsi="Times New Roman"/>
          <w:noProof w:val="0"/>
          <w:vanish w:val="0"/>
          <w:color w:val="auto"/>
          <w:sz w:val="24"/>
        </w:rPr>
      </w:pPr>
      <w:r w:rsidRPr="00721031">
        <w:t>G.</w:t>
      </w:r>
      <w:r w:rsidRPr="00721031">
        <w:tab/>
        <w:t>keďže návrhom sa výrazne rozširuje počet rozhodnutí správnej rady, ktoré si vyžadujú kladné hlasovanie zástupcov Komisie, pričom zahŕňa rozhodnutia týkajúce sa opatrení nadväzujúcich na správy úradu OLAF, vymenovania účtovníka, všetkých menovacích právomocí správnej rady, prijatia rozpočtu agentúry a všetkých rozhodnutí týkajúcich sa kapitoly 4 návrhu o zamestnancoch; keďže v návrhu sa neuvádza žiadne vysvetlenie potreby rozšíriť právomoci Komisie týmto spôsobom;</w:t>
      </w:r>
    </w:p>
    <w:p w:rsidR="00C10369" w:rsidRPr="00721031" w:rsidP="00F531B6" w14:paraId="48C84C98" w14:textId="77777777">
      <w:pPr>
        <w:pStyle w:val="NormalHanging12a"/>
      </w:pPr>
      <w:r w:rsidRPr="00721031">
        <w:t>H.</w:t>
      </w:r>
      <w:r w:rsidRPr="00721031">
        <w:tab/>
        <w:t>keďže sa plánuje presťahovanie agentúry do novej budovy v Prahe s cieľom zohľadniť potrebu väčších kancelárskych priestorov a bezpečnejších pracovných priestorov; keďže je dôležité, aby agentúra mala k dispozícii potrebný priestor a zariadenia na vykonávanie svojich nových úloh v rámci budúceho VFR;</w:t>
      </w:r>
    </w:p>
    <w:p w:rsidR="009626A8" w:rsidRPr="00721031" w:rsidP="00F531B6" w14:paraId="472F3A23" w14:textId="77777777">
      <w:pPr>
        <w:pStyle w:val="NormalHanging12a"/>
      </w:pPr>
      <w:r w:rsidRPr="00721031">
        <w:t>1.</w:t>
      </w:r>
      <w:r w:rsidRPr="00721031">
        <w:tab/>
        <w:t>berie na vedomie návrh na zvýšenie rozpočtu a počtu zamestnancov agentúry s cieľom zohľadniť nové úlohy, ktoré jej boli pridelené; vyjadruje však znepokojenie nad tým, že návrh sa v plnej miere nezaoberá znížením kúpnej sily agentúry ani nerieši existujúci nedostatok 82 pracovných miest; domnieva sa, že vykonávanie určitých dôležitých úloh interne by znížilo riziká z hľadiska kontinuity a bezpečnosti; uznáva, že krátkodobá dostupnosť vyslaných vnútroštátnych úradníkov by mohla agentúre poskytnúť flexibilit</w:t>
      </w:r>
      <w:r w:rsidRPr="00721031">
        <w:t>u v núdzových situáciách, domnieva sa však, že to nemôže nahradiť poskytnutie primeraných ľudských a finančných zdrojov agentúre;</w:t>
      </w:r>
    </w:p>
    <w:p w:rsidR="00C10369" w:rsidRPr="00721031" w:rsidP="00F531B6" w14:paraId="79D61F29" w14:textId="77777777">
      <w:pPr>
        <w:pStyle w:val="NormalHanging12a"/>
      </w:pPr>
      <w:r w:rsidRPr="00721031">
        <w:t>2.</w:t>
      </w:r>
      <w:r w:rsidRPr="00721031">
        <w:tab/>
        <w:t>berie na vedomie ustanovenie o stanovení príjmov agentúry; berie na vedomie aj návrh v návrhu aktu EÚ o vesmíre, aby agentúra mohla účtovať poplatky za úlohy, ktoré má vykonávať podľa tohto aktu; domnieva sa, že nie je potrebné zahrnúť poplatky za publikácie, ktoré agentúra neposkytuje;</w:t>
      </w:r>
    </w:p>
    <w:p w:rsidR="00BF7733" w:rsidRPr="00721031" w:rsidP="00F531B6" w14:paraId="26766EEB" w14:textId="77777777">
      <w:pPr>
        <w:pStyle w:val="NormalHanging12a"/>
      </w:pPr>
      <w:r w:rsidRPr="00721031">
        <w:t>3.</w:t>
      </w:r>
      <w:r w:rsidRPr="00721031">
        <w:tab/>
        <w:t>pripomína svoju dlhodobú pozíciu, že nezávislosť a autonómny administratívny rozhodovací proces sú kľúčové pre efektívnosť agentúr a vykonávanie politík EÚ; domnieva sa, že pravidlá hlasovania v agentúrach by mali odrážať inštitucionálnu rovnováhu; zdôrazňuje, že Komisia navrhuje udeliť si právomoc blokovať širokú škálu rozhodnutí správnej rady tým, že nebude hlasovať za; domnieva sa, že by to znamenalo výrazný presun právomocí v agentúre, pričom je to odôvodnené len veľmi všeobecne odkazom na mandát agent</w:t>
      </w:r>
      <w:r w:rsidRPr="00721031">
        <w:t>úry a všeobecnú zodpovednosť Komisie za implementáciu vesmírnych zložiek Únie a oslabilo by to výsady rozpočtového orgánu;</w:t>
      </w:r>
    </w:p>
    <w:p w:rsidR="00BF7733" w:rsidRPr="00721031" w:rsidP="00F531B6" w14:paraId="2889ED23" w14:textId="77777777">
      <w:pPr>
        <w:pStyle w:val="NormalHanging12a"/>
      </w:pPr>
      <w:r w:rsidRPr="00721031">
        <w:t>4.</w:t>
      </w:r>
      <w:r w:rsidRPr="00721031">
        <w:tab/>
        <w:t xml:space="preserve">zdôrazňuje, že v prípade, ak by sa agentúre v </w:t>
      </w:r>
      <w:r w:rsidRPr="00721031">
        <w:t xml:space="preserve">priebehu rokovaní zverili ďalšie povinnosti, je potrebné posúdiť ich finančné dôsledky a zodpovedajúcim spôsobom </w:t>
      </w:r>
      <w:r w:rsidRPr="00721031">
        <w:t>revidovať legislatívny finančný a digitálny výkaz pripojený k návrhu; vyzýva Komisiu, aby pomáhala rozpočtovému orgánu pri posudzovaní finančných dôsledkov zmien navrhnutých spoluzákonodarcom, aby sa mohli v plnej miere zohľadniť počas legislatívneho procesu s cieľom zabezpečiť, aby finančné a ľudské zdroje agentúry zodpovedali úlohám, ktoré jej boli zverené; odporúča, aby sa plán pracovných mies</w:t>
      </w:r>
      <w:r w:rsidRPr="00721031">
        <w:t>t agentúry upravil tak, aby umožňoval kariérny postup;</w:t>
      </w:r>
    </w:p>
    <w:p w:rsidR="00BF7733" w:rsidRPr="00721031" w:rsidP="00F531B6" w14:paraId="4E5B214B" w14:textId="77777777">
      <w:pPr>
        <w:pStyle w:val="NormalHanging12a"/>
      </w:pPr>
      <w:r w:rsidRPr="00721031">
        <w:t>5.</w:t>
      </w:r>
      <w:r w:rsidRPr="00721031">
        <w:tab/>
        <w:t>konštatuje, že návrh je v súlade s VFR a systémom vlastných zdrojov, ako aj s medziinštitucionálnou dohodou a rozpočtovými zásadami stanovenými v nariadení o rozpočtových pravidlách.</w:t>
      </w:r>
    </w:p>
    <w:p w:rsidR="00C8553D" w:rsidRPr="00721031" w:rsidP="00C8553D" w14:paraId="19192253" w14:textId="77777777">
      <w:pPr>
        <w:sectPr w:rsidSect="0072103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BF7733" w:rsidRPr="00721031" w:rsidP="00BF7733" w14:paraId="74468917" w14:textId="77777777">
      <w:pPr>
        <w:pStyle w:val="PageHeadingNotTOC"/>
      </w:pPr>
      <w:r w:rsidRPr="00721031">
        <w:t>POZMEŇUJÚCI NÁVRH</w:t>
      </w:r>
    </w:p>
    <w:p w:rsidR="00BF7733" w:rsidRPr="00721031" w:rsidP="00BF7733" w14:paraId="5106275F" w14:textId="77777777">
      <w:pPr>
        <w:pStyle w:val="Normal12a"/>
      </w:pPr>
      <w:r w:rsidRPr="00721031">
        <w:t>Výbor pre rozpočet v rámci svojho rozpočtového posúdenia okrem toho predkladá tieto pozmeňujúce návrhy k návrhu:</w:t>
      </w:r>
    </w:p>
    <w:p w:rsidR="00B53538" w:rsidRPr="00721031" w:rsidP="00B53538" w14:paraId="742156A1" w14:textId="77777777">
      <w:pPr>
        <w:pStyle w:val="AMNumberTabs0"/>
        <w:keepNext/>
      </w:pPr>
      <w:r w:rsidRPr="00721031">
        <w:rPr>
          <w:rStyle w:val="HideTWBExt"/>
          <w:b w:val="0"/>
        </w:rPr>
        <w:t>&lt;RepeatBlock-Amend&gt;</w:t>
      </w:r>
      <w:bookmarkStart w:id="0" w:name="restart"/>
      <w:r w:rsidRPr="00721031">
        <w:rPr>
          <w:rStyle w:val="HideTWBExt"/>
          <w:b w:val="0"/>
        </w:rPr>
        <w:t>&lt;Amend&gt;</w:t>
      </w:r>
      <w:r w:rsidRPr="00721031">
        <w:t>Pozmeňujúci návrh</w:t>
      </w:r>
      <w:r w:rsidRPr="00721031">
        <w:tab/>
      </w:r>
      <w:r w:rsidRPr="00721031">
        <w:tab/>
      </w:r>
      <w:r w:rsidRPr="00721031">
        <w:rPr>
          <w:rStyle w:val="HideTWBExt"/>
          <w:b w:val="0"/>
        </w:rPr>
        <w:t>&lt;NumAm&gt;</w:t>
      </w:r>
      <w:r w:rsidRPr="00721031">
        <w:t>1</w:t>
      </w:r>
      <w:r w:rsidRPr="00721031">
        <w:rPr>
          <w:rStyle w:val="HideTWBExt"/>
          <w:b w:val="0"/>
        </w:rPr>
        <w:t>&lt;/NumAm&gt;</w:t>
      </w:r>
    </w:p>
    <w:p w:rsidR="00B53538" w:rsidRPr="00721031" w:rsidP="00B53538" w14:paraId="3E0546A4" w14:textId="77777777">
      <w:pPr>
        <w:pStyle w:val="NormalBold12b"/>
        <w:keepNext/>
      </w:pPr>
      <w:r w:rsidRPr="00721031">
        <w:rPr>
          <w:rStyle w:val="HideTWBExt"/>
          <w:b w:val="0"/>
        </w:rPr>
        <w:t>&lt;DocAmend&gt;</w:t>
      </w:r>
      <w:r w:rsidRPr="00721031">
        <w:t>Návrh nariadenia</w:t>
      </w:r>
      <w:r w:rsidRPr="00721031">
        <w:rPr>
          <w:rStyle w:val="HideTWBExt"/>
          <w:b w:val="0"/>
        </w:rPr>
        <w:t>&lt;/DocAmend&gt;</w:t>
      </w:r>
    </w:p>
    <w:p w:rsidR="00B53538" w:rsidRPr="00721031" w:rsidP="00B53538" w14:paraId="6B73C7A2" w14:textId="77777777">
      <w:pPr>
        <w:pStyle w:val="NormalBold"/>
      </w:pPr>
      <w:r w:rsidRPr="00721031">
        <w:rPr>
          <w:rStyle w:val="HideTWBExt"/>
          <w:b w:val="0"/>
        </w:rPr>
        <w:t>&lt;Article&gt;</w:t>
      </w:r>
      <w:r w:rsidRPr="00721031">
        <w:t>Odôvodnenie 18</w:t>
      </w:r>
      <w:r w:rsidRPr="00721031">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019FE6" w14:textId="77777777" w:rsidTr="00B53538">
        <w:tblPrEx>
          <w:tblW w:w="0" w:type="auto"/>
          <w:jc w:val="center"/>
          <w:tblLayout w:type="fixed"/>
          <w:tblCellMar>
            <w:left w:w="340" w:type="dxa"/>
            <w:right w:w="340" w:type="dxa"/>
          </w:tblCellMar>
          <w:tblLook w:val="04A0"/>
        </w:tblPrEx>
        <w:trPr>
          <w:jc w:val="center"/>
        </w:trPr>
        <w:tc>
          <w:tcPr>
            <w:tcW w:w="9752" w:type="dxa"/>
            <w:gridSpan w:val="2"/>
          </w:tcPr>
          <w:p w:rsidR="00B53538" w:rsidRPr="00721031" w14:paraId="53BE8BAF" w14:textId="77777777">
            <w:pPr>
              <w:keepNext/>
            </w:pPr>
          </w:p>
        </w:tc>
      </w:tr>
      <w:tr w14:paraId="179E4C2C"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696026E6" w14:textId="77777777">
            <w:pPr>
              <w:pStyle w:val="ColumnHeading"/>
              <w:keepNext/>
            </w:pPr>
            <w:r w:rsidRPr="00721031">
              <w:t>Text predložený Komisiou</w:t>
            </w:r>
          </w:p>
        </w:tc>
        <w:tc>
          <w:tcPr>
            <w:tcW w:w="4876" w:type="dxa"/>
            <w:hideMark/>
          </w:tcPr>
          <w:p w:rsidR="00B53538" w:rsidRPr="00721031" w14:paraId="28C1386C" w14:textId="77777777">
            <w:pPr>
              <w:pStyle w:val="ColumnHeading"/>
              <w:keepNext/>
            </w:pPr>
            <w:r w:rsidRPr="00721031">
              <w:t>Pozmeňujúci návrh</w:t>
            </w:r>
          </w:p>
        </w:tc>
      </w:tr>
      <w:tr w14:paraId="56999066"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2EDCEBA8" w14:textId="77777777">
            <w:pPr>
              <w:pStyle w:val="Normal6"/>
            </w:pPr>
            <w:r w:rsidRPr="00721031">
              <w:rPr>
                <w:b/>
                <w:i/>
              </w:rPr>
              <w:t>(18)</w:t>
            </w:r>
            <w:r w:rsidRPr="00721031">
              <w:rPr>
                <w:b/>
                <w:i/>
              </w:rPr>
              <w:tab/>
              <w:t xml:space="preserve">Vzhľadom na mandát agentúry a všeobecnú zodpovednosť Komisie za implementáciu vesmírnych zložiek Únie je vhodné stanoviť, aby sa niektoré rozhodnutia prijímané správnou radou neprijímali bez kladného </w:t>
            </w:r>
            <w:r w:rsidRPr="00721031">
              <w:rPr>
                <w:b/>
                <w:i/>
              </w:rPr>
              <w:t>hlasovania zástupcov Komisie.</w:t>
            </w:r>
          </w:p>
        </w:tc>
        <w:tc>
          <w:tcPr>
            <w:tcW w:w="4876" w:type="dxa"/>
            <w:hideMark/>
          </w:tcPr>
          <w:p w:rsidR="00B53538" w:rsidRPr="00721031" w14:paraId="6C49644B" w14:textId="77777777">
            <w:pPr>
              <w:pStyle w:val="Normal6"/>
              <w:rPr>
                <w:szCs w:val="24"/>
              </w:rPr>
            </w:pPr>
            <w:r w:rsidRPr="00721031">
              <w:rPr>
                <w:b/>
                <w:i/>
              </w:rPr>
              <w:t>vypúšťa sa</w:t>
            </w:r>
          </w:p>
        </w:tc>
      </w:tr>
    </w:tbl>
    <w:p w:rsidR="00B53538" w:rsidRPr="00721031" w:rsidP="00B53538" w14:paraId="5C457C55" w14:textId="77777777">
      <w:pPr>
        <w:pStyle w:val="Olang"/>
        <w:rPr>
          <w:sz w:val="24"/>
          <w:szCs w:val="24"/>
        </w:rPr>
      </w:pPr>
      <w:r w:rsidRPr="00721031">
        <w:rPr>
          <w:sz w:val="24"/>
          <w:szCs w:val="24"/>
        </w:rPr>
        <w:t xml:space="preserve">Or. </w:t>
      </w:r>
      <w:r w:rsidRPr="00721031">
        <w:rPr>
          <w:rStyle w:val="HideTWBExt"/>
        </w:rPr>
        <w:t>&lt;Original&gt;</w:t>
      </w:r>
      <w:r w:rsidRPr="00721031">
        <w:rPr>
          <w:rStyle w:val="HideTWBInt"/>
          <w:sz w:val="24"/>
          <w:szCs w:val="24"/>
        </w:rPr>
        <w:t>{EN}</w:t>
      </w:r>
      <w:r w:rsidRPr="00721031">
        <w:rPr>
          <w:sz w:val="24"/>
          <w:szCs w:val="24"/>
        </w:rPr>
        <w:t>en</w:t>
      </w:r>
      <w:r w:rsidRPr="00721031">
        <w:rPr>
          <w:rStyle w:val="HideTWBExt"/>
        </w:rPr>
        <w:t>&lt;/Original&gt;</w:t>
      </w:r>
    </w:p>
    <w:p w:rsidR="00B53538" w:rsidRPr="00721031" w:rsidP="00B53538" w14:paraId="70BFBC91" w14:textId="77777777">
      <w:pPr>
        <w:rPr>
          <w:szCs w:val="24"/>
        </w:rPr>
      </w:pPr>
      <w:r w:rsidRPr="00721031">
        <w:rPr>
          <w:rStyle w:val="HideTWBExt"/>
        </w:rPr>
        <w:t>&lt;/Amend&gt;</w:t>
      </w:r>
    </w:p>
    <w:p w:rsidR="00BF7733" w:rsidRPr="00721031" w:rsidP="00BF7733" w14:paraId="06B1F1E7" w14:textId="77777777">
      <w:pPr>
        <w:pStyle w:val="AmNumberTabs"/>
        <w:keepNext/>
      </w:pPr>
      <w:r w:rsidRPr="00721031">
        <w:rPr>
          <w:rStyle w:val="HideTWBExt"/>
          <w:b w:val="0"/>
        </w:rPr>
        <w:t>&lt;Amend&gt;</w:t>
      </w:r>
      <w:r w:rsidRPr="00721031">
        <w:t>Pozmeňujúci návrh</w:t>
      </w:r>
      <w:r w:rsidRPr="00721031">
        <w:tab/>
      </w:r>
      <w:r w:rsidRPr="00721031">
        <w:tab/>
      </w:r>
      <w:r w:rsidRPr="00721031">
        <w:rPr>
          <w:rStyle w:val="HideTWBExt"/>
          <w:b w:val="0"/>
        </w:rPr>
        <w:t>&lt;NumAm&gt;</w:t>
      </w:r>
      <w:r w:rsidRPr="00721031">
        <w:t>2</w:t>
      </w:r>
      <w:r w:rsidRPr="00721031">
        <w:rPr>
          <w:rStyle w:val="HideTWBExt"/>
          <w:b w:val="0"/>
        </w:rPr>
        <w:t>&lt;/NumAm&gt;</w:t>
      </w:r>
    </w:p>
    <w:p w:rsidR="00BF7733" w:rsidRPr="00721031" w:rsidP="00BF7733" w14:paraId="7399DBB2" w14:textId="77777777">
      <w:pPr>
        <w:pStyle w:val="NormalBold12b"/>
        <w:keepNext/>
      </w:pPr>
      <w:r w:rsidRPr="00721031">
        <w:rPr>
          <w:rStyle w:val="HideTWBExt"/>
          <w:b w:val="0"/>
        </w:rPr>
        <w:t>&lt;DocAmend&gt;</w:t>
      </w:r>
      <w:r w:rsidRPr="00721031">
        <w:t>Návrh nariadenia</w:t>
      </w:r>
      <w:r w:rsidRPr="00721031">
        <w:rPr>
          <w:rStyle w:val="HideTWBExt"/>
          <w:b w:val="0"/>
        </w:rPr>
        <w:t>&lt;/DocAmend&gt;</w:t>
      </w:r>
    </w:p>
    <w:p w:rsidR="00BF7733" w:rsidRPr="00721031" w:rsidP="00BF7733" w14:paraId="708E1F04" w14:textId="77777777">
      <w:pPr>
        <w:pStyle w:val="NormalBold"/>
      </w:pPr>
      <w:r w:rsidRPr="00721031">
        <w:rPr>
          <w:rStyle w:val="HideTWBExt"/>
          <w:b w:val="0"/>
        </w:rPr>
        <w:t>&lt;Article&gt;</w:t>
      </w:r>
      <w:r w:rsidRPr="00721031">
        <w:t>Odôvodnenie 21 a (nové)</w:t>
      </w:r>
      <w:r w:rsidRPr="00721031">
        <w:rPr>
          <w:rStyle w:val="HideTWBExt"/>
          <w:b w:val="0"/>
        </w:rPr>
        <w:t>&lt;/Article&gt;</w:t>
      </w:r>
    </w:p>
    <w:tbl>
      <w:tblPr>
        <w:tblW w:w="9750" w:type="dxa"/>
        <w:jc w:val="center"/>
        <w:tblLayout w:type="fixed"/>
        <w:tblCellMar>
          <w:left w:w="340" w:type="dxa"/>
          <w:right w:w="340" w:type="dxa"/>
        </w:tblCellMar>
        <w:tblLook w:val="04A0"/>
      </w:tblPr>
      <w:tblGrid>
        <w:gridCol w:w="4875"/>
        <w:gridCol w:w="4875"/>
      </w:tblGrid>
      <w:tr w14:paraId="6076F416" w14:textId="77777777" w:rsidTr="00A403F4">
        <w:tblPrEx>
          <w:tblW w:w="9750" w:type="dxa"/>
          <w:jc w:val="center"/>
          <w:tblLayout w:type="fixed"/>
          <w:tblCellMar>
            <w:left w:w="340" w:type="dxa"/>
            <w:right w:w="340" w:type="dxa"/>
          </w:tblCellMar>
          <w:tblLook w:val="04A0"/>
        </w:tblPrEx>
        <w:trPr>
          <w:jc w:val="center"/>
        </w:trPr>
        <w:tc>
          <w:tcPr>
            <w:tcW w:w="9750" w:type="dxa"/>
            <w:gridSpan w:val="2"/>
          </w:tcPr>
          <w:p w:rsidR="00BF7733" w:rsidRPr="00721031" w14:paraId="1748D743" w14:textId="77777777">
            <w:pPr>
              <w:keepNext/>
            </w:pPr>
          </w:p>
        </w:tc>
      </w:tr>
      <w:tr w14:paraId="42A7C97D" w14:textId="77777777" w:rsidTr="00A403F4">
        <w:tblPrEx>
          <w:tblW w:w="9750" w:type="dxa"/>
          <w:jc w:val="center"/>
          <w:tblLayout w:type="fixed"/>
          <w:tblCellMar>
            <w:left w:w="340" w:type="dxa"/>
            <w:right w:w="340" w:type="dxa"/>
          </w:tblCellMar>
          <w:tblLook w:val="04A0"/>
        </w:tblPrEx>
        <w:trPr>
          <w:jc w:val="center"/>
        </w:trPr>
        <w:tc>
          <w:tcPr>
            <w:tcW w:w="4875" w:type="dxa"/>
            <w:hideMark/>
          </w:tcPr>
          <w:p w:rsidR="00BF7733" w:rsidRPr="00721031" w14:paraId="4E7EEC86" w14:textId="77777777">
            <w:pPr>
              <w:pStyle w:val="AmColumnHeading"/>
              <w:keepNext/>
            </w:pPr>
            <w:r w:rsidRPr="00721031">
              <w:t>Text predložený Komisiou</w:t>
            </w:r>
          </w:p>
        </w:tc>
        <w:tc>
          <w:tcPr>
            <w:tcW w:w="4875" w:type="dxa"/>
            <w:hideMark/>
          </w:tcPr>
          <w:p w:rsidR="00BF7733" w:rsidRPr="00721031" w14:paraId="7644A62B" w14:textId="77777777">
            <w:pPr>
              <w:pStyle w:val="AmColumnHeading"/>
              <w:keepNext/>
            </w:pPr>
            <w:r w:rsidRPr="00721031">
              <w:t>Pozmeňujúci návrh</w:t>
            </w:r>
          </w:p>
        </w:tc>
      </w:tr>
      <w:tr w14:paraId="59AE3CE0" w14:textId="77777777" w:rsidTr="00A403F4">
        <w:tblPrEx>
          <w:tblW w:w="9750" w:type="dxa"/>
          <w:jc w:val="center"/>
          <w:tblLayout w:type="fixed"/>
          <w:tblCellMar>
            <w:left w:w="340" w:type="dxa"/>
            <w:right w:w="340" w:type="dxa"/>
          </w:tblCellMar>
          <w:tblLook w:val="04A0"/>
        </w:tblPrEx>
        <w:trPr>
          <w:jc w:val="center"/>
        </w:trPr>
        <w:tc>
          <w:tcPr>
            <w:tcW w:w="4875" w:type="dxa"/>
            <w:hideMark/>
          </w:tcPr>
          <w:p w:rsidR="00BF7733" w:rsidRPr="00721031" w14:paraId="39E9A2A4" w14:textId="77777777"/>
        </w:tc>
        <w:tc>
          <w:tcPr>
            <w:tcW w:w="4875" w:type="dxa"/>
            <w:hideMark/>
          </w:tcPr>
          <w:p w:rsidR="00BF7733" w:rsidRPr="00721031" w14:paraId="53114C70" w14:textId="77777777">
            <w:pPr>
              <w:pStyle w:val="Normal6a"/>
            </w:pPr>
            <w:r w:rsidRPr="00721031">
              <w:rPr>
                <w:b/>
                <w:i/>
              </w:rPr>
              <w:t>(21a)</w:t>
            </w:r>
            <w:r w:rsidRPr="00721031">
              <w:rPr>
                <w:b/>
                <w:i/>
              </w:rPr>
              <w:tab/>
              <w:t>Vplyv tohto nariadenia na rozpočet Únie bol posúdený+ v súlade s článkom 310 ods. 4 Zmluvy o fungovaní Európskej únie. Na jeho vykonávanie by sa mali vyčleniť dostatočné finančné a ľudské zdroje, pričom by sa mal zohľadniť vplyv jeho financovania na iné programy alebo politiky Únie a mala by sa zaručiť jeho zlučiteľnosť s viacročným finančným rámcom, so systémom vlastných zdrojov a s príslušnou medziinštitucionálnou dohodou, ako aj s rozpočtovými zásadami stanovenými v nariadení Európskeho parlamentu a Rad</w:t>
            </w:r>
            <w:r w:rsidRPr="00721031">
              <w:rPr>
                <w:b/>
                <w:i/>
              </w:rPr>
              <w:t>y (EÚ, Euratom) 2024/2509.</w:t>
            </w:r>
          </w:p>
        </w:tc>
      </w:tr>
      <w:tr w14:paraId="4C2407C7" w14:textId="77777777" w:rsidTr="00A403F4">
        <w:tblPrEx>
          <w:tblW w:w="9750" w:type="dxa"/>
          <w:jc w:val="center"/>
          <w:tblLayout w:type="fixed"/>
          <w:tblCellMar>
            <w:left w:w="340" w:type="dxa"/>
            <w:right w:w="340" w:type="dxa"/>
          </w:tblCellMar>
          <w:tblLook w:val="04A0"/>
        </w:tblPrEx>
        <w:trPr>
          <w:jc w:val="center"/>
        </w:trPr>
        <w:tc>
          <w:tcPr>
            <w:tcW w:w="4875" w:type="dxa"/>
          </w:tcPr>
          <w:p w:rsidR="00855E52" w:rsidRPr="00721031" w14:paraId="0C625590" w14:textId="77777777"/>
        </w:tc>
        <w:tc>
          <w:tcPr>
            <w:tcW w:w="4875" w:type="dxa"/>
          </w:tcPr>
          <w:p w:rsidR="00855E52" w:rsidRPr="00721031" w14:paraId="33793647" w14:textId="77777777">
            <w:pPr>
              <w:pStyle w:val="Normal6a"/>
              <w:rPr>
                <w:b/>
                <w:i/>
              </w:rPr>
            </w:pPr>
            <w:r w:rsidRPr="00721031">
              <w:rPr>
                <w:b/>
                <w:i/>
              </w:rPr>
              <w:t>______________________</w:t>
            </w:r>
          </w:p>
        </w:tc>
      </w:tr>
      <w:tr w14:paraId="7CFF5007" w14:textId="77777777" w:rsidTr="00855E52">
        <w:tblPrEx>
          <w:tblW w:w="9750" w:type="dxa"/>
          <w:jc w:val="center"/>
          <w:tblLayout w:type="fixed"/>
          <w:tblCellMar>
            <w:left w:w="340" w:type="dxa"/>
            <w:right w:w="340" w:type="dxa"/>
          </w:tblCellMar>
          <w:tblLook w:val="04A0"/>
        </w:tblPrEx>
        <w:trPr>
          <w:jc w:val="center"/>
        </w:trPr>
        <w:tc>
          <w:tcPr>
            <w:tcW w:w="4875" w:type="dxa"/>
          </w:tcPr>
          <w:p w:rsidR="00855E52" w:rsidRPr="00721031" w14:paraId="1D4B29CC" w14:textId="77777777"/>
        </w:tc>
        <w:tc>
          <w:tcPr>
            <w:tcW w:w="4875" w:type="dxa"/>
          </w:tcPr>
          <w:p w:rsidR="00855E52" w:rsidRPr="00721031" w14:paraId="678F3C0B" w14:textId="77777777">
            <w:pPr>
              <w:pStyle w:val="Normal6a"/>
              <w:rPr>
                <w:b/>
                <w:i/>
              </w:rPr>
            </w:pPr>
            <w:r w:rsidRPr="00721031">
              <w:rPr>
                <w:b/>
                <w:i/>
              </w:rPr>
              <w:t xml:space="preserve">⁺ Pro memoria: Rozpočtové posúdenie Výboru Európskeho parlamentu pre </w:t>
            </w:r>
            <w:r w:rsidRPr="00721031">
              <w:rPr>
                <w:b/>
                <w:i/>
              </w:rPr>
              <w:t xml:space="preserve">rozpočet z xxx k návrhu nariadenia Európskeho parlamentu a Rady o Agentúre Európskej únie pre vesmírne služby a o zmene </w:t>
            </w:r>
            <w:r w:rsidRPr="00721031">
              <w:rPr>
                <w:b/>
                <w:i/>
              </w:rPr>
              <w:t>nariadenia (EÚ) 2021/696 COM(2026)0152).</w:t>
            </w:r>
          </w:p>
        </w:tc>
      </w:tr>
      <w:tr w14:paraId="7C8231DF" w14:textId="77777777" w:rsidTr="00855E52">
        <w:tblPrEx>
          <w:tblW w:w="9750" w:type="dxa"/>
          <w:jc w:val="center"/>
          <w:tblLayout w:type="fixed"/>
          <w:tblCellMar>
            <w:left w:w="340" w:type="dxa"/>
            <w:right w:w="340" w:type="dxa"/>
          </w:tblCellMar>
          <w:tblLook w:val="04A0"/>
        </w:tblPrEx>
        <w:trPr>
          <w:jc w:val="center"/>
        </w:trPr>
        <w:tc>
          <w:tcPr>
            <w:tcW w:w="4875" w:type="dxa"/>
          </w:tcPr>
          <w:p w:rsidR="00855E52" w:rsidRPr="00721031" w14:paraId="69AE1B2B" w14:textId="77777777"/>
        </w:tc>
        <w:tc>
          <w:tcPr>
            <w:tcW w:w="4875" w:type="dxa"/>
          </w:tcPr>
          <w:p w:rsidR="00855E52" w:rsidRPr="00721031" w14:paraId="57553FEC" w14:textId="4B422548">
            <w:pPr>
              <w:pStyle w:val="Normal6a"/>
              <w:rPr>
                <w:b/>
                <w:i/>
              </w:rPr>
            </w:pPr>
            <w:r w:rsidRPr="00721031">
              <w:rPr>
                <w:b/>
                <w:i/>
              </w:rPr>
              <w:t xml:space="preserve">¹ Nariadenie Európskeho parlamentu a Rady (EÚ, Euratom) 2024/2509 z 23. septembra 2024 o rozpočtových pravidlách, ktoré sa vzťahujú na všeobecný rozpočet Únie (Ú. v. EÚ L, 2024/2509, 26.9.2024, ELI: </w:t>
            </w:r>
            <w:hyperlink r:id="rId12" w:tooltip="http://data.europa.eu/eli/reg/2024/2509/oj" w:history="1">
              <w:r w:rsidRPr="00721031">
                <w:rPr>
                  <w:rStyle w:val="Hyperlink"/>
                  <w:b/>
                  <w:i/>
                  <w:color w:val="auto"/>
                </w:rPr>
                <w:t>http://data.europa.eu/eli/reg/2024/2509/oj</w:t>
              </w:r>
            </w:hyperlink>
            <w:r w:rsidRPr="00721031">
              <w:rPr>
                <w:b/>
                <w:i/>
              </w:rPr>
              <w:t>).</w:t>
            </w:r>
          </w:p>
        </w:tc>
      </w:tr>
    </w:tbl>
    <w:p w:rsidR="00BF7733" w:rsidRPr="00721031" w:rsidP="00BF7733" w14:paraId="29C042DB" w14:textId="77777777">
      <w:pPr>
        <w:pStyle w:val="AmOrLang"/>
      </w:pPr>
      <w:r w:rsidRPr="00721031">
        <w:t xml:space="preserve">Or. </w:t>
      </w:r>
      <w:r w:rsidRPr="00721031">
        <w:rPr>
          <w:rStyle w:val="HideTWBExt"/>
        </w:rPr>
        <w:t>&lt;Original&gt;</w:t>
      </w:r>
      <w:r w:rsidRPr="00721031">
        <w:rPr>
          <w:rStyle w:val="HideTWBInt"/>
        </w:rPr>
        <w:t>{EN}</w:t>
      </w:r>
      <w:r w:rsidRPr="00721031">
        <w:t>en</w:t>
      </w:r>
      <w:r w:rsidRPr="00721031">
        <w:rPr>
          <w:rStyle w:val="HideTWBExt"/>
        </w:rPr>
        <w:t>&lt;/Original&gt;</w:t>
      </w:r>
    </w:p>
    <w:p w:rsidR="00BF7733" w:rsidRPr="00721031" w:rsidP="00BF7733" w14:paraId="4FD1955D" w14:textId="77777777">
      <w:r w:rsidRPr="00721031">
        <w:rPr>
          <w:rStyle w:val="HideTWBExt"/>
        </w:rPr>
        <w:t>&lt;/Amend&gt;</w:t>
      </w:r>
      <w:bookmarkEnd w:id="0"/>
    </w:p>
    <w:p w:rsidR="00B53538" w:rsidRPr="00721031" w:rsidP="00B53538" w14:paraId="365BE767" w14:textId="77777777">
      <w:pPr>
        <w:pStyle w:val="AMNumberTabs0"/>
        <w:keepNext/>
      </w:pPr>
      <w:r w:rsidRPr="00721031">
        <w:rPr>
          <w:rStyle w:val="HideTWBExt"/>
          <w:b w:val="0"/>
        </w:rPr>
        <w:t>&lt;Amend&gt;</w:t>
      </w:r>
      <w:r w:rsidRPr="00721031">
        <w:t>Pozmeňujúci návrh</w:t>
      </w:r>
      <w:r w:rsidRPr="00721031">
        <w:tab/>
      </w:r>
      <w:r w:rsidRPr="00721031">
        <w:tab/>
      </w:r>
      <w:r w:rsidRPr="00721031">
        <w:rPr>
          <w:rStyle w:val="HideTWBExt"/>
          <w:b w:val="0"/>
        </w:rPr>
        <w:t>&lt;NumAm&gt;</w:t>
      </w:r>
      <w:r w:rsidRPr="00721031">
        <w:t>3</w:t>
      </w:r>
      <w:r w:rsidRPr="00721031">
        <w:rPr>
          <w:rStyle w:val="HideTWBExt"/>
          <w:b w:val="0"/>
        </w:rPr>
        <w:t>&lt;/NumAm&gt;</w:t>
      </w:r>
    </w:p>
    <w:p w:rsidR="00B53538" w:rsidRPr="00721031" w:rsidP="00B53538" w14:paraId="7EC9335B" w14:textId="77777777">
      <w:pPr>
        <w:pStyle w:val="NormalBold12b"/>
        <w:keepNext/>
      </w:pPr>
      <w:r w:rsidRPr="00721031">
        <w:rPr>
          <w:rStyle w:val="HideTWBExt"/>
          <w:b w:val="0"/>
        </w:rPr>
        <w:t>&lt;DocAmend&gt;</w:t>
      </w:r>
      <w:r w:rsidRPr="00721031">
        <w:t>Návrh nariadenia</w:t>
      </w:r>
      <w:r w:rsidRPr="00721031">
        <w:rPr>
          <w:rStyle w:val="HideTWBExt"/>
          <w:b w:val="0"/>
        </w:rPr>
        <w:t>&lt;/DocAmend&gt;</w:t>
      </w:r>
    </w:p>
    <w:p w:rsidR="00B53538" w:rsidRPr="00721031" w:rsidP="00B53538" w14:paraId="07C41B34" w14:textId="77777777">
      <w:pPr>
        <w:pStyle w:val="NormalBold"/>
      </w:pPr>
      <w:r w:rsidRPr="00721031">
        <w:rPr>
          <w:rStyle w:val="HideTWBExt"/>
          <w:b w:val="0"/>
        </w:rPr>
        <w:t>&lt;Article&gt;</w:t>
      </w:r>
      <w:r w:rsidRPr="00721031">
        <w:t>Článok 11 – odsek 2</w:t>
      </w:r>
      <w:r w:rsidRPr="00721031">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C6CE34" w14:textId="77777777" w:rsidTr="00B53538">
        <w:tblPrEx>
          <w:tblW w:w="0" w:type="auto"/>
          <w:jc w:val="center"/>
          <w:tblLayout w:type="fixed"/>
          <w:tblCellMar>
            <w:left w:w="340" w:type="dxa"/>
            <w:right w:w="340" w:type="dxa"/>
          </w:tblCellMar>
          <w:tblLook w:val="04A0"/>
        </w:tblPrEx>
        <w:trPr>
          <w:jc w:val="center"/>
        </w:trPr>
        <w:tc>
          <w:tcPr>
            <w:tcW w:w="9752" w:type="dxa"/>
            <w:gridSpan w:val="2"/>
          </w:tcPr>
          <w:p w:rsidR="00B53538" w:rsidRPr="00721031" w14:paraId="09545829" w14:textId="77777777">
            <w:pPr>
              <w:keepNext/>
            </w:pPr>
          </w:p>
        </w:tc>
      </w:tr>
      <w:tr w14:paraId="0E816F94"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7CE141EE" w14:textId="77777777">
            <w:pPr>
              <w:pStyle w:val="ColumnHeading"/>
              <w:keepNext/>
            </w:pPr>
            <w:r w:rsidRPr="00721031">
              <w:t>Text predložený Komisiou</w:t>
            </w:r>
          </w:p>
        </w:tc>
        <w:tc>
          <w:tcPr>
            <w:tcW w:w="4876" w:type="dxa"/>
            <w:hideMark/>
          </w:tcPr>
          <w:p w:rsidR="00B53538" w:rsidRPr="00721031" w14:paraId="68AB4BA2" w14:textId="77777777">
            <w:pPr>
              <w:pStyle w:val="ColumnHeading"/>
              <w:keepNext/>
            </w:pPr>
            <w:r w:rsidRPr="00721031">
              <w:t>Pozmeňujúci návrh</w:t>
            </w:r>
          </w:p>
        </w:tc>
      </w:tr>
      <w:tr w14:paraId="178BCD0C"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16A23F8F" w14:textId="77777777">
            <w:pPr>
              <w:pStyle w:val="Normal6"/>
            </w:pPr>
            <w:r w:rsidRPr="00721031">
              <w:t>2.</w:t>
            </w:r>
            <w:r w:rsidRPr="00721031">
              <w:tab/>
              <w:t xml:space="preserve">Každý zástupca členského štátu a Komisie má jeden hlas. V prípade neprítomnosti člena s hlasovacím právom je jeho </w:t>
            </w:r>
            <w:r w:rsidRPr="00721031">
              <w:t xml:space="preserve">hlasovacie právo oprávnený uplatniť jeho náhradník. </w:t>
            </w:r>
            <w:r w:rsidRPr="00721031">
              <w:rPr>
                <w:b/>
                <w:bCs/>
                <w:i/>
                <w:iCs/>
              </w:rPr>
              <w:t>Rozhodnutia založené na článku 9 ods. 1 písm. b) s výnimkou časti vypracúvanej radou pre bezpečnostnú akreditáciu, článku 9 ods. 1 písm. j) pri prijímaní rozhodnutí týkajúcich sa opatrení nadväzujúcich na správy úradu OLAF, článku 9 ods. 1 písm. n), článku 10, článku 24 ods. 8 a rozhodnutia týkajúce sa kapitoly 4 sa prijmú len vtedy, ak za ne kladne</w:t>
            </w:r>
            <w:r w:rsidRPr="00721031">
              <w:t xml:space="preserve"> hlasujú zástupcovia </w:t>
            </w:r>
            <w:r w:rsidRPr="00721031">
              <w:rPr>
                <w:b/>
                <w:bCs/>
                <w:i/>
                <w:iCs/>
              </w:rPr>
              <w:t>Komisie</w:t>
            </w:r>
            <w:r w:rsidRPr="00721031">
              <w:t>.</w:t>
            </w:r>
          </w:p>
        </w:tc>
        <w:tc>
          <w:tcPr>
            <w:tcW w:w="4876" w:type="dxa"/>
            <w:hideMark/>
          </w:tcPr>
          <w:p w:rsidR="00B53538" w:rsidRPr="00721031" w14:paraId="696D0CAA" w14:textId="77777777">
            <w:pPr>
              <w:pStyle w:val="Normal6"/>
              <w:rPr>
                <w:szCs w:val="24"/>
              </w:rPr>
            </w:pPr>
            <w:r w:rsidRPr="00721031">
              <w:t>2.</w:t>
            </w:r>
            <w:r w:rsidRPr="00721031">
              <w:tab/>
              <w:t xml:space="preserve">Každý zástupca členského štátu a Komisie má jeden hlas. V prípade </w:t>
            </w:r>
            <w:r w:rsidRPr="00721031">
              <w:t xml:space="preserve">neprítomnosti člena s hlasovacím právom je jeho hlasovacie právo oprávnený uplatniť jeho náhradník. </w:t>
            </w:r>
            <w:r w:rsidRPr="00721031">
              <w:rPr>
                <w:b/>
                <w:bCs/>
                <w:i/>
                <w:iCs/>
              </w:rPr>
              <w:t>Ak Komisia vyjadrí vážne obavy v súvislosti s návrhom rozhodnutia predloženým správnej rade v záležitostiach týkajúcich sa delegovaného nariadenia (EÚ) 2019/715, služobného poriadku a podmienok zamestnávania ostatných zamestnancov, správna rada prijatie dotknutého rozhodnutia odloží.</w:t>
            </w:r>
            <w:r w:rsidRPr="00721031">
              <w:rPr>
                <w:b/>
                <w:i/>
              </w:rPr>
              <w:t xml:space="preserve"> </w:t>
            </w:r>
            <w:r w:rsidRPr="00721031">
              <w:rPr>
                <w:b/>
                <w:bCs/>
                <w:i/>
                <w:iCs/>
              </w:rPr>
              <w:t>Správna rada takéto rozhodnutie do 15 dní od vyjadrenia vážnych obáv Komisie o návrhu rozhodnutia predloženého správnej rade op</w:t>
            </w:r>
            <w:r w:rsidRPr="00721031">
              <w:rPr>
                <w:b/>
                <w:bCs/>
                <w:i/>
                <w:iCs/>
              </w:rPr>
              <w:t xml:space="preserve">ätovne preskúma a prijme toto rozhodnutie, v prípade potreby zmenené, v druhom čítaní buď dvojtretinovou väčšinou jej členov s hlasovacím právom vrátane zástupcov Komisie, alebo štvorpätinovou väčšinou zástupcov </w:t>
            </w:r>
            <w:r w:rsidRPr="00721031">
              <w:rPr>
                <w:b/>
                <w:bCs/>
                <w:i/>
                <w:iCs/>
              </w:rPr>
              <w:t>členských štátov.</w:t>
            </w:r>
          </w:p>
        </w:tc>
      </w:tr>
    </w:tbl>
    <w:p w:rsidR="00B53538" w:rsidRPr="00721031" w:rsidP="00B53538" w14:paraId="6945FF6D" w14:textId="77777777">
      <w:pPr>
        <w:pStyle w:val="Olang"/>
        <w:rPr>
          <w:sz w:val="24"/>
          <w:szCs w:val="24"/>
        </w:rPr>
      </w:pPr>
      <w:r w:rsidRPr="00721031">
        <w:rPr>
          <w:sz w:val="24"/>
          <w:szCs w:val="24"/>
        </w:rPr>
        <w:t xml:space="preserve">Or. </w:t>
      </w:r>
      <w:r w:rsidRPr="00721031">
        <w:rPr>
          <w:rStyle w:val="HideTWBExt"/>
        </w:rPr>
        <w:t>&lt;Original&gt;</w:t>
      </w:r>
      <w:r w:rsidRPr="00721031">
        <w:rPr>
          <w:rStyle w:val="HideTWBInt"/>
          <w:sz w:val="24"/>
          <w:szCs w:val="24"/>
        </w:rPr>
        <w:t>{EN}</w:t>
      </w:r>
      <w:r w:rsidRPr="00721031">
        <w:rPr>
          <w:sz w:val="24"/>
          <w:szCs w:val="24"/>
        </w:rPr>
        <w:t>en</w:t>
      </w:r>
      <w:r w:rsidRPr="00721031">
        <w:rPr>
          <w:rStyle w:val="HideTWBExt"/>
        </w:rPr>
        <w:t>&lt;/Original&gt;</w:t>
      </w:r>
    </w:p>
    <w:p w:rsidR="00B53538" w:rsidRPr="00721031" w:rsidP="00B53538" w14:paraId="3D64F009" w14:textId="77777777">
      <w:pPr>
        <w:rPr>
          <w:szCs w:val="24"/>
        </w:rPr>
      </w:pPr>
      <w:r w:rsidRPr="00721031">
        <w:rPr>
          <w:rStyle w:val="HideTWBExt"/>
        </w:rPr>
        <w:t>&lt;/Amend&gt;</w:t>
      </w:r>
    </w:p>
    <w:p w:rsidR="00B53538" w:rsidRPr="00721031" w:rsidP="00B53538" w14:paraId="64595146" w14:textId="77777777">
      <w:pPr>
        <w:pStyle w:val="AMNumberTabs0"/>
        <w:keepNext/>
      </w:pPr>
      <w:r w:rsidRPr="00721031">
        <w:rPr>
          <w:rStyle w:val="HideTWBExt"/>
          <w:b w:val="0"/>
        </w:rPr>
        <w:t>&lt;Amend&gt;</w:t>
      </w:r>
      <w:r w:rsidRPr="00721031">
        <w:t>Pozmeňujúci návrh</w:t>
      </w:r>
      <w:r w:rsidRPr="00721031">
        <w:tab/>
      </w:r>
      <w:r w:rsidRPr="00721031">
        <w:tab/>
      </w:r>
      <w:r w:rsidRPr="00721031">
        <w:rPr>
          <w:rStyle w:val="HideTWBExt"/>
          <w:b w:val="0"/>
        </w:rPr>
        <w:t>&lt;NumAm&gt;</w:t>
      </w:r>
      <w:r w:rsidRPr="00721031">
        <w:t>4</w:t>
      </w:r>
      <w:r w:rsidRPr="00721031">
        <w:rPr>
          <w:rStyle w:val="HideTWBExt"/>
          <w:b w:val="0"/>
        </w:rPr>
        <w:t>&lt;/NumAm&gt;</w:t>
      </w:r>
    </w:p>
    <w:p w:rsidR="00B53538" w:rsidRPr="00721031" w:rsidP="00B53538" w14:paraId="518FD99F" w14:textId="77777777">
      <w:pPr>
        <w:pStyle w:val="NormalBold12b"/>
        <w:keepNext/>
      </w:pPr>
      <w:r w:rsidRPr="00721031">
        <w:rPr>
          <w:rStyle w:val="HideTWBExt"/>
          <w:b w:val="0"/>
        </w:rPr>
        <w:t>&lt;DocAmend&gt;</w:t>
      </w:r>
      <w:r w:rsidRPr="00721031">
        <w:t>Návrh nariadenia</w:t>
      </w:r>
      <w:r w:rsidRPr="00721031">
        <w:rPr>
          <w:rStyle w:val="HideTWBExt"/>
          <w:b w:val="0"/>
        </w:rPr>
        <w:t>&lt;/DocAmend&gt;</w:t>
      </w:r>
    </w:p>
    <w:p w:rsidR="00B53538" w:rsidRPr="00721031" w:rsidP="00B53538" w14:paraId="169C97E2" w14:textId="77777777">
      <w:pPr>
        <w:pStyle w:val="NormalBold"/>
      </w:pPr>
      <w:r w:rsidRPr="00721031">
        <w:rPr>
          <w:rStyle w:val="HideTWBExt"/>
          <w:b w:val="0"/>
        </w:rPr>
        <w:t>&lt;Article&gt;</w:t>
      </w:r>
      <w:r w:rsidRPr="00721031">
        <w:t>Článok 18 – odsek 2</w:t>
      </w:r>
      <w:r w:rsidRPr="00721031">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2642BC" w14:textId="77777777" w:rsidTr="00B53538">
        <w:tblPrEx>
          <w:tblW w:w="0" w:type="auto"/>
          <w:jc w:val="center"/>
          <w:tblLayout w:type="fixed"/>
          <w:tblCellMar>
            <w:left w:w="340" w:type="dxa"/>
            <w:right w:w="340" w:type="dxa"/>
          </w:tblCellMar>
          <w:tblLook w:val="04A0"/>
        </w:tblPrEx>
        <w:trPr>
          <w:jc w:val="center"/>
        </w:trPr>
        <w:tc>
          <w:tcPr>
            <w:tcW w:w="9752" w:type="dxa"/>
            <w:gridSpan w:val="2"/>
          </w:tcPr>
          <w:p w:rsidR="00B53538" w:rsidRPr="00721031" w14:paraId="107B7AE4" w14:textId="77777777">
            <w:pPr>
              <w:keepNext/>
            </w:pPr>
          </w:p>
        </w:tc>
      </w:tr>
      <w:tr w14:paraId="6C482F00"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12DB1232" w14:textId="77777777">
            <w:pPr>
              <w:pStyle w:val="ColumnHeading"/>
              <w:keepNext/>
            </w:pPr>
            <w:r w:rsidRPr="00721031">
              <w:t>Text predložený Komisiou</w:t>
            </w:r>
          </w:p>
        </w:tc>
        <w:tc>
          <w:tcPr>
            <w:tcW w:w="4876" w:type="dxa"/>
            <w:hideMark/>
          </w:tcPr>
          <w:p w:rsidR="00B53538" w:rsidRPr="00721031" w14:paraId="7955D137" w14:textId="77777777">
            <w:pPr>
              <w:pStyle w:val="ColumnHeading"/>
              <w:keepNext/>
            </w:pPr>
            <w:r w:rsidRPr="00721031">
              <w:t>Pozmeňujúci návrh</w:t>
            </w:r>
          </w:p>
        </w:tc>
      </w:tr>
      <w:tr w14:paraId="25D37983"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2840154D" w14:textId="77777777">
            <w:pPr>
              <w:pStyle w:val="Normal6"/>
            </w:pPr>
            <w:r w:rsidRPr="00721031">
              <w:t>2.</w:t>
            </w:r>
            <w:r w:rsidRPr="00721031">
              <w:tab/>
              <w:t xml:space="preserve">Ak sa konsenzus dosiahnuť nedá, rada pre bezpečnostnú </w:t>
            </w:r>
            <w:r w:rsidRPr="00721031">
              <w:t xml:space="preserve">akreditáciu prijíma rozhodnutia na základe hlasovania kvalifikovanej väčšiny v súlade s článkom 16 ZEÚ. Zástupca vysokého predstaviteľa nehlasuje. Zástupca Komisie nehlasuje s výnimkou záležitostí, ktoré sa týkajú finančných a ľudských zdrojov, </w:t>
            </w:r>
            <w:r w:rsidRPr="00721031">
              <w:rPr>
                <w:b/>
                <w:bCs/>
                <w:i/>
                <w:iCs/>
              </w:rPr>
              <w:t>v prípade ktorých sa rozhodnutia smú prijať len vtedy, ak za ne kladne hlasujú zástupcovia Komisie.</w:t>
            </w:r>
            <w:r w:rsidRPr="00721031">
              <w:t xml:space="preserve"> Rozhodnutia prijaté radou pre bezpečnostnú akreditáciu podpisuje v mene rady pre bezpečnostnú akreditáciu jej predseda.</w:t>
            </w:r>
          </w:p>
        </w:tc>
        <w:tc>
          <w:tcPr>
            <w:tcW w:w="4876" w:type="dxa"/>
            <w:hideMark/>
          </w:tcPr>
          <w:p w:rsidR="00B53538" w:rsidRPr="00721031" w14:paraId="3D7E0004" w14:textId="77777777">
            <w:pPr>
              <w:pStyle w:val="Normal6"/>
              <w:rPr>
                <w:szCs w:val="24"/>
              </w:rPr>
            </w:pPr>
            <w:r w:rsidRPr="00721031">
              <w:t>2.</w:t>
            </w:r>
            <w:r w:rsidRPr="00721031">
              <w:tab/>
              <w:t>Ak sa konsenzus dosiahnuť nedá, rada pre bezpečnostnú akreditáciu prijíma rozhodnutia na základe hlasovania kvalifikovanej väčšiny v súlade s článkom 16 ZEÚ. Zástupca vysokého predstaviteľa nehlasuje. Zástupca Komisie nehlasuje s výnimkou záležitostí, ktoré sa týkajú finančných a ľudských zdrojov. Rozhodnutia prijaté radou pre bezpečnostnú akreditáciu podpisuje v mene rady pre bezpečnostnú akreditáciu jej predseda.</w:t>
            </w:r>
          </w:p>
        </w:tc>
      </w:tr>
    </w:tbl>
    <w:p w:rsidR="00B53538" w:rsidRPr="00721031" w:rsidP="00B53538" w14:paraId="3CE96B2F" w14:textId="77777777">
      <w:pPr>
        <w:pStyle w:val="Olang"/>
        <w:rPr>
          <w:sz w:val="24"/>
          <w:szCs w:val="24"/>
        </w:rPr>
      </w:pPr>
      <w:r w:rsidRPr="00721031">
        <w:rPr>
          <w:sz w:val="24"/>
          <w:szCs w:val="24"/>
        </w:rPr>
        <w:t xml:space="preserve">Or. </w:t>
      </w:r>
      <w:r w:rsidRPr="00721031">
        <w:rPr>
          <w:rStyle w:val="HideTWBExt"/>
        </w:rPr>
        <w:t>&lt;Original&gt;</w:t>
      </w:r>
      <w:r w:rsidRPr="00721031">
        <w:rPr>
          <w:rStyle w:val="HideTWBInt"/>
          <w:sz w:val="24"/>
          <w:szCs w:val="24"/>
        </w:rPr>
        <w:t>{EN}</w:t>
      </w:r>
      <w:r w:rsidRPr="00721031">
        <w:rPr>
          <w:sz w:val="24"/>
          <w:szCs w:val="24"/>
        </w:rPr>
        <w:t>en</w:t>
      </w:r>
      <w:r w:rsidRPr="00721031">
        <w:rPr>
          <w:rStyle w:val="HideTWBExt"/>
        </w:rPr>
        <w:t>&lt;/Original&gt;</w:t>
      </w:r>
    </w:p>
    <w:p w:rsidR="00B53538" w:rsidRPr="00721031" w:rsidP="00B53538" w14:paraId="61C1C6AF" w14:textId="77777777">
      <w:pPr>
        <w:rPr>
          <w:szCs w:val="24"/>
        </w:rPr>
      </w:pPr>
      <w:r w:rsidRPr="00721031">
        <w:rPr>
          <w:rStyle w:val="HideTWBExt"/>
        </w:rPr>
        <w:t>&lt;/Amend&gt;</w:t>
      </w:r>
    </w:p>
    <w:p w:rsidR="00B53538" w:rsidRPr="00721031" w:rsidP="00B53538" w14:paraId="61F014E5" w14:textId="77777777">
      <w:pPr>
        <w:pStyle w:val="AMNumberTabs0"/>
        <w:keepNext/>
      </w:pPr>
      <w:r w:rsidRPr="00721031">
        <w:rPr>
          <w:rStyle w:val="HideTWBExt"/>
          <w:b w:val="0"/>
        </w:rPr>
        <w:t>&lt;Amend&gt;</w:t>
      </w:r>
      <w:r w:rsidRPr="00721031">
        <w:t>Pozmeňujúci návrh</w:t>
      </w:r>
      <w:r w:rsidRPr="00721031">
        <w:tab/>
      </w:r>
      <w:r w:rsidRPr="00721031">
        <w:tab/>
      </w:r>
      <w:r w:rsidRPr="00721031">
        <w:rPr>
          <w:rStyle w:val="HideTWBExt"/>
          <w:b w:val="0"/>
        </w:rPr>
        <w:t>&lt;NumAm&gt;</w:t>
      </w:r>
      <w:r w:rsidRPr="00721031">
        <w:t>5</w:t>
      </w:r>
      <w:r w:rsidRPr="00721031">
        <w:rPr>
          <w:rStyle w:val="HideTWBExt"/>
          <w:b w:val="0"/>
        </w:rPr>
        <w:t>&lt;/NumAm&gt;</w:t>
      </w:r>
    </w:p>
    <w:p w:rsidR="00B53538" w:rsidRPr="00721031" w:rsidP="00B53538" w14:paraId="525E6F8E" w14:textId="77777777">
      <w:pPr>
        <w:pStyle w:val="NormalBold12b"/>
        <w:keepNext/>
      </w:pPr>
      <w:r w:rsidRPr="00721031">
        <w:rPr>
          <w:rStyle w:val="HideTWBExt"/>
          <w:b w:val="0"/>
        </w:rPr>
        <w:t>&lt;DocAmend&gt;</w:t>
      </w:r>
      <w:r w:rsidRPr="00721031">
        <w:t>Návrh nariadenia</w:t>
      </w:r>
      <w:r w:rsidRPr="00721031">
        <w:rPr>
          <w:rStyle w:val="HideTWBExt"/>
          <w:b w:val="0"/>
        </w:rPr>
        <w:t>&lt;/DocAmend&gt;</w:t>
      </w:r>
    </w:p>
    <w:p w:rsidR="00B53538" w:rsidRPr="00721031" w:rsidP="00B53538" w14:paraId="0BEA76AD" w14:textId="77777777">
      <w:pPr>
        <w:pStyle w:val="NormalBold"/>
      </w:pPr>
      <w:r w:rsidRPr="00721031">
        <w:rPr>
          <w:rStyle w:val="HideTWBExt"/>
          <w:b w:val="0"/>
        </w:rPr>
        <w:t>&lt;Article&gt;</w:t>
      </w:r>
      <w:r w:rsidRPr="00721031">
        <w:t>Článok 25 – odsek 3 – písmeno e</w:t>
      </w:r>
      <w:r w:rsidRPr="00721031">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71D82D" w14:textId="77777777" w:rsidTr="00B53538">
        <w:tblPrEx>
          <w:tblW w:w="0" w:type="auto"/>
          <w:jc w:val="center"/>
          <w:tblLayout w:type="fixed"/>
          <w:tblCellMar>
            <w:left w:w="340" w:type="dxa"/>
            <w:right w:w="340" w:type="dxa"/>
          </w:tblCellMar>
          <w:tblLook w:val="04A0"/>
        </w:tblPrEx>
        <w:trPr>
          <w:jc w:val="center"/>
        </w:trPr>
        <w:tc>
          <w:tcPr>
            <w:tcW w:w="9752" w:type="dxa"/>
            <w:gridSpan w:val="2"/>
          </w:tcPr>
          <w:p w:rsidR="00B53538" w:rsidRPr="00721031" w14:paraId="3CD78764" w14:textId="77777777">
            <w:pPr>
              <w:keepNext/>
            </w:pPr>
          </w:p>
        </w:tc>
      </w:tr>
      <w:tr w14:paraId="5DFBA11B"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317F0FD0" w14:textId="77777777">
            <w:pPr>
              <w:pStyle w:val="ColumnHeading"/>
              <w:keepNext/>
            </w:pPr>
            <w:r w:rsidRPr="00721031">
              <w:t>Text predložený Komisiou</w:t>
            </w:r>
          </w:p>
        </w:tc>
        <w:tc>
          <w:tcPr>
            <w:tcW w:w="4876" w:type="dxa"/>
            <w:hideMark/>
          </w:tcPr>
          <w:p w:rsidR="00B53538" w:rsidRPr="00721031" w14:paraId="728E73C1" w14:textId="77777777">
            <w:pPr>
              <w:pStyle w:val="ColumnHeading"/>
              <w:keepNext/>
            </w:pPr>
            <w:r w:rsidRPr="00721031">
              <w:t>Pozmeňujúci návrh</w:t>
            </w:r>
          </w:p>
        </w:tc>
      </w:tr>
      <w:tr w14:paraId="4681E2E9" w14:textId="77777777" w:rsidTr="00B53538">
        <w:tblPrEx>
          <w:tblW w:w="0" w:type="auto"/>
          <w:jc w:val="center"/>
          <w:tblLayout w:type="fixed"/>
          <w:tblCellMar>
            <w:left w:w="340" w:type="dxa"/>
            <w:right w:w="340" w:type="dxa"/>
          </w:tblCellMar>
          <w:tblLook w:val="04A0"/>
        </w:tblPrEx>
        <w:trPr>
          <w:jc w:val="center"/>
        </w:trPr>
        <w:tc>
          <w:tcPr>
            <w:tcW w:w="4876" w:type="dxa"/>
            <w:hideMark/>
          </w:tcPr>
          <w:p w:rsidR="00B53538" w:rsidRPr="00721031" w14:paraId="19607B87" w14:textId="77777777">
            <w:pPr>
              <w:pStyle w:val="Normal6"/>
            </w:pPr>
            <w:r w:rsidRPr="00721031">
              <w:t>e)</w:t>
            </w:r>
            <w:r w:rsidRPr="00721031">
              <w:tab/>
            </w:r>
            <w:r w:rsidRPr="00721031">
              <w:rPr>
                <w:b/>
                <w:bCs/>
                <w:i/>
                <w:iCs/>
              </w:rPr>
              <w:t>poplatkov za publikácie a</w:t>
            </w:r>
            <w:r w:rsidRPr="00721031">
              <w:rPr>
                <w:b/>
                <w:bCs/>
              </w:rPr>
              <w:t> </w:t>
            </w:r>
            <w:r w:rsidRPr="00721031">
              <w:t>za všetky ostatné služby poskytované agentúrou;</w:t>
            </w:r>
          </w:p>
        </w:tc>
        <w:tc>
          <w:tcPr>
            <w:tcW w:w="4876" w:type="dxa"/>
            <w:hideMark/>
          </w:tcPr>
          <w:p w:rsidR="00B53538" w:rsidRPr="00721031" w14:paraId="256FA10B" w14:textId="77777777">
            <w:pPr>
              <w:pStyle w:val="Normal6"/>
              <w:rPr>
                <w:szCs w:val="24"/>
              </w:rPr>
            </w:pPr>
            <w:r w:rsidRPr="00721031">
              <w:t>e)</w:t>
            </w:r>
            <w:r w:rsidRPr="00721031">
              <w:tab/>
              <w:t>poplatkov za všetky ostatné služby poskytované agentúrou;</w:t>
            </w:r>
          </w:p>
        </w:tc>
      </w:tr>
    </w:tbl>
    <w:p w:rsidR="00B53538" w:rsidRPr="00721031" w:rsidP="00B53538" w14:paraId="7FEADC28" w14:textId="77777777">
      <w:pPr>
        <w:pStyle w:val="Olang"/>
        <w:rPr>
          <w:sz w:val="24"/>
          <w:szCs w:val="24"/>
        </w:rPr>
      </w:pPr>
      <w:r w:rsidRPr="00721031">
        <w:rPr>
          <w:sz w:val="24"/>
          <w:szCs w:val="24"/>
        </w:rPr>
        <w:t xml:space="preserve">Or. </w:t>
      </w:r>
      <w:r w:rsidRPr="00721031">
        <w:rPr>
          <w:rStyle w:val="HideTWBExt"/>
        </w:rPr>
        <w:t>&lt;Original&gt;</w:t>
      </w:r>
      <w:r w:rsidRPr="00721031">
        <w:rPr>
          <w:rStyle w:val="HideTWBInt"/>
          <w:sz w:val="24"/>
          <w:szCs w:val="24"/>
        </w:rPr>
        <w:t>{EN}</w:t>
      </w:r>
      <w:r w:rsidRPr="00721031">
        <w:rPr>
          <w:sz w:val="24"/>
          <w:szCs w:val="24"/>
        </w:rPr>
        <w:t>en</w:t>
      </w:r>
      <w:r w:rsidRPr="00721031">
        <w:rPr>
          <w:rStyle w:val="HideTWBExt"/>
        </w:rPr>
        <w:t>&lt;/Original&gt;</w:t>
      </w:r>
    </w:p>
    <w:p w:rsidR="00BF7733" w:rsidRPr="00721031" w:rsidP="00B53538" w14:paraId="700CF0BA" w14:textId="77777777">
      <w:r w:rsidRPr="00721031">
        <w:rPr>
          <w:rStyle w:val="HideTWBExt"/>
        </w:rPr>
        <w:t>&lt;/Amend&gt;&lt;/RepeatBlock-Amend&gt;</w:t>
      </w:r>
    </w:p>
    <w:p w:rsidR="00AE5581" w:rsidRPr="00721031" w:rsidP="00BF7733" w14:paraId="3B7BF5B3" w14:textId="77777777">
      <w:pPr>
        <w:pStyle w:val="PageHeadingNotTOC"/>
      </w:pPr>
    </w:p>
    <w:sectPr w:rsidSect="00340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031" w:rsidRPr="00721031" w:rsidP="00721031" w14:paraId="0FFC1A6F" w14:textId="77777777">
    <w:pPr>
      <w:pStyle w:val="EPFooter"/>
    </w:pPr>
    <w:r w:rsidRPr="00721031">
      <w:t>PE</w:t>
    </w:r>
    <w:r w:rsidRPr="00721031">
      <w:rPr>
        <w:rStyle w:val="HideTWBExt"/>
      </w:rPr>
      <w:t>&lt;NoPE&gt;</w:t>
    </w:r>
    <w:r w:rsidRPr="00721031">
      <w:t>792.028</w:t>
    </w:r>
    <w:r w:rsidRPr="00721031">
      <w:rPr>
        <w:rStyle w:val="HideTWBExt"/>
      </w:rPr>
      <w:t>&lt;/NoPE&gt;&lt;Version&gt;</w:t>
    </w:r>
    <w:r w:rsidRPr="00721031">
      <w:t>v01-00</w:t>
    </w:r>
    <w:r w:rsidRPr="00721031">
      <w:rPr>
        <w:rStyle w:val="HideTWBExt"/>
      </w:rPr>
      <w:t>&lt;/Version&gt;</w:t>
    </w:r>
    <w:r w:rsidRPr="00721031">
      <w:tab/>
    </w:r>
    <w:r w:rsidRPr="00721031">
      <w:fldChar w:fldCharType="begin"/>
    </w:r>
    <w:r w:rsidRPr="00721031">
      <w:instrText xml:space="preserve"> PAGE  \* MERGEFORMAT </w:instrText>
    </w:r>
    <w:r w:rsidRPr="00721031">
      <w:fldChar w:fldCharType="separate"/>
    </w:r>
    <w:r w:rsidRPr="00721031">
      <w:rPr>
        <w:noProof/>
      </w:rPr>
      <w:t>2</w:t>
    </w:r>
    <w:r w:rsidRPr="00721031">
      <w:fldChar w:fldCharType="end"/>
    </w:r>
    <w:r w:rsidRPr="00721031">
      <w:t>/</w:t>
    </w:r>
    <w:r>
      <w:fldChar w:fldCharType="begin"/>
    </w:r>
    <w:r>
      <w:instrText xml:space="preserve"> NUMPAGES  \* MERGEFORMAT </w:instrText>
    </w:r>
    <w:r>
      <w:fldChar w:fldCharType="separate"/>
    </w:r>
    <w:r w:rsidRPr="00721031">
      <w:rPr>
        <w:noProof/>
      </w:rPr>
      <w:t>8</w:t>
    </w:r>
    <w:r w:rsidRPr="00721031">
      <w:rPr>
        <w:noProof/>
      </w:rPr>
      <w:fldChar w:fldCharType="end"/>
    </w:r>
    <w:r w:rsidRPr="00721031">
      <w:tab/>
    </w:r>
    <w:r w:rsidRPr="00721031">
      <w:rPr>
        <w:rStyle w:val="HideTWBExt"/>
      </w:rPr>
      <w:t>&lt;PathFdR&gt;</w:t>
    </w:r>
    <w:r w:rsidRPr="00721031">
      <w:t>PA\1350578SK.docx</w:t>
    </w:r>
    <w:r w:rsidRPr="00721031">
      <w:rPr>
        <w:rStyle w:val="HideTWBExt"/>
      </w:rPr>
      <w:t>&lt;/PathFdR&gt;</w:t>
    </w:r>
  </w:p>
  <w:p w:rsidR="002E2F2E" w:rsidRPr="00721031" w:rsidP="00721031" w14:paraId="2466CB24" w14:textId="6BA52E8C">
    <w:pPr>
      <w:pStyle w:val="EPFooter2"/>
    </w:pPr>
    <w:r w:rsidRPr="00721031">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031" w:rsidRPr="00721031" w:rsidP="00721031" w14:paraId="1C9F599E" w14:textId="77777777">
    <w:pPr>
      <w:pStyle w:val="EPFooter"/>
    </w:pPr>
    <w:r w:rsidRPr="00721031">
      <w:rPr>
        <w:rStyle w:val="HideTWBExt"/>
      </w:rPr>
      <w:t>&lt;PathFdR&gt;</w:t>
    </w:r>
    <w:r w:rsidRPr="00721031">
      <w:t>PA\1350578SK.docx</w:t>
    </w:r>
    <w:r w:rsidRPr="00721031">
      <w:rPr>
        <w:rStyle w:val="HideTWBExt"/>
      </w:rPr>
      <w:t>&lt;/PathFdR&gt;</w:t>
    </w:r>
    <w:r w:rsidRPr="00721031">
      <w:tab/>
    </w:r>
    <w:r w:rsidRPr="00721031">
      <w:fldChar w:fldCharType="begin"/>
    </w:r>
    <w:r w:rsidRPr="00721031">
      <w:instrText xml:space="preserve"> PAGE  \* MERGEFORMAT </w:instrText>
    </w:r>
    <w:r w:rsidRPr="00721031">
      <w:fldChar w:fldCharType="separate"/>
    </w:r>
    <w:r w:rsidRPr="00721031">
      <w:rPr>
        <w:noProof/>
      </w:rPr>
      <w:t>7</w:t>
    </w:r>
    <w:r w:rsidRPr="00721031">
      <w:fldChar w:fldCharType="end"/>
    </w:r>
    <w:r w:rsidRPr="00721031">
      <w:t>/</w:t>
    </w:r>
    <w:r>
      <w:fldChar w:fldCharType="begin"/>
    </w:r>
    <w:r>
      <w:instrText xml:space="preserve"> NUMPAGES  \* MERGEFORMAT </w:instrText>
    </w:r>
    <w:r>
      <w:fldChar w:fldCharType="separate"/>
    </w:r>
    <w:r w:rsidRPr="00721031">
      <w:rPr>
        <w:noProof/>
      </w:rPr>
      <w:t>8</w:t>
    </w:r>
    <w:r w:rsidRPr="00721031">
      <w:rPr>
        <w:noProof/>
      </w:rPr>
      <w:fldChar w:fldCharType="end"/>
    </w:r>
    <w:r w:rsidRPr="00721031">
      <w:tab/>
      <w:t>PE</w:t>
    </w:r>
    <w:r w:rsidRPr="00721031">
      <w:rPr>
        <w:rStyle w:val="HideTWBExt"/>
      </w:rPr>
      <w:t>&lt;NoPE&gt;</w:t>
    </w:r>
    <w:r w:rsidRPr="00721031">
      <w:t>792.028</w:t>
    </w:r>
    <w:r w:rsidRPr="00721031">
      <w:rPr>
        <w:rStyle w:val="HideTWBExt"/>
      </w:rPr>
      <w:t>&lt;/NoPE&gt;&lt;Version&gt;</w:t>
    </w:r>
    <w:r w:rsidRPr="00721031">
      <w:t>v01-00</w:t>
    </w:r>
    <w:r w:rsidRPr="00721031">
      <w:rPr>
        <w:rStyle w:val="HideTWBExt"/>
      </w:rPr>
      <w:t>&lt;/Version&gt;</w:t>
    </w:r>
  </w:p>
  <w:p w:rsidR="002E2F2E" w:rsidRPr="00721031" w:rsidP="00721031" w14:paraId="1D5FD6D8" w14:textId="77A4E5E9">
    <w:pPr>
      <w:pStyle w:val="EPFooter2"/>
    </w:pPr>
    <w:r w:rsidRPr="00721031">
      <w:tab/>
    </w:r>
    <w:r w:rsidRPr="00721031">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031" w:rsidRPr="00721031" w:rsidP="00721031" w14:paraId="147137F3" w14:textId="77777777">
    <w:pPr>
      <w:pStyle w:val="EPFooter"/>
    </w:pPr>
    <w:r w:rsidRPr="00721031">
      <w:rPr>
        <w:rStyle w:val="HideTWBExt"/>
      </w:rPr>
      <w:t>&lt;PathFdR&gt;</w:t>
    </w:r>
    <w:r w:rsidRPr="00721031">
      <w:t>PA\1350578SK.docx</w:t>
    </w:r>
    <w:r w:rsidRPr="00721031">
      <w:rPr>
        <w:rStyle w:val="HideTWBExt"/>
      </w:rPr>
      <w:t>&lt;/PathFdR&gt;</w:t>
    </w:r>
    <w:r w:rsidRPr="00721031">
      <w:tab/>
    </w:r>
    <w:r w:rsidRPr="00721031">
      <w:tab/>
      <w:t>PE</w:t>
    </w:r>
    <w:r w:rsidRPr="00721031">
      <w:rPr>
        <w:rStyle w:val="HideTWBExt"/>
      </w:rPr>
      <w:t>&lt;NoPE&gt;</w:t>
    </w:r>
    <w:r w:rsidRPr="00721031">
      <w:t>792.028</w:t>
    </w:r>
    <w:r w:rsidRPr="00721031">
      <w:rPr>
        <w:rStyle w:val="HideTWBExt"/>
      </w:rPr>
      <w:t>&lt;/NoPE&gt;&lt;Version&gt;</w:t>
    </w:r>
    <w:r w:rsidRPr="00721031">
      <w:t>v01-00</w:t>
    </w:r>
    <w:r w:rsidRPr="00721031">
      <w:rPr>
        <w:rStyle w:val="HideTWBExt"/>
      </w:rPr>
      <w:t>&lt;/Version&gt;</w:t>
    </w:r>
  </w:p>
  <w:p w:rsidR="002E2F2E" w:rsidRPr="00721031" w:rsidP="00721031" w14:paraId="48441066" w14:textId="68EBBEAB">
    <w:pPr>
      <w:pStyle w:val="EPFooter2"/>
    </w:pPr>
    <w:r w:rsidRPr="00721031">
      <w:t>SK</w:t>
    </w:r>
    <w:r w:rsidRPr="00721031">
      <w:tab/>
    </w:r>
    <w:r w:rsidRPr="00721031">
      <w:rPr>
        <w:b w:val="0"/>
        <w:i/>
        <w:color w:val="C0C0C0"/>
        <w:sz w:val="22"/>
      </w:rPr>
      <w:t>Zjednotení v rozmanitosti</w:t>
    </w:r>
    <w:r w:rsidRPr="00721031">
      <w:tab/>
      <w:t>SK</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29C" w14:paraId="2FF3B9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29C" w14:paraId="70E8A35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29C" w14:paraId="524156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15D5A54"/>
    <w:multiLevelType w:val="hybridMultilevel"/>
    <w:tmpl w:val="1A64C70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5B54E7E"/>
    <w:multiLevelType w:val="hybridMultilevel"/>
    <w:tmpl w:val="F79E15D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ED56269"/>
    <w:multiLevelType w:val="hybridMultilevel"/>
    <w:tmpl w:val="FD0432A4"/>
    <w:lvl w:ilvl="0">
      <w:start w:val="0"/>
      <w:numFmt w:val="bullet"/>
      <w:lvlText w:val="–"/>
      <w:lvlJc w:val="left"/>
      <w:pPr>
        <w:ind w:left="930" w:hanging="57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A60222C"/>
    <w:multiLevelType w:val="hybridMultilevel"/>
    <w:tmpl w:val="90DE42A8"/>
    <w:lvl w:ilvl="0">
      <w:start w:val="1"/>
      <w:numFmt w:val="decimal"/>
      <w:lvlText w:val="%1."/>
      <w:lvlJc w:val="left"/>
      <w:pPr>
        <w:ind w:left="-6" w:hanging="420"/>
      </w:pPr>
      <w:rPr>
        <w:rFonts w:hint="default"/>
      </w:rPr>
    </w:lvl>
    <w:lvl w:ilvl="1" w:tentative="1">
      <w:start w:val="1"/>
      <w:numFmt w:val="lowerLetter"/>
      <w:lvlText w:val="%2."/>
      <w:lvlJc w:val="left"/>
      <w:pPr>
        <w:ind w:left="654" w:hanging="360"/>
      </w:pPr>
    </w:lvl>
    <w:lvl w:ilvl="2" w:tentative="1">
      <w:start w:val="1"/>
      <w:numFmt w:val="lowerRoman"/>
      <w:lvlText w:val="%3."/>
      <w:lvlJc w:val="right"/>
      <w:pPr>
        <w:ind w:left="1374" w:hanging="180"/>
      </w:pPr>
    </w:lvl>
    <w:lvl w:ilvl="3" w:tentative="1">
      <w:start w:val="1"/>
      <w:numFmt w:val="decimal"/>
      <w:lvlText w:val="%4."/>
      <w:lvlJc w:val="left"/>
      <w:pPr>
        <w:ind w:left="2094" w:hanging="360"/>
      </w:pPr>
    </w:lvl>
    <w:lvl w:ilvl="4" w:tentative="1">
      <w:start w:val="1"/>
      <w:numFmt w:val="lowerLetter"/>
      <w:lvlText w:val="%5."/>
      <w:lvlJc w:val="left"/>
      <w:pPr>
        <w:ind w:left="2814" w:hanging="360"/>
      </w:pPr>
    </w:lvl>
    <w:lvl w:ilvl="5" w:tentative="1">
      <w:start w:val="1"/>
      <w:numFmt w:val="lowerRoman"/>
      <w:lvlText w:val="%6."/>
      <w:lvlJc w:val="right"/>
      <w:pPr>
        <w:ind w:left="3534" w:hanging="180"/>
      </w:pPr>
    </w:lvl>
    <w:lvl w:ilvl="6" w:tentative="1">
      <w:start w:val="1"/>
      <w:numFmt w:val="decimal"/>
      <w:lvlText w:val="%7."/>
      <w:lvlJc w:val="left"/>
      <w:pPr>
        <w:ind w:left="4254" w:hanging="360"/>
      </w:pPr>
    </w:lvl>
    <w:lvl w:ilvl="7" w:tentative="1">
      <w:start w:val="1"/>
      <w:numFmt w:val="lowerLetter"/>
      <w:lvlText w:val="%8."/>
      <w:lvlJc w:val="left"/>
      <w:pPr>
        <w:ind w:left="4974" w:hanging="360"/>
      </w:pPr>
    </w:lvl>
    <w:lvl w:ilvl="8" w:tentative="1">
      <w:start w:val="1"/>
      <w:numFmt w:val="lowerRoman"/>
      <w:lvlText w:val="%9."/>
      <w:lvlJc w:val="right"/>
      <w:pPr>
        <w:ind w:left="5694" w:hanging="180"/>
      </w:pPr>
    </w:lvl>
  </w:abstractNum>
  <w:abstractNum w:abstractNumId="14">
    <w:nsid w:val="45E641C4"/>
    <w:multiLevelType w:val="hybridMultilevel"/>
    <w:tmpl w:val="A1F6D0B6"/>
    <w:lvl w:ilvl="0">
      <w:start w:val="1"/>
      <w:numFmt w:val="upperLetter"/>
      <w:lvlText w:val="%1."/>
      <w:lvlJc w:val="left"/>
      <w:pPr>
        <w:ind w:left="930" w:hanging="570"/>
      </w:pPr>
      <w:rPr>
        <w:rFonts w:ascii="Times New Roman" w:hAnsi="Times New Roman" w:hint="default"/>
        <w:color w:val="auto"/>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4016129"/>
    <w:multiLevelType w:val="hybridMultilevel"/>
    <w:tmpl w:val="6FC072A8"/>
    <w:lvl w:ilvl="0">
      <w:start w:val="1"/>
      <w:numFmt w:val="upperLetter"/>
      <w:lvlText w:val="%1."/>
      <w:lvlJc w:val="left"/>
      <w:pPr>
        <w:ind w:left="720" w:hanging="360"/>
      </w:pPr>
      <w:rPr>
        <w:rFonts w:ascii="Times New Roman" w:hAnsi="Times New Roman" w:hint="default"/>
        <w:color w:val="auto"/>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5167EFC"/>
    <w:multiLevelType w:val="hybridMultilevel"/>
    <w:tmpl w:val="31DE9A86"/>
    <w:lvl w:ilvl="0">
      <w:start w:val="1"/>
      <w:numFmt w:val="upperLetter"/>
      <w:lvlText w:val="%1."/>
      <w:lvlJc w:val="left"/>
      <w:pPr>
        <w:ind w:left="854" w:hanging="570"/>
      </w:pPr>
      <w:rPr>
        <w:rFonts w:ascii="Times New Roman" w:hAnsi="Times New Roman" w:hint="default"/>
        <w:color w:val="auto"/>
        <w:sz w:val="24"/>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7">
    <w:nsid w:val="6CCA52E6"/>
    <w:multiLevelType w:val="hybridMultilevel"/>
    <w:tmpl w:val="E482EF26"/>
    <w:lvl w:ilvl="0">
      <w:start w:val="1"/>
      <w:numFmt w:val="upperLetter"/>
      <w:lvlText w:val="%1."/>
      <w:lvlJc w:val="left"/>
      <w:pPr>
        <w:ind w:left="720" w:hanging="360"/>
      </w:pPr>
      <w:rPr>
        <w:rFonts w:ascii="Times New Roman" w:hAnsi="Times New Roman" w:hint="default"/>
        <w:color w:val="auto"/>
        <w:sz w:val="24"/>
      </w:rPr>
    </w:lvl>
    <w:lvl w:ilvl="1">
      <w:start w:val="1"/>
      <w:numFmt w:val="decimal"/>
      <w:lvlText w:val="%2."/>
      <w:lvlJc w:val="left"/>
      <w:pPr>
        <w:ind w:left="1650" w:hanging="57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0E840E6"/>
    <w:multiLevelType w:val="hybridMultilevel"/>
    <w:tmpl w:val="7548ACF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6"/>
  </w:num>
  <w:num w:numId="42">
    <w:abstractNumId w:val="11"/>
  </w:num>
  <w:num w:numId="43">
    <w:abstractNumId w:val="12"/>
  </w:num>
  <w:num w:numId="44">
    <w:abstractNumId w:val="13"/>
  </w:num>
  <w:num w:numId="45">
    <w:abstractNumId w:val="17"/>
  </w:num>
  <w:num w:numId="46">
    <w:abstractNumId w:val="18"/>
  </w:num>
  <w:num w:numId="47">
    <w:abstractNumId w:val="10"/>
  </w:num>
  <w:num w:numId="48">
    <w:abstractNumId w:val="15"/>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84"/>
    <w:rsid w:val="00006F54"/>
    <w:rsid w:val="00007C5D"/>
    <w:rsid w:val="0003367A"/>
    <w:rsid w:val="00043DAE"/>
    <w:rsid w:val="00086612"/>
    <w:rsid w:val="000E7EBF"/>
    <w:rsid w:val="00124F60"/>
    <w:rsid w:val="00135121"/>
    <w:rsid w:val="00140BE6"/>
    <w:rsid w:val="001449F5"/>
    <w:rsid w:val="00147F4E"/>
    <w:rsid w:val="001529E0"/>
    <w:rsid w:val="0016635E"/>
    <w:rsid w:val="00173215"/>
    <w:rsid w:val="001746D0"/>
    <w:rsid w:val="001749E3"/>
    <w:rsid w:val="001828EB"/>
    <w:rsid w:val="001B7393"/>
    <w:rsid w:val="001D2ED9"/>
    <w:rsid w:val="001E42AF"/>
    <w:rsid w:val="001F21C1"/>
    <w:rsid w:val="00200C99"/>
    <w:rsid w:val="00242493"/>
    <w:rsid w:val="002512CB"/>
    <w:rsid w:val="002D28A7"/>
    <w:rsid w:val="002E2F2E"/>
    <w:rsid w:val="002E4AA3"/>
    <w:rsid w:val="002E6F98"/>
    <w:rsid w:val="00324454"/>
    <w:rsid w:val="00325BCB"/>
    <w:rsid w:val="00326F53"/>
    <w:rsid w:val="00331944"/>
    <w:rsid w:val="00332AD9"/>
    <w:rsid w:val="003402B9"/>
    <w:rsid w:val="00347D2C"/>
    <w:rsid w:val="00362463"/>
    <w:rsid w:val="00367A50"/>
    <w:rsid w:val="0037101F"/>
    <w:rsid w:val="00372F25"/>
    <w:rsid w:val="0037356F"/>
    <w:rsid w:val="00390EB2"/>
    <w:rsid w:val="00391AC1"/>
    <w:rsid w:val="00396A0E"/>
    <w:rsid w:val="003D29C0"/>
    <w:rsid w:val="003E2402"/>
    <w:rsid w:val="003F5AA3"/>
    <w:rsid w:val="004109DB"/>
    <w:rsid w:val="00450A7E"/>
    <w:rsid w:val="004667D1"/>
    <w:rsid w:val="00485C5C"/>
    <w:rsid w:val="004B6E56"/>
    <w:rsid w:val="004C28FB"/>
    <w:rsid w:val="004C44C0"/>
    <w:rsid w:val="004E0B76"/>
    <w:rsid w:val="0052544E"/>
    <w:rsid w:val="0054321E"/>
    <w:rsid w:val="00545A3A"/>
    <w:rsid w:val="0058035C"/>
    <w:rsid w:val="005940C3"/>
    <w:rsid w:val="00594C48"/>
    <w:rsid w:val="005B029C"/>
    <w:rsid w:val="005B2F11"/>
    <w:rsid w:val="005C0BDF"/>
    <w:rsid w:val="005D60C6"/>
    <w:rsid w:val="005D6788"/>
    <w:rsid w:val="006102E7"/>
    <w:rsid w:val="00640C1B"/>
    <w:rsid w:val="00657AFB"/>
    <w:rsid w:val="00685809"/>
    <w:rsid w:val="006D5BF7"/>
    <w:rsid w:val="00721031"/>
    <w:rsid w:val="00757C4C"/>
    <w:rsid w:val="007638D0"/>
    <w:rsid w:val="007B5CC7"/>
    <w:rsid w:val="00802F10"/>
    <w:rsid w:val="00825069"/>
    <w:rsid w:val="008313E7"/>
    <w:rsid w:val="008456FD"/>
    <w:rsid w:val="00852263"/>
    <w:rsid w:val="00854CAC"/>
    <w:rsid w:val="00855E52"/>
    <w:rsid w:val="00873BF3"/>
    <w:rsid w:val="008A32C5"/>
    <w:rsid w:val="008C6203"/>
    <w:rsid w:val="008D61E7"/>
    <w:rsid w:val="008E2BE3"/>
    <w:rsid w:val="008F33FC"/>
    <w:rsid w:val="008F7002"/>
    <w:rsid w:val="00940119"/>
    <w:rsid w:val="009626A8"/>
    <w:rsid w:val="0099493F"/>
    <w:rsid w:val="00A16BEA"/>
    <w:rsid w:val="00A312B3"/>
    <w:rsid w:val="00A403F4"/>
    <w:rsid w:val="00A47E2F"/>
    <w:rsid w:val="00A56164"/>
    <w:rsid w:val="00A72C35"/>
    <w:rsid w:val="00AB5733"/>
    <w:rsid w:val="00AC5AAD"/>
    <w:rsid w:val="00AD1096"/>
    <w:rsid w:val="00AD1695"/>
    <w:rsid w:val="00AD2907"/>
    <w:rsid w:val="00AE180F"/>
    <w:rsid w:val="00AE5581"/>
    <w:rsid w:val="00AE79AF"/>
    <w:rsid w:val="00B362F7"/>
    <w:rsid w:val="00B53538"/>
    <w:rsid w:val="00B5456B"/>
    <w:rsid w:val="00B74B53"/>
    <w:rsid w:val="00B87A93"/>
    <w:rsid w:val="00B87BB2"/>
    <w:rsid w:val="00BC26E4"/>
    <w:rsid w:val="00BD1EAA"/>
    <w:rsid w:val="00BD5F31"/>
    <w:rsid w:val="00BF0AFC"/>
    <w:rsid w:val="00BF6786"/>
    <w:rsid w:val="00BF7733"/>
    <w:rsid w:val="00C10369"/>
    <w:rsid w:val="00C47A4A"/>
    <w:rsid w:val="00C52739"/>
    <w:rsid w:val="00C827FF"/>
    <w:rsid w:val="00C8553D"/>
    <w:rsid w:val="00C85D0F"/>
    <w:rsid w:val="00CA6B84"/>
    <w:rsid w:val="00CD34AC"/>
    <w:rsid w:val="00CD4402"/>
    <w:rsid w:val="00CE5D36"/>
    <w:rsid w:val="00CE6558"/>
    <w:rsid w:val="00D006EE"/>
    <w:rsid w:val="00D06264"/>
    <w:rsid w:val="00D24483"/>
    <w:rsid w:val="00D24BA0"/>
    <w:rsid w:val="00D3133E"/>
    <w:rsid w:val="00D318E7"/>
    <w:rsid w:val="00D7202C"/>
    <w:rsid w:val="00D8432D"/>
    <w:rsid w:val="00DC4F54"/>
    <w:rsid w:val="00DE19FF"/>
    <w:rsid w:val="00E12993"/>
    <w:rsid w:val="00E81BA6"/>
    <w:rsid w:val="00E856D2"/>
    <w:rsid w:val="00E929A7"/>
    <w:rsid w:val="00EB52FA"/>
    <w:rsid w:val="00EB761F"/>
    <w:rsid w:val="00F531B6"/>
    <w:rsid w:val="00F61A2E"/>
    <w:rsid w:val="00F63A6B"/>
    <w:rsid w:val="00F93D08"/>
    <w:rsid w:val="00FC228C"/>
    <w:rsid w:val="00FC42F1"/>
    <w:rsid w:val="00FC6460"/>
    <w:rsid w:val="00FD0D14"/>
    <w:rsid w:val="00FD4BC4"/>
    <w:rsid w:val="00FE24DE"/>
    <w:rsid w:val="00FF4B50"/>
    <w:rsid w:val="00FF5C54"/>
  </w:rsids>
  <w:docVars>
    <w:docVar w:name="AMPLURMNU" w:val=" 2"/>
    <w:docVar w:name="CJMNU" w:val="1"/>
    <w:docVar w:name="CODEMNU" w:val=" 3"/>
    <w:docVar w:name="COM2KEY" w:val="ITRE"/>
    <w:docVar w:name="COMKEY" w:val="BUDG"/>
    <w:docVar w:name="CopyToNetwork" w:val="-1"/>
    <w:docVar w:name="DOCDT" w:val="10/09/2026"/>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650406 HideTWBExt;}{\*\cs18 \additive \v\f1\fs20\cf15 &#13;_x000a_\spriority0 \styrsid16650406 HideTWBInt;}{\s19\ql \li0\ri0\nowidctlpar\wrapdefault\aspalpha\aspnum\faauto\adjustright\rin0\lin0\itap0 \rtlch\fcs1 \af0\afs20\alang1025 \ltrch\fcs0 \b\fs24\lang2057\langfe2057\cgrid\langnp2057\langfenp2057 &#13;_x000a_\sbasedon0 \snext19 \spriority0 \styrsid16650406 NormalBold;}{\s20\qr \li0\ri0\sb240\sa240\nowidctlpar\wrapdefault\aspalpha\aspnum\faauto\adjustright\rin0\lin0\itap0 \rtlch\fcs1 \af0\afs20\alang1025 \ltrch\fcs0 &#13;_x000a_\fs24\lang2057\langfe2057\cgrid\langnp2057\langfenp2057 \sbasedon0 \snext20 \spriority0 \styrsid16650406 AmOrLang;}{\s21\ql \li0\ri0\sa120\nowidctlpar\wrapdefault\aspalpha\aspnum\faauto\adjustright\rin0\lin0\itap0 \rtlch\fcs1 \af0\afs20\alang1025 &#13;_x000a_\ltrch\fcs0 \fs24\lang2057\langfe2057\cgrid\langnp2057\langfenp2057 \sbasedon0 \snext21 \spriority0 \styrsid16650406 Normal6a;}{\s22\qc \li0\ri0\sa240\nowidctlpar\wrapdefault\aspalpha\aspnum\faauto\adjustright\rin0\lin0\itap0 \rtlch\fcs1 &#13;_x000a_\af0\afs20\alang1025 \ltrch\fcs0 \i\fs24\lang2057\langfe2057\cgrid\langnp2057\langfenp2057 \sbasedon0 \snext22 \spriority0 \styrsid1665040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6650406 AmNumberTabs;}{\s24\ql \li0\ri0\sa240\nowidctlpar\wrapdefault\aspalpha\aspnum\faauto\adjustright\rin0\lin0\itap0 \rtlch\fcs1 &#13;_x000a_\af0\afs20\alang1025 \ltrch\fcs0 \i\fs24\lang2057\langfe2057\cgrid\langnp2057\langfenp2057 \sbasedon0 \snext24 \spriority0 \styrsid16650406 AmJustText;}{&#13;_x000a_\s25\qc \li0\ri0\sb240\sa240\nowidctlpar\wrapdefault\aspalpha\aspnum\faauto\adjustright\rin0\lin0\itap0 \rtlch\fcs1 \af0\afs20\alang1025 \ltrch\fcs0 \i\fs24\lang2057\langfe2057\cgrid\langnp2057\langfenp2057 &#13;_x000a_\sbasedon0 \snext25 \spriority0 \styrsid16650406 AmCrossRef;}{\s26\qc \li0\ri0\sb240\sa240\keepn\nowidctlpar\wrapdefault\aspalpha\aspnum\faauto\adjustright\rin0\lin0\itap0 \rtlch\fcs1 \af0\afs20\alang1025 \ltrch\fcs0 &#13;_x000a_\i\fs24\lang2057\langfe2057\cgrid\langnp2057\langfenp2057 \sbasedon0 \snext24 \spriority0 \styrsid16650406 AmJustTitle;}{\s27\ql \li0\ri0\sb240\nowidctlpar\wrapdefault\aspalpha\aspnum\faauto\adjustright\rin0\lin0\itap0 \rtlch\fcs1 \af0\afs20\alang1025 &#13;_x000a_\ltrch\fcs0 \b\fs24\lang2057\langfe2057\cgrid\langnp2057\langfenp2057 \sbasedon0 \snext27 \spriority0 \styrsid16650406 NormalBold12b;}}{\*\rsidtbl \rsid24658\rsid223860\rsid735077\rsid1718133\rsid2892074\rsid3565327\rsid4666813\rsid6641733\rsid7823322&#13;_x000a_\rsid9636012\rsid10377208\rsid11215221\rsid11549030\rsid12154954\rsid14382809\rsid14424199\rsid15204470\rsid15285974\rsid15950462\rsid16010413\rsid16324206\rsid16650406\rsid16662270\rsid16735316}{\mmathPr\mmathFont34\mbrkBin0\mbrkBinSub0\msmallFrac0&#13;_x000a_\mdispDef1\mlMargin0\mrMargin0\mdefJc1\mwrapIndent1440\mintLim0\mnaryLim1}{\info{\author HOPPE Nina}{\operator HOPPE Nina}{\creatim\yr2026\mo9\dy10\hr11\min51}{\revtim\yr2026\mo9\dy10\hr11\min51}{\version1}{\edmins0}{\nofpages1}{\nofwords115}&#13;_x000a_{\nofchars656}{\nofcharsws77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650406\newtblstyruls\nogrowautofit\usenormstyforlist\noindnmbrts\felnbrelev\nocxsptable\indrlsweleven\noafcnsttbl\afelev\utinl\hwelev\spltpgpar\notcvasp\notbrkcnstfrctbl\notvatxbx\krnprsnet\cachedcolbal &#13;_x000a_\nouicompat \fet0{\*\wgrffmtfilter 013f}\nofeaturethrottle1\ilfomacatclnup0{\*\template C:\\Users\\nhoppe\\AppData\\Local\\Temp\\Blank1.dotx}{\*\ftnsep \ltrpar \pard\plain \ltrpar&#13;_x000a_\ql \li0\ri0\widctlpar\wrapdefault\aspalpha\aspnum\faauto\adjustright\rin0\lin0\itap0 \rtlch\fcs1 \af0\afs20\alang1025 \ltrch\fcs0 \fs24\lang2057\langfe2057\cgrid\langnp2057\langfenp2057 {\rtlch\fcs1 \af0 \ltrch\fcs0 \insrsid16010413 \chftnsep &#13;_x000a_\par }}{\*\ftnsepc \ltrpar \pard\plain \ltrpar\ql \li0\ri0\widctlpar\wrapdefault\aspalpha\aspnum\faauto\adjustright\rin0\lin0\itap0 \rtlch\fcs1 \af0\afs20\alang1025 \ltrch\fcs0 \fs24\lang2057\langfe2057\cgrid\langnp2057\langfenp2057 {\rtlch\fcs1 \af0 &#13;_x000a_\ltrch\fcs0 \insrsid16010413 \chftnsepc &#13;_x000a_\par }}{\*\aftnsep \ltrpar \pard\plain \ltrpar\ql \li0\ri0\widctlpar\wrapdefault\aspalpha\aspnum\faauto\adjustright\rin0\lin0\itap0 \rtlch\fcs1 \af0\afs20\alang1025 \ltrch\fcs0 \fs24\lang2057\langfe2057\cgrid\langnp2057\langfenp2057 {\rtlch\fcs1 \af0 &#13;_x000a_\ltrch\fcs0 \insrsid16010413 \chftnsep &#13;_x000a_\par }}{\*\aftnsepc \ltrpar \pard\plain \ltrpar\ql \li0\ri0\widctlpar\wrapdefault\aspalpha\aspnum\faauto\adjustright\rin0\lin0\itap0 \rtlch\fcs1 \af0\afs20\alang1025 \ltrch\fcs0 \fs24\lang2057\langfe2057\cgrid\langnp2057\langfenp2057 {\rtlch\fcs1 \af0 &#13;_x000a_\ltrch\fcs0 \insrsid1601041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6650406 \rtlch\fcs1 &#13;_x000a_\af0\afs20\alang1025 \ltrch\fcs0 \b\fs24\lang2057\langfe2057\cgrid\langnp2057\langfenp2057 {\rtlch\fcs1 \af0 \ltrch\fcs0 \cs17\b0\v\fs20\cf9\lang1024\langfe1024\loch\af1\hich\af1\dbch\af31501\noproof\insrsid16650406\charrsid13265796 {\*\bkmkstart restart}&#13;_x000a_\hich\af1\dbch\af31501\loch\f1 &lt;Amend&gt;}{\rtlch\fcs1 \af0 \ltrch\fcs0 \insrsid16650406\charrsid13265796 Amendment\tab \tab }{\rtlch\fcs1 \af0 \ltrch\fcs0 &#13;_x000a_\cs17\b0\v\fs20\cf9\lang1024\langfe1024\loch\af1\hich\af1\dbch\af31501\noproof\insrsid16650406\charrsid13265796 \hich\af1\dbch\af31501\loch\f1 &lt;NumAm&gt;}{\rtlch\fcs1 \af0 \ltrch\fcs0 \insrsid16650406\charrsid13265796 #}{\rtlch\fcs1 \af0 \ltrch\fcs0 &#13;_x000a_\cs18\v\f1\fs20\cf15\insrsid16650406\charrsid13265796 ENMIENDA@NRAM@}{\rtlch\fcs1 \af0 \ltrch\fcs0 \insrsid16650406\charrsid13265796 #}{\rtlch\fcs1 \af0 \ltrch\fcs0 &#13;_x000a_\cs17\b0\v\fs20\cf9\lang1024\langfe1024\loch\af1\hich\af1\dbch\af31501\noproof\insrsid16650406\charrsid13265796 \hich\af1\dbch\af31501\loch\f1 &lt;/NumAm&gt;}{\rtlch\fcs1 \af0 \ltrch\fcs0 \insrsid16650406\charrsid13265796 &#13;_x000a_\par }\pard\plain \ltrpar\s27\ql \li0\ri0\sb240\keepn\nowidctlpar\wrapdefault\aspalpha\aspnum\faauto\adjustright\rin0\lin0\itap0\pararsid16650406 \rtlch\fcs1 \af0\afs20\alang1025 \ltrch\fcs0 \b\fs24\lang2057\langfe2057\cgrid\langnp2057\langfenp2057 {&#13;_x000a_\rtlch\fcs1 \af0 \ltrch\fcs0 \cs17\b0\v\fs20\cf9\lang1024\langfe1024\loch\af1\hich\af1\dbch\af31501\noproof\insrsid16650406\charrsid13265796 \hich\af1\dbch\af31501\loch\f1 &lt;DocAmend&gt;}{\rtlch\fcs1 \af0 \ltrch\fcs0 \insrsid16650406\charrsid13265796 #}{&#13;_x000a_\rtlch\fcs1 \af0 \ltrch\fcs0 \cs18\v\f1\fs20\cf15\insrsid16650406\charrsid13265796 MNU[PROPCOM][PROPCOUNC]@CHOICE@TITLEMNU}{\rtlch\fcs1 \af0 \ltrch\fcs0 \insrsid16650406\charrsid13265796 ##}{\rtlch\fcs1 \af0 \ltrch\fcs0 &#13;_x000a_\cs18\v\f1\fs20\cf15\insrsid16650406\charrsid13265796 MNU[AMACTYES][NOTAPP]@CHOICE@AMACTMNU}{\rtlch\fcs1 \af0 \ltrch\fcs0 \insrsid16650406\charrsid13265796 #}{\rtlch\fcs1 \af0 \ltrch\fcs0 &#13;_x000a_\cs17\b0\v\fs20\cf9\lang1024\langfe1024\loch\af1\hich\af1\dbch\af31501\noproof\insrsid16650406\charrsid13265796 \hich\af1\dbch\af31501\loch\f1 &lt;/DocAmend&gt;}{\rtlch\fcs1 \af0 \ltrch\fcs0 \insrsid16650406\charrsid13265796 &#13;_x000a_\par }\pard\plain \ltrpar\s19\ql \li0\ri0\nowidctlpar\wrapdefault\aspalpha\aspnum\faauto\adjustright\rin0\lin0\itap0\pararsid16650406 \rtlch\fcs1 \af0\afs20\alang1025 \ltrch\fcs0 \b\fs24\lang2057\langfe2057\cgrid\langnp2057\langfenp2057 {\rtlch\fcs1 \af0 &#13;_x000a_\ltrch\fcs0 \cs17\b0\v\fs20\cf9\lang1024\langfe1024\loch\af1\hich\af1\dbch\af31501\noproof\insrsid16650406\charrsid13265796 \hich\af1\dbch\af31501\loch\f1 &lt;Article&gt;}{\rtlch\fcs1 \af0 \ltrch\fcs0 \insrsid16650406\charrsid13265796 #}{\rtlch\fcs1 \af0 &#13;_x000a_\ltrch\fcs0 \cs18\v\f1\fs20\cf15\insrsid16650406\charrsid13265796 MNU[AMACTPARTYES][AMACTPARTNO]@CHOICE@AMACTMNU}{\rtlch\fcs1 \af0 \ltrch\fcs0 \insrsid16650406\charrsid13265796 #}{\rtlch\fcs1 \af0 \ltrch\fcs0 &#13;_x000a_\cs17\b0\v\fs20\cf9\lang1024\langfe1024\loch\af1\hich\af1\dbch\af31501\noproof\insrsid16650406\charrsid13265796 \hich\af1\dbch\af31501\loch\f1 &lt;/Article&gt;}{\rtlch\fcs1 \af0 \ltrch\fcs0 \insrsid16650406\charrsid13265796 &#13;_x000a_\par }\pard\plain \ltrpar\ql \li0\ri0\keepn\widctlpar\wrapdefault\aspalpha\aspnum\faauto\adjustright\rin0\lin0\itap0\pararsid16650406 \rtlch\fcs1 \af0\afs20\alang1025 \ltrch\fcs0 \fs24\lang2057\langfe2057\cgrid\langnp2057\langfenp2057 {\rtlch\fcs1 \af0 &#13;_x000a_\ltrch\fcs0 \cs17\v\fs20\cf9\lang1024\langfe1024\loch\af1\hich\af1\dbch\af31501\noproof\insrsid16650406\charrsid13265796 \hich\af1\dbch\af31501\loch\f1 &lt;DocAmend2&gt;&lt;OptDel&gt;}{\rtlch\fcs1 \af0 \ltrch\fcs0 \insrsid16650406\charrsid13265796 #}{\rtlch\fcs1 &#13;_x000a_\af0 \ltrch\fcs0 \cs18\v\f1\fs20\cf15\insrsid16650406\charrsid13265796 MNU[OPTNRACTYES][NOTAPP]@CHOICE@AMACTMNU}{\rtlch\fcs1 \af0 \ltrch\fcs0 \insrsid16650406\charrsid13265796 #}{\rtlch\fcs1 \af0 \ltrch\fcs0 &#13;_x000a_\cs17\v\fs20\cf9\lang1024\langfe1024\loch\af1\hich\af1\dbch\af31501\noproof\insrsid16650406\charrsid13265796 \hich\af1\dbch\af31501\loch\f1 &lt;/OptDel&gt;&lt;/DocAmend2&gt;}{\rtlch\fcs1 \af0 \ltrch\fcs0 \insrsid16650406\charrsid13265796 &#13;_x000a_\par }\pard \ltrpar\ql \li0\ri0\widctlpar\wrapdefault\aspalpha\aspnum\faauto\adjustright\rin0\lin0\itap0\pararsid16650406 {\rtlch\fcs1 \af0 \ltrch\fcs0 &#13;_x000a_\cs17\v\fs20\cf9\lang1024\langfe1024\loch\af1\hich\af1\dbch\af31501\noproof\insrsid16650406\charrsid13265796 \hich\af1\dbch\af31501\loch\f1 &lt;Article2&gt;&lt;OptDel&gt;}{\rtlch\fcs1 \af0 \ltrch\fcs0 \insrsid16650406\charrsid13265796 #}{\rtlch\fcs1 \af0 \ltrch\fcs0 &#13;_x000a_\cs18\v\f1\fs20\cf15\insrsid16650406\charrsid13265796 MNU[OPTACTPARTYES][NOTAPP]@CHOICE@AMACTMNU}{\rtlch\fcs1 \af0 \ltrch\fcs0 \insrsid16650406\charrsid13265796 #}{\rtlch\fcs1 \af0 \ltrch\fcs0 &#13;_x000a_\cs17\v\fs20\cf9\lang1024\langfe1024\loch\af1\hich\af1\dbch\af31501\noproof\insrsid16650406\charrsid13265796 \hich\af1\dbch\af31501\loch\f1 &lt;/OptDel&gt;&lt;/Article2&gt;}{\rtlch\fcs1 \af0 \ltrch\fcs0 \insrsid16650406\charrsid13265796 &#13;_x000a_\par \ltrrow}\trowd \ltrrow\ts11\trqc\trgaph340\trleft0\trftsWidth3\trftsWidthB3\trpaddl340\trpaddr340\trpaddfl3\trpaddft3\trpaddfb3\trpaddfr3\tblrsid11085200\tbllkhdrrows\tbllkhdrcols\tbllknocolband\tblind0\tblindtype3 \clvertalt\clbrdrt\brdrtbl \clbrdrl&#13;_x000a_\brdrtbl \clbrdrb\brdrtbl \clbrdrr\brdrtbl \cltxlrtb\clftsWidth3\clwWidth9752\clshdrawnil \cellx9752\pard\plain \ltrpar\ql \li0\ri0\keepn\widctlpar\intbl\wrapdefault\aspalpha\aspnum\faauto\adjustright\rin0\lin0\pararsid11085200 \rtlch\fcs1 &#13;_x000a_\af0\afs20\alang1025 \ltrch\fcs0 \fs24\lang2057\langfe2057\cgrid\langnp2057\langfenp2057 {\rtlch\fcs1 \af0 \ltrch\fcs0 \insrsid16650406\charrsid13265796 \cell }\pard\plain \ltrpar&#13;_x000a_\ql \li0\ri0\widctlpar\intbl\wrapdefault\aspalpha\aspnum\faauto\adjustright\rin0\lin0 \rtlch\fcs1 \af0\afs20\alang1025 \ltrch\fcs0 \fs24\lang2057\langfe2057\cgrid\langnp2057\langfenp2057 {\rtlch\fcs1 \af0 \ltrch\fcs0 \insrsid16650406\charrsid13265796 &#13;_x000a_\trowd \ltrrow\ts11\trqc\trgaph340\trleft0\trftsWidth3\trftsWidthB3\trpaddl340\trpaddr340\trpaddfl3\trpaddft3\trpaddfb3\trpaddfr3\tblrsid11085200\tbllkhdrrows\tbllkhdrcols\tbllknocolband\tblind0\tblindtype3 \clvertalt\clbrdrt\brdrtbl \clbrdrl\brdrtbl &#13;_x000a_\clbrdrb\brdrtbl \clbrdrr\brdrtbl \cltxlrtb\clftsWidth3\clwWidth9752\clshdrawnil \cellx9752\row \ltrrow}\trowd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pard\plain \ltrpar&#13;_x000a_\s22\qc \li0\ri0\sa240\keepn\nowidctlpar\intbl\wrapdefault\aspalpha\aspnum\faauto\adjustright\rin0\lin0\pararsid11085200 \rtlch\fcs1 \af0\afs20\alang1025 \ltrch\fcs0 \i\fs24\lang2057\langfe2057\cgrid\langnp2057\langfenp2057 {\rtlch\fcs1 \af0 \ltrch\fcs0 &#13;_x000a_\insrsid16650406\charrsid13265796 #}{\rtlch\fcs1 \af0 \ltrch\fcs0 \cs18\v\f1\fs20\cf15\insrsid16650406\charrsid13265796 MNU[OPTLEFTAMACT][LEFTPROP]@CHOICE@AMACTMNU}{\rtlch\fcs1 \af0 \ltrch\fcs0 \insrsid16650406\charrsid13265796 #\cell Amendment\cell &#13;_x000a_}\pard\plain \ltrpar\ql \li0\ri0\widctlpar\intbl\wrapdefault\aspalpha\aspnum\faauto\adjustright\rin0\lin0 \rtlch\fcs1 \af0\afs20\alang1025 \ltrch\fcs0 \fs24\lang2057\langfe2057\cgrid\langnp2057\langfenp2057 {\rtlch\fcs1 \af0 \ltrch\fcs0 &#13;_x000a_\insrsid16650406\charrsid13265796 \trowd \ltrrow\ts11\trqc\trgaph340\trleft0\trftsWidth3\trftsWidthB3\trpaddl340\trpaddr340\trpaddfl3\trpaddft3\trpaddfb3\trpaddfr3\tblrsid11085200\tbllkhdrrows\tbllkhdrcols\tbllknocolband\tblind0\tblindtype3 \clvertalt&#13;_x000a_\clbrdrt\brdrtbl \clbrdrl\brdrtbl \clbrdrb\brdrtbl \clbrdrr\brdrtbl \cltxlrtb\clftsWidth3\clwWidth4876\clshdrawnil\clhidemark \cellx4876\clvertalt\clbrdrt\brdrtbl \clbrdrl\brdrtbl \clbrdrb\brdrtbl \clbrdrr\brdrtbl &#13;_x000a_\cltxlrtb\clftsWidth3\clwWidth4876\clshdrawnil\clhidemark \cellx9752\row \ltrrow}\pard\plain \ltrpar\s21\ql \li0\ri0\sa120\nowidctlpar\intbl\wrapdefault\aspalpha\aspnum\faauto\adjustright\rin0\lin0\pararsid11085200 \rtlch\fcs1 \af0\afs20\alang1025 &#13;_x000a_\ltrch\fcs0 \fs24\lang2057\langfe2057\cgrid\langnp2057\langfenp2057 {\rtlch\fcs1 \af0 \ltrch\fcs0 \insrsid16650406\charrsid13265796 #}{\rtlch\fcs1 \af0 \ltrch\fcs0 \cs18\v\f1\fs20\cf15\insrsid16650406\charrsid13265796 &#13;_x000a_MNU[TEXTLEVA][TEXTLOTHER]@CHOICE@TEXTRMNU}{\rtlch\fcs1 \af0 \ltrch\fcs0 \insrsid16650406\charrsid13265796 #\cell #}{\rtlch\fcs1 \af0 \ltrch\fcs0 \cs18\v\f1\fs20\cf15\insrsid16650406\charrsid13265796 MNU[TEXTREVA][TEXTROTHER]@CHOICE@TEXTRMNU}{\rtlch\fcs1 &#13;_x000a_\af0 \ltrch\fcs0 \insrsid16650406\charrsid13265796 #\cell }\pard\plain \ltrpar\ql \li0\ri0\widctlpar\intbl\wrapdefault\aspalpha\aspnum\faauto\adjustright\rin0\lin0 \rtlch\fcs1 \af0\afs20\alang1025 \ltrch\fcs0 &#13;_x000a_\fs24\lang2057\langfe2057\cgrid\langnp2057\langfenp2057 {\rtlch\fcs1 \af0 \ltrch\fcs0 \insrsid16650406\charrsid13265796 \trowd \lastrow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13;_x000a_}\pard\plain \ltrpar\s20\qr \li0\ri0\sb240\sa240\nowidctlpar\wrapdefault\aspalpha\aspnum\faauto\adjustright\rin0\lin0\itap0\pararsid16650406 \rtlch\fcs1 \af0\afs20\alang1025 \ltrch\fcs0 \fs24\lang2057\langfe2057\cgrid\langnp2057\langfenp2057 {\rtlch\fcs1 &#13;_x000a_\af0 \ltrch\fcs0 \insrsid16650406\charrsid13265796 Or. }{\rtlch\fcs1 \af0 \ltrch\fcs0 \cs17\v\fs20\cf9\lang1024\langfe1024\loch\af1\hich\af1\dbch\af31501\noproof\insrsid16650406\charrsid13265796 \hich\af1\dbch\af31501\loch\f1 &lt;Original&gt;}{\rtlch\fcs1 \af0 &#13;_x000a_\ltrch\fcs0 \insrsid16650406\charrsid13265796 #}{\rtlch\fcs1 \af0 \ltrch\fcs0 \cs18\v\f1\fs20\cf15\insrsid16650406\charrsid13265796 MNU[ORLANGONE][ORLANGMORE]@CHOICE@ORLANGMNU}{\rtlch\fcs1 \af0 \ltrch\fcs0 \insrsid16650406\charrsid13265796 #}{\rtlch\fcs1 &#13;_x000a_\af0 \ltrch\fcs0 \cs17\v\fs20\cf9\lang1024\langfe1024\loch\af1\hich\af1\dbch\af31501\noproof\insrsid16650406\charrsid13265796 \hich\af1\dbch\af31501\loch\f1 &lt;/Original&gt;}{\rtlch\fcs1 \af0 \ltrch\fcs0 \insrsid16650406\charrsid13265796 &#13;_x000a_\par }\pard\plain \ltrpar\s25\qc \li0\ri0\sb240\sa240\nowidctlpar\wrapdefault\aspalpha\aspnum\faauto\adjustright\rin0\lin0\itap0\pararsid16650406 \rtlch\fcs1 \af0\afs20\alang1025 \ltrch\fcs0 \i\fs24\lang2057\langfe2057\cgrid\langnp2057\langfenp2057 {&#13;_x000a_\rtlch\fcs1 \af0 \ltrch\fcs0 \cs17\i0\v\fs20\cf9\lang1024\langfe1024\loch\af1\hich\af1\dbch\af31501\noproof\insrsid16650406\charrsid13265796 \hich\af1\dbch\af31501\loch\f1 &lt;OptDel&gt;}{\rtlch\fcs1 \af0 \ltrch\fcs0 \insrsid16650406\charrsid13265796 #}{&#13;_x000a_\rtlch\fcs1 \af0 \ltrch\fcs0 \cs18\v\f1\fs20\cf15\insrsid16650406\charrsid13265796 MNU[CROSSREFNO][CROSSREFYES]@CHOICE@}{\rtlch\fcs1 \af0 \ltrch\fcs0 \insrsid16650406\charrsid13265796 #}{\rtlch\fcs1 \af0 \ltrch\fcs0 &#13;_x000a_\cs17\i0\v\fs20\cf9\lang1024\langfe1024\loch\af1\hich\af1\dbch\af31501\noproof\insrsid16650406\charrsid13265796 \hich\af1\dbch\af31501\loch\f1 &lt;/OptDel&gt;}{\rtlch\fcs1 \af0 \ltrch\fcs0 \insrsid16650406\charrsid13265796 &#13;_x000a_\par }\pard\plain \ltrpar\s26\qc \li0\ri0\sb240\sa240\keepn\nowidctlpar\wrapdefault\aspalpha\aspnum\faauto\adjustright\rin0\lin0\itap0\pararsid16650406 \rtlch\fcs1 \af0\afs20\alang1025 \ltrch\fcs0 \i\fs24\lang2057\langfe2057\cgrid\langnp2057\langfenp2057 {&#13;_x000a_\rtlch\fcs1 \af0 \ltrch\fcs0 \cs17\i0\v\fs20\cf9\lang1024\langfe1024\loch\af1\hich\af1\dbch\af31501\noproof\insrsid16650406\charrsid13265796 \hich\af1\dbch\af31501\loch\f1 &lt;TitreJust&gt;}{\rtlch\fcs1 \af0 \ltrch\fcs0 \insrsid16650406\charrsid13265796 &#13;_x000a_Justification}{\rtlch\fcs1 \af0 \ltrch\fcs0 \cs17\i0\v\fs20\cf9\lang1024\langfe1024\loch\af1\hich\af1\dbch\af31501\noproof\insrsid16650406\charrsid13265796 \hich\af1\dbch\af31501\loch\f1 &lt;/TitreJust&gt;}{\rtlch\fcs1 \af0 \ltrch\fcs0 &#13;_x000a_\insrsid16650406\charrsid13265796 &#13;_x000a_\par }\pard\plain \ltrpar\s24\ql \li0\ri0\sa240\nowidctlpar\wrapdefault\aspalpha\aspnum\faauto\adjustright\rin0\lin0\itap0\pararsid16650406 \rtlch\fcs1 \af0\afs20\alang1025 \ltrch\fcs0 \i\fs24\lang2057\langfe2057\cgrid\langnp2057\langfenp2057 {\rtlch\fcs1 &#13;_x000a_\af0 \ltrch\fcs0 \cs17\i0\v\fs20\cf9\lang1024\langfe1024\loch\af1\hich\af1\dbch\af31501\noproof\insrsid16650406\charrsid13265796 \hich\af1\dbch\af31501\loch\f1 &lt;OptDelPrev&gt;}{\rtlch\fcs1 \af0 \ltrch\fcs0 \insrsid16650406\charrsid13265796 #}{\rtlch\fcs1 &#13;_x000a_\af0 \ltrch\fcs0 \cs18\v\f1\fs20\cf15\insrsid16650406\charrsid13265796 MNU[TEXTJUSTYES][TEXTJUSTNO]@CHOICE@}{\rtlch\fcs1 \af0 \ltrch\fcs0 \insrsid16650406\charrsid13265796 #}{\rtlch\fcs1 \af0 \ltrch\fcs0 &#13;_x000a_\cs17\i0\v\fs20\cf9\lang1024\langfe1024\loch\af1\hich\af1\dbch\af31501\noproof\insrsid16650406\charrsid13265796 \hich\af1\dbch\af31501\loch\f1 &lt;/OptDelPrev&gt;}{\rtlch\fcs1 \af0 \ltrch\fcs0 \insrsid16650406\charrsid13265796 &#13;_x000a_\par }\pard\plain \ltrpar\ql \li0\ri0\widctlpar\wrapdefault\aspalpha\aspnum\faauto\adjustright\rin0\lin0\itap0\pararsid16650406 \rtlch\fcs1 \af0\afs20\alang1025 \ltrch\fcs0 \fs24\lang2057\langfe2057\cgrid\langnp2057\langfenp2057 {\rtlch\fcs1 \af0 \ltrch\fcs0 &#13;_x000a_\cs17\v\fs20\cf9\lang1024\langfe1024\loch\af1\hich\af1\dbch\af31501\noproof\insrsid16650406\charrsid13265796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28&#13;_x000a_0bef0941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4\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716\fbidi \fswiss\fcharset0\fprq2 Yu Gothic Light Western{\*\falt \'9f\'e0\'83\'53\'83\'56\'83\'62\'83\'4e Light};}{\f714\fbidi \fswiss\fcharset238\fprq2 Yu Gothic Light CE{\*\falt \'9f\'e0\'83\'53\'83\'56\'83\'62\'83\'4e Light};}&#13;_x000a_{\f715\fbidi \fswiss\fcharset204\fprq2 Yu Gothic Light Cyr{\*\falt \'9f\'e0\'83\'53\'83\'56\'83\'62\'83\'4e Light};}{\f717\fbidi \fswiss\fcharset161\fprq2 Yu Gothic Light Greek{\*\falt \'9f\'e0\'83\'53\'83\'56\'83\'62\'83\'4e Light};}&#13;_x000a_{\f718\fbidi \fswiss\fcharset162\fprq2 Yu Gothic Light Tur{\*\falt \'9f\'e0\'83\'53\'83\'56\'83\'62\'83\'4e Light};}{\f721\fbidi \fswiss\fcharset186\fprq2 Yu Gothic Light Baltic{\*\falt \'9f\'e0\'83\'53\'83\'56\'83\'62\'83\'4e Light};}&#13;_x000a_{\f1976\fbidi \fswiss\fcharset0\fprq2 @Yu Gothic Light Western;}{\f1974\fbidi \fswiss\fcharset238\fprq2 @Yu Gothic Light CE;}{\f1975\fbidi \fswiss\fcharset204\fprq2 @Yu Gothic Light Cyr;}{\f1977\fbidi \fswiss\fcharset161\fprq2 @Yu Gothic Light Greek;}&#13;_x000a_{\f1978\fbidi \fswiss\fcharset162\fprq2 @Yu Gothic Light Tur;}{\f1981\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293919 HideTWBExt;}{&#13;_x000a_\s18\ql \li0\ri0\nowidctlpar\wrapdefault\aspalpha\aspnum\faauto\adjustright\rin0\lin0\itap0 \rtlch\fcs1 \af0\afs20\alang1025 \ltrch\fcs0 \b\fs24\lang2057\langfe2057\cgrid\langnp2057\langfenp2057 \sbasedon0 \snext18 \spriority0 \styrsid6293919 NormalBold;}&#13;_x000a_{\s19\qr \li0\ri0\sb240\sa240\nowidctlpar\wrapdefault\aspalpha\aspnum\faauto\adjustright\rin0\lin0\itap0 \rtlch\fcs1 \af0\afs20\alang1025 \ltrch\fcs0 \fs24\lang2057\langfe2057\cgrid\langnp2057\langfenp2057 \sbasedon0 \snext19 \spriority0 \styrsid6293919 &#13;_x000a_AmOrLang;}{\s20\ql \li0\ri0\sa120\nowidctlpar\wrapdefault\aspalpha\aspnum\faauto\adjustright\rin0\lin0\itap0 \rtlch\fcs1 \af0\afs20\alang1025 \ltrch\fcs0 \fs24\lang2057\langfe2057\cgrid\langnp2057\langfenp2057 &#13;_x000a_\sbasedon0 \snext20 \spriority0 \styrsid6293919 Normal6a;}{\s21\qc \li0\ri0\sa240\nowidctlpar\wrapdefault\aspalpha\aspnum\faauto\adjustright\rin0\lin0\itap0 \rtlch\fcs1 \af0\afs20\alang1025 \ltrch\fcs0 &#13;_x000a_\i\fs24\lang2057\langfe2057\cgrid\langnp2057\langfenp2057 \sbasedon0 \snext21 \spriority0 \styrsid6293919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6293919 AmNumberTabs;}{\s23\ql \li0\ri0\sa240\nowidctlpar\wrapdefault\aspalpha\aspnum\faauto\adjustright\rin0\lin0\itap0 \rtlch\fcs1 &#13;_x000a_\af0\afs20\alang1025 \ltrch\fcs0 \i\fs24\lang2057\langfe2057\cgrid\langnp2057\langfenp2057 \sbasedon0 \snext23 \spriority0 \styrsid6293919 AmJustText;}{&#13;_x000a_\s24\qc \li0\ri0\sb240\sa240\nowidctlpar\wrapdefault\aspalpha\aspnum\faauto\adjustright\rin0\lin0\itap0 \rtlch\fcs1 \af0\afs20\alang1025 \ltrch\fcs0 \i\fs24\lang2057\langfe2057\cgrid\langnp2057\langfenp2057 \sbasedon0 \snext24 \spriority0 \styrsid6293919 &#13;_x000a_AmCrossRef;}{\s25\qc \li0\ri0\sb240\sa240\keepn\nowidctlpar\wrapdefault\aspalpha\aspnum\faauto\adjustright\rin0\lin0\itap0 \rtlch\fcs1 \af0\afs20\alang1025 \ltrch\fcs0 \i\fs24\lang2057\langfe2057\cgrid\langnp2057\langfenp2057 &#13;_x000a_\sbasedon0 \snext23 \spriority0 \styrsid6293919 AmJustTitle;}{\s26\ql \li0\ri0\sb240\nowidctlpar\wrapdefault\aspalpha\aspnum\faauto\adjustright\rin0\lin0\itap0 \rtlch\fcs1 \af0\afs20\alang1025 \ltrch\fcs0 &#13;_x000a_\b\fs24\lang2057\langfe2057\cgrid\langnp2057\langfenp2057 \sbasedon0 \snext26 \spriority0 \styrsid6293919 NormalBold12b;}}{\*\rsidtbl \rsid24658\rsid223860\rsid735077\rsid1718133\rsid2892074\rsid3565327\rsid4666813\rsid6293919\rsid6641733\rsid7823322&#13;_x000a_\rsid9511006\rsid9636012\rsid10377208\rsid11215221\rsid11549030\rsid12154954\rsid14382809\rsid14424199\rsid15204470\rsid15285974\rsid15950462\rsid16324206\rsid16662270}{\mmathPr\mmathFont34\mbrkBin0\mbrkBinSub0\msmallFrac0\mdispDef1\mlMargin0\mrMargin0&#13;_x000a_\mdefJc1\mwrapIndent1440\mintLim0\mnaryLim1}{\info{\author nmonkuniene}{\operator MONKUNIENE Neringa}{\creatim\yr2024\mo5\dy28\hr11\min10}{\revtim\yr2024\mo5\dy28\hr11\min10}{\version1}{\edmins0}{\nofpages1}{\nofwords255}{\nofchars146}{\nofcharsws400}&#13;_x000a_{\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293919\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11006 \chftnsep &#13;_x000a_\par }}{\*\ftnsepc \ltrpar \pard\plain \ltrpar\ql \li0\ri0\widctlpar\wrapdefault\aspalpha\aspnum\faauto\adjustright\rin0\lin0\itap0 \rtlch\fcs1 \af0\afs20\alang1025 \ltrch\fcs0 \fs24\lang2057\langfe2057\cgrid\langnp2057\langfenp2057 {\rtlch\fcs1 \af0 &#13;_x000a_\ltrch\fcs0 \insrsid9511006 \chftnsepc &#13;_x000a_\par }}{\*\aftnsep \ltrpar \pard\plain \ltrpar\ql \li0\ri0\widctlpar\wrapdefault\aspalpha\aspnum\faauto\adjustright\rin0\lin0\itap0 \rtlch\fcs1 \af0\afs20\alang1025 \ltrch\fcs0 \fs24\lang2057\langfe2057\cgrid\langnp2057\langfenp2057 {\rtlch\fcs1 \af0 &#13;_x000a_\ltrch\fcs0 \insrsid9511006 \chftnsep &#13;_x000a_\par }}{\*\aftnsepc \ltrpar \pard\plain \ltrpar\ql \li0\ri0\widctlpar\wrapdefault\aspalpha\aspnum\faauto\adjustright\rin0\lin0\itap0 \rtlch\fcs1 \af0\afs20\alang1025 \ltrch\fcs0 \fs24\lang2057\langfe2057\cgrid\langnp2057\langfenp2057 {\rtlch\fcs1 \af0 &#13;_x000a_\ltrch\fcs0 \insrsid95110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6293919 {\*\bkmkstart restart}&#13;_x000a_\hich\af1\dbch\af31501\loch\f1 &lt;Amend&gt;}{\rtlch\fcs1 \af0 \ltrch\fcs0 \lang1030\langfe2057\langnp1030\insrsid6293919 [ZAMENDMENT]\tab \tab }{\rtlch\fcs1 \af0 \ltrch\fcs0 &#13;_x000a_\cs17\b0\v\fs20\cf9\lang1024\langfe1024\loch\af1\hich\af1\dbch\af31501\noproof\langnp1030\insrsid6293919 \hich\af1\dbch\af31501\loch\f1 &lt;NumAm&gt;}{\rtlch\fcs1 \af0 \ltrch\fcs0 \lang1030\langfe2057\langnp1030\insrsid6293919 [ZNRAM]}{\rtlch\fcs1 \af0 &#13;_x000a_\ltrch\fcs0 \cs17\b0\v\fs20\cf9\lang1024\langfe1024\loch\af1\hich\af1\dbch\af31501\noproof\langnp1030\insrsid6293919 \hich\af1\dbch\af31501\loch\f1 &lt;/NumAm&gt;}{\rtlch\fcs1 \af0 \ltrch\fcs0 \lang1030\langfe2057\langnp1030\insrsid6293919 &#13;_x000a_\par }\pard\plain \ltrpar\s26\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6293919 \hich\af1\dbch\af31501\loch\f1 &lt;DocAmend&gt;}{\rtlch\fcs1 \af0 \ltrch\fcs0 \lang1030\langfe2057\langnp1030\insrsid6293919 &#13;_x000a_[ZPROPOSAL][ZAMACT]}{\rtlch\fcs1 \af0 \ltrch\fcs0 \cs17\b0\v\fs20\cf9\lang1024\langfe1024\loch\af1\hich\af1\dbch\af31501\noproof\langnp1030\insrsid6293919 \hich\af1\dbch\af31501\loch\f1 &lt;/DocAmend&gt;}{\rtlch\fcs1 \af0 \ltrch\fcs0 &#13;_x000a_\lang1030\langfe2057\langnp1030\insrsid6293919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6293919 \hich\af1\dbch\af31501\loch\f1 &lt;Article&gt;}{\rtlch\fcs1 \af0 \ltrch\fcs0 \lang1030\langfe2057\langnp1030\insrsid6293919 [ZAMPART]}{&#13;_x000a_\rtlch\fcs1 \af0 \ltrch\fcs0 \cs17\b0\v\fs20\cf9\lang1024\langfe1024\loch\af1\hich\af1\dbch\af31501\noproof\langnp1030\insrsid6293919 \hich\af1\dbch\af31501\loch\f1 &lt;/Article&gt;}{\rtlch\fcs1 \af0 \ltrch\fcs0 \lang1030\langfe2057\langnp1030\insrsid6293919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6293919 \hich\af1\dbch\af31501\loch\f1 &lt;DocAmend2&gt;&lt;OptDel&gt;}{\rtlch\fcs1 \af0 \ltrch\fcs0 \lang1030\langfe2057\langnp1030\insrsid6293919 [ZNRACT]}{&#13;_x000a_\rtlch\fcs1 \af0 \ltrch\fcs0 \cs17\v\fs20\cf9\lang1024\langfe1024\loch\af1\hich\af1\dbch\af31501\noproof\langnp1030\insrsid6293919 \hich\af1\dbch\af31501\loch\f1 &lt;/OptDel&gt;&lt;/DocAmend2&gt;}{\rtlch\fcs1 \af0 \ltrch\fcs0 &#13;_x000a_\lang1030\langfe2057\langnp1030\insrsid6293919 &#13;_x000a_\par }\pard \ltrpar\ql \li0\ri0\widctlpar\wrapdefault\aspalpha\aspnum\faauto\adjustright\rin0\lin0\itap0\pararsid6293919 {\rtlch\fcs1 \af0 \ltrch\fcs0 \cs17\v\fs20\cf9\lang1024\langfe1024\loch\af1\hich\af1\dbch\af31501\noproof\langnp1036\insrsid6293919 &#13;_x000a_\hich\af1\dbch\af31501\loch\f1 &lt;Article2&gt;&lt;OptDel&gt;}{\rtlch\fcs1 \af0 \ltrch\fcs0 \lang1036\langfe2057\langnp1036\insrsid6293919 [ZACTPART]}{\rtlch\fcs1 \af0 \ltrch\fcs0 &#13;_x000a_\cs17\v\fs20\cf9\lang1024\langfe1024\loch\af1\hich\af1\dbch\af31501\noproof\langnp1036\insrsid6293919 \hich\af1\dbch\af31501\loch\f1 &lt;/OptDel&gt;&lt;/Article2&gt;}{\rtlch\fcs1 \af0 \ltrch\fcs0 \lang1036\langfe2057\langnp1036\insrsid6293919 &#13;_x000a_\par \ltrrow}\trowd \irow0\irowband0\ltrrow\ts11\trqc\trgaph340\trleft0\trftsWidth3\trftsWidthB3\trpaddl340\trpaddr340\trpaddfl3\trpaddft3\trpaddfb3\trpaddfr3\tblrsid11085200\tbllkhdrrows\tbllkhdrcols\tbllknocolband\tblind0\tblindtype3 \clvertalt\clbrdrt&#13;_x000a_\brdrtbl \clbrdrl\brdrtbl \clbrdrb\brdrtbl \clbrdrr\brdrtbl \cltxlrtb\clftsWidth3\clwWidth9752\clshdrawnil \cellx9752\pard\plain \ltrpar\ql \li0\ri0\keepn\widctlpar\intbl\wrapdefault\aspalpha\aspnum\faauto\adjustright\rin0\lin0\pararsid11085200 &#13;_x000a_\rtlch\fcs1 \af0\afs20\alang1025 \ltrch\fcs0 \fs24\lang2057\langfe2057\cgrid\langnp2057\langfenp2057 {\rtlch\fcs1 \af0 \ltrch\fcs0 \lang1036\langfe2057\langnp1036\insrsid6293919 \cell }\pard\plain \ltrpar&#13;_x000a_\ql \li0\ri0\widctlpar\intbl\wrapdefault\aspalpha\aspnum\faauto\adjustright\rin0\lin0 \rtlch\fcs1 \af0\afs20\alang1025 \ltrch\fcs0 \fs24\lang2057\langfe2057\cgrid\langnp2057\langfenp2057 {\rtlch\fcs1 \af0 \ltrch\fcs0 \insrsid6293919 &#13;_x000a_\trowd \irow0\irowband0\ltrrow\ts11\trqc\trgaph340\trleft0\trftsWidth3\trftsWidthB3\trpaddl340\trpaddr340\trpaddfl3\trpaddft3\trpaddfb3\trpaddfr3\tblrsid11085200\tbllkhdrrows\tbllkhdrcols\tbllknocolband\tblind0\tblindtype3 \clvertalt\clbrdrt\brdrtbl &#13;_x000a_\clbrdrl\brdrtbl \clbrdrb\brdrtbl \clbrdrr\brdrtbl \cltxlrtb\clftsWidth3\clwWidth9752\clshdrawnil \cellx9752\row \ltrrow}\trowd \irow1\irowband1\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pard\plain \ltrpar&#13;_x000a_\s21\qc \li0\ri0\sa240\keepn\nowidctlpar\intbl\wrapdefault\aspalpha\aspnum\faauto\adjustright\rin0\lin0\pararsid11085200 \rtlch\fcs1 \af0\afs20\alang1025 \ltrch\fcs0 \i\fs24\lang2057\langfe2057\cgrid\langnp2057\langfenp2057 {\rtlch\fcs1 \af0 \ltrch\fcs0 &#13;_x000a_\insrsid6293919 [ZLEFT]\cell [ZRIGHT]\cell }\pard\plain \ltrpar\ql \li0\ri0\widctlpar\intbl\wrapdefault\aspalpha\aspnum\faauto\adjustright\rin0\lin0 \rtlch\fcs1 \af0\afs20\alang1025 \ltrch\fcs0 \fs24\lang2057\langfe2057\cgrid\langnp2057\langfenp2057 {&#13;_x000a_\rtlch\fcs1 \af0 \ltrch\fcs0 \insrsid6293919 \trowd \irow1\irowband1\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ltrrow&#13;_x000a_}\pard\plain \ltrpar\s20\ql \li0\ri0\sa120\nowidctlpar\intbl\wrapdefault\aspalpha\aspnum\faauto\adjustright\rin0\lin0\pararsid11085200 \rtlch\fcs1 \af0\afs20\alang1025 \ltrch\fcs0 \fs24\lang2057\langfe2057\cgrid\langnp2057\langfenp2057 {\rtlch\fcs1 \af0 &#13;_x000a_\ltrch\fcs0 \insrsid6293919 [ZTEXTL]\cell [ZTEXTR]\cell }\pard\plain \ltrpar\ql \li0\ri0\widctlpar\intbl\wrapdefault\aspalpha\aspnum\faauto\adjustright\rin0\lin0 \rtlch\fcs1 \af0\afs20\alang1025 \ltrch\fcs0 &#13;_x000a_\fs24\lang2057\langfe2057\cgrid\langnp2057\langfenp2057 {\rtlch\fcs1 \af0 \ltrch\fcs0 \insrsid6293919 \trowd \irow2\irowband2\lastrow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13;_x000a_}\pard\plain \ltrpar\s19\qr \li0\ri0\sb240\sa240\nowidctlpar\wrapdefault\aspalpha\aspnum\faauto\adjustright\rin0\lin0\itap0\pararsid6293919 \rtlch\fcs1 \af0\afs20\alang1025 \ltrch\fcs0 \fs24\lang2057\langfe2057\cgrid\langnp2057\langfenp2057 {\rtlch\fcs1 &#13;_x000a_\af0 \ltrch\fcs0 \insrsid6293919 Or. }{\rtlch\fcs1 \af0 \ltrch\fcs0 \cs17\v\fs20\cf9\lang1024\langfe1024\loch\af1\hich\af1\dbch\af31501\noproof\insrsid6293919 \hich\af1\dbch\af31501\loch\f1 &lt;Original&gt;}{\rtlch\fcs1 \af0 \ltrch\fcs0 \insrsid6293919 &#13;_x000a_[ZORLANG]}{\rtlch\fcs1 \af0 \ltrch\fcs0 \cs17\v\fs20\cf9\lang1024\langfe1024\loch\af1\hich\af1\dbch\af31501\noproof\insrsid6293919 \hich\af1\dbch\af31501\loch\f1 &lt;/Original&gt;}{\rtlch\fcs1 \af0 \ltrch\fcs0 \insrsid6293919 &#13;_x000a_\par }\pard\plain \ltrpar\s24\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6293919 \hich\af1\dbch\af31501\loch\f1 &lt;OptDel&gt;}{\rtlch\fcs1 \af0 \ltrch\fcs0 \insrsid6293919 [ZCROSSREF]}{\rtlch\fcs1 \af0 \ltrch\fcs0 &#13;_x000a_\cs17\i0\v\fs20\cf9\lang1024\langfe1024\loch\af1\hich\af1\dbch\af31501\noproof\insrsid6293919 \hich\af1\dbch\af31501\loch\f1 &lt;/OptDel&gt;}{\rtlch\fcs1 \af0 \ltrch\fcs0 \insrsid6293919 &#13;_x000a_\par }\pard\plain \ltrpar\s25\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6293919 \hich\af1\dbch\af31501\loch\f1 &lt;TitreJust&gt;}{\rtlch\fcs1 \af0 \ltrch\fcs0 \insrsid6293919 [ZJUSTIFICATION]}{\rtlch\fcs1 \af0 &#13;_x000a_\ltrch\fcs0 \cs17\i0\v\fs20\cf9\lang1024\langfe1024\loch\af1\hich\af1\dbch\af31501\noproof\insrsid6293919 \hich\af1\dbch\af31501\loch\f1 &lt;/TitreJust&gt;}{\rtlch\fcs1 \af0 \ltrch\fcs0 \insrsid6293919 &#13;_x000a_\par }\pard\plain \ltrpar\s23\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6293919 \hich\af1\dbch\af31501\loch\f1 &lt;OptDelPrev&gt;}{\rtlch\fcs1 \af0 \ltrch\fcs0 \insrsid6293919 [ZTEXTJUST]}{\rtlch\fcs1 \af0 \ltrch\fcs0 &#13;_x000a_\cs17\i0\v\fs20\cf9\lang1024\langfe1024\loch\af1\hich\af1\dbch\af31501\noproof\insrsid6293919 \hich\af1\dbch\af31501\loch\f1 &lt;/OptDelPrev&gt;}{\rtlch\fcs1 \af0 \ltrch\fcs0 \insrsid6293919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6293919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9a&#13;_x000a_80d3deb0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50"/>
    <w:docVar w:name="TEXTRMNU" w:val="1"/>
    <w:docVar w:name="TITLECODMNU" w:val=" 1"/>
    <w:docVar w:name="TITLEMNU" w:val=" 1"/>
    <w:docVar w:name="TXTAUTHOR" w:val="Hélder Sousa Silva"/>
    <w:docVar w:name="TXTLANGUE" w:val="SK"/>
    <w:docVar w:name="TXTLANGUEMIN" w:val="sk"/>
    <w:docVar w:name="TXTNRC" w:val="0094/2026"/>
    <w:docVar w:name="TXTNRCOM" w:val="(2026)0152"/>
    <w:docVar w:name="TXTNRFIRSTAM" w:val="1"/>
    <w:docVar w:name="TXTNRLASTAM" w:val="5"/>
    <w:docVar w:name="TXTNRPE" w:val="792.028"/>
    <w:docVar w:name="TXTNRPROC" w:val="2026/0084"/>
    <w:docVar w:name="TXTPEorAP" w:val="PE"/>
    <w:docVar w:name="TXTROUTE" w:val="PA\1350578SK.docx"/>
    <w:docVar w:name="TXTTITLE" w:val="Regulation of the European Parliament and of the Council on the European Union Space Services Agency and amending Regulation (EU) 2021/696"/>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44D6520-07D9-4978-B73E-3D2E90696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8432D"/>
    <w:rPr>
      <w:rFonts w:ascii="Arial" w:hAnsi="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F531B6"/>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link w:val="NormalBoldChar"/>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8456FD"/>
    <w:rPr>
      <w:sz w:val="20"/>
    </w:rPr>
  </w:style>
  <w:style w:type="character" w:customStyle="1" w:styleId="FootnoteTextChar">
    <w:name w:val="Footnote Text Char"/>
    <w:basedOn w:val="DefaultParagraphFont"/>
    <w:link w:val="FootnoteText"/>
    <w:rsid w:val="008456FD"/>
  </w:style>
  <w:style w:type="character" w:styleId="FootnoteReference">
    <w:name w:val="footnote reference"/>
    <w:basedOn w:val="DefaultParagraphFont"/>
    <w:rsid w:val="008456FD"/>
    <w:rPr>
      <w:vertAlign w:val="superscript"/>
    </w:rPr>
  </w:style>
  <w:style w:type="character" w:styleId="Hyperlink">
    <w:name w:val="Hyperlink"/>
    <w:basedOn w:val="DefaultParagraphFont"/>
    <w:rsid w:val="008456FD"/>
    <w:rPr>
      <w:color w:val="0563C1" w:themeColor="hyperlink"/>
      <w:u w:val="single"/>
    </w:rPr>
  </w:style>
  <w:style w:type="character" w:customStyle="1" w:styleId="UnresolvedMention">
    <w:name w:val="Unresolved Mention"/>
    <w:basedOn w:val="DefaultParagraphFont"/>
    <w:uiPriority w:val="99"/>
    <w:semiHidden/>
    <w:unhideWhenUsed/>
    <w:rsid w:val="008456FD"/>
    <w:rPr>
      <w:color w:val="605E5C"/>
      <w:shd w:val="clear" w:color="auto" w:fill="E1DFDD"/>
    </w:rPr>
  </w:style>
  <w:style w:type="paragraph" w:styleId="Footer">
    <w:name w:val="footer"/>
    <w:basedOn w:val="Normal"/>
    <w:link w:val="FooterChar"/>
    <w:semiHidden/>
    <w:rsid w:val="00BF7733"/>
    <w:pPr>
      <w:tabs>
        <w:tab w:val="center" w:pos="4513"/>
        <w:tab w:val="right" w:pos="9026"/>
      </w:tabs>
    </w:pPr>
  </w:style>
  <w:style w:type="character" w:customStyle="1" w:styleId="FooterChar">
    <w:name w:val="Footer Char"/>
    <w:basedOn w:val="DefaultParagraphFont"/>
    <w:link w:val="Footer"/>
    <w:semiHidden/>
    <w:rsid w:val="00BF7733"/>
    <w:rPr>
      <w:sz w:val="24"/>
    </w:rPr>
  </w:style>
  <w:style w:type="character" w:customStyle="1" w:styleId="Normal6Char">
    <w:name w:val="Normal6 Char"/>
    <w:basedOn w:val="DefaultParagraphFont"/>
    <w:link w:val="Normal6"/>
    <w:locked/>
    <w:rsid w:val="00B53538"/>
    <w:rPr>
      <w:sz w:val="24"/>
      <w:lang w:val="sk-SK"/>
    </w:rPr>
  </w:style>
  <w:style w:type="paragraph" w:customStyle="1" w:styleId="Normal6">
    <w:name w:val="Normal6"/>
    <w:basedOn w:val="Normal"/>
    <w:link w:val="Normal6Char"/>
    <w:rsid w:val="00B53538"/>
    <w:pPr>
      <w:spacing w:after="120"/>
    </w:pPr>
  </w:style>
  <w:style w:type="character" w:customStyle="1" w:styleId="NormalBoldChar">
    <w:name w:val="NormalBold Char"/>
    <w:basedOn w:val="DefaultParagraphFont"/>
    <w:link w:val="NormalBold"/>
    <w:locked/>
    <w:rsid w:val="00B53538"/>
    <w:rPr>
      <w:b/>
      <w:sz w:val="24"/>
    </w:rPr>
  </w:style>
  <w:style w:type="paragraph" w:customStyle="1" w:styleId="ColumnHeading">
    <w:name w:val="ColumnHeading"/>
    <w:basedOn w:val="Normal"/>
    <w:rsid w:val="00B53538"/>
    <w:pPr>
      <w:spacing w:after="240"/>
      <w:jc w:val="center"/>
    </w:pPr>
    <w:rPr>
      <w:i/>
    </w:rPr>
  </w:style>
  <w:style w:type="paragraph" w:customStyle="1" w:styleId="AMNumberTabs0">
    <w:name w:val="AMNumberTabs"/>
    <w:basedOn w:val="Normal"/>
    <w:rsid w:val="00B535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53538"/>
    <w:pPr>
      <w:jc w:val="right"/>
    </w:pPr>
  </w:style>
  <w:style w:type="paragraph" w:styleId="Revision">
    <w:name w:val="Revision"/>
    <w:hidden/>
    <w:uiPriority w:val="99"/>
    <w:semiHidden/>
    <w:rsid w:val="00855E5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data.europa.eu/eli/reg/2024/2509/oj"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D0ECD-35CE-4E58-8951-5580E7FB4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1674</Words>
  <Characters>10229</Characters>
  <Application>Microsoft Office Word</Application>
  <DocSecurity>0</DocSecurity>
  <Lines>284</Lines>
  <Paragraphs>96</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2026-09-10T12:54:00Z</cp:lastPrinted>
  <dcterms:created xsi:type="dcterms:W3CDTF">2026-09-24T11:55:00Z</dcterms:created>
  <dcterms:modified xsi:type="dcterms:W3CDTF">2026-09-24T11:55:00Z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1350578</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PA</vt:lpwstr>
  </property>
  <property fmtid="{D5CDD505-2E9C-101B-9397-08002B2CF9AE}" pid="8" name="Bookout">
    <vt:lpwstr>OK - 2026/09/24 13:55</vt:lpwstr>
  </property>
  <property fmtid="{D5CDD505-2E9C-101B-9397-08002B2CF9AE}" pid="9" name="Created with">
    <vt:lpwstr>10.3.1 Build [20260701]</vt:lpwstr>
  </property>
  <property fmtid="{D5CDD505-2E9C-101B-9397-08002B2CF9AE}" pid="10" name="FooterPath">
    <vt:lpwstr>PA\1350578SK.docx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792.028</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- 2026/09/11 17:11</vt:lpwstr>
  </property>
</Properties>
</file>