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12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European Parliament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1.46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{BUDG}</w:t>
      </w:r>
      <w:r>
        <w:t>Committee on Budgets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2025/2215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{16/10/2026}</w:t>
      </w:r>
      <w:r>
        <w:t>16.10.2026</w:t>
      </w:r>
      <w:r>
        <w:rPr>
          <w:rStyle w:val="HideTWBExt"/>
        </w:rPr>
        <w:t>&lt;/Date&gt;</w:t>
      </w:r>
    </w:p>
    <w:p>
      <w:pPr>
        <w:pStyle w:val="CoverDocType24a"/>
      </w:pPr>
      <w:r>
        <w:rPr>
          <w:rStyle w:val="HideTWBExt"/>
        </w:rPr>
        <w:t>&lt;TitreType&gt;</w:t>
      </w:r>
      <w:r>
        <w:t>DRAFT OPINION</w:t>
      </w:r>
      <w:r>
        <w:rPr>
          <w:rStyle w:val="HideTWBExt"/>
        </w:rPr>
        <w:t>&lt;/TitreType&gt;</w:t>
      </w:r>
    </w:p>
    <w:p>
      <w:pPr>
        <w:pStyle w:val="CoverNormal24a"/>
      </w:pPr>
      <w:r>
        <w:rPr>
          <w:rStyle w:val="HideTWBExt"/>
        </w:rPr>
        <w:t>&lt;CommissionResp&gt;</w:t>
      </w:r>
      <w:r>
        <w:t>of the Committee on Budgets</w:t>
      </w:r>
      <w:r>
        <w:rPr>
          <w:rStyle w:val="HideTWBExt"/>
        </w:rPr>
        <w:t>&lt;/CommissionResp&gt;</w:t>
      </w:r>
    </w:p>
    <w:p>
      <w:pPr>
        <w:pStyle w:val="CoverNormal24a"/>
      </w:pPr>
      <w:r>
        <w:rPr>
          <w:rStyle w:val="HideTWBExt"/>
        </w:rPr>
        <w:t>&lt;CommissionInt&gt;</w:t>
      </w:r>
      <w:r>
        <w:t>for the Committee on Women’s Rights and Gender Equality</w:t>
      </w:r>
      <w:r>
        <w:rPr>
          <w:rStyle w:val="HideTWBExt"/>
        </w:rPr>
        <w:t>&lt;/CommissionInt&gt;</w:t>
      </w:r>
    </w:p>
    <w:p>
      <w:pPr>
        <w:pStyle w:val="CoverNormal"/>
      </w:pPr>
      <w:r>
        <w:rPr>
          <w:rStyle w:val="HideTWBExt"/>
        </w:rPr>
        <w:t>&lt;Titre&gt;</w:t>
      </w:r>
      <w:r>
        <w:t>on Gender mainstreaming in the European Parliament – annual report 2025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(2025/2215(INI))</w:t>
      </w:r>
      <w:r>
        <w:rPr>
          <w:rStyle w:val="HideTWBExt"/>
        </w:rPr>
        <w:t>&lt;/DocRef&gt;</w:t>
      </w:r>
    </w:p>
    <w:p>
      <w:pPr>
        <w:pStyle w:val="CoverNormal24a"/>
      </w:pPr>
      <w:r>
        <w:t>Rapporteur for opinion</w:t>
      </w:r>
      <w:r>
        <w:t xml:space="preserve">: </w:t>
      </w:r>
      <w:r>
        <w:rPr>
          <w:rStyle w:val="HideTWBExt"/>
        </w:rPr>
        <w:t>&lt;Depute&gt;</w:t>
      </w:r>
      <w:r>
        <w:t>Lucia Yar</w:t>
      </w:r>
      <w:r>
        <w:rPr>
          <w:rStyle w:val="HideTWBExt"/>
        </w:rPr>
        <w:t>&lt;/Depute&gt;</w:t>
      </w:r>
    </w:p>
    <w:p>
      <w:r>
        <w:br w:type="page"/>
      </w:r>
      <w:r>
        <w:t>PA_NonLeg</w:t>
      </w:r>
    </w:p>
    <w:p>
      <w:pPr>
        <w:sectPr>
          <w:footerReference w:type="even" r:id="rId5"/>
          <w:footerReference w:type="default" r:id="rId6"/>
          <w:footerReference w:type="first" r:id="rId7"/>
          <w:pgSz w:w="11909" w:h="16834"/>
          <w:pgMar w:top="1134" w:right="1417" w:bottom="1417" w:left="1417" w:header="1134" w:footer="567"/>
          <w:cols w:space="720"/>
          <w:titlePg/>
        </w:sectPr>
      </w:pPr>
    </w:p>
    <w:p>
      <w:pPr>
        <w:pStyle w:val="PageHeadingNotTOC"/>
      </w:pPr>
      <w:r>
        <w:t>AMENDMENTS</w:t>
      </w:r>
    </w:p>
    <w:p>
      <w:pPr>
        <w:pStyle w:val="Normal12a"/>
      </w:pPr>
      <w:r>
        <w:t>The Committee on Budgets</w:t>
      </w:r>
      <w:r>
        <w:t xml:space="preserve"> </w:t>
      </w:r>
      <w:r>
        <w:t>submits the following to the Committee on Women’s Rights and Gender Equality, as the committee responsible</w:t>
      </w:r>
      <w:r>
        <w:t xml:space="preserve"> </w:t>
      </w:r>
      <w:r>
        <w:t>:</w:t>
      </w:r>
    </w:p>
    <w:p>
      <w:pPr>
        <w:pStyle w:val="AmNumberTabs"/>
      </w:pP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Amendment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Motion for a resolution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Recital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Amendment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whereas gender budgeting is a key tool for achieving gender equality;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whereas gender budgeting is a key tool for achieving gender equality </w:t>
            </w:r>
            <w:r>
              <w:rPr>
                <w:b/>
                <w:i/>
              </w:rPr>
              <w:t>and should be an integral part in the budgetary procedure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Amendment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Motion for a resolution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Recital F a (new)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Amendment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whereas gender-responsive budgeting consists of both the funding of dedicated gender equality operations and a horizontal approach that acknowledges the impact of budgetary decisions on gender equality and the adjustment of expenditure of EU budget resources accordingly; whereas gender budgeting should be applied to the entire EU budget including to the European Parliament’s budget;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Amendment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Motion for a resolution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Paragraph 18 a (new)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Amendment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Regrets that gender budgeting has not yet been applied across the EU budget and the budget's contribution to achieving gender equality has not been adequately scrutinised and quantified; calls for a systematic implementation of gender budgeting in the EU budget and notably in the Parliament's budget; underlines that a gender perspective has to be integrated at all levels of the budgetary procedure;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Amendment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Motion for a resolution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Paragraph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Amendment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Calls for the development of gender-responsive budgeting in Parliament’s </w:t>
            </w:r>
            <w:r>
              <w:rPr>
                <w:b/>
                <w:i/>
              </w:rPr>
              <w:t>budgetary procedures</w:t>
            </w:r>
            <w:r>
              <w:t xml:space="preserve"> and for the tracking of and reporting on expenditure contributing to gender equality;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Calls for the development </w:t>
            </w:r>
            <w:r>
              <w:rPr>
                <w:b/>
                <w:i/>
              </w:rPr>
              <w:t>and integration</w:t>
            </w:r>
            <w:r>
              <w:t xml:space="preserve"> of gender-responsive budgeting in </w:t>
            </w:r>
            <w:r>
              <w:rPr>
                <w:b/>
                <w:i/>
              </w:rPr>
              <w:t>the establishment of</w:t>
            </w:r>
            <w:r>
              <w:t xml:space="preserve"> Parliament’s </w:t>
            </w:r>
            <w:r>
              <w:rPr>
                <w:b/>
                <w:i/>
              </w:rPr>
              <w:t>budget</w:t>
            </w:r>
            <w:r>
              <w:t xml:space="preserve"> and for the tracking of and reporting on expenditure contributing to gender equality; </w:t>
            </w:r>
            <w:r>
              <w:rPr>
                <w:b/>
                <w:i/>
              </w:rPr>
              <w:t>expects Parliament’s services responsible for the preparation of Parliament's estimates to identify and apply a specific gender budgeting methodology that should, inter alia, identify relevant indicators and establish a monitoring scheme underpinned by an administrative procedure and timetable;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Amendment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Motion for a resolution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Paragraph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Amendment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Welcomes the fact that the GAP and its roadmap propose measures to strengthen gender budgeting;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Welcomes the fact that the GAP and its roadmap propose measures to strengthen gender budgeting; </w:t>
            </w:r>
            <w:r>
              <w:rPr>
                <w:b/>
                <w:i/>
              </w:rPr>
              <w:t>calls on implementing these measures as soon as possible; calls on the administrative task force to report back on the pilot exercise establishing and comparing methodologies for the application of gender budgeting in Parliament's budget; points to the gender tracking methodology developed in the Performance Framework Regulation which should serve as benchmark for the Parliament’s methodology; expects in 2027concrete guidelines for integration of gender budgeting in the Parliament's budget, so that they can be applied for the budget 2029 at the latest;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Amendment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Motion for a resolution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Paragraph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Amendment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Calls for the strengthening of gender mainstreaming in the implementation of the next 2028-2034 multiannual financial framework in the EU budget, and stresses the need to further develop the Commission gender tracking methodology;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Calls for the strengthening of gender mainstreaming in the implementation of the next 2028-2034 multiannual financial framework in the EU budget, and stresses the need to further develop the Commission gender tracking methodology </w:t>
            </w:r>
            <w:r>
              <w:rPr>
                <w:b/>
                <w:i/>
              </w:rPr>
              <w:t>as to measure more accurately the contribution of EU expenditure to gender equality and improve accountability and budgetary transparency</w:t>
            </w:r>
            <w:r>
              <w:t xml:space="preserve">; </w:t>
            </w:r>
            <w:r>
              <w:rPr>
                <w:b/>
                <w:i/>
              </w:rPr>
              <w:t>requests to apply the new methodology to all EU funding programmes and all administrative budgets;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Amendment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Motion for a resolution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Paragraph 21 a (new)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Amendment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Recalls that in order to achieve genuine gender budgeting, it is necessary to move beyond monitoring gender expenditure and set clear objectives and measurable targets, thus applying a gender perspective in the full budget cycle;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Amendment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Motion for a resolution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Paragraph 21 b (new)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Amendment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Calls for the European Parliament to become the frontrunner in the application of gender budgeting in its own Section under the EU budget thus encouraging other institutions to follow;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Amendment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Motion for a resolution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Paragraph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Amendment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Reiterates its call for an audit to be carried out to map the current situation in terms of gender equality and gender mainstreaming and to make recommendations accordingly;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Reiterates its call for an audit to be carried out to map the current situation in terms of gender equality and gender mainstreaming and </w:t>
            </w:r>
            <w:r>
              <w:rPr>
                <w:b/>
                <w:i/>
              </w:rPr>
              <w:t>gender budgeting and</w:t>
            </w:r>
            <w:r>
              <w:t xml:space="preserve"> to make recommendations accordingly;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type w:val="nextPage"/>
      <w:pgSz w:w="11909" w:h="16834"/>
      <w:pgMar w:top="1134" w:right="1417" w:bottom="1417" w:left="1417" w:header="1134" w:footer="56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796.506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</w:t>
    </w:r>
    <w:r>
      <w:fldChar w:fldCharType="end"/>
    </w:r>
    <w:r>
      <w:tab/>
    </w:r>
    <w:r>
      <w:rPr>
        <w:rStyle w:val="HideTWBExt"/>
      </w:rPr>
      <w:t>&lt;PathFdR&gt;</w:t>
    </w:r>
    <w:r>
      <w:t>PA\1352680EN.docx</w:t>
    </w:r>
    <w:r>
      <w:rPr>
        <w:rStyle w:val="HideTWBExt"/>
      </w:rPr>
      <w:t>&lt;/PathFdR&gt;</w:t>
    </w:r>
  </w:p>
  <w:p>
    <w:pPr>
      <w:pStyle w:val="EPFooter2"/>
    </w:pPr>
    <w:r>
      <w:t>EN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PA\1352680EN.docx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796.506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EN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PA\1352680EN.docx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796.506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EN</w:t>
    </w:r>
    <w:r>
      <w:tab/>
    </w:r>
    <w:r>
      <w:rPr>
        <w:rStyle w:val="EPFooter2Motto"/>
      </w:rPr>
      <w:t>United in diversity</w:t>
    </w:r>
    <w:r>
      <w:tab/>
    </w:r>
    <w:r>
      <w:t>EN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7\uc1\adeff0\deff0\stshfdbch0\stshfloch0\stshfhich0\stshfbi0\deflang1063\deflangfe1041\themelang2057\themelangfe1041\themelangcs1108{\fonttbl{\f0\fbidi \froman\fcharset0\fprq2{\*\panose 02020603050405020304}Times New Roman;}{\f1\fbidi \fswiss\fcharset0\fprq2{\*\panose 020b0604020202020204}Arial;}&#13;_x000a_{\f34\fbidi \froman\fcharset0\fprq2{\*\panose 02040503050406030204}Cambria Math;}{\f38\fbidi \fswiss\fcharset128\fprq2{\*\panose 020b0300000000000000}Yu Gothic Light{\*\falt \'9f\'e0\'83\'53\'83\'56\'83\'62\'83\'4e Light};}&#13;_x000a_{\f163\fbidi \fswiss\fcharset128\fprq2 @Yu Gothic Light;}{\flomajor\f31500\fbidi \froman\fcharset0\fprq2{\*\panose 02020603050405020304}Times New Roman;}&#13;_x000a_{\fdbmajor\f31501\fbidi \fswiss\fcharset128\fprq2{\*\panose 020b0300000000000000}Yu Gothic Light{\*\falt \'9f\'e0\'83\'53\'83\'56\'83\'62\'83\'4e Light};}{\fhimajor\f31502\fbidi \fswiss\fcharset0\fprq2{\*\panose 020f0302020204030204}Calibri Light;}&#13;_x000a_{\fbimajor\f31503\fbidi \fswiss\fcharset0\fprq2 DokChampa;}{\flominor\f31504\fbidi \froman\fcharset0\fprq2{\*\panose 02020603050405020304}Times New Roman;}&#13;_x000a_{\fdbminor\f31505\fbidi \froman\fcharset128\fprq0{\*\panose 00000000000000000000}Yu Mincho{\*\falt \'9f\'e0\'96\'be\'92\'a9};}{\fhiminor\f31506\fbidi \fswiss\fcharset0\fprq2{\*\panose 020f0502020204030204}Calibri;}&#13;_x000a_{\fbiminor\f31507\fbidi \fswiss\fcharset0\fprq2 DokChampa;}{\f335\fbidi \froman\fcharset238\fprq2 Times New Roman CE;}{\f336\fbidi \froman\fcharset204\fprq2 Times New Roman Cyr;}{\f338\fbidi \froman\fcharset161\fprq2 Times New Roman Greek;}&#13;_x000a_{\f339\fbidi \froman\fcharset162\fprq2 Times New Roman Tur;}{\f340\fbidi \froman\fcharset177\fprq2 Times New Roman (Hebrew);}{\f341\fbidi \froman\fcharset178\fprq2 Times New Roman (Arabic);}{\f342\fbidi \froman\fcharset186\fprq2 Times New Roman Baltic;}&#13;_x000a_{\f343\fbidi \froman\fcharset163\fprq2 Times New Roman (Vietnamese);}{\f345\fbidi \fswiss\fcharset238\fprq2 Arial CE;}{\f346\fbidi \fswiss\fcharset204\fprq2 Arial Cyr;}{\f348\fbidi \fswiss\fcharset161\fprq2 Arial Greek;}&#13;_x000a_{\f349\fbidi \fswiss\fcharset162\fprq2 Arial Tur;}{\f350\fbidi \fswiss\fcharset177\fprq2 Arial (Hebrew);}{\f351\fbidi \fswiss\fcharset178\fprq2 Arial (Arabic);}{\f352\fbidi \fswiss\fcharset186\fprq2 Arial Baltic;}&#13;_x000a_{\f353\fbidi \fswiss\fcharset163\fprq2 Arial (Vietnamese);}{\f675\fbidi \froman\fcharset238\fprq2 Cambria Math CE;}{\f676\fbidi \froman\fcharset204\fprq2 Cambria Math Cyr;}{\f678\fbidi \froman\fcharset161\fprq2 Cambria Math Greek;}&#13;_x000a_{\f679\fbidi \froman\fcharset162\fprq2 Cambria Math Tur;}{\f682\fbidi \froman\fcharset186\fprq2 Cambria Math Baltic;}{\f683\fbidi \froman\fcharset163\fprq2 Cambria Math (Vietnamese);}&#13;_x000a_{\f717\fbidi \fswiss\fcharset0\fprq2 Yu Gothic Light Western{\*\falt \'9f\'e0\'83\'53\'83\'56\'83\'62\'83\'4e Light};}{\f715\fbidi \fswiss\fcharset238\fprq2 Yu Gothic Light CE{\*\falt \'9f\'e0\'83\'53\'83\'56\'83\'62\'83\'4e Light};}&#13;_x000a_{\f716\fbidi \fswiss\fcharset204\fprq2 Yu Gothic Light Cyr{\*\falt \'9f\'e0\'83\'53\'83\'56\'83\'62\'83\'4e Light};}{\f718\fbidi \fswiss\fcharset161\fprq2 Yu Gothic Light Greek{\*\falt \'9f\'e0\'83\'53\'83\'56\'83\'62\'83\'4e Light};}&#13;_x000a_{\f719\fbidi \fswiss\fcharset162\fprq2 Yu Gothic Light Tur{\*\falt \'9f\'e0\'83\'53\'83\'56\'83\'62\'83\'4e Light};}{\f722\fbidi \fswiss\fcharset186\fprq2 Yu Gothic Light Baltic{\*\falt \'9f\'e0\'83\'53\'83\'56\'83\'62\'83\'4e Light};}&#13;_x000a_{\f1967\fbidi \fswiss\fcharset0\fprq2 @Yu Gothic Light Western;}{\f1965\fbidi \fswiss\fcharset238\fprq2 @Yu Gothic Light CE;}{\f1966\fbidi \fswiss\fcharset204\fprq2 @Yu Gothic Light Cyr;}{\f1968\fbidi \fswiss\fcharset161\fprq2 @Yu Gothic Light Greek;}&#13;_x000a_{\f1969\fbidi \fswiss\fcharset162\fprq2 @Yu Gothic Light Tur;}{\f1972\fbidi \fswiss\fcharset186\fprq2 @Yu Gothic Light Baltic;}{\flomajor\f31508\fbidi \froman\fcharset238\fprq2 Times New Roman CE;}&#13;_x000a_{\flomajor\f31509\fbidi \froman\fcharset204\fprq2 Times New Roman Cyr;}{\flomajor\f31511\fbidi \froman\fcharset161\fprq2 Times New Roman Greek;}{\flomajor\f31512\fbidi \froman\fcharset162\fprq2 Times New Roman Tur;}&#13;_x000a_{\flomajor\f31513\fbidi \froman\fcharset177\fprq2 Times New Roman (Hebrew);}{\flomajor\f31514\fbidi \froman\fcharset178\fprq2 Times New Roman (Arabic);}{\flomajor\f31515\fbidi \froman\fcharset186\fprq2 Times New Roman Baltic;}&#13;_x000a_{\flomajor\f31516\fbidi \froman\fcharset163\fprq2 Times New Roman (Vietnamese);}{\fdbmajor\f31520\fbidi \fswiss\fcharset0\fprq2 Yu Gothic Light Western{\*\falt \'9f\'e0\'83\'53\'83\'56\'83\'62\'83\'4e Light};}&#13;_x000a_{\fdbmajor\f31518\fbidi \fswiss\fcharset238\fprq2 Yu Gothic Light CE{\*\falt \'9f\'e0\'83\'53\'83\'56\'83\'62\'83\'4e Light};}{\fdbmajor\f31519\fbidi \fswiss\fcharset204\fprq2 Yu Gothic Light Cyr{\*\falt \'9f\'e0\'83\'53\'83\'56\'83\'62\'83\'4e Light};}&#13;_x000a_{\fdbmajor\f31521\fbidi \fswiss\fcharset161\fprq2 Yu Gothic Light Greek{\*\falt \'9f\'e0\'83\'53\'83\'56\'83\'62\'83\'4e Light};}&#13;_x000a_{\fdbmajor\f31522\fbidi \fswiss\fcharset162\fprq2 Yu Gothic Light Tur{\*\falt \'9f\'e0\'83\'53\'83\'56\'83\'62\'83\'4e Light};}&#13;_x000a_{\fdbmajor\f31525\fbidi \fswiss\fcharset186\fprq2 Yu Gothic Light Baltic{\*\falt \'9f\'e0\'83\'53\'83\'56\'83\'62\'83\'4e Light}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47\fbidi \fswiss\fcharset222\fprq2 DokChampa (Thai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himinor\f31568\fbidi \fswiss\fcharset238\fprq2 Calibri CE;}{\fhiminor\f31569\fbidi \fswiss\fcharset204\fprq2 Calibri Cyr;}&#13;_x000a_{\fhiminor\f31571\fbidi \fswiss\fcharset161\fprq2 Calibri Greek;}{\fhiminor\f31572\fbidi \fswiss\fcharset162\fprq2 Calibri Tur;}{\fhiminor\f31573\fbidi \fswiss\fcharset177\fprq2 Calibri (Hebrew);}&#13;_x000a_{\fhiminor\f31574\fbidi \fswiss\fcharset178\fprq2 Calibri (Arabic);}{\fhiminor\f31575\fbidi \fswiss\fcharset186\fprq2 Calibri Baltic;}{\fhiminor\f31576\fbidi \fswiss\fcharset163\fprq2 Calibri (Vietnamese);}&#13;_x000a_{\fbiminor\f31587\fbidi \fswiss\fcharset222\fprq2 DokChampa (Thai);}}{\colortbl;\red0\green0\blue0;\red0\green0\blue255;\red0\green255\blue255;\red0\green255\blue0;\red255\green0\blue255;\red255\green0\blue0;\red255\green255\blue0;&#13;_x000a_\red255\green255\blue255;\red0\green0\blue128;\red0\green128\blue128;\red0\green128\blue0;\red128\green0\blue128;\red128\green0\blue0;\red128\green128\blue0;\red128\green128\blue128;\red192\green192\blue192;&#13;_x000a_\caccentone\ctint255\cshade191\red46\green116\blue181;}{\*\defchp \lang2057\langfe2057\langnp2057\langfenp2057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7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7\loch\f31502\hich\af31502\dbch\af31501 \sbasedon10 \slink1 \slocked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2242834 HideTWBExt;}{&#13;_x000a_\s18\ql \li0\ri0\nowidctlpar\wrapdefault\aspalpha\aspnum\faauto\adjustright\rin0\lin0\itap0 \rtlch\fcs1 \af0\afs20\alang1025 \ltrch\fcs0 \b\fs24\lang2057\langfe2057\cgrid\langnp2057\langfenp2057 \sbasedon0 \snext18 \spriority0 \styrsid2242834 NormalBold;}&#13;_x000a_{\s19\qr \li0\ri0\sb240\sa240\nowidctlpar\wrapdefault\aspalpha\aspnum\faauto\adjustright\rin0\lin0\itap0 \rtlch\fcs1 \af0\afs20\alang1025 \ltrch\fcs0 \fs24\lang2057\langfe2057\cgrid\langnp2057\langfenp2057 \sbasedon0 \snext19 \spriority0 \styrsid2242834 &#13;_x000a_AmOrLang;}{\s20\ql \li0\ri0\sa120\nowidctlpar\wrapdefault\aspalpha\aspnum\faauto\adjustright\rin0\lin0\itap0 \rtlch\fcs1 \af0\afs20\alang1025 \ltrch\fcs0 \fs24\lang2057\langfe2057\cgrid\langnp2057\langfenp2057 &#13;_x000a_\sbasedon0 \snext20 \spriority0 \styrsid2242834 Normal6a;}{\s21\qc \li0\ri0\sa240\nowidctlpar\wrapdefault\aspalpha\aspnum\faauto\adjustright\rin0\lin0\itap0 \rtlch\fcs1 \af0\afs20\alang1025 \ltrch\fcs0 &#13;_x000a_\i\fs24\lang2057\langfe2057\cgrid\langnp2057\langfenp2057 \sbasedon0 \snext21 \spriority0 \styrsid2242834 AmColumnHeading;}{\s22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2 \spriority0 \styrsid2242834 AmNumberTabs;}{\s23\ql \li0\ri0\sb240\nowidctlpar\wrapdefault\aspalpha\aspnum\faauto\adjustright\rin0\lin0\itap0 \rtlch\fcs1 &#13;_x000a_\af0\afs20\alang1025 \ltrch\fcs0 \b\fs24\lang2057\langfe2057\cgrid\langnp2057\langfenp2057 \sbasedon0 \snext23 \spriority0 \styrsid2242834 NormalBold12b;}}{\*\rsidtbl \rsid24658\rsid223860\rsid735077\rsid1718133\rsid2242834\rsid2892074\rsid3565327&#13;_x000a_\rsid4666813\rsid6641733\rsid7823322\rsid9582763\rsid9636012\rsid10377208\rsid11215221\rsid11549030\rsid12154954\rsid14382809\rsid14424199\rsid15204470\rsid15285974\rsid15950462\rsid16324206\rsid16662270}{\mmathPr\mmathFont34\mbrkBin0\mbrkBinSub0&#13;_x000a_\msmallFrac0\mdispDef1\mlMargin0\mrMargin0\mdefJc1\mwrapIndent1440\mintLim0\mnaryLim1}{\info{\author nmonkuniene}{\operator MONKUNIENE Neringa}{\creatim\yr2024\mo5\dy23\hr11\min2}{\revtim\yr2024\mo5\dy23\hr11\min2}{\version1}{\edmins0}{\nofpages1}&#13;_x000a_{\nofwords120}{\nofchars69}{\nofcharsws188}{\vern109}}{\*\xmlnstbl {\xmlns1 http://schemas.microsoft.com/office/word/2003/wordml}}\paperw11906\paperh16838\margl1418\margr1418\margt1134\margb1418\gutter0\ltrsect &#13;_x000a_\facingp\widowctrl\ftnbj\aenddoc\ftnrestart\hyphhotz396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2242834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NMONKU~1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9582763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8276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8276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82763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qc\pnstart1\pnindent720\pnhang {\pntxta .}}{\*\pnseclvl2\pnucltr\pnqc\pnstart1\pnindent720\pnhang {\pntxta .}}{\*\pnseclvl3\pndec\pnqc\pnstart1\pnindent720\pnhang {\pntxta .}}{\*\pnseclvl4\pnlcltr\pnqc\pnstart1\pnindent720\pnhang &#13;_x000a_{\pntxta )}}{\*\pnseclvl5\pndec\pnqc\pnstart1\pnindent720\pnhang {\pntxtb (}{\pntxta )}}{\*\pnseclvl6\pnlcltr\pnqc\pnstart1\pnindent720\pnhang {\pntxtb (}{\pntxta )}}{\*\pnseclvl7\pnlcrm\pnqc\pnstart1\pnindent720\pnhang {\pntxtb (}{\pntxta )}}&#13;_x000a_{\*\pnseclvl8\pnlcltr\pnqc\pnstart1\pnindent720\pnhang {\pntxtb (}{\pntxta )}}{\*\pnseclvl9\pnlcrm\pnqc\pnstart1\pnindent720\pnhang {\pntxtb (}{\pntxta )}}\pard\plain \ltrpar\s22\ql \li0\ri0\sb240\keepn\nowidctlpar&#13;_x000a_\tx879\tx936\tx1021\tx1077\tx1134\tx1191\tx1247\tx1304\tx1361\tx1418\tx1474\tx1531\tx1588\tx1644\tx1701\tx1758\tx1814\tx1871\tx2070\tx2126\tx3374\tx3430\wrapdefault\aspalpha\aspnum\faauto\adjustright\rin0\lin0\itap0\pararsid2242834 \rtlch\fcs1 &#13;_x000a_\af0\afs20\alang1025 \ltrch\fcs0 \b\fs24\lang2057\langfe2057\cgrid\langnp2057\langfenp2057 {\rtlch\fcs1 \af0 \ltrch\fcs0 \cs17\b0\v\fs20\cf9\lang1024\langfe1024\loch\af1\hich\af1\dbch\af31501\noproof\langnp1036\insrsid2242834\charrsid4291528 &#13;_x000a_{\*\bkmkstart restart}\hich\af1\dbch\af31501\loch\f1 &lt;Amend&gt;}{\rtlch\fcs1 \af0 \ltrch\fcs0 \lang1036\langfe2057\langnp1036\insrsid2242834\charrsid4291528 [ZAMENDMENT]\tab \tab }{\rtlch\fcs1 \af0 \ltrch\fcs0 &#13;_x000a_\cs17\b0\v\fs20\cf9\lang1024\langfe1024\loch\af1\hich\af1\dbch\af31501\noproof\langnp1036\insrsid2242834\charrsid4291528 \hich\af1\dbch\af31501\loch\f1 &lt;NumAm&gt;}{\rtlch\fcs1 \af0 \ltrch\fcs0 \lang1036\langfe2057\langnp1036\insrsid2242834\charrsid4291528 &#13;_x000a_[ZNRAM]}{\rtlch\fcs1 \af0 \ltrch\fcs0 \cs17\b0\v\fs20\cf9\lang1024\langfe1024\loch\af1\hich\af1\dbch\af31501\noproof\langnp1036\insrsid2242834\charrsid4291528 \hich\af1\dbch\af31501\loch\f1 &lt;/NumAm&gt;}{\rtlch\fcs1 \af0 \ltrch\fcs0 &#13;_x000a_\lang1036\langfe2057\langnp1036\insrsid2242834\charrsid4291528 &#13;_x000a_\par }\pard\plain \ltrpar\s23\ql \li0\ri0\sb240\keepn\nowidctlpar\wrapdefault\aspalpha\aspnum\faauto\adjustright\rin0\lin0\itap0\pararsid2242834 \rtlch\fcs1 \af0\afs20\alang1025 \ltrch\fcs0 \b\fs24\lang2057\langfe2057\cgrid\langnp2057\langfenp2057 {&#13;_x000a_\rtlch\fcs1 \af0 \ltrch\fcs0 \cs17\b0\v\fs20\cf9\lang1024\langfe1024\loch\af1\hich\af1\dbch\af31501\noproof\langnp1036\insrsid2242834\charrsid4291528 \hich\af1\dbch\af31501\loch\f1 &lt;DocAmend&gt;}{\rtlch\fcs1 \af0 \ltrch\fcs0 &#13;_x000a_\lang1036\langfe2057\langnp1036\insrsid2242834\charrsid4291528 [}{\rtlch\fcs1 \af0 \ltrch\fcs0 \lang1036\langfe2057\langnp1036\insrsid2242834\charrsid3548259 ZPROPOSAL}{\rtlch\fcs1 \af0 \ltrch\fcs0 &#13;_x000a_\lang1036\langfe2057\langnp1036\insrsid2242834\charrsid4291528 ]}{\rtlch\fcs1 \af0 \ltrch\fcs0 \cs17\b0\v\fs20\cf9\lang1024\langfe1024\loch\af1\hich\af1\dbch\af31501\noproof\langnp1036\insrsid2242834\charrsid4291528 \hich\af1\dbch\af31501\loch\f1 &#13;_x000a_&lt;/DocAmend&gt;}{\rtlch\fcs1 \af0 \ltrch\fcs0 \lang1036\langfe2057\langnp1036\insrsid2242834\charrsid4291528 &#13;_x000a_\par }\pard\plain \ltrpar\s18\ql \li0\ri0\nowidctlpar\wrapdefault\aspalpha\aspnum\faauto\adjustright\rin0\lin0\itap0\pararsid2242834 \rtlch\fcs1 \af0\afs20\alang1025 \ltrch\fcs0 \b\fs24\lang2057\langfe2057\cgrid\langnp2057\langfenp2057 {\rtlch\fcs1 \af0 &#13;_x000a_\ltrch\fcs0 \cs17\b0\v\fs20\cf9\lang1024\langfe1024\loch\af1\hich\af1\dbch\af31501\noproof\langnp1036\insrsid2242834\charrsid4291528 \hich\af1\dbch\af31501\loch\f1 &lt;Article&gt;}{\rtlch\fcs1 \af0 \ltrch\fcs0 &#13;_x000a_\lang1036\langfe2057\langnp1036\insrsid2242834\charrsid4291528 [ZAMPART]}{\rtlch\fcs1 \af0 \ltrch\fcs0 \cs17\b0\v\fs20\cf9\lang1024\langfe1024\loch\af1\hich\af1\dbch\af31501\noproof\langnp1036\insrsid2242834\charrsid4291528 \hich\af1\dbch\af31501\loch\f1 &#13;_x000a_&lt;/Article&gt;}{\rtlch\fcs1 \af0 \ltrch\fcs0 \lang1036\langfe2057\langnp1036\insrsid2242834\charrsid4291528 &#13;_x000a_\par \ltrrow}\trowd \irow0\irowband0\ltrrow\ts11\trqc\trgaph340\trleft0\trftsWidth3\trwWidth9752\trftsWidthB3\trpaddl340\trpaddr340\trpaddfl3\trpaddft3\trpaddfb3\trpaddfr3\tblrsid9505846\tblind0\tblindtype3 \clvertalt\clbrdrt\brdrtbl \clbrdrl\brdrtbl \clbrdrb&#13;_x000a_\brdrtbl \clbrdrr\brdrtbl \cltxlrtb\clftsWidth3\clwWidth9752\clshdrawnil \cellx9752\pard\plain \ltrpar\ql \li0\ri0\keepn\widctlpar\intbl\wrapdefault\aspalpha\aspnum\faauto\adjustright\rin0\lin0\pararsid9505846 \rtlch\fcs1 \af0\afs20\alang1025 \ltrch\fcs0 &#13;_x000a_\fs24\lang2057\langfe2057\cgrid\langnp2057\langfenp2057 {\rtlch\fcs1 \af0 \ltrch\fcs0 \lang1036\langfe2057\langnp1036\insrsid2242834\charrsid4291528 \cell }\pard\plain \ltrpar&#13;_x000a_\ql \li0\ri0\widctlpar\intbl\wrapdefault\aspalpha\aspnum\faauto\adjustright\rin0\lin0 \rtlch\fcs1 \af0\afs20\alang1025 \ltrch\fcs0 \fs24\lang2057\langfe2057\cgrid\langnp2057\langfenp2057 {\rtlch\fcs1 \af0 \ltrch\fcs0 \insrsid2242834\charrsid4291528 &#13;_x000a_\trowd \irow0\irowband0\ltrrow\ts11\trqc\trgaph340\trleft0\trftsWidth3\trwWidth9752\trftsWidthB3\trpaddl340\trpaddr340\trpaddfl3\trpaddft3\trpaddfb3\trpaddfr3\tblrsid9505846\tblind0\tblindtype3 \clvertalt\clbrdrt\brdrtbl \clbrdrl\brdrtbl \clbrdrb\brdrtbl &#13;_x000a_\clbrdrr\brdrtbl \cltxlrtb\clftsWidth3\clwWidth9752\clshdrawnil \cellx9752\row \ltrrow}\trowd \irow1\irowband1\ltrrow&#13;_x000a_\ts11\trqc\trgaph340\trleft0\trftsWidth3\trwWidth9752\trftsWidthB3\trpaddl340\trpaddr340\trpaddfl3\trpaddft3\trpaddfb3\trpaddfr3\tblrsid9505846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pard\plain \ltrpar&#13;_x000a_\s21\qc \li0\ri0\sa240\keepn\nowidctlpar\intbl\wrapdefault\aspalpha\aspnum\faauto\adjustright\rin0\lin0\pararsid9505846 \rtlch\fcs1 \af0\afs20\alang1025 \ltrch\fcs0 \i\fs24\lang2057\langfe2057\cgrid\langnp2057\langfenp2057 {\rtlch\fcs1 \af0 \ltrch\fcs0 &#13;_x000a_\insrsid2242834\charrsid6708014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2242834\charrsid6708014 \trowd \irow1\irowband1\ltrrow&#13;_x000a_\ts11\trqc\trgaph340\trleft0\trftsWidth3\trwWidth9752\trftsWidthB3\trpaddl340\trpaddr340\trpaddfl3\trpaddft3\trpaddfb3\trpaddfr3\tblrsid9505846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\ltrrow}\pard\plain \ltrpar&#13;_x000a_\s20\ql \li0\ri0\sa120\nowidctlpar\intbl\wrapdefault\aspalpha\aspnum\faauto\adjustright\rin0\lin0\pararsid9505846 \rtlch\fcs1 \af0\afs20\alang1025 \ltrch\fcs0 \fs24\lang2057\langfe2057\cgrid\langnp2057\langfenp2057 {\rtlch\fcs1 \af0 \ltrch\fcs0 &#13;_x000a_\insrsid2242834\charrsid6708014 [ZTEXTL]\cell [ZTEXTR]}{\rtlch\fcs1 \af0\afs24 \ltrch\fcs0 \insrsid2242834\charrsid6708014 \cell }\pard\plain \ltrpar\ql \li0\ri0\widctlpar\intbl\wrapdefault\aspalpha\aspnum\faauto\adjustright\rin0\lin0 \rtlch\fcs1 &#13;_x000a_\af0\afs20\alang1025 \ltrch\fcs0 \fs24\lang2057\langfe2057\cgrid\langnp2057\langfenp2057 {\rtlch\fcs1 \af0 \ltrch\fcs0 \insrsid2242834\charrsid6708014 \trowd \irow2\irowband2\lastrow \ltrrow&#13;_x000a_\ts11\trqc\trgaph340\trleft0\trftsWidth3\trwWidth9752\trftsWidthB3\trpaddl340\trpaddr340\trpaddfl3\trpaddft3\trpaddfb3\trpaddfr3\tblrsid9505846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}\pard\plain \ltrpar&#13;_x000a_\s19\qr \li0\ri0\sb240\sa240\nowidctlpar\wrapdefault\aspalpha\aspnum\faauto\adjustright\rin0\lin0\itap0\pararsid2242834 \rtlch\fcs1 \af0\afs20\alang1025 \ltrch\fcs0 \fs24\lang2057\langfe2057\cgrid\langnp2057\langfenp2057 {\rtlch\fcs1 \af0 \ltrch\fcs0 &#13;_x000a_\insrsid2242834\charrsid6708014 Or. }{\rtlch\fcs1 \af0 \ltrch\fcs0 \cs17\v\fs20\cf9\lang1024\langfe1024\loch\af1\hich\af1\dbch\af31501\noproof\insrsid2242834\charrsid6708014 \hich\af1\dbch\af31501\loch\f1 &lt;Original&gt;}{\rtlch\fcs1 \af0 \ltrch\fcs0 &#13;_x000a_\insrsid2242834\charrsid6708014 [ZORLANG]}{\rtlch\fcs1 \af0 \ltrch\fcs0 \cs17\v\fs20\cf9\lang1024\langfe1024\loch\af1\hich\af1\dbch\af31501\noproof\insrsid2242834\charrsid6708014 \hich\af1\dbch\af31501\loch\f1 &lt;/Original&gt;}{\rtlch\fcs1 \af0 \ltrch\fcs0 &#13;_x000a_\insrsid2242834\charrsid6708014 &#13;_x000a_\par }\pard\plain \ltrpar\ql \li0\ri0\widctlpar\wrapdefault\aspalpha\aspnum\faauto\adjustright\rin0\lin0\itap0\pararsid2242834 \rtlch\fcs1 \af0\afs20\alang1025 \ltrch\fcs0 \fs24\lang2057\langfe2057\cgrid\langnp2057\langfenp2057 {\rtlch\fcs1 \af0 \ltrch\fcs0 &#13;_x000a_\cs17\v\fs20\cf9\lang1024\langfe1024\loch\af1\hich\af1\dbch\af31501\noproof\insrsid2242834\charrsid6708014 \hich\af1\dbch\af31501\loch\f1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b4&#13;_x000a_ebf4efacda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Next/>
      <w:widowControl/>
      <w:spacing w:before="240" w:after="240"/>
      <w:jc w:val="center"/>
      <w:outlineLvl w:val="9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PageHeadingNotTOC">
    <w:name w:val="PageHeadingNotTOC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PMissingStyle">
    <w:name w:val="P_MissingStyle"/>
    <w:basedOn w:val="Normal"/>
    <w:pPr>
      <w:widowControl/>
      <w:spacing w:after="0" w:line="240" w:lineRule="auto"/>
    </w:pPr>
    <w:rPr>
      <w:rFonts w:ascii="Times New Roman" w:eastAsia="Times New Roman" w:hAnsi="Times New Roman" w:cs="Times New Roman"/>
      <w:color w:val="FFFFFF"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customStyle="1" w:styleId="Normal24a">
    <w:name w:val="Normal24a"/>
    <w:basedOn w:val="Normal"/>
    <w:pPr>
      <w:widowControl/>
      <w:spacing w:after="480"/>
    </w:pPr>
  </w:style>
  <w:style w:type="character" w:customStyle="1" w:styleId="FooterChar">
    <w:name w:val="Footer Char"/>
    <w:rPr>
      <w:sz w:val="24"/>
    </w:rPr>
  </w:style>
  <w:style w:type="paragraph" w:customStyle="1" w:styleId="Arial14CentreBold">
    <w:name w:val="Arial14CentreBold"/>
    <w:basedOn w:val="Normal"/>
    <w:pPr>
      <w:widowControl w:val="0"/>
      <w:spacing w:after="0" w:line="240" w:lineRule="auto"/>
      <w:jc w:val="center"/>
    </w:pPr>
    <w:rPr>
      <w:rFonts w:ascii="Arial" w:eastAsia="Arial" w:hAnsi="Arial" w:cs="Arial"/>
      <w:b/>
      <w:sz w:val="28"/>
    </w:rPr>
  </w:style>
  <w:style w:type="paragraph" w:customStyle="1" w:styleId="ProcedureTable">
    <w:name w:val="ProcedureTable"/>
    <w:basedOn w:val="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ProcedureTableBold">
    <w:name w:val="ProcedureTableBold"/>
    <w:basedOn w:val="Normal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</w:rPr>
  </w:style>
  <w:style w:type="paragraph" w:customStyle="1" w:styleId="NormalTab">
    <w:name w:val="NormalTab"/>
    <w:basedOn w:val="Normal"/>
    <w:pPr>
      <w:widowControl w:val="0"/>
      <w:tabs>
        <w:tab w:val="center" w:pos="284"/>
        <w:tab w:val="left" w:pos="424"/>
      </w:tabs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NormalHanging">
    <w:name w:val="NormalHanging"/>
    <w:basedOn w:val="Normal"/>
    <w:pPr>
      <w:widowControl w:val="0"/>
      <w:overflowPunct/>
      <w:spacing w:after="240" w:line="240" w:lineRule="auto"/>
      <w:ind w:left="566" w:hanging="566"/>
    </w:pPr>
    <w:rPr>
      <w:rFonts w:ascii="Times New Roman" w:eastAsia="Times New Roman" w:hAnsi="Times New Roman" w:cs="Times New Roman"/>
      <w:sz w:val="24"/>
    </w:r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NormalCenter">
    <w:name w:val="NormalCenter"/>
    <w:basedOn w:val="Normal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7</Pages>
  <Words>793</Words>
  <Characters>4451</Characters>
  <Application>Microsoft Office Word</Application>
  <DocSecurity>0</DocSecurity>
  <Lines>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1352680</vt:lpwstr>
  </property>
  <property fmtid="{D5CDD505-2E9C-101B-9397-08002B2CF9AE}" pid="4" name="&lt;Model&gt;">
    <vt:lpwstr>PA_NonLeg</vt:lpwstr>
  </property>
  <property fmtid="{D5CDD505-2E9C-101B-9397-08002B2CF9AE}" pid="5" name="&lt;Type&gt;">
    <vt:lpwstr>PA</vt:lpwstr>
  </property>
  <property fmtid="{D5CDD505-2E9C-101B-9397-08002B2CF9AE}" pid="6" name="dmxml.render.id">
    <vt:lpwstr>658300</vt:lpwstr>
  </property>
  <property fmtid="{D5CDD505-2E9C-101B-9397-08002B2CF9AE}" pid="7" name="dmxml.render.traceId">
    <vt:lpwstr>6ad24335ac9a44d813b0ea1a935a1b73</vt:lpwstr>
  </property>
  <property fmtid="{D5CDD505-2E9C-101B-9397-08002B2CF9AE}" pid="8" name="FooterPath">
    <vt:lpwstr>PA\1352680EN.doc</vt:lpwstr>
  </property>
  <property fmtid="{D5CDD505-2E9C-101B-9397-08002B2CF9AE}" pid="9" name="PE Number">
    <vt:lpwstr>796.506</vt:lpwstr>
  </property>
  <property fmtid="{D5CDD505-2E9C-101B-9397-08002B2CF9AE}" pid="10" name="UID">
    <vt:lpwstr>eu.europa.europarl-DIN1-2026-0000283343_01.04-en-01.00_text-xml</vt:lpwstr>
  </property>
</Properties>
</file>