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FFEA61A" w14:textId="77777777" w:rsidTr="00C85D0F">
        <w:tblPrEx>
          <w:tblW w:w="9072" w:type="dxa"/>
          <w:tblCellMar>
            <w:left w:w="0" w:type="dxa"/>
            <w:right w:w="0" w:type="dxa"/>
          </w:tblCellMar>
          <w:tblLook w:val="01E0"/>
        </w:tblPrEx>
        <w:trPr>
          <w:trHeight w:hRule="exact" w:val="1418"/>
        </w:trPr>
        <w:tc>
          <w:tcPr>
            <w:tcW w:w="6804" w:type="dxa"/>
            <w:vAlign w:val="center"/>
          </w:tcPr>
          <w:p w:rsidR="00854CAC" w:rsidRPr="004B065C" w:rsidP="00C85D0F" w14:paraId="3336213A" w14:textId="61200AED">
            <w:pPr>
              <w:pStyle w:val="EPName"/>
            </w:pPr>
            <w:r w:rsidRPr="004B065C">
              <w:t>European Parliament</w:t>
            </w:r>
          </w:p>
          <w:p w:rsidR="00854CAC" w:rsidRPr="004B065C" w:rsidP="00C85D0F" w14:paraId="3EA57CBF" w14:textId="4E04E719">
            <w:pPr>
              <w:pStyle w:val="EPTerm"/>
            </w:pPr>
            <w:r w:rsidRPr="004B065C">
              <w:t>2024-2029</w:t>
            </w:r>
          </w:p>
        </w:tc>
        <w:tc>
          <w:tcPr>
            <w:tcW w:w="2268" w:type="dxa"/>
          </w:tcPr>
          <w:p w:rsidR="00854CAC" w:rsidRPr="004B065C" w:rsidP="00C85D0F" w14:paraId="6DAF7A95" w14:textId="77777777">
            <w:pPr>
              <w:pStyle w:val="EPLogo"/>
            </w:pPr>
            <w:r w:rsidRPr="004B065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0993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4B065C" w:rsidP="001746D0" w14:paraId="67373CF0" w14:textId="77777777">
      <w:pPr>
        <w:pStyle w:val="LineTop"/>
      </w:pPr>
    </w:p>
    <w:p w:rsidR="001746D0" w:rsidRPr="004B065C" w:rsidP="001746D0" w14:paraId="4D29A904" w14:textId="0B0BB57D">
      <w:pPr>
        <w:pStyle w:val="EPBody"/>
      </w:pPr>
      <w:r w:rsidRPr="004B065C">
        <w:rPr>
          <w:rStyle w:val="HideTWBExt"/>
        </w:rPr>
        <w:t>&lt;</w:t>
      </w:r>
      <w:r w:rsidRPr="004B065C">
        <w:rPr>
          <w:rStyle w:val="HideTWBExt"/>
          <w:i w:val="0"/>
        </w:rPr>
        <w:t>Commission</w:t>
      </w:r>
      <w:r w:rsidRPr="004B065C">
        <w:rPr>
          <w:rStyle w:val="HideTWBExt"/>
        </w:rPr>
        <w:t>&gt;</w:t>
      </w:r>
      <w:r w:rsidRPr="004B065C" w:rsidR="00173215">
        <w:rPr>
          <w:rStyle w:val="HideTWBInt"/>
          <w:i w:val="0"/>
        </w:rPr>
        <w:t>{BUDG}</w:t>
      </w:r>
      <w:r w:rsidRPr="004B065C" w:rsidR="00DE0045">
        <w:t>Committee on Budgets</w:t>
      </w:r>
      <w:r w:rsidRPr="004B065C">
        <w:rPr>
          <w:rStyle w:val="HideTWBExt"/>
        </w:rPr>
        <w:t>&lt;/</w:t>
      </w:r>
      <w:r w:rsidRPr="004B065C">
        <w:rPr>
          <w:rStyle w:val="HideTWBExt"/>
          <w:i w:val="0"/>
        </w:rPr>
        <w:t>Commission</w:t>
      </w:r>
      <w:r w:rsidRPr="004B065C">
        <w:rPr>
          <w:rStyle w:val="HideTWBExt"/>
        </w:rPr>
        <w:t>&gt;</w:t>
      </w:r>
    </w:p>
    <w:p w:rsidR="001746D0" w:rsidRPr="004B065C" w:rsidP="001746D0" w14:paraId="5245D286" w14:textId="77777777">
      <w:pPr>
        <w:pStyle w:val="LineBottom"/>
      </w:pPr>
    </w:p>
    <w:p w:rsidR="002E2F2E" w:rsidRPr="004B065C" w14:paraId="5BAA30E0" w14:textId="4F1F0D4E">
      <w:pPr>
        <w:pStyle w:val="CoverReference"/>
      </w:pPr>
      <w:r w:rsidRPr="004B065C">
        <w:rPr>
          <w:rStyle w:val="HideTWBExt"/>
          <w:b w:val="0"/>
        </w:rPr>
        <w:t>&lt;RefProc&gt;</w:t>
      </w:r>
      <w:r w:rsidRPr="004B065C" w:rsidR="009D0A61">
        <w:t>2026/0107</w:t>
      </w:r>
      <w:r w:rsidRPr="004B065C">
        <w:rPr>
          <w:rStyle w:val="HideTWBExt"/>
          <w:b w:val="0"/>
        </w:rPr>
        <w:t>&lt;/RefProc&gt;</w:t>
      </w:r>
      <w:r w:rsidRPr="004B065C" w:rsidR="001F21C1">
        <w:rPr>
          <w:rStyle w:val="HideTWBExt"/>
          <w:b w:val="0"/>
        </w:rPr>
        <w:t>&lt;RefTypeProc&gt;</w:t>
      </w:r>
      <w:r w:rsidRPr="004B065C" w:rsidR="00DE0045">
        <w:t>(</w:t>
      </w:r>
      <w:r w:rsidRPr="004B065C" w:rsidR="009D0A61">
        <w:t>NLE</w:t>
      </w:r>
      <w:r w:rsidRPr="004B065C" w:rsidR="00DE0045">
        <w:t>)</w:t>
      </w:r>
      <w:r w:rsidRPr="004B065C" w:rsidR="001F21C1">
        <w:rPr>
          <w:rStyle w:val="HideTWBExt"/>
          <w:b w:val="0"/>
        </w:rPr>
        <w:t>&lt;/RefTypeProc&gt;</w:t>
      </w:r>
    </w:p>
    <w:p w:rsidR="002E2F2E" w:rsidRPr="004B065C" w14:paraId="2B21E52E" w14:textId="26559A14">
      <w:pPr>
        <w:pStyle w:val="CoverDate"/>
      </w:pPr>
      <w:r w:rsidRPr="004B065C">
        <w:rPr>
          <w:rStyle w:val="HideTWBExt"/>
        </w:rPr>
        <w:t>&lt;Date&gt;</w:t>
      </w:r>
      <w:r w:rsidRPr="004B065C" w:rsidR="009D0A61">
        <w:rPr>
          <w:rStyle w:val="HideTWBInt"/>
        </w:rPr>
        <w:t>{22/10/2026}</w:t>
      </w:r>
      <w:r w:rsidRPr="004B065C" w:rsidR="009D0A61">
        <w:t>22.10.2026</w:t>
      </w:r>
      <w:r w:rsidRPr="004B065C">
        <w:rPr>
          <w:rStyle w:val="HideTWBExt"/>
        </w:rPr>
        <w:t>&lt;/Date&gt;</w:t>
      </w:r>
    </w:p>
    <w:p w:rsidR="002E2F2E" w:rsidRPr="004B065C" w14:paraId="4E61ED74" w14:textId="618ACEE4">
      <w:pPr>
        <w:pStyle w:val="CoverDocType24a"/>
      </w:pPr>
      <w:r w:rsidRPr="004B065C">
        <w:rPr>
          <w:rStyle w:val="HideTWBExt"/>
          <w:b w:val="0"/>
        </w:rPr>
        <w:t>&lt;TitreType&gt;</w:t>
      </w:r>
      <w:r w:rsidRPr="004B065C" w:rsidR="00DE0045">
        <w:t>DRAFT BUDGETARY ASSESSMENT</w:t>
      </w:r>
      <w:r w:rsidRPr="004B065C">
        <w:rPr>
          <w:rStyle w:val="HideTWBExt"/>
          <w:b w:val="0"/>
        </w:rPr>
        <w:t>&lt;/TitreType&gt;</w:t>
      </w:r>
    </w:p>
    <w:p w:rsidR="002E2F2E" w:rsidRPr="004B065C" w14:paraId="1DDF4985" w14:textId="37E783AA">
      <w:pPr>
        <w:pStyle w:val="CoverNormal24a"/>
      </w:pPr>
      <w:r w:rsidRPr="004B065C">
        <w:rPr>
          <w:rStyle w:val="HideTWBExt"/>
        </w:rPr>
        <w:t>&lt;CommissionResp&gt;</w:t>
      </w:r>
      <w:r w:rsidRPr="004B065C" w:rsidR="00DE0045">
        <w:t>of the Committee on Budgets</w:t>
      </w:r>
      <w:r w:rsidRPr="004B065C">
        <w:rPr>
          <w:rStyle w:val="HideTWBExt"/>
        </w:rPr>
        <w:t>&lt;/CommissionResp&gt;</w:t>
      </w:r>
    </w:p>
    <w:p w:rsidR="002E2F2E" w:rsidRPr="004B065C" w14:paraId="1A1426A5" w14:textId="7ACB69AB">
      <w:pPr>
        <w:pStyle w:val="CoverNormal24a"/>
      </w:pPr>
      <w:r w:rsidRPr="004B065C">
        <w:rPr>
          <w:rStyle w:val="HideTWBExt"/>
        </w:rPr>
        <w:t>&lt;CommissionInt&gt;</w:t>
      </w:r>
      <w:r w:rsidRPr="004B065C" w:rsidR="00DE0045">
        <w:t xml:space="preserve">for the </w:t>
      </w:r>
      <w:r w:rsidRPr="004B065C" w:rsidR="009D0A61">
        <w:t>Committee on Fisheries</w:t>
      </w:r>
      <w:r w:rsidRPr="004B065C">
        <w:rPr>
          <w:rStyle w:val="HideTWBExt"/>
        </w:rPr>
        <w:t>&lt;/CommissionInt&gt;</w:t>
      </w:r>
    </w:p>
    <w:p w:rsidR="002E2F2E" w:rsidRPr="004B065C" w14:paraId="121B4BAE" w14:textId="2FC219F8">
      <w:pPr>
        <w:pStyle w:val="CoverNormal"/>
      </w:pPr>
      <w:r w:rsidRPr="004B065C">
        <w:rPr>
          <w:rStyle w:val="HideTWBExt"/>
        </w:rPr>
        <w:t>&lt;Titre&gt;</w:t>
      </w:r>
      <w:r w:rsidRPr="004B065C" w:rsidR="009D0A61">
        <w:t xml:space="preserve">on the </w:t>
      </w:r>
      <w:r w:rsidRPr="004B065C" w:rsidR="006056D8">
        <w:t>draft</w:t>
      </w:r>
      <w:r w:rsidRPr="004B065C" w:rsidR="009D0A61">
        <w:t xml:space="preserve"> Council decision on the conclusion, on behalf of the European Union, of the Protocol on the implementation of the Sustainable Fisheries Partnership Agreement between the European Union and the Republic of Seychelles (2026-2030)</w:t>
      </w:r>
      <w:r w:rsidRPr="004B065C">
        <w:rPr>
          <w:rStyle w:val="HideTWBExt"/>
        </w:rPr>
        <w:t>&lt;/Titre&gt;</w:t>
      </w:r>
    </w:p>
    <w:p w:rsidR="002E2F2E" w:rsidRPr="004B065C" w14:paraId="3C330D7B" w14:textId="446B0108">
      <w:pPr>
        <w:pStyle w:val="CoverNormal24a"/>
      </w:pPr>
      <w:r w:rsidRPr="004B065C">
        <w:rPr>
          <w:rStyle w:val="HideTWBExt"/>
        </w:rPr>
        <w:t>&lt;DocRef&gt;</w:t>
      </w:r>
      <w:r w:rsidRPr="004B065C" w:rsidR="00DE0045">
        <w:t>(</w:t>
      </w:r>
      <w:r w:rsidRPr="004B065C" w:rsidR="006056D8">
        <w:t>09200/2026</w:t>
      </w:r>
      <w:r w:rsidRPr="004B065C" w:rsidR="00DE0045">
        <w:t xml:space="preserve"> </w:t>
      </w:r>
      <w:r w:rsidRPr="004B065C" w:rsidR="009D0A61">
        <w:t>–</w:t>
      </w:r>
      <w:r w:rsidRPr="004B065C" w:rsidR="00DE0045">
        <w:t xml:space="preserve"> </w:t>
      </w:r>
      <w:r w:rsidRPr="004B065C" w:rsidR="009D0A61">
        <w:t>C10</w:t>
      </w:r>
      <w:r w:rsidRPr="004B065C" w:rsidR="009D0A61">
        <w:noBreakHyphen/>
        <w:t>0195/2026</w:t>
      </w:r>
      <w:r w:rsidRPr="004B065C" w:rsidR="00DE0045">
        <w:t xml:space="preserve"> </w:t>
      </w:r>
      <w:r w:rsidRPr="004B065C" w:rsidR="009D0A61">
        <w:t>–</w:t>
      </w:r>
      <w:r w:rsidRPr="004B065C" w:rsidR="00DE0045">
        <w:t xml:space="preserve"> </w:t>
      </w:r>
      <w:r w:rsidRPr="004B065C" w:rsidR="009D0A61">
        <w:t>2026/0107</w:t>
      </w:r>
      <w:r w:rsidRPr="004B065C" w:rsidR="00DE0045">
        <w:t>(</w:t>
      </w:r>
      <w:r w:rsidRPr="004B065C" w:rsidR="009D0A61">
        <w:t>NLE</w:t>
      </w:r>
      <w:r w:rsidRPr="004B065C" w:rsidR="00DE0045">
        <w:t>))</w:t>
      </w:r>
      <w:r w:rsidRPr="004B065C">
        <w:rPr>
          <w:rStyle w:val="HideTWBExt"/>
        </w:rPr>
        <w:t>&lt;/DocRef&gt;</w:t>
      </w:r>
    </w:p>
    <w:p w:rsidR="00A72C35" w:rsidRPr="004B065C" w:rsidP="00FC42F1" w14:paraId="0D98F52A" w14:textId="7AFD89CE">
      <w:pPr>
        <w:pStyle w:val="CoverNormal24a"/>
      </w:pPr>
      <w:r w:rsidRPr="004B065C">
        <w:t>Rapporteur for budgetary assessment:</w:t>
      </w:r>
      <w:r w:rsidRPr="004B065C" w:rsidR="002E2F2E">
        <w:t xml:space="preserve"> </w:t>
      </w:r>
      <w:r w:rsidRPr="004B065C" w:rsidR="002E2F2E">
        <w:rPr>
          <w:rStyle w:val="HideTWBExt"/>
        </w:rPr>
        <w:t>&lt;Depute&gt;</w:t>
      </w:r>
      <w:r w:rsidRPr="004B065C" w:rsidR="009D0A61">
        <w:t>Céline Imart</w:t>
      </w:r>
      <w:r w:rsidRPr="004B065C" w:rsidR="002E2F2E">
        <w:rPr>
          <w:rStyle w:val="HideTWBExt"/>
        </w:rPr>
        <w:t>&lt;/Depute&gt;</w:t>
      </w:r>
    </w:p>
    <w:p w:rsidR="002E2F2E" w:rsidRPr="004B065C" w:rsidP="00E856D2" w14:paraId="4001F8B1" w14:textId="33BC9309">
      <w:pPr>
        <w:widowControl/>
        <w:tabs>
          <w:tab w:val="center" w:pos="4677"/>
        </w:tabs>
      </w:pPr>
      <w:r w:rsidRPr="004B065C">
        <w:br w:type="page"/>
      </w:r>
      <w:r w:rsidRPr="004B065C" w:rsidR="00DE0045">
        <w:t>PA_LegEvaluation</w:t>
      </w:r>
    </w:p>
    <w:p w:rsidR="002E2F2E" w:rsidRPr="004B065C" w:rsidP="00757C4C" w14:paraId="26AE6D21" w14:textId="0D3A0EAD">
      <w:pPr>
        <w:pStyle w:val="PageHeadingNotTOC"/>
      </w:pPr>
      <w:r w:rsidRPr="004B065C">
        <w:br w:type="page"/>
      </w:r>
      <w:r w:rsidRPr="004B065C" w:rsidR="00DE0045">
        <w:t>BUDGETARY ASSESSMENT</w:t>
      </w:r>
    </w:p>
    <w:p w:rsidR="00757C4C" w:rsidRPr="004B065C" w:rsidP="00757C4C" w14:paraId="0C9D41C4" w14:textId="58136F40">
      <w:pPr>
        <w:pStyle w:val="NormalBold"/>
      </w:pPr>
      <w:r w:rsidRPr="004B065C">
        <w:t xml:space="preserve">for the </w:t>
      </w:r>
      <w:r w:rsidRPr="004B065C" w:rsidR="009D0A61">
        <w:t>Committee on Fisheries</w:t>
      </w:r>
      <w:r w:rsidRPr="004B065C">
        <w:t xml:space="preserve"> </w:t>
      </w:r>
      <w:r w:rsidRPr="004B065C" w:rsidR="009D0A61">
        <w:t xml:space="preserve">on the </w:t>
      </w:r>
      <w:r w:rsidRPr="004B065C" w:rsidR="006056D8">
        <w:t>draft</w:t>
      </w:r>
      <w:r w:rsidRPr="004B065C" w:rsidR="009D0A61">
        <w:t xml:space="preserve"> Council decision on the conclusion, on behalf of the European Union, of the Protocol on the implementation of the Sustainable Fisheries Partnership Agreement between the European Union and the Republic of Seychelles (2026-2030)</w:t>
      </w:r>
    </w:p>
    <w:p w:rsidR="00006F54" w:rsidRPr="004B065C" w:rsidP="00006F54" w14:paraId="07F0A737" w14:textId="7C9FDC96">
      <w:pPr>
        <w:pStyle w:val="NormalBold"/>
      </w:pPr>
      <w:r w:rsidRPr="004B065C">
        <w:t>(</w:t>
      </w:r>
      <w:r w:rsidRPr="004B065C" w:rsidR="006056D8">
        <w:t>09200/2026</w:t>
      </w:r>
      <w:r w:rsidRPr="004B065C">
        <w:t xml:space="preserve"> </w:t>
      </w:r>
      <w:r w:rsidRPr="004B065C" w:rsidR="009D0A61">
        <w:t>–</w:t>
      </w:r>
      <w:r w:rsidRPr="004B065C">
        <w:t xml:space="preserve"> </w:t>
      </w:r>
      <w:r w:rsidRPr="004B065C" w:rsidR="009D0A61">
        <w:t>C10</w:t>
      </w:r>
      <w:r w:rsidRPr="004B065C" w:rsidR="009D0A61">
        <w:noBreakHyphen/>
        <w:t>0195/2026</w:t>
      </w:r>
      <w:r w:rsidRPr="004B065C">
        <w:t xml:space="preserve"> </w:t>
      </w:r>
      <w:r w:rsidRPr="004B065C" w:rsidR="009D0A61">
        <w:t>–</w:t>
      </w:r>
      <w:r w:rsidRPr="004B065C">
        <w:t xml:space="preserve"> </w:t>
      </w:r>
      <w:r w:rsidRPr="004B065C" w:rsidR="009D0A61">
        <w:t>2026/0107</w:t>
      </w:r>
      <w:r w:rsidRPr="004B065C">
        <w:t>(</w:t>
      </w:r>
      <w:r w:rsidRPr="004B065C" w:rsidR="009D0A61">
        <w:t>NLE</w:t>
      </w:r>
      <w:r w:rsidRPr="004B065C">
        <w:t>))</w:t>
      </w:r>
    </w:p>
    <w:p w:rsidR="00AE79AF" w:rsidRPr="004B065C" w:rsidP="00006F54" w14:paraId="364BA67F" w14:textId="636D9B75">
      <w:pPr>
        <w:pStyle w:val="Normal12a"/>
        <w:spacing w:before="480"/>
      </w:pPr>
      <w:r w:rsidRPr="004B065C">
        <w:rPr>
          <w:rStyle w:val="HideTWBExt"/>
        </w:rPr>
        <w:t>&lt;Intro&gt;</w:t>
      </w:r>
      <w:r w:rsidRPr="004B065C" w:rsidR="00DE0045">
        <w:t xml:space="preserve">The Committee on Budgets has carried out a budgetary assessment of the </w:t>
      </w:r>
      <w:r w:rsidRPr="004B065C" w:rsidR="009D0A61">
        <w:t>proposal</w:t>
      </w:r>
      <w:r w:rsidRPr="004B065C" w:rsidR="00DE0045">
        <w:t xml:space="preserve"> under Rule 58 of the Rules of Procedure and has reached the following conclusions:</w:t>
      </w:r>
      <w:r w:rsidRPr="004B065C">
        <w:rPr>
          <w:rStyle w:val="HideTWBExt"/>
        </w:rPr>
        <w:t>&lt;/Intro&gt;</w:t>
      </w:r>
    </w:p>
    <w:p w:rsidR="00CE6558" w:rsidRPr="004B065C" w:rsidP="00CE6558" w14:paraId="0F3F34D9" w14:textId="3DF5DA60">
      <w:pPr>
        <w:pStyle w:val="EPComma"/>
      </w:pPr>
      <w:r w:rsidRPr="004B065C">
        <w:rPr>
          <w:i/>
        </w:rPr>
        <w:t>The Committee on Budgets</w:t>
      </w:r>
      <w:r w:rsidRPr="004B065C">
        <w:t>,</w:t>
      </w:r>
    </w:p>
    <w:p w:rsidR="009D0A61" w:rsidRPr="004B065C" w:rsidP="009D0A61" w14:paraId="6C34F4F2" w14:textId="77777777">
      <w:pPr>
        <w:pStyle w:val="NormalHanging12a"/>
      </w:pPr>
      <w:r w:rsidRPr="004B065C">
        <w:t>A.</w:t>
      </w:r>
      <w:r w:rsidRPr="004B065C">
        <w:tab/>
        <w:t>whereas the previous six-year Protocol with the Republic of Seychelles expired on 23 February 2026;</w:t>
      </w:r>
    </w:p>
    <w:p w:rsidR="009D0A61" w:rsidRPr="004B065C" w:rsidP="009D0A61" w14:paraId="46A5D310" w14:textId="77777777">
      <w:pPr>
        <w:pStyle w:val="NormalHanging12a"/>
      </w:pPr>
      <w:r w:rsidRPr="004B065C">
        <w:t>B.</w:t>
      </w:r>
      <w:r w:rsidRPr="004B065C">
        <w:tab/>
        <w:t>whereas the annual financial contribution to the new Protocol for the duration of its four-year period is EUR 5 750 000, based on:</w:t>
      </w:r>
    </w:p>
    <w:p w:rsidR="009D0A61" w:rsidRPr="004B065C" w:rsidP="009D0A61" w14:paraId="629EDD0F" w14:textId="77777777">
      <w:pPr>
        <w:pStyle w:val="NormalHanging12a"/>
        <w:ind w:left="1437" w:hanging="870"/>
      </w:pPr>
      <w:r w:rsidRPr="004B065C">
        <w:t>(a)</w:t>
      </w:r>
      <w:r w:rsidRPr="004B065C">
        <w:tab/>
        <w:t>an annual amount of EUR 2 750 000, equivalent to a reference tonnage of 55 000 tonnes per year; and</w:t>
      </w:r>
    </w:p>
    <w:p w:rsidR="009D0A61" w:rsidRPr="004B065C" w:rsidP="009D0A61" w14:paraId="039376E6" w14:textId="77777777">
      <w:pPr>
        <w:pStyle w:val="NormalHanging12a"/>
        <w:ind w:left="1437" w:hanging="870"/>
      </w:pPr>
      <w:r w:rsidRPr="004B065C">
        <w:t>(b)</w:t>
      </w:r>
      <w:r w:rsidRPr="004B065C">
        <w:tab/>
        <w:t>a specific annual sectoral support amount of EUR 3 000 000 to help implement Seychelles’ sectoral fisheries policy;</w:t>
      </w:r>
    </w:p>
    <w:p w:rsidR="009D0A61" w:rsidRPr="004B065C" w:rsidP="009D0A61" w14:paraId="4B44FEFD" w14:textId="77777777">
      <w:pPr>
        <w:pStyle w:val="NormalHanging12a"/>
      </w:pPr>
      <w:r w:rsidRPr="004B065C">
        <w:t>C.</w:t>
      </w:r>
      <w:r w:rsidRPr="004B065C">
        <w:tab/>
        <w:t>whereas the implementation of the Protocol requires the use of operational appropriations, as explained below:</w:t>
      </w:r>
    </w:p>
    <w:tbl>
      <w:tblPr>
        <w:tblW w:w="7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23"/>
        <w:gridCol w:w="1490"/>
        <w:gridCol w:w="769"/>
        <w:gridCol w:w="770"/>
        <w:gridCol w:w="769"/>
        <w:gridCol w:w="932"/>
        <w:gridCol w:w="1017"/>
      </w:tblGrid>
      <w:tr w14:paraId="562EDF5D" w14:textId="77777777">
        <w:tblPrEx>
          <w:tblW w:w="7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61"/>
          <w:jc w:val="center"/>
        </w:trPr>
        <w:tc>
          <w:tcPr>
            <w:tcW w:w="2912" w:type="dxa"/>
            <w:gridSpan w:val="2"/>
            <w:tcBorders>
              <w:top w:val="single" w:sz="4" w:space="0" w:color="auto"/>
              <w:left w:val="single" w:sz="4" w:space="0" w:color="auto"/>
              <w:bottom w:val="single" w:sz="4" w:space="0" w:color="auto"/>
              <w:right w:val="single" w:sz="4" w:space="0" w:color="auto"/>
            </w:tcBorders>
            <w:vAlign w:val="center"/>
            <w:hideMark/>
          </w:tcPr>
          <w:p w:rsidR="009D0A61" w:rsidRPr="004B065C" w14:paraId="30F71AE9" w14:textId="77777777">
            <w:pPr>
              <w:jc w:val="center"/>
              <w:rPr>
                <w:noProof/>
                <w:sz w:val="22"/>
                <w:szCs w:val="22"/>
              </w:rPr>
            </w:pPr>
            <w:r w:rsidRPr="004B065C">
              <w:rPr>
                <w:noProof/>
                <w:sz w:val="22"/>
                <w:szCs w:val="22"/>
              </w:rPr>
              <w:t>DG MARE</w:t>
            </w:r>
          </w:p>
        </w:tc>
        <w:tc>
          <w:tcPr>
            <w:tcW w:w="769" w:type="dxa"/>
            <w:tcBorders>
              <w:top w:val="single" w:sz="4" w:space="0" w:color="auto"/>
              <w:left w:val="single" w:sz="4" w:space="0" w:color="auto"/>
              <w:bottom w:val="single" w:sz="4" w:space="0" w:color="auto"/>
              <w:right w:val="single" w:sz="4" w:space="0" w:color="auto"/>
            </w:tcBorders>
            <w:vAlign w:val="center"/>
            <w:hideMark/>
          </w:tcPr>
          <w:p w:rsidR="009D0A61" w:rsidRPr="004B065C" w14:paraId="12D01ECF" w14:textId="77777777">
            <w:pPr>
              <w:jc w:val="center"/>
              <w:rPr>
                <w:noProof/>
                <w:sz w:val="22"/>
                <w:szCs w:val="22"/>
              </w:rPr>
            </w:pPr>
            <w:r w:rsidRPr="004B065C">
              <w:rPr>
                <w:noProof/>
                <w:sz w:val="22"/>
                <w:szCs w:val="22"/>
              </w:rPr>
              <w:t xml:space="preserve">Year </w:t>
            </w:r>
            <w:r w:rsidRPr="004B065C">
              <w:rPr>
                <w:noProof/>
                <w:sz w:val="22"/>
                <w:szCs w:val="22"/>
              </w:rPr>
              <w:br/>
            </w:r>
            <w:r w:rsidRPr="004B065C">
              <w:rPr>
                <w:b/>
                <w:noProof/>
                <w:sz w:val="22"/>
                <w:szCs w:val="22"/>
              </w:rPr>
              <w:t>2026</w:t>
            </w:r>
          </w:p>
        </w:tc>
        <w:tc>
          <w:tcPr>
            <w:tcW w:w="769" w:type="dxa"/>
            <w:tcBorders>
              <w:top w:val="single" w:sz="4" w:space="0" w:color="auto"/>
              <w:left w:val="single" w:sz="4" w:space="0" w:color="auto"/>
              <w:bottom w:val="single" w:sz="4" w:space="0" w:color="auto"/>
              <w:right w:val="single" w:sz="4" w:space="0" w:color="auto"/>
            </w:tcBorders>
            <w:vAlign w:val="center"/>
            <w:hideMark/>
          </w:tcPr>
          <w:p w:rsidR="009D0A61" w:rsidRPr="004B065C" w14:paraId="553AAD96" w14:textId="77777777">
            <w:pPr>
              <w:jc w:val="center"/>
              <w:rPr>
                <w:noProof/>
                <w:sz w:val="22"/>
                <w:szCs w:val="22"/>
              </w:rPr>
            </w:pPr>
            <w:r w:rsidRPr="004B065C">
              <w:rPr>
                <w:noProof/>
                <w:sz w:val="22"/>
                <w:szCs w:val="22"/>
              </w:rPr>
              <w:t xml:space="preserve">Year </w:t>
            </w:r>
            <w:r w:rsidRPr="004B065C">
              <w:rPr>
                <w:noProof/>
                <w:sz w:val="22"/>
                <w:szCs w:val="22"/>
              </w:rPr>
              <w:br/>
            </w:r>
            <w:r w:rsidRPr="004B065C">
              <w:rPr>
                <w:b/>
                <w:noProof/>
                <w:sz w:val="22"/>
                <w:szCs w:val="22"/>
              </w:rPr>
              <w:t>2027</w:t>
            </w:r>
          </w:p>
        </w:tc>
        <w:tc>
          <w:tcPr>
            <w:tcW w:w="768" w:type="dxa"/>
            <w:tcBorders>
              <w:top w:val="single" w:sz="4" w:space="0" w:color="auto"/>
              <w:left w:val="single" w:sz="4" w:space="0" w:color="auto"/>
              <w:bottom w:val="single" w:sz="4" w:space="0" w:color="auto"/>
              <w:right w:val="single" w:sz="4" w:space="0" w:color="auto"/>
            </w:tcBorders>
            <w:vAlign w:val="center"/>
            <w:hideMark/>
          </w:tcPr>
          <w:p w:rsidR="009D0A61" w:rsidRPr="004B065C" w14:paraId="47222AC9" w14:textId="77777777">
            <w:pPr>
              <w:jc w:val="center"/>
              <w:rPr>
                <w:noProof/>
                <w:sz w:val="22"/>
                <w:szCs w:val="22"/>
              </w:rPr>
            </w:pPr>
            <w:r w:rsidRPr="004B065C">
              <w:rPr>
                <w:noProof/>
                <w:sz w:val="22"/>
                <w:szCs w:val="22"/>
              </w:rPr>
              <w:t xml:space="preserve">Year </w:t>
            </w:r>
            <w:r w:rsidRPr="004B065C">
              <w:rPr>
                <w:noProof/>
                <w:sz w:val="22"/>
                <w:szCs w:val="22"/>
              </w:rPr>
              <w:br/>
            </w:r>
            <w:r w:rsidRPr="004B065C">
              <w:rPr>
                <w:b/>
                <w:noProof/>
                <w:sz w:val="22"/>
                <w:szCs w:val="22"/>
              </w:rPr>
              <w:t>2028</w:t>
            </w:r>
          </w:p>
        </w:tc>
        <w:tc>
          <w:tcPr>
            <w:tcW w:w="931" w:type="dxa"/>
            <w:tcBorders>
              <w:top w:val="single" w:sz="4" w:space="0" w:color="auto"/>
              <w:left w:val="single" w:sz="4" w:space="0" w:color="auto"/>
              <w:bottom w:val="single" w:sz="4" w:space="0" w:color="auto"/>
              <w:right w:val="single" w:sz="4" w:space="0" w:color="auto"/>
            </w:tcBorders>
            <w:hideMark/>
          </w:tcPr>
          <w:p w:rsidR="009D0A61" w:rsidRPr="004B065C" w14:paraId="04D02BF4" w14:textId="77777777">
            <w:pPr>
              <w:jc w:val="center"/>
              <w:rPr>
                <w:b/>
                <w:noProof/>
                <w:sz w:val="22"/>
                <w:szCs w:val="22"/>
              </w:rPr>
            </w:pPr>
            <w:r w:rsidRPr="004B065C">
              <w:rPr>
                <w:noProof/>
                <w:sz w:val="22"/>
                <w:szCs w:val="22"/>
              </w:rPr>
              <w:t xml:space="preserve">Year </w:t>
            </w:r>
            <w:r w:rsidRPr="004B065C">
              <w:rPr>
                <w:noProof/>
                <w:sz w:val="22"/>
                <w:szCs w:val="22"/>
              </w:rPr>
              <w:br/>
            </w:r>
            <w:r w:rsidRPr="004B065C">
              <w:rPr>
                <w:b/>
                <w:noProof/>
                <w:sz w:val="22"/>
                <w:szCs w:val="22"/>
              </w:rPr>
              <w:t>2029</w:t>
            </w:r>
          </w:p>
        </w:tc>
        <w:tc>
          <w:tcPr>
            <w:tcW w:w="1016" w:type="dxa"/>
            <w:tcBorders>
              <w:top w:val="single" w:sz="4" w:space="0" w:color="auto"/>
              <w:left w:val="single" w:sz="4" w:space="0" w:color="auto"/>
              <w:bottom w:val="single" w:sz="4" w:space="0" w:color="auto"/>
              <w:right w:val="single" w:sz="4" w:space="0" w:color="auto"/>
            </w:tcBorders>
            <w:vAlign w:val="center"/>
            <w:hideMark/>
          </w:tcPr>
          <w:p w:rsidR="009D0A61" w:rsidRPr="004B065C" w14:paraId="4132D554" w14:textId="77777777">
            <w:pPr>
              <w:jc w:val="center"/>
              <w:rPr>
                <w:b/>
                <w:noProof/>
                <w:sz w:val="22"/>
                <w:szCs w:val="22"/>
              </w:rPr>
            </w:pPr>
            <w:r w:rsidRPr="004B065C">
              <w:rPr>
                <w:b/>
                <w:noProof/>
                <w:sz w:val="22"/>
                <w:szCs w:val="22"/>
              </w:rPr>
              <w:t>TOTAL</w:t>
            </w:r>
          </w:p>
        </w:tc>
      </w:tr>
      <w:tr w14:paraId="187B75E1" w14:textId="77777777">
        <w:tblPrEx>
          <w:tblW w:w="7170" w:type="dxa"/>
          <w:jc w:val="center"/>
          <w:tblLayout w:type="fixed"/>
          <w:tblLook w:val="01E0"/>
        </w:tblPrEx>
        <w:trPr>
          <w:trHeight w:val="99"/>
          <w:jc w:val="center"/>
        </w:trPr>
        <w:tc>
          <w:tcPr>
            <w:tcW w:w="7165" w:type="dxa"/>
            <w:gridSpan w:val="7"/>
            <w:tcBorders>
              <w:top w:val="single" w:sz="4" w:space="0" w:color="auto"/>
              <w:left w:val="single" w:sz="4" w:space="0" w:color="auto"/>
              <w:bottom w:val="single" w:sz="4" w:space="0" w:color="auto"/>
              <w:right w:val="single" w:sz="4" w:space="0" w:color="auto"/>
            </w:tcBorders>
            <w:vAlign w:val="center"/>
            <w:hideMark/>
          </w:tcPr>
          <w:p w:rsidR="009D0A61" w:rsidRPr="004B065C" w14:paraId="5F3BE98B" w14:textId="77777777">
            <w:pPr>
              <w:rPr>
                <w:b/>
                <w:noProof/>
                <w:sz w:val="22"/>
                <w:szCs w:val="22"/>
              </w:rPr>
            </w:pPr>
            <w:r w:rsidRPr="004B065C">
              <w:rPr>
                <w:noProof/>
                <w:sz w:val="22"/>
                <w:szCs w:val="22"/>
              </w:rPr>
              <w:t>Operational appropriations</w:t>
            </w:r>
          </w:p>
        </w:tc>
      </w:tr>
      <w:tr w14:paraId="24204E0D" w14:textId="77777777">
        <w:tblPrEx>
          <w:tblW w:w="7170" w:type="dxa"/>
          <w:jc w:val="center"/>
          <w:tblLayout w:type="fixed"/>
          <w:tblLook w:val="01E0"/>
        </w:tblPrEx>
        <w:trPr>
          <w:trHeight w:val="131"/>
          <w:jc w:val="center"/>
        </w:trPr>
        <w:tc>
          <w:tcPr>
            <w:tcW w:w="1423" w:type="dxa"/>
            <w:vMerge w:val="restart"/>
            <w:tcBorders>
              <w:top w:val="single" w:sz="4" w:space="0" w:color="auto"/>
              <w:left w:val="single" w:sz="4" w:space="0" w:color="auto"/>
              <w:bottom w:val="single" w:sz="4" w:space="0" w:color="auto"/>
              <w:right w:val="single" w:sz="4" w:space="0" w:color="auto"/>
            </w:tcBorders>
            <w:vAlign w:val="center"/>
            <w:hideMark/>
          </w:tcPr>
          <w:p w:rsidR="009D0A61" w:rsidRPr="004B065C" w14:paraId="5366004B" w14:textId="77777777">
            <w:pPr>
              <w:rPr>
                <w:noProof/>
                <w:sz w:val="22"/>
                <w:szCs w:val="22"/>
              </w:rPr>
            </w:pPr>
            <w:r w:rsidRPr="004B065C">
              <w:rPr>
                <w:noProof/>
                <w:sz w:val="22"/>
                <w:szCs w:val="22"/>
              </w:rPr>
              <w:t>Budget line 08 05 01</w:t>
            </w:r>
          </w:p>
        </w:tc>
        <w:tc>
          <w:tcPr>
            <w:tcW w:w="1489" w:type="dxa"/>
            <w:tcBorders>
              <w:top w:val="single" w:sz="4" w:space="0" w:color="auto"/>
              <w:left w:val="single" w:sz="4" w:space="0" w:color="auto"/>
              <w:bottom w:val="single" w:sz="4" w:space="0" w:color="auto"/>
              <w:right w:val="single" w:sz="4" w:space="0" w:color="auto"/>
            </w:tcBorders>
            <w:vAlign w:val="center"/>
            <w:hideMark/>
          </w:tcPr>
          <w:p w:rsidR="009D0A61" w:rsidRPr="004B065C" w14:paraId="0B2628FF" w14:textId="77777777">
            <w:pPr>
              <w:spacing w:before="20" w:after="20"/>
              <w:rPr>
                <w:noProof/>
                <w:sz w:val="22"/>
                <w:szCs w:val="22"/>
              </w:rPr>
            </w:pPr>
            <w:r w:rsidRPr="004B065C">
              <w:rPr>
                <w:noProof/>
                <w:sz w:val="22"/>
                <w:szCs w:val="22"/>
              </w:rPr>
              <w:t>Commitments</w:t>
            </w:r>
          </w:p>
        </w:tc>
        <w:tc>
          <w:tcPr>
            <w:tcW w:w="769" w:type="dxa"/>
            <w:tcBorders>
              <w:top w:val="single" w:sz="4" w:space="0" w:color="auto"/>
              <w:left w:val="single" w:sz="4" w:space="0" w:color="auto"/>
              <w:bottom w:val="single" w:sz="4" w:space="0" w:color="auto"/>
              <w:right w:val="single" w:sz="4" w:space="0" w:color="auto"/>
            </w:tcBorders>
            <w:hideMark/>
          </w:tcPr>
          <w:p w:rsidR="009D0A61" w:rsidRPr="004B065C" w14:paraId="51FF79C1" w14:textId="77777777">
            <w:pPr>
              <w:spacing w:before="20" w:after="20"/>
              <w:jc w:val="center"/>
              <w:rPr>
                <w:noProof/>
                <w:sz w:val="22"/>
                <w:szCs w:val="22"/>
              </w:rPr>
            </w:pPr>
            <w:r w:rsidRPr="004B065C">
              <w:rPr>
                <w:bCs/>
                <w:noProof/>
                <w:sz w:val="22"/>
                <w:szCs w:val="22"/>
              </w:rPr>
              <w:t>5.750</w:t>
            </w:r>
          </w:p>
        </w:tc>
        <w:tc>
          <w:tcPr>
            <w:tcW w:w="769" w:type="dxa"/>
            <w:tcBorders>
              <w:top w:val="single" w:sz="4" w:space="0" w:color="auto"/>
              <w:left w:val="single" w:sz="4" w:space="0" w:color="auto"/>
              <w:bottom w:val="single" w:sz="4" w:space="0" w:color="auto"/>
              <w:right w:val="single" w:sz="4" w:space="0" w:color="auto"/>
            </w:tcBorders>
            <w:hideMark/>
          </w:tcPr>
          <w:p w:rsidR="009D0A61" w:rsidRPr="004B065C" w14:paraId="50EEC704" w14:textId="77777777">
            <w:pPr>
              <w:spacing w:before="20" w:after="20"/>
              <w:jc w:val="center"/>
              <w:rPr>
                <w:noProof/>
                <w:sz w:val="22"/>
                <w:szCs w:val="22"/>
              </w:rPr>
            </w:pPr>
            <w:r w:rsidRPr="004B065C">
              <w:rPr>
                <w:bCs/>
                <w:noProof/>
                <w:sz w:val="22"/>
                <w:szCs w:val="22"/>
              </w:rPr>
              <w:t>5.750</w:t>
            </w:r>
          </w:p>
        </w:tc>
        <w:tc>
          <w:tcPr>
            <w:tcW w:w="768" w:type="dxa"/>
            <w:tcBorders>
              <w:top w:val="single" w:sz="4" w:space="0" w:color="auto"/>
              <w:left w:val="single" w:sz="4" w:space="0" w:color="auto"/>
              <w:bottom w:val="single" w:sz="4" w:space="0" w:color="auto"/>
              <w:right w:val="single" w:sz="4" w:space="0" w:color="auto"/>
            </w:tcBorders>
            <w:hideMark/>
          </w:tcPr>
          <w:p w:rsidR="009D0A61" w:rsidRPr="004B065C" w14:paraId="7355BF7D" w14:textId="77777777">
            <w:pPr>
              <w:spacing w:before="20" w:after="20"/>
              <w:jc w:val="center"/>
              <w:rPr>
                <w:noProof/>
                <w:sz w:val="22"/>
                <w:szCs w:val="22"/>
              </w:rPr>
            </w:pPr>
            <w:r w:rsidRPr="004B065C">
              <w:rPr>
                <w:bCs/>
                <w:noProof/>
                <w:sz w:val="22"/>
                <w:szCs w:val="22"/>
              </w:rPr>
              <w:t>5.750</w:t>
            </w:r>
          </w:p>
        </w:tc>
        <w:tc>
          <w:tcPr>
            <w:tcW w:w="931" w:type="dxa"/>
            <w:tcBorders>
              <w:top w:val="single" w:sz="4" w:space="0" w:color="auto"/>
              <w:left w:val="single" w:sz="4" w:space="0" w:color="auto"/>
              <w:bottom w:val="single" w:sz="4" w:space="0" w:color="auto"/>
              <w:right w:val="single" w:sz="4" w:space="0" w:color="auto"/>
            </w:tcBorders>
            <w:hideMark/>
          </w:tcPr>
          <w:p w:rsidR="009D0A61" w:rsidRPr="004B065C" w14:paraId="3BA012D9" w14:textId="77777777">
            <w:pPr>
              <w:spacing w:before="20" w:after="20"/>
              <w:jc w:val="center"/>
              <w:rPr>
                <w:b/>
                <w:noProof/>
                <w:sz w:val="22"/>
                <w:szCs w:val="22"/>
              </w:rPr>
            </w:pPr>
            <w:r w:rsidRPr="004B065C">
              <w:rPr>
                <w:bCs/>
                <w:noProof/>
                <w:sz w:val="22"/>
                <w:szCs w:val="22"/>
              </w:rPr>
              <w:t>5.750</w:t>
            </w:r>
          </w:p>
        </w:tc>
        <w:tc>
          <w:tcPr>
            <w:tcW w:w="1016" w:type="dxa"/>
            <w:tcBorders>
              <w:top w:val="single" w:sz="4" w:space="0" w:color="auto"/>
              <w:left w:val="single" w:sz="4" w:space="0" w:color="auto"/>
              <w:bottom w:val="single" w:sz="4" w:space="0" w:color="auto"/>
              <w:right w:val="single" w:sz="4" w:space="0" w:color="auto"/>
            </w:tcBorders>
            <w:vAlign w:val="center"/>
            <w:hideMark/>
          </w:tcPr>
          <w:p w:rsidR="009D0A61" w:rsidRPr="004B065C" w14:paraId="06FFF32A" w14:textId="77777777">
            <w:pPr>
              <w:spacing w:before="20" w:after="20"/>
              <w:jc w:val="center"/>
              <w:rPr>
                <w:bCs/>
                <w:noProof/>
                <w:sz w:val="22"/>
                <w:szCs w:val="22"/>
              </w:rPr>
            </w:pPr>
            <w:r w:rsidRPr="004B065C">
              <w:rPr>
                <w:bCs/>
                <w:noProof/>
                <w:sz w:val="22"/>
                <w:szCs w:val="22"/>
              </w:rPr>
              <w:t>23.000</w:t>
            </w:r>
          </w:p>
        </w:tc>
      </w:tr>
      <w:tr w14:paraId="7A69839F" w14:textId="77777777">
        <w:tblPrEx>
          <w:tblW w:w="7170" w:type="dxa"/>
          <w:jc w:val="center"/>
          <w:tblLayout w:type="fixed"/>
          <w:tblLook w:val="01E0"/>
        </w:tblPrEx>
        <w:trPr>
          <w:trHeight w:val="66"/>
          <w:jc w:val="center"/>
        </w:trPr>
        <w:tc>
          <w:tcPr>
            <w:tcW w:w="7165" w:type="dxa"/>
            <w:vMerge/>
            <w:tcBorders>
              <w:top w:val="single" w:sz="4" w:space="0" w:color="auto"/>
              <w:left w:val="single" w:sz="4" w:space="0" w:color="auto"/>
              <w:bottom w:val="single" w:sz="4" w:space="0" w:color="auto"/>
              <w:right w:val="single" w:sz="4" w:space="0" w:color="auto"/>
            </w:tcBorders>
            <w:vAlign w:val="center"/>
            <w:hideMark/>
          </w:tcPr>
          <w:p w:rsidR="009D0A61" w:rsidRPr="004B065C" w14:paraId="065F209E" w14:textId="77777777">
            <w:pPr>
              <w:widowControl/>
              <w:rPr>
                <w:noProof/>
                <w:sz w:val="22"/>
                <w:szCs w:val="22"/>
              </w:rPr>
            </w:pPr>
          </w:p>
        </w:tc>
        <w:tc>
          <w:tcPr>
            <w:tcW w:w="1489" w:type="dxa"/>
            <w:tcBorders>
              <w:top w:val="single" w:sz="4" w:space="0" w:color="auto"/>
              <w:left w:val="single" w:sz="4" w:space="0" w:color="auto"/>
              <w:bottom w:val="single" w:sz="4" w:space="0" w:color="auto"/>
              <w:right w:val="single" w:sz="4" w:space="0" w:color="auto"/>
            </w:tcBorders>
            <w:vAlign w:val="center"/>
            <w:hideMark/>
          </w:tcPr>
          <w:p w:rsidR="009D0A61" w:rsidRPr="004B065C" w14:paraId="0A73035A" w14:textId="77777777">
            <w:pPr>
              <w:spacing w:before="20" w:after="20"/>
              <w:rPr>
                <w:noProof/>
                <w:sz w:val="22"/>
                <w:szCs w:val="22"/>
              </w:rPr>
            </w:pPr>
            <w:r w:rsidRPr="004B065C">
              <w:rPr>
                <w:noProof/>
                <w:sz w:val="22"/>
                <w:szCs w:val="22"/>
              </w:rPr>
              <w:t>Payments</w:t>
            </w:r>
          </w:p>
        </w:tc>
        <w:tc>
          <w:tcPr>
            <w:tcW w:w="769" w:type="dxa"/>
            <w:tcBorders>
              <w:top w:val="single" w:sz="4" w:space="0" w:color="auto"/>
              <w:left w:val="single" w:sz="4" w:space="0" w:color="auto"/>
              <w:bottom w:val="single" w:sz="4" w:space="0" w:color="auto"/>
              <w:right w:val="single" w:sz="4" w:space="0" w:color="auto"/>
            </w:tcBorders>
            <w:hideMark/>
          </w:tcPr>
          <w:p w:rsidR="009D0A61" w:rsidRPr="004B065C" w14:paraId="79543EC7" w14:textId="77777777">
            <w:pPr>
              <w:spacing w:before="20" w:after="20"/>
              <w:jc w:val="center"/>
              <w:rPr>
                <w:noProof/>
                <w:sz w:val="22"/>
                <w:szCs w:val="22"/>
              </w:rPr>
            </w:pPr>
            <w:r w:rsidRPr="004B065C">
              <w:rPr>
                <w:bCs/>
                <w:noProof/>
                <w:sz w:val="22"/>
                <w:szCs w:val="22"/>
              </w:rPr>
              <w:t>5.750</w:t>
            </w:r>
          </w:p>
        </w:tc>
        <w:tc>
          <w:tcPr>
            <w:tcW w:w="769" w:type="dxa"/>
            <w:tcBorders>
              <w:top w:val="single" w:sz="4" w:space="0" w:color="auto"/>
              <w:left w:val="single" w:sz="4" w:space="0" w:color="auto"/>
              <w:bottom w:val="single" w:sz="4" w:space="0" w:color="auto"/>
              <w:right w:val="single" w:sz="4" w:space="0" w:color="auto"/>
            </w:tcBorders>
            <w:hideMark/>
          </w:tcPr>
          <w:p w:rsidR="009D0A61" w:rsidRPr="004B065C" w14:paraId="2FF94324" w14:textId="77777777">
            <w:pPr>
              <w:spacing w:before="20" w:after="20"/>
              <w:jc w:val="center"/>
              <w:rPr>
                <w:noProof/>
                <w:sz w:val="22"/>
                <w:szCs w:val="22"/>
              </w:rPr>
            </w:pPr>
            <w:r w:rsidRPr="004B065C">
              <w:rPr>
                <w:bCs/>
                <w:noProof/>
                <w:sz w:val="22"/>
                <w:szCs w:val="22"/>
              </w:rPr>
              <w:t>5.750</w:t>
            </w:r>
          </w:p>
        </w:tc>
        <w:tc>
          <w:tcPr>
            <w:tcW w:w="768" w:type="dxa"/>
            <w:tcBorders>
              <w:top w:val="single" w:sz="4" w:space="0" w:color="auto"/>
              <w:left w:val="single" w:sz="4" w:space="0" w:color="auto"/>
              <w:bottom w:val="single" w:sz="4" w:space="0" w:color="auto"/>
              <w:right w:val="single" w:sz="4" w:space="0" w:color="auto"/>
            </w:tcBorders>
            <w:hideMark/>
          </w:tcPr>
          <w:p w:rsidR="009D0A61" w:rsidRPr="004B065C" w14:paraId="089196D2" w14:textId="77777777">
            <w:pPr>
              <w:spacing w:before="20" w:after="20"/>
              <w:jc w:val="center"/>
              <w:rPr>
                <w:noProof/>
                <w:sz w:val="22"/>
                <w:szCs w:val="22"/>
              </w:rPr>
            </w:pPr>
            <w:r w:rsidRPr="004B065C">
              <w:rPr>
                <w:bCs/>
                <w:noProof/>
                <w:sz w:val="22"/>
                <w:szCs w:val="22"/>
              </w:rPr>
              <w:t>5.750</w:t>
            </w:r>
          </w:p>
        </w:tc>
        <w:tc>
          <w:tcPr>
            <w:tcW w:w="931" w:type="dxa"/>
            <w:tcBorders>
              <w:top w:val="single" w:sz="4" w:space="0" w:color="auto"/>
              <w:left w:val="single" w:sz="4" w:space="0" w:color="auto"/>
              <w:bottom w:val="single" w:sz="4" w:space="0" w:color="auto"/>
              <w:right w:val="single" w:sz="4" w:space="0" w:color="auto"/>
            </w:tcBorders>
            <w:hideMark/>
          </w:tcPr>
          <w:p w:rsidR="009D0A61" w:rsidRPr="004B065C" w14:paraId="5453A87D" w14:textId="77777777">
            <w:pPr>
              <w:spacing w:before="20" w:after="20"/>
              <w:jc w:val="center"/>
              <w:rPr>
                <w:b/>
                <w:noProof/>
                <w:sz w:val="22"/>
                <w:szCs w:val="22"/>
              </w:rPr>
            </w:pPr>
            <w:r w:rsidRPr="004B065C">
              <w:rPr>
                <w:bCs/>
                <w:noProof/>
                <w:sz w:val="22"/>
                <w:szCs w:val="22"/>
              </w:rPr>
              <w:t>5.750</w:t>
            </w:r>
          </w:p>
        </w:tc>
        <w:tc>
          <w:tcPr>
            <w:tcW w:w="1016" w:type="dxa"/>
            <w:tcBorders>
              <w:top w:val="single" w:sz="4" w:space="0" w:color="auto"/>
              <w:left w:val="single" w:sz="4" w:space="0" w:color="auto"/>
              <w:bottom w:val="single" w:sz="4" w:space="0" w:color="auto"/>
              <w:right w:val="single" w:sz="4" w:space="0" w:color="auto"/>
            </w:tcBorders>
            <w:vAlign w:val="center"/>
            <w:hideMark/>
          </w:tcPr>
          <w:p w:rsidR="009D0A61" w:rsidRPr="004B065C" w14:paraId="2873B813" w14:textId="77777777">
            <w:pPr>
              <w:spacing w:before="20" w:after="20"/>
              <w:jc w:val="center"/>
              <w:rPr>
                <w:bCs/>
                <w:noProof/>
                <w:sz w:val="22"/>
                <w:szCs w:val="22"/>
              </w:rPr>
            </w:pPr>
            <w:r w:rsidRPr="004B065C">
              <w:rPr>
                <w:bCs/>
                <w:noProof/>
                <w:sz w:val="22"/>
                <w:szCs w:val="22"/>
              </w:rPr>
              <w:t>23.000</w:t>
            </w:r>
          </w:p>
        </w:tc>
      </w:tr>
    </w:tbl>
    <w:p w:rsidR="009D0A61" w:rsidRPr="004B065C" w:rsidP="009D0A61" w14:paraId="3CEB58FB" w14:textId="77777777">
      <w:pPr>
        <w:pStyle w:val="NormalHanging12a"/>
        <w:ind w:left="0" w:firstLine="720"/>
      </w:pPr>
      <w:r w:rsidRPr="004B065C">
        <w:t xml:space="preserve">    EUR million (to three decimal places);</w:t>
      </w:r>
    </w:p>
    <w:p w:rsidR="009D0A61" w:rsidRPr="004B065C" w:rsidP="009D0A61" w14:paraId="2BC17684" w14:textId="77777777">
      <w:pPr>
        <w:pStyle w:val="NormalHanging12a"/>
      </w:pPr>
      <w:r w:rsidRPr="004B065C">
        <w:t>D.</w:t>
      </w:r>
      <w:r w:rsidRPr="004B065C">
        <w:tab/>
        <w:t>whereas on 15 July 2026, Parliament approved DEC 10/2026 submitted by the Commission on 9 June 2026, which makes available the necessary appropriations on operational line 08 05 01 to honour the 2026 financial obligations resulting from the new Protocol;</w:t>
      </w:r>
    </w:p>
    <w:p w:rsidR="009D0A61" w:rsidRPr="004B065C" w:rsidP="009D0A61" w14:paraId="37EC7DEB" w14:textId="77777777">
      <w:pPr>
        <w:pStyle w:val="NormalHanging12a"/>
      </w:pPr>
      <w:r w:rsidRPr="004B065C">
        <w:t>E.</w:t>
      </w:r>
      <w:r w:rsidRPr="004B065C">
        <w:tab/>
        <w:t>whereas the new Protocol with the Republic of Seychelles has been signed and entered into provisional application on 27 July 2026;</w:t>
      </w:r>
    </w:p>
    <w:p w:rsidR="009D0A61" w:rsidRPr="004B065C" w:rsidP="00203EC4" w14:paraId="06A783A8" w14:textId="52D61F82">
      <w:pPr>
        <w:ind w:left="570" w:hanging="570"/>
      </w:pPr>
      <w:r w:rsidRPr="004B065C">
        <w:t>1.</w:t>
      </w:r>
      <w:r w:rsidRPr="004B065C">
        <w:tab/>
      </w:r>
      <w:r w:rsidRPr="004B065C">
        <w:t xml:space="preserve">Notes that the support allocated under the Protocol should meet the objectives of enabling Union vessels to fish in Seychelles’ fishing zone, promoting sustainable fisheries and the responsible exploitation of fishery resources, and strengthening cooperation between the Union and Seychelles on the development and implementation </w:t>
      </w:r>
      <w:r w:rsidRPr="004B065C">
        <w:t>of Seychelles’ fisheries policy, ocean governance and cooperation within the Indian Ocean Tuna Commission (IOTC); considers that there should be thorough scrutiny to ensure that the sectoral support meets these objectives effectively during the implementation of the Protocol; recalls that the support has a direct link to the principles of the Samoa Agreement</w:t>
      </w:r>
      <w:r>
        <w:rPr>
          <w:vertAlign w:val="superscript"/>
        </w:rPr>
        <w:footnoteReference w:id="2"/>
      </w:r>
      <w:r w:rsidRPr="004B065C">
        <w:t xml:space="preserve"> that strengthens the Union’s external action with regard to African, Caribbean and Pacific (ACP) countries and takes account, in particular, of the Union’s objectives with regard to democratic principles and human rights, and to strengthening the EU’s presence in the region and cooperating within the strategic partnership between the Union and Seychelles;</w:t>
      </w:r>
    </w:p>
    <w:p w:rsidR="009D0A61" w:rsidRPr="004B065C" w:rsidP="009D0A61" w14:paraId="63726AFE" w14:textId="77777777">
      <w:pPr>
        <w:pStyle w:val="ListParagraph"/>
        <w:ind w:left="570"/>
      </w:pPr>
    </w:p>
    <w:p w:rsidR="009D0A61" w:rsidRPr="004B065C" w:rsidP="00203EC4" w14:paraId="377F7D7F" w14:textId="199AAC23">
      <w:pPr>
        <w:pStyle w:val="NormalHanging12a"/>
        <w:ind w:left="570" w:hanging="570"/>
      </w:pPr>
      <w:r w:rsidRPr="004B065C">
        <w:t>2.</w:t>
      </w:r>
      <w:r w:rsidRPr="004B065C">
        <w:tab/>
      </w:r>
      <w:r w:rsidRPr="004B065C">
        <w:t>Notes that the Commission estimates EUR 23 million in commitment appropriations (CA) and EUR 23 million in payment appropriations (PA) over the four-year period on budget line 08 05 01, with EUR 11 million corresponding to access payments and EUR 12 million to sectoral support; considers that Parliament should be provided, in the context of the annual budgetary procedure and budget implementation reporting, with sufficiently detailed information on the commitments and payments relating to the two components;</w:t>
      </w:r>
    </w:p>
    <w:p w:rsidR="009D0A61" w:rsidRPr="004B065C" w:rsidP="00203EC4" w14:paraId="30FE4834" w14:textId="5F4949A2">
      <w:pPr>
        <w:pStyle w:val="NormalHanging12a"/>
        <w:ind w:left="570" w:hanging="570"/>
      </w:pPr>
      <w:r w:rsidRPr="004B065C">
        <w:t>3.</w:t>
      </w:r>
      <w:r w:rsidRPr="004B065C">
        <w:tab/>
      </w:r>
      <w:r w:rsidRPr="004B065C">
        <w:t>Notes that the transfer of EUR 5 750 000 in commitment appropriations and of EUR 2 750 000 in payment appropriations, as submitted by the Commission in DEC 10/2026, has been approved by the budgetary authority within the time limit provided for in the Financial Regulation</w:t>
      </w:r>
      <w:r>
        <w:rPr>
          <w:vertAlign w:val="superscript"/>
        </w:rPr>
        <w:footnoteReference w:id="3"/>
      </w:r>
      <w:r w:rsidRPr="004B065C">
        <w:t>; regrets that the decision on this budgetary matter is disconnected from, and has to be taken prior to, the decision on the consent to be given by Parliament to the new Protocol; underlines that decisions on the agreement itself and related budgetary matters are inextricably linked, and fears, therefore, that the disconnect de facto risks pre-empting the decision on consent and creating a fait accompli; urges the Commission, therefore, to ensure that such a situation does not arise again in the future;</w:t>
      </w:r>
    </w:p>
    <w:p w:rsidR="009D0A61" w:rsidRPr="004B065C" w:rsidP="00203EC4" w14:paraId="2624CF47" w14:textId="55B6C250">
      <w:pPr>
        <w:pStyle w:val="NormalHanging12a"/>
        <w:ind w:left="570" w:hanging="570"/>
      </w:pPr>
      <w:r w:rsidRPr="004B065C">
        <w:t>4.</w:t>
      </w:r>
      <w:r w:rsidRPr="004B065C">
        <w:tab/>
      </w:r>
      <w:r w:rsidRPr="004B065C">
        <w:t>Recommends that, for future agreements, an impact assessment of the added value and socio-economic benefits derived from the previous agreement be taken into account; considers that this assessment should guide the negotiation and renewal of subsequent agreements to ensure that they align with the objectives of sustainable development and efficient use of the Union’s financial resources;</w:t>
      </w:r>
    </w:p>
    <w:p w:rsidR="009D0A61" w:rsidRPr="004B065C" w:rsidP="00203EC4" w14:paraId="6D30AF35" w14:textId="059C3C02">
      <w:pPr>
        <w:pStyle w:val="NormalHanging12a"/>
        <w:ind w:left="570" w:hanging="570"/>
      </w:pPr>
      <w:r w:rsidRPr="004B065C">
        <w:t>5.</w:t>
      </w:r>
      <w:r w:rsidRPr="004B065C">
        <w:tab/>
      </w:r>
      <w:r w:rsidRPr="004B065C">
        <w:t>Notes that the 2026 budget includes amounts of EUR 39 661 857 in CA and EUR 44 536 857 in PA on operational line 08 05 01, as well as amounts of EUR 114 190 000 in CA and EUR 85 890 000 in PA on reserve line 30 02 02; regrets that the amounts are cumulative and not broken down by fisheries agreement, thus making it difficult for Parliament to scrutinise budget implementation in this field;</w:t>
      </w:r>
    </w:p>
    <w:p w:rsidR="00AE5581" w:rsidRPr="004B065C" w:rsidP="0032153D" w14:paraId="78847747" w14:textId="28C4E9A8">
      <w:pPr>
        <w:pStyle w:val="NormalHanging12a"/>
        <w:ind w:left="570" w:hanging="570"/>
      </w:pPr>
      <w:r w:rsidRPr="004B065C">
        <w:t>6.</w:t>
      </w:r>
      <w:r w:rsidRPr="004B065C">
        <w:tab/>
      </w:r>
      <w:r w:rsidRPr="004B065C" w:rsidR="009D0A61">
        <w:t xml:space="preserve">Concludes that the Committee on Budgets is in a position to advise the Committee on Fisheries, as the committee responsible, to recommend approval of the proposal for a </w:t>
      </w:r>
      <w:r w:rsidRPr="004B065C" w:rsidR="009D0A61">
        <w:t>Council decision on the conclusion, on behalf of the European Union, of the Protocol on the implementation of the Sustainable Fisheries Partnership Agreement between the European Union and the Republic of Seychelles (2026-2030)</w:t>
      </w:r>
      <w:r w:rsidRPr="004B065C" w:rsidR="00CD1CDC">
        <w:t>.</w:t>
      </w:r>
    </w:p>
    <w:sectPr w:rsidSect="00853AC6">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AC6" w:rsidRPr="004B065C" w:rsidP="00853AC6" w14:paraId="3625760C" w14:textId="38B6286B">
    <w:pPr>
      <w:pStyle w:val="EPFooter"/>
    </w:pPr>
    <w:r w:rsidRPr="004B065C">
      <w:t>PE</w:t>
    </w:r>
    <w:r w:rsidRPr="004B065C">
      <w:rPr>
        <w:rStyle w:val="HideTWBExt"/>
      </w:rPr>
      <w:t>&lt;NoPE&gt;</w:t>
    </w:r>
    <w:r w:rsidRPr="004B065C">
      <w:t>797.433</w:t>
    </w:r>
    <w:r w:rsidRPr="004B065C">
      <w:rPr>
        <w:rStyle w:val="HideTWBExt"/>
      </w:rPr>
      <w:t>&lt;/NoPE&gt;&lt;Version&gt;</w:t>
    </w:r>
    <w:r w:rsidRPr="004B065C">
      <w:t>v01-00</w:t>
    </w:r>
    <w:r w:rsidRPr="004B065C">
      <w:rPr>
        <w:rStyle w:val="HideTWBExt"/>
      </w:rPr>
      <w:t>&lt;/Version&gt;</w:t>
    </w:r>
    <w:r w:rsidRPr="004B065C">
      <w:tab/>
    </w:r>
    <w:r w:rsidRPr="004B065C">
      <w:fldChar w:fldCharType="begin"/>
    </w:r>
    <w:r w:rsidRPr="004B065C">
      <w:instrText xml:space="preserve"> PAGE  \* MERGEFORMAT </w:instrText>
    </w:r>
    <w:r w:rsidRPr="004B065C">
      <w:fldChar w:fldCharType="separate"/>
    </w:r>
    <w:r w:rsidRPr="004B065C">
      <w:rPr>
        <w:noProof/>
      </w:rPr>
      <w:t>1</w:t>
    </w:r>
    <w:r w:rsidRPr="004B065C">
      <w:fldChar w:fldCharType="end"/>
    </w:r>
    <w:r w:rsidRPr="004B065C">
      <w:t>/</w:t>
    </w:r>
    <w:r>
      <w:fldChar w:fldCharType="begin"/>
    </w:r>
    <w:r>
      <w:instrText xml:space="preserve"> NUMPAGES  \* MERGEFORMAT </w:instrText>
    </w:r>
    <w:r>
      <w:fldChar w:fldCharType="separate"/>
    </w:r>
    <w:r w:rsidRPr="004B065C">
      <w:rPr>
        <w:noProof/>
      </w:rPr>
      <w:t>1</w:t>
    </w:r>
    <w:r w:rsidRPr="004B065C">
      <w:rPr>
        <w:noProof/>
      </w:rPr>
      <w:fldChar w:fldCharType="end"/>
    </w:r>
    <w:r w:rsidRPr="004B065C">
      <w:tab/>
    </w:r>
    <w:r w:rsidRPr="004B065C">
      <w:rPr>
        <w:rStyle w:val="HideTWBExt"/>
      </w:rPr>
      <w:t>&lt;PathFdR&gt;</w:t>
    </w:r>
    <w:r w:rsidRPr="004B065C" w:rsidR="004B065C">
      <w:t>PA\1353457EN.docx</w:t>
    </w:r>
    <w:r w:rsidRPr="004B065C">
      <w:rPr>
        <w:rStyle w:val="HideTWBExt"/>
      </w:rPr>
      <w:t>&lt;/PathFdR&gt;</w:t>
    </w:r>
  </w:p>
  <w:p w:rsidR="002E2F2E" w:rsidRPr="004B065C" w:rsidP="00853AC6" w14:paraId="546472D3" w14:textId="7AE7E3FA">
    <w:pPr>
      <w:pStyle w:val="EPFooter2"/>
    </w:pPr>
    <w:r w:rsidRPr="004B065C">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AC6" w:rsidRPr="004B065C" w:rsidP="00853AC6" w14:paraId="4AF89B89" w14:textId="1901B6D1">
    <w:pPr>
      <w:pStyle w:val="EPFooter"/>
    </w:pPr>
    <w:r w:rsidRPr="004B065C">
      <w:rPr>
        <w:rStyle w:val="HideTWBExt"/>
      </w:rPr>
      <w:t>&lt;PathFdR&gt;</w:t>
    </w:r>
    <w:r w:rsidRPr="004B065C" w:rsidR="004B065C">
      <w:t>PA\1353457EN.docx</w:t>
    </w:r>
    <w:r w:rsidRPr="004B065C">
      <w:rPr>
        <w:rStyle w:val="HideTWBExt"/>
      </w:rPr>
      <w:t>&lt;/PathFdR&gt;</w:t>
    </w:r>
    <w:r w:rsidRPr="004B065C">
      <w:tab/>
    </w:r>
    <w:r w:rsidRPr="004B065C">
      <w:fldChar w:fldCharType="begin"/>
    </w:r>
    <w:r w:rsidRPr="004B065C">
      <w:instrText xml:space="preserve"> PAGE  \* MERGEFORMAT </w:instrText>
    </w:r>
    <w:r w:rsidRPr="004B065C">
      <w:fldChar w:fldCharType="separate"/>
    </w:r>
    <w:r w:rsidRPr="004B065C">
      <w:rPr>
        <w:noProof/>
      </w:rPr>
      <w:t>1</w:t>
    </w:r>
    <w:r w:rsidRPr="004B065C">
      <w:fldChar w:fldCharType="end"/>
    </w:r>
    <w:r w:rsidRPr="004B065C">
      <w:t>/</w:t>
    </w:r>
    <w:r>
      <w:fldChar w:fldCharType="begin"/>
    </w:r>
    <w:r>
      <w:instrText xml:space="preserve"> NUMPAGES  \* MERGEFORMAT </w:instrText>
    </w:r>
    <w:r>
      <w:fldChar w:fldCharType="separate"/>
    </w:r>
    <w:r w:rsidRPr="004B065C">
      <w:rPr>
        <w:noProof/>
      </w:rPr>
      <w:t>1</w:t>
    </w:r>
    <w:r w:rsidRPr="004B065C">
      <w:rPr>
        <w:noProof/>
      </w:rPr>
      <w:fldChar w:fldCharType="end"/>
    </w:r>
    <w:r w:rsidRPr="004B065C">
      <w:tab/>
      <w:t>PE</w:t>
    </w:r>
    <w:r w:rsidRPr="004B065C">
      <w:rPr>
        <w:rStyle w:val="HideTWBExt"/>
      </w:rPr>
      <w:t>&lt;NoPE&gt;</w:t>
    </w:r>
    <w:r w:rsidRPr="004B065C">
      <w:t>797.433</w:t>
    </w:r>
    <w:r w:rsidRPr="004B065C">
      <w:rPr>
        <w:rStyle w:val="HideTWBExt"/>
      </w:rPr>
      <w:t>&lt;/NoPE&gt;&lt;Version&gt;</w:t>
    </w:r>
    <w:r w:rsidRPr="004B065C">
      <w:t>v01-00</w:t>
    </w:r>
    <w:r w:rsidRPr="004B065C">
      <w:rPr>
        <w:rStyle w:val="HideTWBExt"/>
      </w:rPr>
      <w:t>&lt;/Version&gt;</w:t>
    </w:r>
  </w:p>
  <w:p w:rsidR="002E2F2E" w:rsidRPr="004B065C" w:rsidP="00853AC6" w14:paraId="60410BE8" w14:textId="084159FF">
    <w:pPr>
      <w:pStyle w:val="EPFooter2"/>
    </w:pPr>
    <w:r w:rsidRPr="004B065C">
      <w:tab/>
    </w:r>
    <w:r w:rsidRPr="004B065C">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AC6" w:rsidRPr="004B065C" w:rsidP="00853AC6" w14:paraId="5959082D" w14:textId="3587B5D2">
    <w:pPr>
      <w:pStyle w:val="EPFooter"/>
    </w:pPr>
    <w:r w:rsidRPr="004B065C">
      <w:rPr>
        <w:rStyle w:val="HideTWBExt"/>
      </w:rPr>
      <w:t>&lt;PathFdR&gt;</w:t>
    </w:r>
    <w:r w:rsidRPr="004B065C" w:rsidR="004B065C">
      <w:t>PA\1353457EN.docx</w:t>
    </w:r>
    <w:r w:rsidRPr="004B065C">
      <w:rPr>
        <w:rStyle w:val="HideTWBExt"/>
      </w:rPr>
      <w:t>&lt;/PathFdR&gt;</w:t>
    </w:r>
    <w:r w:rsidRPr="004B065C">
      <w:tab/>
    </w:r>
    <w:r w:rsidRPr="004B065C">
      <w:tab/>
      <w:t>PE</w:t>
    </w:r>
    <w:r w:rsidRPr="004B065C">
      <w:rPr>
        <w:rStyle w:val="HideTWBExt"/>
      </w:rPr>
      <w:t>&lt;NoPE&gt;</w:t>
    </w:r>
    <w:r w:rsidRPr="004B065C">
      <w:t>797.433</w:t>
    </w:r>
    <w:r w:rsidRPr="004B065C">
      <w:rPr>
        <w:rStyle w:val="HideTWBExt"/>
      </w:rPr>
      <w:t>&lt;/NoPE&gt;&lt;Version&gt;</w:t>
    </w:r>
    <w:r w:rsidRPr="004B065C">
      <w:t>v01-00</w:t>
    </w:r>
    <w:r w:rsidRPr="004B065C">
      <w:rPr>
        <w:rStyle w:val="HideTWBExt"/>
      </w:rPr>
      <w:t>&lt;/Version&gt;</w:t>
    </w:r>
  </w:p>
  <w:p w:rsidR="002E2F2E" w:rsidRPr="004B065C" w:rsidP="00853AC6" w14:paraId="2A8F74B9" w14:textId="707F69E1">
    <w:pPr>
      <w:pStyle w:val="EPFooter2"/>
    </w:pPr>
    <w:r w:rsidRPr="004B065C">
      <w:t>EN</w:t>
    </w:r>
    <w:r w:rsidRPr="004B065C">
      <w:tab/>
    </w:r>
    <w:r w:rsidRPr="004B065C">
      <w:rPr>
        <w:b w:val="0"/>
        <w:i/>
        <w:color w:val="C0C0C0"/>
        <w:sz w:val="22"/>
      </w:rPr>
      <w:t>United in diversity</w:t>
    </w:r>
    <w:r w:rsidRPr="004B065C">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46493" w:rsidRPr="004B065C" w14:paraId="23802AAD" w14:textId="77777777">
      <w:r w:rsidRPr="004B065C">
        <w:separator/>
      </w:r>
    </w:p>
  </w:footnote>
  <w:footnote w:type="continuationSeparator" w:id="1">
    <w:p w:rsidR="00146493" w:rsidRPr="004B065C" w14:paraId="0905B602" w14:textId="77777777">
      <w:r w:rsidRPr="004B065C">
        <w:continuationSeparator/>
      </w:r>
    </w:p>
  </w:footnote>
  <w:footnote w:id="2">
    <w:p w:rsidR="009D0A61" w:rsidRPr="004B065C" w:rsidP="009D0A61" w14:paraId="471AFA39" w14:textId="2E021723">
      <w:pPr>
        <w:pStyle w:val="FootnoteText"/>
      </w:pPr>
      <w:r w:rsidRPr="004B065C">
        <w:rPr>
          <w:rStyle w:val="FootnoteReference"/>
        </w:rPr>
        <w:footnoteRef/>
      </w:r>
      <w:r w:rsidRPr="004B065C">
        <w:t xml:space="preserve"> Partnership Agreement between the European Union and its Member States, of the one part, and the Members of the Organisation of African, Caribbean and Pacific States, of the other part (OJ L, 2023/2862, 28.12.2023, ELI: </w:t>
      </w:r>
      <w:hyperlink r:id="rId1" w:history="1">
        <w:r w:rsidRPr="004B065C">
          <w:rPr>
            <w:rStyle w:val="Hyperlink"/>
          </w:rPr>
          <w:t>http://data.europa.eu/eli/agree_internation/2023/2862/oj</w:t>
        </w:r>
      </w:hyperlink>
      <w:r w:rsidRPr="004B065C">
        <w:t xml:space="preserve">).   </w:t>
      </w:r>
    </w:p>
  </w:footnote>
  <w:footnote w:id="3">
    <w:p w:rsidR="009D0A61" w:rsidRPr="004B065C" w:rsidP="009D0A61" w14:paraId="70FE2ADB" w14:textId="734E66FB">
      <w:pPr>
        <w:pStyle w:val="FootnoteText"/>
      </w:pPr>
      <w:r w:rsidRPr="004B065C">
        <w:rPr>
          <w:rStyle w:val="FootnoteReference"/>
        </w:rPr>
        <w:footnoteRef/>
      </w:r>
      <w:r w:rsidRPr="004B065C">
        <w:t xml:space="preserve"> Regulation (EU, Euratom) 2024/2509 of the European Parliament and of the Council of 23 September 2024 on the financial rules applicable to the general budget of the Union (OJ L, 2024/2509, 26.9.2024, ELI: </w:t>
      </w:r>
      <w:hyperlink r:id="rId2" w:history="1">
        <w:r w:rsidRPr="004B065C">
          <w:rPr>
            <w:rStyle w:val="Hyperlink1"/>
          </w:rPr>
          <w:t>http://data.europa.eu/eli/reg/2024/2509/oj</w:t>
        </w:r>
      </w:hyperlink>
      <w:r w:rsidRPr="004B065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7DC5" w14:paraId="3F24C04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7DC5" w14:paraId="42C22A0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7DC5" w14:paraId="18D8083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4F361DC0"/>
    <w:multiLevelType w:val="hybridMultilevel"/>
    <w:tmpl w:val="842E3CA2"/>
    <w:lvl w:ilvl="0">
      <w:start w:val="1"/>
      <w:numFmt w:val="decimal"/>
      <w:lvlText w:val="%1."/>
      <w:lvlJc w:val="left"/>
      <w:pPr>
        <w:ind w:left="570" w:hanging="57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045"/>
    <w:rsid w:val="00006F54"/>
    <w:rsid w:val="00007C5D"/>
    <w:rsid w:val="0003367A"/>
    <w:rsid w:val="000E7EBF"/>
    <w:rsid w:val="00124F60"/>
    <w:rsid w:val="00135121"/>
    <w:rsid w:val="00140BE6"/>
    <w:rsid w:val="001449F5"/>
    <w:rsid w:val="00146493"/>
    <w:rsid w:val="00147F4E"/>
    <w:rsid w:val="0016635E"/>
    <w:rsid w:val="00173215"/>
    <w:rsid w:val="001746D0"/>
    <w:rsid w:val="001B7393"/>
    <w:rsid w:val="001D2ED9"/>
    <w:rsid w:val="001E42AF"/>
    <w:rsid w:val="001F21C1"/>
    <w:rsid w:val="00203EC4"/>
    <w:rsid w:val="00280C5C"/>
    <w:rsid w:val="002D28A7"/>
    <w:rsid w:val="002E2F2E"/>
    <w:rsid w:val="002E4AA3"/>
    <w:rsid w:val="002E6F98"/>
    <w:rsid w:val="0032153D"/>
    <w:rsid w:val="00325BCB"/>
    <w:rsid w:val="00331944"/>
    <w:rsid w:val="00332AD9"/>
    <w:rsid w:val="003402B9"/>
    <w:rsid w:val="00347D2C"/>
    <w:rsid w:val="00362463"/>
    <w:rsid w:val="00367A50"/>
    <w:rsid w:val="0037356F"/>
    <w:rsid w:val="00390EB2"/>
    <w:rsid w:val="00391AC1"/>
    <w:rsid w:val="00396A0E"/>
    <w:rsid w:val="003E2402"/>
    <w:rsid w:val="003F0068"/>
    <w:rsid w:val="00450A7E"/>
    <w:rsid w:val="004667D1"/>
    <w:rsid w:val="00485C5C"/>
    <w:rsid w:val="004B065C"/>
    <w:rsid w:val="004C28FB"/>
    <w:rsid w:val="004C44C0"/>
    <w:rsid w:val="005039AF"/>
    <w:rsid w:val="0052544E"/>
    <w:rsid w:val="005940C3"/>
    <w:rsid w:val="00594C48"/>
    <w:rsid w:val="005B2F11"/>
    <w:rsid w:val="005C0BDF"/>
    <w:rsid w:val="005D60C6"/>
    <w:rsid w:val="005D6788"/>
    <w:rsid w:val="006056D8"/>
    <w:rsid w:val="006102E7"/>
    <w:rsid w:val="00640C1B"/>
    <w:rsid w:val="00657AFB"/>
    <w:rsid w:val="006D5BF7"/>
    <w:rsid w:val="00717FB2"/>
    <w:rsid w:val="00757C4C"/>
    <w:rsid w:val="007638D0"/>
    <w:rsid w:val="007B5CC7"/>
    <w:rsid w:val="00825069"/>
    <w:rsid w:val="008313E7"/>
    <w:rsid w:val="00852263"/>
    <w:rsid w:val="00853AC6"/>
    <w:rsid w:val="00854CAC"/>
    <w:rsid w:val="00873BF3"/>
    <w:rsid w:val="00890C58"/>
    <w:rsid w:val="008A32C5"/>
    <w:rsid w:val="008C6203"/>
    <w:rsid w:val="008D61E7"/>
    <w:rsid w:val="008E2BE3"/>
    <w:rsid w:val="008F33FC"/>
    <w:rsid w:val="008F7002"/>
    <w:rsid w:val="008F7DC5"/>
    <w:rsid w:val="009626A8"/>
    <w:rsid w:val="0099493F"/>
    <w:rsid w:val="009D0A61"/>
    <w:rsid w:val="00A16BEA"/>
    <w:rsid w:val="00A30CFA"/>
    <w:rsid w:val="00A312B3"/>
    <w:rsid w:val="00A47E2F"/>
    <w:rsid w:val="00A56164"/>
    <w:rsid w:val="00A72C35"/>
    <w:rsid w:val="00AB5733"/>
    <w:rsid w:val="00AC5AAD"/>
    <w:rsid w:val="00AE180F"/>
    <w:rsid w:val="00AE5581"/>
    <w:rsid w:val="00AE79AF"/>
    <w:rsid w:val="00B27F9E"/>
    <w:rsid w:val="00B362F7"/>
    <w:rsid w:val="00B5456B"/>
    <w:rsid w:val="00B74B53"/>
    <w:rsid w:val="00B87BB2"/>
    <w:rsid w:val="00BC26E4"/>
    <w:rsid w:val="00BD1EAA"/>
    <w:rsid w:val="00BF0AFC"/>
    <w:rsid w:val="00BF6786"/>
    <w:rsid w:val="00C52739"/>
    <w:rsid w:val="00C62814"/>
    <w:rsid w:val="00C827FF"/>
    <w:rsid w:val="00C8553D"/>
    <w:rsid w:val="00C85D0F"/>
    <w:rsid w:val="00CD1CDC"/>
    <w:rsid w:val="00CD34AC"/>
    <w:rsid w:val="00CE6558"/>
    <w:rsid w:val="00D006EE"/>
    <w:rsid w:val="00D318E7"/>
    <w:rsid w:val="00D7202C"/>
    <w:rsid w:val="00D8432D"/>
    <w:rsid w:val="00DC4F54"/>
    <w:rsid w:val="00DE0045"/>
    <w:rsid w:val="00DE19FF"/>
    <w:rsid w:val="00E81BA6"/>
    <w:rsid w:val="00E856D2"/>
    <w:rsid w:val="00E929A7"/>
    <w:rsid w:val="00EB761F"/>
    <w:rsid w:val="00EC0621"/>
    <w:rsid w:val="00FC228C"/>
    <w:rsid w:val="00FC42F1"/>
    <w:rsid w:val="00FC6460"/>
    <w:rsid w:val="00FD0D14"/>
    <w:rsid w:val="00FD4BC4"/>
    <w:rsid w:val="00FE24DE"/>
    <w:rsid w:val="00FF4B50"/>
  </w:rsids>
  <w:docVars>
    <w:docVar w:name="AMPLURMNU" w:val=" 2"/>
    <w:docVar w:name="CJMNU" w:val="1"/>
    <w:docVar w:name="CODEMNU" w:val=" 4"/>
    <w:docVar w:name="COM2KEY" w:val="PECH"/>
    <w:docVar w:name="COMKEY" w:val="BUDG"/>
    <w:docVar w:name="CopyToNetwork" w:val="-1"/>
    <w:docVar w:name="DOCDT" w:val="22/10/2026"/>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391\fbidi \froman\fcharset238\fprq2 Cambria Math CE;}{\f392\fbidi \froman\fcharset204\fprq2 Cambria Math Cyr;}&#13;_x000a_{\f394\fbidi \froman\fcharset161\fprq2 Cambria Math Greek;}{\f395\fbidi \froman\fcharset162\fprq2 Cambria Math Tur;}{\f398\fbidi \froman\fcharset186\fprq2 Cambria Math Baltic;}{\f39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502307 HideTWBExt;}{\*\cs18 \additive \v\f1\fs20\cf15 &#13;_x000a_\spriority0 \styrsid2502307 HideTWBInt;}{\s19\ql \li0\ri0\nowidctlpar\wrapdefault\aspalpha\aspnum\faauto\adjustright\rin0\lin0\itap0 \rtlch\fcs1 \af0\afs20\alang1025 \ltrch\fcs0 \b\fs24\lang2057\langfe2057\cgrid\langnp2057\langfenp2057 &#13;_x000a_\sbasedon0 \snext19 \spriority0 \styrsid2502307 NormalBold;}{\s20\qr \li0\ri0\sb240\sa240\nowidctlpar\wrapdefault\aspalpha\aspnum\faauto\adjustright\rin0\lin0\itap0 \rtlch\fcs1 \af0\afs20\alang1025 \ltrch\fcs0 &#13;_x000a_\fs24\lang2057\langfe2057\cgrid\langnp2057\langfenp2057 \sbasedon0 \snext20 \spriority0 \styrsid2502307 AmOrLang;}{\s21\ql \li0\ri0\sa120\nowidctlpar\wrapdefault\aspalpha\aspnum\faauto\adjustright\rin0\lin0\itap0 \rtlch\fcs1 \af0\afs20\alang1025 &#13;_x000a_\ltrch\fcs0 \fs24\lang2057\langfe2057\cgrid\langnp2057\langfenp2057 \sbasedon0 \snext21 \spriority0 \styrsid2502307 Normal6a;}{\s22\qc \li0\ri0\sa240\nowidctlpar\wrapdefault\aspalpha\aspnum\faauto\adjustright\rin0\lin0\itap0 \rtlch\fcs1 &#13;_x000a_\af0\afs20\alang1025 \ltrch\fcs0 \i\fs24\lang2057\langfe2057\cgrid\langnp2057\langfenp2057 \sbasedon0 \snext22 \spriority0 \styrsid2502307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2502307 AmNumberTabs;}{\s24\ql \li0\ri0\sa240\nowidctlpar\wrapdefault\aspalpha\aspnum\faauto\adjustright\rin0\lin0\itap0 \rtlch\fcs1 &#13;_x000a_\af0\afs20\alang1025 \ltrch\fcs0 \i\fs24\lang2057\langfe2057\cgrid\langnp2057\langfenp2057 \sbasedon0 \snext24 \spriority0 \styrsid2502307 AmJustText;}{&#13;_x000a_\s25\qc \li0\ri0\sb240\sa240\nowidctlpar\wrapdefault\aspalpha\aspnum\faauto\adjustright\rin0\lin0\itap0 \rtlch\fcs1 \af0\afs20\alang1025 \ltrch\fcs0 \i\fs24\lang2057\langfe2057\cgrid\langnp2057\langfenp2057 \sbasedon0 \snext25 \spriority0 \styrsid2502307 &#13;_x000a_AmCrossRef;}{\s26\qc \li0\ri0\sb240\sa240\keepn\nowidctlpar\wrapdefault\aspalpha\aspnum\faauto\adjustright\rin0\lin0\itap0 \rtlch\fcs1 \af0\afs20\alang1025 \ltrch\fcs0 \i\fs24\lang2057\langfe2057\cgrid\langnp2057\langfenp2057 &#13;_x000a_\sbasedon0 \snext24 \spriority0 \styrsid2502307 AmJustTitle;}{\s27\ql \li0\ri0\sb240\nowidctlpar\wrapdefault\aspalpha\aspnum\faauto\adjustright\rin0\lin0\itap0 \rtlch\fcs1 \af0\afs20\alang1025 \ltrch\fcs0 &#13;_x000a_\b\fs24\lang2057\langfe2057\cgrid\langnp2057\langfenp2057 \sbasedon0 \snext27 \spriority0 \styrsid2502307 NormalBold12b;}}{\*\rsidtbl \rsid24658\rsid223860\rsid735077\rsid1718133\rsid2502307\rsid2892074\rsid3565327\rsid3949075\rsid4666813\rsid6641733&#13;_x000a_\rsid7823322\rsid8345760\rsid9636012\rsid10377208\rsid11215221\rsid11549030\rsid12154954\rsid14382809\rsid14424199\rsid15204470\rsid15285974\rsid15950462\rsid16324206\rsid16662270}{\mmathPr\mmathFont34\mbrkBin0\mbrkBinSub0\msmallFrac0\mdispDef1\mlMargin0&#13;_x000a_\mrMargin0\mdefJc1\mwrapIndent1440\mintLim0\mnaryLim1}{\info{\author FONSECA DOS SANTOS Ines}{\operator FONSECA DOS SANTOS Ines}{\creatim\yr2026\mo4\dy15\hr13\min51}{\revtim\yr2026\mo4\dy15\hr13\min51}{\version1}{\edmins0}{\nofpages1}{\nofwords115}&#13;_x000a_{\nofchars656}{\nofcharsws770}{\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502307\newtblstyruls\nogrowautofit\usenormstyforlist\noindnmbrts\felnbrelev\nocxsptable\indrlsweleven\noafcnsttbl\afelev\utinl\hwelev\spltpgpar\notcvasp\notbrkcnstfrctbl\notvatxbx\krnprsnet\cachedcolbal &#13;_x000a_\nouicompat \fet0{\*\wgrffmtfilter 013f}\nofeaturethrottle1\ilfomacatclnup0{\*\template C:\\Users\\IFONSE~1\\AppData\\Local\\Temp\\Blank1.dotx}{\*\ftnsep \ltrpar \pard\plain \ltrpar&#13;_x000a_\ql \li0\ri0\widctlpar\wrapdefault\aspalpha\aspnum\faauto\adjustright\rin0\lin0\itap0 \rtlch\fcs1 \af0\afs20\alang1025 \ltrch\fcs0 \fs24\lang2057\langfe2057\cgrid\langnp2057\langfenp2057 {\rtlch\fcs1 \af0 \ltrch\fcs0 \insrsid8345760 \chftnsep &#13;_x000a_\par }}{\*\ftnsepc \ltrpar \pard\plain \ltrpar\ql \li0\ri0\widctlpar\wrapdefault\aspalpha\aspnum\faauto\adjustright\rin0\lin0\itap0 \rtlch\fcs1 \af0\afs20\alang1025 \ltrch\fcs0 \fs24\lang2057\langfe2057\cgrid\langnp2057\langfenp2057 {\rtlch\fcs1 \af0 &#13;_x000a_\ltrch\fcs0 \insrsid8345760 \chftnsepc &#13;_x000a_\par }}{\*\aftnsep \ltrpar \pard\plain \ltrpar\ql \li0\ri0\widctlpar\wrapdefault\aspalpha\aspnum\faauto\adjustright\rin0\lin0\itap0 \rtlch\fcs1 \af0\afs20\alang1025 \ltrch\fcs0 \fs24\lang2057\langfe2057\cgrid\langnp2057\langfenp2057 {\rtlch\fcs1 \af0 &#13;_x000a_\ltrch\fcs0 \insrsid8345760 \chftnsep &#13;_x000a_\par }}{\*\aftnsepc \ltrpar \pard\plain \ltrpar\ql \li0\ri0\widctlpar\wrapdefault\aspalpha\aspnum\faauto\adjustright\rin0\lin0\itap0 \rtlch\fcs1 \af0\afs20\alang1025 \ltrch\fcs0 \fs24\lang2057\langfe2057\cgrid\langnp2057\langfenp2057 {\rtlch\fcs1 \af0 &#13;_x000a_\ltrch\fcs0 \insrsid834576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2502307 \rtlch\fcs1 &#13;_x000a_\af0\afs20\alang1025 \ltrch\fcs0 \b\fs24\lang2057\langfe2057\cgrid\langnp2057\langfenp2057 {\rtlch\fcs1 \af0 \ltrch\fcs0 \cs17\b0\v\fs20\cf9\lang1024\langfe1024\loch\af1\hich\af1\dbch\af31501\noproof\insrsid2502307\charrsid2639416 {\*\bkmkstart restart}&#13;_x000a_\hich\af1\dbch\af31501\loch\f1 &lt;Amend&gt;}{\rtlch\fcs1 \af0 \ltrch\fcs0 \insrsid2502307\charrsid2639416 Amendment\tab \tab }{\rtlch\fcs1 \af0 \ltrch\fcs0 &#13;_x000a_\cs17\b0\v\fs20\cf9\lang1024\langfe1024\loch\af1\hich\af1\dbch\af31501\noproof\insrsid2502307\charrsid2639416 \hich\af1\dbch\af31501\loch\f1 &lt;NumAm&gt;}{\rtlch\fcs1 \af0 \ltrch\fcs0 \insrsid2502307\charrsid2639416 #}{\rtlch\fcs1 \af0 \ltrch\fcs0 &#13;_x000a_\cs18\v\f1\fs20\cf15\insrsid2502307\charrsid2639416 ENMIENDA@NRAM@}{\rtlch\fcs1 \af0 \ltrch\fcs0 \insrsid2502307\charrsid2639416 #}{\rtlch\fcs1 \af0 \ltrch\fcs0 &#13;_x000a_\cs17\b0\v\fs20\cf9\lang1024\langfe1024\loch\af1\hich\af1\dbch\af31501\noproof\insrsid2502307\charrsid2639416 \hich\af1\dbch\af31501\loch\f1 &lt;/NumAm&gt;}{\rtlch\fcs1 \af0 \ltrch\fcs0 \insrsid2502307\charrsid2639416 &#13;_x000a_\par }\pard\plain \ltrpar\s27\ql \li0\ri0\sb240\keepn\nowidctlpar\wrapdefault\aspalpha\aspnum\faauto\adjustright\rin0\lin0\itap0\pararsid2502307 \rtlch\fcs1 \af0\afs20\alang1025 \ltrch\fcs0 \b\fs24\lang2057\langfe2057\cgrid\langnp2057\langfenp2057 {&#13;_x000a_\rtlch\fcs1 \af0 \ltrch\fcs0 \cs17\b0\v\fs20\cf9\lang1024\langfe1024\loch\af1\hich\af1\dbch\af31501\noproof\insrsid2502307\charrsid2639416 \hich\af1\dbch\af31501\loch\f1 &lt;DocAmend&gt;}{\rtlch\fcs1 \af0 \ltrch\fcs0 \insrsid2502307\charrsid2639416 #}{&#13;_x000a_\rtlch\fcs1 \af0 \ltrch\fcs0 \cs18\v\f1\fs20\cf15\insrsid2502307\charrsid2639416 MNU[PROPCOM][PROPCOUNC]@CHOICE@TITLEMNU}{\rtlch\fcs1 \af0 \ltrch\fcs0 \insrsid2502307\charrsid2639416 ##}{\rtlch\fcs1 \af0 \ltrch\fcs0 &#13;_x000a_\cs18\v\f1\fs20\cf15\insrsid2502307\charrsid2639416 MNU[AMACTYES][NOTAPP]@CHOICE@AMACTMNU}{\rtlch\fcs1 \af0 \ltrch\fcs0 \insrsid2502307\charrsid2639416 #}{\rtlch\fcs1 \af0 \ltrch\fcs0 &#13;_x000a_\cs17\b0\v\fs20\cf9\lang1024\langfe1024\loch\af1\hich\af1\dbch\af31501\noproof\insrsid2502307\charrsid2639416 \hich\af1\dbch\af31501\loch\f1 &lt;/DocAmend&gt;}{\rtlch\fcs1 \af0 \ltrch\fcs0 \insrsid2502307\charrsid2639416 &#13;_x000a_\par }\pard\plain \ltrpar\s19\ql \li0\ri0\nowidctlpar\wrapdefault\aspalpha\aspnum\faauto\adjustright\rin0\lin0\itap0\pararsid2502307 \rtlch\fcs1 \af0\afs20\alang1025 \ltrch\fcs0 \b\fs24\lang2057\langfe2057\cgrid\langnp2057\langfenp2057 {\rtlch\fcs1 \af0 &#13;_x000a_\ltrch\fcs0 \cs17\b0\v\fs20\cf9\lang1024\langfe1024\loch\af1\hich\af1\dbch\af31501\noproof\insrsid2502307\charrsid2639416 \hich\af1\dbch\af31501\loch\f1 &lt;Article&gt;}{\rtlch\fcs1 \af0 \ltrch\fcs0 \insrsid2502307\charrsid2639416 #}{\rtlch\fcs1 \af0 &#13;_x000a_\ltrch\fcs0 \cs18\v\f1\fs20\cf15\insrsid2502307\charrsid2639416 MNU[AMACTPARTYES][AMACTPARTNO]@CHOICE@AMACTMNU}{\rtlch\fcs1 \af0 \ltrch\fcs0 \insrsid2502307\charrsid2639416 #}{\rtlch\fcs1 \af0 \ltrch\fcs0 &#13;_x000a_\cs17\b0\v\fs20\cf9\lang1024\langfe1024\loch\af1\hich\af1\dbch\af31501\noproof\insrsid2502307\charrsid2639416 \hich\af1\dbch\af31501\loch\f1 &lt;/Article&gt;}{\rtlch\fcs1 \af0 \ltrch\fcs0 \insrsid2502307\charrsid2639416 &#13;_x000a_\par }\pard\plain \ltrpar\ql \li0\ri0\keepn\widctlpar\wrapdefault\aspalpha\aspnum\faauto\adjustright\rin0\lin0\itap0\pararsid2502307 \rtlch\fcs1 \af0\afs20\alang1025 \ltrch\fcs0 \fs24\lang2057\langfe2057\cgrid\langnp2057\langfenp2057 {\rtlch\fcs1 \af0 &#13;_x000a_\ltrch\fcs0 \cs17\v\fs20\cf9\lang1024\langfe1024\loch\af1\hich\af1\dbch\af31501\noproof\insrsid2502307\charrsid2639416 \hich\af1\dbch\af31501\loch\f1 &lt;DocAmend2&gt;&lt;OptDel&gt;}{\rtlch\fcs1 \af0 \ltrch\fcs0 \insrsid2502307\charrsid2639416 #}{\rtlch\fcs1 \af0 &#13;_x000a_\ltrch\fcs0 \cs18\v\f1\fs20\cf15\insrsid2502307\charrsid2639416 MNU[OPTNRACTYES][NOTAPP]@CHOICE@AMACTMNU}{\rtlch\fcs1 \af0 \ltrch\fcs0 \insrsid2502307\charrsid2639416 #}{\rtlch\fcs1 \af0 \ltrch\fcs0 &#13;_x000a_\cs17\v\fs20\cf9\lang1024\langfe1024\loch\af1\hich\af1\dbch\af31501\noproof\insrsid2502307\charrsid2639416 \hich\af1\dbch\af31501\loch\f1 &lt;/OptDel&gt;&lt;/DocAmend2&gt;}{\rtlch\fcs1 \af0 \ltrch\fcs0 \insrsid2502307\charrsid2639416 &#13;_x000a_\par }\pard \ltrpar\ql \li0\ri0\widctlpar\wrapdefault\aspalpha\aspnum\faauto\adjustright\rin0\lin0\itap0\pararsid2502307 {\rtlch\fcs1 \af0 \ltrch\fcs0 \cs17\v\fs20\cf9\lang1024\langfe1024\loch\af1\hich\af1\dbch\af31501\noproof\insrsid2502307\charrsid2639416 &#13;_x000a_\hich\af1\dbch\af31501\loch\f1 &lt;Article2&gt;&lt;OptDel&gt;}{\rtlch\fcs1 \af0 \ltrch\fcs0 \insrsid2502307\charrsid2639416 #}{\rtlch\fcs1 \af0 \ltrch\fcs0 \cs18\v\f1\fs20\cf15\insrsid2502307\charrsid2639416 MNU[OPTACTPARTYES][NOTAPP]@CHOICE@AMACTMNU}{\rtlch\fcs1 &#13;_x000a_\af0 \ltrch\fcs0 \insrsid2502307\charrsid2639416 #}{\rtlch\fcs1 \af0 \ltrch\fcs0 \cs17\v\fs20\cf9\lang1024\langfe1024\loch\af1\hich\af1\dbch\af31501\noproof\insrsid2502307\charrsid2639416 \hich\af1\dbch\af31501\loch\f1 &lt;/OptDel&gt;&lt;/Article2&gt;}{\rtlch\fcs1 &#13;_x000a_\af0 \ltrch\fcs0 \insrsid2502307\charrsid2639416 &#13;_x000a_\par \ltrrow}\trowd \ltrrow\ts11\trqc\trgaph340\trleft0\trftsWidth3\trftsWidthB3\trpaddl340\trpaddr340\trpaddfl3\trpaddft3\trpaddfb3\trpaddfr3\tblrsid11085200\tbllkhdrrows\tbllkhdrcols\tbllknocolband\tblind0\tblindtype3 \clvertalt\clbrdrt\brdrtbl \clbrdrl&#13;_x000a_\brdrtbl \clbrdrb\brdrtbl \clbrdrr\brdrtbl \cltxlrtb\clftsWidth3\clwWidth9752\clshdrawnil \cellx9752\pard\plain \ltrpar\ql \li0\ri0\keepn\widctlpar\intbl\wrapdefault\aspalpha\aspnum\faauto\adjustright\rin0\lin0\pararsid11085200 \rtlch\fcs1 &#13;_x000a_\af0\afs20\alang1025 \ltrch\fcs0 \fs24\lang2057\langfe2057\cgrid\langnp2057\langfenp2057 {\rtlch\fcs1 \af0 \ltrch\fcs0 \insrsid2502307\charrsid2639416 \cell }\pard\plain \ltrpar&#13;_x000a_\ql \li0\ri0\widctlpar\intbl\wrapdefault\aspalpha\aspnum\faauto\adjustright\rin0\lin0 \rtlch\fcs1 \af0\afs20\alang1025 \ltrch\fcs0 \fs24\lang2057\langfe2057\cgrid\langnp2057\langfenp2057 {\rtlch\fcs1 \af0 \ltrch\fcs0 \insrsid2502307\charrsid2639416 &#13;_x000a_\trowd \ltrrow\ts11\trqc\trgaph340\trleft0\trftsWidth3\trftsWidthB3\trpaddl340\trpaddr340\trpaddfl3\trpaddft3\trpaddfb3\trpaddfr3\tblrsid11085200\tbllkhdrrows\tbllkhdrcols\tbllknocolband\tblind0\tblindtype3 \clvertalt\clbrdrt\brdrtbl \clbrdrl\brdrtbl &#13;_x000a_\clbrdrb\brdrtbl \clbrdrr\brdrtbl \cltxlrtb\clftsWidth3\clwWidth9752\clshdrawnil \cellx9752\row \ltrrow}\trowd \ltrrow&#13;_x000a_\ts11\trqc\trgaph340\trleft0\trftsWidth3\trftsWidthB3\trpaddl340\trpaddr340\trpaddfl3\trpaddft3\trpaddfb3\trpaddfr3\tblrsid11085200\tbllkhdrrows\tbllkhdrcols\tbllknocolband\tblind0\tblindtype3 \clvertalt\clbrdrt\brdrtbl \clbrdrl\brdrtbl \clbrdrb\brdrtbl &#13;_x000a_\clbrdrr\brdrtbl \cltxlrtb\clftsWidth3\clwWidth4876\clshdrawnil\clhidemark \cellx4876\clvertalt\clbrdrt\brdrtbl \clbrdrl\brdrtbl \clbrdrb\brdrtbl \clbrdrr\brdrtbl \cltxlrtb\clftsWidth3\clwWidth4876\clshdrawnil\clhidemark \cellx9752\pard\plain \ltrpar&#13;_x000a_\s22\qc \li0\ri0\sa240\keepn\nowidctlpar\intbl\wrapdefault\aspalpha\aspnum\faauto\adjustright\rin0\lin0\pararsid11085200 \rtlch\fcs1 \af0\afs20\alang1025 \ltrch\fcs0 \i\fs24\lang2057\langfe2057\cgrid\langnp2057\langfenp2057 {\rtlch\fcs1 \af0 \ltrch\fcs0 &#13;_x000a_\insrsid2502307\charrsid2639416 #}{\rtlch\fcs1 \af0 \ltrch\fcs0 \cs18\v\f1\fs20\cf15\insrsid2502307\charrsid2639416 MNU[OPTLEFTAMACT][LEFTPROP]@CHOICE@AMACTMNU}{\rtlch\fcs1 \af0 \ltrch\fcs0 \insrsid2502307\charrsid2639416 #\cell Amendment\cell &#13;_x000a_}\pard\plain \ltrpar\ql \li0\ri0\widctlpar\intbl\wrapdefault\aspalpha\aspnum\faauto\adjustright\rin0\lin0 \rtlch\fcs1 \af0\afs20\alang1025 \ltrch\fcs0 \fs24\lang2057\langfe2057\cgrid\langnp2057\langfenp2057 {\rtlch\fcs1 \af0 \ltrch\fcs0 &#13;_x000a_\insrsid2502307\charrsid2639416 \trowd \ltrrow\ts11\trqc\trgaph340\trleft0\trftsWidth3\trftsWidthB3\trpaddl340\trpaddr340\trpaddfl3\trpaddft3\trpaddfb3\trpaddfr3\tblrsid11085200\tbllkhdrrows\tbllkhdrcols\tbllknocolband\tblind0\tblindtype3 \clvertalt&#13;_x000a_\clbrdrt\brdrtbl \clbrdrl\brdrtbl \clbrdrb\brdrtbl \clbrdrr\brdrtbl \cltxlrtb\clftsWidth3\clwWidth4876\clshdrawnil\clhidemark \cellx4876\clvertalt\clbrdrt\brdrtbl \clbrdrl\brdrtbl \clbrdrb\brdrtbl \clbrdrr\brdrtbl &#13;_x000a_\cltxlrtb\clftsWidth3\clwWidth4876\clshdrawnil\clhidemark \cellx9752\row \ltrrow}\pard\plain \ltrpar\s21\ql \li0\ri0\sa120\nowidctlpar\intbl\wrapdefault\aspalpha\aspnum\faauto\adjustright\rin0\lin0\pararsid11085200 \rtlch\fcs1 \af0\afs20\alang1025 &#13;_x000a_\ltrch\fcs0 \fs24\lang2057\langfe2057\cgrid\langnp2057\langfenp2057 {\rtlch\fcs1 \af0 \ltrch\fcs0 \insrsid2502307\charrsid2639416 #}{\rtlch\fcs1 \af0 \ltrch\fcs0 \cs18\v\f1\fs20\cf15\insrsid2502307\charrsid2639416 MNU[TEXTLEVA][TEXTLOTHER]@CHOICE@TEXTRMNU&#13;_x000a_}{\rtlch\fcs1 \af0 \ltrch\fcs0 \insrsid2502307\charrsid2639416 #\cell #}{\rtlch\fcs1 \af0 \ltrch\fcs0 \cs18\v\f1\fs20\cf15\insrsid2502307\charrsid2639416 MNU[TEXTREVA][TEXTROTHER]@CHOICE@TEXTRMNU}{\rtlch\fcs1 \af0 \ltrch\fcs0 &#13;_x000a_\insrsid2502307\charrsid2639416 #\cell }\pard\plain \ltrpar\ql \li0\ri0\widctlpar\intbl\wrapdefault\aspalpha\aspnum\faauto\adjustright\rin0\lin0 \rtlch\fcs1 \af0\afs20\alang1025 \ltrch\fcs0 \fs24\lang2057\langfe2057\cgrid\langnp2057\langfenp2057 {&#13;_x000a_\rtlch\fcs1 \af0 \ltrch\fcs0 \insrsid2502307\charrsid2639416 \trowd \lastrow \ltrrow&#13;_x000a_\ts11\trqc\trgaph340\trleft0\trftsWidth3\trftsWidthB3\trpaddl340\trpaddr340\trpaddfl3\trpaddft3\trpaddfb3\trpaddfr3\tblrsid11085200\tbllkhdrrows\tbllkhdrcols\tbllknocolband\tblind0\tblindtype3 \clvertalt\clbrdrt\brdrtbl \clbrdrl\brdrtbl \clbrdrb\brdrtbl &#13;_x000a_\clbrdrr\brdrtbl \cltxlrtb\clftsWidth3\clwWidth4876\clshdrawnil\clhidemark \cellx4876\clvertalt\clbrdrt\brdrtbl \clbrdrl\brdrtbl \clbrdrb\brdrtbl \clbrdrr\brdrtbl \cltxlrtb\clftsWidth3\clwWidth4876\clshdrawnil\clhidemark \cellx9752\row &#13;_x000a_}\pard\plain \ltrpar\s20\qr \li0\ri0\sb240\sa240\nowidctlpar\wrapdefault\aspalpha\aspnum\faauto\adjustright\rin0\lin0\itap0\pararsid2502307 \rtlch\fcs1 \af0\afs20\alang1025 \ltrch\fcs0 \fs24\lang2057\langfe2057\cgrid\langnp2057\langfenp2057 {\rtlch\fcs1 &#13;_x000a_\af0 \ltrch\fcs0 \insrsid2502307\charrsid2639416 Or. }{\rtlch\fcs1 \af0 \ltrch\fcs0 \cs17\v\fs20\cf9\lang1024\langfe1024\loch\af1\hich\af1\dbch\af31501\noproof\insrsid2502307\charrsid2639416 \hich\af1\dbch\af31501\loch\f1 &lt;Original&gt;}{\rtlch\fcs1 \af0 &#13;_x000a_\ltrch\fcs0 \insrsid2502307\charrsid2639416 #}{\rtlch\fcs1 \af0 \ltrch\fcs0 \cs18\v\f1\fs20\cf15\insrsid2502307\charrsid2639416 MNU[ORLANGONE][ORLANGMORE]@CHOICE@ORLANGMNU}{\rtlch\fcs1 \af0 \ltrch\fcs0 \insrsid2502307\charrsid2639416 #}{\rtlch\fcs1 \af0 &#13;_x000a_\ltrch\fcs0 \cs17\v\fs20\cf9\lang1024\langfe1024\loch\af1\hich\af1\dbch\af31501\noproof\insrsid2502307\charrsid2639416 \hich\af1\dbch\af31501\loch\f1 &lt;/Original&gt;}{\rtlch\fcs1 \af0 \ltrch\fcs0 \insrsid2502307\charrsid2639416 &#13;_x000a_\par }\pard\plain \ltrpar\s25\qc \li0\ri0\sb240\sa240\nowidctlpar\wrapdefault\aspalpha\aspnum\faauto\adjustright\rin0\lin0\itap0\pararsid2502307 \rtlch\fcs1 \af0\afs20\alang1025 \ltrch\fcs0 \i\fs24\lang2057\langfe2057\cgrid\langnp2057\langfenp2057 {&#13;_x000a_\rtlch\fcs1 \af0 \ltrch\fcs0 \cs17\i0\v\fs20\cf9\lang1024\langfe1024\loch\af1\hich\af1\dbch\af31501\noproof\insrsid2502307\charrsid2639416 \hich\af1\dbch\af31501\loch\f1 &lt;OptDel&gt;}{\rtlch\fcs1 \af0 \ltrch\fcs0 \insrsid2502307\charrsid2639416 #}{&#13;_x000a_\rtlch\fcs1 \af0 \ltrch\fcs0 \cs18\v\f1\fs20\cf15\insrsid2502307\charrsid2639416 MNU[CROSSREFNO][CROSSREFYES]@CHOICE@}{\rtlch\fcs1 \af0 \ltrch\fcs0 \insrsid2502307\charrsid2639416 #}{\rtlch\fcs1 \af0 \ltrch\fcs0 &#13;_x000a_\cs17\i0\v\fs20\cf9\lang1024\langfe1024\loch\af1\hich\af1\dbch\af31501\noproof\insrsid2502307\charrsid2639416 \hich\af1\dbch\af31501\loch\f1 &lt;/OptDel&gt;}{\rtlch\fcs1 \af0 \ltrch\fcs0 \insrsid2502307\charrsid2639416 &#13;_x000a_\par }\pard\plain \ltrpar\s26\qc \li0\ri0\sb240\sa240\keepn\nowidctlpar\wrapdefault\aspalpha\aspnum\faauto\adjustright\rin0\lin0\itap0\pararsid2502307 \rtlch\fcs1 \af0\afs20\alang1025 \ltrch\fcs0 \i\fs24\lang2057\langfe2057\cgrid\langnp2057\langfenp2057 {&#13;_x000a_\rtlch\fcs1 \af0 \ltrch\fcs0 \cs17\i0\v\fs20\cf9\lang1024\langfe1024\loch\af1\hich\af1\dbch\af31501\noproof\insrsid2502307\charrsid2639416 \hich\af1\dbch\af31501\loch\f1 &lt;TitreJust&gt;}{\rtlch\fcs1 \af0 \ltrch\fcs0 \insrsid2502307\charrsid2639416 &#13;_x000a_Justification}{\rtlch\fcs1 \af0 \ltrch\fcs0 \cs17\i0\v\fs20\cf9\lang1024\langfe1024\loch\af1\hich\af1\dbch\af31501\noproof\insrsid2502307\charrsid2639416 \hich\af1\dbch\af31501\loch\f1 &lt;/TitreJust&gt;}{\rtlch\fcs1 \af0 \ltrch\fcs0 &#13;_x000a_\insrsid2502307\charrsid2639416 &#13;_x000a_\par }\pard\plain \ltrpar\s24\ql \li0\ri0\sa240\nowidctlpar\wrapdefault\aspalpha\aspnum\faauto\adjustright\rin0\lin0\itap0\pararsid2502307 \rtlch\fcs1 \af0\afs20\alang1025 \ltrch\fcs0 \i\fs24\lang2057\langfe2057\cgrid\langnp2057\langfenp2057 {\rtlch\fcs1 \af0 &#13;_x000a_\ltrch\fcs0 \cs17\i0\v\fs20\cf9\lang1024\langfe1024\loch\af1\hich\af1\dbch\af31501\noproof\insrsid2502307\charrsid2639416 \hich\af1\dbch\af31501\loch\f1 &lt;OptDelPrev&gt;}{\rtlch\fcs1 \af0 \ltrch\fcs0 \insrsid2502307\charrsid2639416 #}{\rtlch\fcs1 \af0 &#13;_x000a_\ltrch\fcs0 \cs18\v\f1\fs20\cf15\insrsid2502307\charrsid2639416 MNU[TEXTJUSTYES][TEXTJUSTNO]@CHOICE@}{\rtlch\fcs1 \af0 \ltrch\fcs0 \insrsid2502307\charrsid2639416 #}{\rtlch\fcs1 \af0 \ltrch\fcs0 &#13;_x000a_\cs17\i0\v\fs20\cf9\lang1024\langfe1024\loch\af1\hich\af1\dbch\af31501\noproof\insrsid2502307\charrsid2639416 \hich\af1\dbch\af31501\loch\f1 &lt;/OptDelPrev&gt;}{\rtlch\fcs1 \af0 \ltrch\fcs0 \insrsid2502307\charrsid2639416 &#13;_x000a_\par }\pard\plain \ltrpar\ql \li0\ri0\widctlpar\wrapdefault\aspalpha\aspnum\faauto\adjustright\rin0\lin0\itap0\pararsid2502307 \rtlch\fcs1 \af0\afs20\alang1025 \ltrch\fcs0 \fs24\lang2057\langfe2057\cgrid\langnp2057\langfenp2057 {\rtlch\fcs1 \af0 \ltrch\fcs0 &#13;_x000a_\cs17\v\fs20\cf9\lang1024\langfe1024\loch\af1\hich\af1\dbch\af31501\noproof\insrsid2502307\charrsid2639416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00&#13;_x000a_5c41ce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4\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alt Leelawadee UI};}{\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alt Leelawadee UI};}{\f334\fbidi \froman\fcharset238\fprq2 Times New Roman CE;}{\f335\fbidi \froman\fcharset204\fprq2 Times New Roman Cyr;}&#13;_x000a_{\f337\fbidi \froman\fcharset161\fprq2 Times New Roman Greek;}{\f338\fbidi \froman\fcharset162\fprq2 Times New Roman Tur;}{\f339\fbidi \froman\fcharset177\fprq2 Times New Roman (Hebrew);}{\f340\fbidi \froman\fcharset178\fprq2 Times New Roman (Arabic);}&#13;_x000a_{\f341\fbidi \froman\fcharset186\fprq2 Times New Roman Baltic;}{\f342\fbidi \froman\fcharset163\fprq2 Times New Roman (Vietnamese);}{\f344\fbidi \fswiss\fcharset238\fprq2 Arial CE;}{\f345\fbidi \fswiss\fcharset204\fprq2 Arial Cyr;}&#13;_x000a_{\f347\fbidi \fswiss\fcharset161\fprq2 Arial Greek;}{\f348\fbidi \fswiss\fcharset162\fprq2 Arial Tur;}{\f349\fbidi \fswiss\fcharset177\fprq2 Arial (Hebrew);}{\f350\fbidi \fswiss\fcharset178\fprq2 Arial (Arabic);}&#13;_x000a_{\f351\fbidi \fswiss\fcharset186\fprq2 Arial Baltic;}{\f352\fbidi \fswiss\fcharset163\fprq2 Arial (Vietnamese);}{\f674\fbidi \froman\fcharset238\fprq2 Cambria Math CE;}{\f675\fbidi \froman\fcharset204\fprq2 Cambria Math Cyr;}&#13;_x000a_{\f677\fbidi \froman\fcharset161\fprq2 Cambria Math Greek;}{\f678\fbidi \froman\fcharset162\fprq2 Cambria Math Tur;}{\f681\fbidi \froman\fcharset186\fprq2 Cambria Math Baltic;}{\f682\fbidi \froman\fcharset163\fprq2 Cambria Math (Vietnamese);}&#13;_x000a_{\f716\fbidi \fswiss\fcharset0\fprq2 Yu Gothic Light Western{\*\falt \'9f\'e0\'83\'53\'83\'56\'83\'62\'83\'4e Light};}{\f714\fbidi \fswiss\fcharset238\fprq2 Yu Gothic Light CE{\*\falt \'9f\'e0\'83\'53\'83\'56\'83\'62\'83\'4e Light};}&#13;_x000a_{\f715\fbidi \fswiss\fcharset204\fprq2 Yu Gothic Light Cyr{\*\falt \'9f\'e0\'83\'53\'83\'56\'83\'62\'83\'4e Light};}{\f717\fbidi \fswiss\fcharset161\fprq2 Yu Gothic Light Greek{\*\falt \'9f\'e0\'83\'53\'83\'56\'83\'62\'83\'4e Light};}&#13;_x000a_{\f718\fbidi \fswiss\fcharset162\fprq2 Yu Gothic Light Tur{\*\falt \'9f\'e0\'83\'53\'83\'56\'83\'62\'83\'4e Light};}{\f721\fbidi \fswiss\fcharset186\fprq2 Yu Gothic Light Baltic{\*\falt \'9f\'e0\'83\'53\'83\'56\'83\'62\'83\'4e Light};}&#13;_x000a_{\f1976\fbidi \fswiss\fcharset0\fprq2 @Yu Gothic Light Western;}{\f1974\fbidi \fswiss\fcharset238\fprq2 @Yu Gothic Light CE;}{\f1975\fbidi \fswiss\fcharset204\fprq2 @Yu Gothic Light Cyr;}{\f1977\fbidi \fswiss\fcharset161\fprq2 @Yu Gothic Light Greek;}&#13;_x000a_{\f1978\fbidi \fswiss\fcharset162\fprq2 @Yu Gothic Light Tur;}{\f1981\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falt Leelawadee U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6293919 HideTWBExt;}{&#13;_x000a_\s18\ql \li0\ri0\nowidctlpar\wrapdefault\aspalpha\aspnum\faauto\adjustright\rin0\lin0\itap0 \rtlch\fcs1 \af0\afs20\alang1025 \ltrch\fcs0 \b\fs24\lang2057\langfe2057\cgrid\langnp2057\langfenp2057 \sbasedon0 \snext18 \spriority0 \styrsid6293919 NormalBold;}&#13;_x000a_{\s19\qr \li0\ri0\sb240\sa240\nowidctlpar\wrapdefault\aspalpha\aspnum\faauto\adjustright\rin0\lin0\itap0 \rtlch\fcs1 \af0\afs20\alang1025 \ltrch\fcs0 \fs24\lang2057\langfe2057\cgrid\langnp2057\langfenp2057 \sbasedon0 \snext19 \spriority0 \styrsid6293919 &#13;_x000a_AmOrLang;}{\s20\ql \li0\ri0\sa120\nowidctlpar\wrapdefault\aspalpha\aspnum\faauto\adjustright\rin0\lin0\itap0 \rtlch\fcs1 \af0\afs20\alang1025 \ltrch\fcs0 \fs24\lang2057\langfe2057\cgrid\langnp2057\langfenp2057 &#13;_x000a_\sbasedon0 \snext20 \spriority0 \styrsid6293919 Normal6a;}{\s21\qc \li0\ri0\sa240\nowidctlpar\wrapdefault\aspalpha\aspnum\faauto\adjustright\rin0\lin0\itap0 \rtlch\fcs1 \af0\afs20\alang1025 \ltrch\fcs0 &#13;_x000a_\i\fs24\lang2057\langfe2057\cgrid\langnp2057\langfenp2057 \sbasedon0 \snext21 \spriority0 \styrsid6293919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6293919 AmNumberTabs;}{\s23\ql \li0\ri0\sa240\nowidctlpar\wrapdefault\aspalpha\aspnum\faauto\adjustright\rin0\lin0\itap0 \rtlch\fcs1 &#13;_x000a_\af0\afs20\alang1025 \ltrch\fcs0 \i\fs24\lang2057\langfe2057\cgrid\langnp2057\langfenp2057 \sbasedon0 \snext23 \spriority0 \styrsid6293919 AmJustText;}{&#13;_x000a_\s24\qc \li0\ri0\sb240\sa240\nowidctlpar\wrapdefault\aspalpha\aspnum\faauto\adjustright\rin0\lin0\itap0 \rtlch\fcs1 \af0\afs20\alang1025 \ltrch\fcs0 \i\fs24\lang2057\langfe2057\cgrid\langnp2057\langfenp2057 \sbasedon0 \snext24 \spriority0 \styrsid6293919 &#13;_x000a_AmCrossRef;}{\s25\qc \li0\ri0\sb240\sa240\keepn\nowidctlpar\wrapdefault\aspalpha\aspnum\faauto\adjustright\rin0\lin0\itap0 \rtlch\fcs1 \af0\afs20\alang1025 \ltrch\fcs0 \i\fs24\lang2057\langfe2057\cgrid\langnp2057\langfenp2057 &#13;_x000a_\sbasedon0 \snext23 \spriority0 \styrsid6293919 AmJustTitle;}{\s26\ql \li0\ri0\sb240\nowidctlpar\wrapdefault\aspalpha\aspnum\faauto\adjustright\rin0\lin0\itap0 \rtlch\fcs1 \af0\afs20\alang1025 \ltrch\fcs0 &#13;_x000a_\b\fs24\lang2057\langfe2057\cgrid\langnp2057\langfenp2057 \sbasedon0 \snext26 \spriority0 \styrsid6293919 NormalBold12b;}}{\*\rsidtbl \rsid24658\rsid223860\rsid735077\rsid1718133\rsid2892074\rsid3565327\rsid4666813\rsid6293919\rsid6641733\rsid7823322&#13;_x000a_\rsid9511006\rsid9636012\rsid10377208\rsid11215221\rsid11549030\rsid12154954\rsid14382809\rsid14424199\rsid15204470\rsid15285974\rsid15950462\rsid16324206\rsid16662270}{\mmathPr\mmathFont34\mbrkBin0\mbrkBinSub0\msmallFrac0\mdispDef1\mlMargin0\mrMargin0&#13;_x000a_\mdefJc1\mwrapIndent1440\mintLim0\mnaryLim1}{\info{\author nmonkuniene}{\operator MONKUNIENE Neringa}{\creatim\yr2024\mo5\dy28\hr11\min10}{\revtim\yr2024\mo5\dy28\hr11\min10}{\version1}{\edmins0}{\nofpages1}{\nofwords255}{\nofchars146}{\nofcharsws400}&#13;_x000a_{\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293919\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11006 \chftnsep &#13;_x000a_\par }}{\*\ftnsepc \ltrpar \pard\plain \ltrpar\ql \li0\ri0\widctlpar\wrapdefault\aspalpha\aspnum\faauto\adjustright\rin0\lin0\itap0 \rtlch\fcs1 \af0\afs20\alang1025 \ltrch\fcs0 \fs24\lang2057\langfe2057\cgrid\langnp2057\langfenp2057 {\rtlch\fcs1 \af0 &#13;_x000a_\ltrch\fcs0 \insrsid9511006 \chftnsepc &#13;_x000a_\par }}{\*\aftnsep \ltrpar \pard\plain \ltrpar\ql \li0\ri0\widctlpar\wrapdefault\aspalpha\aspnum\faauto\adjustright\rin0\lin0\itap0 \rtlch\fcs1 \af0\afs20\alang1025 \ltrch\fcs0 \fs24\lang2057\langfe2057\cgrid\langnp2057\langfenp2057 {\rtlch\fcs1 \af0 &#13;_x000a_\ltrch\fcs0 \insrsid9511006 \chftnsep &#13;_x000a_\par }}{\*\aftnsepc \ltrpar \pard\plain \ltrpar\ql \li0\ri0\widctlpar\wrapdefault\aspalpha\aspnum\faauto\adjustright\rin0\lin0\itap0 \rtlch\fcs1 \af0\afs20\alang1025 \ltrch\fcs0 \fs24\lang2057\langfe2057\cgrid\langnp2057\langfenp2057 {\rtlch\fcs1 \af0 &#13;_x000a_\ltrch\fcs0 \insrsid951100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6293919 \rtlch\fcs1 &#13;_x000a_\af0\afs20\alang1025 \ltrch\fcs0 \b\fs24\lang2057\langfe2057\cgrid\langnp2057\langfenp2057 {\rtlch\fcs1 \af0 \ltrch\fcs0 \cs17\b0\v\fs20\cf9\lang1024\langfe1024\loch\af1\hich\af1\dbch\af31501\noproof\langnp1030\insrsid6293919 {\*\bkmkstart restart}&#13;_x000a_\hich\af1\dbch\af31501\loch\f1 &lt;Amend&gt;}{\rtlch\fcs1 \af0 \ltrch\fcs0 \lang1030\langfe2057\langnp1030\insrsid6293919 [ZAMENDMENT]\tab \tab }{\rtlch\fcs1 \af0 \ltrch\fcs0 &#13;_x000a_\cs17\b0\v\fs20\cf9\lang1024\langfe1024\loch\af1\hich\af1\dbch\af31501\noproof\langnp1030\insrsid6293919 \hich\af1\dbch\af31501\loch\f1 &lt;NumAm&gt;}{\rtlch\fcs1 \af0 \ltrch\fcs0 \lang1030\langfe2057\langnp1030\insrsid6293919 [ZNRAM]}{\rtlch\fcs1 \af0 &#13;_x000a_\ltrch\fcs0 \cs17\b0\v\fs20\cf9\lang1024\langfe1024\loch\af1\hich\af1\dbch\af31501\noproof\langnp1030\insrsid6293919 \hich\af1\dbch\af31501\loch\f1 &lt;/NumAm&gt;}{\rtlch\fcs1 \af0 \ltrch\fcs0 \lang1030\langfe2057\langnp1030\insrsid6293919 &#13;_x000a_\par }\pard\plain \ltrpar\s26\ql \li0\ri0\sb240\keepn\nowidctlpar\wrapdefault\aspalpha\aspnum\faauto\adjustright\rin0\lin0\itap0\pararsid6293919 \rtlch\fcs1 \af0\afs20\alang1025 \ltrch\fcs0 \b\fs24\lang2057\langfe2057\cgrid\langnp2057\langfenp2057 {&#13;_x000a_\rtlch\fcs1 \af0 \ltrch\fcs0 \cs17\b0\v\fs20\cf9\lang1024\langfe1024\loch\af1\hich\af1\dbch\af31501\noproof\langnp1030\insrsid6293919 \hich\af1\dbch\af31501\loch\f1 &lt;DocAmend&gt;}{\rtlch\fcs1 \af0 \ltrch\fcs0 \lang1030\langfe2057\langnp1030\insrsid6293919 &#13;_x000a_[ZPROPOSAL][ZAMACT]}{\rtlch\fcs1 \af0 \ltrch\fcs0 \cs17\b0\v\fs20\cf9\lang1024\langfe1024\loch\af1\hich\af1\dbch\af31501\noproof\langnp1030\insrsid6293919 \hich\af1\dbch\af31501\loch\f1 &lt;/DocAmend&gt;}{\rtlch\fcs1 \af0 \ltrch\fcs0 &#13;_x000a_\lang1030\langfe2057\langnp1030\insrsid6293919 &#13;_x000a_\par }\pard\plain \ltrpar\s18\ql \li0\ri0\nowidctlpar\wrapdefault\aspalpha\aspnum\faauto\adjustright\rin0\lin0\itap0\pararsid6293919 \rtlch\fcs1 \af0\afs20\alang1025 \ltrch\fcs0 \b\fs24\lang2057\langfe2057\cgrid\langnp2057\langfenp2057 {\rtlch\fcs1 \af0 &#13;_x000a_\ltrch\fcs0 \cs17\b0\v\fs20\cf9\lang1024\langfe1024\loch\af1\hich\af1\dbch\af31501\noproof\langnp1030\insrsid6293919 \hich\af1\dbch\af31501\loch\f1 &lt;Article&gt;}{\rtlch\fcs1 \af0 \ltrch\fcs0 \lang1030\langfe2057\langnp1030\insrsid6293919 [ZAMPART]}{&#13;_x000a_\rtlch\fcs1 \af0 \ltrch\fcs0 \cs17\b0\v\fs20\cf9\lang1024\langfe1024\loch\af1\hich\af1\dbch\af31501\noproof\langnp1030\insrsid6293919 \hich\af1\dbch\af31501\loch\f1 &lt;/Article&gt;}{\rtlch\fcs1 \af0 \ltrch\fcs0 \lang1030\langfe2057\langnp1030\insrsid6293919 &#13;_x000a_&#13;_x000a_\par }\pard\plain \ltrpar\ql \li0\ri0\keepn\widctlpar\wrapdefault\aspalpha\aspnum\faauto\adjustright\rin0\lin0\itap0\pararsid6293919 \rtlch\fcs1 \af0\afs20\alang1025 \ltrch\fcs0 \fs24\lang2057\langfe2057\cgrid\langnp2057\langfenp2057 {\rtlch\fcs1 \af0 &#13;_x000a_\ltrch\fcs0 \cs17\v\fs20\cf9\lang1024\langfe1024\loch\af1\hich\af1\dbch\af31501\noproof\langnp1030\insrsid6293919 \hich\af1\dbch\af31501\loch\f1 &lt;DocAmend2&gt;&lt;OptDel&gt;}{\rtlch\fcs1 \af0 \ltrch\fcs0 \lang1030\langfe2057\langnp1030\insrsid6293919 [ZNRACT]}{&#13;_x000a_\rtlch\fcs1 \af0 \ltrch\fcs0 \cs17\v\fs20\cf9\lang1024\langfe1024\loch\af1\hich\af1\dbch\af31501\noproof\langnp1030\insrsid6293919 \hich\af1\dbch\af31501\loch\f1 &lt;/OptDel&gt;&lt;/DocAmend2&gt;}{\rtlch\fcs1 \af0 \ltrch\fcs0 &#13;_x000a_\lang1030\langfe2057\langnp1030\insrsid6293919 &#13;_x000a_\par }\pard \ltrpar\ql \li0\ri0\widctlpar\wrapdefault\aspalpha\aspnum\faauto\adjustright\rin0\lin0\itap0\pararsid6293919 {\rtlch\fcs1 \af0 \ltrch\fcs0 \cs17\v\fs20\cf9\lang1024\langfe1024\loch\af1\hich\af1\dbch\af31501\noproof\langnp1036\insrsid6293919 &#13;_x000a_\hich\af1\dbch\af31501\loch\f1 &lt;Article2&gt;&lt;OptDel&gt;}{\rtlch\fcs1 \af0 \ltrch\fcs0 \lang1036\langfe2057\langnp1036\insrsid6293919 [ZACTPART]}{\rtlch\fcs1 \af0 \ltrch\fcs0 &#13;_x000a_\cs17\v\fs20\cf9\lang1024\langfe1024\loch\af1\hich\af1\dbch\af31501\noproof\langnp1036\insrsid6293919 \hich\af1\dbch\af31501\loch\f1 &lt;/OptDel&gt;&lt;/Article2&gt;}{\rtlch\fcs1 \af0 \ltrch\fcs0 \lang1036\langfe2057\langnp1036\insrsid6293919 &#13;_x000a_\par \ltrrow}\trowd \irow0\irowband0\ltrrow\ts11\trqc\trgaph340\trleft0\trftsWidth3\trftsWidthB3\trpaddl340\trpaddr340\trpaddfl3\trpaddft3\trpaddfb3\trpaddfr3\tblrsid11085200\tbllkhdrrows\tbllkhdrcols\tbllknocolband\tblind0\tblindtype3 \clvertalt\clbrdrt&#13;_x000a_\brdrtbl \clbrdrl\brdrtbl \clbrdrb\brdrtbl \clbrdrr\brdrtbl \cltxlrtb\clftsWidth3\clwWidth9752\clshdrawnil \cellx9752\pard\plain \ltrpar\ql \li0\ri0\keepn\widctlpar\intbl\wrapdefault\aspalpha\aspnum\faauto\adjustright\rin0\lin0\pararsid11085200 &#13;_x000a_\rtlch\fcs1 \af0\afs20\alang1025 \ltrch\fcs0 \fs24\lang2057\langfe2057\cgrid\langnp2057\langfenp2057 {\rtlch\fcs1 \af0 \ltrch\fcs0 \lang1036\langfe2057\langnp1036\insrsid6293919 \cell }\pard\plain \ltrpar&#13;_x000a_\ql \li0\ri0\widctlpar\intbl\wrapdefault\aspalpha\aspnum\faauto\adjustright\rin0\lin0 \rtlch\fcs1 \af0\afs20\alang1025 \ltrch\fcs0 \fs24\lang2057\langfe2057\cgrid\langnp2057\langfenp2057 {\rtlch\fcs1 \af0 \ltrch\fcs0 \insrsid6293919 &#13;_x000a_\trowd \irow0\irowband0\ltrrow\ts11\trqc\trgaph340\trleft0\trftsWidth3\trftsWidthB3\trpaddl340\trpaddr340\trpaddfl3\trpaddft3\trpaddfb3\trpaddfr3\tblrsid11085200\tbllkhdrrows\tbllkhdrcols\tbllknocolband\tblind0\tblindtype3 \clvertalt\clbrdrt\brdrtbl &#13;_x000a_\clbrdrl\brdrtbl \clbrdrb\brdrtbl \clbrdrr\brdrtbl \cltxlrtb\clftsWidth3\clwWidth9752\clshdrawnil \cellx9752\row \ltrrow}\trowd \irow1\irowband1\ltrrow&#13;_x000a_\ts11\trqc\trgaph340\trleft0\trftsWidth3\trftsWidthB3\trpaddl340\trpaddr340\trpaddfl3\trpaddft3\trpaddfb3\trpaddfr3\tblrsid11085200\tbllkhdrrows\tbllkhdrcols\tbllknocolband\tblind0\tblindtype3 \clvertalt\clbrdrt\brdrtbl \clbrdrl\brdrtbl \clbrdrb\brdrtbl &#13;_x000a_\clbrdrr\brdrtbl \cltxlrtb\clftsWidth3\clwWidth4876\clshdrawnil\clhidemark \cellx4876\clvertalt\clbrdrt\brdrtbl \clbrdrl\brdrtbl \clbrdrb\brdrtbl \clbrdrr\brdrtbl \cltxlrtb\clftsWidth3\clwWidth4876\clshdrawnil\clhidemark \cellx9752\pard\plain \ltrpar&#13;_x000a_\s21\qc \li0\ri0\sa240\keepn\nowidctlpar\intbl\wrapdefault\aspalpha\aspnum\faauto\adjustright\rin0\lin0\pararsid11085200 \rtlch\fcs1 \af0\afs20\alang1025 \ltrch\fcs0 \i\fs24\lang2057\langfe2057\cgrid\langnp2057\langfenp2057 {\rtlch\fcs1 \af0 \ltrch\fcs0 &#13;_x000a_\insrsid6293919 [ZLEFT]\cell [ZRIGHT]\cell }\pard\plain \ltrpar\ql \li0\ri0\widctlpar\intbl\wrapdefault\aspalpha\aspnum\faauto\adjustright\rin0\lin0 \rtlch\fcs1 \af0\afs20\alang1025 \ltrch\fcs0 \fs24\lang2057\langfe2057\cgrid\langnp2057\langfenp2057 {&#13;_x000a_\rtlch\fcs1 \af0 \ltrch\fcs0 \insrsid6293919 \trowd \irow1\irowband1\ltrrow&#13;_x000a_\ts11\trqc\trgaph340\trleft0\trftsWidth3\trftsWidthB3\trpaddl340\trpaddr340\trpaddfl3\trpaddft3\trpaddfb3\trpaddfr3\tblrsid11085200\tbllkhdrrows\tbllkhdrcols\tbllknocolband\tblind0\tblindtype3 \clvertalt\clbrdrt\brdrtbl \clbrdrl\brdrtbl \clbrdrb\brdrtbl &#13;_x000a_\clbrdrr\brdrtbl \cltxlrtb\clftsWidth3\clwWidth4876\clshdrawnil\clhidemark \cellx4876\clvertalt\clbrdrt\brdrtbl \clbrdrl\brdrtbl \clbrdrb\brdrtbl \clbrdrr\brdrtbl \cltxlrtb\clftsWidth3\clwWidth4876\clshdrawnil\clhidemark \cellx9752\row \ltrrow&#13;_x000a_}\pard\plain \ltrpar\s20\ql \li0\ri0\sa120\nowidctlpar\intbl\wrapdefault\aspalpha\aspnum\faauto\adjustright\rin0\lin0\pararsid11085200 \rtlch\fcs1 \af0\afs20\alang1025 \ltrch\fcs0 \fs24\lang2057\langfe2057\cgrid\langnp2057\langfenp2057 {\rtlch\fcs1 \af0 &#13;_x000a_\ltrch\fcs0 \insrsid6293919 [ZTEXTL]\cell [ZTEXTR]\cell }\pard\plain \ltrpar\ql \li0\ri0\widctlpar\intbl\wrapdefault\aspalpha\aspnum\faauto\adjustright\rin0\lin0 \rtlch\fcs1 \af0\afs20\alang1025 \ltrch\fcs0 &#13;_x000a_\fs24\lang2057\langfe2057\cgrid\langnp2057\langfenp2057 {\rtlch\fcs1 \af0 \ltrch\fcs0 \insrsid6293919 \trowd \irow2\irowband2\lastrow \ltrrow&#13;_x000a_\ts11\trqc\trgaph340\trleft0\trftsWidth3\trftsWidthB3\trpaddl340\trpaddr340\trpaddfl3\trpaddft3\trpaddfb3\trpaddfr3\tblrsid11085200\tbllkhdrrows\tbllkhdrcols\tbllknocolband\tblind0\tblindtype3 \clvertalt\clbrdrt\brdrtbl \clbrdrl\brdrtbl \clbrdrb\brdrtbl &#13;_x000a_\clbrdrr\brdrtbl \cltxlrtb\clftsWidth3\clwWidth4876\clshdrawnil\clhidemark \cellx4876\clvertalt\clbrdrt\brdrtbl \clbrdrl\brdrtbl \clbrdrb\brdrtbl \clbrdrr\brdrtbl \cltxlrtb\clftsWidth3\clwWidth4876\clshdrawnil\clhidemark \cellx9752\row &#13;_x000a_}\pard\plain \ltrpar\s19\qr \li0\ri0\sb240\sa240\nowidctlpar\wrapdefault\aspalpha\aspnum\faauto\adjustright\rin0\lin0\itap0\pararsid6293919 \rtlch\fcs1 \af0\afs20\alang1025 \ltrch\fcs0 \fs24\lang2057\langfe2057\cgrid\langnp2057\langfenp2057 {\rtlch\fcs1 &#13;_x000a_\af0 \ltrch\fcs0 \insrsid6293919 Or. }{\rtlch\fcs1 \af0 \ltrch\fcs0 \cs17\v\fs20\cf9\lang1024\langfe1024\loch\af1\hich\af1\dbch\af31501\noproof\insrsid6293919 \hich\af1\dbch\af31501\loch\f1 &lt;Original&gt;}{\rtlch\fcs1 \af0 \ltrch\fcs0 \insrsid6293919 &#13;_x000a_[ZORLANG]}{\rtlch\fcs1 \af0 \ltrch\fcs0 \cs17\v\fs20\cf9\lang1024\langfe1024\loch\af1\hich\af1\dbch\af31501\noproof\insrsid6293919 \hich\af1\dbch\af31501\loch\f1 &lt;/Original&gt;}{\rtlch\fcs1 \af0 \ltrch\fcs0 \insrsid6293919 &#13;_x000a_\par }\pard\plain \ltrpar\s24\qc \li0\ri0\sb240\sa240\nowidctlpar\wrapdefault\aspalpha\aspnum\faauto\adjustright\rin0\lin0\itap0\pararsid6293919 \rtlch\fcs1 \af0\afs20\alang1025 \ltrch\fcs0 \i\fs24\lang2057\langfe2057\cgrid\langnp2057\langfenp2057 {&#13;_x000a_\rtlch\fcs1 \af0 \ltrch\fcs0 \cs17\i0\v\fs20\cf9\lang1024\langfe1024\loch\af1\hich\af1\dbch\af31501\noproof\insrsid6293919 \hich\af1\dbch\af31501\loch\f1 &lt;OptDel&gt;}{\rtlch\fcs1 \af0 \ltrch\fcs0 \insrsid6293919 [ZCROSSREF]}{\rtlch\fcs1 \af0 \ltrch\fcs0 &#13;_x000a_\cs17\i0\v\fs20\cf9\lang1024\langfe1024\loch\af1\hich\af1\dbch\af31501\noproof\insrsid6293919 \hich\af1\dbch\af31501\loch\f1 &lt;/OptDel&gt;}{\rtlch\fcs1 \af0 \ltrch\fcs0 \insrsid6293919 &#13;_x000a_\par }\pard\plain \ltrpar\s25\qc \li0\ri0\sb240\sa240\keepn\nowidctlpar\wrapdefault\aspalpha\aspnum\faauto\adjustright\rin0\lin0\itap0\pararsid6293919 \rtlch\fcs1 \af0\afs20\alang1025 \ltrch\fcs0 \i\fs24\lang2057\langfe2057\cgrid\langnp2057\langfenp2057 {&#13;_x000a_\rtlch\fcs1 \af0 \ltrch\fcs0 \cs17\i0\v\fs20\cf9\lang1024\langfe1024\loch\af1\hich\af1\dbch\af31501\noproof\insrsid6293919 \hich\af1\dbch\af31501\loch\f1 &lt;TitreJust&gt;}{\rtlch\fcs1 \af0 \ltrch\fcs0 \insrsid6293919 [ZJUSTIFICATION]}{\rtlch\fcs1 \af0 &#13;_x000a_\ltrch\fcs0 \cs17\i0\v\fs20\cf9\lang1024\langfe1024\loch\af1\hich\af1\dbch\af31501\noproof\insrsid6293919 \hich\af1\dbch\af31501\loch\f1 &lt;/TitreJust&gt;}{\rtlch\fcs1 \af0 \ltrch\fcs0 \insrsid6293919 &#13;_x000a_\par }\pard\plain \ltrpar\s23\ql \li0\ri0\sa240\nowidctlpar\wrapdefault\aspalpha\aspnum\faauto\adjustright\rin0\lin0\itap0\pararsid6293919 \rtlch\fcs1 \af0\afs20\alang1025 \ltrch\fcs0 \i\fs24\lang2057\langfe2057\cgrid\langnp2057\langfenp2057 {\rtlch\fcs1 \af0 &#13;_x000a_\ltrch\fcs0 \cs17\i0\v\fs20\cf9\lang1024\langfe1024\loch\af1\hich\af1\dbch\af31501\noproof\insrsid6293919 \hich\af1\dbch\af31501\loch\f1 &lt;OptDelPrev&gt;}{\rtlch\fcs1 \af0 \ltrch\fcs0 \insrsid6293919 [ZTEXTJUST]}{\rtlch\fcs1 \af0 \ltrch\fcs0 &#13;_x000a_\cs17\i0\v\fs20\cf9\lang1024\langfe1024\loch\af1\hich\af1\dbch\af31501\noproof\insrsid6293919 \hich\af1\dbch\af31501\loch\f1 &lt;/OptDelPrev&gt;}{\rtlch\fcs1 \af0 \ltrch\fcs0 \insrsid6293919 &#13;_x000a_\par }\pard\plain \ltrpar\ql \li0\ri0\widctlpar\wrapdefault\aspalpha\aspnum\faauto\adjustright\rin0\lin0\itap0\pararsid6293919 \rtlch\fcs1 \af0\afs20\alang1025 \ltrch\fcs0 \fs24\lang2057\langfe2057\cgrid\langnp2057\langfenp2057 {\rtlch\fcs1 \af0 \ltrch\fcs0 &#13;_x000a_\cs17\v\fs20\cf9\lang1024\langfe1024\loch\af1\hich\af1\dbch\af31501\noproof\insrsid6293919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9a&#13;_x000a_80d3deb0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Evaluation"/>
    <w:docVar w:name="strSubDir" w:val="1353"/>
    <w:docVar w:name="TEXTRMNU" w:val="1"/>
    <w:docVar w:name="TITLEMNU" w:val=" 1"/>
    <w:docVar w:name="TITLENLEMNU" w:val=" 1"/>
    <w:docVar w:name="TXTLANGUE" w:val="EN"/>
    <w:docVar w:name="TXTLANGUEMIN" w:val="en"/>
    <w:docVar w:name="TXTNRC" w:val="0195/2026"/>
    <w:docVar w:name="TXTNRCOM" w:val="(2026)0193"/>
    <w:docVar w:name="TXTNRPE" w:val="797.433"/>
    <w:docVar w:name="TXTNRPROC" w:val="2026/0107"/>
    <w:docVar w:name="TXTPEorAP" w:val="PE"/>
    <w:docVar w:name="TXTROUTE" w:val="PA\1353457EN.docx"/>
    <w:docVar w:name="TXTTITLE" w:val="Council decision on the conclusion, on behalf of the European Union, of the Protocol on the implementation of the Sustainable Fisheries Partnership Agreement between the European Union and the Republic of Seychelles (2026-2030)"/>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80D728D-97CF-4C84-9159-5F1FEEC0A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8432D"/>
    <w:rPr>
      <w:rFonts w:ascii="Arial" w:hAnsi="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character" w:styleId="Hyperlink">
    <w:name w:val="Hyperlink"/>
    <w:basedOn w:val="DefaultParagraphFont"/>
    <w:unhideWhenUsed/>
    <w:rsid w:val="009D0A61"/>
    <w:rPr>
      <w:color w:val="0563C1" w:themeColor="hyperlink"/>
      <w:u w:val="single"/>
    </w:rPr>
  </w:style>
  <w:style w:type="paragraph" w:styleId="FootnoteText">
    <w:name w:val="footnote text"/>
    <w:basedOn w:val="Normal"/>
    <w:link w:val="FootnoteTextChar"/>
    <w:uiPriority w:val="99"/>
    <w:unhideWhenUsed/>
    <w:rsid w:val="009D0A61"/>
    <w:rPr>
      <w:sz w:val="20"/>
    </w:rPr>
  </w:style>
  <w:style w:type="character" w:customStyle="1" w:styleId="FootnoteTextChar">
    <w:name w:val="Footnote Text Char"/>
    <w:basedOn w:val="DefaultParagraphFont"/>
    <w:link w:val="FootnoteText"/>
    <w:uiPriority w:val="99"/>
    <w:rsid w:val="009D0A61"/>
  </w:style>
  <w:style w:type="paragraph" w:styleId="ListParagraph">
    <w:name w:val="List Paragraph"/>
    <w:basedOn w:val="Normal"/>
    <w:uiPriority w:val="34"/>
    <w:qFormat/>
    <w:rsid w:val="009D0A61"/>
    <w:pPr>
      <w:ind w:left="720"/>
      <w:contextualSpacing/>
    </w:p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unhideWhenUsed/>
    <w:rsid w:val="009D0A61"/>
    <w:rPr>
      <w:vertAlign w:val="superscript"/>
    </w:rPr>
  </w:style>
  <w:style w:type="character" w:customStyle="1" w:styleId="Hyperlink1">
    <w:name w:val="Hyperlink1"/>
    <w:basedOn w:val="DefaultParagraphFont"/>
    <w:rsid w:val="009D0A61"/>
    <w:rPr>
      <w:color w:val="0563C1"/>
      <w:u w:val="single"/>
    </w:rPr>
  </w:style>
  <w:style w:type="paragraph" w:styleId="Footer">
    <w:name w:val="footer"/>
    <w:basedOn w:val="Normal"/>
    <w:link w:val="FooterChar"/>
    <w:semiHidden/>
    <w:rsid w:val="00203EC4"/>
    <w:pPr>
      <w:tabs>
        <w:tab w:val="center" w:pos="4513"/>
        <w:tab w:val="right" w:pos="9026"/>
      </w:tabs>
    </w:pPr>
  </w:style>
  <w:style w:type="character" w:customStyle="1" w:styleId="FooterChar">
    <w:name w:val="Footer Char"/>
    <w:basedOn w:val="DefaultParagraphFont"/>
    <w:link w:val="Footer"/>
    <w:semiHidden/>
    <w:rsid w:val="00203EC4"/>
    <w:rPr>
      <w:sz w:val="24"/>
    </w:rPr>
  </w:style>
  <w:style w:type="paragraph" w:styleId="Revision">
    <w:name w:val="Revision"/>
    <w:hidden/>
    <w:uiPriority w:val="99"/>
    <w:semiHidden/>
    <w:rsid w:val="006056D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nation/2023/2862/oj" TargetMode="External" /><Relationship Id="rId2"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938</Words>
  <Characters>5118</Characters>
  <Application>Microsoft Office Word</Application>
  <DocSecurity>0</DocSecurity>
  <Lines>124</Lines>
  <Paragraphs>63</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2004-10-28T10:33:00Z</cp:lastPrinted>
  <dcterms:created xsi:type="dcterms:W3CDTF">2026-10-26T09:45:00Z</dcterms:created>
  <dcterms:modified xsi:type="dcterms:W3CDTF">2026-10-26T09:45:00Z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1353457</vt:lpwstr>
  </property>
  <property fmtid="{D5CDD505-2E9C-101B-9397-08002B2CF9AE}" pid="4" name="&lt;Model&gt;">
    <vt:lpwstr>PA_LegEvaluation</vt:lpwstr>
  </property>
  <property fmtid="{D5CDD505-2E9C-101B-9397-08002B2CF9AE}" pid="5" name="&lt;ModelCod&gt;">
    <vt:lpwstr>\\eiciBRUpr1\pdocep$\DocEP\DOCS\General\PA\PA_Leg\PA_LegEvaluation.dotx(18/03/2025 13:35:01)</vt:lpwstr>
  </property>
  <property fmtid="{D5CDD505-2E9C-101B-9397-08002B2CF9AE}" pid="6" name="&lt;ModelTra&gt;">
    <vt:lpwstr>\\eiciBRUpr1\pdocep$\DocEP\TRANSFIL\EN\PA_LegEvaluation.EN(03/03/2026 11:04:10)</vt:lpwstr>
  </property>
  <property fmtid="{D5CDD505-2E9C-101B-9397-08002B2CF9AE}" pid="7" name="&lt;Type&gt;">
    <vt:lpwstr>PA</vt:lpwstr>
  </property>
  <property fmtid="{D5CDD505-2E9C-101B-9397-08002B2CF9AE}" pid="8" name="Bookout">
    <vt:lpwstr>OK - 2026/10/26 10:45</vt:lpwstr>
  </property>
  <property fmtid="{D5CDD505-2E9C-101B-9397-08002B2CF9AE}" pid="9" name="Created with">
    <vt:lpwstr>10.3.1 Build [20260902]</vt:lpwstr>
  </property>
  <property fmtid="{D5CDD505-2E9C-101B-9397-08002B2CF9AE}" pid="10" name="FooterPath">
    <vt:lpwstr>PA\1353457EN.docx</vt:lpwstr>
  </property>
  <property fmtid="{D5CDD505-2E9C-101B-9397-08002B2CF9AE}" pid="11" name="LastEdited with">
    <vt:lpwstr>10.3.1 Build [20260902]</vt:lpwstr>
  </property>
  <property fmtid="{D5CDD505-2E9C-101B-9397-08002B2CF9AE}" pid="12" name="PE number">
    <vt:lpwstr>797.433</vt:lpwstr>
  </property>
  <property fmtid="{D5CDD505-2E9C-101B-9397-08002B2CF9AE}" pid="13" name="RegistreCheck">
    <vt:lpwstr>OK</vt:lpwstr>
  </property>
  <property fmtid="{D5CDD505-2E9C-101B-9397-08002B2CF9AE}" pid="14" name="SendToEpades">
    <vt:lpwstr>OK - 2026/10/22 16:24</vt:lpwstr>
  </property>
</Properties>
</file>