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4" o:title=""/>
                </v:shape>
              </w:pict>
            </w:r>
          </w:p>
        </w:tc>
      </w:tr>
    </w:tbl>
    <w:p>
      <w:pPr>
        <w:pStyle w:val="LineTop"/>
      </w:pPr>
      <w:r>
        <w:t xml:space="preserve"> </w:t>
      </w:r>
    </w:p>
    <w:p>
      <w:pPr>
        <w:pStyle w:val="EPBody"/>
      </w:pPr>
      <w:r>
        <w:rPr>
          <w:rStyle w:val="HideTWBExt"/>
        </w:rPr>
        <w:t>&lt;Commission&gt;</w:t>
      </w:r>
      <w:r>
        <w:rPr>
          <w:rStyle w:val="HideTWBInt"/>
        </w:rPr>
        <w:t>{CONT}</w:t>
      </w:r>
      <w:r>
        <w:t>Committee on Budgetary Control</w:t>
      </w:r>
      <w:r>
        <w:rPr>
          <w:rStyle w:val="HideTWBExt"/>
        </w:rPr>
        <w:t>&lt;/Commission&gt;</w:t>
      </w:r>
    </w:p>
    <w:p>
      <w:pPr>
        <w:pStyle w:val="LineBottom"/>
      </w:pPr>
      <w:r>
        <w:t xml:space="preserve"> </w:t>
      </w:r>
    </w:p>
    <w:p>
      <w:pPr>
        <w:pStyle w:val="CoverReference"/>
      </w:pPr>
      <w:r>
        <w:rPr>
          <w:rStyle w:val="HideTWBExt"/>
        </w:rPr>
        <w:t>&lt;RefProc&gt;</w:t>
      </w:r>
      <w:r>
        <w:t>2025/0550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{16/04/2026}</w:t>
      </w:r>
      <w:r>
        <w:t>16.04.2026</w:t>
      </w:r>
      <w:r>
        <w:rPr>
          <w:rStyle w:val="HideTWBExt"/>
        </w:rPr>
        <w:t>&lt;/Date&gt;</w:t>
      </w:r>
    </w:p>
    <w:p>
      <w:pPr>
        <w:pStyle w:val="CoverDocType24a"/>
      </w:pPr>
      <w:r>
        <w:rPr>
          <w:rStyle w:val="HideTWBExt"/>
        </w:rPr>
        <w:t>&lt;TitreType&gt;</w:t>
      </w:r>
      <w:r>
        <w:t>DRAFT OPINION</w:t>
      </w:r>
      <w:r>
        <w:rPr>
          <w:rStyle w:val="HideTWBExt"/>
        </w:rPr>
        <w:t>&lt;/TitreType&gt;</w:t>
      </w:r>
    </w:p>
    <w:p>
      <w:pPr>
        <w:pStyle w:val="CoverNormal24a"/>
      </w:pPr>
      <w:r>
        <w:rPr>
          <w:rStyle w:val="HideTWBExt"/>
        </w:rPr>
        <w:t>&lt;CommissionResp&gt;</w:t>
      </w:r>
      <w:r>
        <w:t>of the Committee on Budgetary Control</w:t>
      </w:r>
      <w:r>
        <w:rPr>
          <w:rStyle w:val="HideTWBExt"/>
        </w:rPr>
        <w:t>&lt;/CommissionResp&gt;</w:t>
      </w:r>
    </w:p>
    <w:p>
      <w:pPr>
        <w:pStyle w:val="CoverNormal24a"/>
      </w:pPr>
      <w:r>
        <w:rPr>
          <w:rStyle w:val="HideTWBExt"/>
        </w:rPr>
        <w:t>&lt;CommissionInt&gt;</w:t>
      </w:r>
      <w:r>
        <w:t>for the Committee on Culture and Education</w:t>
      </w:r>
      <w:r>
        <w:rPr>
          <w:rStyle w:val="HideTWBExt"/>
        </w:rPr>
        <w:t>&lt;/CommissionInt&gt;</w:t>
      </w:r>
    </w:p>
    <w:p>
      <w:pPr>
        <w:pStyle w:val="CoverNormal"/>
      </w:pPr>
      <w:r>
        <w:rPr>
          <w:rStyle w:val="HideTWBExt"/>
        </w:rPr>
        <w:t>&lt;Titre&gt;</w:t>
      </w:r>
      <w:r>
        <w:t>on the proposal for a Regulation of the European Parliament and of the Council establishing the 'AgoraEU' programme for the period 2028-2034, and repealing Regulations (EU) 2021/692 and (EU) 2021/818</w:t>
      </w:r>
      <w:r>
        <w:rPr>
          <w:rStyle w:val="HideTWBExt"/>
        </w:rPr>
        <w:t>&lt;/Titre&gt;</w:t>
      </w:r>
    </w:p>
    <w:p>
      <w:pPr>
        <w:pStyle w:val="CoverNormal24a"/>
      </w:pPr>
      <w:r>
        <w:rPr>
          <w:rStyle w:val="HideTWBExt"/>
        </w:rPr>
        <w:t>&lt;DocRef&gt;</w:t>
      </w:r>
      <w:r>
        <w:t>(COM(2025)0550 – C10-0173/2025 – 2025/0550(COD))</w:t>
      </w:r>
      <w:r>
        <w:rPr>
          <w:rStyle w:val="HideTWBExt"/>
        </w:rPr>
        <w:t>&lt;/DocRef&gt;</w:t>
      </w:r>
    </w:p>
    <w:p>
      <w:pPr>
        <w:pStyle w:val="CoverNormal24a"/>
      </w:pPr>
      <w:r>
        <w:t>Rapporteur for opinion</w:t>
      </w:r>
      <w:r>
        <w:t xml:space="preserve">: </w:t>
      </w:r>
      <w:r>
        <w:rPr>
          <w:rStyle w:val="HideTWBExt"/>
        </w:rPr>
        <w:t>&lt;Depute&gt;</w:t>
      </w:r>
      <w:r>
        <w:t>Csaba Molnár</w:t>
      </w:r>
      <w:r>
        <w:rPr>
          <w:rStyle w:val="HideTWBExt"/>
        </w:rPr>
        <w:t>&lt;/Depute&gt;</w:t>
      </w:r>
    </w:p>
    <w:p>
      <w:r>
        <w:br w:type="page"/>
      </w:r>
      <w:r>
        <w:t>PA_Legam</w:t>
      </w:r>
    </w:p>
    <w:p>
      <w:pPr>
        <w:sectPr>
          <w:footerReference w:type="even" r:id="rId5"/>
          <w:footerReference w:type="default" r:id="rId6"/>
          <w:footerReference w:type="first" r:id="rId7"/>
          <w:pgSz w:w="11909" w:h="16834"/>
          <w:pgMar w:top="1134" w:right="1417" w:bottom="1417" w:left="1417" w:header="1134" w:footer="567"/>
          <w:cols w:space="720"/>
          <w:titlePg/>
        </w:sectPr>
      </w:pPr>
    </w:p>
    <w:p>
      <w:pPr>
        <w:pStyle w:val="PageHeadingNotTOC"/>
      </w:pPr>
      <w:r>
        <w:t>AMENDMENTS</w:t>
      </w:r>
    </w:p>
    <w:p>
      <w:pPr>
        <w:pStyle w:val="Normal12a"/>
      </w:pPr>
      <w:r>
        <w:t>The Committee on Budgetary Control</w:t>
      </w:r>
      <w:r>
        <w:t xml:space="preserve"> </w:t>
      </w:r>
      <w:r>
        <w:t>submits the following to the Committee on Culture and Education, as the committee responsible</w:t>
      </w:r>
      <w:r>
        <w:t xml:space="preserve"> </w:t>
      </w:r>
      <w:r>
        <w:t>:</w:t>
      </w:r>
    </w:p>
    <w:p>
      <w:pPr>
        <w:pStyle w:val="AmNumberTabs"/>
      </w:pP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a)</w:t>
            </w:r>
            <w:r>
              <w:tab/>
            </w:r>
            <w:r>
              <w:rPr>
                <w:b/>
                <w:i/>
              </w:rPr>
              <w:t>For grants implemented through financing not linked to costs or simplified cost options, the work programme or the award documentation should specify the methodology for determining the amount of Union support, the objectively verifiable milestones, targets or other conditions triggering payment, the procedure for verifying their fulfilment, and the consequences of partial or non-fulfilment, including proportional reductions of the grant and recoveries, where applicable. That methodology should be applied without prejudice to Regulation (EU, Euratom) 2024/2509. The use of financing not linked to costs and simplified cost options should not affect the application of the relevant rules on exclusion, conflicts of interest, avoidance of double funding, or the audit and investigation rights of OLAF, the Court of Auditors and the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b)</w:t>
            </w:r>
            <w:r>
              <w:tab/>
            </w:r>
            <w:r>
              <w:rPr>
                <w:b/>
                <w:i/>
              </w:rPr>
              <w:t>The simplification and acceleration measures provided for by this Regulation, including the use of simplified forms of financing, should not reduce transparency, equal treatment or the level of protection of the Union budget. Those measures should be based on a documented risk assessment and be accompanied by proportionate safeguards, including appropriate audit and control arrangements, reliable performance information and reinforced reporting to the European Parliament and to the Council. In addition, the Commission should develop clear, transparent and publicly available guidelines setting out the conditions, criteria and procedures under which such measures can be applied.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c)</w:t>
            </w:r>
            <w:r>
              <w:tab/>
            </w:r>
            <w:r>
              <w:rPr>
                <w:b/>
                <w:i/>
              </w:rPr>
              <w:t>Where the Programme is implemented through indirect management, the Commission should ensure, by including appropriate obligations in its agreements with implementing partners and entrusted entities, that those partners apply an adequate level of accountability, transparency and traceability in the management of Union funds and fully respect the rights and competences of OLAF, the EPPO and the Court of Auditors. Implementing partners should ensure the same level of accountability, transparency and traceability when managing Union funds and fully respect the rights of OLAF, the EPPO and the Court of Auditors. Implementing partners should also apply proportionate anti-money laundering and counter-terrorist financing due diligence in accordance with applicable Union and 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35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d)</w:t>
            </w:r>
            <w:r>
              <w:tab/>
            </w:r>
            <w:r>
              <w:rPr>
                <w:b/>
                <w:i/>
              </w:rPr>
              <w:t>The participation of third countries in the Programme entails an inherently higher risk of mismanagement of Union funds in light of the limited reach of Union law, the complexity of enforcement in non-Union jurisdictions and the potential constraints on audit and investigative access. Association Agreements with third countries should therefore explicitly provide for full access and investigatory rights for the Commission, OLAF, the EPPO and the Court of Auditors and should guarantee that enforcement decisions imposing a pecuniary obligation on the basis of Article 299 TFEU, as well as judgments of the Court of Justice of the European Union, are enforceable. The Commission should ensure that the applicable contractual framework contains robust provisions allowing for the suspension, reduction and recovery of Union support where those conditions are breached.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35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e)</w:t>
            </w:r>
            <w:r>
              <w:tab/>
            </w:r>
            <w:r>
              <w:rPr>
                <w:b/>
                <w:i/>
              </w:rPr>
              <w:t>The Commission's White Paper for the Anti-fraud Architecture Review sets out the need for a holistic review of the EU anti-fraud architecture with a view to reinforcing the effectiveness of the EPPO, OLAF, the Court of Auditors, Europol and Eurojust in protecting the Union's financial interests. The implementation of the Programme should be consistent with the outcome of that review and should benefit from any resulting improvements to the investigation and prosecution of fraud and irregularities affecting Union funds, including improvements in information exchange, data access and recovery mechanisms.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11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The financial envelope referred to in paragraph 1 of this Article and the amounts of additional resources referred to in Article 12 may also be used for technical and administrative assistance for the implementation of the Programme, such as preparatory, monitoring, control, audit and evaluation activities, corporate information technology systems and platforms, information and communication activities, including corporate communication on the political priorities of the Union, and all other technical and administrative assistance or staff-related expenses incurred by the Commission for the management of the Programme.</w:t>
            </w:r>
          </w:p>
        </w:tc>
        <w:tc>
          <w:tcPr>
            <w:tcW w:w="4876" w:type="dxa"/>
            <w:tcBorders>
              <w:top w:val="nil"/>
              <w:left w:val="nil"/>
              <w:bottom w:val="nil"/>
              <w:right w:val="nil"/>
            </w:tcBorders>
          </w:tcPr>
          <w:p>
            <w:pPr>
              <w:pStyle w:val="Normal6a"/>
            </w:pPr>
            <w:r>
              <w:t>4.</w:t>
            </w:r>
            <w:r>
              <w:tab/>
            </w:r>
            <w:r>
              <w:t>The financial envelope referred to in paragraph 1 of this Article and the amounts of additional resources referred to in Article 12 may also be used for technical and administrative assistance for the implementation of the Programme, such as preparatory, monitoring, control, audit and evaluation activities</w:t>
            </w:r>
            <w:r>
              <w:rPr>
                <w:b/>
                <w:i/>
              </w:rPr>
              <w:t>, including the design and operation of systems and methodologies to ensure the quality and, where appropriate, independent verification of performance and financial-management data, and interoperability with the single electronic data interchange area and the single gateway referred to in Regulation (EU) [XXX]* [Performance],</w:t>
            </w:r>
            <w:r>
              <w:t>, corporate information technology systems and platforms, information and communication activities, including corporate communication on the political priorities of the Union, and all other technical and administrative assistance or staff-related expenses incurred by the Commission for the management of the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2 – subparagraph 1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guarantee the rights of the Union to ensure sound financial management and to protect its financial interests;</w:t>
            </w:r>
          </w:p>
        </w:tc>
        <w:tc>
          <w:tcPr>
            <w:tcW w:w="4876" w:type="dxa"/>
            <w:tcBorders>
              <w:top w:val="nil"/>
              <w:left w:val="nil"/>
              <w:bottom w:val="nil"/>
              <w:right w:val="nil"/>
            </w:tcBorders>
          </w:tcPr>
          <w:p>
            <w:pPr>
              <w:pStyle w:val="Normal6a"/>
            </w:pPr>
            <w:r>
              <w:t>(d)</w:t>
            </w:r>
            <w:r>
              <w:tab/>
            </w:r>
            <w:r>
              <w:t>guarantee the rights of the Union to ensure sound financial management and to protect its financial interests</w:t>
            </w:r>
            <w:r>
              <w:rPr>
                <w:b/>
                <w:i/>
              </w:rPr>
              <w:t>, including by providing full access and investigatory rights to the Commission, the European Anti-Fraud Office (OLAF), the European Public Prosecutor's Office (EPPO) and the Court of Auditors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2 – subparagraph 1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make the role of institutions of the third country conditional upon compliance with democracy, the rule of law, fundamental rights and the values of the Union and appropriate cooperation with the Union and its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2 – subparagraph 1 – point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provide for ways the Commission can take over the role of institutions of a third country failing to fulfil the conditions of point (ea) itself, or transfer them to others not affected, or otherwise, as a last resort, take appropriate suspension, restriction or corrective measures in the event of a failure by the third country to comply with the commitments undertaken in the Association Agreement or where serious and persistent deficiencies risk affecting sound financial management, the protection of the Union’s financial interests or the values on which the Union is founded.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2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For the purposes of point (d), the third country shall grant the necessary rights and access required under Regulation (EU, Euratom) 2024/2509 and Regulation (EU, Euratom) No 883/2013, and guarantee that enforcement decisions imposing a pecuniary obligation on the basis of Article 299 TFEU, as well as judgements and orders of the Court of Justice of the European Union, are enforceable.</w:t>
            </w:r>
          </w:p>
        </w:tc>
        <w:tc>
          <w:tcPr>
            <w:tcW w:w="4876" w:type="dxa"/>
            <w:tcBorders>
              <w:top w:val="nil"/>
              <w:left w:val="nil"/>
              <w:bottom w:val="nil"/>
              <w:right w:val="nil"/>
            </w:tcBorders>
          </w:tcPr>
          <w:p>
            <w:pPr>
              <w:pStyle w:val="Normal6a"/>
            </w:pPr>
            <w:r>
              <w:t xml:space="preserve">For the purposes of point (d), the third country shall grant the necessary rights and access required under Regulation (EU, Euratom) 2024/2509 and Regulation (EU, Euratom) No 883/2013, and guarantee that enforcement decisions imposing a pecuniary obligation on the basis of Article 299 TFEU, as well as judgements and orders of the Court of Justice of the European Union, are enforceable. </w:t>
            </w:r>
            <w:r>
              <w:rPr>
                <w:b/>
                <w:i/>
              </w:rPr>
              <w:t>Association Agreements with third countries shall provide for the suspension, reduction and recovery of Union support where the obligations in this Article are breached. The Commission shall ensure that practical arrangements for access by the Court of Auditors, OLAF and the EPPO to classified and sensitive information for audit and investigative purposes are established and implemented in a timely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Where Union funding is provided in the form of a grant, funding shall be provided </w:t>
            </w:r>
            <w:r>
              <w:rPr>
                <w:b/>
                <w:i/>
              </w:rPr>
              <w:t>as financing not linked to costs or, where necessary, simplified cost options,</w:t>
            </w:r>
            <w:r>
              <w:t xml:space="preserve"> in accordance with Regulation (EU, Euratom) 2024/2509. </w:t>
            </w:r>
            <w:r>
              <w:rPr>
                <w:b/>
                <w:i/>
              </w:rPr>
              <w:t>Funding may be</w:t>
            </w:r>
            <w:r>
              <w:t xml:space="preserve"> provided </w:t>
            </w:r>
            <w:r>
              <w:rPr>
                <w:b/>
                <w:i/>
              </w:rPr>
              <w:t>in the form</w:t>
            </w:r>
            <w:r>
              <w:t xml:space="preserve"> of actual eligible </w:t>
            </w:r>
            <w:r>
              <w:rPr>
                <w:b/>
                <w:i/>
              </w:rPr>
              <w:t>cost reimbursement only</w:t>
            </w:r>
            <w:r>
              <w:t xml:space="preserve"> where the </w:t>
            </w:r>
            <w:r>
              <w:rPr>
                <w:b/>
                <w:i/>
              </w:rPr>
              <w:t>objectives of an</w:t>
            </w:r>
            <w:r>
              <w:t xml:space="preserve"> action </w:t>
            </w:r>
            <w:r>
              <w:rPr>
                <w:b/>
                <w:i/>
              </w:rPr>
              <w:t>cannot be achieved otherwise</w:t>
            </w:r>
            <w:r>
              <w:t>.</w:t>
            </w:r>
          </w:p>
        </w:tc>
        <w:tc>
          <w:tcPr>
            <w:tcW w:w="4876" w:type="dxa"/>
            <w:tcBorders>
              <w:top w:val="nil"/>
              <w:left w:val="nil"/>
              <w:bottom w:val="nil"/>
              <w:right w:val="nil"/>
            </w:tcBorders>
          </w:tcPr>
          <w:p>
            <w:pPr>
              <w:pStyle w:val="Normal6a"/>
            </w:pPr>
            <w:r>
              <w:t>6.</w:t>
            </w:r>
            <w:r>
              <w:tab/>
            </w:r>
            <w:r>
              <w:t xml:space="preserve">Where Union funding is provided in the form of a grant, funding shall be provided in accordance with </w:t>
            </w:r>
            <w:r>
              <w:rPr>
                <w:b/>
                <w:i/>
              </w:rPr>
              <w:t>Title VIII of</w:t>
            </w:r>
            <w:r>
              <w:t xml:space="preserve"> Regulation (EU, Euratom) 2024/2509. </w:t>
            </w:r>
            <w:r>
              <w:rPr>
                <w:b/>
                <w:i/>
              </w:rPr>
              <w:t>Where duly justified in the work programme or in the award documentation, Union support</w:t>
            </w:r>
            <w:r>
              <w:t xml:space="preserve"> provided </w:t>
            </w:r>
            <w:r>
              <w:rPr>
                <w:b/>
                <w:i/>
              </w:rPr>
              <w:t>to a beneficiary under the Programme shall take one of the following forms: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financing not linked to costs, where the work programme specifies the methodology for determining the amount of Union support, the objectively verifiable milestones, targets or other conditions triggering payment, and the procedure for verifying their fulfilment;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simplified cost options, including unit costs, lump sums or flat-rate financing, where the work programme sets out the basis of calculation and ensures that the approach does not lead to overcompensation;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reimbursement</w:t>
            </w:r>
            <w:r>
              <w:t xml:space="preserve"> of actual eligible </w:t>
            </w:r>
            <w:r>
              <w:rPr>
                <w:b/>
                <w:i/>
              </w:rPr>
              <w:t>costs, where points (a) and (b) are not appropriate or</w:t>
            </w:r>
            <w:r>
              <w:t xml:space="preserve"> where the </w:t>
            </w:r>
            <w:r>
              <w:rPr>
                <w:b/>
                <w:i/>
              </w:rPr>
              <w:t>scale or complexity of the</w:t>
            </w:r>
            <w:r>
              <w:t xml:space="preserve"> action </w:t>
            </w:r>
            <w:r>
              <w:rPr>
                <w:b/>
                <w:i/>
              </w:rPr>
              <w:t>warrants a cost-based approach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all cases, the work programme or award documentation shall specify the consequences of partial or non-fulfilment, including proportional reductions of the grant and recovery of amounts already paid. The use of financing not linked to costs and other simplified cost options shall not affect the application of the rules on exclusion, conflicts of interest, avoidance of double funding, or the audit and investigation rights of OLAF, the Court of Auditors and the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15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Where the Programme is implemented through indirect management by entrusting budget implementation tasks to implementing partners, the Commission shall, when concluding the relevant agreements with those partners, ensure that management fees are set at a reasonably low level commensurate with the nature and complexity of the tasks entrusted.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The Commission shall report annually to the European Parliament and to the Council on management fees and other costs charged by implementing partners under the Programme in a manner sufficient to assess value for money, without prejudice to legitimate confidentiality, in accordance with Article 15d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Article15a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Funding without a call for proposals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 certain duly substantiated circumstances, Union funding may be granted without a call for proposals in accordance with Article 198 of Regulation (EU, Euratom) 2024/2509. Where that possibility is used, the work programme or the award documentation shall contain a specific justification describing the duly substantiated circumstances and shall specify the safeguards applied to ensure transparency, equal treatment and the absence of conflicts of interest. The Commission shall report annually to the European Parliament and to the Council on the use of funding granted without a call for proposals in accordance with Article 15d of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Article15b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Protection of the financial interests of the Union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The Commission shall take appropriate measures to ensure that, when actions financed under this Regulation are implemented, the financial interests of the Union are protected by the application of preventive measures against fraud, corruption and any other illegal activities, by effective controls and, where irregularities are detected, by the recovery of amounts wrongly paid and, where appropriate, by effective, proportionate and dissuasive administrative and financial penalties.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Commission shall take all necessary measures to prevent double funding of the same costs under this Regulation and under other Union programmes. On a risk-based basis, the Commission shall verify that Union support granted under this Regulation does not finance the same costs twice. Each action receiving combined or cumulative funding from the Union budget shall be assigned a unique identifier enabling consistent tracking across systems and sources of financing, facilitating cross-checks and the work of audit and investigation bodies.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OLAF may, in accordance with Regulation (EU, Euratom) No 883/2013, carry out investigations, including on-the-spot checks and inspections, relating to all types of funding under this Regulation, with a view to establishing whether there has been fraud, corruption or any other illegal activity affecting the financial interests of the Union. The EPPO is competent to investigate and prosecute fraud and other criminal offences affecting the financial interests of the Union in accordance with Regulation (EU) 2017/1939.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Any person or entity receiving Union funds under this Regulation shall fully cooperate in the protection of the Union's financial interests. Such person or entity shall grant the necessary rights and access to the Commission, OLAF, the EPPO, the Court of Auditors and, where applicable, to Member State authorities and shall ensure that any third parties involved in the implementation of Union funds grant equivalent rights. The obligation to grant access shall include access to any information necessary for the purpose of carrying out award procedures, implementing actions, reporting, payments, checks, reviews, audits and investigations, even where that information is classified.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Where Union funds are managed by implementing partners under indirect management, the Commission shall ensure, by including relevant provisions in its agreements with those partners, that the rights referred to in paragraphs 3 and 4 are fully respected. Implementing partners shall apply proportionate anti-money laundering and counter-terrorist financing due diligence in accordance with applicable Union and national law, including checks for the Union support managed by them under this Regulation.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The Commission shall ensure that legal commitments and agreements provide for suspension, reduction and recovery of Union support where the obligations set out in this Article are breached, without prejudice to Regulation (EU, Euratom) 2024/2509.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The Commission shall, by 30 June each year, report to the European Parliament and to the Council on cases of fraud, irregularities and suspected fraud detected under this Regulation during the preceding financial year, on the amounts involved, and on the state of recovery proceedings.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15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Article15c</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Unique identifier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To ensure sound financial management and effective control, each action supported under this Regulation shall be assigned a unique identifier enabling the consistent tracking of Union support across systems and sources of financing. Such an identifier shall facilitate interoperability, cross-checks to prevent double funding, and the work of audit and investigation bodies, while respecting confidentiality, security and data-protection requirements.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Where an action receives combined or cumulative funding from the Union budget, the Commission shall ensure that the granting authority performs ex ante cross-checks and risk-based ex post checks to prevent double funding and to ensure traceability across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15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Article15d</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Reporting by the Commission to the European Parliament and to the Council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Without prejudice to Regulation (EU) [XXX]* [Performance] and Regulation (EU, Euratom) 2024/2509, the Commission shall transmit to the European Parliament and to the Council, by 30 June each year, an annual report on the implementation of the Programme for the preceding financial year, enabling the exercise of budgetary control and discharge responsibilities under Article 319 TFEU.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annual report shall include at least the following: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financial implementation data by strand, specific objective, form of support and management mode, including any reallocations, and disaggregated information on the use of financing not linked to costs, simplified cost options and actual cost reimbursement, including the number of actions funded under each modality and the total amounts involved;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geographical distribution of Programme support among Member States, associated countries and, where applicable, third countries, including the type of funding instrument used and the management mode applied;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use of additional resources under Article 12, including reflows, recoveries and repayments;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information on irregularities, suspected and established fraud, the main results of audits and controls, and the state of recovery proceedings, including amounts outstanding;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information on the use of direct grants and other derogations from competitive award procedures, including the legal basis invoked and the justification applied;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information on actions financed in or through third countries, including the management mode, amounts committed and paid, and the audit and investigative bodies that have exercised access rights during the reporting year;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 summary of detected conflicts of interest, exclusion decisions and protective measures applied under Regulation (EU, Euratom) 2024/2509.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Commission shall publish the annual report on the Programme's dedicated website and shall present it to the competent committees of the European Parliament upon request. The report shall be drawn up in a machine-readable format and shall be accessible through the single Union funding portal referred to in Regulation (EU) [XXX]* [Performance].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Article17a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Review and revision of the financial control framework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By 31 December 2031, the Commission shall submit to the European Parliament and to the Council a report reviewing the implementation of the financial control framework established by this Regulation, in particular as regards: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the use of financing not linked to costs and simplified cost options pursuant to Article 15(5), including an assessment of whether the methodologies applied by the Commission have ensured transparency, prevented overcompensation and double funding, and preserved the audit and investigative rights of OLAF, the EPPO and the Court of Auditors;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the functioning of the unique identifier system established pursuant to Article 15c, including its interoperability with other Union tracking systems and its effectiveness in preventing double funding;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the adequacy of the protection of the Union's financial interests in the implementation of the Programme through indirect management, including the accountability and transparency obligations imposed on implementing partners pursuant to Article 15b(5) and, where applicable, the level of management fees charged pursuant to Article 15(8);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the implementation of the Programme in and through third countries, including the effectiveness of the access and enforcement provisions established pursuant to Article 14(2), point (d), and the outcome of audit and investigative activities carried out by OLAF, the EPPO and the Court of Auditors in those contexts;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the overall effectiveness of the anti-fraud architecture applicable to the Programme, taking into account the outcome of the review of the Union's anti-fraud architecture initiated by the Commission White Paper of 16 July 2025 for the Anti-fraud Architecture Review and any legislative measures adopted as a result thereof.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review report referred to in paragraph 1 shall be based on the information provided in the annual reports transmitted pursuant to Article 15d, on findings from audits conducted by the Court of Auditors, on investigations by OLAF and the EPPO, and on any other relevant information available to the Commission.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Where the review report identifies structural deficiencies in the financial control framework of the Programme, including but not limited to systematic misuse of financing not linked to costs, inadequate protection of the Union's financial interests in indirect management contexts, or insufficient audit access in third countries, the Commission shall, within six months of submitting the review report, submit to the European Parliament and to the Council a legislative proposal to amend this Regulation in order to address those deficiencies.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This Article is without prejudice to the evaluation obligations established pursuant to Regulation (EU) [XXX]* [Performance] and to the general review powers of the European Parliament under Article 319 TFEU.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787.014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16</w:t>
    </w:r>
    <w:r>
      <w:fldChar w:fldCharType="end"/>
    </w:r>
    <w:r>
      <w:t>/</w:t>
    </w:r>
    <w:r>
      <w:fldChar w:fldCharType="begin"/>
    </w:r>
    <w:r>
      <w:instrText xml:space="preserve"> NUMPAGES </w:instrText>
    </w:r>
    <w:r>
      <w:fldChar w:fldCharType="separate"/>
    </w:r>
    <w:r>
      <w:t>17</w:t>
    </w:r>
    <w:r>
      <w:fldChar w:fldCharType="end"/>
    </w:r>
    <w:r>
      <w:tab/>
    </w:r>
    <w:r>
      <w:rPr>
        <w:rStyle w:val="HideTWBExt"/>
      </w:rPr>
      <w:t>&lt;PathFdR&gt;</w:t>
    </w:r>
    <w:r>
      <w:t>PA\1341312EN.docx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PA\1341312EN.docx</w:t>
    </w:r>
    <w:r>
      <w:rPr>
        <w:rStyle w:val="HideTWBExt"/>
      </w:rPr>
      <w:t>&lt;/PathFdR&gt;</w:t>
    </w:r>
    <w:r>
      <w:tab/>
    </w:r>
    <w:r>
      <w:fldChar w:fldCharType="begin"/>
    </w:r>
    <w:r>
      <w:instrText xml:space="preserve"> PAGE </w:instrText>
    </w:r>
    <w:r>
      <w:fldChar w:fldCharType="separate"/>
    </w:r>
    <w:r>
      <w:t>17</w:t>
    </w:r>
    <w:r>
      <w:fldChar w:fldCharType="end"/>
    </w:r>
    <w:r>
      <w:t>/</w:t>
    </w:r>
    <w:r>
      <w:fldChar w:fldCharType="begin"/>
    </w:r>
    <w:r>
      <w:instrText xml:space="preserve"> NUMPAGES </w:instrText>
    </w:r>
    <w:r>
      <w:fldChar w:fldCharType="separate"/>
    </w:r>
    <w:r>
      <w:t>17</w:t>
    </w:r>
    <w:r>
      <w:fldChar w:fldCharType="end"/>
    </w:r>
    <w:r>
      <w:tab/>
    </w:r>
    <w:r>
      <w:t>PE</w:t>
    </w:r>
    <w:r>
      <w:rPr>
        <w:rStyle w:val="HideTWBExt"/>
      </w:rPr>
      <w:t>&lt;NoPE&gt;</w:t>
    </w:r>
    <w:r>
      <w:t>787.014</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PA\1341312EN.docx</w:t>
    </w:r>
    <w:r>
      <w:rPr>
        <w:rStyle w:val="HideTWBExt"/>
      </w:rPr>
      <w:t>&lt;/PathFdR&gt;</w:t>
    </w:r>
    <w:r>
      <w:tab/>
    </w:r>
    <w:r>
      <w:tab/>
    </w:r>
    <w:r>
      <w:t>PE</w:t>
    </w:r>
    <w:r>
      <w:rPr>
        <w:rStyle w:val="HideTWBExt"/>
      </w:rPr>
      <w:t>&lt;NoPE&gt;</w:t>
    </w:r>
    <w:r>
      <w:t>787.014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225733 HideTWBExt;}{\s16\ql \li0\ri0\sa120\nowidctlpar\wrapdefault\aspalpha\aspnum\faauto\adjustright\rin0\lin0\itap0 \rtlch\fcs1 \af0\afs20\alang1025 \ltrch\fcs0 &#13;_x000a_\fs24\lang2057\langfe2057\cgrid\langnp2057\langfenp2057 \sbasedon0 \snext16 \spriority0 \styrsid15225733 Normal6a;}{\s17\ql \li0\ri0\nowidctlpar\wrapdefault\aspalpha\aspnum\faauto\adjustright\rin0\lin0\itap0 \rtlch\fcs1 \af0\afs20\alang1025 \ltrch\fcs0 &#13;_x000a_\b\fs24\lang2057\langfe2057\cgrid\langnp2057\langfenp2057 \sbasedon0 \snext17 \spriority0 \styrsid15225733 NormalBold;}{\s18\qr \li0\ri0\sb240\sa240\nowidctlpar\wrapdefault\aspalpha\aspnum\faauto\adjustright\rin0\lin0\itap0 \rtlch\fcs1 &#13;_x000a_\af0\afs20\alang1025 \ltrch\fcs0 \fs24\lang2057\langfe2057\cgrid\langnp2057\langfenp2057 \sbasedon0 \snext18 \spriority0 \styrsid15225733 AmOrLang;}{\s19\qc \li0\ri0\sa240\nowidctlpar\wrapdefault\aspalpha\aspnum\faauto\adjustright\rin0\lin0\itap0 &#13;_x000a_\rtlch\fcs1 \af0\afs20\alang1025 \ltrch\fcs0 \i\fs24\lang2057\langfe2057\cgrid\langnp2057\langfenp2057 \sbasedon0 \snext19 \spriority0 \styrsid15225733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5225733 AmNumberTabs;}{\s21\ql \li0\ri0\sb240\nowidctlpar\wrapdefault\aspalpha\aspnum\faauto\adjustright\rin0\lin0\itap0 \rtlch\fcs1 &#13;_x000a_\af0\afs20\alang1025 \ltrch\fcs0 \b\fs24\lang2057\langfe2057\cgrid\langnp2057\langfenp2057 \sbasedon0 \snext21 \spriority0 \styrsid15225733 NormalBold12b;}}{\*\rsidtbl \rsid24658\rsid358857\rsid735077\rsid787282\rsid2892074\rsid3622648\rsid4666813&#13;_x000a_\rsid5708216\rsid6641733\rsid7553164\rsid8465581\rsid8681905\rsid8724649\rsid9636012\rsid9862312\rsid11101816\rsid11215221\rsid11370291\rsid11434737\rsid11607138\rsid11824949\rsid12154954\rsid14424199\rsid15204470\rsid15225733\rsid15285974\rsid15535219&#13;_x000a_\rsid15950462\rsid16324206\rsid16662270}{\mmathPr\mmathFont34\mbrkBin0\mbrkBinSub0\msmallFrac0\mdispDef1\mlMargin0\mrMargin0\mdefJc1\mwrapIndent1440\mintLim0\mnaryLim1}{\info{\author FELIX Karina}{\operator FELIX Karina}{\creatim\yr2019\mo7\dy4\hr11\min4}&#13;_x000a_{\revtim\yr2019\mo7\dy4\hr11\min4}{\version1}{\edmins0}{\nofpages1}{\nofwords29}{\nofchars168}{\*\company European Parliament}{\nofcharsws19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22573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101816 &#13;_x000a_\chftnsep &#13;_x000a_\par }}{\*\ftnsepc \ltrpar \pard\plain \ltrpar\ql \li0\ri0\widctlpar\wrapdefault\aspalpha\aspnum\faauto\adjustright\rin0\lin0\itap0 \rtlch\fcs1 \af0\afs20\alang1025 \ltrch\fcs0 \fs24\lang2057\langfe2057\cgrid\langnp2057\langfenp2057 {\rtlch\fcs1 \af0 &#13;_x000a_\ltrch\fcs0 \insrsid11101816 \chftnsepc &#13;_x000a_\par }}{\*\aftnsep \ltrpar \pard\plain \ltrpar\ql \li0\ri0\widctlpar\wrapdefault\aspalpha\aspnum\faauto\adjustright\rin0\lin0\itap0 \rtlch\fcs1 \af0\afs20\alang1025 \ltrch\fcs0 \fs24\lang2057\langfe2057\cgrid\langnp2057\langfenp2057 {\rtlch\fcs1 \af0 &#13;_x000a_\ltrch\fcs0 \insrsid11101816 \chftnsep &#13;_x000a_\par }}{\*\aftnsepc \ltrpar \pard\plain \ltrpar\ql \li0\ri0\widctlpar\wrapdefault\aspalpha\aspnum\faauto\adjustright\rin0\lin0\itap0 \rtlch\fcs1 \af0\afs20\alang1025 \ltrch\fcs0 \fs24\lang2057\langfe2057\cgrid\langnp2057\langfenp2057 {\rtlch\fcs1 \af0 &#13;_x000a_\ltrch\fcs0 \insrsid1110181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5225733 \rtlch\fcs1 \af0\afs20\alang1025 \ltrch\fcs0 \b\fs24\lang2057\langfe2057\cgrid\langnp2057\langfenp2057 {\rtlch\fcs1 \af0 \ltrch\fcs0 \cs15\b0\v\f1\fs20\cf9\insrsid15225733\charrsid15879488 {\*\bkmkstart restartA}&lt;AmendA&gt;}{&#13;_x000a_\rtlch\fcs1 \af0 \ltrch\fcs0 \insrsid15225733\charrsid15879488 [ZAMENDMENT]\tab \tab }{\rtlch\fcs1 \af0 \ltrch\fcs0 \cs15\b0\v\f1\fs20\cf9\insrsid15225733\charrsid15879488 &lt;NumAmA&gt;}{\rtlch\fcs1 \af0 \ltrch\fcs0 \insrsid15225733\charrsid15879488 [ZNRAM]}{&#13;_x000a_\rtlch\fcs1 \af0 \ltrch\fcs0 \cs15\b0\v\f1\fs20\cf9\insrsid15225733\charrsid15879488 &lt;/NumAmA&gt;}{\rtlch\fcs1 \af0 \ltrch\fcs0 \insrsid15225733\charrsid15879488 &#13;_x000a_\par }\pard\plain \ltrpar\s21\ql \li0\ri0\sb240\keepn\nowidctlpar\wrapdefault\aspalpha\aspnum\faauto\adjustright\rin0\lin0\itap0\pararsid15225733 \rtlch\fcs1 \af0\afs20\alang1025 \ltrch\fcs0 \b\fs24\lang2057\langfe2057\cgrid\langnp2057\langfenp2057 {&#13;_x000a_\rtlch\fcs1 \af0 \ltrch\fcs0 \cs15\b0\v\f1\fs20\cf9\lang1036\langfe2057\langnp1036\insrsid15225733\charrsid11356624 &lt;DocAmend&gt;}{\rtlch\fcs1 \af0 \ltrch\fcs0 \lang1036\langfe2057\langnp1036\insrsid15225733\charrsid11356624 [ZRESOLUTION]}{\rtlch\fcs1 \af0 &#13;_x000a_\ltrch\fcs0 \cs15\b0\v\f1\fs20\cf9\lang1036\langfe2057\langnp1036\insrsid15225733\charrsid11356624 &lt;/DocAmend&gt;}{\rtlch\fcs1 \af0 \ltrch\fcs0 \lang1036\langfe2057\langnp1036\insrsid15225733\charrsid11356624 &#13;_x000a_\par }\pard\plain \ltrpar\s17\ql \li0\ri0\nowidctlpar\wrapdefault\aspalpha\aspnum\faauto\adjustright\rin0\lin0\itap0\pararsid15225733 \rtlch\fcs1 \af0\afs20\alang1025 \ltrch\fcs0 \b\fs24\lang2057\langfe2057\cgrid\langnp2057\langfenp2057 {\rtlch\fcs1 \af0 &#13;_x000a_\ltrch\fcs0 \cs15\b0\v\f1\fs20\cf9\lang1036\langfe2057\langnp1036\insrsid15225733\charrsid11356624 &lt;Article&gt;}{\rtlch\fcs1 \af0 \ltrch\fcs0 \lang1036\langfe2057\langnp1036\insrsid15225733\charrsid11356624 [ZRESPART]}{\rtlch\fcs1 \af0 \ltrch\fcs0 &#13;_x000a_\cs15\b0\v\f1\fs20\cf9\lang1036\langfe2057\langnp1036\insrsid15225733\charrsid11356624 &lt;/Article&gt;}{\rtlch\fcs1 \af0 \ltrch\fcs0 \lang1036\langfe2057\langnp1036\insrsid15225733\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225733\charrsid11356624 \cell }\pard\plain \ltrpar&#13;_x000a_\ql \li0\ri0\widctlpar\intbl\wrapdefault\aspalpha\aspnum\faauto\adjustright\rin0\lin0 \rtlch\fcs1 \af0\afs20\alang1025 \ltrch\fcs0 \fs24\lang2057\langfe2057\cgrid\langnp2057\langfenp2057 {\rtlch\fcs1 \af0 \ltrch\fcs0 \insrsid15225733\charrsid11356624 &#13;_x000a_\trowd \irow0\irowband0\ltrrow\ts11\trqc\trgaph340\trleft-340\trftsWidth1\trftsWidthB3\trpaddl340\trpaddr340\trpaddfl3\trpaddft3\trpaddfb3\trpaddfr3\tblrsid14374628\tblind0\tblindtype3 \clvertalt\clbrdrt\brdrtbl \clbrdrl\brdrtbl \clbrdrb\brdrtbl \clbrdrr&#13;_x000a_\brdrtbl \cltxlrtb\clftsWidth3\clwWidth9752\clshdrawnil \cellx9412\row \ltrrow}\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4374628 \rtlch\fcs1 \af0\afs20\alang1025 \ltrch\fcs0 \i\fs24\lang2057\langfe2057\cgrid\langnp2057\langfenp2057 {\rtlch\fcs1 \af0 \ltrch\fcs0 &#13;_x000a_\insrsid15225733\charrsid15879488 [ZLEFTA]\cell [ZRIGHT]\cell }\pard\plain \ltrpar\ql \li0\ri0\widctlpar\intbl\wrapdefault\aspalpha\aspnum\faauto\adjustright\rin0\lin0 \rtlch\fcs1 \af0\afs20\alang1025 \ltrch\fcs0 &#13;_x000a_\fs24\lang2057\langfe2057\cgrid\langnp2057\langfenp2057 {\rtlch\fcs1 \af0 \ltrch\fcs0 \insrsid15225733\charrsid15879488 \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225733\charrsid15879488 [ZTEXTL]\cell [ZTEXTR]}{\rtlch\fcs1 \af0\afs24 \ltrch\fcs0 \insrsid15225733\charrsid15879488 \cell }\pard\plain \ltrpar\ql \li0\ri0\widctlpar\intbl\wrapdefault\aspalpha\aspnum\faauto\adjustright\rin0\lin0 \rtlch\fcs1 &#13;_x000a_\af0\afs20\alang1025 \ltrch\fcs0 \fs24\lang2057\langfe2057\cgrid\langnp2057\langfenp2057 {\rtlch\fcs1 \af0 \ltrch\fcs0 \insrsid15225733\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15225733 \rtlch\fcs1 \af0\afs20\alang1025 \ltrch\fcs0 \fs24\lang2057\langfe2057\cgrid\langnp2057\langfenp2057 {\rtlch\fcs1 \af0 \ltrch\fcs0 &#13;_x000a_\insrsid15225733\charrsid15879488 Or. }{\rtlch\fcs1 \af0 \ltrch\fcs0 \cs15\v\f1\fs20\cf9\insrsid15225733\charrsid15879488 &lt;Original&gt;}{\rtlch\fcs1 \af0 \ltrch\fcs0 \insrsid15225733\charrsid15879488 [ZORLANG]}{\rtlch\fcs1 \af0 \ltrch\fcs0 &#13;_x000a_\cs15\v\f1\fs20\cf9\insrsid15225733\charrsid15879488 &lt;/Original&gt;}{\rtlch\fcs1 \af0 \ltrch\fcs0 \insrsid15225733\charrsid15879488 &#13;_x000a_\par }\pard\plain \ltrpar\ql \li0\ri0\widctlpar\wrapdefault\aspalpha\aspnum\faauto\adjustright\rin0\lin0\itap0\pararsid15225733 \rtlch\fcs1 \af0\afs20\alang1025 \ltrch\fcs0 \fs24\lang2057\langfe2057\cgrid\langnp2057\langfenp2057 {\rtlch\fcs1 \af0 \ltrch\fcs0 &#13;_x000a_\cs15\v\f1\fs20\cf9\insrsid15225733\charrsid15879488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b&#13;_x000a_5c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CoverNormal24a">
    <w:name w:val="CoverNormal24a"/>
    <w:basedOn w:val="Normal"/>
    <w:pPr>
      <w:widowControl/>
      <w:spacing w:after="480"/>
      <w:ind w:left="1416"/>
    </w:pPr>
  </w:style>
  <w:style w:type="paragraph" w:customStyle="1" w:styleId="CoverDate">
    <w:name w:val="CoverDate"/>
    <w:basedOn w:val="Normal"/>
    <w:pPr>
      <w:widowControl/>
      <w:spacing w:before="240" w:after="1200"/>
    </w:p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line="240" w:lineRule="auto"/>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overflowPunct/>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overflowPunct/>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Pages>
  <Words>3393</Words>
  <Characters>19509</Characters>
  <Application>Microsoft Office Word</Application>
  <DocSecurity>0</DocSecurity>
  <Lines>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1341312</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455971</vt:lpwstr>
  </property>
  <property fmtid="{D5CDD505-2E9C-101B-9397-08002B2CF9AE}" pid="7" name="dmxml.render.traceId">
    <vt:lpwstr>69e612a9ae82815bfe7a8a44f36df510</vt:lpwstr>
  </property>
  <property fmtid="{D5CDD505-2E9C-101B-9397-08002B2CF9AE}" pid="8" name="FooterPath">
    <vt:lpwstr>PA\1341312EN.doc</vt:lpwstr>
  </property>
  <property fmtid="{D5CDD505-2E9C-101B-9397-08002B2CF9AE}" pid="9" name="PE Number">
    <vt:lpwstr>787.014</vt:lpwstr>
  </property>
  <property fmtid="{D5CDD505-2E9C-101B-9397-08002B2CF9AE}" pid="10" name="UID">
    <vt:lpwstr>eu.europa.europarl-DIN1-2026-0000096158_01.06-en-01.00_text-xml</vt:lpwstr>
  </property>
</Properties>
</file>