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{DEVE}</w:t>
      </w:r>
      <w:r>
        <w:t>Arengukomisjon</w:t>
      </w:r>
      <w:r>
        <w:rPr>
          <w:rStyle w:val="HideTWBExt"/>
        </w:rPr>
        <w:t>&lt;/Commission&gt;</w:t>
      </w:r>
    </w:p>
    <w:p>
      <w:pPr>
        <w:pStyle w:val="LineBottom"/>
      </w:pPr>
      <w:r>
        <w:t xml:space="preserve"> </w:t>
      </w:r>
    </w:p>
    <w:p>
      <w:pPr>
        <w:pStyle w:val="CoverReference"/>
      </w:pPr>
      <w:r>
        <w:rPr>
          <w:rStyle w:val="HideTWBExt"/>
        </w:rPr>
        <w:t>&lt;RefProc&gt;</w:t>
      </w:r>
      <w:r>
        <w:t>2026/2037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{11/09/2026}</w:t>
      </w:r>
      <w:r>
        <w:t>11.9.2026</w:t>
      </w:r>
      <w:r>
        <w:rPr>
          <w:rStyle w:val="HideTWBExt"/>
        </w:rPr>
        <w:t>&lt;/Date&gt;</w:t>
      </w:r>
    </w:p>
    <w:p>
      <w:pPr>
        <w:pStyle w:val="CoverDocType24a"/>
      </w:pPr>
      <w:r>
        <w:rPr>
          <w:rStyle w:val="HideTWBExt"/>
        </w:rPr>
        <w:t>&lt;TitreType&gt;</w:t>
      </w:r>
      <w:r>
        <w:t>ARVAMUSE PROJEKT</w:t>
      </w:r>
      <w:r>
        <w:rPr>
          <w:rStyle w:val="HideTWBExt"/>
        </w:rPr>
        <w:t>&lt;/TitreType&gt;</w:t>
      </w:r>
    </w:p>
    <w:p>
      <w:pPr>
        <w:pStyle w:val="CoverNormal24a"/>
      </w:pPr>
      <w:r>
        <w:rPr>
          <w:rStyle w:val="HideTWBExt"/>
        </w:rPr>
        <w:t>&lt;CommissionResp&gt;</w:t>
      </w:r>
      <w:r>
        <w:t>Esitaja: arengukomisjon</w:t>
      </w:r>
      <w:r>
        <w:rPr>
          <w:rStyle w:val="HideTWBExt"/>
        </w:rPr>
        <w:t>&lt;/CommissionResp&gt;</w:t>
      </w:r>
    </w:p>
    <w:p>
      <w:pPr>
        <w:pStyle w:val="CoverNormal24a"/>
      </w:pPr>
      <w:r>
        <w:rPr>
          <w:rStyle w:val="HideTWBExt"/>
        </w:rPr>
        <w:t>&lt;CommissionInt&gt;</w:t>
      </w:r>
      <w:r>
        <w:t>Saaja: väliskomisjon</w:t>
      </w:r>
      <w:r>
        <w:rPr>
          <w:rStyle w:val="HideTWBExt"/>
        </w:rPr>
        <w:t>&lt;/CommissionInt&gt;</w:t>
      </w:r>
    </w:p>
    <w:p>
      <w:pPr>
        <w:pStyle w:val="CoverNormal"/>
      </w:pPr>
      <w:r>
        <w:rPr>
          <w:rStyle w:val="HideTWBExt"/>
        </w:rPr>
        <w:t>&lt;Titre&gt;</w:t>
      </w:r>
      <w:r>
        <w:t>rahvusvahelise õiguse olukorra ning ohtude kohta mitmepoolsusele, demokraatiale ja Euroopa Liidule</w:t>
      </w:r>
      <w:r>
        <w:rPr>
          <w:rStyle w:val="HideTWBExt"/>
        </w:rPr>
        <w:t>&lt;/Titre&gt;</w:t>
      </w:r>
    </w:p>
    <w:p>
      <w:pPr>
        <w:pStyle w:val="CoverNormal24a"/>
      </w:pPr>
      <w:r>
        <w:rPr>
          <w:rStyle w:val="HideTWBExt"/>
        </w:rPr>
        <w:t>&lt;DocRef&gt;</w:t>
      </w:r>
      <w:r>
        <w:t>(2026/2037(INI))</w:t>
      </w:r>
      <w:r>
        <w:rPr>
          <w:rStyle w:val="HideTWBExt"/>
        </w:rPr>
        <w:t>&lt;/DocRef&gt;</w:t>
      </w:r>
    </w:p>
    <w:p>
      <w:pPr>
        <w:pStyle w:val="CoverNormal24a"/>
      </w:pPr>
      <w:r>
        <w:t>Arvamuse raportöör</w:t>
      </w:r>
      <w:r>
        <w:t xml:space="preserve">: </w:t>
      </w:r>
      <w:r>
        <w:rPr>
          <w:rStyle w:val="HideTWBExt"/>
        </w:rPr>
        <w:t>&lt;Depute&gt;</w:t>
      </w:r>
      <w:r>
        <w:t>Cecilia Strada</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MUUDATUSETTEPANEKUD</w:t>
      </w:r>
    </w:p>
    <w:p>
      <w:pPr>
        <w:pStyle w:val="Normal12a"/>
      </w:pPr>
      <w:r>
        <w:t>Arengukomisjon</w:t>
      </w:r>
      <w:r>
        <w:t xml:space="preserve"> </w:t>
      </w:r>
      <w:r>
        <w:t>esitab väliskomisjonile kui vastutavale komisjonile järgmised muudatusettepanekud</w:t>
      </w:r>
      <w:r>
        <w:t>:</w:t>
      </w:r>
    </w:p>
    <w:p>
      <w:pPr>
        <w:pStyle w:val="AmNumberTabs"/>
      </w:pP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ÜRO Julgeolekunõukogu 24. mai 2024. aasta resolutsiooni 2730 (2024) humanitaartöötajate ning ÜRO ja sellega seotud töötajate kaitse kohta relvakonfliktides,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ÜRO Julgeolekunõukogu 24. mai 2018. aasta resolutsiooni nr 2417 (2018) konfliktide põhjustatud toiduga kindlustamatuse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ÜRO Julgeolekunõukogu 31. oktoobri 2000. aasta resolutsiooni nr 1325 (2000) naiste, rahu ja julgeoleku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1949. aasta Genfi konventsioone ja nende lisaprotokolle,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10. oktoobril 1980. aastal vastu võetud ülemääraseid kahjustusi tekitavate või valimatu toimega tavarelvade kasutamise keelustamist ja piiramist käsitlevat konventsiooni ning selle I, II ja III protokolli,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18. septembril 1997. aastal vastu võetud jalaväevastaste miinide kasutamise, ladustamise, tootmise ja üleandmise keelustamise ning nende hävitamise konventsiooni (Ottawa konventsioon),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9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kassettlahingumoona käsitlevat konventsiooni (Oslo konventsioon), mis võeti vastu 30. mail 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oma 20. jaanuari 2026. aasta resolutsiooni humanitaarabi kohta polükriisi ajal – meie põhimõtete kinnitamine mõjusamaks ja ambitsioonikamaks reageerimiseks humanitaarkriisidele[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ELT C, C/2026/3684, 5.8.2026, ELI: </w:t>
            </w:r>
            <w:r>
              <w:rPr>
                <w:b/>
                <w:i/>
              </w:rPr>
              <w:t>http://data.europa.eu/eli/C/2026/3684/oj</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komisjoni ning liidu välisasjade ja julgeolekupoliitika kõrge esindaja 27. mai 2026. aasta ühisteatist „Väärtuste kaitsmine, reformide edendamine, mõju saavutamine: ELi humanitaartegevus muutuvas maailmakorras“ (JOIN(2026)0025) (ühisteatis humanitaarabi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Volitus 17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rPr>
                <w:b/>
                <w:i/>
              </w:rPr>
              <w:t>võttes arvesse oma 9. juuli 2026. aasta resolutsioon humanitaarabi käsitleva ühisteatise kohta (JOIN(2026)0025)</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Vastuvõetud tekstid, P10_TA(2026)0271.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mitmepoolset süsteemi </w:t>
            </w:r>
            <w:r>
              <w:rPr>
                <w:b/>
                <w:i/>
              </w:rPr>
              <w:t>panevad</w:t>
            </w:r>
            <w:r>
              <w:t xml:space="preserve"> üha enam proovile geopoliitiline rivaalitsemine, Venemaa agressioon Ukraina vastu, Ameerika Ühendriikide järkjärguline eemaldumine rahvusvahelistest organisatsioonidest ning Hiina ja </w:t>
            </w:r>
            <w:r>
              <w:rPr>
                <w:b/>
                <w:i/>
              </w:rPr>
              <w:t>muude</w:t>
            </w:r>
            <w:r>
              <w:t xml:space="preserve"> piirkondlike jõudude kasvav mõju, mis nõuab, et EL tugevdaks oma juhtrolli rahvusvahelise õiguse ja tõhusa mitmepoolsuse toetamisel;</w:t>
            </w:r>
          </w:p>
        </w:tc>
        <w:tc>
          <w:tcPr>
            <w:tcW w:w="4876" w:type="dxa"/>
            <w:tcBorders>
              <w:top w:val="nil"/>
              <w:left w:val="nil"/>
              <w:bottom w:val="nil"/>
              <w:right w:val="nil"/>
            </w:tcBorders>
          </w:tcPr>
          <w:p>
            <w:pPr>
              <w:pStyle w:val="Normal6a"/>
            </w:pPr>
            <w:r>
              <w:t>C.</w:t>
            </w:r>
            <w:r>
              <w:tab/>
            </w:r>
            <w:r>
              <w:t xml:space="preserve">arvestades, et mitmepoolset süsteemi </w:t>
            </w:r>
            <w:r>
              <w:rPr>
                <w:b/>
                <w:i/>
              </w:rPr>
              <w:t>paneb</w:t>
            </w:r>
            <w:r>
              <w:t xml:space="preserve"> üha enam proovile geopoliitiline rivaalitsemine </w:t>
            </w:r>
            <w:r>
              <w:rPr>
                <w:b/>
                <w:i/>
              </w:rPr>
              <w:t>ja rahvusvahelise õiguse jõhker eiramine</w:t>
            </w:r>
            <w:r>
              <w:t xml:space="preserve">, </w:t>
            </w:r>
            <w:r>
              <w:rPr>
                <w:b/>
                <w:i/>
              </w:rPr>
              <w:t>nagu</w:t>
            </w:r>
            <w:r>
              <w:t xml:space="preserve"> Venemaa agressioon Ukraina vastu, </w:t>
            </w:r>
            <w:r>
              <w:rPr>
                <w:b/>
                <w:i/>
              </w:rPr>
              <w:t>USA sõjaline sekkumine Venezuelas, USA ja Iisraeli sekkumine Iraani vastu, Iisraeli okupatsioon Jordani Läänekaldal, sealhulgas Ida-Jeruusalemmas, Gaza sektoris, Süüria territooriumi Golani kõrgendikel ja Lõuna-Liibanonis, ning varisõjad Jeemenis ja Sudaanis, samuti</w:t>
            </w:r>
            <w:r>
              <w:t xml:space="preserve"> Ameerika Ühendriikide järkjärguline eemaldumine rahvusvahelistest organisatsioonidest ning Hiina ja </w:t>
            </w:r>
            <w:r>
              <w:rPr>
                <w:b/>
                <w:i/>
              </w:rPr>
              <w:t>teiste</w:t>
            </w:r>
            <w:r>
              <w:t xml:space="preserve"> piirkondlike jõudude kasvav mõju, mis nõuab, et EL tugevdaks oma juhtrolli rahvusvahelise õiguse ja tõhusa mitmepoolsuse toetamisel;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arvestades, et sagenevad rahvusvahelise humanitaarõiguse ja rahvusvahelise inimõigustealase õiguse rasked rikkumised, sealhulgas tahtlikud rünnakud tsiviilisikute, sealhulgas ajakirjanike[</w:t>
            </w:r>
            <w:r>
              <w:rPr>
                <w:b/>
                <w:i/>
                <w:vertAlign w:val="superscript"/>
              </w:rPr>
              <w:t>1a</w:t>
            </w:r>
            <w:r>
              <w:rPr>
                <w:b/>
                <w:i/>
              </w:rPr>
              <w:t>] vastu, olulise taristu, näiteks haiglate, koolide ning vee- ja energiataristu hävitamine, sundränne ja kadumine, nälja tahtlik kasutamine sõjapidamise vahendina ning seksuaalne ja sooline vägivald; arvestades, et rahvusvahelise humanitaarõiguse ja rahvusvahelise inimõigustealase õiguse austamise vähenemisel on ebaproportsionaalsed tagajärjed naistele, tütarlastele ja lastele; arvestades, et teabega manipuleerimine, sealhulgas desinformatsioon, õõnestab veelgi rahvusvahelise humanitaarõiguse austamist ja arusaama humanitaartegevusest;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Ajakirjanike kaitse komitee: andmehaldussüsteemiga tutvuti 2026. aasta septembris https://cpj.org/data/killed/2026/.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C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arvestades, et vägivalla järsk kasv ja muud suured julgeolekuintsidendid, mis mõjutavad humanitaar- ja meditsiinitöötajaid, on eriti murettekitavad, kuna need on põhimõttelise abi andmiseks hädavajalikud; arvestades, et 2025. aastal tapeti 350 humanitaartöötajat, mis on kõigi aegade suuruselt teine näitaja pärast seda, kui 2024. aastal saavutati kurb rekord – tapeti 380 töötajat; arvestades, et riiklikud osalejad on nüüd peamised abitöötajate vastu suunatud vägivalla toimepanijad[</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Humanitarian Outcomes, „Aid Worker Security Report 2026 – When the threat is the State: Detentions of humanitarian workers“ (Abitöötaja turvalisuse aruanne 2026 – kui ohuks on riik: humanitaartöötajate kinnipidamine), 2026, https://www.humanitarianoutcomes.org/AWSR_2026.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C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arvestades, et juurdepääsupiirangud, sealhulgas bürokraatlikud takistused, liikumispiirangud ja konfliktiosaliste sekkumine, piiravad üha enam humanitaarabi andjate suutlikkust jõuda mõjutatud elanikkonnani; arvestades, et elupäästvale humanitaarabile juurdepääsu keelamine on sõjakuritegu; arvestades, et humanitaarabi andmist ei tohiks kunagi vahendina kasutada, vaid see peaks jõudma abivajavate tsiviilisikuteni takistuste, diskrimineerimise ja manipuleerimiseta, täielikus kooskõlas rahvusvahelise humanitaarõigusega;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EL peab tugevdama oma suutlikkust kaitsta oma huve ja väärtusi, arendades samal ajal vastastikusel austusel, vastastikkusel ja dialoogil </w:t>
            </w:r>
            <w:r>
              <w:rPr>
                <w:b/>
                <w:i/>
              </w:rPr>
              <w:t>põhinevaid partnerlusi</w:t>
            </w:r>
            <w:r>
              <w:t>;</w:t>
            </w:r>
          </w:p>
        </w:tc>
        <w:tc>
          <w:tcPr>
            <w:tcW w:w="4876" w:type="dxa"/>
            <w:tcBorders>
              <w:top w:val="nil"/>
              <w:left w:val="nil"/>
              <w:bottom w:val="nil"/>
              <w:right w:val="nil"/>
            </w:tcBorders>
          </w:tcPr>
          <w:p>
            <w:pPr>
              <w:pStyle w:val="Normal6a"/>
            </w:pPr>
            <w:r>
              <w:t>E.</w:t>
            </w:r>
            <w:r>
              <w:tab/>
            </w:r>
            <w:r>
              <w:t xml:space="preserve">arvestades, et EL peab tugevdama oma suutlikkust kaitsta oma huve ja väärtusi, arendades samal ajal </w:t>
            </w:r>
            <w:r>
              <w:rPr>
                <w:b/>
                <w:i/>
              </w:rPr>
              <w:t>partnerlusi, mis põhinevad inimõiguste, demokraatlike põhimõtete ja õigusriigi põhimõtte austamisel ning</w:t>
            </w:r>
            <w:r>
              <w:t xml:space="preserve"> vastastikusel austusel, vastastikkusel ja dialoogil;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et ELi usaldusväärsus ülemaailmse osalejana põhineb ÜRO põhikirja põhimõtete, eelkõige suveräänsuse, territoriaalse terviklikkuse, poliitilise sõltumatuse, enesemääramise ja inimõiguste järjepideval kaitsmisel; rõhutab, et rahvusvahelist õigust tuleb igas olukorras järgida erapooletult ja järjepidevalt; nõuab, et EL järgiks oma välistegevuses suuremat sidusust, tagasihoidlikkust ja austust, edendades samal ajal dialoogi</w:t>
            </w:r>
            <w:r>
              <w:rPr>
                <w:b/>
                <w:i/>
              </w:rPr>
              <w:t>,</w:t>
            </w:r>
            <w:r>
              <w:t xml:space="preserve"> partnerluse ja </w:t>
            </w:r>
            <w:r>
              <w:rPr>
                <w:b/>
                <w:i/>
              </w:rPr>
              <w:t>eeskuju</w:t>
            </w:r>
            <w:r>
              <w:t xml:space="preserve"> kaudu oma väärtusi;</w:t>
            </w:r>
          </w:p>
        </w:tc>
        <w:tc>
          <w:tcPr>
            <w:tcW w:w="4876" w:type="dxa"/>
            <w:tcBorders>
              <w:top w:val="nil"/>
              <w:left w:val="nil"/>
              <w:bottom w:val="nil"/>
              <w:right w:val="nil"/>
            </w:tcBorders>
          </w:tcPr>
          <w:p>
            <w:pPr>
              <w:pStyle w:val="Normal6a"/>
            </w:pPr>
            <w:r>
              <w:t>1.</w:t>
            </w:r>
            <w:r>
              <w:tab/>
            </w:r>
            <w:r>
              <w:t xml:space="preserve">rõhutab, et ELi usaldusväärsus ülemaailmse osalejana põhineb ÜRO põhikirja põhimõtete, eelkõige suveräänsuse, territoriaalse terviklikkuse, poliitilise sõltumatuse, enesemääramise ja inimõiguste järjepideval kaitsmisel; rõhutab, et rahvusvahelist õigust tuleb igas olukorras järgida erapooletult ja järjepidevalt; nõuab, et EL järgiks oma välistegevuses suuremat sidusust, tagasihoidlikkust ja austust, edendades samal ajal dialoogi </w:t>
            </w:r>
            <w:r>
              <w:rPr>
                <w:b/>
                <w:i/>
              </w:rPr>
              <w:t>ja</w:t>
            </w:r>
            <w:r>
              <w:t xml:space="preserve"> partnerluse ja </w:t>
            </w:r>
            <w:r>
              <w:rPr>
                <w:b/>
                <w:i/>
              </w:rPr>
              <w:t>eeskujuks olemise</w:t>
            </w:r>
            <w:r>
              <w:t xml:space="preserve"> kaudu oma väärtusi;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kutsub komisjoni ja komisjoni asepresidenti ning liidu välisasjade ja julgeolekupoliitika kõrget esindajat üles tugevdama toetust rahvusvahelistele kohtutele, eelkõige Rahvusvahelisele Kriminaalkohtule ja Rahvusvahelisele Kohtule, mis on reeglitel põhineva rahvusvahelise korra olulised tugisambad; mõistab hukka igasuguse surve ja sunnimeetmed nende institutsioonide vastu ning kutsub komisjoni üles aktiveerima blokeerimismäärust, et kaitsta Rahvusvahelist Kriminaalkohut ebaseaduslike eksterritoriaalsete sanktsioonide eest;</w:t>
            </w:r>
          </w:p>
        </w:tc>
        <w:tc>
          <w:tcPr>
            <w:tcW w:w="4876" w:type="dxa"/>
            <w:tcBorders>
              <w:top w:val="nil"/>
              <w:left w:val="nil"/>
              <w:bottom w:val="nil"/>
              <w:right w:val="nil"/>
            </w:tcBorders>
          </w:tcPr>
          <w:p>
            <w:pPr>
              <w:pStyle w:val="Normal6a"/>
            </w:pPr>
            <w:r>
              <w:t>2.</w:t>
            </w:r>
            <w:r>
              <w:tab/>
            </w:r>
            <w:r>
              <w:t xml:space="preserve">kutsub komisjoni ja komisjoni asepresidenti ning liidu välisasjade ja julgeolekupoliitika kõrget esindajat üles tugevdama toetust rahvusvahelistele kohtutele, eelkõige Rahvusvahelisele Kriminaalkohtule ja Rahvusvahelisele Kohtule, mis on reeglitel põhineva rahvusvahelise korra olulised tugisambad; mõistab hukka igasuguse surve ja sunnimeetmed nende institutsioonide vastu ning kutsub komisjoni üles aktiveerima </w:t>
            </w:r>
            <w:r>
              <w:rPr>
                <w:b/>
                <w:i/>
              </w:rPr>
              <w:t>viivitamata</w:t>
            </w:r>
            <w:r>
              <w:t xml:space="preserve"> blokeerimismäärust, et kaitsta Rahvusvahelist Kriminaalkohut ebaseaduslike eksterritoriaalsete sanktsioonide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peab äärmiselt kahetsusväärseks rahvusvahelise humanitaarõiguse ja rahvusvahelise inimõigustealase õiguse õõnestamist valikulise kohaldamise, lubava tõlgendamise ja jõhkrate rikkumiste kaudu, mis süvendavad tsiviilelanike kannatusi ja karistamatuse kultuuri;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kutsub komisjoni, komisjoni asepresidenti ning liidu välisasjade ja julgeolekupoliitika kõrget esindajat ja nõukogu üles mõistma ühemõtteliselt hukka kõik rahvusvahelise õiguse, sealhulgas rahvusvahelise humanitaarõiguse ja rahvusvahelise inimõigustealase õiguse rikkumised relvakonfliktide ajal; tuletab eelkõige meelde, et tavapärane rahvusvaheline humanitaarõigus on siduv kõigile relvakonflikti osalistele, olenemata tehnoloogia arengust sõjapidamises; rõhutab, et vastutus rahvusvahelise humanitaarõiguse rikkumiste eest tuleb alati tagada, sealhulgas toetades sõltumatuid vastutusmehhanisme ja koostööd rahvusvaheliste uurimisasutustega;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mõistab sellega seoses hukka nii tsiviilisikute kui ka humanitaartöötajate, sealhulgas ÜRO töötajate vastu suunatud rünnakute ja tapmiste süstemaatilise sagenemise, mis kujutab endast rahvusvahelise õiguse rasket rikkumist;</w:t>
            </w:r>
            <w:r>
              <w:rPr>
                <w:b/>
                <w:i/>
              </w:rPr>
              <w:t xml:space="preserve"> nõuab seetõttu tungivalt, et komisjon ja liikmesriigid võtaksid kõik vajalikud meetmed riikide, üksuste või isikute vastu, kes vastutavad rahvusvahelise õiguse ja rahvusvahelise humanitaarõiguse rikkumise eest; nõuab, et EL võtaks otsustavaid meetmeid, et kaitsta ja tõhustada rahvusvahelist humanitaarõigust ja põhimõttekindlat humanitaarruumi, suurendades oma humanitaardiplomaatia tõhusust, võimendades tema käsutuses olevaid humanitaar-, poliitilisi, majanduslikke, julgeoleku- või diplomaatilisi vahendeid;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2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nõuab, et EL täidaks humanitaarabi käsitlevas ühisteatises võetud kohustusi seoses humanitaartöötajate kaitse ja julgeoleku tugevdamisega ning rünnakute ohvrite ja ellujäänute hoolduse parandamisega; nõuab sellega seoses tungivalt, et komisjon muudaks abitöötajate kaitse algatuse alaliseks ülemaailmseks programmiks, millel on piisavad rahalised vahendid;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kutsub komisjoni asepresidenti ning liidu välisasjade ja julgeolekupoliitika kõrget esindajat, nõukogu ja liikmesriike üles toetama ÜRO, sealhulgas ÜRO Julgeolekunõukogu reformi kooskõlas algatusega „UN80“; rõhutab, et representatiivsem ÜRO, mis tagab maailma lõunapoolsetele riikidele tugevama hääle, on oluline mitmepoolse süsteemi õiguspärasuse, usaldusväärsuse ja tõhususe tugevdamiseks;</w:t>
            </w:r>
          </w:p>
        </w:tc>
        <w:tc>
          <w:tcPr>
            <w:tcW w:w="4876" w:type="dxa"/>
            <w:tcBorders>
              <w:top w:val="nil"/>
              <w:left w:val="nil"/>
              <w:bottom w:val="nil"/>
              <w:right w:val="nil"/>
            </w:tcBorders>
          </w:tcPr>
          <w:p>
            <w:pPr>
              <w:pStyle w:val="Normal6a"/>
            </w:pPr>
            <w:r>
              <w:t>3.</w:t>
            </w:r>
            <w:r>
              <w:tab/>
            </w:r>
            <w:r>
              <w:t>kutsub komisjoni asepresidenti ning liidu välisasjade ja julgeolekupoliitika kõrget esindajat, nõukogu ja liikmesriike üles toetama ÜRO, sealhulgas ÜRO Julgeolekunõukogu reformi kooskõlas algatusega „UN80“; rõhutab, et representatiivsem ÜRO, mis tagab maailma lõunapoolsetele riikidele tugevama hääle, on oluline mitmepoolse süsteemi õiguspärasuse, usaldusväärsuse ja tõhususe tugevdamiseks;</w:t>
            </w:r>
            <w:r>
              <w:rPr>
                <w:b/>
                <w:i/>
              </w:rPr>
              <w:t xml:space="preserve"> on seisukohal, et ÜRO humanitaarolukorra taastamine on ainulaadne võimalus kaitsta põhimõttekindlat humanitaartegevust, suurendada mitmepoolse humanitaarsüsteemi tulemuslikkust ja tõhusust ning suunata jõud ja ressursid kohalikele osalejatele ja kriisist mõjutatud elanikkonnale; julgustab ELi neid reformipüüdlusi aktiivselt toetama ja tegema tihedat koostööd ÜRO partneritega, tagamaks, et need annavad abivajavale elanikkonnale käegakatsutavaid tulemusi;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kutsub komisjoni ja komisjoni asepresidenti ning liidu välisasjade ja julgeolekupoliitika kõrget esindajat üles süvendama partnerlust maailma lõunapoolsete riikidega, tuginedes vastastikusele austusele, võrdsele partnerlusele ja jagatud vastutusele; rõhutab, et maailma lõunapoolsed riigid on ülemaailmses juhtimises olulised partnerid; nõuab tõhustatud koostööd ühist huvi pakkuvates valdkondades, sealhulgas toiduga kindlustatuse, kestliku taristu, puhta energia, ülemaailmse tervishoiu, tehisintellekti ja kestliku rahanduse valdkonnas;</w:t>
            </w:r>
          </w:p>
        </w:tc>
        <w:tc>
          <w:tcPr>
            <w:tcW w:w="4876" w:type="dxa"/>
            <w:tcBorders>
              <w:top w:val="nil"/>
              <w:left w:val="nil"/>
              <w:bottom w:val="nil"/>
              <w:right w:val="nil"/>
            </w:tcBorders>
          </w:tcPr>
          <w:p>
            <w:pPr>
              <w:pStyle w:val="Normal6a"/>
            </w:pPr>
            <w:r>
              <w:t>5.</w:t>
            </w:r>
            <w:r>
              <w:tab/>
            </w:r>
            <w:r>
              <w:t xml:space="preserve">kutsub komisjoni ja komisjoni asepresidenti ning liidu välisasjade ja julgeolekupoliitika kõrget esindajat üles süvendama partnerlust maailma lõunapoolsete riikidega, tuginedes vastastikusele austusele, võrdsele partnerlusele ja jagatud vastutusele; rõhutab, et maailma lõunapoolsed riigid on ülemaailmses juhtimises olulised partnerid; nõuab tõhustatud koostööd ühist huvi pakkuvates valdkondades, sealhulgas toiduga kindlustatuse, </w:t>
            </w:r>
            <w:r>
              <w:rPr>
                <w:b/>
                <w:i/>
              </w:rPr>
              <w:t>inimarengu,</w:t>
            </w:r>
            <w:r>
              <w:t xml:space="preserve"> kestliku taristu, puhta energia, ülemaailmse tervishoiu, tehisintellekti ja kestliku rahanduse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kutsub komisjoni, komisjoni asepresidenti ning liidu välisasjade ja julgeolekupoliitika kõrget esindajat ja liikmesriike üles </w:t>
            </w:r>
            <w:r>
              <w:rPr>
                <w:b/>
                <w:i/>
              </w:rPr>
              <w:t>tugevdama</w:t>
            </w:r>
            <w:r>
              <w:t xml:space="preserve"> ELi arengukoostööd kui tõhusa mitmepoolsuse ja rahvusvaheliste partnerluste strateegilist vahendit; nõuab, et arengukoostöö juhinduks mõõdetavatest tulemustest, kohalikest vajadustest ning suuremast sidususest ELi ja liikmesriikide </w:t>
            </w:r>
            <w:r>
              <w:rPr>
                <w:b/>
                <w:i/>
              </w:rPr>
              <w:t>poliitikavaldkondade</w:t>
            </w:r>
            <w:r>
              <w:t xml:space="preserve"> vahel; nõuab lihtsustatud </w:t>
            </w:r>
            <w:r>
              <w:rPr>
                <w:b/>
                <w:i/>
              </w:rPr>
              <w:t>rahastamismenetlusi</w:t>
            </w:r>
            <w:r>
              <w:t>, et parandada ELi meetmete tulemuslikkust, nähtavust ja reageerimisvõimet;</w:t>
            </w:r>
          </w:p>
        </w:tc>
        <w:tc>
          <w:tcPr>
            <w:tcW w:w="4876" w:type="dxa"/>
            <w:tcBorders>
              <w:top w:val="nil"/>
              <w:left w:val="nil"/>
              <w:bottom w:val="nil"/>
              <w:right w:val="nil"/>
            </w:tcBorders>
          </w:tcPr>
          <w:p>
            <w:pPr>
              <w:pStyle w:val="Normal6a"/>
            </w:pPr>
            <w:r>
              <w:t>6.</w:t>
            </w:r>
            <w:r>
              <w:tab/>
            </w:r>
            <w:r>
              <w:rPr>
                <w:b/>
                <w:i/>
              </w:rPr>
              <w:t xml:space="preserve">tuletab meelde, et ELi arengukoostöö poliitika peamine eesmärk on vaesuse vähendamine ja pikemas perspektiivis kaotamine; </w:t>
            </w:r>
            <w:r>
              <w:t xml:space="preserve">kutsub </w:t>
            </w:r>
            <w:r>
              <w:rPr>
                <w:b/>
                <w:i/>
              </w:rPr>
              <w:t>seetõttu</w:t>
            </w:r>
            <w:r>
              <w:t xml:space="preserve"> komisjoni, komisjoni asepresidenti ning liidu välisasjade ja julgeolekupoliitika kõrget esindajat ja liikmesriike üles </w:t>
            </w:r>
            <w:r>
              <w:rPr>
                <w:b/>
                <w:i/>
              </w:rPr>
              <w:t>seda eesmärki toetama, tugevdades</w:t>
            </w:r>
            <w:r>
              <w:t xml:space="preserve"> ELi arengukoostööd kui tõhusa mitmepoolsuse ja rahvusvaheliste partnerluste strateegilist vahendit; nõuab, et arengukoostöö juhinduks mõõdetavatest tulemustest, kohalikest vajadustest</w:t>
            </w:r>
            <w:r>
              <w:rPr>
                <w:b/>
                <w:i/>
              </w:rPr>
              <w:t>, kodanikuühiskonna toetamisest</w:t>
            </w:r>
            <w:r>
              <w:t xml:space="preserve"> ning suuremast sidususest ELi ja liikmesriikide </w:t>
            </w:r>
            <w:r>
              <w:rPr>
                <w:b/>
                <w:i/>
              </w:rPr>
              <w:t>sise- ja välispoliitika</w:t>
            </w:r>
            <w:r>
              <w:t xml:space="preserve"> vahel; nõuab </w:t>
            </w:r>
            <w:r>
              <w:rPr>
                <w:b/>
                <w:i/>
              </w:rPr>
              <w:t>järgmises mitmeaastases finantsraamistikus instrumendi „Globaalne Euroopa“ ja eelkõige arengupoliitika rahastamispaketi ambitsioonikat suurendamist, pöörates erilist tähelepanu selgetele ja mõõdetavatele eesmärkidele ning</w:t>
            </w:r>
            <w:r>
              <w:t xml:space="preserve"> lihtsustatud </w:t>
            </w:r>
            <w:r>
              <w:rPr>
                <w:b/>
                <w:i/>
              </w:rPr>
              <w:t>rahastamismenetlustele</w:t>
            </w:r>
            <w:r>
              <w:t>, et parandada ELi meetmete tulemuslikkust, nähtavust ja reageerimisvõimet</w:t>
            </w:r>
            <w:r>
              <w:rPr>
                <w:b/>
                <w:i/>
              </w:rPr>
              <w:t>, saavutades samal ajal õiglase tasakaalu paindlikkuse ja prognoositavuse vahel ning säilitades strateegilise toetuse kodanikuühiskonna organisatsioonidele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tunnistab, et rahvusvaheliste desarmeerimislepingute väljatöötamisel ja rakendamisel on olnud oluline roll tõhusa mitmepoolsuse kujundamisel ning rahvusvahelise rahu ja julgeoleku säilitamisel; tunnistab, et EL on kindlalt toetanud selliste lepingute ülemaailmset kohaldamist, mis on kõige edukam näide sellest, kuidas mitmepoolsus pakub tõhusaid lahendusi kestliku rahu ja arengu toetamiseks, vähendades samal ajal humanitaarriske ning ohtu ühiskonnale ja tsiviilelanikele; tuletab meelde, et rahvusvaheline õigus keelab teatavate relvade kasutamise või piirab seda nende valimatu või ebainimliku olemuse tõttu, ning on seisukohal, et reguleerimata levik takistab rahvusvahelise humanitaarõiguse järgimist ja humanitaarabi kohaletoimetamist;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peab seetõttu kahetsusväärseks mõne ELi liikmesriigi otsust taganeda nendest lepingutest, eelkõige 1997. aasta Ottawa konventsioonist ja 2008. aasta Oslo konventsioonist, millega keelatakse jalaväevastaste miinide ja kobarlahingumoona kasutamine, ladustamine, tootmine ja üleandmine; on seisukohal, et vaatamata keerulisele geopoliitilisele olukorrale ja õigustatud murele julgeoleku pärast ei saa selliste surmavate relvade kasutuselevõttu, nendega kauplemist ja nende kasutamist õigustada, võttes arvesse laastavaid humanitaartagajärgi tsiviilelanikkonnale konflikti ajal ja kaua pärast seda, eriti alaealistele; kutsub komisjoni ja nõukogu üles nõudma, et liikmesriigid täidaksid oma kohustusi, mis tulenevad rahvusvahelisest ja liidu õigusest, eelkõige nõukogu otsusest (ÜVJP) 2025/781</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Nõukogu 14. aprilli 2025. aasta otsus (ÜVJP) 2025/781, millega toetatakse Siem Reap-Angkori tegevuskava jalaväevastaste miinide kasutamise, ladustamise, tootmise ja üleandmise keelustamise ning nende hävitamise 1997. aasta konventsiooni rakendamiseks (ELT L, 2025/781, 15.4.2025, ELI: </w:t>
            </w:r>
            <w:r>
              <w:rPr>
                <w:b/>
                <w:i/>
              </w:rPr>
              <w:t>http://data.europa.eu/eli/dec/2025/781/oj</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12b"/>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nõuab, et EL ja liikmesriigid kiirendaksid tõelise Euroopa kaitsekoostöö liidu loomist, tunnistades asjaolu, et tõhus mitmepoolsus ja rahvusvahelise õiguse kaitse nõuavad usaldusväärset diplomaatilist, majanduslikku ja kaitsevõimet; rõhutab, et tugevdatud Euroopa kaitse eesmärk on kaitsta ELi, selle kodanikke ja demokraatlikke institutsioone, tugevdada selle strateegilist autonoomiat ning suurendada selle suutlikkust aidata kaasa rahvusvahelisele rahule ja julgeolekule kooskõlas ÜRO põhikirjaga;</w:t>
            </w:r>
          </w:p>
        </w:tc>
        <w:tc>
          <w:tcPr>
            <w:tcW w:w="4876" w:type="dxa"/>
            <w:tcBorders>
              <w:top w:val="nil"/>
              <w:left w:val="nil"/>
              <w:bottom w:val="nil"/>
              <w:right w:val="nil"/>
            </w:tcBorders>
          </w:tcPr>
          <w:p>
            <w:pPr>
              <w:pStyle w:val="Normal6a"/>
            </w:pPr>
            <w:r>
              <w:t>13.</w:t>
            </w:r>
            <w:r>
              <w:tab/>
            </w:r>
            <w:r>
              <w:t xml:space="preserve">nõuab, et EL ja liikmesriigid kiirendaksid tõelise Euroopa kaitsekoostöö liidu loomist, tunnistades asjaolu, et tõhus mitmepoolsus ja rahvusvahelise õiguse kaitse nõuavad usaldusväärset diplomaatilist, majanduslikku ja kaitsevõimet; rõhutab, et tugevdatud Euroopa kaitse eesmärk on kaitsta ELi, selle kodanikke ja demokraatlikke institutsioone, tugevdada selle strateegilist autonoomiat ning suurendada selle suutlikkust aidata kaasa rahvusvahelisele rahule ja julgeolekule kooskõlas ÜRO põhikirjaga </w:t>
            </w:r>
            <w:r>
              <w:rPr>
                <w:b/>
                <w:i/>
              </w:rPr>
              <w:t>ja rahvusvahelise tavaõigusega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LISA: SISENDI DEKLARATSIOON</w:t>
      </w:r>
    </w:p>
    <w:p>
      <w:pPr>
        <w:pStyle w:val="Normal12a"/>
      </w:pPr>
      <w:r>
        <w:rPr>
          <w:rStyle w:val="HideTWBExt"/>
        </w:rPr>
        <w:t>&lt;FootprintIntro&gt;</w:t>
      </w:r>
      <w:r>
        <w:rPr>
          <w:rStyle w:val="HideTWBExt"/>
        </w:rPr>
        <w:t>&lt;/FootprintIntro&gt;</w:t>
      </w:r>
    </w:p>
    <w:p>
      <w:pPr>
        <w:pStyle w:val="Normal12a"/>
      </w:pPr>
      <w:r>
        <w:t>Vastavalt kodukorra I lisa artiklile 8 kinnitab arvamuse raportöör, et kasutas arvamuse projekti koostamisel oma arvamuses toimikuga seotud küsimuste kohta sisendmaterjali, mida ta sai järgmistelt huvide esindajatelt, kes kuuluvad kohustuslikku läbipaistvusregistrit käsitleva institutsioonidevahelise kokkuleppe</w:t>
      </w:r>
      <w:r>
        <w:rPr>
          <w:rStyle w:val="FootnoteReference"/>
        </w:rPr>
        <w:footnoteReference w:customMarkFollows="1" w:id="2"/>
        <w:t xml:space="preserve">1</w:t>
      </w:r>
      <w:r>
        <w:t xml:space="preserve"> kohaldamisalasse, või järgmistelt kolmandate riikide ametiasutuste, sealhulgas nende diplomaatiliste esinduste ja saatkondade esindajatelt: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Huvide esindajad, kes kuuluvad kohustuslikku läbipaistvusregistrit käsitleva institutsioonidevahelise kokkuleppe kohaldamisalasse</w:t>
            </w:r>
          </w:p>
        </w:tc>
      </w:tr>
      <w:tr>
        <w:tblPrEx>
          <w:tblW w:w="0" w:type="auto"/>
          <w:tblLayout w:type="fixed"/>
          <w:tblCellMar>
            <w:left w:w="140" w:type="dxa"/>
            <w:right w:w="140" w:type="dxa"/>
          </w:tblCellMar>
        </w:tblPrEx>
        <w:tc>
          <w:tcPr>
            <w:tcW w:w="9080" w:type="dxa"/>
          </w:tcPr>
          <w:p>
            <w:r>
              <w:t>Mine Advisory</w:t>
            </w:r>
          </w:p>
        </w:tc>
      </w:tr>
      <w:tr>
        <w:tblPrEx>
          <w:tblW w:w="0" w:type="auto"/>
          <w:tblLayout w:type="fixed"/>
          <w:tblCellMar>
            <w:left w:w="140" w:type="dxa"/>
            <w:right w:w="140" w:type="dxa"/>
          </w:tblCellMar>
        </w:tblPrEx>
        <w:tc>
          <w:tcPr>
            <w:tcW w:w="9080" w:type="dxa"/>
          </w:tcPr>
          <w:p>
            <w:r>
              <w:t>Association Federation Handicap International</w:t>
            </w:r>
          </w:p>
        </w:tc>
      </w:tr>
      <w:tr>
        <w:tblPrEx>
          <w:tblW w:w="0" w:type="auto"/>
          <w:tblLayout w:type="fixed"/>
          <w:tblCellMar>
            <w:left w:w="140" w:type="dxa"/>
            <w:right w:w="140" w:type="dxa"/>
          </w:tblCellMar>
        </w:tblPrEx>
        <w:tc>
          <w:tcPr>
            <w:tcW w:w="9080" w:type="dxa"/>
          </w:tcPr>
          <w:p>
            <w:r>
              <w:t>Concord</w:t>
            </w:r>
          </w:p>
        </w:tc>
      </w:tr>
      <w:tr>
        <w:tblPrEx>
          <w:tblW w:w="0" w:type="auto"/>
          <w:tblLayout w:type="fixed"/>
          <w:tblCellMar>
            <w:left w:w="140" w:type="dxa"/>
            <w:right w:w="140" w:type="dxa"/>
          </w:tblCellMar>
        </w:tblPrEx>
        <w:tc>
          <w:tcPr>
            <w:tcW w:w="9080" w:type="dxa"/>
          </w:tcPr>
          <w:p>
            <w:r>
              <w:t>Norwegian Refugee Council</w:t>
            </w:r>
          </w:p>
        </w:tc>
      </w:tr>
      <w:tr>
        <w:tblPrEx>
          <w:tblW w:w="0" w:type="auto"/>
          <w:tblLayout w:type="fixed"/>
          <w:tblCellMar>
            <w:left w:w="140" w:type="dxa"/>
            <w:right w:w="140" w:type="dxa"/>
          </w:tblCellMar>
        </w:tblPrEx>
        <w:tc>
          <w:tcPr>
            <w:tcW w:w="9080" w:type="dxa"/>
          </w:tcPr>
          <w:p>
            <w:r>
              <w:t>Danish Refugee Council</w:t>
            </w:r>
          </w:p>
        </w:tc>
      </w:tr>
      <w:tr>
        <w:tblPrEx>
          <w:tblW w:w="0" w:type="auto"/>
          <w:tblLayout w:type="fixed"/>
          <w:tblCellMar>
            <w:left w:w="140" w:type="dxa"/>
            <w:right w:w="140" w:type="dxa"/>
          </w:tblCellMar>
        </w:tblPrEx>
        <w:tc>
          <w:tcPr>
            <w:tcW w:w="9080" w:type="dxa"/>
          </w:tcPr>
          <w:p>
            <w:r>
              <w:t>Voluntary Organisations in Cooperation in Emergencies (VOICE)</w:t>
            </w:r>
          </w:p>
        </w:tc>
      </w:tr>
      <w:tr>
        <w:tblPrEx>
          <w:tblW w:w="0" w:type="auto"/>
          <w:tblLayout w:type="fixed"/>
          <w:tblCellMar>
            <w:left w:w="140" w:type="dxa"/>
            <w:right w:w="140" w:type="dxa"/>
          </w:tblCellMar>
        </w:tblPrEx>
        <w:tc>
          <w:tcPr>
            <w:tcW w:w="9080" w:type="dxa"/>
          </w:tcPr>
          <w:p>
            <w:r>
              <w:t>International Rescue Committee</w:t>
            </w:r>
          </w:p>
        </w:tc>
      </w:tr>
      <w:tr>
        <w:tblPrEx>
          <w:tblW w:w="0" w:type="auto"/>
          <w:tblLayout w:type="fixed"/>
          <w:tblCellMar>
            <w:left w:w="140" w:type="dxa"/>
            <w:right w:w="140" w:type="dxa"/>
          </w:tblCellMar>
        </w:tblPrEx>
        <w:tc>
          <w:tcPr>
            <w:tcW w:w="9080" w:type="dxa"/>
          </w:tcPr>
          <w:p>
            <w:r>
              <w:t>Protect Humanitarians</w:t>
            </w:r>
          </w:p>
        </w:tc>
      </w:tr>
      <w:tr>
        <w:tblPrEx>
          <w:tblW w:w="0" w:type="auto"/>
          <w:tblLayout w:type="fixed"/>
          <w:tblCellMar>
            <w:left w:w="140" w:type="dxa"/>
            <w:right w:w="140" w:type="dxa"/>
          </w:tblCellMar>
        </w:tblPrEx>
        <w:tc>
          <w:tcPr>
            <w:tcW w:w="9080" w:type="dxa"/>
          </w:tcPr>
          <w:p>
            <w:r>
              <w:t>Care International</w:t>
            </w:r>
          </w:p>
        </w:tc>
      </w:tr>
      <w:tr>
        <w:tblPrEx>
          <w:tblW w:w="0" w:type="auto"/>
          <w:tblLayout w:type="fixed"/>
          <w:tblCellMar>
            <w:left w:w="140" w:type="dxa"/>
            <w:right w:w="140" w:type="dxa"/>
          </w:tblCellMar>
        </w:tblPrEx>
        <w:tc>
          <w:tcPr>
            <w:tcW w:w="9080" w:type="dxa"/>
          </w:tcPr>
          <w:p>
            <w:r>
              <w:t>Save the Children</w:t>
            </w:r>
          </w:p>
        </w:tc>
      </w:tr>
      <w:tr>
        <w:tblPrEx>
          <w:tblW w:w="0" w:type="auto"/>
          <w:tblLayout w:type="fixed"/>
          <w:tblCellMar>
            <w:left w:w="140" w:type="dxa"/>
            <w:right w:w="140" w:type="dxa"/>
          </w:tblCellMar>
        </w:tblPrEx>
        <w:tc>
          <w:tcPr>
            <w:tcW w:w="9080" w:type="dxa"/>
          </w:tcPr>
          <w:p>
            <w:pPr>
              <w:jc w:val="center"/>
            </w:pPr>
            <w:r>
              <w:rPr>
                <w:b/>
              </w:rPr>
              <w:t>2. Kolmandate riikide ametiasutuste, sealhulgas nende diplomaatiliste esinduste ja saatkondade esindajad</w:t>
            </w:r>
          </w:p>
        </w:tc>
      </w:tr>
      <w:tr>
        <w:tblPrEx>
          <w:tblW w:w="0" w:type="auto"/>
          <w:tblLayout w:type="fixed"/>
          <w:tblCellMar>
            <w:left w:w="140" w:type="dxa"/>
            <w:right w:w="140" w:type="dxa"/>
          </w:tblCellMar>
        </w:tblPrEx>
        <w:tc>
          <w:tcPr>
            <w:tcW w:w="9080" w:type="dxa"/>
          </w:tcPr>
          <w:p>
            <w:r>
              <w:t>Puuduvad</w:t>
            </w:r>
          </w:p>
        </w:tc>
      </w:tr>
    </w:tbl>
    <w:p/>
    <w:p>
      <w:pPr>
        <w:pStyle w:val="Normal12a"/>
      </w:pPr>
      <w:r>
        <w:t>Eespool esitatud loetelu koostamise eest vastutab ainuisikuliselt arvamuse raportöör.</w:t>
      </w:r>
    </w:p>
    <w:p>
      <w:pPr>
        <w:pStyle w:val="Normal12a"/>
      </w:pPr>
      <w:r>
        <w:t>Kui loetelus on märgitud füüsiliste isikute nimi või ametikoht või mõlemad, kinnitab arvamuse raportöör, et ta on esitanud asjaomastele füüsilistele isikutele Euroopa Parlamendi andmekaitseteate nr 484 (</w:t>
      </w:r>
      <w:hyperlink r:id="rId9" w:tgtFrame="https://www.europarl.europa.eu/data-protect/index.do" w:history="1">
        <w:r>
          <w:rPr>
            <w:rStyle w:val="Hyperlink"/>
          </w:rPr>
          <w:t>https://www.europarl.europa.eu/data-protect/index.do</w:t>
        </w:r>
      </w:hyperlink>
      <w:r>
        <w:t>), milles on kindlaks määratud nende isikuandmete töötlemise suhtes kohaldatavad tingimused ja sellise töötlemisega seotud õigused.</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791.905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w:t>
    </w:r>
    <w:r>
      <w:fldChar w:fldCharType="end"/>
    </w:r>
    <w:r>
      <w:t>/</w:t>
    </w:r>
    <w:r>
      <w:fldChar w:fldCharType="begin"/>
    </w:r>
    <w:r>
      <w:instrText xml:space="preserve"> NUMPAGES </w:instrText>
    </w:r>
    <w:r>
      <w:fldChar w:fldCharType="separate"/>
    </w:r>
    <w:r>
      <w:t>18</w:t>
    </w:r>
    <w:r>
      <w:fldChar w:fldCharType="end"/>
    </w:r>
    <w:r>
      <w:tab/>
    </w:r>
    <w:r>
      <w:rPr>
        <w:rStyle w:val="HideTWBExt"/>
      </w:rPr>
      <w:t>&lt;PathFdR&gt;</w:t>
    </w:r>
    <w:r>
      <w:t>PA\1349023ET.docx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PA\1349023ET.docx</w:t>
    </w:r>
    <w:r>
      <w:rPr>
        <w:rStyle w:val="HideTWBExt"/>
      </w:rPr>
      <w:t>&lt;/PathFdR&gt;</w:t>
    </w:r>
    <w:r>
      <w:tab/>
    </w:r>
    <w:r>
      <w:fldChar w:fldCharType="begin"/>
    </w:r>
    <w:r>
      <w:instrText xml:space="preserve"> PAGE </w:instrText>
    </w:r>
    <w:r>
      <w:fldChar w:fldCharType="separate"/>
    </w:r>
    <w:r>
      <w:t>17</w:t>
    </w:r>
    <w:r>
      <w:fldChar w:fldCharType="end"/>
    </w:r>
    <w:r>
      <w:t>/</w:t>
    </w:r>
    <w:r>
      <w:fldChar w:fldCharType="begin"/>
    </w:r>
    <w:r>
      <w:instrText xml:space="preserve"> NUMPAGES </w:instrText>
    </w:r>
    <w:r>
      <w:fldChar w:fldCharType="separate"/>
    </w:r>
    <w:r>
      <w:t>18</w:t>
    </w:r>
    <w:r>
      <w:fldChar w:fldCharType="end"/>
    </w:r>
    <w:r>
      <w:tab/>
    </w:r>
    <w:r>
      <w:t>PE</w:t>
    </w:r>
    <w:r>
      <w:rPr>
        <w:rStyle w:val="HideTWBExt"/>
      </w:rPr>
      <w:t>&lt;NoPE&gt;</w:t>
    </w:r>
    <w:r>
      <w:t>791.905</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PA\1349023ET.docx</w:t>
    </w:r>
    <w:r>
      <w:rPr>
        <w:rStyle w:val="HideTWBExt"/>
      </w:rPr>
      <w:t>&lt;/PathFdR&gt;</w:t>
    </w:r>
    <w:r>
      <w:tab/>
    </w:r>
    <w:r>
      <w:tab/>
    </w:r>
    <w:r>
      <w:t>PE</w:t>
    </w:r>
    <w:r>
      <w:rPr>
        <w:rStyle w:val="HideTWBExt"/>
      </w:rPr>
      <w:t>&lt;NoPE&gt;</w:t>
    </w:r>
    <w:r>
      <w:t>791.905</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Euroopa Parlamendi, Euroopa Liidu Nõukogu ja Euroopa Komisjoni 20. mai 2021. aasta institutsioonidevaheline kokkulepe kohustusliku läbipaistvusregistri kohta (ELT L 207, 11.6.2021, lk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Pages>
  <Words>2318</Words>
  <Characters>18912</Characters>
  <Application>Microsoft Office Word</Application>
  <DocSecurity>0</DocSecurity>
  <Lines>1</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1349023</vt:lpwstr>
  </property>
  <property fmtid="{D5CDD505-2E9C-101B-9397-08002B2CF9AE}" pid="4" name="&lt;Model&gt;">
    <vt:lpwstr>PA_NonLeg</vt:lpwstr>
  </property>
  <property fmtid="{D5CDD505-2E9C-101B-9397-08002B2CF9AE}" pid="5" name="&lt;Type&gt;">
    <vt:lpwstr>PA</vt:lpwstr>
  </property>
  <property fmtid="{D5CDD505-2E9C-101B-9397-08002B2CF9AE}" pid="6" name="dmxml.render.id">
    <vt:lpwstr>627540</vt:lpwstr>
  </property>
  <property fmtid="{D5CDD505-2E9C-101B-9397-08002B2CF9AE}" pid="7" name="dmxml.render.traceId">
    <vt:lpwstr>6ab38ebd954184434e09cddad52b5920</vt:lpwstr>
  </property>
  <property fmtid="{D5CDD505-2E9C-101B-9397-08002B2CF9AE}" pid="8" name="FooterPath">
    <vt:lpwstr>PA\1349023ET.doc</vt:lpwstr>
  </property>
  <property fmtid="{D5CDD505-2E9C-101B-9397-08002B2CF9AE}" pid="9" name="PE Number">
    <vt:lpwstr>791.905</vt:lpwstr>
  </property>
  <property fmtid="{D5CDD505-2E9C-101B-9397-08002B2CF9AE}" pid="10" name="UID">
    <vt:lpwstr>eu.europa.europarl-DIN1-2026-0000238738_01.24-et-01.00_text-xml</vt:lpwstr>
  </property>
</Properties>
</file>