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4" o:title=""/>
                </v:shape>
              </w:pict>
            </w:r>
          </w:p>
        </w:tc>
      </w:tr>
    </w:tbl>
    <w:p>
      <w:pPr>
        <w:pStyle w:val="LineTop"/>
      </w:pPr>
      <w:r>
        <w:t xml:space="preserve"> </w:t>
      </w:r>
    </w:p>
    <w:p>
      <w:pPr>
        <w:pStyle w:val="EPBody"/>
      </w:pPr>
      <w:r>
        <w:rPr>
          <w:rStyle w:val="HideTWBExt"/>
        </w:rPr>
        <w:t>&lt;Commission&gt;</w:t>
      </w:r>
      <w:r>
        <w:rPr>
          <w:rStyle w:val="HideTWBInt"/>
        </w:rPr>
        <w:t>{FEMM}</w:t>
      </w:r>
      <w:r>
        <w:t>Committee on Women’s Rights and Gender Equality</w:t>
      </w:r>
      <w:r>
        <w:rPr>
          <w:rStyle w:val="HideTWBExt"/>
        </w:rPr>
        <w:t>&lt;/Commission&gt;</w:t>
      </w:r>
    </w:p>
    <w:p>
      <w:pPr>
        <w:pStyle w:val="LineBottom"/>
      </w:pPr>
      <w:r>
        <w:t xml:space="preserve"> </w:t>
      </w:r>
    </w:p>
    <w:p>
      <w:pPr>
        <w:pStyle w:val="CoverReference"/>
      </w:pPr>
      <w:r>
        <w:rPr>
          <w:rStyle w:val="HideTWBExt"/>
        </w:rPr>
        <w:t>&lt;RefProc&gt;</w:t>
      </w:r>
      <w:r>
        <w:t>2025/0227</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{24/02/2026}</w:t>
      </w:r>
      <w:r>
        <w:t>24.2.2026</w:t>
      </w:r>
      <w:r>
        <w:rPr>
          <w:rStyle w:val="HideTWBExt"/>
        </w:rPr>
        <w:t>&lt;/Date&gt;</w:t>
      </w:r>
    </w:p>
    <w:p>
      <w:pPr>
        <w:pStyle w:val="CoverDocType24a"/>
      </w:pPr>
      <w:r>
        <w:rPr>
          <w:rStyle w:val="HideTWBExt"/>
        </w:rPr>
        <w:t>&lt;TitreType&gt;</w:t>
      </w:r>
      <w:r>
        <w:t>DRAFT OPINION</w:t>
      </w:r>
      <w:r>
        <w:rPr>
          <w:rStyle w:val="HideTWBExt"/>
        </w:rPr>
        <w:t>&lt;/TitreType&gt;</w:t>
      </w:r>
    </w:p>
    <w:p>
      <w:pPr>
        <w:pStyle w:val="CoverNormal24a"/>
      </w:pPr>
      <w:r>
        <w:rPr>
          <w:rStyle w:val="HideTWBExt"/>
        </w:rPr>
        <w:t>&lt;CommissionResp&gt;</w:t>
      </w:r>
      <w:r>
        <w:t>of the Committee on Women’s Rights and Gender Equality</w:t>
      </w:r>
      <w:r>
        <w:rPr>
          <w:rStyle w:val="HideTWBExt"/>
        </w:rPr>
        <w:t>&lt;/CommissionResp&gt;</w:t>
      </w:r>
    </w:p>
    <w:p>
      <w:pPr>
        <w:pStyle w:val="CoverNormal24a"/>
      </w:pPr>
      <w:r>
        <w:rPr>
          <w:rStyle w:val="HideTWBExt"/>
        </w:rPr>
        <w:t>&lt;CommissionInt&gt;</w:t>
      </w:r>
      <w:r>
        <w:t>for the Committee on Foreign Affairs and the Committee on Development</w:t>
      </w:r>
      <w:r>
        <w:rPr>
          <w:rStyle w:val="HideTWBExt"/>
        </w:rPr>
        <w:t>&lt;/CommissionInt&gt;</w:t>
      </w:r>
    </w:p>
    <w:p>
      <w:pPr>
        <w:pStyle w:val="CoverNormal"/>
      </w:pPr>
      <w:r>
        <w:rPr>
          <w:rStyle w:val="HideTWBExt"/>
        </w:rPr>
        <w:t>&lt;Titre&gt;</w:t>
      </w:r>
      <w:r>
        <w:t>on the proposal for a Regulation of the European Parliament and of the Council establishing Global Europe</w:t>
      </w:r>
      <w:r>
        <w:rPr>
          <w:rStyle w:val="HideTWBExt"/>
        </w:rPr>
        <w:t>&lt;/Titre&gt;</w:t>
      </w:r>
    </w:p>
    <w:p>
      <w:pPr>
        <w:pStyle w:val="CoverNormal24a"/>
      </w:pPr>
      <w:r>
        <w:rPr>
          <w:rStyle w:val="HideTWBExt"/>
        </w:rPr>
        <w:t>&lt;DocRef&gt;</w:t>
      </w:r>
      <w:r>
        <w:t>(COM(2025)0551 – C10-0175/2025 – 2025/0227(COD))</w:t>
      </w:r>
      <w:r>
        <w:rPr>
          <w:rStyle w:val="HideTWBExt"/>
        </w:rPr>
        <w:t>&lt;/DocRef&gt;</w:t>
      </w:r>
    </w:p>
    <w:p>
      <w:pPr>
        <w:pStyle w:val="CoverNormal24a"/>
      </w:pPr>
      <w:r>
        <w:t>Rapporteur for opinion</w:t>
      </w:r>
      <w:r>
        <w:t xml:space="preserve">: </w:t>
      </w:r>
      <w:r>
        <w:rPr>
          <w:rStyle w:val="HideTWBExt"/>
        </w:rPr>
        <w:t>&lt;Depute&gt;</w:t>
      </w:r>
      <w:r>
        <w:t>Abir Al-Sahlani</w:t>
      </w:r>
      <w:r>
        <w:rPr>
          <w:rStyle w:val="HideTWBExt"/>
        </w:rPr>
        <w:t>&lt;/Depute&gt;</w:t>
      </w:r>
    </w:p>
    <w:p>
      <w:r>
        <w:br w:type="page"/>
      </w:r>
      <w:r>
        <w:t>PA_Legam</w:t>
      </w:r>
    </w:p>
    <w:p>
      <w:pPr>
        <w:sectPr>
          <w:footerReference w:type="even" r:id="rId5"/>
          <w:footerReference w:type="default" r:id="rId6"/>
          <w:footerReference w:type="first" r:id="rId7"/>
          <w:pgSz w:w="11909" w:h="16834"/>
          <w:pgMar w:top="1134" w:right="1417" w:bottom="1417" w:left="1417" w:header="1134" w:footer="567"/>
          <w:cols w:space="720"/>
          <w:titlePg/>
        </w:sectPr>
      </w:pPr>
    </w:p>
    <w:p>
      <w:pPr>
        <w:pStyle w:val="PageHeadingNotTOC"/>
      </w:pPr>
      <w:r>
        <w:t>AMENDMENTS</w:t>
      </w:r>
    </w:p>
    <w:p>
      <w:pPr>
        <w:pStyle w:val="Normal12a"/>
      </w:pPr>
      <w:r>
        <w:t>The Committee on Women’s Rights and Gender Equality</w:t>
      </w:r>
      <w:r>
        <w:t xml:space="preserve"> </w:t>
      </w:r>
      <w:r>
        <w:t>submits the following to the Committee on Foreign Affairs and the Committee on Development, as the committees responsible</w:t>
      </w:r>
      <w:r>
        <w:t xml:space="preserve"> </w:t>
      </w:r>
      <w:r>
        <w:t>:</w:t>
      </w:r>
    </w:p>
    <w:p>
      <w:pPr>
        <w:pStyle w:val="AmNumberTabs"/>
      </w:pP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This Regulation aims at establishing the programme Global Europe (the ‘Instrument’) with a view to upholding and promoting the Union’s values, principles and interests worldwide in order to pursue the objectives and principles of the Union’s external action, as laid down in Article 3(5) and Articles 8 and 21 of the Treaty on European Union (TEU).</w:t>
            </w:r>
          </w:p>
        </w:tc>
        <w:tc>
          <w:tcPr>
            <w:tcW w:w="4876" w:type="dxa"/>
            <w:tcBorders>
              <w:top w:val="nil"/>
              <w:left w:val="nil"/>
              <w:bottom w:val="nil"/>
              <w:right w:val="nil"/>
            </w:tcBorders>
          </w:tcPr>
          <w:p>
            <w:pPr>
              <w:pStyle w:val="Normal6a"/>
            </w:pPr>
            <w:r>
              <w:t>(1)</w:t>
            </w:r>
            <w:r>
              <w:tab/>
            </w:r>
            <w:r>
              <w:t xml:space="preserve">This Regulation aims at establishing the programme Global Europe (the ‘Instrument’) with a view to upholding and promoting the Union’s values, principles and interests worldwide in order to pursue the objectives and principles of the Union’s external action, as laid down in Article 3(5) and Articles 8 and 21 of the Treaty on European Union (TEU) </w:t>
            </w:r>
            <w:r>
              <w:rPr>
                <w:b/>
                <w:i/>
              </w:rPr>
              <w:t>and Article 208 of the Treaty on the Functioning of the European Union (TFEU)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The implementation of the Instrument should be guided by the Strategic Agendas of the European Council, relevant European Parliament resolutions and the Political Guidelines of the Commission, which set the Union’s vision, strategic orientations and priorities. While leveraging the Union’s power and partnerships, the external action implemented under the Instrument should protect and promote Union values, strengthen peace and security and bolster preparedness, prosperity and competitiveness of the Union. To advance the Union’s priorities and interests in its external action, the Union should work in partnership with partner countries and international organisations.</w:t>
            </w:r>
          </w:p>
        </w:tc>
        <w:tc>
          <w:tcPr>
            <w:tcW w:w="4876" w:type="dxa"/>
            <w:tcBorders>
              <w:top w:val="nil"/>
              <w:left w:val="nil"/>
              <w:bottom w:val="nil"/>
              <w:right w:val="nil"/>
            </w:tcBorders>
          </w:tcPr>
          <w:p>
            <w:pPr>
              <w:pStyle w:val="Normal6a"/>
            </w:pPr>
            <w:r>
              <w:t>(4)</w:t>
            </w:r>
            <w:r>
              <w:tab/>
            </w:r>
            <w:r>
              <w:t xml:space="preserve">The implementation of the Instrument should be guided by the Strategic Agendas of the European Council, relevant European Parliament resolutions and the Political Guidelines of the Commission, which set the Union’s vision, strategic orientations and priorities. While leveraging the Union’s power and partnerships, the external action implemented under the Instrument should protect and promote Union values, </w:t>
            </w:r>
            <w:r>
              <w:rPr>
                <w:b/>
                <w:i/>
              </w:rPr>
              <w:t>support sustainable development and the eradication of poverty,</w:t>
            </w:r>
            <w:r>
              <w:t xml:space="preserve"> strengthen peace and security and bolster preparedness, prosperity and competitiveness of the Union. To advance the Union’s priorities and interests in its external action, the Union should work in partnership with partner countries and international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The implementation of the Instrument should also be guided by the European Consensus on Development of 8 June 2017 (the ‘Consensus’) which provides the framework for a common approach to development cooperation by the Union and its Member States to implement the 2030 Agenda and the Addis Ababa Action Agenda. Eradicating poverty, tackling discrimination and inequalities, including promoting gender equality and women's rights, leaving no one behind, protecting the environment and fighting climate change, and strengthening resilience are at the heart of development cooperation policy and should underpin the implementation of the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Crisis, peace and foreign policy needs should include actions allowing the Union to respond to exceptional and unforeseen situations or imperative foreign policy interest, including where there is a threat to peace, democracy, law and order, the protection of human rights and fundamental freedoms. Those actions should be designed for an effective, efficient, integrated and conflict-sensitive Union response to achieve peace, stability and conflict-prevention in situations of urgency, crisis, fragility, hybrid threats, emerging crisis or natural disasters including the security </w:t>
            </w:r>
            <w:r>
              <w:rPr>
                <w:b/>
                <w:i/>
              </w:rPr>
              <w:t>and</w:t>
            </w:r>
            <w:r>
              <w:t xml:space="preserve"> safety of individuals, in particular those exposed to </w:t>
            </w:r>
            <w:r>
              <w:rPr>
                <w:b/>
                <w:i/>
              </w:rPr>
              <w:t>sexual and</w:t>
            </w:r>
            <w:r>
              <w:t xml:space="preserve"> gender-based violence, in situations of instability; or threatening to escalate into armed conflict or to severely destabilise the partner country or countries concerned. They should also support innovative initiatives to address foreign policy needs across political, economic and security issues and enable the Union to act where there is a window of opportunity to achieve its objectives, which are difficult to address by other means.</w:t>
            </w:r>
          </w:p>
        </w:tc>
        <w:tc>
          <w:tcPr>
            <w:tcW w:w="4876" w:type="dxa"/>
            <w:tcBorders>
              <w:top w:val="nil"/>
              <w:left w:val="nil"/>
              <w:bottom w:val="nil"/>
              <w:right w:val="nil"/>
            </w:tcBorders>
          </w:tcPr>
          <w:p>
            <w:pPr>
              <w:pStyle w:val="Normal6a"/>
            </w:pPr>
            <w:r>
              <w:t>(13)</w:t>
            </w:r>
            <w:r>
              <w:tab/>
            </w:r>
            <w:r>
              <w:t xml:space="preserve">Crisis, peace and foreign policy needs should include actions allowing the Union to respond to exceptional and unforeseen situations or imperative foreign policy interest, including where there is a threat to peace, democracy, law and order, the protection of human rights and fundamental freedoms. Those actions should be designed for an effective, efficient, integrated and conflict-sensitive Union response to achieve peace, stability and conflict-prevention in situations of urgency, crisis, fragility, hybrid threats, emerging crisis or natural disasters including </w:t>
            </w:r>
            <w:r>
              <w:rPr>
                <w:b/>
                <w:i/>
              </w:rPr>
              <w:t>by promoting the women, peace and security agenda, and addressing</w:t>
            </w:r>
            <w:r>
              <w:t xml:space="preserve"> the security</w:t>
            </w:r>
            <w:r>
              <w:rPr>
                <w:b/>
                <w:i/>
              </w:rPr>
              <w:t>,</w:t>
            </w:r>
            <w:r>
              <w:t xml:space="preserve"> safety </w:t>
            </w:r>
            <w:r>
              <w:rPr>
                <w:b/>
                <w:i/>
              </w:rPr>
              <w:t>and protection risks</w:t>
            </w:r>
            <w:r>
              <w:t xml:space="preserve"> of individuals, in particular those exposed to gender-based violence, in situations of instability; or threatening to escalate into armed conflict or to severely destabilise the partner country or countries concerned. They should also support innovative initiatives to address foreign policy needs across political, economic and security issues and enable the Union to act where there is a window of opportunity to achieve its objectives, which are difficult to address by other means.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Union action should promote respect for and be rooted in international human rights law, including the Universal Declaration of Human Rights adopted by the United Nations General Assembly on 10 December 1948, and in international humanitarian law, and should be guided by the universality and indivisibility of human rights.</w:t>
            </w:r>
          </w:p>
        </w:tc>
        <w:tc>
          <w:tcPr>
            <w:tcW w:w="4876" w:type="dxa"/>
            <w:tcBorders>
              <w:top w:val="nil"/>
              <w:left w:val="nil"/>
              <w:bottom w:val="nil"/>
              <w:right w:val="nil"/>
            </w:tcBorders>
          </w:tcPr>
          <w:p>
            <w:pPr>
              <w:pStyle w:val="Normal6a"/>
            </w:pPr>
            <w:r>
              <w:t>(16)</w:t>
            </w:r>
            <w:r>
              <w:tab/>
            </w:r>
            <w:r>
              <w:t>Union action should promote respect for and be rooted in international human rights law, including the Universal Declaration of Human Rights adopted by the United Nations General Assembly on 10 December 1948, and in international humanitarian law, and should be guided by the universality and indivisibility of human rights</w:t>
            </w:r>
            <w:r>
              <w:rPr>
                <w:b/>
                <w:i/>
              </w:rPr>
              <w:t>, including women's rights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Article 49 TEU provides that any European state that respects the values of respect for human dignity, freedom, democracy, equality, the rule of law, as well as respect for human rights, including the rights of persons belonging to minorities, and is committed to promoting those values may apply to become a member of the Union. Those values are common to Member States in a society in which pluralism, non-discrimination, tolerance, justice, solidarity, equality </w:t>
            </w:r>
            <w:r>
              <w:rPr>
                <w:b/>
                <w:i/>
              </w:rPr>
              <w:t>between women and men</w:t>
            </w:r>
            <w:r>
              <w:t>, intergenerational fairness and cultural diversity prevail. The enlargement process is built on established criteria, fair and rigorous conditionality and the principle of own merits. A European state which has applied to join the Union can become a member of the Union only when it has been confirmed that it fully meets the accession criteria established at the Copenhagen European Council in June 1993 (the ‘Copenhagen criteria’) and provided that the Union has the capacity to integrate the new member. A firm commitment to ‘fundamentals first’ approach, which requires a strong focus on the rule of law, the fight against organised crime, fundamental rights, the functioning of democratic institutions and public administration reform, as well as on economic criteria, remains essential. Progress depends on each candidate country’s and potential candidate’s implementation of the necessary reforms to align with the Union acquis.</w:t>
            </w:r>
          </w:p>
        </w:tc>
        <w:tc>
          <w:tcPr>
            <w:tcW w:w="4876" w:type="dxa"/>
            <w:tcBorders>
              <w:top w:val="nil"/>
              <w:left w:val="nil"/>
              <w:bottom w:val="nil"/>
              <w:right w:val="nil"/>
            </w:tcBorders>
          </w:tcPr>
          <w:p>
            <w:pPr>
              <w:pStyle w:val="Normal6a"/>
            </w:pPr>
            <w:r>
              <w:t>(17)</w:t>
            </w:r>
            <w:r>
              <w:tab/>
            </w:r>
            <w:r>
              <w:t xml:space="preserve">Article 49 TEU provides that any European state that respects the values of respect for human dignity, freedom, democracy, equality, the rule of law, as well as respect for human rights, including the rights of persons belonging to minorities, and is committed to promoting those values may apply to become a member of the Union. Those values are common to Member States in a society in which pluralism, non-discrimination, tolerance, justice, solidarity, </w:t>
            </w:r>
            <w:r>
              <w:rPr>
                <w:b/>
                <w:i/>
              </w:rPr>
              <w:t>gender</w:t>
            </w:r>
            <w:r>
              <w:t xml:space="preserve"> equality, intergenerational fairness and cultural diversity prevail. The enlargement process is built on established criteria, fair and rigorous conditionality and the principle of own merits. A European state which has applied to join the Union can become a member of the Union only when it has been confirmed that it fully meets the accession criteria established at the Copenhagen European Council in June 1993 (the ‘Copenhagen criteria’) and provided that the Union has the capacity to integrate the new member. A firm commitment to ‘fundamentals first’ approach, which requires a strong focus on the rule of law, the fight against organised crime, fundamental rights, </w:t>
            </w:r>
            <w:r>
              <w:rPr>
                <w:b/>
                <w:i/>
              </w:rPr>
              <w:t>gender equality,</w:t>
            </w:r>
            <w:r>
              <w:t xml:space="preserve"> the functioning of democratic institutions and public administration reform, as well as on economic criteria, remains essential. Progress depends on each candidate country’s and potential candidate’s implementation of the necessary reforms to align with the Union acquis.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The Union’s international partnerships aim at developing relations and build partnerships with partner countries</w:t>
            </w:r>
            <w:r>
              <w:rPr>
                <w:b/>
                <w:i/>
              </w:rPr>
              <w:t>, notably</w:t>
            </w:r>
            <w:r>
              <w:t xml:space="preserve"> to reduce and, in the long term, eradicate poverty in line with the primary objective of the Union’s development cooperation policy set out in Article 208 TFEU. The Union’s international partnerships also contribute to other objectives of the Union’s external action, in particular to the safeguarding of the Union’s values and fundamental interests, to foster the sustainable economic, social and environmental development of partner countries.</w:t>
            </w:r>
          </w:p>
        </w:tc>
        <w:tc>
          <w:tcPr>
            <w:tcW w:w="4876" w:type="dxa"/>
            <w:tcBorders>
              <w:top w:val="nil"/>
              <w:left w:val="nil"/>
              <w:bottom w:val="nil"/>
              <w:right w:val="nil"/>
            </w:tcBorders>
          </w:tcPr>
          <w:p>
            <w:pPr>
              <w:pStyle w:val="Normal6a"/>
            </w:pPr>
            <w:r>
              <w:t>(23)</w:t>
            </w:r>
            <w:r>
              <w:tab/>
            </w:r>
            <w:r>
              <w:t xml:space="preserve">The Union’s international partnerships aim at developing relations and build partnerships with partner countries to reduce and, in the long term, eradicate poverty in line with the primary objective of the Union’s development cooperation policy set out in Article 208 TFEU. The Union’s international partnerships also contribute to other objectives of the Union’s external action, in particular to the safeguarding of the Union’s values and fundamental interests, to foster the sustainable economic, social and environmental development of partner countries </w:t>
            </w:r>
            <w:r>
              <w:rPr>
                <w:b/>
                <w:i/>
              </w:rPr>
              <w:t>based on the principle of equality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The implementation of the Instrument should support the Global Gateway strategy</w:t>
            </w:r>
            <w:r>
              <w:rPr>
                <w:vertAlign w:val="superscript"/>
              </w:rPr>
              <w:t>10</w:t>
            </w:r>
            <w:r>
              <w:t xml:space="preserve"> , the Union’s external investment strategy to advance the sustainable development goals together with partner countries. As a main pillar of the Union’s economic foreign policy, it aims at boosting the development of secure and quality infrastructure in partner countries to create sustainable prosperity, decent jobs, thereby strengthening connections between the Union and its partners, while also benefiting the EU strategic and economic interests. This strategy leverages investments in secure infrastructure with a focus on digitalisation, climate and energy, transport, health, and education and research. It supports countries which seek to enhance their resilience in a sustainable manner, while strengthening partnerships that are important for the Union’s open strategic autonomy. Global Gateway is also a value-based offer that promotes high social, environmental, governance and financial standards, and upholds democracy, the rule of law and human rights.</w:t>
            </w:r>
          </w:p>
        </w:tc>
        <w:tc>
          <w:tcPr>
            <w:tcW w:w="4876" w:type="dxa"/>
            <w:tcBorders>
              <w:top w:val="nil"/>
              <w:left w:val="nil"/>
              <w:bottom w:val="nil"/>
              <w:right w:val="nil"/>
            </w:tcBorders>
          </w:tcPr>
          <w:p>
            <w:pPr>
              <w:pStyle w:val="Normal6a"/>
            </w:pPr>
            <w:r>
              <w:t>(24)</w:t>
            </w:r>
            <w:r>
              <w:tab/>
            </w:r>
            <w:r>
              <w:t>The implementation of the Instrument should support the Global Gateway strategy</w:t>
            </w:r>
            <w:r>
              <w:rPr>
                <w:vertAlign w:val="superscript"/>
              </w:rPr>
              <w:t>10</w:t>
            </w:r>
            <w:r>
              <w:t xml:space="preserve"> , the Union’s external investment strategy to advance the sustainable development goals together with partner countries. As a main pillar of the Union’s economic foreign policy, it aims at boosting the development of secure and quality infrastructure in partner countries to create sustainable prosperity, decent jobs, thereby strengthening connections between the Union and its partners, while also benefiting the EU strategic and economic interests. This strategy leverages investments in secure infrastructure with a focus on digitalisation, climate and energy, transport, health, and education and research. It supports countries which seek to enhance their resilience in a sustainable manner, while strengthening partnerships that are important for the Union’s open strategic autonomy. Global Gateway is also a value-based offer that promotes high social, environmental, governance and financial standards, and upholds democracy, the rule of law</w:t>
            </w:r>
            <w:r>
              <w:rPr>
                <w:b/>
                <w:i/>
              </w:rPr>
              <w:t>, gender equality</w:t>
            </w:r>
            <w:r>
              <w:t xml:space="preserve"> and human rights.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Joint Communication (JOIN/2021/30 final) to the European Parliament, the Council, the European Economic and Social Committee, the Committee of the Regions and the European Investment Bank - The Global Gateway.</w:t>
            </w:r>
          </w:p>
        </w:tc>
        <w:tc>
          <w:tcPr>
            <w:tcW w:w="4876" w:type="dxa"/>
            <w:tcBorders>
              <w:top w:val="nil"/>
              <w:left w:val="nil"/>
              <w:bottom w:val="nil"/>
              <w:right w:val="nil"/>
            </w:tcBorders>
          </w:tcPr>
          <w:p>
            <w:pPr>
              <w:pStyle w:val="Normal6a"/>
            </w:pPr>
            <w:r>
              <w:rPr>
                <w:vertAlign w:val="superscript"/>
              </w:rPr>
              <w:t>10</w:t>
            </w:r>
            <w:r>
              <w:t xml:space="preserve"> </w:t>
            </w:r>
            <w:r>
              <w:t>Joint Communication (JOIN/2021/30 final) to the European Parliament, the Council, the European Economic and Social Committee, the Committee of the Regions and the European Investment Bank - The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26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The Instrument should ensure the full implementation of the women, peace and security agenda as established by the United Nations Security Council resolution 1325 (2000) and subsequent resolutions through transformative measures to counter the worldwide backlash against gender equality and women and girls’ rights and the declining security and safety for women and girls, with increasing reprisals, violence, threats and attacks against women and girls, both offline and online, in particular targeting women human rights defenders, women journalists, women peacebuilders, women’s organisations, politically active women, women forced into displacement and migration, and all other women and girls in conflict and crisis affected settings.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The Instrument should strengthen democratic resilience in partner countries, including by countering foreign information manipulation and interference, empowering free and pluralistic media, promoting citizens’ engagement, ensuring the fairness and integrity of electoral and other democratic processes, and by engaging in public diplomacy activities.</w:t>
            </w:r>
          </w:p>
        </w:tc>
        <w:tc>
          <w:tcPr>
            <w:tcW w:w="4876" w:type="dxa"/>
            <w:tcBorders>
              <w:top w:val="nil"/>
              <w:left w:val="nil"/>
              <w:bottom w:val="nil"/>
              <w:right w:val="nil"/>
            </w:tcBorders>
          </w:tcPr>
          <w:p>
            <w:pPr>
              <w:pStyle w:val="Normal6a"/>
            </w:pPr>
            <w:r>
              <w:t>(27)</w:t>
            </w:r>
            <w:r>
              <w:tab/>
            </w:r>
            <w:r>
              <w:t xml:space="preserve">The Instrument should strengthen democratic resilience in partner countries, including by countering foreign information manipulation and interference, empowering free and pluralistic media, promoting citizens’ engagement </w:t>
            </w:r>
            <w:r>
              <w:rPr>
                <w:b/>
                <w:i/>
              </w:rPr>
              <w:t>and an inclusive civil society</w:t>
            </w:r>
            <w:r>
              <w:t>, ensuring the fairness and integrity of electoral and other democratic processes, and by engaging in public diplomacy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In a global context where the Union is confronted with high geopolitical and geoeconomic competition, marked by global challenges, ranging from climate change and biodiversity loss to tensions around scarce resources, technological dependencies, continuing migratory pressure or economic and trade disruptions, in addition to security threats </w:t>
            </w:r>
            <w:r>
              <w:rPr>
                <w:b/>
                <w:i/>
              </w:rPr>
              <w:t>and</w:t>
            </w:r>
            <w:r>
              <w:t xml:space="preserve"> fragility, external action has to continuously and rapidly react to emerging needs, as well as to act to advance strategic priorities, in order to effectively pursue the Union’s and partners’ priorities. To increase the ability of the Union to respond to unforeseen needs and adapt its partnerships to emerging priorities, building on the experience of the European Development Funds and Regulation (EU) 2021/947, an amount should be left unallocated as an emerging challenges and priorities cushion. It should be mobilised in accordance with the procedures established in this Regulation.</w:t>
            </w:r>
          </w:p>
        </w:tc>
        <w:tc>
          <w:tcPr>
            <w:tcW w:w="4876" w:type="dxa"/>
            <w:tcBorders>
              <w:top w:val="nil"/>
              <w:left w:val="nil"/>
              <w:bottom w:val="nil"/>
              <w:right w:val="nil"/>
            </w:tcBorders>
          </w:tcPr>
          <w:p>
            <w:pPr>
              <w:pStyle w:val="Normal6a"/>
            </w:pPr>
            <w:r>
              <w:t>(41)</w:t>
            </w:r>
            <w:r>
              <w:tab/>
            </w:r>
            <w:r>
              <w:t>In a global context where the Union is confronted with high geopolitical and geoeconomic competition, marked by global challenges, ranging from climate change and biodiversity loss to tensions around scarce resources, technological dependencies, continuing migratory pressure or economic and trade disruptions, in addition to security threats</w:t>
            </w:r>
            <w:r>
              <w:rPr>
                <w:b/>
                <w:i/>
              </w:rPr>
              <w:t>,</w:t>
            </w:r>
            <w:r>
              <w:t xml:space="preserve"> fragility </w:t>
            </w:r>
            <w:r>
              <w:rPr>
                <w:b/>
                <w:i/>
              </w:rPr>
              <w:t>and humanitarian crisis, as well as democratic backsliding and push back on core values such as gender equality</w:t>
            </w:r>
            <w:r>
              <w:t>, external action has to continuously and rapidly react to emerging needs, as well as to act to advance strategic priorities, in order to effectively pursue the Union’s and partners’ priorities. To increase the ability of the Union to respond to unforeseen needs and adapt its partnerships to emerging priorities, building on the experience of the European Development Funds and Regulation (EU) 2021/947, an amount should be left unallocated as an emerging challenges and priorities cushion. It should be mobilised in accordance with the procedures established in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The Union should foster close consultation with local authorities and civil society, as well as support their participation in contributing to sustainable development and to the implementation of the sustainable development goals at local level. The Union should also support an enabling environment for civil society, in which these organisations can carry out their work effectively. The Instrument should provide Union support to civil society organisations and local authorities in order to pursue the values, interests and objectives of the Union. Civil society organisations and local authorities should be duly consulted and have timely access to relevant information allowing them to be adequately engaged.</w:t>
            </w:r>
          </w:p>
        </w:tc>
        <w:tc>
          <w:tcPr>
            <w:tcW w:w="4876" w:type="dxa"/>
            <w:tcBorders>
              <w:top w:val="nil"/>
              <w:left w:val="nil"/>
              <w:bottom w:val="nil"/>
              <w:right w:val="nil"/>
            </w:tcBorders>
          </w:tcPr>
          <w:p>
            <w:pPr>
              <w:pStyle w:val="Normal6a"/>
            </w:pPr>
            <w:r>
              <w:t>(46)</w:t>
            </w:r>
            <w:r>
              <w:tab/>
            </w:r>
            <w:r>
              <w:t xml:space="preserve">The Union should foster close consultation </w:t>
            </w:r>
            <w:r>
              <w:rPr>
                <w:b/>
                <w:i/>
              </w:rPr>
              <w:t>and meaningful partnerships</w:t>
            </w:r>
            <w:r>
              <w:t xml:space="preserve"> with local authorities and civil society, as well as support their participation in contributing to sustainable development and to the implementation of the sustainable development goals at local level</w:t>
            </w:r>
            <w:r>
              <w:rPr>
                <w:b/>
                <w:i/>
              </w:rPr>
              <w:t>, through allocating adequate budget for programmable actions dedicated to civil society organisations, including women's rights organisations</w:t>
            </w:r>
            <w:r>
              <w:t xml:space="preserve">. The Union should also support an enabling environment for civil society, in which these organisations can carry out their work effectively. The Instrument should provide Union support to civil society organisations and local authorities in order to pursue the values, interests and objectives of the Union. Civil society organisations and local authorities should be duly consulted and have timely access to relevant information allowing them to </w:t>
            </w:r>
            <w:r>
              <w:rPr>
                <w:b/>
                <w:i/>
              </w:rPr>
              <w:t>inform priorities and</w:t>
            </w:r>
            <w:r>
              <w:t xml:space="preserve"> be adequately </w:t>
            </w:r>
            <w:r>
              <w:rPr>
                <w:b/>
                <w:i/>
              </w:rPr>
              <w:t>and meaningfully</w:t>
            </w:r>
            <w:r>
              <w:t xml:space="preserve"> engaged </w:t>
            </w:r>
            <w:r>
              <w:rPr>
                <w:b/>
                <w:i/>
              </w:rPr>
              <w:t>at all stages of a program process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The implementation of the Instrument should be guided by the principles of gender equality, women and girls’ </w:t>
            </w:r>
            <w:r>
              <w:rPr>
                <w:b/>
                <w:i/>
              </w:rPr>
              <w:t>empowerment and of preventing and combating violence against women and domestic violence</w:t>
            </w:r>
            <w:r>
              <w:t xml:space="preserve"> and should seek to protect </w:t>
            </w:r>
            <w:r>
              <w:rPr>
                <w:b/>
                <w:i/>
              </w:rPr>
              <w:t>and</w:t>
            </w:r>
            <w:r>
              <w:t xml:space="preserve"> promote women’s rights in line with the Roadmap on Women’s Rights</w:t>
            </w:r>
            <w:r>
              <w:rPr>
                <w:vertAlign w:val="superscript"/>
              </w:rPr>
              <w:t>26</w:t>
            </w:r>
            <w:r>
              <w:t xml:space="preserve"> , Gender Equality Strategy</w:t>
            </w:r>
            <w:r>
              <w:rPr>
                <w:vertAlign w:val="superscript"/>
              </w:rPr>
              <w:t>27</w:t>
            </w:r>
            <w:r>
              <w:t xml:space="preserve"> , EU Gender Action Plans, relevant Council conclusions and international conventions, including the Istanbul Convention on violence against women</w:t>
            </w:r>
            <w:r>
              <w:rPr>
                <w:vertAlign w:val="superscript"/>
              </w:rPr>
              <w:t>28</w:t>
            </w:r>
            <w:r>
              <w:t xml:space="preserve"> . Strengthening gender equality and women’s </w:t>
            </w:r>
            <w:r>
              <w:rPr>
                <w:b/>
                <w:i/>
              </w:rPr>
              <w:t>empowerment</w:t>
            </w:r>
            <w:r>
              <w:t xml:space="preserve"> in the Union’s external action and </w:t>
            </w:r>
            <w:r>
              <w:rPr>
                <w:b/>
                <w:i/>
              </w:rPr>
              <w:t>increasing efforts to reach</w:t>
            </w:r>
            <w:r>
              <w:t xml:space="preserve"> the minimum standards of performance indicated by the EU Gender Action Plans should lead to a gender </w:t>
            </w:r>
            <w:r>
              <w:rPr>
                <w:b/>
                <w:i/>
              </w:rPr>
              <w:t>sensitive</w:t>
            </w:r>
            <w:r>
              <w:t xml:space="preserve"> and transformative approach in all Union external action and international cooperation. Gender equality and women’s and girls’ </w:t>
            </w:r>
            <w:r>
              <w:rPr>
                <w:b/>
                <w:i/>
              </w:rPr>
              <w:t>empowerment</w:t>
            </w:r>
            <w:r>
              <w:t xml:space="preserve"> should be mainstreamed under the Instrument and adequately reflected across all the actions.</w:t>
            </w:r>
          </w:p>
        </w:tc>
        <w:tc>
          <w:tcPr>
            <w:tcW w:w="4876" w:type="dxa"/>
            <w:tcBorders>
              <w:top w:val="nil"/>
              <w:left w:val="nil"/>
              <w:bottom w:val="nil"/>
              <w:right w:val="nil"/>
            </w:tcBorders>
          </w:tcPr>
          <w:p>
            <w:pPr>
              <w:pStyle w:val="Normal6a"/>
            </w:pPr>
            <w:r>
              <w:t>(47)</w:t>
            </w:r>
            <w:r>
              <w:tab/>
            </w:r>
            <w:r>
              <w:t xml:space="preserve">The implementation of the Instrument should be guided by the principles of gender equality, women and girls’ </w:t>
            </w:r>
            <w:r>
              <w:rPr>
                <w:b/>
                <w:i/>
              </w:rPr>
              <w:t>rights</w:t>
            </w:r>
            <w:r>
              <w:t xml:space="preserve"> and should seek to protect</w:t>
            </w:r>
            <w:r>
              <w:rPr>
                <w:b/>
                <w:i/>
              </w:rPr>
              <w:t>,</w:t>
            </w:r>
            <w:r>
              <w:t xml:space="preserve"> promote </w:t>
            </w:r>
            <w:r>
              <w:rPr>
                <w:b/>
                <w:i/>
              </w:rPr>
              <w:t>and fulfil</w:t>
            </w:r>
            <w:r>
              <w:t xml:space="preserve"> women’s rights in line with </w:t>
            </w:r>
            <w:r>
              <w:rPr>
                <w:b/>
                <w:i/>
              </w:rPr>
              <w:t>international commitments, such as the Convention on the Elimination of All Forms of Discrimination against Women and the full and effective implementation of the Beijing Declaration and the Platform for Action and the outcome of the review conferences, including commitments on sexual and reproductive health and rights, and UN Security Council resolution 1325 and subsequent resolutions and commitments outlined in</w:t>
            </w:r>
            <w:r>
              <w:t xml:space="preserve"> the Roadmap on Women’s Rights</w:t>
            </w:r>
            <w:r>
              <w:rPr>
                <w:vertAlign w:val="superscript"/>
              </w:rPr>
              <w:t>26</w:t>
            </w:r>
            <w:r>
              <w:t>, Gender Equality Strategy</w:t>
            </w:r>
            <w:r>
              <w:rPr>
                <w:vertAlign w:val="superscript"/>
              </w:rPr>
              <w:t>27</w:t>
            </w:r>
            <w:r>
              <w:t xml:space="preserve"> , EU Gender Action Plans</w:t>
            </w:r>
            <w:r>
              <w:rPr>
                <w:b/>
                <w:i/>
              </w:rPr>
              <w:t>, including the EU Action Plan on Women, Peace and Security</w:t>
            </w:r>
            <w:r>
              <w:t>, relevant Council conclusions and international conventions, including the Istanbul Convention on violence against women</w:t>
            </w:r>
            <w:r>
              <w:rPr>
                <w:vertAlign w:val="superscript"/>
              </w:rPr>
              <w:t>28</w:t>
            </w:r>
            <w:r>
              <w:t xml:space="preserve"> . </w:t>
            </w:r>
            <w:r>
              <w:rPr>
                <w:b/>
                <w:i/>
              </w:rPr>
              <w:t>The implementation should prevent and combat all forms of gender-based violence, including conflict-related sexual violence and address and prevent multiple and intersecting forms of discrimination.</w:t>
            </w:r>
            <w:r>
              <w:t xml:space="preserve"> Strengthening </w:t>
            </w:r>
            <w:r>
              <w:rPr>
                <w:b/>
                <w:i/>
              </w:rPr>
              <w:t>targeted and mainstreamed actions on</w:t>
            </w:r>
            <w:r>
              <w:t xml:space="preserve"> gender equality and women’s </w:t>
            </w:r>
            <w:r>
              <w:rPr>
                <w:b/>
                <w:i/>
              </w:rPr>
              <w:t>rights</w:t>
            </w:r>
            <w:r>
              <w:t xml:space="preserve"> in the Union’s external action and </w:t>
            </w:r>
            <w:r>
              <w:rPr>
                <w:b/>
                <w:i/>
              </w:rPr>
              <w:t>reaching</w:t>
            </w:r>
            <w:r>
              <w:t xml:space="preserve"> the minimum standards of performance indicated by the EU Gender Action Plans</w:t>
            </w:r>
            <w:r>
              <w:rPr>
                <w:b/>
                <w:i/>
              </w:rPr>
              <w:t>, including spending targets,</w:t>
            </w:r>
            <w:r>
              <w:t xml:space="preserve"> should lead to a gender </w:t>
            </w:r>
            <w:r>
              <w:rPr>
                <w:b/>
                <w:i/>
              </w:rPr>
              <w:t>responsive</w:t>
            </w:r>
            <w:r>
              <w:t xml:space="preserve"> and transformative approach in all Union external action and international cooperation</w:t>
            </w:r>
            <w:r>
              <w:rPr>
                <w:b/>
                <w:i/>
              </w:rPr>
              <w:t>, critical to achieving sustainable development and peace and security</w:t>
            </w:r>
            <w:r>
              <w:t xml:space="preserve">. Gender equality and women’s and girls’ </w:t>
            </w:r>
            <w:r>
              <w:rPr>
                <w:b/>
                <w:i/>
              </w:rPr>
              <w:t>rights</w:t>
            </w:r>
            <w:r>
              <w:t xml:space="preserve"> should be mainstreamed under the Instrument and adequately reflected across all the actions.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t>Communication (COM/2025/97 final) from the Commission to the European Parliament, the Council, the European Economic and Social Committee and the Committee of the Regions - A Roadmap for Women's Rights.</w:t>
            </w:r>
          </w:p>
        </w:tc>
        <w:tc>
          <w:tcPr>
            <w:tcW w:w="4876" w:type="dxa"/>
            <w:tcBorders>
              <w:top w:val="nil"/>
              <w:left w:val="nil"/>
              <w:bottom w:val="nil"/>
              <w:right w:val="nil"/>
            </w:tcBorders>
          </w:tcPr>
          <w:p>
            <w:pPr>
              <w:pStyle w:val="Normal6a"/>
            </w:pPr>
            <w:r>
              <w:rPr>
                <w:vertAlign w:val="superscript"/>
              </w:rPr>
              <w:t>26</w:t>
            </w:r>
            <w:r>
              <w:t xml:space="preserve"> </w:t>
            </w:r>
            <w:r>
              <w:t>Communication (COM/2025/97 final) from the Commission to the European Parliament, the Council, the European Economic and Social Committee and the Committee of the Regions - A Roadmap for Women's Rights.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27</w:t>
            </w:r>
            <w:r>
              <w:t xml:space="preserve"> </w:t>
            </w:r>
            <w:r>
              <w:t>Communication (COM/2020/152 final) from the Commission to the European Parliament, the Council, the European Economic and Social Committee and the Committee of the Regions – A Union of Equality: Gender Equality Strategy 2020-2025.</w:t>
            </w:r>
          </w:p>
        </w:tc>
        <w:tc>
          <w:tcPr>
            <w:tcW w:w="4876" w:type="dxa"/>
            <w:tcBorders>
              <w:top w:val="nil"/>
              <w:left w:val="nil"/>
              <w:bottom w:val="nil"/>
              <w:right w:val="nil"/>
            </w:tcBorders>
          </w:tcPr>
          <w:p>
            <w:pPr>
              <w:pStyle w:val="Normal6a"/>
            </w:pPr>
            <w:r>
              <w:rPr>
                <w:vertAlign w:val="superscript"/>
              </w:rPr>
              <w:t>27</w:t>
            </w:r>
            <w:r>
              <w:t xml:space="preserve"> </w:t>
            </w:r>
            <w:r>
              <w:t>Communication (COM/2020/152 final) from the Commission to the European Parliament, the Council, the European Economic and Social Committee and the Committee of the Regions – A Union of Equality: Gender Equality Strategy 2020-2025.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28</w:t>
            </w:r>
            <w:r>
              <w:t xml:space="preserve"> </w:t>
            </w:r>
            <w:r>
              <w:t>“Council of Europe Convention on preventing and combating violence against women and domestic violence”, (CETS No. 210) entered into force on 1 August 2014, https://www.coe.int/en/web/conventions/full-list?module=treaty-detail&amp;treatynum=210.</w:t>
            </w:r>
          </w:p>
        </w:tc>
        <w:tc>
          <w:tcPr>
            <w:tcW w:w="4876" w:type="dxa"/>
            <w:tcBorders>
              <w:top w:val="nil"/>
              <w:left w:val="nil"/>
              <w:bottom w:val="nil"/>
              <w:right w:val="nil"/>
            </w:tcBorders>
          </w:tcPr>
          <w:p>
            <w:pPr>
              <w:pStyle w:val="Normal6a"/>
            </w:pPr>
            <w:r>
              <w:rPr>
                <w:vertAlign w:val="superscript"/>
              </w:rPr>
              <w:t>28</w:t>
            </w:r>
            <w:r>
              <w:t xml:space="preserve"> </w:t>
            </w:r>
            <w:r>
              <w:t>“Council of Europe Convention on preventing and combating violence against women and domestic violence”, (CETS No. 210) entered into force on 1 August 2014, https://www.coe.int/en/web/conventions/full-list?module=treaty-detail&amp;treatynum=210.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The Instrument should support children and youth as key agents of change, giving particular attention to their needs and empowerment. It should seek to prevent and combat </w:t>
            </w:r>
            <w:r>
              <w:rPr>
                <w:b/>
                <w:i/>
              </w:rPr>
              <w:t>discrimination-based</w:t>
            </w:r>
            <w:r>
              <w:t xml:space="preserve"> on age, ethnic origin, religion and belief, disability or sexual orientation. It should promote the rights of persons with disabilities, in line with the UN Convention to the Rights of Persons with Disabilities</w:t>
            </w:r>
            <w:r>
              <w:rPr>
                <w:vertAlign w:val="superscript"/>
              </w:rPr>
              <w:t>29</w:t>
            </w:r>
            <w:r>
              <w:t xml:space="preserve"> .</w:t>
            </w:r>
          </w:p>
        </w:tc>
        <w:tc>
          <w:tcPr>
            <w:tcW w:w="4876" w:type="dxa"/>
            <w:tcBorders>
              <w:top w:val="nil"/>
              <w:left w:val="nil"/>
              <w:bottom w:val="nil"/>
              <w:right w:val="nil"/>
            </w:tcBorders>
          </w:tcPr>
          <w:p>
            <w:pPr>
              <w:pStyle w:val="Normal6a"/>
            </w:pPr>
            <w:r>
              <w:t>(48)</w:t>
            </w:r>
            <w:r>
              <w:tab/>
            </w:r>
            <w:r>
              <w:t xml:space="preserve">The Instrument should support children and youth as key agents of change, giving particular attention to their </w:t>
            </w:r>
            <w:r>
              <w:rPr>
                <w:b/>
                <w:i/>
              </w:rPr>
              <w:t>rights,</w:t>
            </w:r>
            <w:r>
              <w:t xml:space="preserve"> needs and empowerment</w:t>
            </w:r>
            <w:r>
              <w:rPr>
                <w:b/>
                <w:i/>
              </w:rPr>
              <w:t>, in line with the UN Convention on the Rights of the Child</w:t>
            </w:r>
            <w:r>
              <w:t xml:space="preserve">. It should seek to prevent and combat </w:t>
            </w:r>
            <w:r>
              <w:rPr>
                <w:b/>
                <w:i/>
              </w:rPr>
              <w:t>intersecting forms of discrimination including discrimination based</w:t>
            </w:r>
            <w:r>
              <w:t xml:space="preserve"> on age, ethnic origin, religion and belief, disability</w:t>
            </w:r>
            <w:r>
              <w:rPr>
                <w:b/>
                <w:i/>
              </w:rPr>
              <w:t>, gender</w:t>
            </w:r>
            <w:r>
              <w:t xml:space="preserve"> or sexual orientation. It should promote the rights of persons with disabilities, in line with the UN Convention to the Rights of Persons with Disabilities</w:t>
            </w:r>
            <w:r>
              <w:rPr>
                <w:vertAlign w:val="superscript"/>
              </w:rPr>
              <w:t>29</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29</w:t>
            </w:r>
            <w:r>
              <w:t xml:space="preserve"> </w:t>
            </w:r>
            <w:r>
              <w:t>Convention on the Rights of Persons with Disabilities (CRPD), entered into force on 3 May 2008 https://social.desa.un.org/issues/disability/crpd/convention-on-the-rights-of-persons-with-disabilities-crpd#Fulltext.</w:t>
            </w:r>
          </w:p>
        </w:tc>
        <w:tc>
          <w:tcPr>
            <w:tcW w:w="4876" w:type="dxa"/>
            <w:tcBorders>
              <w:top w:val="nil"/>
              <w:left w:val="nil"/>
              <w:bottom w:val="nil"/>
              <w:right w:val="nil"/>
            </w:tcBorders>
          </w:tcPr>
          <w:p>
            <w:pPr>
              <w:pStyle w:val="Normal6a"/>
            </w:pPr>
            <w:r>
              <w:rPr>
                <w:vertAlign w:val="superscript"/>
              </w:rPr>
              <w:t>29</w:t>
            </w:r>
            <w:r>
              <w:t xml:space="preserve"> </w:t>
            </w:r>
            <w:r>
              <w:t>Convention on the Rights of Persons with Disabilities (CRPD), entered into force on 3 May 2008 https://social.desa.un.org/issues/disability/crpd/convention-on-the-rights-of-persons-with-disabilities-crpd#Fulltext.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68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(68)</w:t>
            </w:r>
            <w:r>
              <w:tab/>
            </w:r>
            <w:r>
              <w:t>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When making that choice, the use of lump sums, unit costs and flat rates, as well as financing not linked to costs of the relevant operation as referred to in Article 125(1), point (a), of Regulation (EU, Euratom) 2024/2509, should be considered. The Union should be able to entrust budget implementation tasks under Article 62(1), point (c) (viii) of Regulation (EU) 2024/2509 to the Union Institute for Security Studies and the European Security and Defence College to implement actions under the Instrument.</w:t>
            </w:r>
          </w:p>
        </w:tc>
        <w:tc>
          <w:tcPr>
            <w:tcW w:w="4876" w:type="dxa"/>
            <w:tcBorders>
              <w:top w:val="nil"/>
              <w:left w:val="nil"/>
              <w:bottom w:val="nil"/>
              <w:right w:val="nil"/>
            </w:tcBorders>
          </w:tcPr>
          <w:p>
            <w:pPr>
              <w:pStyle w:val="Normal6a"/>
            </w:pPr>
            <w:r>
              <w:t>(68)</w:t>
            </w:r>
            <w:r>
              <w:tab/>
            </w:r>
            <w:r>
              <w:t xml:space="preserve">The types of financing and the methods of implementation under this Regulation should be chosen on the basis of their ability to achieve the specific objectives of the actions and to deliver results, taking into account, in particular, the costs of controls, the administrative burden and the expected risk of non-compliance </w:t>
            </w:r>
            <w:r>
              <w:rPr>
                <w:b/>
                <w:i/>
              </w:rPr>
              <w:t>and the need to respect fundamental rights, gender equality, gender mainstreaming, non-discrimination, and sustainable development, in line with the horizontal principles laid down in Article 6(3) and Article 33(2)(e) and (f) of Regulation (EU, Euratom) 2024/2509 and the Charter of Fundamental Rights of the European Union</w:t>
            </w:r>
            <w:r>
              <w:t>. When making that choice, the use of lump sums, unit costs and flat rates, as well as financing not linked to costs of the relevant operation as referred to in Article 125(1), point (a), of Regulation (EU, Euratom) 2024/2509, should be considered. The Union should be able to entrust budget implementation tasks under Article 62(1), point (c) (viii) of Regulation (EU) 2024/2509 to the Union Institute for Security Studies and the European Security and Defence College to implement actions under the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86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(86)</w:t>
            </w:r>
            <w:r>
              <w:tab/>
            </w:r>
            <w:r>
              <w:t>In order to amend non-essential elements of this Regulation, the power to adopt acts in accordance with Article 290 TFEU should be delegated to the Commission in respect of amending the specific objectives listed in Annex II</w:t>
            </w:r>
            <w:r>
              <w:rPr>
                <w:b/>
                <w:i/>
              </w:rPr>
              <w:t>, the percentage of expenditure fulfilling the criteria of ODA</w:t>
            </w:r>
            <w:r>
              <w:t>, the maximum amounts of the budgetary guarantee and the provisioning rates.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Pr>
                <w:vertAlign w:val="superscript"/>
              </w:rPr>
              <w:t>39</w:t>
            </w:r>
            <w:r>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pPr>
              <w:pStyle w:val="Normal6a"/>
            </w:pPr>
            <w:r>
              <w:t>(86)</w:t>
            </w:r>
            <w:r>
              <w:tab/>
            </w:r>
            <w:r>
              <w:t>In order to amend non-essential elements of this Regulation, the power to adopt acts in accordance with Article 290 TFEU should be delegated to the Commission in respect of amending the specific objectives listed in Annex II, the maximum amounts of the budgetary guarantee and the provisioning rates. It is of particular importance that the Commission carries out appropriate consultations during its preparatory work, including at expert level, and that those consultations be conducted in accordance with the principles laid down in the Interinstitutional Agreement of 13 April 2016 on Better Law-Making</w:t>
            </w:r>
            <w:r>
              <w:rPr>
                <w:vertAlign w:val="superscript"/>
              </w:rPr>
              <w:t>39</w:t>
            </w:r>
            <w:r>
              <w:t xml:space="preserve"> .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39</w:t>
            </w:r>
            <w:r>
              <w:t xml:space="preserve"> </w:t>
            </w:r>
            <w:r>
              <w:t>Interinstitutional Agreement between the European Parliament, the Council of the European Union and the European Commission on Better Law-Making (OJ L 123, 12.5.2016, p. 1–14, ELI: http://data.europa.eu/eli/agree_interinstit/2016/512/oj).</w:t>
            </w:r>
          </w:p>
        </w:tc>
        <w:tc>
          <w:tcPr>
            <w:tcW w:w="4876" w:type="dxa"/>
            <w:tcBorders>
              <w:top w:val="nil"/>
              <w:left w:val="nil"/>
              <w:bottom w:val="nil"/>
              <w:right w:val="nil"/>
            </w:tcBorders>
          </w:tcPr>
          <w:p>
            <w:pPr>
              <w:pStyle w:val="Normal6a"/>
            </w:pPr>
            <w:r>
              <w:rPr>
                <w:vertAlign w:val="superscript"/>
              </w:rPr>
              <w:t>39</w:t>
            </w:r>
            <w:r>
              <w:t xml:space="preserve"> </w:t>
            </w:r>
            <w:r>
              <w:t>Interinstitutional Agreement between the European Parliament, the Council of the European Union and the European Commission on Better Law-Making (OJ L 123, 12.5.2016, p. 1–14, ELI: http://data.europa.eu/eli/agree_interinstit/2016/512/oj).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Recital 91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(91)</w:t>
            </w:r>
            <w:r>
              <w:tab/>
            </w:r>
            <w:r>
              <w:t>The Instrument is to be implemented in accordance with Regulation (EU, Euratom) [XXX] [Performance Regulation]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rules for the evaluation of the programmes, rules for the evaluation of the programmes, as well as other horizontal provisions applicable to all Union programmes such as those on information, communication and visibility.</w:t>
            </w:r>
          </w:p>
        </w:tc>
        <w:tc>
          <w:tcPr>
            <w:tcW w:w="4876" w:type="dxa"/>
            <w:tcBorders>
              <w:top w:val="nil"/>
              <w:left w:val="nil"/>
              <w:bottom w:val="nil"/>
              <w:right w:val="nil"/>
            </w:tcBorders>
          </w:tcPr>
          <w:p>
            <w:pPr>
              <w:pStyle w:val="Normal6a"/>
            </w:pPr>
            <w:r>
              <w:t>(91)</w:t>
            </w:r>
            <w:r>
              <w:tab/>
            </w:r>
            <w:r>
              <w:t xml:space="preserve">The Instrument is to be implemented in accordance with Regulation (EU, Euratom) [XXX] [Performance Regulation] which establishes the rules for the expenditure tracking and the performance framework for the budget, including rules for ensuring a uniform application of the principles of ‘do no significant harm’ and gender equality referred to in Article 33(2), points (d) and (f), of Regulation (EU, Euratom) 2024/2509 respectively, </w:t>
            </w:r>
            <w:r>
              <w:rPr>
                <w:b/>
                <w:i/>
              </w:rPr>
              <w:t>and through gender budgeting with outputs and results indicators,</w:t>
            </w:r>
            <w:r>
              <w:t xml:space="preserve"> rules for monitoring and reporting on the performance of Union programmes and activities, rules for establishing a Union funding portal, rules for the evaluation of the programmes, rules for the evaluation of the programmes, as well as other horizontal provisions applicable to all Union programmes such as those on information, communication and visibility.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4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to uphold and promote the Union’s values and interests worldwide, in order to pursue the objectives and principles of the Union’s external action, as laid down in Article 3(5) and Articles 8 and 21 TEU;</w:t>
            </w:r>
          </w:p>
        </w:tc>
        <w:tc>
          <w:tcPr>
            <w:tcW w:w="4876" w:type="dxa"/>
            <w:tcBorders>
              <w:top w:val="nil"/>
              <w:left w:val="nil"/>
              <w:bottom w:val="nil"/>
              <w:right w:val="nil"/>
            </w:tcBorders>
          </w:tcPr>
          <w:p>
            <w:pPr>
              <w:pStyle w:val="Normal6a"/>
            </w:pPr>
            <w:r>
              <w:t>(a)</w:t>
            </w:r>
            <w:r>
              <w:tab/>
            </w:r>
            <w:r>
              <w:t>to uphold and promote the Union’s values and interests worldwide, in order to pursue the objectives and principles of the Union’s external action, as laid down in Article 3(5) and Articles 8 and 21 TEU</w:t>
            </w:r>
            <w:r>
              <w:rPr>
                <w:b/>
                <w:i/>
              </w:rPr>
              <w:t>, and 208 TFEU</w:t>
            </w:r>
            <w:r>
              <w:t xml:space="preserve">; </w:t>
            </w:r>
            <w:r>
              <w:rPr>
                <w:b/>
                <w:i/>
              </w:rPr>
              <w:t>thus supporting the reduction and eradication of poverty, advancing sustainable development, peace and security, promoting and supporting democracy, rule of law, human rights, including women's rights and gender equality, and addressing climate change and biodiversity loss;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4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to contribute to the promotion of multilateralism and a rules-based international order, the achievement of the international commitments and objectives that the Union has agreed to, in particular the sustainable development goals</w:t>
            </w:r>
            <w:r>
              <w:rPr>
                <w:b/>
                <w:i/>
              </w:rPr>
              <w:t>,</w:t>
            </w:r>
            <w:r>
              <w:t xml:space="preserve"> the 2030 Agenda, the Paris Agreement and the Kunming-Montreal Global Biodiversity Framework;</w:t>
            </w:r>
          </w:p>
        </w:tc>
        <w:tc>
          <w:tcPr>
            <w:tcW w:w="4876" w:type="dxa"/>
            <w:tcBorders>
              <w:top w:val="nil"/>
              <w:left w:val="nil"/>
              <w:bottom w:val="nil"/>
              <w:right w:val="nil"/>
            </w:tcBorders>
          </w:tcPr>
          <w:p>
            <w:pPr>
              <w:pStyle w:val="Normal6a"/>
            </w:pPr>
            <w:r>
              <w:t>(b)</w:t>
            </w:r>
            <w:r>
              <w:tab/>
            </w:r>
            <w:r>
              <w:t>to contribute to the promotion of multilateralism and a rules-based international order</w:t>
            </w:r>
            <w:r>
              <w:rPr>
                <w:b/>
                <w:i/>
              </w:rPr>
              <w:t>, with International Human Rights Law and the United Nations at the core of it</w:t>
            </w:r>
            <w:r>
              <w:t xml:space="preserve">, the achievement of the international commitments and objectives that the Union has agreed to, in particular the sustainable development goals </w:t>
            </w:r>
            <w:r>
              <w:rPr>
                <w:b/>
                <w:i/>
              </w:rPr>
              <w:t>in</w:t>
            </w:r>
            <w:r>
              <w:t xml:space="preserve"> the 2030 Agenda, the Paris Agreement and the Kunming-Montreal Global Biodiversity Framework </w:t>
            </w:r>
            <w:r>
              <w:rPr>
                <w:b/>
                <w:i/>
              </w:rPr>
              <w:t>and the Beijing Declaration and Platform for Action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6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At least </w:t>
            </w:r>
            <w:r>
              <w:rPr>
                <w:b/>
                <w:i/>
              </w:rPr>
              <w:t>90%</w:t>
            </w:r>
            <w:r>
              <w:t xml:space="preserve"> of the expenditure under this Instrument shall fulfil the criteria for ODA (the ‘ODA target’), thus contributing to ODA collective commitments, including towards least developed countries. If a partner country loses ODA eligibility during the implementation period of the Instrument, expenditure committed in favour of that partner country after the loss of eligibility shall be excluded from the assessment of the ODA target. The expenditure referred to in paragraph 2 of this Article shall be excluded from the assessment of the ODA target.</w:t>
            </w:r>
          </w:p>
        </w:tc>
        <w:tc>
          <w:tcPr>
            <w:tcW w:w="4876" w:type="dxa"/>
            <w:tcBorders>
              <w:top w:val="nil"/>
              <w:left w:val="nil"/>
              <w:bottom w:val="nil"/>
              <w:right w:val="nil"/>
            </w:tcBorders>
          </w:tcPr>
          <w:p>
            <w:pPr>
              <w:pStyle w:val="Normal6a"/>
            </w:pPr>
            <w:r>
              <w:t>5.</w:t>
            </w:r>
            <w:r>
              <w:tab/>
            </w:r>
            <w:r>
              <w:t xml:space="preserve">At least </w:t>
            </w:r>
            <w:r>
              <w:rPr>
                <w:b/>
                <w:i/>
              </w:rPr>
              <w:t>93%</w:t>
            </w:r>
            <w:r>
              <w:t xml:space="preserve"> of the expenditure under this Instrument shall fulfil the criteria for ODA (the ‘ODA target’), thus contributing to ODA collective commitments, including towards least developed countries. If a partner country loses ODA eligibility during the implementation period of the Instrument, expenditure committed in favour of that partner country after the loss of eligibility shall be excluded from the assessment of the ODA target. The expenditure referred to in paragraph 2 of this Article shall be excluded from the assessment of the ODA target.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6 – 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At least 50% of the expenditure under the Instrument shall contribute to human development and social inclusion, including access to quality basic social services, health services, education, sexual and reproductive health and rights, nutrition, water and sanitation and social protection, particularly to the most marginalised. The Commission shall ensure that this target is reflected in the programming, implementation, monitoring and reporting of actions under the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6 – paragraph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w:t>
            </w:r>
            <w:r>
              <w:tab/>
            </w:r>
            <w:r>
              <w:rPr>
                <w:b/>
                <w:i/>
              </w:rPr>
              <w:t>At least 50% of the expenditure under the Instrument shall be allocated to least developed countries and to other partner countries in fragile and conflict-affected situations.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Union shall concentrate its means </w:t>
            </w:r>
            <w:r>
              <w:rPr>
                <w:b/>
                <w:i/>
              </w:rPr>
              <w:t>where they can make the most</w:t>
            </w:r>
            <w:r>
              <w:t xml:space="preserve"> transformational impact with a view to supporting sustainable development and catering for the strategic interests of the Union.</w:t>
            </w:r>
          </w:p>
        </w:tc>
        <w:tc>
          <w:tcPr>
            <w:tcW w:w="4876" w:type="dxa"/>
            <w:tcBorders>
              <w:top w:val="nil"/>
              <w:left w:val="nil"/>
              <w:bottom w:val="nil"/>
              <w:right w:val="nil"/>
            </w:tcBorders>
          </w:tcPr>
          <w:p>
            <w:pPr>
              <w:pStyle w:val="Normal6a"/>
            </w:pPr>
            <w:r>
              <w:t>1.</w:t>
            </w:r>
            <w:r>
              <w:tab/>
            </w:r>
            <w:r>
              <w:t xml:space="preserve">The Union shall concentrate its means </w:t>
            </w:r>
            <w:r>
              <w:rPr>
                <w:b/>
                <w:i/>
              </w:rPr>
              <w:t>on</w:t>
            </w:r>
            <w:r>
              <w:t xml:space="preserve"> transformational impact with a view to supporting sustainable </w:t>
            </w:r>
            <w:r>
              <w:rPr>
                <w:b/>
                <w:i/>
              </w:rPr>
              <w:t>and inclusive</w:t>
            </w:r>
            <w:r>
              <w:t xml:space="preserve"> development</w:t>
            </w:r>
            <w:r>
              <w:rPr>
                <w:b/>
                <w:i/>
              </w:rPr>
              <w:t>, peace and security in partner countries</w:t>
            </w:r>
            <w:r>
              <w:t xml:space="preserve"> and catering for the strategic interests of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2 – subparagraph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The Union shall continue to engage in contexts experiencing </w:t>
            </w:r>
            <w:r>
              <w:rPr>
                <w:b/>
                <w:i/>
              </w:rPr>
              <w:t>extremely</w:t>
            </w:r>
            <w:r>
              <w:t xml:space="preserve"> high levels of fragility, conflict areas, and other complex settings.</w:t>
            </w:r>
          </w:p>
        </w:tc>
        <w:tc>
          <w:tcPr>
            <w:tcW w:w="4876" w:type="dxa"/>
            <w:tcBorders>
              <w:top w:val="nil"/>
              <w:left w:val="nil"/>
              <w:bottom w:val="nil"/>
              <w:right w:val="nil"/>
            </w:tcBorders>
          </w:tcPr>
          <w:p>
            <w:pPr>
              <w:pStyle w:val="Normal6a"/>
            </w:pPr>
            <w:r>
              <w:t xml:space="preserve">The Union shall continue to engage in contexts experiencing high levels of fragility, conflict areas, and other complex settings </w:t>
            </w:r>
            <w:r>
              <w:rPr>
                <w:b/>
                <w:i/>
              </w:rPr>
              <w:t>to address the root causes of fragility and engage in an inclusive and gender-responsive manner in peace processes, including conflict prevention, resolution, mediation and stabilisation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2 – subparagraph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 situations of crisis, post-crisis or in extreme fragility, due account shall be taken of the special needs of the population of the partner countries or regions concerned. Where partner countries or regions are directly involved in, or affected by a situation of crisis, post-crisis or extreme fragility, special emphasis shall be placed on stepping up support and coordination amongst all relevant actors to help with the transition from an emergency situation to sustainable development and stable peace, ensuring consistency between international cooperation and humanitarian aid in accordance with the humanitarian-development-peace nexus.</w:t>
            </w:r>
          </w:p>
        </w:tc>
        <w:tc>
          <w:tcPr>
            <w:tcW w:w="4876" w:type="dxa"/>
            <w:tcBorders>
              <w:top w:val="nil"/>
              <w:left w:val="nil"/>
              <w:bottom w:val="nil"/>
              <w:right w:val="nil"/>
            </w:tcBorders>
          </w:tcPr>
          <w:p>
            <w:pPr>
              <w:pStyle w:val="Normal6a"/>
            </w:pPr>
            <w:r>
              <w:t>In situations of crisis, post-crisis or in extreme fragility, due account shall be taken of the special needs of the population of the partner countries or regions concerned. Where partner countries or regions are directly involved in, or affected by a situation of crisis, post-crisis or extreme fragility, special emphasis shall be placed on stepping up support and coordination amongst all relevant actors to help with the transition from an emergency situation to sustainable development and stable peace, ensuring consistency between international cooperation and humanitarian aid in accordance with the humanitarian-development-peace nexus</w:t>
            </w:r>
            <w:r>
              <w:rPr>
                <w:b/>
                <w:i/>
              </w:rPr>
              <w:t>, including investing in local level peace efforts by women peacebuilders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The Union shall seek to promote, develop and consolidate the principles of democracy, good governance, the rule of law and respect for human rights and fundamental freedoms on which it is founded, notably through dialogue and cooperation with partner countries and regions and with civil society, including through action in multilateral fora.</w:t>
            </w:r>
          </w:p>
        </w:tc>
        <w:tc>
          <w:tcPr>
            <w:tcW w:w="4876" w:type="dxa"/>
            <w:tcBorders>
              <w:top w:val="nil"/>
              <w:left w:val="nil"/>
              <w:bottom w:val="nil"/>
              <w:right w:val="nil"/>
            </w:tcBorders>
          </w:tcPr>
          <w:p>
            <w:pPr>
              <w:pStyle w:val="Normal6a"/>
            </w:pPr>
            <w:r>
              <w:t>3.</w:t>
            </w:r>
            <w:r>
              <w:tab/>
            </w:r>
            <w:r>
              <w:t xml:space="preserve">The Union shall seek to promote, develop and consolidate the principles of democracy, good governance, the rule of law and respect for </w:t>
            </w:r>
            <w:r>
              <w:rPr>
                <w:b/>
                <w:i/>
              </w:rPr>
              <w:t>international law,</w:t>
            </w:r>
            <w:r>
              <w:t xml:space="preserve"> human rights and fundamental freedoms</w:t>
            </w:r>
            <w:r>
              <w:rPr>
                <w:b/>
                <w:i/>
              </w:rPr>
              <w:t>, including women's rights and gender equality</w:t>
            </w:r>
            <w:r>
              <w:t xml:space="preserve"> on which it is founded, notably through dialogue and cooperation with partner countries and regions and with civil society, including through action in multilateral fora.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Actions under this Instrument shall apply a human rights-based approach encompassing all human rights </w:t>
            </w:r>
            <w:r>
              <w:rPr>
                <w:b/>
                <w:i/>
              </w:rPr>
              <w:t>That approach shall be</w:t>
            </w:r>
            <w:r>
              <w:t xml:space="preserve"> guided by the principles of </w:t>
            </w:r>
            <w:r>
              <w:rPr>
                <w:b/>
                <w:i/>
              </w:rPr>
              <w:t>‘leaving no one behind’</w:t>
            </w:r>
            <w:r>
              <w:t>, equality, non-discrimination on any grounds, including towards persons with disabilities.</w:t>
            </w:r>
          </w:p>
        </w:tc>
        <w:tc>
          <w:tcPr>
            <w:tcW w:w="4876" w:type="dxa"/>
            <w:tcBorders>
              <w:top w:val="nil"/>
              <w:left w:val="nil"/>
              <w:bottom w:val="nil"/>
              <w:right w:val="nil"/>
            </w:tcBorders>
          </w:tcPr>
          <w:p>
            <w:pPr>
              <w:pStyle w:val="Normal6a"/>
            </w:pPr>
            <w:r>
              <w:t>4.</w:t>
            </w:r>
            <w:r>
              <w:tab/>
            </w:r>
            <w:r>
              <w:t xml:space="preserve">Actions under this Instrument shall apply a human rights-based approach encompassing all human rights </w:t>
            </w:r>
            <w:r>
              <w:rPr>
                <w:b/>
                <w:i/>
              </w:rPr>
              <w:t>and support the right holders in claiming their rights,</w:t>
            </w:r>
            <w:r>
              <w:t xml:space="preserve"> guided by the </w:t>
            </w:r>
            <w:r>
              <w:rPr>
                <w:b/>
                <w:i/>
              </w:rPr>
              <w:t>horizontal</w:t>
            </w:r>
            <w:r>
              <w:t xml:space="preserve"> principles of </w:t>
            </w:r>
            <w:r>
              <w:rPr>
                <w:b/>
                <w:i/>
              </w:rPr>
              <w:t>Article 6(3) and Article 33(2)(e) and (f) of Regulation (EU</w:t>
            </w:r>
            <w:r>
              <w:t xml:space="preserve">, </w:t>
            </w:r>
            <w:r>
              <w:rPr>
                <w:b/>
                <w:i/>
              </w:rPr>
              <w:t>Euratom) 2024/2509 and the Charter of Fundamental Rights of the European Union, ensuring that all actions respect Union values, fundamental rights, gender</w:t>
            </w:r>
            <w:r>
              <w:t xml:space="preserve"> equality</w:t>
            </w:r>
            <w:r>
              <w:rPr>
                <w:b/>
                <w:i/>
              </w:rPr>
              <w:t>, gender mainstreaming</w:t>
            </w:r>
            <w:r>
              <w:t>, non-discrimination on any grounds, including towards persons with disabilities</w:t>
            </w:r>
            <w:r>
              <w:rPr>
                <w:b/>
                <w:i/>
              </w:rPr>
              <w:t>, and sustainable development, as well as the principle of ‘leaving no one behind’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The Instrument shall promote gender equality and girls’ and women’s </w:t>
            </w:r>
            <w:r>
              <w:rPr>
                <w:b/>
                <w:i/>
              </w:rPr>
              <w:t>empowerment and</w:t>
            </w:r>
            <w:r>
              <w:t xml:space="preserve"> prevent and fight violence </w:t>
            </w:r>
            <w:r>
              <w:rPr>
                <w:b/>
                <w:i/>
              </w:rPr>
              <w:t>against women and domestic violence. It</w:t>
            </w:r>
            <w:r>
              <w:t xml:space="preserve"> shall also give particular attention to the rights of </w:t>
            </w:r>
            <w:r>
              <w:rPr>
                <w:b/>
                <w:i/>
              </w:rPr>
              <w:t>the child</w:t>
            </w:r>
            <w:r>
              <w:t xml:space="preserve"> and to </w:t>
            </w:r>
            <w:r>
              <w:rPr>
                <w:b/>
                <w:i/>
              </w:rPr>
              <w:t>the</w:t>
            </w:r>
            <w:r>
              <w:t xml:space="preserve"> protection and empowerment </w:t>
            </w:r>
            <w:r>
              <w:rPr>
                <w:b/>
                <w:i/>
              </w:rPr>
              <w:t>of youth</w:t>
            </w:r>
            <w:r>
              <w:t>.</w:t>
            </w:r>
          </w:p>
        </w:tc>
        <w:tc>
          <w:tcPr>
            <w:tcW w:w="4876" w:type="dxa"/>
            <w:tcBorders>
              <w:top w:val="nil"/>
              <w:left w:val="nil"/>
              <w:bottom w:val="nil"/>
              <w:right w:val="nil"/>
            </w:tcBorders>
          </w:tcPr>
          <w:p>
            <w:pPr>
              <w:pStyle w:val="Normal6a"/>
            </w:pPr>
            <w:r>
              <w:t>5.</w:t>
            </w:r>
            <w:r>
              <w:tab/>
            </w:r>
            <w:r>
              <w:t xml:space="preserve">The Instrument shall promote gender equality and girls’ and women’s </w:t>
            </w:r>
            <w:r>
              <w:rPr>
                <w:b/>
                <w:i/>
              </w:rPr>
              <w:t>rights and non-discrimination, through targeted and mainstreamed actions in line with Gender Action Plans. It shall also</w:t>
            </w:r>
            <w:r>
              <w:t xml:space="preserve"> prevent and fight </w:t>
            </w:r>
            <w:r>
              <w:rPr>
                <w:b/>
                <w:i/>
              </w:rPr>
              <w:t>gender-based</w:t>
            </w:r>
            <w:r>
              <w:t xml:space="preserve"> violence </w:t>
            </w:r>
            <w:r>
              <w:rPr>
                <w:b/>
                <w:i/>
              </w:rPr>
              <w:t>in all its forms. The Instrument</w:t>
            </w:r>
            <w:r>
              <w:t xml:space="preserve"> shall also give particular attention to the rights of </w:t>
            </w:r>
            <w:r>
              <w:rPr>
                <w:b/>
                <w:i/>
              </w:rPr>
              <w:t>children and</w:t>
            </w:r>
            <w:r>
              <w:t xml:space="preserve"> </w:t>
            </w:r>
            <w:r>
              <w:rPr>
                <w:b/>
                <w:i/>
              </w:rPr>
              <w:t>youth</w:t>
            </w:r>
            <w:r>
              <w:rPr>
                <w:b/>
                <w:i/>
              </w:rPr>
              <w:t xml:space="preserve"> and</w:t>
            </w:r>
            <w:r>
              <w:t xml:space="preserve"> </w:t>
            </w:r>
            <w:r>
              <w:rPr>
                <w:b/>
                <w:i/>
              </w:rPr>
              <w:t xml:space="preserve">to </w:t>
            </w:r>
            <w:r>
              <w:rPr>
                <w:b/>
                <w:i/>
              </w:rPr>
              <w:t>their</w:t>
            </w:r>
            <w:r>
              <w:rPr>
                <w:b/>
                <w:i/>
              </w:rPr>
              <w:t xml:space="preserve"> protection and empowerment.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9 – 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The Commission shall exchange information on a regular basis with civil society within the Union.</w:t>
            </w:r>
          </w:p>
        </w:tc>
        <w:tc>
          <w:tcPr>
            <w:tcW w:w="4876" w:type="dxa"/>
            <w:tcBorders>
              <w:top w:val="nil"/>
              <w:left w:val="nil"/>
              <w:bottom w:val="nil"/>
              <w:right w:val="nil"/>
            </w:tcBorders>
          </w:tcPr>
          <w:p>
            <w:pPr>
              <w:pStyle w:val="Normal6a"/>
            </w:pPr>
            <w:r>
              <w:t>10.</w:t>
            </w:r>
            <w:r>
              <w:tab/>
            </w:r>
            <w:r>
              <w:t xml:space="preserve">The Commission shall </w:t>
            </w:r>
            <w:r>
              <w:rPr>
                <w:b/>
                <w:i/>
              </w:rPr>
              <w:t>engage meaningfully through enhanced dialogue and</w:t>
            </w:r>
            <w:r>
              <w:t xml:space="preserve"> exchange </w:t>
            </w:r>
            <w:r>
              <w:rPr>
                <w:b/>
                <w:i/>
              </w:rPr>
              <w:t>of</w:t>
            </w:r>
            <w:r>
              <w:t xml:space="preserve"> information on a regular basis with civil society within the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10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Programmes and actions under the Instrument shall mainstream the fight against climate change, environmental protection and gender equality, in accordance with Regulation (EU, Euratom) [XXX] [Performance Regulation]. Those priorities shall be considered in the design and implementation of actions under the Instrument, with the aim to create co-benefits and meet multiple objectives in a coherent way.</w:t>
            </w:r>
          </w:p>
        </w:tc>
        <w:tc>
          <w:tcPr>
            <w:tcW w:w="4876" w:type="dxa"/>
            <w:tcBorders>
              <w:top w:val="nil"/>
              <w:left w:val="nil"/>
              <w:bottom w:val="nil"/>
              <w:right w:val="nil"/>
            </w:tcBorders>
          </w:tcPr>
          <w:p>
            <w:pPr>
              <w:pStyle w:val="Normal6a"/>
            </w:pPr>
            <w:r>
              <w:t xml:space="preserve">Programmes and actions under the Instrument shall mainstream the fight against climate change, environmental protection and gender equality, in accordance with Regulation (EU, Euratom) [XXX] [Performance Regulation]. Those priorities shall be considered in the design and implementation of actions under the Instrument, with the aim to create co-benefits and meet multiple objectives in a coherent way. </w:t>
            </w:r>
            <w:r>
              <w:rPr>
                <w:b/>
                <w:i/>
              </w:rPr>
              <w:t>To ensure a mainstreamed and targeted approach to gender equality under the Instrument, gender analysis is required to inform programmes and interventions, including multiannual indicative programmes, and at least 85% of all EU ODA shall be dedicated to programmes that have gender equality as a principal or a significant objective, as defined by the gender equality policy marker of the OECD Development Assistance Committee. At least 20% of EU ODA shall be dedicated to gender-targeted projects with gender as a principal objective and at least 5% of EU ODA shall be dedicated to support women’s rights organisations.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14 – paragraph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actions shall be based, to the extent possible, on a dialogue between the Union, Member States and the partner countries concerned, including national, regional and local authorities, and involving civil society;</w:t>
            </w:r>
          </w:p>
        </w:tc>
        <w:tc>
          <w:tcPr>
            <w:tcW w:w="4876" w:type="dxa"/>
            <w:tcBorders>
              <w:top w:val="nil"/>
              <w:left w:val="nil"/>
              <w:bottom w:val="nil"/>
              <w:right w:val="nil"/>
            </w:tcBorders>
          </w:tcPr>
          <w:p>
            <w:pPr>
              <w:pStyle w:val="Normal6a"/>
            </w:pPr>
            <w:r>
              <w:t>(a)</w:t>
            </w:r>
            <w:r>
              <w:tab/>
            </w:r>
            <w:r>
              <w:t>actions shall be based, to the extent possible, on a dialogue between the Union, Member States and the partner countries concerned, including national, regional and local authorities, and involving civil society</w:t>
            </w:r>
            <w:r>
              <w:rPr>
                <w:b/>
                <w:i/>
              </w:rPr>
              <w:t>, including women's rights organisations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14 – paragraph 2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partner countries’ and regions’ priorities, established on the basis of the dialogue referred to in paragraph 1, taking also into account the national or regional strategy and plan;</w:t>
            </w:r>
          </w:p>
        </w:tc>
        <w:tc>
          <w:tcPr>
            <w:tcW w:w="4876" w:type="dxa"/>
            <w:tcBorders>
              <w:top w:val="nil"/>
              <w:left w:val="nil"/>
              <w:bottom w:val="nil"/>
              <w:right w:val="nil"/>
            </w:tcBorders>
          </w:tcPr>
          <w:p>
            <w:pPr>
              <w:pStyle w:val="Normal6a"/>
            </w:pPr>
            <w:r>
              <w:t>(a)</w:t>
            </w:r>
            <w:r>
              <w:tab/>
            </w:r>
            <w:r>
              <w:t>partner countries’ and regions’ priorities, established on the basis of the dialogue referred to in paragraph 1, taking also into account the national or regional strategy and plan</w:t>
            </w:r>
            <w:r>
              <w:rPr>
                <w:b/>
                <w:i/>
              </w:rPr>
              <w:t>, and priorities by civil society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20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Subject to paragraph 10 of this Article, participation in procurement, grant and prize award shall also be open to international organisations.</w:t>
            </w:r>
          </w:p>
        </w:tc>
        <w:tc>
          <w:tcPr>
            <w:tcW w:w="4876" w:type="dxa"/>
            <w:tcBorders>
              <w:top w:val="nil"/>
              <w:left w:val="nil"/>
              <w:bottom w:val="nil"/>
              <w:right w:val="nil"/>
            </w:tcBorders>
          </w:tcPr>
          <w:p>
            <w:pPr>
              <w:pStyle w:val="Normal6a"/>
            </w:pPr>
            <w:r>
              <w:t>4.</w:t>
            </w:r>
            <w:r>
              <w:tab/>
            </w:r>
            <w:r>
              <w:t xml:space="preserve">Subject to paragraph 10 of this Article, participation in procurement, grant and prize award shall also be open to international organisations </w:t>
            </w:r>
            <w:r>
              <w:rPr>
                <w:b/>
                <w:i/>
              </w:rPr>
              <w:t>and local civil society organisations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23 – paragraph 4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low-value grants to human rights defenders to finance urgent protection actions and needs, including through mechanisms for the protection of human rights defenders at risk, as well as to mediators and other civil society actors involved in crisis and armed conflict related dialogue, conflict resolution, reconciliation and peacebuilding, where appropriate without the need for co-financing;</w:t>
            </w:r>
          </w:p>
        </w:tc>
        <w:tc>
          <w:tcPr>
            <w:tcW w:w="4876" w:type="dxa"/>
            <w:tcBorders>
              <w:top w:val="nil"/>
              <w:left w:val="nil"/>
              <w:bottom w:val="nil"/>
              <w:right w:val="nil"/>
            </w:tcBorders>
          </w:tcPr>
          <w:p>
            <w:pPr>
              <w:pStyle w:val="Normal6a"/>
            </w:pPr>
            <w:r>
              <w:t>(a)</w:t>
            </w:r>
            <w:r>
              <w:tab/>
            </w:r>
            <w:r>
              <w:t>low-value grants to human rights defenders</w:t>
            </w:r>
            <w:r>
              <w:rPr>
                <w:b/>
                <w:i/>
              </w:rPr>
              <w:t>, including women human rights defenders,</w:t>
            </w:r>
            <w:r>
              <w:t xml:space="preserve"> to finance urgent protection actions and needs, including through mechanisms for the protection of human rights defenders at risk, as well as to mediators and other civil society actors involved in crisis and armed conflict related dialogue, conflict resolution, reconciliation and peacebuilding, where appropriate without the need for co-financing;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23 – paragraph 4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grants, where appropriate without the need for co-financing, to finance actions in the most difficult conditions where the publication of a call for proposals would be inappropriate, including situations where there is a serious lack of fundamental freedoms, including violation of human rights, threats to democratic institutions, escalation of crisis or armed conflict, where human security is most at risk or where human rights organisations and defenders, mediators and other civil society actors involved in crisis and armed conflict related dialogue, reconciliation and peacebuilding operate under the most difficult conditions; such grants shall not exceed EUR 1 000 000 and their duration shall not exceed 18 months, which may be extended by a further 12 months in the event of objective and unforeseen obstacles to their implementation;</w:t>
            </w:r>
          </w:p>
        </w:tc>
        <w:tc>
          <w:tcPr>
            <w:tcW w:w="4876" w:type="dxa"/>
            <w:tcBorders>
              <w:top w:val="nil"/>
              <w:left w:val="nil"/>
              <w:bottom w:val="nil"/>
              <w:right w:val="nil"/>
            </w:tcBorders>
          </w:tcPr>
          <w:p>
            <w:pPr>
              <w:pStyle w:val="Normal6a"/>
            </w:pPr>
            <w:r>
              <w:t>(b)</w:t>
            </w:r>
            <w:r>
              <w:tab/>
            </w:r>
            <w:r>
              <w:t>grants, where appropriate without the need for co-financing, to finance actions in the most difficult conditions where the publication of a call for proposals would be inappropriate, including situations where there is a serious lack of fundamental freedoms, including violation of human rights, threats to democratic institutions, escalation of crisis or armed conflict, where human security is most at risk or where human rights organisations and defenders, mediators and other civil society actors involved in crisis and armed conflict related dialogue, reconciliation and peacebuilding</w:t>
            </w:r>
            <w:r>
              <w:rPr>
                <w:b/>
                <w:i/>
              </w:rPr>
              <w:t>, with specific attention to women actors,</w:t>
            </w:r>
            <w:r>
              <w:t xml:space="preserve"> operate under the most difficult conditions; such grants shall not exceed EUR 1 000 000 and their duration shall not exceed 18 months, which may be extended by a further 12 months in the event of objective and unforeseen obstacles to their implementation;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Article 23 – paragraph 6 – subparagraph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Budget support, including through sector reform performance contracts, shall be based on country ownership, mutual accountability and the commitment of partner countries, taking into account their record and progress with regard to universal values, democracy, human rights and the rule of law, and aims to strengthen partnerships between the Union and partner countries. It shall include reinforced policy dialogue, capacity building and improved governance, complementing partners’ efforts to collect more and to spend better in order to support sustainable, inclusive growth and decent job creation, including for young people poverty eradication, inequality reduction, and to build and consolidate democracies and peaceful societies. Budget support shall also contribute to gender equality.</w:t>
            </w:r>
          </w:p>
        </w:tc>
        <w:tc>
          <w:tcPr>
            <w:tcW w:w="4876" w:type="dxa"/>
            <w:tcBorders>
              <w:top w:val="nil"/>
              <w:left w:val="nil"/>
              <w:bottom w:val="nil"/>
              <w:right w:val="nil"/>
            </w:tcBorders>
          </w:tcPr>
          <w:p>
            <w:pPr>
              <w:pStyle w:val="Normal6a"/>
            </w:pPr>
            <w:r>
              <w:t>Budget support, including through sector reform performance contracts, shall be based on country ownership, mutual accountability and the commitment of partner countries, taking into account their record and progress with regard to universal values, democracy, human rights</w:t>
            </w:r>
            <w:r>
              <w:rPr>
                <w:b/>
                <w:i/>
              </w:rPr>
              <w:t>, gender equality</w:t>
            </w:r>
            <w:r>
              <w:t xml:space="preserve"> and the rule of law, and aims to strengthen partnerships between the Union and partner countries. It shall include reinforced policy dialogue, capacity building and improved governance, complementing partners’ efforts to collect more and to spend better in order to support sustainable, inclusive growth and decent job creation, including for young people poverty eradication, inequality reduction, and to build and consolidate democracies and peaceful societies. Budget support shall also contribute to gender 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Strengthening the fundamentals of the enlargement process in line with the enlargement policy framework, including democracy, the rule of law, economic criteria, public administration reform, independent and efficient judiciary, fundamental rights, public procurement, statistics and financial control, justice, freedom, and security</w:t>
            </w:r>
          </w:p>
        </w:tc>
        <w:tc>
          <w:tcPr>
            <w:tcW w:w="4876" w:type="dxa"/>
            <w:tcBorders>
              <w:top w:val="nil"/>
              <w:left w:val="nil"/>
              <w:bottom w:val="nil"/>
              <w:right w:val="nil"/>
            </w:tcBorders>
          </w:tcPr>
          <w:p>
            <w:pPr>
              <w:pStyle w:val="Normal6a"/>
            </w:pPr>
            <w:r>
              <w:t>b)</w:t>
            </w:r>
            <w:r>
              <w:tab/>
            </w:r>
            <w:r>
              <w:t xml:space="preserve">Strengthening the fundamentals of the enlargement process in line with the enlargement policy framework, including democracy, the rule of law, economic criteria, public administration reform, independent and efficient judiciary, fundamental rights, </w:t>
            </w:r>
            <w:r>
              <w:rPr>
                <w:b/>
                <w:i/>
              </w:rPr>
              <w:t>gender equality,</w:t>
            </w:r>
            <w:r>
              <w:t xml:space="preserve"> public procurement, statistics and financial control, justice, freedom, and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2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Reinforcing the rule of law, including the fight against and prevention of corruption, and respect for human rights and fundamental freedoms, including by combating discrimination and promoting gender equality and the women’s and girls’ rights and empowerment </w:t>
            </w:r>
            <w:r>
              <w:rPr>
                <w:b/>
                <w:i/>
              </w:rPr>
              <w:t>and preventing and combating</w:t>
            </w:r>
            <w:r>
              <w:t xml:space="preserve"> violence </w:t>
            </w:r>
            <w:r>
              <w:rPr>
                <w:b/>
                <w:i/>
              </w:rPr>
              <w:t>against women and domestic violence</w:t>
            </w:r>
            <w:r>
              <w:t>. Facilitating judicial cooperation, promoting children’s rights and the rights of persons with disabilities and accessibility, strengthening the rights of victims of crime and contributing to the strengthening of democracy and political stability;</w:t>
            </w:r>
          </w:p>
        </w:tc>
        <w:tc>
          <w:tcPr>
            <w:tcW w:w="4876" w:type="dxa"/>
            <w:tcBorders>
              <w:top w:val="nil"/>
              <w:left w:val="nil"/>
              <w:bottom w:val="nil"/>
              <w:right w:val="nil"/>
            </w:tcBorders>
          </w:tcPr>
          <w:p>
            <w:pPr>
              <w:pStyle w:val="Normal6a"/>
            </w:pPr>
            <w:r>
              <w:t>c)</w:t>
            </w:r>
            <w:r>
              <w:tab/>
            </w:r>
            <w:r>
              <w:t>Reinforcing the rule of law, including the fight against and prevention of corruption, and respect for human rights and fundamental freedoms, including by combating discrimination and promoting gender equality and the women’s and girls’ rights and empowerment</w:t>
            </w:r>
            <w:r>
              <w:rPr>
                <w:b/>
                <w:i/>
              </w:rPr>
              <w:t>, eliminating gender-based</w:t>
            </w:r>
            <w:r>
              <w:t xml:space="preserve"> violence </w:t>
            </w:r>
            <w:r>
              <w:rPr>
                <w:b/>
                <w:i/>
              </w:rPr>
              <w:t>in all forms, and ensuring access to sexual and reproductive health and rights</w:t>
            </w:r>
            <w:r>
              <w:t>. Facilitating judicial cooperation, promoting children’s rights and the rights of persons with disabilities and accessibility, strengthening the rights of victims of crime and contributing to the strengthening of democracy and political stability;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2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Supporting the full implementation of the women, peace and security agenda, including strengthening the full, equal and meaningful participation and leadership of women and girls in all stages of a peace process, in conflict prevention and resolution and in recovery and reconstruction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2 – point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Strengthening economic and social development and inclusion, with particular attention to women, children </w:t>
            </w:r>
            <w:r>
              <w:rPr>
                <w:b/>
                <w:i/>
              </w:rPr>
              <w:t>and</w:t>
            </w:r>
            <w:r>
              <w:t xml:space="preserve"> youth, including through preventing brain drain, supporting vulnerable communities, promoting equality, cultural inclusion, quality education, training, reskilling and upskilling, and supporting employment policies, labour rights and effective social protection systems;</w:t>
            </w:r>
          </w:p>
        </w:tc>
        <w:tc>
          <w:tcPr>
            <w:tcW w:w="4876" w:type="dxa"/>
            <w:tcBorders>
              <w:top w:val="nil"/>
              <w:left w:val="nil"/>
              <w:bottom w:val="nil"/>
              <w:right w:val="nil"/>
            </w:tcBorders>
          </w:tcPr>
          <w:p>
            <w:pPr>
              <w:pStyle w:val="Normal6a"/>
            </w:pPr>
            <w:r>
              <w:t>p)</w:t>
            </w:r>
            <w:r>
              <w:tab/>
            </w:r>
            <w:r>
              <w:t>Strengthening economic and social development and inclusion, with particular attention to women, children</w:t>
            </w:r>
            <w:r>
              <w:rPr>
                <w:b/>
                <w:i/>
              </w:rPr>
              <w:t>,</w:t>
            </w:r>
            <w:r>
              <w:t xml:space="preserve"> youth </w:t>
            </w:r>
            <w:r>
              <w:rPr>
                <w:b/>
                <w:i/>
              </w:rPr>
              <w:t>and persons with disabilities</w:t>
            </w:r>
            <w:r>
              <w:t xml:space="preserve">, including through preventing brain drain, supporting vulnerable communities, promoting </w:t>
            </w:r>
            <w:r>
              <w:rPr>
                <w:b/>
                <w:i/>
              </w:rPr>
              <w:t>equality, including gender</w:t>
            </w:r>
            <w:r>
              <w:t xml:space="preserve"> equality, cultural inclusion, quality education, training, reskilling and upskilling, and supporting employment policies, labour rights and effective social protection systems;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Supporting the recovery, reconstruction and modernisation of Ukraine, in line with its accession path, by addressing the social, economic, security and environmental consequences of Russia’s war of aggression in Ukraine and contributing to the rebuilding of vital infrastructure, including energy, transport and digital infrastructure, thereby contributing to social cohesion, resilience and to the post-war recovery of free, culturally vibrant Ukrainian society, including by supporting culture and cultural heritage and by creating the social and economic conditions for internally displaced persons and persons under temporary protection to go back to Ukraine once conditions allow,</w:t>
            </w:r>
            <w:r>
              <w:rPr>
                <w:b/>
                <w:i/>
              </w:rPr>
              <w:t>,</w:t>
            </w:r>
            <w:r>
              <w:t xml:space="preserve"> and reintegrating the veteran population.</w:t>
            </w:r>
          </w:p>
        </w:tc>
        <w:tc>
          <w:tcPr>
            <w:tcW w:w="4876" w:type="dxa"/>
            <w:tcBorders>
              <w:top w:val="nil"/>
              <w:left w:val="nil"/>
              <w:bottom w:val="nil"/>
              <w:right w:val="nil"/>
            </w:tcBorders>
          </w:tcPr>
          <w:p>
            <w:pPr>
              <w:pStyle w:val="Normal6a"/>
            </w:pPr>
            <w:r>
              <w:t>b)</w:t>
            </w:r>
            <w:r>
              <w:tab/>
            </w:r>
            <w:r>
              <w:t>Supporting the recovery, reconstruction and modernisation of Ukraine, in line with its accession path, by addressing the social, economic, security and environmental consequences of Russia’s war of aggression in Ukraine</w:t>
            </w:r>
            <w:r>
              <w:rPr>
                <w:b/>
                <w:i/>
              </w:rPr>
              <w:t>, as well as the consequences on inequality,</w:t>
            </w:r>
            <w:r>
              <w:t xml:space="preserve"> and contributing to the rebuilding of vital infrastructure, including energy, transport and digital infrastructure</w:t>
            </w:r>
            <w:r>
              <w:rPr>
                <w:b/>
                <w:i/>
              </w:rPr>
              <w:t>, and strengthening gender equality and women's rights by accelerating gender-responsive reforms and institutions to align with EU Gender Equality requirements</w:t>
            </w:r>
            <w:r>
              <w:t>, thereby contributing to social cohesion, resilience and to the post-war recovery of free, culturally vibrant Ukrainian society, including by supporting culture and cultural heritage and by creating the social and economic conditions for internally displaced persons and persons under temporary protection to go back to Ukraine once conditions allow, and reintegrating the veteran population.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Supporting accountability efforts in the context of Russia’s war of aggression, including assistance to investigation and prosecution of international crimes committed in and against Ukraine, notably in relation to the crime of aggression, and to transitional justice and accountability mechanisms, including the Special Tribunal for the Crime of Aggression against Ukraine.</w:t>
            </w:r>
          </w:p>
        </w:tc>
        <w:tc>
          <w:tcPr>
            <w:tcW w:w="4876" w:type="dxa"/>
            <w:tcBorders>
              <w:top w:val="nil"/>
              <w:left w:val="nil"/>
              <w:bottom w:val="nil"/>
              <w:right w:val="nil"/>
            </w:tcBorders>
          </w:tcPr>
          <w:p>
            <w:pPr>
              <w:pStyle w:val="Normal6a"/>
            </w:pPr>
            <w:r>
              <w:t>c)</w:t>
            </w:r>
            <w:r>
              <w:tab/>
            </w:r>
            <w:r>
              <w:t xml:space="preserve">Supporting accountability efforts in the context of Russia’s war of aggression, including assistance to investigation and prosecution of international crimes committed in and against Ukraine </w:t>
            </w:r>
            <w:r>
              <w:rPr>
                <w:b/>
                <w:i/>
              </w:rPr>
              <w:t>and Ukrainians, including conflict-related sexual violence</w:t>
            </w:r>
            <w:r>
              <w:t>, notably in relation to the crime of aggression, and to transitional justice and accountability mechanisms, including the Special Tribunal for the Crime of Aggression against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2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Supporting the full implementation of the women, peace and security agenda, including strengthening the full, equal and meaningful participation and leadership of women and girls in all stages of a peace process, in conflict prevention and resolution and in recovery and reconstruction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Promoting and protecting democracy, the rule of law, human rights, good governance, human development and people to people relations</w:t>
            </w:r>
          </w:p>
        </w:tc>
        <w:tc>
          <w:tcPr>
            <w:tcW w:w="4876" w:type="dxa"/>
            <w:tcBorders>
              <w:top w:val="nil"/>
              <w:left w:val="nil"/>
              <w:bottom w:val="nil"/>
              <w:right w:val="nil"/>
            </w:tcBorders>
          </w:tcPr>
          <w:p>
            <w:pPr>
              <w:pStyle w:val="Normal6a"/>
            </w:pPr>
            <w:r>
              <w:t>(3)</w:t>
            </w:r>
            <w:r>
              <w:tab/>
            </w:r>
            <w:r>
              <w:t xml:space="preserve">Promoting and protecting democracy, the rule of law, human rights, good governance, </w:t>
            </w:r>
            <w:r>
              <w:rPr>
                <w:b/>
                <w:i/>
              </w:rPr>
              <w:t>gender equality,</w:t>
            </w:r>
            <w:r>
              <w:t xml:space="preserve"> human development and people to people relations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Safeguarding the space for civil society, civic and non-state actors and independent media; supporting the fight against foreign information manipulation and interference, </w:t>
            </w:r>
            <w:r>
              <w:rPr>
                <w:b/>
                <w:i/>
              </w:rPr>
              <w:t>supporting local and regional capacities for human rights protection, including national human rights institutions;</w:t>
            </w:r>
          </w:p>
        </w:tc>
        <w:tc>
          <w:tcPr>
            <w:tcW w:w="4876" w:type="dxa"/>
            <w:tcBorders>
              <w:top w:val="nil"/>
              <w:left w:val="nil"/>
              <w:bottom w:val="nil"/>
              <w:right w:val="nil"/>
            </w:tcBorders>
          </w:tcPr>
          <w:p>
            <w:pPr>
              <w:pStyle w:val="Normal6a"/>
            </w:pPr>
            <w:r>
              <w:t>b)</w:t>
            </w:r>
            <w:r>
              <w:tab/>
            </w:r>
            <w:r>
              <w:t>Safeguarding the space for civil society, civic and non-state actors and independent media; supporting the fight against foreign information manipulation and interference,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Supporting human right defenders, including women, and local and regional capacities for human rights protection, including national human rights institutions;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b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Supporting women's rights organisations as key drivers of gender equality, sustainable development, and poverty reduction and peace and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Protecting and promoting human rights, gender equality, children’s rights, the rights of persons with disabilities </w:t>
            </w:r>
            <w:r>
              <w:rPr>
                <w:b/>
                <w:i/>
              </w:rPr>
              <w:t>and</w:t>
            </w:r>
            <w:r>
              <w:t xml:space="preserve"> fighting against child labour and discrimination on any ground;</w:t>
            </w:r>
          </w:p>
        </w:tc>
        <w:tc>
          <w:tcPr>
            <w:tcW w:w="4876" w:type="dxa"/>
            <w:tcBorders>
              <w:top w:val="nil"/>
              <w:left w:val="nil"/>
              <w:bottom w:val="nil"/>
              <w:right w:val="nil"/>
            </w:tcBorders>
          </w:tcPr>
          <w:p>
            <w:pPr>
              <w:pStyle w:val="Normal6a"/>
            </w:pPr>
            <w:r>
              <w:t>c)</w:t>
            </w:r>
            <w:r>
              <w:tab/>
            </w:r>
            <w:r>
              <w:t xml:space="preserve">Protecting and promoting human rights, </w:t>
            </w:r>
            <w:r>
              <w:rPr>
                <w:b/>
                <w:i/>
              </w:rPr>
              <w:t>women's rights,</w:t>
            </w:r>
            <w:r>
              <w:t xml:space="preserve"> gender equality</w:t>
            </w:r>
            <w:r>
              <w:rPr>
                <w:b/>
                <w:i/>
              </w:rPr>
              <w:t>, sexual and reproductive health and rights</w:t>
            </w:r>
            <w:r>
              <w:t>, children’s rights, the rights of persons with disabilities</w:t>
            </w:r>
            <w:r>
              <w:rPr>
                <w:b/>
                <w:i/>
              </w:rPr>
              <w:t>, persons belonging to minorities, lesbian, gay, bisexual, trans and intersex (LGBTI) persons, and indigenous peoples as set out in the United Nations Declaration on the Rights of Indigenous Peoples (UNDRIP);</w:t>
            </w:r>
            <w:r>
              <w:t xml:space="preserve"> fighting against child labour and discrimination on any ground </w:t>
            </w:r>
            <w:r>
              <w:rPr>
                <w:b/>
                <w:i/>
              </w:rPr>
              <w:t>and in all its forms, including those facing multiple and intersecting forms of discrimination and promoting the principle of equality and non-discrimination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Strengthening the respect of human rights and international law and humanitarian law, with specific attention to protect the most vulnerable;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Enhancing quality and relevance of education, health and access to health products and social protection systems; fostering universal health coverage;</w:t>
            </w:r>
          </w:p>
        </w:tc>
        <w:tc>
          <w:tcPr>
            <w:tcW w:w="4876" w:type="dxa"/>
            <w:tcBorders>
              <w:top w:val="nil"/>
              <w:left w:val="nil"/>
              <w:bottom w:val="nil"/>
              <w:right w:val="nil"/>
            </w:tcBorders>
          </w:tcPr>
          <w:p>
            <w:pPr>
              <w:pStyle w:val="Normal6a"/>
            </w:pPr>
            <w:r>
              <w:t>d)</w:t>
            </w:r>
            <w:r>
              <w:tab/>
            </w:r>
            <w:r>
              <w:t>Enhancing quality and relevance of education, health and access to health products</w:t>
            </w:r>
            <w:r>
              <w:rPr>
                <w:b/>
                <w:i/>
              </w:rPr>
              <w:t>, including sexual and reproductive health services and commodities</w:t>
            </w:r>
            <w:r>
              <w:t xml:space="preserve"> and social protection systems; fostering universal health coverage;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Advancing the digital transition to unlock societal and economic opportunities both within private and public sector. Advancing secure and trusted digital infrastructures to underpin future developments of key economic and critical sectors. Developing data and AI economies, including by supporting AI innovation ecosystems. Supporting actions to close the digital divide </w:t>
            </w:r>
            <w:r>
              <w:rPr>
                <w:b/>
                <w:i/>
              </w:rPr>
              <w:t>and</w:t>
            </w:r>
            <w:r>
              <w:t xml:space="preserve"> to ensure accessible, affordable, inclusive, and secure digital connectivity solutions.</w:t>
            </w:r>
          </w:p>
        </w:tc>
        <w:tc>
          <w:tcPr>
            <w:tcW w:w="4876" w:type="dxa"/>
            <w:tcBorders>
              <w:top w:val="nil"/>
              <w:left w:val="nil"/>
              <w:bottom w:val="nil"/>
              <w:right w:val="nil"/>
            </w:tcBorders>
          </w:tcPr>
          <w:p>
            <w:pPr>
              <w:pStyle w:val="Normal6a"/>
            </w:pPr>
            <w:r>
              <w:t>e)</w:t>
            </w:r>
            <w:r>
              <w:tab/>
            </w:r>
            <w:r>
              <w:t xml:space="preserve">Advancing the digital transition </w:t>
            </w:r>
            <w:r>
              <w:rPr>
                <w:b/>
                <w:i/>
              </w:rPr>
              <w:t>in an inclusive manner</w:t>
            </w:r>
            <w:r>
              <w:t xml:space="preserve"> to unlock societal and economic opportunities both within private and public sector. Advancing secure and trusted digital infrastructures to underpin future developments of key economic and critical sectors. Developing data and AI economies, including by supporting AI innovation ecosystems. Supporting actions to close the digital divide</w:t>
            </w:r>
            <w:r>
              <w:rPr>
                <w:b/>
                <w:i/>
              </w:rPr>
              <w:t>, including to reduce the gender divide</w:t>
            </w:r>
            <w:r>
              <w:t xml:space="preserve"> to ensure accessible, affordable, inclusive, and secure digital connectivity solutions.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Supporting sustainable, safe, secure and resilient infrastructure and connectivity, including strengthening sustainable and safe road, rail, air and maritime transport, and promoting smart, inclusive and sustainable mobility, and the uptake of sustainable transport fuels;</w:t>
            </w:r>
          </w:p>
        </w:tc>
        <w:tc>
          <w:tcPr>
            <w:tcW w:w="4876" w:type="dxa"/>
            <w:tcBorders>
              <w:top w:val="nil"/>
              <w:left w:val="nil"/>
              <w:bottom w:val="nil"/>
              <w:right w:val="nil"/>
            </w:tcBorders>
          </w:tcPr>
          <w:p>
            <w:pPr>
              <w:pStyle w:val="Normal6a"/>
            </w:pPr>
            <w:r>
              <w:t>a)</w:t>
            </w:r>
            <w:r>
              <w:tab/>
            </w:r>
            <w:r>
              <w:t>Supporting sustainable, safe, secure</w:t>
            </w:r>
            <w:r>
              <w:rPr>
                <w:b/>
                <w:i/>
              </w:rPr>
              <w:t>, inclusive</w:t>
            </w:r>
            <w:r>
              <w:t xml:space="preserve"> and resilient infrastructure and connectivity, including strengthening sustainable and safe road, rail, air and maritime transport, and promoting smart, inclusive and sustainable mobility, and the uptake of sustainable transport fuels;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Strengthening the digital and space economy, supporting actions to close the digital divide, advancing secure and trusted digital infrastructures, promoting human-centric digital governance, including the development of modern data management and protection systems for safe data flows, developing data and AI economies, including by supporting AI innovation ecosystems; supporting cybersecurity and cyber capacity-building;</w:t>
            </w:r>
          </w:p>
        </w:tc>
        <w:tc>
          <w:tcPr>
            <w:tcW w:w="4876" w:type="dxa"/>
            <w:tcBorders>
              <w:top w:val="nil"/>
              <w:left w:val="nil"/>
              <w:bottom w:val="nil"/>
              <w:right w:val="nil"/>
            </w:tcBorders>
          </w:tcPr>
          <w:p>
            <w:pPr>
              <w:pStyle w:val="Normal6a"/>
            </w:pPr>
            <w:r>
              <w:t>b)</w:t>
            </w:r>
            <w:r>
              <w:tab/>
            </w:r>
            <w:r>
              <w:t xml:space="preserve">Strengthening the digital and space economy, supporting actions to close the digital divide </w:t>
            </w:r>
            <w:r>
              <w:rPr>
                <w:b/>
                <w:i/>
              </w:rPr>
              <w:t>including to reduce the gender divide to ensure accessible, affordable, inclusive, and secure digital connectivity solutions</w:t>
            </w:r>
            <w:r>
              <w:t>, advancing secure and trusted digital infrastructures, promoting human-centric digital governance, including the development of modern data management and protection systems for safe data flows, developing data and AI economies, including by supporting AI innovation ecosystems; supporting cybersecurity and cyber capacity-building;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1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Supporting women’s economic empowerment and the full realisation of women’s economic, social and cultural rights, including by enhancing women's access to economic resources, land ownership, financial services, and decent work, supporting women entrepreneurs and women-led SMEs and women’s participation in economic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Supporting greater access to and improved quality of education, healthcare services and health products and supporting food and nutrition security, and promoting access to climate resilient and safe water supply, sanitation and waste services;</w:t>
            </w:r>
          </w:p>
        </w:tc>
        <w:tc>
          <w:tcPr>
            <w:tcW w:w="4876" w:type="dxa"/>
            <w:tcBorders>
              <w:top w:val="nil"/>
              <w:left w:val="nil"/>
              <w:bottom w:val="nil"/>
              <w:right w:val="nil"/>
            </w:tcBorders>
          </w:tcPr>
          <w:p>
            <w:pPr>
              <w:pStyle w:val="Normal6a"/>
            </w:pPr>
            <w:r>
              <w:t>a)</w:t>
            </w:r>
            <w:r>
              <w:tab/>
            </w:r>
            <w:r>
              <w:t xml:space="preserve">Supporting greater access to and improved quality of education, </w:t>
            </w:r>
            <w:r>
              <w:rPr>
                <w:b/>
                <w:i/>
              </w:rPr>
              <w:t>including improving girls' access to education,</w:t>
            </w:r>
            <w:r>
              <w:t xml:space="preserve"> healthcare services and health products </w:t>
            </w:r>
            <w:r>
              <w:rPr>
                <w:b/>
                <w:i/>
              </w:rPr>
              <w:t>by strengthening public services systems, supporting health systems strengthening and the promotion of sexual and reproductive health and rights,</w:t>
            </w:r>
            <w:r>
              <w:t xml:space="preserve"> and supporting food and nutrition security, and promoting access to climate resilient and safe water supply, sanitation and waste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Promoting gender equality and the rights and empowerment of women and girls, </w:t>
            </w:r>
            <w:r>
              <w:rPr>
                <w:b/>
                <w:i/>
              </w:rPr>
              <w:t>preventing and combating</w:t>
            </w:r>
            <w:r>
              <w:t xml:space="preserve"> violence </w:t>
            </w:r>
            <w:r>
              <w:rPr>
                <w:b/>
                <w:i/>
              </w:rPr>
              <w:t>against women and</w:t>
            </w:r>
            <w:r>
              <w:t xml:space="preserve"> domestic violence </w:t>
            </w:r>
            <w:r>
              <w:rPr>
                <w:b/>
                <w:i/>
              </w:rPr>
              <w:t>protecting rights of persons with disabilities, of young people and of children, and fighting</w:t>
            </w:r>
            <w:r>
              <w:t xml:space="preserve"> child </w:t>
            </w:r>
            <w:r>
              <w:rPr>
                <w:b/>
                <w:i/>
              </w:rPr>
              <w:t>labour</w:t>
            </w:r>
            <w:r>
              <w:t>;</w:t>
            </w:r>
          </w:p>
        </w:tc>
        <w:tc>
          <w:tcPr>
            <w:tcW w:w="4876" w:type="dxa"/>
            <w:tcBorders>
              <w:top w:val="nil"/>
              <w:left w:val="nil"/>
              <w:bottom w:val="nil"/>
              <w:right w:val="nil"/>
            </w:tcBorders>
          </w:tcPr>
          <w:p>
            <w:pPr>
              <w:pStyle w:val="Normal6a"/>
            </w:pPr>
            <w:r>
              <w:t>c)</w:t>
            </w:r>
            <w:r>
              <w:tab/>
            </w:r>
            <w:r>
              <w:t xml:space="preserve">Promoting gender equality and the rights and empowerment of women and girls, </w:t>
            </w:r>
            <w:r>
              <w:rPr>
                <w:b/>
                <w:i/>
              </w:rPr>
              <w:t>eliminating gender-based</w:t>
            </w:r>
            <w:r>
              <w:t xml:space="preserve"> violence </w:t>
            </w:r>
            <w:r>
              <w:rPr>
                <w:b/>
                <w:i/>
              </w:rPr>
              <w:t>in all forms, including harmful practices such as</w:t>
            </w:r>
            <w:r>
              <w:t xml:space="preserve"> domestic violence</w:t>
            </w:r>
            <w:r>
              <w:rPr>
                <w:b/>
                <w:i/>
              </w:rPr>
              <w:t>, early forced and</w:t>
            </w:r>
            <w:r>
              <w:t xml:space="preserve"> child </w:t>
            </w:r>
            <w:r>
              <w:rPr>
                <w:b/>
                <w:i/>
              </w:rPr>
              <w:t>marriage and female genital mutilation, and ensuring access to sexual and reproductive health and rights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Promoting and protecting rights of persons with disabilities;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c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c)</w:t>
            </w:r>
            <w:r>
              <w:tab/>
            </w:r>
            <w:r>
              <w:rPr>
                <w:b/>
                <w:i/>
              </w:rPr>
              <w:t>Promoting and protecting the rights of young people and of children, fighting child labour and fostering young people’s empowerment in all policy areas and institutional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5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Strengthening the respect of human rights and international law, with specific attention to protect the most vulnerable;</w:t>
            </w:r>
          </w:p>
        </w:tc>
        <w:tc>
          <w:tcPr>
            <w:tcW w:w="4876" w:type="dxa"/>
            <w:tcBorders>
              <w:top w:val="nil"/>
              <w:left w:val="nil"/>
              <w:bottom w:val="nil"/>
              <w:right w:val="nil"/>
            </w:tcBorders>
          </w:tcPr>
          <w:p>
            <w:pPr>
              <w:pStyle w:val="Normal6a"/>
            </w:pPr>
            <w:r>
              <w:t>c)</w:t>
            </w:r>
            <w:r>
              <w:tab/>
            </w:r>
            <w:r>
              <w:t xml:space="preserve">Strengthening the respect of human rights and international law </w:t>
            </w:r>
            <w:r>
              <w:rPr>
                <w:b/>
                <w:i/>
              </w:rPr>
              <w:t>and humanitarian law</w:t>
            </w:r>
            <w:r>
              <w:t>, with specific attention to protect the most vulnerable;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5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Promoting </w:t>
            </w:r>
            <w:r>
              <w:rPr>
                <w:b/>
                <w:i/>
              </w:rPr>
              <w:t>respect for the principles</w:t>
            </w:r>
            <w:r>
              <w:t xml:space="preserve"> of equality and non-discrimination</w:t>
            </w:r>
            <w:r>
              <w:rPr>
                <w:b/>
                <w:i/>
              </w:rPr>
              <w:t>.</w:t>
            </w:r>
          </w:p>
        </w:tc>
        <w:tc>
          <w:tcPr>
            <w:tcW w:w="4876" w:type="dxa"/>
            <w:tcBorders>
              <w:top w:val="nil"/>
              <w:left w:val="nil"/>
              <w:bottom w:val="nil"/>
              <w:right w:val="nil"/>
            </w:tcBorders>
          </w:tcPr>
          <w:p>
            <w:pPr>
              <w:pStyle w:val="Normal6a"/>
            </w:pPr>
            <w:r>
              <w:t>d)</w:t>
            </w:r>
            <w:r>
              <w:tab/>
            </w:r>
            <w:r>
              <w:rPr>
                <w:b/>
                <w:i/>
              </w:rPr>
              <w:t>Fighting against discrimination in all its forms, and</w:t>
            </w:r>
            <w:r>
              <w:t xml:space="preserve"> promoting </w:t>
            </w:r>
            <w:r>
              <w:rPr>
                <w:b/>
                <w:i/>
              </w:rPr>
              <w:t>the principle</w:t>
            </w:r>
            <w:r>
              <w:t xml:space="preserve"> of equality and non-discrimination</w:t>
            </w:r>
            <w:r>
              <w:rPr>
                <w:b/>
                <w:i/>
              </w:rPr>
              <w:t>, in particular gender equality, rights of women and girls, the rights of the child, persons with disabilities, persons belonging to minorities, lesbian, gay, bisexual, trans and intersex (LGBTI) persons, and indigenous peoples as set out in the United Nations Declaration on the Rights of Indigenous Peoples (UNDRIP);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6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Supporting the full implementation of the women, peace and security agenda, including strengthening the full, equal and meaningful participation and leadership of women and girls in all stages of a peace process, in conflict prevention and resolution and in recovery and reconstruction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7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Supporting women's rights organisations as key drivers of gender equality, sustainable development, and poverty reduction and peace and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Supporting sustainable, safe, secure and resilient infrastructure and transport connectivity, including road, rail, air and maritime transport, and promoting smart and sustainable mobility, and the uptake of sustainable transport fuels;</w:t>
            </w:r>
          </w:p>
        </w:tc>
        <w:tc>
          <w:tcPr>
            <w:tcW w:w="4876" w:type="dxa"/>
            <w:tcBorders>
              <w:top w:val="nil"/>
              <w:left w:val="nil"/>
              <w:bottom w:val="nil"/>
              <w:right w:val="nil"/>
            </w:tcBorders>
          </w:tcPr>
          <w:p>
            <w:pPr>
              <w:pStyle w:val="Normal6a"/>
            </w:pPr>
            <w:r>
              <w:t>a)</w:t>
            </w:r>
            <w:r>
              <w:tab/>
            </w:r>
            <w:r>
              <w:t>Supporting sustainable, safe, secure</w:t>
            </w:r>
            <w:r>
              <w:rPr>
                <w:b/>
                <w:i/>
              </w:rPr>
              <w:t>, inclusive</w:t>
            </w:r>
            <w:r>
              <w:t xml:space="preserve"> and resilient infrastructure and transport connectivity, including road, rail, air and maritime transport, and promoting smart and sustainable mobility, and the uptake of sustainable transport fuels;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1 – point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Promoting secure digital and space economy, supporting actions to close the digital divide, advancing secure and trusted digital infrastructures, promoting human-centric digital governance, includingthe development of modern data management and protection systems for safe data flows;</w:t>
            </w:r>
          </w:p>
        </w:tc>
        <w:tc>
          <w:tcPr>
            <w:tcW w:w="4876" w:type="dxa"/>
            <w:tcBorders>
              <w:top w:val="nil"/>
              <w:left w:val="nil"/>
              <w:bottom w:val="nil"/>
              <w:right w:val="nil"/>
            </w:tcBorders>
          </w:tcPr>
          <w:p>
            <w:pPr>
              <w:pStyle w:val="Normal6a"/>
            </w:pPr>
            <w:r>
              <w:t>e)</w:t>
            </w:r>
            <w:r>
              <w:tab/>
            </w:r>
            <w:r>
              <w:t xml:space="preserve">Promoting secure digital and space economy, supporting actions to close the digital </w:t>
            </w:r>
            <w:r>
              <w:rPr>
                <w:b/>
                <w:i/>
              </w:rPr>
              <w:t>gender</w:t>
            </w:r>
            <w:r>
              <w:t xml:space="preserve"> divide </w:t>
            </w:r>
            <w:r>
              <w:rPr>
                <w:b/>
                <w:i/>
              </w:rPr>
              <w:t>to ensure accessible, affordable, inclusive, and secure digital connectivity solutions</w:t>
            </w:r>
            <w:r>
              <w:t>, advancing secure and trusted digital infrastructures, promoting human-centric digital governance, includingthe development of modern data management and protection systems for safe data flows;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1 – point i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Supporting women’s economic empowerment and the full realisation of women’s economic, social and cultural rights, including by increasing women's access to economic resources, land ownership, financial services, and decent work, supporting women entrepreneurs and women-led SMEs and increasing women’s participation in economic decision-making;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Supporting access to and improved quality of education, healthcare services and health products and nutrition;</w:t>
            </w:r>
          </w:p>
        </w:tc>
        <w:tc>
          <w:tcPr>
            <w:tcW w:w="4876" w:type="dxa"/>
            <w:tcBorders>
              <w:top w:val="nil"/>
              <w:left w:val="nil"/>
              <w:bottom w:val="nil"/>
              <w:right w:val="nil"/>
            </w:tcBorders>
          </w:tcPr>
          <w:p>
            <w:pPr>
              <w:pStyle w:val="Normal6a"/>
            </w:pPr>
            <w:r>
              <w:t>a)</w:t>
            </w:r>
            <w:r>
              <w:tab/>
            </w:r>
            <w:r>
              <w:t>Supporting access to and improved quality of education, healthcare services and health products</w:t>
            </w:r>
            <w:r>
              <w:rPr>
                <w:b/>
                <w:i/>
              </w:rPr>
              <w:t>, including sexual and reproductive health services and commodities,</w:t>
            </w:r>
            <w:r>
              <w:t xml:space="preserve"> and nutrition;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Promoting gender equality and the rights and empowerment of women and girls, </w:t>
            </w:r>
            <w:r>
              <w:rPr>
                <w:b/>
                <w:i/>
              </w:rPr>
              <w:t>protecting rights of persons with disabilities and of children and fighting child labour, preventing and combating</w:t>
            </w:r>
            <w:r>
              <w:t xml:space="preserve"> violence </w:t>
            </w:r>
            <w:r>
              <w:rPr>
                <w:b/>
                <w:i/>
              </w:rPr>
              <w:t>against women and domestic violence</w:t>
            </w:r>
            <w:r>
              <w:t>;</w:t>
            </w:r>
          </w:p>
        </w:tc>
        <w:tc>
          <w:tcPr>
            <w:tcW w:w="4876" w:type="dxa"/>
            <w:tcBorders>
              <w:top w:val="nil"/>
              <w:left w:val="nil"/>
              <w:bottom w:val="nil"/>
              <w:right w:val="nil"/>
            </w:tcBorders>
          </w:tcPr>
          <w:p>
            <w:pPr>
              <w:pStyle w:val="Normal6a"/>
            </w:pPr>
            <w:r>
              <w:t>c)</w:t>
            </w:r>
            <w:r>
              <w:tab/>
            </w:r>
            <w:r>
              <w:t xml:space="preserve">Promoting gender equality and the rights and empowerment of women and girls, </w:t>
            </w:r>
            <w:r>
              <w:rPr>
                <w:b/>
                <w:i/>
              </w:rPr>
              <w:t>eliminating gender-based</w:t>
            </w:r>
            <w:r>
              <w:t xml:space="preserve"> violence </w:t>
            </w:r>
            <w:r>
              <w:rPr>
                <w:b/>
                <w:i/>
              </w:rPr>
              <w:t>in all forms, including harmful practices such as early, forced and child marriage and female genital mutilation, and ensuring access to sexual and reproductive health and rights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Promoting and protecting rights of persons with disabilities;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c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c)</w:t>
            </w:r>
            <w:r>
              <w:tab/>
            </w:r>
            <w:r>
              <w:rPr>
                <w:b/>
                <w:i/>
              </w:rPr>
              <w:t>Promoting and protecting rights of young people and of children, fighting child labour and fostering young people’s empowerment in all policy areas and institutional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6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Supporting the full implementation of the women, peace and security agenda, including strengthening the full, equal and meaningful participation and leadership of women and girls in all stages of a peace process, in conflict prevention and resolution and in recovery and reconstruction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7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Supporting women's rights organisations as key drivers of gender equality, sustainable development, and poverty reduction and peace and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Supporting the full implementation of the women, peace and security agenda, including strengthening the full, equal and meaningful participation and leadership of women and girls in all stages of a peace process, in conflict prevention and resolution and in recovery and reconstruction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Promoting human rights, human development, democracy and rule of law</w:t>
            </w:r>
          </w:p>
        </w:tc>
        <w:tc>
          <w:tcPr>
            <w:tcW w:w="4876" w:type="dxa"/>
            <w:tcBorders>
              <w:top w:val="nil"/>
              <w:left w:val="nil"/>
              <w:bottom w:val="nil"/>
              <w:right w:val="nil"/>
            </w:tcBorders>
          </w:tcPr>
          <w:p>
            <w:pPr>
              <w:pStyle w:val="Normal6a"/>
            </w:pPr>
            <w:r>
              <w:t>(4)</w:t>
            </w:r>
            <w:r>
              <w:tab/>
            </w:r>
            <w:r>
              <w:t xml:space="preserve">Promoting human rights, human development, </w:t>
            </w:r>
            <w:r>
              <w:rPr>
                <w:b/>
                <w:i/>
              </w:rPr>
              <w:t>gender equality,</w:t>
            </w:r>
            <w:r>
              <w:t xml:space="preserve"> democracy and rule of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Promoting gender equality and the rights and empowerment of women and girls, </w:t>
            </w:r>
            <w:r>
              <w:rPr>
                <w:b/>
                <w:i/>
              </w:rPr>
              <w:t>preventing and combating</w:t>
            </w:r>
            <w:r>
              <w:t xml:space="preserve"> violence </w:t>
            </w:r>
            <w:r>
              <w:rPr>
                <w:b/>
                <w:i/>
              </w:rPr>
              <w:t>against women and domestic violence, as well as promoting young people’s empowerment</w:t>
            </w:r>
            <w:r>
              <w:t xml:space="preserve"> in all </w:t>
            </w:r>
            <w:r>
              <w:rPr>
                <w:b/>
                <w:i/>
              </w:rPr>
              <w:t>policy areas and institutional processes</w:t>
            </w:r>
            <w:r>
              <w:t>;</w:t>
            </w:r>
          </w:p>
        </w:tc>
        <w:tc>
          <w:tcPr>
            <w:tcW w:w="4876" w:type="dxa"/>
            <w:tcBorders>
              <w:top w:val="nil"/>
              <w:left w:val="nil"/>
              <w:bottom w:val="nil"/>
              <w:right w:val="nil"/>
            </w:tcBorders>
          </w:tcPr>
          <w:p>
            <w:pPr>
              <w:pStyle w:val="Normal6a"/>
            </w:pPr>
            <w:r>
              <w:t>b)</w:t>
            </w:r>
            <w:r>
              <w:tab/>
            </w:r>
            <w:r>
              <w:t xml:space="preserve">Promoting gender equality and the rights and empowerment of women and girls, </w:t>
            </w:r>
            <w:r>
              <w:rPr>
                <w:b/>
                <w:i/>
              </w:rPr>
              <w:t>eliminating gender-based</w:t>
            </w:r>
            <w:r>
              <w:t xml:space="preserve"> violence in all </w:t>
            </w:r>
            <w:r>
              <w:rPr>
                <w:b/>
                <w:i/>
              </w:rPr>
              <w:t>forms, including harmful practices, and ensuring access to sexual and reproductive health and rights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Promoting and protecting rights of young people and of children, and fostering young people’s empowerment in all policy areas and institutional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b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c)</w:t>
            </w:r>
            <w:r>
              <w:tab/>
            </w:r>
            <w:r>
              <w:rPr>
                <w:b/>
                <w:i/>
              </w:rPr>
              <w:t>Promoting and protecting rights of persons with disabilities;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Supporting greater access to and improved quality of education, healthcare services and health products, and supporting food and nutrition security, and access to climate resilient and safe water supply and water efficiency, sanitation inclusive of all and waste services, protecting rights of persons with disabilities and of children and fighting child labour;</w:t>
            </w:r>
          </w:p>
        </w:tc>
        <w:tc>
          <w:tcPr>
            <w:tcW w:w="4876" w:type="dxa"/>
            <w:tcBorders>
              <w:top w:val="nil"/>
              <w:left w:val="nil"/>
              <w:bottom w:val="nil"/>
              <w:right w:val="nil"/>
            </w:tcBorders>
          </w:tcPr>
          <w:p>
            <w:pPr>
              <w:pStyle w:val="Normal6a"/>
            </w:pPr>
            <w:r>
              <w:t>d)</w:t>
            </w:r>
            <w:r>
              <w:tab/>
            </w:r>
            <w:r>
              <w:t xml:space="preserve">Supporting greater access to and improved quality of education, healthcare services and health products </w:t>
            </w:r>
            <w:r>
              <w:rPr>
                <w:b/>
                <w:i/>
              </w:rPr>
              <w:t>including sexual and reproductive health services and commodities</w:t>
            </w:r>
            <w:r>
              <w:t>, and supporting food and nutrition security, and access to climate resilient and safe water supply and water efficiency, sanitation inclusive of all and waste services, protecting rights of persons with disabilities and of children and fighting child labour;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5 – point f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Supporting women's rights organisations as key drivers of gender equality, sustainable development, and poverty reduction and peace and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Supporting human development</w:t>
            </w:r>
          </w:p>
        </w:tc>
        <w:tc>
          <w:tcPr>
            <w:tcW w:w="4876" w:type="dxa"/>
            <w:tcBorders>
              <w:top w:val="nil"/>
              <w:left w:val="nil"/>
              <w:bottom w:val="nil"/>
              <w:right w:val="nil"/>
            </w:tcBorders>
          </w:tcPr>
          <w:p>
            <w:pPr>
              <w:pStyle w:val="Normal6a"/>
            </w:pPr>
            <w:r>
              <w:t>(1)</w:t>
            </w:r>
            <w:r>
              <w:tab/>
            </w:r>
            <w:r>
              <w:t xml:space="preserve">Supporting human development </w:t>
            </w:r>
            <w:r>
              <w:rPr>
                <w:b/>
                <w:i/>
              </w:rPr>
              <w:t>and gender 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Promoting gender equality and </w:t>
            </w:r>
            <w:r>
              <w:rPr>
                <w:b/>
                <w:i/>
              </w:rPr>
              <w:t>empowerment of women</w:t>
            </w:r>
            <w:r>
              <w:t xml:space="preserve"> and girls and addressing inequalities;</w:t>
            </w:r>
          </w:p>
        </w:tc>
        <w:tc>
          <w:tcPr>
            <w:tcW w:w="4876" w:type="dxa"/>
            <w:tcBorders>
              <w:top w:val="nil"/>
              <w:left w:val="nil"/>
              <w:bottom w:val="nil"/>
              <w:right w:val="nil"/>
            </w:tcBorders>
          </w:tcPr>
          <w:p>
            <w:pPr>
              <w:pStyle w:val="Normal6a"/>
            </w:pPr>
            <w:r>
              <w:t>c)</w:t>
            </w:r>
            <w:r>
              <w:tab/>
            </w:r>
            <w:r>
              <w:t>Promoting gender equality and </w:t>
            </w:r>
            <w:r>
              <w:rPr>
                <w:b/>
                <w:i/>
              </w:rPr>
              <w:t>protecting women’s</w:t>
            </w:r>
            <w:r>
              <w:t xml:space="preserve"> and girls</w:t>
            </w:r>
            <w:r>
              <w:rPr>
                <w:b/>
                <w:i/>
              </w:rPr>
              <w:t>’ rights, including sexual and reproductive health and rights</w:t>
            </w:r>
            <w:r>
              <w:t xml:space="preserve"> and addressing inequalities;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2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Accelerating the deployment of accessible, affordable, inclusive, sustainable, safe and secure digital connectivity, including satellite connectivity, and promoting a human-centric and secure digital economy and global governance;</w:t>
            </w:r>
          </w:p>
        </w:tc>
        <w:tc>
          <w:tcPr>
            <w:tcW w:w="4876" w:type="dxa"/>
            <w:tcBorders>
              <w:top w:val="nil"/>
              <w:left w:val="nil"/>
              <w:bottom w:val="nil"/>
              <w:right w:val="nil"/>
            </w:tcBorders>
          </w:tcPr>
          <w:p>
            <w:pPr>
              <w:pStyle w:val="Normal6a"/>
            </w:pPr>
            <w:r>
              <w:t>c)</w:t>
            </w:r>
            <w:r>
              <w:tab/>
            </w:r>
            <w:r>
              <w:t xml:space="preserve">Accelerating the deployment of accessible, affordable, inclusive, sustainable, safe and secure digital connectivity, including satellite connectivity, </w:t>
            </w:r>
            <w:r>
              <w:rPr>
                <w:b/>
                <w:i/>
              </w:rPr>
              <w:t>measures to close the digital gender divide</w:t>
            </w:r>
            <w:r>
              <w:t xml:space="preserve"> and promoting a human-centric</w:t>
            </w:r>
            <w:r>
              <w:rPr>
                <w:b/>
                <w:i/>
              </w:rPr>
              <w:t>, inclusive</w:t>
            </w:r>
            <w:r>
              <w:t xml:space="preserve"> and secure digital economy and global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3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Upholding human rights and fundamental freedoms, promoting the </w:t>
            </w:r>
            <w:r>
              <w:rPr>
                <w:b/>
                <w:i/>
              </w:rPr>
              <w:t>principles</w:t>
            </w:r>
            <w:r>
              <w:t xml:space="preserve"> of equality and non-discrimination, protecting and enhancing an enabling civic space, including by empowering human rights defenders and their networks worldwide;</w:t>
            </w:r>
          </w:p>
        </w:tc>
        <w:tc>
          <w:tcPr>
            <w:tcW w:w="4876" w:type="dxa"/>
            <w:tcBorders>
              <w:top w:val="nil"/>
              <w:left w:val="nil"/>
              <w:bottom w:val="nil"/>
              <w:right w:val="nil"/>
            </w:tcBorders>
          </w:tcPr>
          <w:p>
            <w:pPr>
              <w:pStyle w:val="Normal6a"/>
            </w:pPr>
            <w:r>
              <w:t>a)</w:t>
            </w:r>
            <w:r>
              <w:tab/>
            </w:r>
            <w:r>
              <w:t xml:space="preserve">Upholding human rights and fundamental freedoms, </w:t>
            </w:r>
            <w:r>
              <w:rPr>
                <w:b/>
                <w:i/>
              </w:rPr>
              <w:t>fighting against discrimination in all its forms, and</w:t>
            </w:r>
            <w:r>
              <w:t xml:space="preserve"> promoting the </w:t>
            </w:r>
            <w:r>
              <w:rPr>
                <w:b/>
                <w:i/>
              </w:rPr>
              <w:t>principle</w:t>
            </w:r>
            <w:r>
              <w:t xml:space="preserve"> of equality and non-discrimination, </w:t>
            </w:r>
            <w:r>
              <w:rPr>
                <w:b/>
                <w:i/>
              </w:rPr>
              <w:t>in particular gender equality, rights and empowerment of women and girls, the rights of the child, persons with disabilities, persons belonging to minorities, lesbian, gay, bisexual, trans and intersex (LGBTI) persons, and indigenous peoples as set out in the United Nations Declaration on the Rights of Indigenous Peoples (UNDRIP);</w:t>
            </w:r>
            <w:r>
              <w:t xml:space="preserve"> protecting and enhancing an enabling civic space, including by empowering human rights defenders and their networks worldwide</w:t>
            </w:r>
            <w:r>
              <w:rPr>
                <w:b/>
                <w:i/>
              </w:rPr>
              <w:t>, and support protection mechanisms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4 – point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Supporting the full implementation of the women, peace and security agenda, including strengthening the full, equal and meaningful participation and leadership of women and girls in all stages of a peace process, in conflict prevention and resolution and in recovery and reconstruction processes;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12b"/>
      </w:pPr>
      <w:r>
        <w:rPr>
          <w:rStyle w:val="HideTWBExt"/>
        </w:rPr>
        <w:t>&lt;DocAmend&gt;</w:t>
      </w:r>
      <w:r>
        <w:t>Proposal for a regulation</w:t>
      </w:r>
      <w:r>
        <w:rPr>
          <w:rStyle w:val="HideTWBExt"/>
        </w:rPr>
        <w:t>&lt;/DocAmend&gt;</w:t>
      </w:r>
    </w:p>
    <w:p>
      <w:pPr>
        <w:pStyle w:val="NormalBold"/>
      </w:pPr>
      <w:r>
        <w:rPr>
          <w:rStyle w:val="HideTWBExt"/>
        </w:rPr>
        <w:t>&lt;Article&gt;</w:t>
      </w:r>
      <w:r>
        <w:t>Annex II – point 5 – point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Supporting women's rights organisations as key drivers of gender equality, sustainable development, and poverty reduction and peace and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785.122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42</w:t>
    </w:r>
    <w:r>
      <w:fldChar w:fldCharType="end"/>
    </w:r>
    <w:r>
      <w:t>/</w:t>
    </w:r>
    <w:r>
      <w:fldChar w:fldCharType="begin"/>
    </w:r>
    <w:r>
      <w:instrText xml:space="preserve"> NUMPAGES </w:instrText>
    </w:r>
    <w:r>
      <w:fldChar w:fldCharType="separate"/>
    </w:r>
    <w:r>
      <w:t>43</w:t>
    </w:r>
    <w:r>
      <w:fldChar w:fldCharType="end"/>
    </w:r>
    <w:r>
      <w:tab/>
    </w:r>
    <w:r>
      <w:rPr>
        <w:rStyle w:val="HideTWBExt"/>
      </w:rPr>
      <w:t>&lt;PathFdR&gt;</w:t>
    </w:r>
    <w:r>
      <w:t>PA\1338012EN.docx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PA\1338012EN.docx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43</w:t>
    </w:r>
    <w:r>
      <w:fldChar w:fldCharType="end"/>
    </w:r>
    <w:r>
      <w:tab/>
    </w:r>
    <w:r>
      <w:t>PE</w:t>
    </w:r>
    <w:r>
      <w:rPr>
        <w:rStyle w:val="HideTWBExt"/>
      </w:rPr>
      <w:t>&lt;NoPE&gt;</w:t>
    </w:r>
    <w:r>
      <w:t>785.122</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PA\1338012EN.docx</w:t>
    </w:r>
    <w:r>
      <w:rPr>
        <w:rStyle w:val="HideTWBExt"/>
      </w:rPr>
      <w:t>&lt;/PathFdR&gt;</w:t>
    </w:r>
    <w:r>
      <w:tab/>
    </w:r>
    <w:r>
      <w:tab/>
    </w:r>
    <w:r>
      <w:t>PE</w:t>
    </w:r>
    <w:r>
      <w:rPr>
        <w:rStyle w:val="HideTWBExt"/>
      </w:rPr>
      <w:t>&lt;NoPE&gt;</w:t>
    </w:r>
    <w:r>
      <w:t>785.122</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225733 HideTWBExt;}{\s16\ql \li0\ri0\sa120\nowidctlpar\wrapdefault\aspalpha\aspnum\faauto\adjustright\rin0\lin0\itap0 \rtlch\fcs1 \af0\afs20\alang1025 \ltrch\fcs0 &#13;_x000a_\fs24\lang2057\langfe2057\cgrid\langnp2057\langfenp2057 \sbasedon0 \snext16 \spriority0 \styrsid15225733 Normal6a;}{\s17\ql \li0\ri0\nowidctlpar\wrapdefault\aspalpha\aspnum\faauto\adjustright\rin0\lin0\itap0 \rtlch\fcs1 \af0\afs20\alang1025 \ltrch\fcs0 &#13;_x000a_\b\fs24\lang2057\langfe2057\cgrid\langnp2057\langfenp2057 \sbasedon0 \snext17 \spriority0 \styrsid15225733 NormalBold;}{\s18\qr \li0\ri0\sb240\sa240\nowidctlpar\wrapdefault\aspalpha\aspnum\faauto\adjustright\rin0\lin0\itap0 \rtlch\fcs1 &#13;_x000a_\af0\afs20\alang1025 \ltrch\fcs0 \fs24\lang2057\langfe2057\cgrid\langnp2057\langfenp2057 \sbasedon0 \snext18 \spriority0 \styrsid15225733 AmOrLang;}{\s19\qc \li0\ri0\sa240\nowidctlpar\wrapdefault\aspalpha\aspnum\faauto\adjustright\rin0\lin0\itap0 &#13;_x000a_\rtlch\fcs1 \af0\afs20\alang1025 \ltrch\fcs0 \i\fs24\lang2057\langfe2057\cgrid\langnp2057\langfenp2057 \sbasedon0 \snext19 \spriority0 \styrsid15225733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5225733 AmNumberTabs;}{\s21\ql \li0\ri0\sb240\nowidctlpar\wrapdefault\aspalpha\aspnum\faauto\adjustright\rin0\lin0\itap0 \rtlch\fcs1 &#13;_x000a_\af0\afs20\alang1025 \ltrch\fcs0 \b\fs24\lang2057\langfe2057\cgrid\langnp2057\langfenp2057 \sbasedon0 \snext21 \spriority0 \styrsid15225733 NormalBold12b;}}{\*\rsidtbl \rsid24658\rsid358857\rsid735077\rsid787282\rsid2892074\rsid3622648\rsid4666813&#13;_x000a_\rsid5708216\rsid6641733\rsid7553164\rsid8465581\rsid8681905\rsid8724649\rsid9636012\rsid9862312\rsid11101816\rsid11215221\rsid11370291\rsid11434737\rsid11607138\rsid11824949\rsid12154954\rsid14424199\rsid15204470\rsid15225733\rsid15285974\rsid15535219&#13;_x000a_\rsid15950462\rsid16324206\rsid16662270}{\mmathPr\mmathFont34\mbrkBin0\mbrkBinSub0\msmallFrac0\mdispDef1\mlMargin0\mrMargin0\mdefJc1\mwrapIndent1440\mintLim0\mnaryLim1}{\info{\author FELIX Karina}{\operator FELIX Karina}{\creatim\yr2019\mo7\dy4\hr11\min4}&#13;_x000a_{\revtim\yr2019\mo7\dy4\hr11\min4}{\version1}{\edmins0}{\nofpages1}{\nofwords29}{\nofchars168}{\*\company European Parliament}{\nofcharsws19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22573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101816 &#13;_x000a_\chftnsep &#13;_x000a_\par }}{\*\ftnsepc \ltrpar \pard\plain \ltrpar\ql \li0\ri0\widctlpar\wrapdefault\aspalpha\aspnum\faauto\adjustright\rin0\lin0\itap0 \rtlch\fcs1 \af0\afs20\alang1025 \ltrch\fcs0 \fs24\lang2057\langfe2057\cgrid\langnp2057\langfenp2057 {\rtlch\fcs1 \af0 &#13;_x000a_\ltrch\fcs0 \insrsid11101816 \chftnsepc &#13;_x000a_\par }}{\*\aftnsep \ltrpar \pard\plain \ltrpar\ql \li0\ri0\widctlpar\wrapdefault\aspalpha\aspnum\faauto\adjustright\rin0\lin0\itap0 \rtlch\fcs1 \af0\afs20\alang1025 \ltrch\fcs0 \fs24\lang2057\langfe2057\cgrid\langnp2057\langfenp2057 {\rtlch\fcs1 \af0 &#13;_x000a_\ltrch\fcs0 \insrsid11101816 \chftnsep &#13;_x000a_\par }}{\*\aftnsepc \ltrpar \pard\plain \ltrpar\ql \li0\ri0\widctlpar\wrapdefault\aspalpha\aspnum\faauto\adjustright\rin0\lin0\itap0 \rtlch\fcs1 \af0\afs20\alang1025 \ltrch\fcs0 \fs24\lang2057\langfe2057\cgrid\langnp2057\langfenp2057 {\rtlch\fcs1 \af0 &#13;_x000a_\ltrch\fcs0 \insrsid1110181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5225733 \rtlch\fcs1 \af0\afs20\alang1025 \ltrch\fcs0 \b\fs24\lang2057\langfe2057\cgrid\langnp2057\langfenp2057 {\rtlch\fcs1 \af0 \ltrch\fcs0 \cs15\b0\v\f1\fs20\cf9\insrsid15225733\charrsid15879488 {\*\bkmkstart restartA}&lt;AmendA&gt;}{&#13;_x000a_\rtlch\fcs1 \af0 \ltrch\fcs0 \insrsid15225733\charrsid15879488 [ZAMENDMENT]\tab \tab }{\rtlch\fcs1 \af0 \ltrch\fcs0 \cs15\b0\v\f1\fs20\cf9\insrsid15225733\charrsid15879488 &lt;NumAmA&gt;}{\rtlch\fcs1 \af0 \ltrch\fcs0 \insrsid15225733\charrsid15879488 [ZNRAM]}{&#13;_x000a_\rtlch\fcs1 \af0 \ltrch\fcs0 \cs15\b0\v\f1\fs20\cf9\insrsid15225733\charrsid15879488 &lt;/NumAmA&gt;}{\rtlch\fcs1 \af0 \ltrch\fcs0 \insrsid15225733\charrsid15879488 &#13;_x000a_\par }\pard\plain \ltrpar\s21\ql \li0\ri0\sb240\keepn\nowidctlpar\wrapdefault\aspalpha\aspnum\faauto\adjustright\rin0\lin0\itap0\pararsid15225733 \rtlch\fcs1 \af0\afs20\alang1025 \ltrch\fcs0 \b\fs24\lang2057\langfe2057\cgrid\langnp2057\langfenp2057 {&#13;_x000a_\rtlch\fcs1 \af0 \ltrch\fcs0 \cs15\b0\v\f1\fs20\cf9\lang1036\langfe2057\langnp1036\insrsid15225733\charrsid11356624 &lt;DocAmend&gt;}{\rtlch\fcs1 \af0 \ltrch\fcs0 \lang1036\langfe2057\langnp1036\insrsid15225733\charrsid11356624 [ZRESOLUTION]}{\rtlch\fcs1 \af0 &#13;_x000a_\ltrch\fcs0 \cs15\b0\v\f1\fs20\cf9\lang1036\langfe2057\langnp1036\insrsid15225733\charrsid11356624 &lt;/DocAmend&gt;}{\rtlch\fcs1 \af0 \ltrch\fcs0 \lang1036\langfe2057\langnp1036\insrsid15225733\charrsid11356624 &#13;_x000a_\par }\pard\plain \ltrpar\s17\ql \li0\ri0\nowidctlpar\wrapdefault\aspalpha\aspnum\faauto\adjustright\rin0\lin0\itap0\pararsid15225733 \rtlch\fcs1 \af0\afs20\alang1025 \ltrch\fcs0 \b\fs24\lang2057\langfe2057\cgrid\langnp2057\langfenp2057 {\rtlch\fcs1 \af0 &#13;_x000a_\ltrch\fcs0 \cs15\b0\v\f1\fs20\cf9\lang1036\langfe2057\langnp1036\insrsid15225733\charrsid11356624 &lt;Article&gt;}{\rtlch\fcs1 \af0 \ltrch\fcs0 \lang1036\langfe2057\langnp1036\insrsid15225733\charrsid11356624 [ZRESPART]}{\rtlch\fcs1 \af0 \ltrch\fcs0 &#13;_x000a_\cs15\b0\v\f1\fs20\cf9\lang1036\langfe2057\langnp1036\insrsid15225733\charrsid11356624 &lt;/Article&gt;}{\rtlch\fcs1 \af0 \ltrch\fcs0 \lang1036\langfe2057\langnp1036\insrsid15225733\charrsid11356624 &#13;_x000a_\par \ltrrow}\trowd \irow0\irowband0\ltrrow\ts11\trqc\trgaph340\trleft-340\trftsWidth1\trftsWidthB3\trpaddl340\trpaddr340\trpaddfl3\trpaddft3\trpaddfb3\trpaddfr3\tblrsid14374628\tblind0\tblindtype3 \clvertalt\clbrdrt\brdrtbl \clbrdrl\brdrtbl \clbrdrb\brdrtbl &#13;_x000a_\clbrdrr\brdrtbl \cltxlrtb\clftsWidth3\clwWidth9752\clshdrawnil \cellx9412\pard\plain \ltrpar\ql \li0\ri0\keepn\widctlpar\intbl\wrapdefault\aspalpha\aspnum\faauto\adjustright\rin0\lin0\pararsid14374628 \rtlch\fcs1 \af0\afs20\alang1025 \ltrch\fcs0 &#13;_x000a_\fs24\lang2057\langfe2057\cgrid\langnp2057\langfenp2057 {\rtlch\fcs1 \af0 \ltrch\fcs0 \lang1036\langfe2057\langnp1036\insrsid15225733\charrsid11356624 \cell }\pard\plain \ltrpar&#13;_x000a_\ql \li0\ri0\widctlpar\intbl\wrapdefault\aspalpha\aspnum\faauto\adjustright\rin0\lin0 \rtlch\fcs1 \af0\afs20\alang1025 \ltrch\fcs0 \fs24\lang2057\langfe2057\cgrid\langnp2057\langfenp2057 {\rtlch\fcs1 \af0 \ltrch\fcs0 \insrsid15225733\charrsid11356624 &#13;_x000a_\trowd \irow0\irowband0\ltrrow\ts11\trqc\trgaph340\trleft-340\trftsWidth1\trftsWidthB3\trpaddl340\trpaddr340\trpaddfl3\trpaddft3\trpaddfb3\trpaddfr3\tblrsid14374628\tblind0\tblindtype3 \clvertalt\clbrdrt\brdrtbl \clbrdrl\brdrtbl \clbrdrb\brdrtbl \clbrdrr&#13;_x000a_\brdrtbl \cltxlrtb\clftsWidth3\clwWidth9752\clshdrawnil \cellx9412\row \ltrrow}\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4374628 \rtlch\fcs1 \af0\afs20\alang1025 \ltrch\fcs0 \i\fs24\lang2057\langfe2057\cgrid\langnp2057\langfenp2057 {\rtlch\fcs1 \af0 \ltrch\fcs0 &#13;_x000a_\insrsid15225733\charrsid15879488 [ZLEFTA]\cell [ZRIGHT]\cell }\pard\plain \ltrpar\ql \li0\ri0\widctlpar\intbl\wrapdefault\aspalpha\aspnum\faauto\adjustright\rin0\lin0 \rtlch\fcs1 \af0\afs20\alang1025 \ltrch\fcs0 &#13;_x000a_\fs24\lang2057\langfe2057\cgrid\langnp2057\langfenp2057 {\rtlch\fcs1 \af0 \ltrch\fcs0 \insrsid15225733\charrsid15879488 \trowd \irow1\irowband1\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225733\charrsid15879488 [ZTEXTL]\cell [ZTEXTR]}{\rtlch\fcs1 \af0\afs24 \ltrch\fcs0 \insrsid15225733\charrsid15879488 \cell }\pard\plain \ltrpar\ql \li0\ri0\widctlpar\intbl\wrapdefault\aspalpha\aspnum\faauto\adjustright\rin0\lin0 \rtlch\fcs1 &#13;_x000a_\af0\afs20\alang1025 \ltrch\fcs0 \fs24\lang2057\langfe2057\cgrid\langnp2057\langfenp2057 {\rtlch\fcs1 \af0 \ltrch\fcs0 \insrsid15225733\charrsid15879488 \trowd \irow2\irowband2\lastrow \ltrrow&#13;_x000a_\ts11\trqc\trgaph340\trleft-340\trftsWidth1\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15225733 \rtlch\fcs1 \af0\afs20\alang1025 \ltrch\fcs0 \fs24\lang2057\langfe2057\cgrid\langnp2057\langfenp2057 {\rtlch\fcs1 \af0 \ltrch\fcs0 &#13;_x000a_\insrsid15225733\charrsid15879488 Or. }{\rtlch\fcs1 \af0 \ltrch\fcs0 \cs15\v\f1\fs20\cf9\insrsid15225733\charrsid15879488 &lt;Original&gt;}{\rtlch\fcs1 \af0 \ltrch\fcs0 \insrsid15225733\charrsid15879488 [ZORLANG]}{\rtlch\fcs1 \af0 \ltrch\fcs0 &#13;_x000a_\cs15\v\f1\fs20\cf9\insrsid15225733\charrsid15879488 &lt;/Original&gt;}{\rtlch\fcs1 \af0 \ltrch\fcs0 \insrsid15225733\charrsid15879488 &#13;_x000a_\par }\pard\plain \ltrpar\ql \li0\ri0\widctlpar\wrapdefault\aspalpha\aspnum\faauto\adjustright\rin0\lin0\itap0\pararsid15225733 \rtlch\fcs1 \af0\afs20\alang1025 \ltrch\fcs0 \fs24\lang2057\langfe2057\cgrid\langnp2057\langfenp2057 {\rtlch\fcs1 \af0 \ltrch\fcs0 &#13;_x000a_\cs15\v\f1\fs20\cf9\insrsid15225733\charrsid15879488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b&#13;_x000a_5c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956237 HideTWBExt;}{\s16\ql \li0\ri0\sa120\nowidctlpar\wrapdefault\aspalpha\aspnum\faauto\adjustright\rin0\lin0\itap0 \rtlch\fcs1 \af0\afs20\alang1025 \ltrch\fcs0 &#13;_x000a_\fs24\lang2057\langfe2057\cgrid\langnp2057\langfenp2057 \sbasedon0 \snext16 \spriority0 \styrsid15956237 Normal6a;}{\s17\ql \li0\ri0\nowidctlpar\wrapdefault\aspalpha\aspnum\faauto\adjustright\rin0\lin0\itap0 \rtlch\fcs1 \af0\afs20\alang1025 \ltrch\fcs0 &#13;_x000a_\b\fs24\lang2057\langfe2057\cgrid\langnp2057\langfenp2057 \sbasedon0 \snext17 \spriority0 \styrsid15956237 NormalBold;}{\s18\ql \li0\ri0\sa240\nowidctlpar\wrapdefault\aspalpha\aspnum\faauto\adjustright\rin0\lin0\itap0 \rtlch\fcs1 \af0\afs20\alang1025 &#13;_x000a_\ltrch\fcs0 \i\fs24\lang2057\langfe2057\cgrid\langnp2057\langfenp2057 \sbasedon0 \snext18 \spriority0 \styrsid15956237 AmJustText;}{\s19\qc \li0\ri0\sb240\sa240\nowidctlpar\wrapdefault\aspalpha\aspnum\faauto\adjustright\rin0\lin0\itap0 \rtlch\fcs1 &#13;_x000a_\af0\afs20\alang1025 \ltrch\fcs0 \i\fs24\lang2057\langfe2057\cgrid\langnp2057\langfenp2057 \sbasedon0 \snext19 \spriority0 \styrsid15956237 AmCrossRef;}{&#13;_x000a_\s20\qc \li0\ri0\sb240\sa240\keepn\nowidctlpar\wrapdefault\aspalpha\aspnum\faauto\adjustright\rin0\lin0\itap0 \rtlch\fcs1 \af0\afs20\alang1025 \ltrch\fcs0 \i\fs24\lang2057\langfe2057\cgrid\langnp2057\langfenp2057 &#13;_x000a_\sbasedon0 \snext18 \spriority0 \styrsid15956237 AmJustTitle;}{\s21\qr \li0\ri0\sb240\sa240\nowidctlpar\wrapdefault\aspalpha\aspnum\faauto\adjustright\rin0\lin0\itap0 \rtlch\fcs1 \af0\afs20\alang1025 \ltrch\fcs0 &#13;_x000a_\fs24\lang2057\langfe2057\cgrid\langnp2057\langfenp2057 \sbasedon0 \snext21 \spriority0 \styrsid15956237 AmOrLang;}{\s22\qc \li0\ri0\sa240\nowidctlpar\wrapdefault\aspalpha\aspnum\faauto\adjustright\rin0\lin0\itap0 \rtlch\fcs1 \af0\afs20\alang1025 &#13;_x000a_\ltrch\fcs0 \i\fs24\lang2057\langfe2057\cgrid\langnp2057\langfenp2057 \sbasedon0 \snext22 \spriority0 \styrsid1595623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5956237 AmNumberTabs;}{\s24\ql \li0\ri0\sb240\nowidctlpar\wrapdefault\aspalpha\aspnum\faauto\adjustright\rin0\lin0\itap0 \rtlch\fcs1 &#13;_x000a_\af0\afs20\alang1025 \ltrch\fcs0 \b\fs24\lang2057\langfe2057\cgrid\langnp2057\langfenp2057 \sbasedon0 \snext24 \spriority0 \styrsid15956237 NormalBold12b;}}{\*\rsidtbl \rsid24658\rsid358857\rsid735077\rsid787282\rsid2892074\rsid3622648\rsid4666813&#13;_x000a_\rsid5708216\rsid6641733\rsid7553164\rsid8465581\rsid8681905\rsid8724649\rsid9636012\rsid9862312\rsid11215221\rsid11370291\rsid11434737\rsid11607138\rsid11824949\rsid12154954\rsid14424199\rsid15204470\rsid15285974\rsid15414359\rsid15535219\rsid15950462&#13;_x000a_\rsid15956237\rsid16324206\rsid16662270}{\mmathPr\mmathFont34\mbrkBin0\mbrkBinSub0\msmallFrac0\mdispDef1\mlMargin0\mrMargin0\mdefJc1\mwrapIndent1440\mintLim0\mnaryLim1}{\info{\author FELIX Karina}{\operator FELIX Karina}{\creatim\yr2019\mo7\dy4\hr11\min4}&#13;_x000a_{\revtim\yr2019\mo7\dy4\hr11\min4}{\version1}{\edmins0}{\nofpages1}{\nofwords60}{\nofchars346}{\*\company European Parliament}{\nofcharsws405}{\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95623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414359 &#13;_x000a_\chftnsep &#13;_x000a_\par }}{\*\ftnsepc \ltrpar \pard\plain \ltrpar\ql \li0\ri0\widctlpar\wrapdefault\aspalpha\aspnum\faauto\adjustright\rin0\lin0\itap0 \rtlch\fcs1 \af0\afs20\alang1025 \ltrch\fcs0 \fs24\lang2057\langfe2057\cgrid\langnp2057\langfenp2057 {\rtlch\fcs1 \af0 &#13;_x000a_\ltrch\fcs0 \insrsid15414359 \chftnsepc &#13;_x000a_\par }}{\*\aftnsep \ltrpar \pard\plain \ltrpar\ql \li0\ri0\widctlpar\wrapdefault\aspalpha\aspnum\faauto\adjustright\rin0\lin0\itap0 \rtlch\fcs1 \af0\afs20\alang1025 \ltrch\fcs0 \fs24\lang2057\langfe2057\cgrid\langnp2057\langfenp2057 {\rtlch\fcs1 \af0 &#13;_x000a_\ltrch\fcs0 \insrsid15414359 \chftnsep &#13;_x000a_\par }}{\*\aftnsepc \ltrpar \pard\plain \ltrpar\ql \li0\ri0\widctlpar\wrapdefault\aspalpha\aspnum\faauto\adjustright\rin0\lin0\itap0 \rtlch\fcs1 \af0\afs20\alang1025 \ltrch\fcs0 \fs24\lang2057\langfe2057\cgrid\langnp2057\langfenp2057 {\rtlch\fcs1 \af0 &#13;_x000a_\ltrch\fcs0 \insrsid1541435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5956237 \rtlch\fcs1 \af0\afs20\alang1025 \ltrch\fcs0 \b\fs24\lang2057\langfe2057\cgrid\langnp2057\langfenp2057 {\rtlch\fcs1 \af0 \ltrch\fcs0 \cs15\b0\v\f1\fs20\cf9\insrsid15956237\charrsid15879488 {\*\bkmkstart restartB}&lt;AmendB&gt;}{&#13;_x000a_\rtlch\fcs1 \af0 \ltrch\fcs0 \insrsid15956237\charrsid15879488 [ZAMENDMENT]\tab \tab }{\rtlch\fcs1 \af0 \ltrch\fcs0 \cs15\b0\v\f1\fs20\cf9\insrsid15956237\charrsid15879488 &lt;NumAmB&gt;}{\rtlch\fcs1 \af0 \ltrch\fcs0 \insrsid15956237\charrsid15879488 [ZNRAM]}{&#13;_x000a_\rtlch\fcs1 \af0 \ltrch\fcs0 \cs15\b0\v\f1\fs20\cf9\insrsid15956237\charrsid15879488 &lt;/NumAmB&gt;}{\rtlch\fcs1 \af0 \ltrch\fcs0 \insrsid15956237\charrsid15879488 &#13;_x000a_\par }\pard\plain \ltrpar\s24\ql \li0\ri0\sb240\keepn\nowidctlpar\wrapdefault\aspalpha\aspnum\faauto\adjustright\rin0\lin0\itap0\pararsid15956237 \rtlch\fcs1 \af0\afs20\alang1025 \ltrch\fcs0 \b\fs24\lang2057\langfe2057\cgrid\langnp2057\langfenp2057 {&#13;_x000a_\rtlch\fcs1 \af0 \ltrch\fcs0 \cs15\b0\v\f1\fs20\cf9\insrsid15956237\charrsid15879488 &lt;DocAmend&gt;}{\rtlch\fcs1 \af0 \ltrch\fcs0 \insrsid15956237\charrsid15879488 [ZPROPOSAL][ZAMACT]}{\rtlch\fcs1 \af0 \ltrch\fcs0 &#13;_x000a_\cs15\b0\v\f1\fs20\cf9\insrsid15956237\charrsid15879488 &lt;/DocAmend&gt;}{\rtlch\fcs1 \af0 \ltrch\fcs0 \insrsid15956237\charrsid15879488 &#13;_x000a_\par }\pard\plain \ltrpar\s17\ql \li0\ri0\keepn\nowidctlpar\wrapdefault\aspalpha\aspnum\faauto\adjustright\rin0\lin0\itap0\pararsid15956237 \rtlch\fcs1 \af0\afs20\alang1025 \ltrch\fcs0 \b\fs24\lang2057\langfe2057\cgrid\langnp2057\langfenp2057 {\rtlch\fcs1 &#13;_x000a_\af0 \ltrch\fcs0 \cs15\b0\v\f1\fs20\cf9\insrsid15956237\charrsid15879488 &lt;Article&gt;}{\rtlch\fcs1 \af0 \ltrch\fcs0 \insrsid15956237\charrsid15879488 [ZAMPART]}{\rtlch\fcs1 \af0 \ltrch\fcs0 \cs15\b0\v\f1\fs20\cf9\insrsid15956237\charrsid15879488 &lt;/Article&gt;}{&#13;_x000a_\rtlch\fcs1 \af0 \ltrch\fcs0 \insrsid15956237\charrsid15879488 &#13;_x000a_\par }\pard\plain \ltrpar\ql \li0\ri0\keepn\widctlpar\wrapdefault\aspalpha\aspnum\faauto\adjustright\rin0\lin0\itap0\pararsid15956237 \rtlch\fcs1 \af0\afs20\alang1025 \ltrch\fcs0 \fs24\lang2057\langfe2057\cgrid\langnp2057\langfenp2057 {\rtlch\fcs1 \af0 &#13;_x000a_\ltrch\fcs0 \cs15\v\f1\fs20\cf9\insrsid15956237\charrsid15879488 &lt;DocAmend2&gt;&lt;OptDel&gt;}{\rtlch\fcs1 \af0 \ltrch\fcs0 \insrsid15956237\charrsid15879488 [ZNRACT]}{\rtlch\fcs1 \af0 \ltrch\fcs0 \cs15\v\f1\fs20\cf9\insrsid15956237\charrsid15879488 &#13;_x000a_&lt;/OptDel&gt;&lt;/DocAmend2&gt;}{\rtlch\fcs1 \af0 \ltrch\fcs0 \insrsid15956237\charrsid15879488 &#13;_x000a_\par }\pard \ltrpar\ql \li0\ri0\widctlpar\wrapdefault\aspalpha\aspnum\faauto\adjustright\rin0\lin0\itap0\pararsid15956237 {\rtlch\fcs1 \af0 \ltrch\fcs0 \cs15\v\f1\fs20\cf9\lang1036\langfe2057\langnp1036\insrsid15956237\charrsid11356624 &lt;Article2&gt;&lt;OptDel&gt;}{&#13;_x000a_\rtlch\fcs1 \af0 \ltrch\fcs0 \lang1036\langfe2057\langnp1036\insrsid15956237\charrsid11356624 [ZACTPART]}{\rtlch\fcs1 \af0 \ltrch\fcs0 \cs15\v\f1\fs20\cf9\lang1036\langfe2057\langnp1036\insrsid15956237\charrsid11356624 &lt;/OptDel&gt;&lt;/Article2&gt;}{\rtlch\fcs1 &#13;_x000a_\af0 \ltrch\fcs0 \lang1036\langfe2057\langnp1036\insrsid15956237\charrsid11356624 &#13;_x000a_\par \ltrrow}\trowd \irow0\irowband0\ltrrow\ts11\trqc\trgaph340\trleft-340\trftsWidth3\trwWidth9752\trftsWidthB3\trpaddl340\trpaddr340\trpaddfl3\trpaddft3\trpaddfb3\trpaddfr3\tblrsid14374628\tblind0\tblindtype3 \clvertalt\clbrdrt\brdrtbl \clbrdrl\brdrtbl &#13;_x000a_\clbrdrb\brdrtbl \clbrdrr\brdrtbl \cltxlrtb\clftsWidth3\clwWidth9752\clshdrawnil \cellx9412\pard\plain \ltrpar\ql \li0\ri0\keepn\widctlpar\intbl\wrapdefault\aspalpha\aspnum\faauto\adjustright\rin0\lin0\pararsid14374628 \rtlch\fcs1 \af0\afs20\alang1025 &#13;_x000a_\ltrch\fcs0 \fs24\lang2057\langfe2057\cgrid\langnp2057\langfenp2057 {\rtlch\fcs1 \af0 \ltrch\fcs0 \lang1036\langfe2057\langnp1036\insrsid15956237\charrsid11356624 \cell }\pard\plain \ltrpar&#13;_x000a_\ql \li0\ri0\widctlpar\intbl\wrapdefault\aspalpha\aspnum\faauto\adjustright\rin0\lin0 \rtlch\fcs1 \af0\afs20\alang1025 \ltrch\fcs0 \fs24\lang2057\langfe2057\cgrid\langnp2057\langfenp2057 {\rtlch\fcs1 \af0 \ltrch\fcs0 \insrsid15956237\charrsid11356624 &#13;_x000a_\trowd \irow0\irowband0\ltrrow\ts11\trqc\trgaph340\trleft-340\trftsWidth3\trwWidth9752\trftsWidthB3\trpaddl340\trpaddr340\trpaddfl3\trpaddft3\trpaddfb3\trpaddfr3\tblrsid14374628\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74628 \rtlch\fcs1 \af0\afs20\alang1025 \ltrch\fcs0 \i\fs24\lang2057\langfe2057\cgrid\langnp2057\langfenp2057 {\rtlch\fcs1 \af0 \ltrch\fcs0 &#13;_x000a_\insrsid15956237\charrsid15879488 [ZLEFTB]\cell [ZRIGHT]\cell }\pard\plain \ltrpar\ql \li0\ri0\widctlpar\intbl\wrapdefault\aspalpha\aspnum\faauto\adjustright\rin0\lin0 \rtlch\fcs1 \af0\afs20\alang1025 \ltrch\fcs0 &#13;_x000a_\fs24\lang2057\langfe2057\cgrid\langnp2057\langfenp2057 {\rtlch\fcs1 \af0 \ltrch\fcs0 \insrsid15956237\charrsid15879488 \trowd \irow1\irowband1\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4374628 \rtlch\fcs1 \af0\afs20\alang1025 \ltrch\fcs0 \fs24\lang2057\langfe2057\cgrid\langnp2057\langfenp2057 {\rtlch\fcs1 \af0 \ltrch\fcs0 &#13;_x000a_\insrsid15956237\charrsid15879488 [ZTEXTL]\cell [ZTEXTR]}{\rtlch\fcs1 \af0\afs24 \ltrch\fcs0 \insrsid15956237\charrsid15879488 \cell }\pard\plain \ltrpar\ql \li0\ri0\widctlpar\intbl\wrapdefault\aspalpha\aspnum\faauto\adjustright\rin0\lin0 \rtlch\fcs1 &#13;_x000a_\af0\afs20\alang1025 \ltrch\fcs0 \fs24\lang2057\langfe2057\cgrid\langnp2057\langfenp2057 {\rtlch\fcs1 \af0 \ltrch\fcs0 \insrsid15956237\charrsid15879488 \trowd \irow2\irowband2\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5956237 \rtlch\fcs1 \af0\afs20\alang1025 \ltrch\fcs0 \fs24\lang2057\langfe2057\cgrid\langnp2057\langfenp2057 {\rtlch\fcs1 \af0 \ltrch\fcs0 &#13;_x000a_\insrsid15956237\charrsid15879488 Or. }{\rtlch\fcs1 \af0 \ltrch\fcs0 \cs15\v\f1\fs20\cf9\insrsid15956237\charrsid15879488 &lt;Original&gt;}{\rtlch\fcs1 \af0 \ltrch\fcs0 \insrsid15956237\charrsid15879488 [ZORLANG]}{\rtlch\fcs1 \af0 \ltrch\fcs0 &#13;_x000a_\cs15\v\f1\fs20\cf9\insrsid15956237\charrsid15879488 &lt;/Original&gt;}{\rtlch\fcs1 \af0 \ltrch\fcs0 \insrsid15956237\charrsid15879488 &#13;_x000a_\par }\pard\plain \ltrpar\s19\qc \li0\ri0\sb240\sa240\nowidctlpar\wrapdefault\aspalpha\aspnum\faauto\adjustright\rin0\lin0\itap0\pararsid15956237 \rtlch\fcs1 \af0\afs20\alang1025 \ltrch\fcs0 \i\fs24\lang2057\langfe2057\cgrid\langnp2057\langfenp2057 {&#13;_x000a_\rtlch\fcs1 \af0 \ltrch\fcs0 \cs15\i0\v\f1\fs20\cf9\insrsid15956237\charrsid15879488 &lt;OptDel&gt;}{\rtlch\fcs1 \af0 \ltrch\fcs0 \insrsid15956237\charrsid15879488 [ZCROSSREF]}{\rtlch\fcs1 \af0 \ltrch\fcs0 &#13;_x000a_\cs15\i0\v\f1\fs20\cf9\insrsid15956237\charrsid15879488 &lt;/OptDel&gt;}{\rtlch\fcs1 \af0 \ltrch\fcs0 \insrsid15956237\charrsid15879488 &#13;_x000a_\par }\pard\plain \ltrpar\s20\qc \li0\ri0\sb240\sa240\keepn\nowidctlpar\wrapdefault\aspalpha\aspnum\faauto\adjustright\rin0\lin0\itap0\pararsid15956237 \rtlch\fcs1 \af0\afs20\alang1025 \ltrch\fcs0 \i\fs24\lang2057\langfe2057\cgrid\langnp2057\langfenp2057 {&#13;_x000a_\rtlch\fcs1 \af0 \ltrch\fcs0 \cs15\i0\v\f1\fs20\cf9\insrsid15956237\charrsid15879488 &lt;TitreJust&gt;}{\rtlch\fcs1 \af0 \ltrch\fcs0 \insrsid15956237\charrsid15879488 [ZJUSTIFICATION]}{\rtlch\fcs1 \af0 \ltrch\fcs0 &#13;_x000a_\cs15\i0\v\f1\fs20\cf9\insrsid15956237\charrsid15879488 &lt;/TitreJust&gt;}{\rtlch\fcs1 \af0 \ltrch\fcs0 \insrsid15956237\charrsid15879488 &#13;_x000a_\par }\pard\plain \ltrpar\s18\ql \li0\ri0\sa240\nowidctlpar\wrapdefault\aspalpha\aspnum\faauto\adjustright\rin0\lin0\itap0\pararsid15956237 \rtlch\fcs1 \af0\afs20\alang1025 \ltrch\fcs0 \i\fs24\lang2057\langfe2057\cgrid\langnp2057\langfenp2057 {\rtlch\fcs1 &#13;_x000a_\af0 \ltrch\fcs0 \cs15\i0\v\f1\fs20\cf9\insrsid15956237\charrsid15879488 &lt;OptDelPrev&gt;}{\rtlch\fcs1 \af0 \ltrch\fcs0 \insrsid15956237\charrsid15879488 [ZTEXTJUST]}{\rtlch\fcs1 \af0 \ltrch\fcs0 \cs15\i0\v\f1\fs20\cf9\insrsid15956237\charrsid15879488 &#13;_x000a_&lt;/OptDelPrev&gt;}{\rtlch\fcs1 \af0 \ltrch\fcs0 \insrsid15956237\charrsid15879488 &#13;_x000a_\par }\pard\plain \ltrpar\ql \li0\ri0\widctlpar\wrapdefault\aspalpha\aspnum\faauto\adjustright\rin0\lin0\itap0\pararsid15956237 \rtlch\fcs1 \af0\afs20\alang1025 \ltrch\fcs0 \fs24\lang2057\langfe2057\cgrid\langnp2057\langfenp2057 {\rtlch\fcs1 \af0 \ltrch\fcs0 &#13;_x000a_\cs15\v\f1\fs20\cf9\insrsid15956237\charrsid15879488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0e&#13;_x000a_cf78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12b">
    <w:name w:val="NormalBold12b"/>
    <w:basedOn w:val="Normal"/>
    <w:pPr>
      <w:widowControl/>
      <w:spacing w:before="240"/>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customStyle="1" w:styleId="NormalBold">
    <w:name w:val="NormalBold"/>
    <w:basedOn w:val="Normal"/>
    <w:pPr>
      <w:widowControl/>
    </w:pPr>
    <w:rPr>
      <w:b/>
    </w:r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auto" w:fill="auto" w:themeColor="accent1"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line="240" w:lineRule="auto"/>
    </w:pPr>
    <w:rPr>
      <w:rFonts w:ascii="Times New Roman" w:eastAsia="Times New Roman" w:hAnsi="Times New Roman" w:cs="Times New Roman"/>
      <w:sz w:val="24"/>
    </w:r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overflowPunct/>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overflowPunct/>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overflowPunct/>
      <w:spacing w:after="240" w:line="240" w:lineRule="auto"/>
      <w:ind w:left="566" w:hanging="566"/>
    </w:pPr>
    <w:rPr>
      <w:rFonts w:ascii="Times New Roman" w:eastAsia="Times New Roman" w:hAnsi="Times New Roman" w:cs="Times New Roman"/>
      <w:sz w:val="24"/>
    </w:rPr>
  </w:style>
  <w:style w:type="paragraph" w:customStyle="1" w:styleId="Arial14CentreBold">
    <w:name w:val="Arial14CentreBold"/>
    <w:basedOn w:val="Normal"/>
    <w:pPr>
      <w:widowControl/>
      <w:spacing w:after="0" w:line="240" w:lineRule="auto"/>
      <w:jc w:val="center"/>
    </w:pPr>
    <w:rPr>
      <w:rFonts w:ascii="Arial" w:eastAsia="Arial" w:hAnsi="Arial" w:cs="Arial"/>
      <w:b/>
      <w:sz w:val="28"/>
    </w:rPr>
  </w:style>
  <w:style w:type="paragraph" w:customStyle="1" w:styleId="ProcedureTable">
    <w:name w:val="ProcedureTable"/>
    <w:basedOn w:val="Normal"/>
    <w:pPr>
      <w:widowControl/>
      <w:spacing w:after="0" w:line="240" w:lineRule="auto"/>
    </w:pPr>
    <w:rPr>
      <w:rFonts w:ascii="Times New Roman" w:eastAsia="Times New Roman" w:hAnsi="Times New Roman" w:cs="Times New Roman"/>
      <w:sz w:val="20"/>
    </w:rPr>
  </w:style>
  <w:style w:type="paragraph" w:customStyle="1" w:styleId="ProcedureTableBold">
    <w:name w:val="ProcedureTableBold"/>
    <w:basedOn w:val="Normal"/>
    <w:pPr>
      <w:widowControl/>
      <w:spacing w:after="0" w:line="240" w:lineRule="auto"/>
    </w:pPr>
    <w:rPr>
      <w:rFonts w:ascii="Times New Roman" w:eastAsia="Times New Roman" w:hAnsi="Times New Roman" w:cs="Times New Roman"/>
      <w:b/>
      <w:sz w:val="20"/>
    </w:rPr>
  </w:style>
  <w:style w:type="paragraph" w:customStyle="1" w:styleId="NormalTab">
    <w:name w:val="NormalTab"/>
    <w:basedOn w:val="Normal"/>
    <w:pPr>
      <w:widowControl/>
      <w:tabs>
        <w:tab w:val="center" w:pos="284"/>
        <w:tab w:val="left" w:pos="424"/>
      </w:tabs>
      <w:spacing w:after="0" w:line="240" w:lineRule="auto"/>
    </w:pPr>
    <w:rPr>
      <w:rFonts w:ascii="Times New Roman" w:eastAsia="Times New Roman" w:hAnsi="Times New Roman" w:cs="Times New Roman"/>
      <w:sz w:val="24"/>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NormalCenter">
    <w:name w:val="NormalCenter"/>
    <w:basedOn w:val="Normal"/>
    <w:pPr>
      <w:widowControl/>
      <w:spacing w:after="0" w:line="240" w:lineRule="auto"/>
      <w:jc w:val="center"/>
    </w:pPr>
    <w:rPr>
      <w:rFonts w:ascii="Times New Roman" w:eastAsia="Times New Roman" w:hAnsi="Times New Roman" w:cs="Times New Roman"/>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43</Pages>
  <Words>10982</Words>
  <Characters>64497</Characters>
  <Application>Microsoft Office Word</Application>
  <DocSecurity>0</DocSecurity>
  <Lines>1</Lines>
  <Paragraphs>681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1338012</vt:lpwstr>
  </property>
  <property fmtid="{D5CDD505-2E9C-101B-9397-08002B2CF9AE}" pid="4" name="&lt;Model&gt;">
    <vt:lpwstr>PA_Legam</vt:lpwstr>
  </property>
  <property fmtid="{D5CDD505-2E9C-101B-9397-08002B2CF9AE}" pid="5" name="&lt;Type&gt;">
    <vt:lpwstr>PA</vt:lpwstr>
  </property>
  <property fmtid="{D5CDD505-2E9C-101B-9397-08002B2CF9AE}" pid="6" name="dmxml.render.id">
    <vt:lpwstr>390665</vt:lpwstr>
  </property>
  <property fmtid="{D5CDD505-2E9C-101B-9397-08002B2CF9AE}" pid="7" name="dmxml.render.traceId">
    <vt:lpwstr>699ea677abc36e5148c9a41604c9f7cf</vt:lpwstr>
  </property>
  <property fmtid="{D5CDD505-2E9C-101B-9397-08002B2CF9AE}" pid="8" name="FooterPath">
    <vt:lpwstr>PA\1338012EN.doc</vt:lpwstr>
  </property>
  <property fmtid="{D5CDD505-2E9C-101B-9397-08002B2CF9AE}" pid="9" name="PE Number">
    <vt:lpwstr>785.122</vt:lpwstr>
  </property>
  <property fmtid="{D5CDD505-2E9C-101B-9397-08002B2CF9AE}" pid="10" name="UID">
    <vt:lpwstr>eu.europa.europarl-DIN1-2026-0000043214_01.04-en-01.00_text-xml</vt:lpwstr>
  </property>
</Properties>
</file>