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Udvalget om Kvinders Rettigheder og Ligestilling</w:t>
      </w:r>
      <w:r>
        <w:rPr>
          <w:rStyle w:val="HideTWBExt"/>
        </w:rPr>
        <w:t>&lt;/Commission&gt;</w:t>
      </w:r>
    </w:p>
    <w:p>
      <w:pPr>
        <w:pStyle w:val="LineBottom"/>
      </w:pPr>
      <w:r>
        <w:t xml:space="preserve"> </w:t>
      </w:r>
    </w:p>
    <w:p>
      <w:pPr>
        <w:pStyle w:val="CoverReference"/>
      </w:pPr>
      <w:r>
        <w:rPr>
          <w:rStyle w:val="HideTWBExt"/>
        </w:rPr>
        <w:t>&lt;RefProc&gt;</w:t>
      </w:r>
      <w:r>
        <w:t>2026/2070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{02/07/2026}</w:t>
      </w:r>
      <w:r>
        <w:t>2.7.2026</w:t>
      </w:r>
      <w:r>
        <w:rPr>
          <w:rStyle w:val="HideTWBExt"/>
        </w:rPr>
        <w:t>&lt;/Date&gt;</w:t>
      </w:r>
    </w:p>
    <w:p>
      <w:pPr>
        <w:pStyle w:val="CoverDocType24a"/>
      </w:pPr>
      <w:r>
        <w:rPr>
          <w:rStyle w:val="HideTWBExt"/>
        </w:rPr>
        <w:t>&lt;TitreType&gt;</w:t>
      </w:r>
      <w:r>
        <w:t>UDKAST TIL UDTALELSE</w:t>
      </w:r>
      <w:r>
        <w:rPr>
          <w:rStyle w:val="HideTWBExt"/>
        </w:rPr>
        <w:t>&lt;/TitreType&gt;</w:t>
      </w:r>
    </w:p>
    <w:p>
      <w:pPr>
        <w:pStyle w:val="CoverNormal24a"/>
      </w:pPr>
      <w:r>
        <w:rPr>
          <w:rStyle w:val="HideTWBExt"/>
        </w:rPr>
        <w:t>&lt;CommissionResp&gt;</w:t>
      </w:r>
      <w:r>
        <w:t>fra Udvalget om Kvinders Rettigheder og Ligestilling</w:t>
      </w:r>
      <w:r>
        <w:rPr>
          <w:rStyle w:val="HideTWBExt"/>
        </w:rPr>
        <w:t>&lt;/CommissionResp&gt;</w:t>
      </w:r>
    </w:p>
    <w:p>
      <w:pPr>
        <w:pStyle w:val="CoverNormal24a"/>
      </w:pPr>
      <w:r>
        <w:rPr>
          <w:rStyle w:val="HideTWBExt"/>
        </w:rPr>
        <w:t>&lt;CommissionInt&gt;</w:t>
      </w:r>
      <w:r>
        <w:t>til Udvalget om Beskæftigelse og Sociale Anliggender</w:t>
      </w:r>
      <w:r>
        <w:rPr>
          <w:rStyle w:val="HideTWBExt"/>
        </w:rPr>
        <w:t>&lt;/CommissionInt&gt;</w:t>
      </w:r>
    </w:p>
    <w:p>
      <w:pPr>
        <w:pStyle w:val="CoverNormal"/>
      </w:pPr>
      <w:r>
        <w:rPr>
          <w:rStyle w:val="HideTWBExt"/>
        </w:rPr>
        <w:t>&lt;Titre&gt;</w:t>
      </w:r>
      <w:r>
        <w:t>om fremme af færdigheder i Unionen – muligheder for erhvervsuddannelse i foranderlige tider</w:t>
      </w:r>
      <w:r>
        <w:rPr>
          <w:rStyle w:val="HideTWBExt"/>
        </w:rPr>
        <w:t>&lt;/Titre&gt;</w:t>
      </w:r>
    </w:p>
    <w:p>
      <w:pPr>
        <w:pStyle w:val="CoverNormal24a"/>
      </w:pPr>
      <w:r>
        <w:rPr>
          <w:rStyle w:val="HideTWBExt"/>
        </w:rPr>
        <w:t>&lt;DocRef&gt;</w:t>
      </w:r>
      <w:r>
        <w:t>(2026/2070(INI))</w:t>
      </w:r>
      <w:r>
        <w:rPr>
          <w:rStyle w:val="HideTWBExt"/>
        </w:rPr>
        <w:t>&lt;/DocRef&gt;</w:t>
      </w:r>
    </w:p>
    <w:p>
      <w:pPr>
        <w:pStyle w:val="CoverNormal24a"/>
      </w:pPr>
      <w:r>
        <w:t>Ordfører for udtalelse</w:t>
      </w:r>
      <w:r>
        <w:t xml:space="preserve">: </w:t>
      </w:r>
      <w:r>
        <w:rPr>
          <w:rStyle w:val="HideTWBExt"/>
        </w:rPr>
        <w:t>&lt;Depute&gt;</w:t>
      </w:r>
      <w:r>
        <w:t>Lina Gálvez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ÆNDRINGSFORSLAG</w:t>
      </w:r>
    </w:p>
    <w:p>
      <w:pPr>
        <w:pStyle w:val="Normal12a"/>
      </w:pPr>
      <w:r>
        <w:t>Udvalget om Kvinders Rettigheder og Ligestilling</w:t>
      </w:r>
      <w:r>
        <w:t xml:space="preserve"> </w:t>
      </w:r>
      <w:r>
        <w:t>forelægger Udvalget om Beskæftigelse og Sociale Anliggender, som er korresponderende udvalg, følgende</w:t>
      </w:r>
      <w:r>
        <w:t>:</w:t>
      </w:r>
    </w:p>
    <w:p>
      <w:pPr>
        <w:pStyle w:val="AmNumberTabs"/>
      </w:pPr>
      <w:r>
        <w:rPr>
          <w:rStyle w:val="HideTWBExt"/>
        </w:rPr>
        <w:t>&lt;RepeatBlock-Amend&gt;</w:t>
      </w:r>
      <w:r>
        <w:rPr>
          <w:rStyle w:val="HideTWBExt"/>
        </w:rPr>
        <w:t>&lt;Amend&gt;</w:t>
      </w:r>
      <w:r>
        <w:t>Ændringsforslag</w:t>
      </w:r>
      <w:r>
        <w:tab/>
      </w:r>
      <w:r>
        <w:tab/>
      </w:r>
      <w:r>
        <w:rPr>
          <w:rStyle w:val="HideTWBExt"/>
        </w:rPr>
        <w:t>&lt;NumAm&gt;</w:t>
      </w:r>
      <w:r>
        <w:t>1</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fremhæver betydningen af erhvervsrettet uddannelse for EU's økonomiske velstand og konkurrenceevne; understreger betydningen af at fremme og værdsætte erhvervsrettet uddannelse med henblik på at gøre den mere attraktiv som en vej til beskæftigelse af høj kvalitet; opfordrer Kommissionen til at sikre, at den kommende strategi for erhvervsrettet uddannelse tager fat på kvaliteten og relevansen af læseplanerne for erhvervsrettet uddannelse kombineret med forbedret fremme af programmer for erhvervsrettet uddannelse over for lærende, arbejdsgivere og den brede offentlighed;</w:t>
            </w:r>
          </w:p>
        </w:tc>
        <w:tc>
          <w:tcPr>
            <w:tcW w:w="4876" w:type="dxa"/>
            <w:tcBorders>
              <w:top w:val="nil"/>
              <w:left w:val="nil"/>
              <w:bottom w:val="nil"/>
              <w:right w:val="nil"/>
            </w:tcBorders>
          </w:tcPr>
          <w:p>
            <w:pPr>
              <w:pStyle w:val="Normal6a"/>
            </w:pPr>
            <w:r>
              <w:t>1.</w:t>
            </w:r>
            <w:r>
              <w:tab/>
            </w:r>
            <w:r>
              <w:t>fremhæver betydningen af erhvervsrettet uddannelse for EU's økonomiske velstand og konkurrenceevne; understreger betydningen af at fremme og værdsætte erhvervsrettet uddannelse med henblik på at gøre den mere attraktiv som en vej til beskæftigelse af høj kvalitet; opfordrer Kommissionen til at sikre, at den kommende strategi for erhvervsrettet uddannelse tager fat på kvaliteten og relevansen af læseplanerne for erhvervsrettet uddannelse kombineret med forbedret fremme af programmer for erhvervsrettet uddannelse over for lærende, arbejdsgivere og den brede offentlighed;</w:t>
            </w:r>
            <w:r>
              <w:rPr>
                <w:b/>
                <w:i/>
              </w:rPr>
              <w:t xml:space="preserve"> bemærker endvidere, at den kommende ramme udtrykkeligt skal anerkende ligestilling mellem kønnene og styrkelse af kvinders indflydelse og status som grundlæggende mål for erhvervsrettet uddannelse sammen med beskæftigelsesegnethed, konkurrenceevne og livslang læring; fremhæver, at dette vil kræve, at alle medlemsstater integrerer integration af kønsaspektet i udformningen, gennemførelsen, overvågningen og evalueringen af erhvervsuddannelsesprogrammer; bemærker, at erhvervsuddannelsesprogrammer bør blive et centralt instrument til at udfordre kønsstereotyper ved at tilbyde karrierevejledning, samtidig med at piger i stigende grad tilskyndes til at overveje tekniske erhverv og drenge for at få adgang til omsorgsrelaterede erhverv med henblik på samtidig at mindske kønsopdelingen på arbejdsmarkedet;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understreger, at erhvervsrettet uddannelse bør betragtes som et redskab, der både kan støtte de studerendes og arbejdstagernes personlige udvikling og afhjælpe manglen på arbejdskraft og dermed bidrage til EU's konkurrenceevne og støtte innovation i strategiske sektorer;</w:t>
            </w:r>
          </w:p>
        </w:tc>
        <w:tc>
          <w:tcPr>
            <w:tcW w:w="4876" w:type="dxa"/>
            <w:tcBorders>
              <w:top w:val="nil"/>
              <w:left w:val="nil"/>
              <w:bottom w:val="nil"/>
              <w:right w:val="nil"/>
            </w:tcBorders>
          </w:tcPr>
          <w:p>
            <w:pPr>
              <w:pStyle w:val="Normal6a"/>
            </w:pPr>
            <w:r>
              <w:t>2.</w:t>
            </w:r>
            <w:r>
              <w:tab/>
            </w:r>
            <w:r>
              <w:t>understreger, at erhvervsrettet uddannelse bør betragtes som et redskab, der både kan støtte de studerendes og arbejdstagernes personlige udvikling og afhjælpe manglen på arbejdskraft og dermed bidrage til EU's konkurrenceevne og støtte innovation i strategiske sektorer;</w:t>
            </w:r>
            <w:r>
              <w:rPr>
                <w:b/>
                <w:i/>
              </w:rPr>
              <w:t xml:space="preserve"> minder navnlig om, at erhvervsrettet uddannelse ved at skabe praktiske veje til beskæftigelse udgør et afgørende instrument, ikke kun for unge, der kommer ind i arbejdsstyrken, men også for voksne, der søger at opkvalificere eller omskole sig gennem hele deres karriere, navnlig for kvinder, der fortsat oplever lavere arbejdsmarkedsdeltagelse, lavere lønninger og flere afbrydelser i beskæftigelsen som følge af børnepasning eller andre omsorgsforpligtelser eller forskelsbehandling i forbindelse med karriereudvikling eller urimelig aflønning;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understreger behovet for at sikre, at studerende og færdiguddannede fra erhvervsrettede uddannelser føler, at deres kvalifikationer og erhverv værdsættes på lige fod med akademisk uddannelse for at sikre social samhørighed og inklusion;</w:t>
            </w:r>
          </w:p>
        </w:tc>
        <w:tc>
          <w:tcPr>
            <w:tcW w:w="4876" w:type="dxa"/>
            <w:tcBorders>
              <w:top w:val="nil"/>
              <w:left w:val="nil"/>
              <w:bottom w:val="nil"/>
              <w:right w:val="nil"/>
            </w:tcBorders>
          </w:tcPr>
          <w:p>
            <w:pPr>
              <w:pStyle w:val="Normal6a"/>
            </w:pPr>
            <w:r>
              <w:t>3.</w:t>
            </w:r>
            <w:r>
              <w:tab/>
            </w:r>
            <w:r>
              <w:t>understreger behovet for at sikre, at studerende og færdiguddannede fra erhvervsrettede uddannelser føler, at deres kvalifikationer og erhverv værdsættes på lige fod med akademisk uddannelse for at sikre social samhørighed og inklusion</w:t>
            </w:r>
            <w:r>
              <w:rPr>
                <w:b/>
                <w:i/>
              </w:rPr>
              <w:t>, navnlig for kvinder i sårbare situationer og dem, der er berørt af intersektionel forskelsbehandling, såsom migranter, flygtninge, enlige mødre, kvinder, der forskelsbehandles på grund af deres seksuelle orientering eller kønsudtryk, landbefolkninger, kvinder med handicap og langtidsledige kvinder, med henblik på at fremme lige muligheder og give dem mulighed for at deltage fuldt ud i det økonomiske, sociale og politiske liv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opfordrer Kommissionen til med henblik på at sikre og kontrollere overholdelsen af kravene om ligestilling mellem kønnene at fremme anvendelsen af centrale foranstaltninger, herunder: en obligatorisk kønsspecifik konsekvensanalyse af nye erhvervsuddannelsespolitikker, kønsbudgettering for at sikre tilstrækkelig finansiering til ligestillingsinitiativer og indsamling og offentliggørelse af kønsopdelte data om indskrivning, færdiggørelse, lærlingeuddannelser, beskæftigelsesresultater, lønninger og karriereudvikling;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opfordrer medlemsstaterne og EU-institutionerne til at inddrage studerende og færdiguddannede fra erhvervsrettede uddannelser på alle niveauer af den politiske beslutningsproces for at sikre lige deltagelse og til at tilbyde praktikophold inden for erhvervsrettet uddannelse;</w:t>
            </w:r>
          </w:p>
        </w:tc>
        <w:tc>
          <w:tcPr>
            <w:tcW w:w="4876" w:type="dxa"/>
            <w:tcBorders>
              <w:top w:val="nil"/>
              <w:left w:val="nil"/>
              <w:bottom w:val="nil"/>
              <w:right w:val="nil"/>
            </w:tcBorders>
          </w:tcPr>
          <w:p>
            <w:pPr>
              <w:pStyle w:val="Normal6a"/>
            </w:pPr>
            <w:r>
              <w:t>5.</w:t>
            </w:r>
            <w:r>
              <w:tab/>
            </w:r>
            <w:r>
              <w:t xml:space="preserve">opfordrer medlemsstaterne og EU-institutionerne til at inddrage studerende og færdiguddannede fra erhvervsrettede uddannelser på alle niveauer af den politiske beslutningsproces for at sikre lige deltagelse og til at tilbyde praktikophold inden for erhvervsrettet uddannelse </w:t>
            </w:r>
            <w:r>
              <w:rPr>
                <w:b/>
                <w:i/>
              </w:rPr>
              <w:t>og således sikre, at piger har lige muligheder for at tilmelde sig erhvervsrettede programmer på tværs af alle sektorer, herunder traditionelt mandsdominerede industrier;</w:t>
            </w:r>
            <w:r>
              <w:rPr>
                <w:b/>
                <w:i/>
              </w:rPr>
              <w:t xml:space="preserve"> bemærker, at nogle sektorer fortsat ansætter betydeligt færre kvindelige lærlinge, hvilket begrænser mulighederne for praktisk erfaring og karriereudvikling; </w:t>
            </w:r>
            <w:r>
              <w:rPr>
                <w:b/>
                <w:i/>
              </w:rPr>
              <w:t>fremhæver behovet for at reagere på forskningsresultater, der konsekvent viser, at underrepræsentationen af kvinder i visse industrier kan mindske pigers tiltro til at få adgang til disse erhverv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opfordrer Kommissionen til at støtte medlemsstaterne i at investere tilstrækkeligt i erhvervsrettet uddannelse gennem landespecifikke henstillinger i det europæiske semester og øremærkning af EU-midler; minder om de vellykkede investeringer under Fonden for Retfærdig Omstilling i lokale økonomier gennem en kombination af finansiering til færdigheder og til små og mellemstore virksomheder og anbefaler, at dette eksempel følges inden for rammerne af medlemsstaternes nationale og regionale partnerskabsplaner med henblik på at fremme erhvervsrettet uddannelse;</w:t>
            </w:r>
          </w:p>
        </w:tc>
        <w:tc>
          <w:tcPr>
            <w:tcW w:w="4876" w:type="dxa"/>
            <w:tcBorders>
              <w:top w:val="nil"/>
              <w:left w:val="nil"/>
              <w:bottom w:val="nil"/>
              <w:right w:val="nil"/>
            </w:tcBorders>
          </w:tcPr>
          <w:p>
            <w:pPr>
              <w:pStyle w:val="Normal6a"/>
            </w:pPr>
            <w:r>
              <w:t>8.</w:t>
            </w:r>
            <w:r>
              <w:tab/>
            </w:r>
            <w:r>
              <w:t>opfordrer Kommissionen til at støtte medlemsstaterne i at investere tilstrækkeligt i erhvervsrettet uddannelse gennem landespecifikke henstillinger i det europæiske semester og øremærkning af EU-midler; minder om de vellykkede investeringer under Fonden for Retfærdig Omstilling i lokale økonomier gennem en kombination af finansiering til færdigheder og til små og mellemstore virksomheder og anbefaler, at dette eksempel følges inden for rammerne af medlemsstaternes nationale og regionale partnerskabsplaner med henblik på at fremme erhvervsrettet uddannelse;</w:t>
            </w:r>
            <w:r>
              <w:rPr>
                <w:b/>
                <w:i/>
              </w:rPr>
              <w:t xml:space="preserve"> fremhæver betydningen af at øge kvinders deltagelse i kvalificerede erhverv, hvilket udvider arbejdsstyrken og bidrager til at tackle de demografiske udfordringer, der er forbundet med Europas aldrende befolkning;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støtter partnerskaber på EU-plan og nationalt plan mellem arbejdsgivere og udbydere af erhvervsrettet uddannelse for at forbedre relevansen og kvaliteten af læseplanerne for erhvervsrettet uddannelse; opfordrer til, at udbydere af erhvervsrettet uddannelse knyttes til regionale industrielle og teknologiske klynger;</w:t>
            </w:r>
          </w:p>
        </w:tc>
        <w:tc>
          <w:tcPr>
            <w:tcW w:w="4876" w:type="dxa"/>
            <w:tcBorders>
              <w:top w:val="nil"/>
              <w:left w:val="nil"/>
              <w:bottom w:val="nil"/>
              <w:right w:val="nil"/>
            </w:tcBorders>
          </w:tcPr>
          <w:p>
            <w:pPr>
              <w:pStyle w:val="Normal6a"/>
            </w:pPr>
            <w:r>
              <w:t>9.</w:t>
            </w:r>
            <w:r>
              <w:tab/>
            </w:r>
            <w:r>
              <w:t xml:space="preserve">støtter partnerskaber på EU-plan og nationalt plan mellem arbejdsgivere og udbydere af erhvervsrettet uddannelse for at forbedre relevansen og kvaliteten af læseplanerne for erhvervsrettet uddannelse; opfordrer til, at udbydere af erhvervsrettet uddannelse knyttes til regionale industrielle og teknologiske klynger </w:t>
            </w:r>
            <w:r>
              <w:rPr>
                <w:b/>
                <w:i/>
              </w:rPr>
              <w:t>med særligt fokus på at støtte kvinders iværksætteri med henblik på at sætte kvinder i stand til at etablere virksomheder, navnlig inden for digitale tjenester, kreative industrier og bæredygtige sektorer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opfordrer til en bredere inddragelse af erhvervsrettet uddannelse i eksisterende EU-politikker og -programmer; tilskynder til bedre integration af erhvervsuddannelsesorganer i udviklingen af innovationspolitikker for at øge udbredelsen og anvendelsen af innovative løsninger på tværs af sektorer; insisterer på behovet for at støtte investeringer i færdigheder i strategiske sektorer under politikområderne i den foreslåede Europæiske Fond for Konkurrenceevne;</w:t>
            </w:r>
          </w:p>
        </w:tc>
        <w:tc>
          <w:tcPr>
            <w:tcW w:w="4876" w:type="dxa"/>
            <w:tcBorders>
              <w:top w:val="nil"/>
              <w:left w:val="nil"/>
              <w:bottom w:val="nil"/>
              <w:right w:val="nil"/>
            </w:tcBorders>
          </w:tcPr>
          <w:p>
            <w:pPr>
              <w:pStyle w:val="Normal6a"/>
            </w:pPr>
            <w:r>
              <w:t>10.</w:t>
            </w:r>
            <w:r>
              <w:tab/>
            </w:r>
            <w:r>
              <w:t>opfordrer til en bredere inddragelse af erhvervsrettet uddannelse i eksisterende EU-politikker og -programmer; tilskynder til bedre integration af erhvervsuddannelsesorganer i udviklingen af innovationspolitikker for at øge udbredelsen og anvendelsen af innovative løsninger på tværs af sektorer; insisterer på behovet for at støtte investeringer i færdigheder i strategiske sektorer under politikområderne i den foreslåede Europæiske Fond for Konkurrenceevne;</w:t>
            </w:r>
            <w:r>
              <w:rPr>
                <w:b/>
                <w:i/>
              </w:rPr>
              <w:t xml:space="preserve"> insisterer på, at erhvervsuddannelsesprogrammer anvendes til at mindske den mangel på kvalificeret arbejdskraft, som Europa står over for, navnlig i sektorer som sundhedspleje, informations- og kommunikationsteknologi, ingeniørvirksomhed, grønne teknologier og byggeri, ved at tilskynde flere kvinder til at komme ind på disse områder gennem erhvervsuddannelse, hvilket udvider den tilgængelige talentmasse; understreger behovet for at vedtage en kønstransformativ tilgang, der aktivt fjerner de strukturelle hindringer, som kvinder og piger står over for i forbindelse med erhvervsuddannelse, lærlingeuddannelser og beskæftigelse;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fremhæver, at AI og automatisering har ført til et øget behov for omskoling; understreger i denne forbindelse den stigende betydning af tilgængelig uddannelse for alle arbejdstagere for deres nuværende eller alternative karrierer;</w:t>
            </w:r>
          </w:p>
        </w:tc>
        <w:tc>
          <w:tcPr>
            <w:tcW w:w="4876" w:type="dxa"/>
            <w:tcBorders>
              <w:top w:val="nil"/>
              <w:left w:val="nil"/>
              <w:bottom w:val="nil"/>
              <w:right w:val="nil"/>
            </w:tcBorders>
          </w:tcPr>
          <w:p>
            <w:pPr>
              <w:pStyle w:val="Normal6a"/>
            </w:pPr>
            <w:r>
              <w:t>11.</w:t>
            </w:r>
            <w:r>
              <w:tab/>
            </w:r>
            <w:r>
              <w:t>fremhæver, at AI og automatisering har ført til et øget behov for omskoling; understreger i denne forbindelse den stigende betydning af tilgængelig uddannelse for alle arbejdstagere for deres nuværende eller alternative karrierer;</w:t>
            </w:r>
            <w:r>
              <w:rPr>
                <w:b/>
                <w:i/>
              </w:rPr>
              <w:t xml:space="preserve"> understreger, at moderne erhvervsuddannelsespolitikker aktivt bør tilskynde piger til at følge erhvervsuddannelsesforløb inden for naturvidenskab, teknologi, ingeniørvirksomhed og matematik (STEM), i betragtning af at en øget deltagelse af kvinder i disse sektorer bidrager til at mindske manglen på arbejdskraft og samtidig fremme ligestilling mellem kønnene og styrke den europæiske konkurrenceevne;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12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understreger behovet for at øge kvinders lederskab inden for forvaltning af erhvervsuddannelser for at gøre det muligt at repræsentere kvinders perspektiver i de beslutningstagende organer, der har ansvaret for erhvervsuddannelsespolitik; understreger, at Kommissionen og medlemsstaterne for at opnå dette bør tilskynde til en afbalanceret kønsfordeling i de rådgivende udvalg for erhvervsrettet uddannelse, øget rekruttering af kvindelige instruktører på tekniske områder og høring af kvindeorganisationer, fagforeninger, arbejdsgivere og civilsamfundet, når de udvikler strategier for erhvervsrettet uddannelse;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NotTOC"/>
      </w:pPr>
      <w:r>
        <w:t>BILAG: ERKLÆRING OM INPUT</w:t>
      </w:r>
    </w:p>
    <w:p>
      <w:pPr>
        <w:pStyle w:val="Normal12a"/>
      </w:pPr>
      <w:r>
        <w:rPr>
          <w:rStyle w:val="HideTWBExt"/>
        </w:rPr>
        <w:t>&lt;FootprintIntro&gt;</w:t>
      </w:r>
      <w:r>
        <w:rPr>
          <w:rStyle w:val="HideTWBExt"/>
        </w:rPr>
        <w:t>&lt;/FootprintIntro&gt;</w:t>
      </w:r>
    </w:p>
    <w:p>
      <w:pPr>
        <w:pStyle w:val="Normal12a"/>
      </w:pPr>
      <w:r>
        <w:t>Ordføreren erklærer på eget ansvar, at han ikke i sin betænkning har medtaget input fra interesserepræsentanter, der er omfattet af anvendelsesområdet for den interinstitutionelle aftale om et obligatorisk åbenhedsregister</w:t>
      </w:r>
      <w:r>
        <w:rPr>
          <w:rStyle w:val="FootnoteReference"/>
        </w:rPr>
        <w:footnoteReference w:customMarkFollows="1" w:id="2"/>
        <w:t xml:space="preserve">1</w:t>
      </w:r>
      <w:r>
        <w:t>, eller fra repræsentanter for offentlige myndigheder i tredjelande, herunder deres diplomatiske missioner og ambassader, som i henhold til artikel 8 i bilag I til forretningsordenen skal angives i dette bilag.</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790.216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10</w:t>
    </w:r>
    <w:r>
      <w:fldChar w:fldCharType="end"/>
    </w:r>
    <w:r>
      <w:tab/>
    </w:r>
    <w:r>
      <w:rPr>
        <w:rStyle w:val="HideTWBExt"/>
      </w:rPr>
      <w:t>&lt;PathFdR&gt;</w:t>
    </w:r>
    <w:r>
      <w:t>PA\1346758DA.docx</w:t>
    </w:r>
    <w:r>
      <w:rPr>
        <w:rStyle w:val="HideTWBExt"/>
      </w:rPr>
      <w:t>&lt;/PathFdR&gt;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PA\1346758DA.docx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10</w:t>
    </w:r>
    <w:r>
      <w:fldChar w:fldCharType="end"/>
    </w:r>
    <w:r>
      <w:tab/>
    </w:r>
    <w:r>
      <w:t>PE</w:t>
    </w:r>
    <w:r>
      <w:rPr>
        <w:rStyle w:val="HideTWBExt"/>
      </w:rPr>
      <w:t>&lt;NoPE&gt;</w:t>
    </w:r>
    <w:r>
      <w:t>790.216</w:t>
    </w:r>
    <w:r>
      <w:rPr>
        <w:rStyle w:val="HideTWBExt"/>
      </w:rPr>
      <w:t>&lt;/NoPE&gt;</w:t>
    </w:r>
    <w:r>
      <w:rPr>
        <w:rStyle w:val="HideTWBExt"/>
      </w:rPr>
      <w:t>&lt;Version&gt;</w:t>
    </w:r>
    <w:r>
      <w:t>v01-00</w:t>
    </w:r>
    <w:r>
      <w:rPr>
        <w:rStyle w:val="HideTWBExt"/>
      </w:rPr>
      <w:t>&lt;/Version&gt;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PA\1346758DA.docx</w:t>
    </w:r>
    <w:r>
      <w:rPr>
        <w:rStyle w:val="HideTWBExt"/>
      </w:rPr>
      <w:t>&lt;/PathFdR&gt;</w:t>
    </w:r>
    <w:r>
      <w:tab/>
    </w:r>
    <w:r>
      <w:tab/>
    </w:r>
    <w:r>
      <w:t>PE</w:t>
    </w:r>
    <w:r>
      <w:rPr>
        <w:rStyle w:val="HideTWBExt"/>
      </w:rPr>
      <w:t>&lt;NoPE&gt;</w:t>
    </w:r>
    <w:r>
      <w:t>790.216</w:t>
    </w:r>
    <w:r>
      <w:rPr>
        <w:rStyle w:val="HideTWBExt"/>
      </w:rPr>
      <w:t>&lt;/NoPE&gt;</w:t>
    </w:r>
    <w:r>
      <w:rPr>
        <w:rStyle w:val="HideTWBExt"/>
      </w:rPr>
      <w:t>&lt;Version&gt;</w:t>
    </w:r>
    <w:r>
      <w:t>v01-00</w:t>
    </w:r>
    <w:r>
      <w:rPr>
        <w:rStyle w:val="HideTWBExt"/>
      </w:rPr>
      <w:t>&lt;/Version&gt;</w:t>
    </w:r>
  </w:p>
  <w:p>
    <w:pPr>
      <w:pStyle w:val="EPFooter2"/>
    </w:pPr>
    <w:r>
      <w:t>DA</w:t>
    </w:r>
    <w:r>
      <w:tab/>
    </w:r>
    <w:r>
      <w:rPr>
        <w:rStyle w:val="EPFooter2Motto"/>
      </w:rPr>
      <w:t>Forenet i mangfoldighed</w:t>
    </w:r>
    <w:r>
      <w:tab/>
    </w:r>
    <w:r>
      <w:t>DA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Interinstitutionel aftale af 20. maj 2021 mellem Europa-Parlamentet, Rådet for Den Europæiske Union og Europa-Kommissionen om et obligatorisk åbenhedsregister (EUT L 207 af 11.6.2021, s. 1, ELI: </w:t>
      </w:r>
      <w:hyperlink r:id="rId1" w:tgtFrame="http://data.europa.eu/eli/agree_interinstit/2021/611/oj" w:history="1">
        <w:r>
          <w:rPr>
            <w:rStyle w:val="Hyperlink"/>
          </w:rPr>
          <w:t>http://data.europa.eu/eli/agree_interinstit/2021/611/oj/dan</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5\fbidi \froman\fcharset238\fprq2 Times New Roman CE;}{\f336\fbidi \froman\fcharset204\fprq2 Times New Roman Cyr;}{\f338\fbidi \froman\fcharset161\fprq2 Times New Roman Greek;}_x000d__x000a_{\f339\fbidi \froman\fcharset162\fprq2 Times New Roman Tur;}{\f340\fbidi \froman\fcharset177\fprq2 Times New Roman (Hebrew);}{\f341\fbidi \froman\fcharset178\fprq2 Times New Roman (Arabic);}{\f342\fbidi \froman\fcharset186\fprq2 Times New Roman Baltic;}_x000d__x000a_{\f343\fbidi \froman\fcharset163\fprq2 Times New Roman (Vietnamese);}{\f345\fbidi \fswiss\fcharset238\fprq2 Arial CE;}{\f346\fbidi \fswiss\fcharset204\fprq2 Arial Cyr;}{\f348\fbidi \fswiss\fcharset161\fprq2 Arial Greek;}_x000d__x000a_{\f349\fbidi \fswiss\fcharset162\fprq2 Arial Tur;}{\f350\fbidi \fswiss\fcharset177\fprq2 Arial (Hebrew);}{\f351\fbidi \fswiss\fcharset178\fprq2 Arial (Arabic);}{\f352\fbidi \fswiss\fcharset186\fprq2 Arial Baltic;}_x000d__x000a_{\f353\fbidi \fswiss\fcharset163\fprq2 Arial (Vietnamese);}{\f675\fbidi \froman\fcharset238\fprq2 Cambria Math CE;}{\f676\fbidi \froman\fcharset204\fprq2 Cambria Math Cyr;}{\f678\fbidi \froman\fcharset161\fprq2 Cambria Math Greek;}_x000d__x000a_{\f679\fbidi \froman\fcharset162\fprq2 Cambria Math Tur;}{\f682\fbidi \froman\fcharset186\fprq2 Cambria Math Baltic;}{\f683\fbidi \froman\fcharset163\fprq2 Cambria Math (Vietnamese);}_x000d__x000a_{\f717\fbidi \fswiss\fcharset0\fprq2 Yu Gothic Light Western{\*\falt \'9f\'e0\'83\'53\'83\'56\'83\'62\'83\'4e Light};}{\f715\fbidi \fswiss\fcharset238\fprq2 Yu Gothic Light CE{\*\falt \'9f\'e0\'83\'53\'83\'56\'83\'62\'83\'4e Light};}_x000d__x000a_{\f716\fbidi \fswiss\fcharset204\fprq2 Yu Gothic Light Cyr{\*\falt \'9f\'e0\'83\'53\'83\'56\'83\'62\'83\'4e Light};}{\f718\fbidi \fswiss\fcharset161\fprq2 Yu Gothic Light Greek{\*\falt \'9f\'e0\'83\'53\'83\'56\'83\'62\'83\'4e Light};}_x000d__x000a_{\f719\fbidi \fswiss\fcharset162\fprq2 Yu Gothic Light Tur{\*\falt \'9f\'e0\'83\'53\'83\'56\'83\'62\'83\'4e Light};}{\f722\fbidi \fswiss\fcharset186\fprq2 Yu Gothic Light Baltic{\*\falt \'9f\'e0\'83\'53\'83\'56\'83\'62\'83\'4e Light};}_x000d__x000a_{\f1967\fbidi \fswiss\fcharset0\fprq2 @Yu Gothic Light Western;}{\f1965\fbidi \fswiss\fcharset238\fprq2 @Yu Gothic Light CE;}{\f1966\fbidi \fswiss\fcharset204\fprq2 @Yu Gothic Light Cyr;}{\f1968\fbidi \fswiss\fcharset161\fprq2 @Yu Gothic Light Greek;}_x000d__x000a_{\f1969\fbidi \fswiss\fcharset162\fprq2 @Yu Gothic Light Tur;}{\f1972\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2834 HideTWBExt;}{_x000d__x000a_\s18\ql \li0\ri0\nowidctlpar\wrapdefault\aspalpha\aspnum\faauto\adjustright\rin0\lin0\itap0 \rtlch\fcs1 \af0\afs20\alang1025 \ltrch\fcs0 \b\fs24\lang2057\langfe2057\cgrid\langnp2057\langfenp2057 \sbasedon0 \snext18 \spriority0 \styrsid2242834 NormalBold;}_x000d__x000a_{\s19\qr \li0\ri0\sb240\sa240\nowidctlpar\wrapdefault\aspalpha\aspnum\faauto\adjustright\rin0\lin0\itap0 \rtlch\fcs1 \af0\afs20\alang1025 \ltrch\fcs0 \fs24\lang2057\langfe2057\cgrid\langnp2057\langfenp2057 \sbasedon0 \snext19 \spriority0 \styrsid2242834 _x000d__x000a_AmOrLang;}{\s20\ql \li0\ri0\sa120\nowidctlpar\wrapdefault\aspalpha\aspnum\faauto\adjustright\rin0\lin0\itap0 \rtlch\fcs1 \af0\afs20\alang1025 \ltrch\fcs0 \fs24\lang2057\langfe2057\cgrid\langnp2057\langfenp2057 _x000d__x000a_\sbasedon0 \snext20 \spriority0 \styrsid2242834 Normal6a;}{\s21\qc \li0\ri0\sa240\nowidctlpar\wrapdefault\aspalpha\aspnum\faauto\adjustright\rin0\lin0\itap0 \rtlch\fcs1 \af0\afs20\alang1025 \ltrch\fcs0 _x000d__x000a_\i\fs24\lang2057\langfe2057\cgrid\langnp2057\langfenp2057 \sbasedon0 \snext21 \spriority0 \styrsid224283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242834 AmNumberTabs;}{\s23\ql \li0\ri0\sb240\nowidctlpar\wrapdefault\aspalpha\aspnum\faauto\adjustright\rin0\lin0\itap0 \rtlch\fcs1 _x000d__x000a_\af0\afs20\alang1025 \ltrch\fcs0 \b\fs24\lang2057\langfe2057\cgrid\langnp2057\langfenp2057 \sbasedon0 \snext23 \spriority0 \styrsid2242834 NormalBold12b;}}{\*\rsidtbl \rsid24658\rsid223860\rsid735077\rsid1718133\rsid2242834\rsid2892074\rsid3565327_x000d__x000a_\rsid4666813\rsid6641733\rsid7823322\rsid9582763\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monkuniene}{\operator MONKUNIENE Neringa}{\creatim\yr2024\mo5\dy23\hr11\min2}{\revtim\yr2024\mo5\dy23\hr11\min2}{\version1}{\edmins0}{\nofpages1}_x000d__x000a_{\nofwords120}{\nofchars69}{\nofcharsws188}{\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2834\newtblstyruls\nogrowautofit\usenormstyforlist\noindnmbrts\felnbrelev\nocxsptable\indrlsweleven\noafcnsttbl\afelev\utinl\hwelev\spltpgpar\notcvasp\notbrkcnstfrctbl\notvatxbx\krnprsnet\cachedcolbal 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582763 \chftnsep _x000d__x000a_\par }}{\*\ftnsepc \ltrpar \pard\plain \ltrpar\ql \li0\ri0\widctlpar\wrapdefault\aspalpha\aspnum\faauto\adjustright\rin0\lin0\itap0 \rtlch\fcs1 \af0\afs20\alang1025 \ltrch\fcs0 \fs24\lang2057\langfe2057\cgrid\langnp2057\langfenp2057 {\rtlch\fcs1 \af0 _x000d__x000a_\ltrch\fcs0 \insrsid9582763 \chftnsepc _x000d__x000a_\par }}{\*\aftnsep \ltrpar \pard\plain \ltrpar\ql \li0\ri0\widctlpar\wrapdefault\aspalpha\aspnum\faauto\adjustright\rin0\lin0\itap0 \rtlch\fcs1 \af0\afs20\alang1025 \ltrch\fcs0 \fs24\lang2057\langfe2057\cgrid\langnp2057\langfenp2057 {\rtlch\fcs1 \af0 _x000d__x000a_\ltrch\fcs0 \insrsid9582763 \chftnsep _x000d__x000a_\par }}{\*\aftnsepc \ltrpar \pard\plain \ltrpar\ql \li0\ri0\widctlpar\wrapdefault\aspalpha\aspnum\faauto\adjustright\rin0\lin0\itap0 \rtlch\fcs1 \af0\afs20\alang1025 \ltrch\fcs0 \fs24\lang2057\langfe2057\cgrid\langnp2057\langfenp2057 {\rtlch\fcs1 \af0 _x000d__x000a_\ltrch\fcs0 \insrsid95827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2242834\charrsid4291528 _x000d__x000a_{\*\bkmkstart restart}\hich\af1\dbch\af31501\loch\f1 &lt;Amend&gt;}{\rtlch\fcs1 \af0 \ltrch\fcs0 \lang1036\langfe2057\langnp1036\insrsid2242834\charrsid4291528 [ZAMENDMENT]\tab \tab }{\rtlch\fcs1 \af0 \ltrch\fcs0 _x000d__x000a_\cs17\b0\v\fs20\cf9\lang1024\langfe1024\loch\af1\hich\af1\dbch\af31501\noproof\langnp1036\insrsid2242834\charrsid4291528 \hich\af1\dbch\af31501\loch\f1 &lt;NumAm&gt;}{\rtlch\fcs1 \af0 \ltrch\fcs0 \lang1036\langfe2057\langnp1036\insrsid2242834\charrsid4291528 _x000d__x000a_[ZNRAM]}{\rtlch\fcs1 \af0 \ltrch\fcs0 \cs17\b0\v\fs20\cf9\lang1024\langfe1024\loch\af1\hich\af1\dbch\af31501\noproof\langnp1036\insrsid2242834\charrsid4291528 \hich\af1\dbch\af31501\loch\f1 &lt;/NumAm&gt;}{\rtlch\fcs1 \af0 \ltrch\fcs0 _x000d__x000a_\lang1036\langfe2057\langnp1036\insrsid2242834\charrsid4291528 _x000d__x000a_\par }\pard\plain \ltrpar\s23\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2242834\charrsid4291528 \hich\af1\dbch\af31501\loch\f1 &lt;DocAmend&gt;}{\rtlch\fcs1 \af0 \ltrch\fcs0 _x000d__x000a_\lang1036\langfe2057\langnp1036\insrsid2242834\charrsid4291528 [}{\rtlch\fcs1 \af0 \ltrch\fcs0 \lang1036\langfe2057\langnp1036\insrsid2242834\charrsid3548259 ZPROPOSAL}{\rtlch\fcs1 \af0 \ltrch\fcs0 _x000d__x000a_\lang1036\langfe2057\langnp1036\insrsid2242834\charrsid4291528 ]}{\rtlch\fcs1 \af0 \ltrch\fcs0 \cs17\b0\v\fs20\cf9\lang1024\langfe1024\loch\af1\hich\af1\dbch\af31501\noproof\langnp1036\insrsid2242834\charrsid4291528 \hich\af1\dbch\af31501\loch\f1 _x000d__x000a_&lt;/DocAmend&gt;}{\rtlch\fcs1 \af0 \ltrch\fcs0 \lang1036\langfe2057\langnp1036\insrsid2242834\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2242834\charrsid4291528 \hich\af1\dbch\af31501\loch\f1 &lt;Article&gt;}{\rtlch\fcs1 \af0 \ltrch\fcs0 _x000d__x000a_\lang1036\langfe2057\langnp1036\insrsid2242834\charrsid4291528 [ZAMPART]}{\rtlch\fcs1 \af0 \ltrch\fcs0 \cs17\b0\v\fs20\cf9\lang1024\langfe1024\loch\af1\hich\af1\dbch\af31501\noproof\langnp1036\insrsid2242834\charrsid4291528 \hich\af1\dbch\af31501\loch\f1 _x000d__x000a_&lt;/Article&gt;}{\rtlch\fcs1 \af0 \ltrch\fcs0 \lang1036\langfe2057\langnp1036\insrsid2242834\charrsid4291528 _x000d__x000a_\par \ltrrow}\trowd \irow0\irowband0\ltrrow\ts11\trqc\trgaph340\trleft0\trftsWidth3\trwWidth9752\trftsWidthB3\trpaddl340\trpaddr340\trpaddfl3\trpaddft3\trpaddfb3\trpaddfr3\tblrsid9505846\tblind0\tblindtype3 \clvertalt\clbrdrt\brdrtbl \clbrdrl\brdrtbl \clbrdrb_x000d__x000a_\brdrtbl \clbrdrr\brdrtbl \cltxlrtb\clftsWidth3\clwWidth9752\clshdrawnil \cellx9752\pard\plain \ltrpar\ql \li0\ri0\keepn\widctlpar\intbl\wrapdefault\aspalpha\aspnum\faauto\adjustright\rin0\lin0\pararsid9505846 \rtlch\fcs1 \af0\afs20\alang1025 \ltrch\fcs0 _x000d__x000a_\fs24\lang2057\langfe2057\cgrid\langnp2057\langfenp2057 {\rtlch\fcs1 \af0 \ltrch\fcs0 \lang1036\langfe2057\langnp1036\insrsid2242834\charrsid4291528 \cell }\pard\plain \ltrpar_x000d__x000a_\ql \li0\ri0\widctlpar\intbl\wrapdefault\aspalpha\aspnum\faauto\adjustright\rin0\lin0 \rtlch\fcs1 \af0\afs20\alang1025 \ltrch\fcs0 \fs24\lang2057\langfe2057\cgrid\langnp2057\langfenp2057 {\rtlch\fcs1 \af0 \ltrch\fcs0 \insrsid2242834\charrsid4291528 _x000d__x000a_\trowd \irow0\irowband0\ltrrow\ts11\trqc\trgaph340\trleft0\trftsWidth3\trwWidth9752\trftsWidthB3\trpaddl340\trpaddr340\trpaddfl3\trpaddft3\trpaddfb3\trpaddfr3\tblrsid9505846\tblind0\tblindtype3 \clvertalt\clbrdrt\brdrtbl \clbrdrl\brdrtbl \clbrdrb\brdrtbl _x000d__x000a_\clbrdrr\brdrtbl \cltxlrtb\clftsWidth3\clwWidth9752\clshdrawnil \cellx9752\row \ltrrow}\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1\qc \li0\ri0\sa240\keepn\nowidctlpar\intbl\wrapdefault\aspalpha\aspnum\faauto\adjustright\rin0\lin0\pararsid9505846 \rtlch\fcs1 \af0\afs20\alang1025 \ltrch\fcs0 \i\fs24\lang2057\langfe2057\cgrid\langnp2057\langfenp2057 {\rtlch\fcs1 \af0 \ltrch\fcs0 _x000d__x000a_\insrsid2242834\charrsid6708014 [ZLEFT]\cell [ZRIGHT]\cell }\pard\plain \ltrpar\ql \li0\ri0\widctlpar\intbl\wrapdefault\aspalpha\aspnum\faauto\adjustright\rin0\lin0 \rtlch\fcs1 \af0\afs20\alang1025 \ltrch\fcs0 _x000d__x000a_\fs24\lang2057\langfe2057\cgrid\langnp2057\langfenp2057 {\rtlch\fcs1 \af0 \ltrch\fcs0 \insrsid2242834\charrsid6708014 \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9505846 \rtlch\fcs1 \af0\afs20\alang1025 \ltrch\fcs0 \fs24\lang2057\langfe2057\cgrid\langnp2057\langfenp2057 {\rtlch\fcs1 \af0 \ltrch\fcs0 _x000d__x000a_\insrsid2242834\charrsid6708014 [ZTEXTL]\cell [ZTEXTR]}{\rtlch\fcs1 \af0\afs24 \ltrch\fcs0 \insrsid2242834\charrsid6708014 \cell }\pard\plain \ltrpar\ql \li0\ri0\widctlpar\intbl\wrapdefault\aspalpha\aspnum\faauto\adjustright\rin0\lin0 \rtlch\fcs1 _x000d__x000a_\af0\afs20\alang1025 \ltrch\fcs0 \fs24\lang2057\langfe2057\cgrid\langnp2057\langfenp2057 {\rtlch\fcs1 \af0 \ltrch\fcs0 \insrsid2242834\charrsid6708014 \trowd \irow2\irowband2\lastrow \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2242834 \rtlch\fcs1 \af0\afs20\alang1025 \ltrch\fcs0 \fs24\lang2057\langfe2057\cgrid\langnp2057\langfenp2057 {\rtlch\fcs1 \af0 \ltrch\fcs0 _x000d__x000a_\insrsid2242834\charrsid6708014 Or. }{\rtlch\fcs1 \af0 \ltrch\fcs0 \cs17\v\fs20\cf9\lang1024\langfe1024\loch\af1\hich\af1\dbch\af31501\noproof\insrsid2242834\charrsid6708014 \hich\af1\dbch\af31501\loch\f1 &lt;Original&gt;}{\rtlch\fcs1 \af0 \ltrch\fcs0 _x000d__x000a_\insrsid2242834\charrsid6708014 [ZORLANG]}{\rtlch\fcs1 \af0 \ltrch\fcs0 \cs17\v\fs20\cf9\lang1024\langfe1024\loch\af1\hich\af1\dbch\af31501\noproof\insrsid2242834\charrsid6708014 \hich\af1\dbch\af31501\loch\f1 &lt;/Original&gt;}{\rtlch\fcs1 \af0 \ltrch\fcs0 _x000d__x000a_\insrsid2242834\charrsid6708014 _x000d__x000a_\par }\pard\plain \ltrpar\ql \li0\ri0\widctlpar\wrapdefault\aspalpha\aspnum\faauto\adjustright\rin0\lin0\itap0\pararsid2242834 \rtlch\fcs1 \af0\afs20\alang1025 \ltrch\fcs0 \fs24\lang2057\langfe2057\cgrid\langnp2057\langfenp2057 {\rtlch\fcs1 \af0 \ltrch\fcs0 _x000d__x000a_\cs17\v\fs20\cf9\lang1024\langfe1024\loch\af1\hich\af1\dbch\af31501\noproof\insrsid2242834\charrsid670801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b4_x000d__x000a_ebf4efa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Ext">
    <w:name w:val="HideTWBExt"/>
    <w:rPr>
      <w:rFonts w:ascii="Arial" w:hAnsi="Arial"/>
      <w:vanish/>
      <w:color w:val="000080"/>
      <w:sz w:val="20"/>
    </w:rPr>
  </w:style>
  <w:style w:type="paragraph" w:customStyle="1" w:styleId="NormalBold">
    <w:name w:val="NormalBold"/>
    <w:basedOn w:val="Normal"/>
    <w:pPr>
      <w:widowControl/>
    </w:pPr>
    <w:rPr>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Arial14CentreBold">
    <w:name w:val="Arial14CentreBold"/>
    <w:basedOn w:val="Normal"/>
    <w:pPr>
      <w:widowControl w:val="0"/>
      <w:spacing w:after="0" w:line="240" w:lineRule="auto"/>
      <w:jc w:val="center"/>
    </w:pPr>
    <w:rPr>
      <w:rFonts w:ascii="Arial" w:eastAsia="Arial" w:hAnsi="Arial" w:cs="Arial"/>
      <w:b/>
      <w:sz w:val="28"/>
    </w:rPr>
  </w:style>
  <w:style w:type="paragraph" w:customStyle="1" w:styleId="ProcedureTable">
    <w:name w:val="ProcedureTable"/>
    <w:basedOn w:val="Normal"/>
    <w:pPr>
      <w:widowControl w:val="0"/>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val="0"/>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val="0"/>
      <w:tabs>
        <w:tab w:val="center" w:pos="284"/>
        <w:tab w:val="left" w:pos="424"/>
      </w:tabs>
      <w:spacing w:after="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AMNumberTabs0">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after="0" w:line="240" w:lineRule="auto"/>
    </w:pPr>
    <w:rPr>
      <w:rFonts w:ascii="Times New Roman" w:eastAsia="Times New Roman" w:hAnsi="Times New Roman" w:cs="Times New Roman"/>
      <w:b/>
      <w:color w:val="000000"/>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1651</Words>
  <Characters>11152</Characters>
  <Application>Microsoft Office Word</Application>
  <DocSecurity>0</DocSecurity>
  <Lines>1</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1346758</vt:lpwstr>
  </property>
  <property fmtid="{D5CDD505-2E9C-101B-9397-08002B2CF9AE}" pid="4" name="&lt;Model&gt;">
    <vt:lpwstr>PA_NonLeg</vt:lpwstr>
  </property>
  <property fmtid="{D5CDD505-2E9C-101B-9397-08002B2CF9AE}" pid="5" name="&lt;Type&gt;">
    <vt:lpwstr>PA</vt:lpwstr>
  </property>
  <property fmtid="{D5CDD505-2E9C-101B-9397-08002B2CF9AE}" pid="6" name="dmxml.render.id">
    <vt:lpwstr>572484</vt:lpwstr>
  </property>
  <property fmtid="{D5CDD505-2E9C-101B-9397-08002B2CF9AE}" pid="7" name="dmxml.render.traceId">
    <vt:lpwstr>6a54b3640cf3a0869e1b99e010f14224</vt:lpwstr>
  </property>
  <property fmtid="{D5CDD505-2E9C-101B-9397-08002B2CF9AE}" pid="8" name="FooterPath">
    <vt:lpwstr>PA\1346758DA.doc</vt:lpwstr>
  </property>
  <property fmtid="{D5CDD505-2E9C-101B-9397-08002B2CF9AE}" pid="9" name="PE Number">
    <vt:lpwstr>790.216</vt:lpwstr>
  </property>
  <property fmtid="{D5CDD505-2E9C-101B-9397-08002B2CF9AE}" pid="10" name="UID">
    <vt:lpwstr>eu.europa.europarl-DIN1-2026-0000198249_01.04-da-01.00_text-xml</vt:lpwstr>
  </property>
</Properties>
</file>