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{FEMM}</w:t>
      </w:r>
      <w:r>
        <w:t>Naisten oikeuksien ja sukupuolten tasa-arvon valiokunta</w:t>
      </w:r>
      <w:r>
        <w:rPr>
          <w:rStyle w:val="HideTWBExt"/>
        </w:rPr>
        <w:t>&lt;/Commission&gt;</w:t>
      </w:r>
    </w:p>
    <w:p>
      <w:pPr>
        <w:pStyle w:val="LineBottom"/>
      </w:pPr>
      <w:r>
        <w:t xml:space="preserve"> </w:t>
      </w:r>
    </w:p>
    <w:p>
      <w:pPr>
        <w:pStyle w:val="CoverReference"/>
      </w:pPr>
      <w:r>
        <w:rPr>
          <w:rStyle w:val="HideTWBExt"/>
        </w:rPr>
        <w:t>&lt;RefProc&gt;</w:t>
      </w:r>
      <w:r>
        <w:t>2026/2070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{02/07/2026}</w:t>
      </w:r>
      <w:r>
        <w:t>2.7.2026</w:t>
      </w:r>
      <w:r>
        <w:rPr>
          <w:rStyle w:val="HideTWBExt"/>
        </w:rPr>
        <w:t>&lt;/Date&gt;</w:t>
      </w:r>
    </w:p>
    <w:p>
      <w:pPr>
        <w:pStyle w:val="CoverDocType24a"/>
      </w:pPr>
      <w:r>
        <w:rPr>
          <w:rStyle w:val="HideTWBExt"/>
        </w:rPr>
        <w:t>&lt;TitreType&gt;</w:t>
      </w:r>
      <w:r>
        <w:t>LAUSUNTOLUONNOS</w:t>
      </w:r>
      <w:r>
        <w:rPr>
          <w:rStyle w:val="HideTWBExt"/>
        </w:rPr>
        <w:t>&lt;/TitreType&gt;</w:t>
      </w:r>
    </w:p>
    <w:p>
      <w:pPr>
        <w:pStyle w:val="CoverNormal24a"/>
      </w:pPr>
      <w:r>
        <w:rPr>
          <w:rStyle w:val="HideTWBExt"/>
        </w:rPr>
        <w:t>&lt;CommissionResp&gt;</w:t>
      </w:r>
      <w:r>
        <w:t>naisten oikeuksien ja sukupuolten tasa-arvon valiokunnalta</w:t>
      </w:r>
      <w:r>
        <w:rPr>
          <w:rStyle w:val="HideTWBExt"/>
        </w:rPr>
        <w:t>&lt;/CommissionResp&gt;</w:t>
      </w:r>
    </w:p>
    <w:p>
      <w:pPr>
        <w:pStyle w:val="CoverNormal24a"/>
      </w:pPr>
      <w:r>
        <w:rPr>
          <w:rStyle w:val="HideTWBExt"/>
        </w:rPr>
        <w:t>&lt;CommissionInt&gt;</w:t>
      </w:r>
      <w:r>
        <w:t>työllisyyden ja sosiaaliasioiden valiokunnalle</w:t>
      </w:r>
      <w:r>
        <w:rPr>
          <w:rStyle w:val="HideTWBExt"/>
        </w:rPr>
        <w:t>&lt;/CommissionInt&gt;</w:t>
      </w:r>
    </w:p>
    <w:p>
      <w:pPr>
        <w:pStyle w:val="CoverNormal"/>
      </w:pPr>
      <w:r>
        <w:rPr>
          <w:rStyle w:val="HideTWBExt"/>
        </w:rPr>
        <w:t>&lt;Titre&gt;</w:t>
      </w:r>
      <w:r>
        <w:t>osaamisen kehittämisestä EU:ssa ja ammatillisen koulutuksen mahdollisuuksista muutoksen aikakaudella</w:t>
      </w:r>
      <w:r>
        <w:rPr>
          <w:rStyle w:val="HideTWBExt"/>
        </w:rPr>
        <w:t>&lt;/Titre&gt;</w:t>
      </w:r>
    </w:p>
    <w:p>
      <w:pPr>
        <w:pStyle w:val="CoverNormal24a"/>
      </w:pPr>
      <w:r>
        <w:rPr>
          <w:rStyle w:val="HideTWBExt"/>
        </w:rPr>
        <w:t>&lt;DocRef&gt;</w:t>
      </w:r>
      <w:r>
        <w:t>(2026/2070(INI))</w:t>
      </w:r>
      <w:r>
        <w:rPr>
          <w:rStyle w:val="HideTWBExt"/>
        </w:rPr>
        <w:t>&lt;/DocRef&gt;</w:t>
      </w:r>
    </w:p>
    <w:p>
      <w:pPr>
        <w:pStyle w:val="CoverNormal24a"/>
      </w:pPr>
      <w:r>
        <w:t>Valmistelija</w:t>
      </w:r>
      <w:r>
        <w:t xml:space="preserve">: </w:t>
      </w:r>
      <w:r>
        <w:rPr>
          <w:rStyle w:val="HideTWBExt"/>
        </w:rPr>
        <w:t>&lt;Depute&gt;</w:t>
      </w:r>
      <w:r>
        <w:t>Lina Gálvez</w:t>
      </w:r>
      <w:r>
        <w:rPr>
          <w:rStyle w:val="HideTWBExt"/>
        </w:rPr>
        <w:t>&lt;/Depute&gt;</w:t>
      </w:r>
    </w:p>
    <w:p>
      <w:r>
        <w:br w:type="page"/>
      </w:r>
      <w:r>
        <w:t>PA_NonLeg</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NotTOC"/>
      </w:pPr>
      <w:r>
        <w:t>TARKISTUKSET</w:t>
      </w:r>
    </w:p>
    <w:p>
      <w:pPr>
        <w:pStyle w:val="Normal12a"/>
      </w:pPr>
      <w:r>
        <w:t>Naisten oikeuksien ja sukupuolten tasa-arvon valiokunta</w:t>
      </w:r>
      <w:r>
        <w:t xml:space="preserve"> </w:t>
      </w:r>
      <w:r>
        <w:t>esittää asiasta vastaavalle työllisyyden ja sosiaaliasioiden valiokunnalle seuraavaa</w:t>
      </w:r>
      <w:r>
        <w:t>:</w:t>
      </w:r>
    </w:p>
    <w:p>
      <w:pPr>
        <w:pStyle w:val="AmNumberTabs"/>
      </w:pP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korostaa ammatillisen koulutuksen merkitystä EU:n taloudelliselle vauraudelle ja kilpailukyvylle; painottaa ammatillisen koulutuksen esiintuomisen ja arvostamisen merkitystä, jotta voidaan parantaa sen houkuttelevuutta laadukkaana työllistymisväylänä; kehottaa komissiota varmistamaan, että tulevassa ammatillisen koulutuksen strategiassa käsitellään ammatillisen koulutuksen opetussuunnitelmien laatua ja tarkoituksenmukaisuutta sekä tehdään ammatillisen koulutuksen ohjelmia paremmin tunnetuksi oppijoiden, työnantajien ja suuren yleisön keskuudessa;</w:t>
            </w:r>
          </w:p>
        </w:tc>
        <w:tc>
          <w:tcPr>
            <w:tcW w:w="4876" w:type="dxa"/>
            <w:tcBorders>
              <w:top w:val="nil"/>
              <w:left w:val="nil"/>
              <w:bottom w:val="nil"/>
              <w:right w:val="nil"/>
            </w:tcBorders>
          </w:tcPr>
          <w:p>
            <w:pPr>
              <w:pStyle w:val="Normal6a"/>
            </w:pPr>
            <w:r>
              <w:t>1.</w:t>
            </w:r>
            <w:r>
              <w:tab/>
            </w:r>
            <w:r>
              <w:t>korostaa ammatillisen koulutuksen merkitystä EU:n taloudelliselle vauraudelle ja kilpailukyvylle; painottaa ammatillisen koulutuksen esiintuomisen ja arvostamisen merkitystä, jotta voidaan parantaa sen houkuttelevuutta laadukkaana työllistymisväylänä; kehottaa komissiota varmistamaan, että tulevassa ammatillisen koulutuksen strategiassa käsitellään ammatillisen koulutuksen opetussuunnitelmien laatua ja tarkoituksenmukaisuutta sekä tehdään ammatillisen koulutuksen ohjelmia paremmin tunnetuksi oppijoiden, työnantajien ja suuren yleisön keskuudessa;</w:t>
            </w:r>
            <w:r>
              <w:rPr>
                <w:b/>
                <w:i/>
              </w:rPr>
              <w:t xml:space="preserve"> toteaa lisäksi, että tulevassa kehyksessä on selkeästi määriteltävä, että sukupuolten tasa-arvo ja naisten voimaannuttaminen ovat ammatillisen koulutuksen perustavoitteita työllistettävyyden, kilpailukyvyn ja elinikäisen oppimisen rinnalla; korostaa, että tämä vaatisi sitä, että kaikki jäsenvaltiot sisällyttävät sukupuolten tasa-arvon valtavirtaistamisen ammatillisen koulutuksen ohjelmien suunnitteluun, toteutukseen, valvontaan ja arviointiin; toteaa, että ammatillisen koulutuksen ohjelmista olisi luotava keskeinen sukupuolistereotypioiden haastamisen väline tarjoamalla uraohjausta ja että olisi kannustettava nykyistä ponnekkaammin tyttöjä harkitsemaan teknisten alojen ammatteja ja poikia valitsemaan hoiva-alan ammatteja, jotta voidaan samalla vähentää eriytymistä työmarkkinoilla;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korostaa, että ammatillista koulutusta olisi pidettävä välineenä, jonka avulla voidaan sekä tukea opiskelijoiden ja työntekijöiden henkilökohtaista kehitystä että puuttua työvoimapulaan ja siten parantaa EU:n kilpailukykyä ja tukea innovointia strategisilla aloilla;</w:t>
            </w:r>
          </w:p>
        </w:tc>
        <w:tc>
          <w:tcPr>
            <w:tcW w:w="4876" w:type="dxa"/>
            <w:tcBorders>
              <w:top w:val="nil"/>
              <w:left w:val="nil"/>
              <w:bottom w:val="nil"/>
              <w:right w:val="nil"/>
            </w:tcBorders>
          </w:tcPr>
          <w:p>
            <w:pPr>
              <w:pStyle w:val="Normal6a"/>
            </w:pPr>
            <w:r>
              <w:t>2.</w:t>
            </w:r>
            <w:r>
              <w:tab/>
            </w:r>
            <w:r>
              <w:t>korostaa, että ammatillista koulutusta olisi pidettävä välineenä, jonka avulla voidaan sekä tukea opiskelijoiden ja työntekijöiden henkilökohtaista kehitystä että puuttua työvoimapulaan ja siten parantaa EU:n kilpailukykyä ja tukea innovointia strategisilla aloilla;</w:t>
            </w:r>
            <w:r>
              <w:rPr>
                <w:b/>
                <w:i/>
              </w:rPr>
              <w:t xml:space="preserve"> muistuttaa erityisesti siitä, että ammatillinen koulutus tarjoaa käytännönläheisiä työllistymisreittejä ja muodostaa siksi olennaisen tärkeän välineen työelämään siirtyvien nuorten lisäksi myös aikuisille, jotka kaipaavat täydennys- tai uudelleenkoulutusta työuransa aikana, etenkin naisille, joiden osallistumisaste työmarkkinoilla on edelleen alhaisempi, joiden palkat ovat matalammat ja joiden työura keskeytyy useammin lastenhoito- tai muiden hoivavastuiden, urakehitykseen liittyvän syrjinnän tai palkkauksen epäoikeudenmukaisuuden vuoksi;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korostaa tarvetta varmistaa, että ammatillisen koulutuksen opiskelijat ja tutkinnon suorittaneet kokevat, että heidän tutkintojaan ja ammattejaan arvostetaan samalla tavalla kuin akateemista koulutusta, jotta varmistetaan sosiaalinen yhteenkuuluvuus ja osallisuus;</w:t>
            </w:r>
          </w:p>
        </w:tc>
        <w:tc>
          <w:tcPr>
            <w:tcW w:w="4876" w:type="dxa"/>
            <w:tcBorders>
              <w:top w:val="nil"/>
              <w:left w:val="nil"/>
              <w:bottom w:val="nil"/>
              <w:right w:val="nil"/>
            </w:tcBorders>
          </w:tcPr>
          <w:p>
            <w:pPr>
              <w:pStyle w:val="Normal6a"/>
            </w:pPr>
            <w:r>
              <w:t>3.</w:t>
            </w:r>
            <w:r>
              <w:tab/>
            </w:r>
            <w:r>
              <w:t>korostaa tarvetta varmistaa, että ammatillisen koulutuksen opiskelijat ja tutkinnon suorittaneet kokevat, että heidän tutkintojaan ja ammattejaan arvostetaan samalla tavalla kuin akateemista koulutusta, jotta varmistetaan sosiaalinen yhteenkuuluvuus ja osallisuus</w:t>
            </w:r>
            <w:r>
              <w:rPr>
                <w:b/>
                <w:i/>
              </w:rPr>
              <w:t>; toteaa, että tämä on varmistettava etenkin haavoittuvassa asemassa olevien naisten kohdalla samoin kuin niiden kohdalla, jotka kohtaavat risteävää syrjintää – esimerkiksi siirtolaiset, pakolaiset, yksinhuoltajaäidit, seksuaalisen suuntautumisen tai sukupuolen ilmaisunsa vuoksi syrjityt naiset, maaseutuväestö, vammaiset naiset ja pitkäaikaistyöttömät naiset – jotta voidaan edistää yhtäläisiä mahdollisuuksia ja mahdollistaa heidän täysipainoinen osallistumisensa talouselämään sekä sosiaaliseen ja poliittiseen elämään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kehottaa komissiota edistämään keskeisten toimenpiteiden käyttöä, jotta voidaan varmistaa ja todentaa sukupuolten tasa-arvoa koskevien vaatimusten noudattaminen, ja toteaa, että tällaisia toimenpiteitä ovat muun muassa uusien ammatillisen koulutuksen ohjelmien pakollinen sukupuolivaikutusten arviointi, sukupuolitietoinen budjetointi riittävän rahoituksen varmistamiseksi tasa-arvoaloitteille ja sukupuolen mukaan eriteltyjen tietojen kerääminen ja julkaiseminen koulutukseen osallistumisesta, loppuun suorittamisesta, oppisopimuksista, työllistymistuloksista, palkoista ja urakehityksestä;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kehottaa jäsenvaltioita ja EU:n toimielimiä ottamaan ammatillisen koulutuksen opiskelijat ja tutkinnon suorittaneet mukaan päätöksentekoon kaikilla tasoilla tasavertaisen osallistumisen varmistamiseksi ja tarjoamaan ammatillisen koulutuksen harjoittelupaikkoja;</w:t>
            </w:r>
          </w:p>
        </w:tc>
        <w:tc>
          <w:tcPr>
            <w:tcW w:w="4876" w:type="dxa"/>
            <w:tcBorders>
              <w:top w:val="nil"/>
              <w:left w:val="nil"/>
              <w:bottom w:val="nil"/>
              <w:right w:val="nil"/>
            </w:tcBorders>
          </w:tcPr>
          <w:p>
            <w:pPr>
              <w:pStyle w:val="Normal6a"/>
            </w:pPr>
            <w:r>
              <w:t>5.</w:t>
            </w:r>
            <w:r>
              <w:tab/>
            </w:r>
            <w:r>
              <w:t xml:space="preserve">kehottaa jäsenvaltioita ja EU:n toimielimiä ottamaan ammatillisen koulutuksen opiskelijat ja tutkinnon suorittaneet mukaan päätöksentekoon kaikilla tasoilla tasavertaisen osallistumisen varmistamiseksi ja tarjoamaan ammatillisen koulutuksen harjoittelupaikkoja </w:t>
            </w:r>
            <w:r>
              <w:rPr>
                <w:b/>
                <w:i/>
              </w:rPr>
              <w:t>varmistaen, että tytöillä on tasavertaiset mahdollisuudet osallistua ammatillisen koulutuksen ohjelmiin kaikilla aloilla, myös perinteisesti miesvaltaisilla aloilla;</w:t>
            </w:r>
            <w:r>
              <w:rPr>
                <w:b/>
                <w:i/>
              </w:rPr>
              <w:t xml:space="preserve"> panee merkille, että joillekin aloille palkataan edelleen huomattavasti vähemmän naisia oppisopimuskoulutukseen, mikä rajoittaa mahdollisuuksia saada käytännön kokemusta ja edetä uralla; </w:t>
            </w:r>
            <w:r>
              <w:rPr>
                <w:b/>
                <w:i/>
              </w:rPr>
              <w:t>korostaa tarvetta puuttua tutkimustuloksiin, jotka osoittavat johdonmukaisesti, että naisten aliedustus tietyillä toimialoilla voi saada tytöt epäröimään tällaisen ammatin valitsemista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kehottaa komissiota tukemaan jäsenvaltioita, jotta ne investoivat riittävästi ammatilliseen koulutukseen, eurooppalaisen ohjausjakson maakohtaisten suositusten ja EU:n rahoituksen korvamerkitsemisen avulla; 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alueellisissa kumppanuussuunnitelmissa seurataan tätä esimerkkiä ammatillisen koulutuksen tukemiseksi;</w:t>
            </w:r>
          </w:p>
        </w:tc>
        <w:tc>
          <w:tcPr>
            <w:tcW w:w="4876" w:type="dxa"/>
            <w:tcBorders>
              <w:top w:val="nil"/>
              <w:left w:val="nil"/>
              <w:bottom w:val="nil"/>
              <w:right w:val="nil"/>
            </w:tcBorders>
          </w:tcPr>
          <w:p>
            <w:pPr>
              <w:pStyle w:val="Normal6a"/>
            </w:pPr>
            <w:r>
              <w:t>8.</w:t>
            </w:r>
            <w:r>
              <w:tab/>
            </w:r>
            <w:r>
              <w:t>kehottaa komissiota tukemaan jäsenvaltioita, jotta ne investoivat riittävästi ammatilliseen koulutukseen, eurooppalaisen ohjausjakson maakohtaisten suositusten ja EU:n rahoituksen korvamerkitsemisen avulla; 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alueellisissa kumppanuussuunnitelmissa seurataan tätä esimerkkiä ammatillisen koulutuksen tukemiseksi;</w:t>
            </w:r>
            <w:r>
              <w:rPr>
                <w:b/>
                <w:i/>
              </w:rPr>
              <w:t xml:space="preserve"> painottaa, että on tärkeä lisätä naisten määrää ammattitaitoa edellyttävissä ammateissa, koska tämä laajentaa työvoimaa ja auttaa löytämään ratkaisuja Euroopan väestön ikääntymiseen liittyviin väestöhaasteisiin;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tukee EU:n ja kansallisen tason kumppanuuksia työnantajien ja ammatillisen koulutuksen tarjoajien välillä ammatillisen koulutuksen opetussuunnitelmien tarkoituksenmukaisuuden ja laadun parantamiseksi; kehottaa luomaan yhteyksiä ammatillisen koulutuksen tarjoajien ja alueellisten teollisuus- ja teknologiaklustereiden välillä;</w:t>
            </w:r>
          </w:p>
        </w:tc>
        <w:tc>
          <w:tcPr>
            <w:tcW w:w="4876" w:type="dxa"/>
            <w:tcBorders>
              <w:top w:val="nil"/>
              <w:left w:val="nil"/>
              <w:bottom w:val="nil"/>
              <w:right w:val="nil"/>
            </w:tcBorders>
          </w:tcPr>
          <w:p>
            <w:pPr>
              <w:pStyle w:val="Normal6a"/>
            </w:pPr>
            <w:r>
              <w:t>9.</w:t>
            </w:r>
            <w:r>
              <w:tab/>
            </w:r>
            <w:r>
              <w:t xml:space="preserve">tukee EU:n ja kansallisen tason kumppanuuksia työnantajien ja ammatillisen koulutuksen tarjoajien välillä ammatillisen koulutuksen opetussuunnitelmien tarkoituksenmukaisuuden ja laadun parantamiseksi; kehottaa luomaan yhteyksiä ammatillisen koulutuksen tarjoajien ja alueellisten teollisuus- ja teknologiaklustereiden välillä </w:t>
            </w:r>
            <w:r>
              <w:rPr>
                <w:b/>
                <w:i/>
              </w:rPr>
              <w:t>ja keskittymään erityisesti naisyrittäjyyden tukemiseen, jotta voidaan tarjota naisille mahdollisuuksia perustaa yrityksiä varsinkin digipalvelualoilla, luovilla toimialoilla ja kestävillä aloilla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kehottaa sisällyttämään ammatillisen koulutuksen laajemmin EU:n nykyisiin toimintapolitiikkoihin ja ohjelmiin; kannustaa ottamaan ammatillisen koulutuksen elimet paremmin mukaan innovointitoimien kehittämiseen, jotta voidaan tehostaa innovatiivisten ratkaisujen levittämistä ja käyttöönottoa eri aloilla; painottaa tarvetta tukea osaamiseen tehtäviä investointeja strategisilla aloilla ehdotetun Euroopan kilpailukykyrahaston politiikkaikkunoiden puitteissa;</w:t>
            </w:r>
          </w:p>
        </w:tc>
        <w:tc>
          <w:tcPr>
            <w:tcW w:w="4876" w:type="dxa"/>
            <w:tcBorders>
              <w:top w:val="nil"/>
              <w:left w:val="nil"/>
              <w:bottom w:val="nil"/>
              <w:right w:val="nil"/>
            </w:tcBorders>
          </w:tcPr>
          <w:p>
            <w:pPr>
              <w:pStyle w:val="Normal6a"/>
            </w:pPr>
            <w:r>
              <w:t>10.</w:t>
            </w:r>
            <w:r>
              <w:tab/>
            </w:r>
            <w:r>
              <w:t>kehottaa sisällyttämään ammatillisen koulutuksen laajemmin EU:n nykyisiin toimintapolitiikkoihin ja ohjelmiin; kannustaa ottamaan ammatillisen koulutuksen elimet paremmin mukaan innovointitoimien kehittämiseen, jotta voidaan tehostaa innovatiivisten ratkaisujen levittämistä ja käyttöönottoa eri aloilla; painottaa tarvetta tukea osaamiseen tehtäviä investointeja strategisilla aloilla ehdotetun Euroopan kilpailukykyrahaston politiikkaikkunoiden puitteissa;</w:t>
            </w:r>
            <w:r>
              <w:rPr>
                <w:b/>
                <w:i/>
              </w:rPr>
              <w:t xml:space="preserve"> kehottaa painokkaasti hyödyntämään ammatillisen koulutuksen ohjelmia Eurooppaa koettelevan osaamisvajeen vähentämisessä erityisesti terveydenhuollon, tieto- ja viestintätekniikan, tekniikan, vihreän teknologian ja rakennusalan kaltaisilla toimialoilla kannustamalla nykyistä useampia naisia hankkimaan ammatillisen koulutuksen ja siirtymään työskentelemään näillä aloilla, mikä laajentaa käytettävissä olevaa osaamisreserviä; korostaa, että otettava käyttöön sukupuolijärjestystä muuttava lähestymistapa, jotta voidaan aktiivisesti poistaa rakenteellisia esteitä, joita naiset ja tytöt kohtaavat ammatillisessa koulutuksessa, oppisopimuskoulutuksessa ja työelämässä;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korostaa, että tekoäly ja automaatio ovat lisänneet uudelleenkoulutuksen tarvetta; tähdentää tähän liittyen merkitystä, joka kaikkien työntekijöiden saatavilla olevalla koulutuksella on heidän nykyiselle tai vaihtoehtoiselle uralleen;</w:t>
            </w:r>
          </w:p>
        </w:tc>
        <w:tc>
          <w:tcPr>
            <w:tcW w:w="4876" w:type="dxa"/>
            <w:tcBorders>
              <w:top w:val="nil"/>
              <w:left w:val="nil"/>
              <w:bottom w:val="nil"/>
              <w:right w:val="nil"/>
            </w:tcBorders>
          </w:tcPr>
          <w:p>
            <w:pPr>
              <w:pStyle w:val="Normal6a"/>
            </w:pPr>
            <w:r>
              <w:t>11.</w:t>
            </w:r>
            <w:r>
              <w:tab/>
            </w:r>
            <w:r>
              <w:t>korostaa, että tekoäly ja automaatio ovat lisänneet uudelleenkoulutuksen tarvetta; tähdentää tähän liittyen merkitystä, joka kaikkien työntekijöiden saatavilla olevalla koulutuksella on heidän nykyiselle tai vaihtoehtoiselle uralleen;</w:t>
            </w:r>
            <w:r>
              <w:rPr>
                <w:b/>
                <w:i/>
              </w:rPr>
              <w:t xml:space="preserve"> painottaa, että nykyaikaisella ammatillisen koulutuksen politiikalla olisi kannustettava aktiivisesti tyttöjä hakeutumaan ammatillisiin opintoihin luonnontieteiden, matematiikan, teknologian ja tekniikan aloilla (STEM-alat), koska naisten näille aloille osallistumisen lisääminen auttaa vähentämään työvoimapulaa ja edistää samalla sukupuolten tasa-arvoa ja parantaa Euroopan kilpailukykyä;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12b"/>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korostaa, että naisten johtajuutta ammatillisen koulutuksen hallinnoinnissa olisi lisättävä, jotta naisten näkökulmat olisivat paremmin edustettuina ammattikoulutuspolitiikasta vastaavissa päätöksentekoelimissä; korostaa, että tämän saavuttamiseksi komission ja jäsenvaltioiden olisi kannustettava tasapainottamaan sukupuolten edustusta ammatillisen koulutuksen neuvoa-antavissa lautakunnissa, lisäämään naisopettajien rekrytointia teknisillä aloilla ja kuulemaan naisten oikeuksia ajavia järjestöjä, ammattiyhdistyksiä, työnantajia ja kansalaisyhteiskuntaa ammatillisen koulutuksen strategioita laadittaessa;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p>
      <w:pPr>
        <w:sectPr>
          <w:footnotePr>
            <w:numRestart w:val="eachSect"/>
          </w:footnotePr>
          <w:type w:val="nextPage"/>
          <w:pgSz w:w="11909" w:h="16834"/>
          <w:pgMar w:top="1134" w:right="1417" w:bottom="1417" w:left="1417" w:header="1134" w:footer="567"/>
          <w:cols w:space="720"/>
        </w:sectPr>
      </w:pPr>
    </w:p>
    <w:p>
      <w:pPr>
        <w:pStyle w:val="PageHeadingNotTOC"/>
      </w:pPr>
      <w:r>
        <w:t>LIITE: ILMOITUS SAADUISTA TIEDOISTA</w:t>
      </w:r>
    </w:p>
    <w:p>
      <w:pPr>
        <w:pStyle w:val="Normal12a"/>
      </w:pPr>
      <w:r>
        <w:rPr>
          <w:rStyle w:val="HideTWBExt"/>
        </w:rPr>
        <w:t>&lt;FootprintIntro&gt;</w:t>
      </w:r>
      <w:r>
        <w:rPr>
          <w:rStyle w:val="HideTWBExt"/>
        </w:rPr>
        <w:t>&lt;/FootprintIntro&gt;</w:t>
      </w:r>
    </w:p>
    <w:p>
      <w:pPr>
        <w:pStyle w:val="Normal12a"/>
      </w:pPr>
      <w:r>
        <w:t>Valmistelija ilmoittaa yksinomaisella vastuullaan, ettei hän ole sisällyttänyt lausuntoonsa mitään tietoja pakollisesta avoimuusrekisteristä tehdyn toimielinten välisen sopimuksen</w:t>
      </w:r>
      <w:r>
        <w:rPr>
          <w:rStyle w:val="FootnoteReference"/>
        </w:rPr>
        <w:footnoteReference w:customMarkFollows="1" w:id="2"/>
        <w:t xml:space="preserve">1</w:t>
      </w:r>
      <w:r>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790.216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PA\1346758FI.docx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PA\1346758FI.docx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790.216</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PA\1346758FI.docx</w:t>
    </w:r>
    <w:r>
      <w:rPr>
        <w:rStyle w:val="HideTWBExt"/>
      </w:rPr>
      <w:t>&lt;/PathFdR&gt;</w:t>
    </w:r>
    <w:r>
      <w:tab/>
    </w:r>
    <w:r>
      <w:tab/>
    </w:r>
    <w:r>
      <w:t>PE</w:t>
    </w:r>
    <w:r>
      <w:rPr>
        <w:rStyle w:val="HideTWBExt"/>
      </w:rPr>
      <w:t>&lt;NoPE&gt;</w:t>
    </w:r>
    <w:r>
      <w:t>790.216</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Euroopan parlamentin, Euroopan unionin neuvoston ja Euroopan komission toimielinten välinen sopimus, tehty 20. toukokuuta 2021, pakollisesta avoimuusrekisteristä (EUVL L 207, 11.6.2021, s.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5\fbidi \froman\fcharset238\fprq2 Times New Roman CE;}{\f336\fbidi \froman\fcharset204\fprq2 Times New Roman Cyr;}{\f338\fbidi \froman\fcharset161\fprq2 Times New Roman Greek;}_x000d__x000a_{\f339\fbidi \froman\fcharset162\fprq2 Times New Roman Tur;}{\f340\fbidi \froman\fcharset177\fprq2 Times New Roman (Hebrew);}{\f341\fbidi \froman\fcharset178\fprq2 Times New Roman (Arabic);}{\f342\fbidi \froman\fcharset186\fprq2 Times New Roman Baltic;}_x000d__x000a_{\f343\fbidi \froman\fcharset163\fprq2 Times New Roman (Vietnamese);}{\f345\fbidi \fswiss\fcharset238\fprq2 Arial CE;}{\f346\fbidi \fswiss\fcharset204\fprq2 Arial Cyr;}{\f348\fbidi \fswiss\fcharset161\fprq2 Arial Greek;}_x000d__x000a_{\f349\fbidi \fswiss\fcharset162\fprq2 Arial Tur;}{\f350\fbidi \fswiss\fcharset177\fprq2 Arial (Hebrew);}{\f351\fbidi \fswiss\fcharset178\fprq2 Arial (Arabic);}{\f352\fbidi \fswiss\fcharset186\fprq2 Arial Baltic;}_x000d__x000a_{\f353\fbidi \fswiss\fcharset163\fprq2 Arial (Vietnamese);}{\f675\fbidi \froman\fcharset238\fprq2 Cambria Math CE;}{\f676\fbidi \froman\fcharset204\fprq2 Cambria Math Cyr;}{\f678\fbidi \froman\fcharset161\fprq2 Cambria Math Greek;}_x000d__x000a_{\f679\fbidi \froman\fcharset162\fprq2 Cambria Math Tur;}{\f682\fbidi \froman\fcharset186\fprq2 Cambria Math Baltic;}{\f683\fbidi \froman\fcharset163\fprq2 Cambria Math (Vietnamese);}_x000d__x000a_{\f717\fbidi \fswiss\fcharset0\fprq2 Yu Gothic Light Western{\*\falt \'9f\'e0\'83\'53\'83\'56\'83\'62\'83\'4e Light};}{\f715\fbidi \fswiss\fcharset238\fprq2 Yu Gothic Light CE{\*\falt \'9f\'e0\'83\'53\'83\'56\'83\'62\'83\'4e Light};}_x000d__x000a_{\f716\fbidi \fswiss\fcharset204\fprq2 Yu Gothic Light Cyr{\*\falt \'9f\'e0\'83\'53\'83\'56\'83\'62\'83\'4e Light};}{\f718\fbidi \fswiss\fcharset161\fprq2 Yu Gothic Light Greek{\*\falt \'9f\'e0\'83\'53\'83\'56\'83\'62\'83\'4e Light};}_x000d__x000a_{\f719\fbidi \fswiss\fcharset162\fprq2 Yu Gothic Light Tur{\*\falt \'9f\'e0\'83\'53\'83\'56\'83\'62\'83\'4e Light};}{\f722\fbidi \fswiss\fcharset186\fprq2 Yu Gothic Light Baltic{\*\falt \'9f\'e0\'83\'53\'83\'56\'83\'62\'83\'4e Light};}_x000d__x000a_{\f1967\fbidi \fswiss\fcharset0\fprq2 @Yu Gothic Light Western;}{\f1965\fbidi \fswiss\fcharset238\fprq2 @Yu Gothic Light CE;}{\f1966\fbidi \fswiss\fcharset204\fprq2 @Yu Gothic Light Cyr;}{\f1968\fbidi \fswiss\fcharset161\fprq2 @Yu Gothic Light Greek;}_x000d__x000a_{\f1969\fbidi \fswiss\fcharset162\fprq2 @Yu Gothic Light Tur;}{\f1972\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2834 HideTWBExt;}{_x000d__x000a_\s18\ql \li0\ri0\nowidctlpar\wrapdefault\aspalpha\aspnum\faauto\adjustright\rin0\lin0\itap0 \rtlch\fcs1 \af0\afs20\alang1025 \ltrch\fcs0 \b\fs24\lang2057\langfe2057\cgrid\langnp2057\langfenp2057 \sbasedon0 \snext18 \spriority0 \styrsid2242834 NormalBold;}_x000d__x000a_{\s19\qr \li0\ri0\sb240\sa240\nowidctlpar\wrapdefault\aspalpha\aspnum\faauto\adjustright\rin0\lin0\itap0 \rtlch\fcs1 \af0\afs20\alang1025 \ltrch\fcs0 \fs24\lang2057\langfe2057\cgrid\langnp2057\langfenp2057 \sbasedon0 \snext19 \spriority0 \styrsid2242834 _x000d__x000a_AmOrLang;}{\s20\ql \li0\ri0\sa120\nowidctlpar\wrapdefault\aspalpha\aspnum\faauto\adjustright\rin0\lin0\itap0 \rtlch\fcs1 \af0\afs20\alang1025 \ltrch\fcs0 \fs24\lang2057\langfe2057\cgrid\langnp2057\langfenp2057 _x000d__x000a_\sbasedon0 \snext20 \spriority0 \styrsid2242834 Normal6a;}{\s21\qc \li0\ri0\sa240\nowidctlpar\wrapdefault\aspalpha\aspnum\faauto\adjustright\rin0\lin0\itap0 \rtlch\fcs1 \af0\afs20\alang1025 \ltrch\fcs0 _x000d__x000a_\i\fs24\lang2057\langfe2057\cgrid\langnp2057\langfenp2057 \sbasedon0 \snext21 \spriority0 \styrsid224283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242834 AmNumberTabs;}{\s23\ql \li0\ri0\sb240\nowidctlpar\wrapdefault\aspalpha\aspnum\faauto\adjustright\rin0\lin0\itap0 \rtlch\fcs1 _x000d__x000a_\af0\afs20\alang1025 \ltrch\fcs0 \b\fs24\lang2057\langfe2057\cgrid\langnp2057\langfenp2057 \sbasedon0 \snext23 \spriority0 \styrsid2242834 NormalBold12b;}}{\*\rsidtbl \rsid24658\rsid223860\rsid735077\rsid1718133\rsid2242834\rsid2892074\rsid3565327_x000d__x000a_\rsid4666813\rsid6641733\rsid7823322\rsid958276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5\dy23\hr11\min2}{\revtim\yr2024\mo5\dy23\hr11\min2}{\version1}{\edmins0}{\nofpages1}_x000d__x000a_{\nofwords120}{\nofchars69}{\nofcharsws188}{\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2834\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82763 \chftnsep _x000d__x000a_\par }}{\*\ftnsepc \ltrpar \pard\plain \ltrpar\ql \li0\ri0\widctlpar\wrapdefault\aspalpha\aspnum\faauto\adjustright\rin0\lin0\itap0 \rtlch\fcs1 \af0\afs20\alang1025 \ltrch\fcs0 \fs24\lang2057\langfe2057\cgrid\langnp2057\langfenp2057 {\rtlch\fcs1 \af0 _x000d__x000a_\ltrch\fcs0 \insrsid9582763 \chftnsepc _x000d__x000a_\par }}{\*\aftnsep \ltrpar \pard\plain \ltrpar\ql \li0\ri0\widctlpar\wrapdefault\aspalpha\aspnum\faauto\adjustright\rin0\lin0\itap0 \rtlch\fcs1 \af0\afs20\alang1025 \ltrch\fcs0 \fs24\lang2057\langfe2057\cgrid\langnp2057\langfenp2057 {\rtlch\fcs1 \af0 _x000d__x000a_\ltrch\fcs0 \insrsid9582763 \chftnsep _x000d__x000a_\par }}{\*\aftnsepc \ltrpar \pard\plain \ltrpar\ql \li0\ri0\widctlpar\wrapdefault\aspalpha\aspnum\faauto\adjustright\rin0\lin0\itap0 \rtlch\fcs1 \af0\afs20\alang1025 \ltrch\fcs0 \fs24\lang2057\langfe2057\cgrid\langnp2057\langfenp2057 {\rtlch\fcs1 \af0 _x000d__x000a_\ltrch\fcs0 \insrsid95827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2242834\charrsid4291528 _x000d__x000a_{\*\bkmkstart restart}\hich\af1\dbch\af31501\loch\f1 &lt;Amend&gt;}{\rtlch\fcs1 \af0 \ltrch\fcs0 \lang1036\langfe2057\langnp1036\insrsid2242834\charrsid4291528 [ZAMENDMENT]\tab \tab }{\rtlch\fcs1 \af0 \ltrch\fcs0 _x000d__x000a_\cs17\b0\v\fs20\cf9\lang1024\langfe1024\loch\af1\hich\af1\dbch\af31501\noproof\langnp1036\insrsid2242834\charrsid4291528 \hich\af1\dbch\af31501\loch\f1 &lt;NumAm&gt;}{\rtlch\fcs1 \af0 \ltrch\fcs0 \lang1036\langfe2057\langnp1036\insrsid2242834\charrsid4291528 _x000d__x000a_[ZNRAM]}{\rtlch\fcs1 \af0 \ltrch\fcs0 \cs17\b0\v\fs20\cf9\lang1024\langfe1024\loch\af1\hich\af1\dbch\af31501\noproof\langnp1036\insrsid2242834\charrsid4291528 \hich\af1\dbch\af31501\loch\f1 &lt;/NumAm&gt;}{\rtlch\fcs1 \af0 \ltrch\fcs0 _x000d__x000a_\lang1036\langfe2057\langnp1036\insrsid2242834\charrsid4291528 _x000d__x000a_\par }\pard\plain \ltrpar\s23\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2242834\charrsid4291528 \hich\af1\dbch\af31501\loch\f1 &lt;DocAmend&gt;}{\rtlch\fcs1 \af0 \ltrch\fcs0 _x000d__x000a_\lang1036\langfe2057\langnp1036\insrsid2242834\charrsid4291528 [}{\rtlch\fcs1 \af0 \ltrch\fcs0 \lang1036\langfe2057\langnp1036\insrsid2242834\charrsid3548259 ZPROPOSAL}{\rtlch\fcs1 \af0 \ltrch\fcs0 _x000d__x000a_\lang1036\langfe2057\langnp1036\insrsid2242834\charrsid4291528 ]}{\rtlch\fcs1 \af0 \ltrch\fcs0 \cs17\b0\v\fs20\cf9\lang1024\langfe1024\loch\af1\hich\af1\dbch\af31501\noproof\langnp1036\insrsid2242834\charrsid4291528 \hich\af1\dbch\af31501\loch\f1 _x000d__x000a_&lt;/DocAmend&gt;}{\rtlch\fcs1 \af0 \ltrch\fcs0 \lang1036\langfe2057\langnp1036\insrsid2242834\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2242834\charrsid4291528 \hich\af1\dbch\af31501\loch\f1 &lt;Article&gt;}{\rtlch\fcs1 \af0 \ltrch\fcs0 _x000d__x000a_\lang1036\langfe2057\langnp1036\insrsid2242834\charrsid4291528 [ZAMPART]}{\rtlch\fcs1 \af0 \ltrch\fcs0 \cs17\b0\v\fs20\cf9\lang1024\langfe1024\loch\af1\hich\af1\dbch\af31501\noproof\langnp1036\insrsid2242834\charrsid4291528 \hich\af1\dbch\af31501\loch\f1 _x000d__x000a_&lt;/Article&gt;}{\rtlch\fcs1 \af0 \ltrch\fcs0 \lang1036\langfe2057\langnp1036\insrsid2242834\charrsid4291528 _x000d__x000a_\par \ltrrow}\trowd \irow0\irowband0\ltrrow\ts11\trqc\trgaph340\trleft0\trftsWidth3\trwWidth9752\trftsWidthB3\trpaddl340\trpaddr340\trpaddfl3\trpaddft3\trpaddfb3\trpaddfr3\tblrsid9505846\tblind0\tblindtype3 \clvertalt\clbrdrt\brdrtbl \clbrdrl\brdrtbl \clbrdrb_x000d__x000a_\brdrtbl \clbrdrr\brdrtbl \cltxlrtb\clftsWidth3\clwWidth9752\clshdrawnil \cellx9752\pard\plain \ltrpar\ql \li0\ri0\keepn\widctlpar\intbl\wrapdefault\aspalpha\aspnum\faauto\adjustright\rin0\lin0\pararsid9505846 \rtlch\fcs1 \af0\afs20\alang1025 \ltrch\fcs0 _x000d__x000a_\fs24\lang2057\langfe2057\cgrid\langnp2057\langfenp2057 {\rtlch\fcs1 \af0 \ltrch\fcs0 \lang1036\langfe2057\langnp1036\insrsid2242834\charrsid4291528 \cell }\pard\plain \ltrpar_x000d__x000a_\ql \li0\ri0\widctlpar\intbl\wrapdefault\aspalpha\aspnum\faauto\adjustright\rin0\lin0 \rtlch\fcs1 \af0\afs20\alang1025 \ltrch\fcs0 \fs24\lang2057\langfe2057\cgrid\langnp2057\langfenp2057 {\rtlch\fcs1 \af0 \ltrch\fcs0 \insrsid2242834\charrsid4291528 _x000d__x000a_\trowd \irow0\irowband0\ltrrow\ts11\trqc\trgaph340\trleft0\trftsWidth3\trwWidth9752\trftsWidthB3\trpaddl340\trpaddr340\trpaddfl3\trpaddft3\trpaddfb3\trpaddfr3\tblrsid9505846\tblind0\tblindtype3 \clvertalt\clbrdrt\brdrtbl \clbrdrl\brdrtbl \clbrdrb\brdrtbl _x000d__x000a_\clbrdrr\brdrtbl \cltxlrtb\clftsWidth3\clwWidth9752\clshdrawnil \cellx9752\row \ltrrow}\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9505846 \rtlch\fcs1 \af0\afs20\alang1025 \ltrch\fcs0 \i\fs24\lang2057\langfe2057\cgrid\langnp2057\langfenp2057 {\rtlch\fcs1 \af0 \ltrch\fcs0 _x000d__x000a_\insrsid2242834\charrsid6708014 [ZLEFT]\cell [ZRIGHT]\cell }\pard\plain \ltrpar\ql \li0\ri0\widctlpar\intbl\wrapdefault\aspalpha\aspnum\faauto\adjustright\rin0\lin0 \rtlch\fcs1 \af0\afs20\alang1025 \ltrch\fcs0 _x000d__x000a_\fs24\lang2057\langfe2057\cgrid\langnp2057\langfenp2057 {\rtlch\fcs1 \af0 \ltrch\fcs0 \insrsid2242834\charrsid6708014 \trowd \irow1\irowband1\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9505846 \rtlch\fcs1 \af0\afs20\alang1025 \ltrch\fcs0 \fs24\lang2057\langfe2057\cgrid\langnp2057\langfenp2057 {\rtlch\fcs1 \af0 \ltrch\fcs0 _x000d__x000a_\insrsid2242834\charrsid6708014 [ZTEXTL]\cell [ZTEXTR]}{\rtlch\fcs1 \af0\afs24 \ltrch\fcs0 \insrsid2242834\charrsid6708014 \cell }\pard\plain \ltrpar\ql \li0\ri0\widctlpar\intbl\wrapdefault\aspalpha\aspnum\faauto\adjustright\rin0\lin0 \rtlch\fcs1 _x000d__x000a_\af0\afs20\alang1025 \ltrch\fcs0 \fs24\lang2057\langfe2057\cgrid\langnp2057\langfenp2057 {\rtlch\fcs1 \af0 \ltrch\fcs0 \insrsid2242834\charrsid6708014 \trowd \irow2\irowband2\lastrow \ltrrow_x000d__x000a_\ts11\trqc\trgaph340\trleft0\trftsWidth3\trwWidth9752\trftsWidthB3\trpaddl340\trpaddr340\trpaddfl3\trpaddft3\trpaddfb3\trpaddfr3\tblrsid950584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2242834 \rtlch\fcs1 \af0\afs20\alang1025 \ltrch\fcs0 \fs24\lang2057\langfe2057\cgrid\langnp2057\langfenp2057 {\rtlch\fcs1 \af0 \ltrch\fcs0 _x000d__x000a_\insrsid2242834\charrsid6708014 Or. }{\rtlch\fcs1 \af0 \ltrch\fcs0 \cs17\v\fs20\cf9\lang1024\langfe1024\loch\af1\hich\af1\dbch\af31501\noproof\insrsid2242834\charrsid6708014 \hich\af1\dbch\af31501\loch\f1 &lt;Original&gt;}{\rtlch\fcs1 \af0 \ltrch\fcs0 _x000d__x000a_\insrsid2242834\charrsid6708014 [ZORLANG]}{\rtlch\fcs1 \af0 \ltrch\fcs0 \cs17\v\fs20\cf9\lang1024\langfe1024\loch\af1\hich\af1\dbch\af31501\noproof\insrsid2242834\charrsid6708014 \hich\af1\dbch\af31501\loch\f1 &lt;/Original&gt;}{\rtlch\fcs1 \af0 \ltrch\fcs0 _x000d__x000a_\insrsid2242834\charrsid6708014 _x000d__x000a_\par }\pard\plain \ltrpar\ql \li0\ri0\widctlpar\wrapdefault\aspalpha\aspnum\faauto\adjustright\rin0\lin0\itap0\pararsid2242834 \rtlch\fcs1 \af0\afs20\alang1025 \ltrch\fcs0 \fs24\lang2057\langfe2057\cgrid\langnp2057\langfenp2057 {\rtlch\fcs1 \af0 \ltrch\fcs0 _x000d__x000a_\cs17\v\fs20\cf9\lang1024\langfe1024\loch\af1\hich\af1\dbch\af31501\noproof\insrsid2242834\charrsid670801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DocTypeTab">
    <w:name w:val="AmDocTypeTab"/>
    <w:basedOn w:val="Normal"/>
    <w:pPr>
      <w:widowControl/>
      <w:tabs>
        <w:tab w:val="right" w:pos="9070"/>
      </w:tabs>
    </w:pPr>
    <w:rPr>
      <w:b/>
    </w:rPr>
  </w:style>
  <w:style w:type="paragraph" w:customStyle="1" w:styleId="AmDateTab">
    <w:name w:val="AmDateTab"/>
    <w:basedOn w:val="Normal"/>
    <w:pPr>
      <w:widowControl/>
      <w:tabs>
        <w:tab w:val="right" w:pos="9070"/>
      </w:tabs>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character" w:customStyle="1" w:styleId="FooterChar">
    <w:name w:val="Footer Char"/>
    <w:rPr>
      <w:rFonts w:ascii="Times New Roman" w:eastAsia="Times New Roman" w:hAnsi="Times New Roman" w:cs="Times New Roman"/>
      <w:sz w:val="24"/>
    </w:rPr>
  </w:style>
  <w:style w:type="paragraph" w:customStyle="1" w:styleId="Arial14CentreBold">
    <w:name w:val="Arial14CentreBold"/>
    <w:basedOn w:val="Normal"/>
    <w:pPr>
      <w:widowControl w:val="0"/>
      <w:spacing w:after="0" w:line="240" w:lineRule="auto"/>
      <w:jc w:val="center"/>
    </w:pPr>
    <w:rPr>
      <w:rFonts w:ascii="Arial" w:eastAsia="Arial" w:hAnsi="Arial" w:cs="Arial"/>
      <w:b/>
      <w:sz w:val="28"/>
    </w:rPr>
  </w:style>
  <w:style w:type="paragraph" w:customStyle="1" w:styleId="ProcedureTable">
    <w:name w:val="ProcedureTable"/>
    <w:basedOn w:val="Normal"/>
    <w:pPr>
      <w:widowControl w:val="0"/>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val="0"/>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val="0"/>
      <w:tabs>
        <w:tab w:val="center" w:pos="284"/>
        <w:tab w:val="left" w:pos="424"/>
      </w:tabs>
      <w:spacing w:after="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AMNumberTabs0">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after="0" w:line="240" w:lineRule="auto"/>
    </w:pPr>
    <w:rPr>
      <w:rFonts w:ascii="Times New Roman" w:eastAsia="Times New Roman" w:hAnsi="Times New Roman" w:cs="Times New Roman"/>
      <w:b/>
      <w:color w:val="000000"/>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1275</Words>
  <Characters>11572</Characters>
  <Application>Microsoft Office Word</Application>
  <DocSecurity>0</DocSecurity>
  <Lines>1</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1346758</vt:lpwstr>
  </property>
  <property fmtid="{D5CDD505-2E9C-101B-9397-08002B2CF9AE}" pid="4" name="&lt;Model&gt;">
    <vt:lpwstr>PA_NonLeg</vt:lpwstr>
  </property>
  <property fmtid="{D5CDD505-2E9C-101B-9397-08002B2CF9AE}" pid="5" name="&lt;Type&gt;">
    <vt:lpwstr>PA</vt:lpwstr>
  </property>
  <property fmtid="{D5CDD505-2E9C-101B-9397-08002B2CF9AE}" pid="6" name="dmxml.render.id">
    <vt:lpwstr>573946</vt:lpwstr>
  </property>
  <property fmtid="{D5CDD505-2E9C-101B-9397-08002B2CF9AE}" pid="7" name="dmxml.render.traceId">
    <vt:lpwstr>6a55f7fdf1409abaae14c6709400c175</vt:lpwstr>
  </property>
  <property fmtid="{D5CDD505-2E9C-101B-9397-08002B2CF9AE}" pid="8" name="FooterPath">
    <vt:lpwstr>PA\1346758FI.doc</vt:lpwstr>
  </property>
  <property fmtid="{D5CDD505-2E9C-101B-9397-08002B2CF9AE}" pid="9" name="PE Number">
    <vt:lpwstr>790.216</vt:lpwstr>
  </property>
  <property fmtid="{D5CDD505-2E9C-101B-9397-08002B2CF9AE}" pid="10" name="UID">
    <vt:lpwstr>eu.europa.europarl-DIN1-2026-0000198249_01.04-fi-01.00_text-xml</vt:lpwstr>
  </property>
</Properties>
</file>