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Parlamentul European</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{FEMM}</w:t>
      </w:r>
      <w:r>
        <w:t>Comisia pentru drepturile femeilor și egalitatea de gen</w:t>
      </w:r>
      <w:r>
        <w:rPr>
          <w:rStyle w:val="HideTWBExt"/>
        </w:rPr>
        <w:t>&lt;/Commission&gt;</w:t>
      </w:r>
    </w:p>
    <w:p>
      <w:pPr>
        <w:pStyle w:val="LineBottom"/>
      </w:pPr>
      <w:r>
        <w:t xml:space="preserve"> </w:t>
      </w:r>
    </w:p>
    <w:p>
      <w:pPr>
        <w:pStyle w:val="CoverReference"/>
      </w:pPr>
      <w:r>
        <w:rPr>
          <w:rStyle w:val="HideTWBExt"/>
        </w:rPr>
        <w:t>&lt;RefProc&gt;</w:t>
      </w:r>
      <w:r>
        <w:t>2026/2070</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{02/07/2026}</w:t>
      </w:r>
      <w:r>
        <w:t>2.7.2026</w:t>
      </w:r>
      <w:r>
        <w:rPr>
          <w:rStyle w:val="HideTWBExt"/>
        </w:rPr>
        <w:t>&lt;/Date&gt;</w:t>
      </w:r>
    </w:p>
    <w:p>
      <w:pPr>
        <w:pStyle w:val="CoverDocType24a"/>
      </w:pPr>
      <w:r>
        <w:rPr>
          <w:rStyle w:val="HideTWBExt"/>
        </w:rPr>
        <w:t>&lt;TitreType&gt;</w:t>
      </w:r>
      <w:r>
        <w:t>PROIECT DE AVIZ</w:t>
      </w:r>
      <w:r>
        <w:rPr>
          <w:rStyle w:val="HideTWBExt"/>
        </w:rPr>
        <w:t>&lt;/TitreType&gt;</w:t>
      </w:r>
    </w:p>
    <w:p>
      <w:pPr>
        <w:pStyle w:val="CoverNormal24a"/>
      </w:pPr>
      <w:r>
        <w:rPr>
          <w:rStyle w:val="HideTWBExt"/>
        </w:rPr>
        <w:t>&lt;CommissionResp&gt;</w:t>
      </w:r>
      <w:r>
        <w:t>al Comisiei pentru drepturile femeilor și egalitatea de gen</w:t>
      </w:r>
      <w:r>
        <w:rPr>
          <w:rStyle w:val="HideTWBExt"/>
        </w:rPr>
        <w:t>&lt;/CommissionResp&gt;</w:t>
      </w:r>
    </w:p>
    <w:p>
      <w:pPr>
        <w:pStyle w:val="CoverNormal24a"/>
      </w:pPr>
      <w:r>
        <w:rPr>
          <w:rStyle w:val="HideTWBExt"/>
        </w:rPr>
        <w:t>&lt;CommissionInt&gt;</w:t>
      </w:r>
      <w:r>
        <w:t>destinat Comisiei pentru ocuparea forței de muncă și afaceri sociale</w:t>
      </w:r>
      <w:r>
        <w:rPr>
          <w:rStyle w:val="HideTWBExt"/>
        </w:rPr>
        <w:t>&lt;/CommissionInt&gt;</w:t>
      </w:r>
    </w:p>
    <w:p>
      <w:pPr>
        <w:pStyle w:val="CoverNormal"/>
      </w:pPr>
      <w:r>
        <w:rPr>
          <w:rStyle w:val="HideTWBExt"/>
        </w:rPr>
        <w:t>&lt;Titre&gt;</w:t>
      </w:r>
      <w:r>
        <w:t>referitor la stimularea competențelor în Uniune – oportunități pentru educația și formarea profesională în perioade de tranziție</w:t>
      </w:r>
      <w:r>
        <w:rPr>
          <w:rStyle w:val="HideTWBExt"/>
        </w:rPr>
        <w:t>&lt;/Titre&gt;</w:t>
      </w:r>
    </w:p>
    <w:p>
      <w:pPr>
        <w:pStyle w:val="CoverNormal24a"/>
      </w:pPr>
      <w:r>
        <w:rPr>
          <w:rStyle w:val="HideTWBExt"/>
        </w:rPr>
        <w:t>&lt;DocRef&gt;</w:t>
      </w:r>
      <w:r>
        <w:t>(2026/2070(INI))</w:t>
      </w:r>
      <w:r>
        <w:rPr>
          <w:rStyle w:val="HideTWBExt"/>
        </w:rPr>
        <w:t>&lt;/DocRef&gt;</w:t>
      </w:r>
    </w:p>
    <w:p>
      <w:pPr>
        <w:pStyle w:val="CoverNormal24a"/>
      </w:pPr>
      <w:r>
        <w:t>Raportoare pentru aviz</w:t>
      </w:r>
      <w:r>
        <w:t xml:space="preserve">: </w:t>
      </w:r>
      <w:r>
        <w:rPr>
          <w:rStyle w:val="HideTWBExt"/>
        </w:rPr>
        <w:t>&lt;Depute&gt;</w:t>
      </w:r>
      <w:r>
        <w:t>Lina Gálvez</w:t>
      </w:r>
      <w:r>
        <w:rPr>
          <w:rStyle w:val="HideTWBExt"/>
        </w:rPr>
        <w:t>&lt;/Depute&gt;</w:t>
      </w:r>
    </w:p>
    <w:p>
      <w:r>
        <w:br w:type="page"/>
      </w:r>
      <w:r>
        <w:t>PA_NonLeg</w:t>
      </w:r>
    </w:p>
    <w:p>
      <w:pPr>
        <w:sectPr>
          <w:footerReference w:type="even" r:id="rId6"/>
          <w:footerReference w:type="default" r:id="rId7"/>
          <w:footerReference w:type="first" r:id="rId8"/>
          <w:footnotePr>
            <w:numRestart w:val="eachSect"/>
          </w:footnotePr>
          <w:pgSz w:w="11909" w:h="16834"/>
          <w:pgMar w:top="1134" w:right="1417" w:bottom="1417" w:left="1417" w:header="1134" w:footer="567"/>
          <w:cols w:space="720"/>
          <w:titlePg/>
        </w:sectPr>
      </w:pPr>
    </w:p>
    <w:p>
      <w:pPr>
        <w:pStyle w:val="PageHeadingNotTOC"/>
      </w:pPr>
      <w:r>
        <w:t>AMENDAMENTE</w:t>
      </w:r>
    </w:p>
    <w:p>
      <w:pPr>
        <w:pStyle w:val="Normal12a"/>
      </w:pPr>
      <w:r>
        <w:t>Comisia pentru drepturile femeilor și egalitatea de gen</w:t>
      </w:r>
      <w:r>
        <w:t xml:space="preserve"> </w:t>
      </w:r>
      <w:r>
        <w:t>prezintă Comisiei pentru ocuparea forței de muncă și afaceri sociale, care este comisie competentă, următoarele</w:t>
      </w:r>
      <w:r>
        <w:t>:</w:t>
      </w:r>
    </w:p>
    <w:p>
      <w:pPr>
        <w:pStyle w:val="AmNumberTabs"/>
      </w:pPr>
      <w:r>
        <w:rPr>
          <w:rStyle w:val="HideTWBExt"/>
        </w:rPr>
        <w:t>&lt;RepeatBlock-Amend&gt;</w:t>
      </w:r>
      <w:r>
        <w:rPr>
          <w:rStyle w:val="HideTWBExt"/>
        </w:rPr>
        <w:t>&lt;Amend&gt;</w:t>
      </w:r>
      <w:r>
        <w:t>Amendamentul</w:t>
      </w:r>
      <w:r>
        <w:tab/>
      </w:r>
      <w:r>
        <w:tab/>
      </w:r>
      <w:r>
        <w:rPr>
          <w:rStyle w:val="HideTWBExt"/>
        </w:rPr>
        <w:t>&lt;NumAm&gt;</w:t>
      </w:r>
      <w:r>
        <w:t>1</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subliniază importanța EFP pentru prosperitatea economică și competitivitatea UE; accentuează importanța promovării și a valorificării EFP pentru a-i îmbunătăți atractivitatea ca parcurs de calitate către încadrarea în muncă; invită Comisia să se asigure că viitoarea strategie în materie de EFP abordează calitatea și relevanța programelor EFP, împreună cu o mai bună promovare a programelor de EFP în rândul cursanților, al angajatorilor și al publicului larg;</w:t>
            </w:r>
          </w:p>
        </w:tc>
        <w:tc>
          <w:tcPr>
            <w:tcW w:w="4876" w:type="dxa"/>
            <w:tcBorders>
              <w:top w:val="nil"/>
              <w:left w:val="nil"/>
              <w:bottom w:val="nil"/>
              <w:right w:val="nil"/>
            </w:tcBorders>
          </w:tcPr>
          <w:p>
            <w:pPr>
              <w:pStyle w:val="Normal6a"/>
            </w:pPr>
            <w:r>
              <w:t>1.</w:t>
            </w:r>
            <w:r>
              <w:tab/>
            </w:r>
            <w:r>
              <w:t>subliniază importanța EFP pentru prosperitatea economică și competitivitatea UE; accentuează importanța promovării și a valorificării EFP pentru a-i îmbunătăți atractivitatea ca parcurs de calitate către încadrarea în muncă; invită Comisia să se asigure că viitoarea strategie în materie de EFP abordează calitatea și relevanța programelor EFP, împreună cu o mai bună promovare a programelor de EFP în rândul cursanților, al angajatorilor și al publicului larg;</w:t>
            </w:r>
            <w:r>
              <w:rPr>
                <w:b/>
                <w:i/>
              </w:rPr>
              <w:t xml:space="preserve"> observă, de asemenea, că viitorul cadru trebuie să recunoască explicit egalitatea de gen și emanciparea femeilor ca obiective fundamentale ale EFP, alături de capacitatea de inserție profesională, competitivitate și învățarea pe tot parcursul vieții; subliniază că aceasta ar necesita ca toate statele membre să integreze perspectiva de gen în conceperea, punerea în aplicare, monitorizarea și evaluarea programelor de EFP; constată că programele de EFP ar trebui să devină un instrument-cheie pentru combaterea stereotipurilor de gen prin orientarea profesională oferită, încurajând tot mai mult fetele să ia în considerare profesii tehnice, iar băieții să înceapă o carieră în domeniul îngrijirilor, astfel încât să se reducă totodată segregarea profesională;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evidențiază că EFP ar trebui privită ca un instrument care poate atât să susțină dezvoltarea personală a studenților și a lucrătorilor, cât și să abordeze deficitele de pe piața muncii, contribuind astfel la competitivitatea UE și sprijinind inovarea în sectoarele strategice;</w:t>
            </w:r>
          </w:p>
        </w:tc>
        <w:tc>
          <w:tcPr>
            <w:tcW w:w="4876" w:type="dxa"/>
            <w:tcBorders>
              <w:top w:val="nil"/>
              <w:left w:val="nil"/>
              <w:bottom w:val="nil"/>
              <w:right w:val="nil"/>
            </w:tcBorders>
          </w:tcPr>
          <w:p>
            <w:pPr>
              <w:pStyle w:val="Normal6a"/>
            </w:pPr>
            <w:r>
              <w:t>2.</w:t>
            </w:r>
            <w:r>
              <w:tab/>
            </w:r>
            <w:r>
              <w:t>evidențiază că EFP ar trebui privită ca un instrument care poate atât să susțină dezvoltarea personală a studenților și a lucrătorilor, cât și să abordeze deficitele de pe piața muncii, contribuind astfel la competitivitatea UE și sprijinind inovarea în sectoarele strategice;</w:t>
            </w:r>
            <w:r>
              <w:rPr>
                <w:b/>
                <w:i/>
              </w:rPr>
              <w:t xml:space="preserve"> reamintește, în special, că EFP, oferind parcursuri practice către un loc de muncă, reprezintă un instrument esențial nu numai pentru tinerii care intră pe piața muncii, ci și pentru adulții care doresc să se perfecționeze sau să se recalifice pe tot parcursul carierei lor, în special pentru femeile care se confruntă în continuare cu rate mai scăzute de participare pe piața muncii, cu salarii mai mici și cu mai multe întreruperi ale activității profesionale din motive de îngrijire a copiilor sau din cauza altor responsabilități de îngrijire ori din pricina discriminării în evoluția carierei sau a remunerării inechitabile;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accentuează necesitatea de a garanta că studenții sau absolvenții programelor de EFP simt că profesiile și calificările lor sunt la fel de apreciate ca învățământul universitar, pentru a asigura incluziunea și coeziunea socială;</w:t>
            </w:r>
          </w:p>
        </w:tc>
        <w:tc>
          <w:tcPr>
            <w:tcW w:w="4876" w:type="dxa"/>
            <w:tcBorders>
              <w:top w:val="nil"/>
              <w:left w:val="nil"/>
              <w:bottom w:val="nil"/>
              <w:right w:val="nil"/>
            </w:tcBorders>
          </w:tcPr>
          <w:p>
            <w:pPr>
              <w:pStyle w:val="Normal6a"/>
            </w:pPr>
            <w:r>
              <w:t>3.</w:t>
            </w:r>
            <w:r>
              <w:tab/>
            </w:r>
            <w:r>
              <w:t>accentuează necesitatea de a garanta că studenții sau absolvenții programelor de EFP simt că profesiile și calificările lor sunt la fel de apreciate ca învățământul universitar, pentru a asigura incluziunea și coeziunea socială</w:t>
            </w:r>
            <w:r>
              <w:rPr>
                <w:b/>
                <w:i/>
              </w:rPr>
              <w:t>, în special pentru femeile aflate în situații vulnerabile și pentru cele afectate de discriminarea intersecțională, cum ar fi migrantele, refugiatele, mamele singure, femeile discriminate din cauza orientării lor sexuale sau a exprimării de gen, populațiile rurale, femeile cu dizabilități și șomerele de lungă durată, pentru a promova egalitatea de șanse și a face posibilă participarea lor deplină la viața economică, socială și politică</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invită Comisia, pentru a asigura și a verifica respectarea cerințelor privind egalitatea de gen, să promoveze utilizarea unor măsuri esențiale, cum ar fi: evaluarea obligatorie a impactului de gen în cazul noilor politici în domeniul EFP, integrarea dimensiunii de gen în buget pentru a asigura o finanțare adecvată pentru inițiativele în vederea egalității și colectarea și publicarea unor date defalcate în funcție de gen privind înscrierile, absolvirile, uceniciile, rezultatele în materie de ocupare a forței de muncă, salariile și evoluția carierei;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cere statelor membre și instituțiilor UE să implice studenții și absolvenții programelor de EFP în toate nivelurile de elaborare a politicilor, în vederea unei participări egale, precum și să ofere stagii de EFP;</w:t>
            </w:r>
          </w:p>
        </w:tc>
        <w:tc>
          <w:tcPr>
            <w:tcW w:w="4876" w:type="dxa"/>
            <w:tcBorders>
              <w:top w:val="nil"/>
              <w:left w:val="nil"/>
              <w:bottom w:val="nil"/>
              <w:right w:val="nil"/>
            </w:tcBorders>
          </w:tcPr>
          <w:p>
            <w:pPr>
              <w:pStyle w:val="Normal6a"/>
            </w:pPr>
            <w:r>
              <w:t>5.</w:t>
            </w:r>
            <w:r>
              <w:tab/>
            </w:r>
            <w:r>
              <w:t>cere statelor membre și instituțiilor UE să implice studenții și absolvenții programelor de EFP în toate nivelurile de elaborare a politicilor, în vederea unei participări egale, precum și să ofere stagii de EFP</w:t>
            </w:r>
            <w:r>
              <w:rPr>
                <w:b/>
                <w:i/>
              </w:rPr>
              <w:t>, garantând că fetele beneficiază de egalitate de șanse la înscrierea în programe de formare profesională, indiferent de sector, inclusiv în industriile în care predomină în mod tradițional bărbații;</w:t>
            </w:r>
            <w:r>
              <w:rPr>
                <w:b/>
                <w:i/>
              </w:rPr>
              <w:t xml:space="preserve"> constată că unele sectoare recrutează în continuare mult mai puține femei ca ucenici, limitând perspectivele de experiență practică și de evoluție în carieră; </w:t>
            </w:r>
            <w:r>
              <w:rPr>
                <w:b/>
                <w:i/>
              </w:rPr>
              <w:t>subliniază că este necesar să se aibă în vedere constatările cercetărilor care arată în mod sistematic că subreprezentarea femeilor în anumite sectoare poate reduce încrederea fetelor în accesul la profesiile respective;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invită Comisia să ajute statele membre să investească suficient în EFP prin recomandări specifice fiecărei țări în cadrul semestrului european și prin alocarea de fonduri ale UE; reamintește că Fondul pentru o tranziție justă a asigurat investiții de succes în economiile locale printr-o combinație de fonduri pentru competențe și întreprinderile mici și mijlocii și recomandă, pentru a promova EFP, ca planurile de parteneriat național și regional ale statelor membre să urmeze exemplul respectiv;</w:t>
            </w:r>
          </w:p>
        </w:tc>
        <w:tc>
          <w:tcPr>
            <w:tcW w:w="4876" w:type="dxa"/>
            <w:tcBorders>
              <w:top w:val="nil"/>
              <w:left w:val="nil"/>
              <w:bottom w:val="nil"/>
              <w:right w:val="nil"/>
            </w:tcBorders>
          </w:tcPr>
          <w:p>
            <w:pPr>
              <w:pStyle w:val="Normal6a"/>
            </w:pPr>
            <w:r>
              <w:t>8.</w:t>
            </w:r>
            <w:r>
              <w:tab/>
            </w:r>
            <w:r>
              <w:t>invită Comisia să ajute statele membre să investească suficient în EFP prin recomandări specifice fiecărei țări în cadrul semestrului european și prin alocarea de fonduri ale UE; reamintește că Fondul pentru o tranziție justă a asigurat investiții de succes în economiile locale printr-o combinație de fonduri pentru competențe și întreprinderile mici și mijlocii și recomandă, pentru a promova EFP, ca planurile de parteneriat național și regional ale statelor membre să urmeze exemplul respectiv;</w:t>
            </w:r>
            <w:r>
              <w:rPr>
                <w:b/>
                <w:i/>
              </w:rPr>
              <w:t xml:space="preserve"> subliniază importanța unei participări mai mari a femeilor la profesii care necesită calificare, crescând forța de muncă și contribuind la abordarea provocărilor demografice legate de îmbătrânirea populației Europei;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susține parteneriatele la nivelul UE și la nivel național între angajatori și furnizorii de EFP pentru a îmbunătăți relevanța și calitatea programelor de EFP; solicită stabilirea unor legături între furnizorii de EFP și polii industriali și tehnologici regionali;</w:t>
            </w:r>
          </w:p>
        </w:tc>
        <w:tc>
          <w:tcPr>
            <w:tcW w:w="4876" w:type="dxa"/>
            <w:tcBorders>
              <w:top w:val="nil"/>
              <w:left w:val="nil"/>
              <w:bottom w:val="nil"/>
              <w:right w:val="nil"/>
            </w:tcBorders>
          </w:tcPr>
          <w:p>
            <w:pPr>
              <w:pStyle w:val="Normal6a"/>
            </w:pPr>
            <w:r>
              <w:t>9.</w:t>
            </w:r>
            <w:r>
              <w:tab/>
            </w:r>
            <w:r>
              <w:t>susține parteneriatele la nivelul UE și la nivel național între angajatori și furnizorii de EFP pentru a îmbunătăți relevanța și calitatea programelor de EFP; solicită stabilirea unor legături între furnizorii de EFP și polii industriali și tehnologici regionali</w:t>
            </w:r>
            <w:r>
              <w:rPr>
                <w:b/>
                <w:i/>
              </w:rPr>
              <w:t>, cu un accent deosebit pe sprijinirea antreprenoriatului în rândul femeilor, pentru a le da posibilitatea femeilor să înființeze întreprinderi, în special în domeniul serviciilor digitale, al industriilor creative și al sectoarelor sustenabile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cere o includere mai amplă a EFP în politicile și programele existente ale UE; încurajează o mai bună integrare a organismelor din domeniul EFP în elaborarea politicilor de inovare, pentru a îmbunătăți diseminarea și adoptarea unor soluții inovatoare în toate sectoarele; insistă asupra necesității de a sprijini investițiile în competențe în sectoarele strategice, în cadrul componentelor de politică ale Fondului european pentru competitivitate propus;</w:t>
            </w:r>
          </w:p>
        </w:tc>
        <w:tc>
          <w:tcPr>
            <w:tcW w:w="4876" w:type="dxa"/>
            <w:tcBorders>
              <w:top w:val="nil"/>
              <w:left w:val="nil"/>
              <w:bottom w:val="nil"/>
              <w:right w:val="nil"/>
            </w:tcBorders>
          </w:tcPr>
          <w:p>
            <w:pPr>
              <w:pStyle w:val="Normal6a"/>
            </w:pPr>
            <w:r>
              <w:t>10.</w:t>
            </w:r>
            <w:r>
              <w:tab/>
            </w:r>
            <w:r>
              <w:t>cere o includere mai amplă a EFP în politicile și programele existente ale UE; încurajează o mai bună integrare a organismelor din domeniul EFP în elaborarea politicilor de inovare, pentru a îmbunătăți diseminarea și adoptarea unor soluții inovatoare în toate sectoarele; insistă asupra necesității de a sprijini investițiile în competențe în sectoarele strategice, în cadrul componentelor de politică ale Fondului european pentru competitivitate propus;</w:t>
            </w:r>
            <w:r>
              <w:rPr>
                <w:b/>
                <w:i/>
              </w:rPr>
              <w:t xml:space="preserve"> insistă să se utilizeze programele de EFP pentru a reduce deficitul de competențe cu care se confruntă Europa, în special în sectoare precum asistența medicală, tehnologia informației și comunicațiilor, ingineria, tehnologiile verzi și construcțiile, prin încurajarea mai multor femei să înceapă o carieră în aceste domenii prin intermediul EFP, extinzând astfel rezerva de talente disponibilă; subliniază că este necesar să se adopte o abordare transformatoare din perspectiva genului, care să elimine activ barierele structurale cu care se confruntă femeile și fetele pe tot parcursul învățământului profesional, al uceniciilor și al ocupării forței de muncă;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subliniază că recalificarea este tot mai necesară, ca urmare a IA și a automatizării; evidențiază, în acest context, importanța unei formări accesibile tuturor lucrătorilor pentru carierele lor actuale sau parcursurile lor profesionale alternative;</w:t>
            </w:r>
          </w:p>
        </w:tc>
        <w:tc>
          <w:tcPr>
            <w:tcW w:w="4876" w:type="dxa"/>
            <w:tcBorders>
              <w:top w:val="nil"/>
              <w:left w:val="nil"/>
              <w:bottom w:val="nil"/>
              <w:right w:val="nil"/>
            </w:tcBorders>
          </w:tcPr>
          <w:p>
            <w:pPr>
              <w:pStyle w:val="Normal6a"/>
            </w:pPr>
            <w:r>
              <w:t>11.</w:t>
            </w:r>
            <w:r>
              <w:tab/>
            </w:r>
            <w:r>
              <w:t>subliniază că recalificarea este tot mai necesară, ca urmare a IA și a automatizării; evidențiază, în acest context, importanța unei formări accesibile tuturor lucrătorilor pentru carierele lor actuale sau parcursurile lor profesionale alternative;</w:t>
            </w:r>
            <w:r>
              <w:rPr>
                <w:b/>
                <w:i/>
              </w:rPr>
              <w:t xml:space="preserve"> reliefează că politicile moderne în domeniul EFP ar trebui să încurajeze activ fetele să urmeze parcursuri profesionale în științe, tehnologie, inginerie și matematică (STIM), având în vedere că o participare mai mare a femeilor în sectoarele respective contribuie la reducerea deficitului de forță de muncă, promovează egalitatea de gen și stimulează competitivitatea europeană;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12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subliniază necesitatea de a consolida poziția de lider a femeilor în guvernanța EFP, astfel încât perspectivele femeilor să poată fi reprezentate în organismele decizionale responsabile cu politica în domeniul învățământului profesional; evidențiază că, pentru a atinge acest obiectiv, Comisia și statele membre ar trebui să încurajeze reprezentarea echilibrată a femeilor și a bărbaților în consiliile consultative din domeniul EFP, recrutarea mai multor femei ca instructori în domeniile tehnice și consultarea organizațiilor de femei, a sindicatelor, a angajatorilor și a societății civile la elaborarea strategiilor în materie de EFP;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p>
      <w:pPr>
        <w:sectPr>
          <w:footnotePr>
            <w:numRestart w:val="eachSect"/>
          </w:footnotePr>
          <w:type w:val="nextPage"/>
          <w:pgSz w:w="11909" w:h="16834"/>
          <w:pgMar w:top="1134" w:right="1417" w:bottom="1417" w:left="1417" w:header="1134" w:footer="567"/>
          <w:cols w:space="720"/>
        </w:sectPr>
      </w:pPr>
    </w:p>
    <w:p>
      <w:pPr>
        <w:pStyle w:val="PageHeadingNotTOC"/>
      </w:pPr>
      <w:r>
        <w:t>ANEXĂ: DECLARAȚIE PRIVIND CONTRIBUȚIILE</w:t>
      </w:r>
    </w:p>
    <w:p>
      <w:pPr>
        <w:pStyle w:val="Normal12a"/>
      </w:pPr>
      <w:r>
        <w:rPr>
          <w:rStyle w:val="HideTWBExt"/>
        </w:rPr>
        <w:t>&lt;FootprintIntro&gt;</w:t>
      </w:r>
      <w:r>
        <w:rPr>
          <w:rStyle w:val="HideTWBExt"/>
        </w:rPr>
        <w:t>&lt;/FootprintIntro&gt;</w:t>
      </w:r>
    </w:p>
    <w:p>
      <w:pPr>
        <w:pStyle w:val="Normal12a"/>
      </w:pPr>
      <w:r>
        <w:t>Raportoarea declară pe propria răspundere că nu a inclus în raportul său nicio contribuție de la reprezentanți de interese care intră sub incidența Acordului interinstituțional privind un registru de transparență obligatoriu</w:t>
      </w:r>
      <w:r>
        <w:rPr>
          <w:rStyle w:val="FootnoteReference"/>
        </w:rPr>
        <w:footnoteReference w:customMarkFollows="1" w:id="2"/>
        <w:t xml:space="preserve">1</w:t>
      </w:r>
      <w:r>
        <w:t xml:space="preserve"> sau de la reprezentanți ai autorităților publice din țările terțe, inclusiv misiuni diplomatice și ambasade ale acestora, care trebuie inclusă în prezenta anexă în conformitate cu articolul 8 din anexa I la Regulamentul de procedură.</w:t>
      </w:r>
    </w:p>
    <w:sectPr>
      <w:footnotePr>
        <w:numRestart w:val="eachSect"/>
      </w:footnote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790.216</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10</w:t>
    </w:r>
    <w:r>
      <w:fldChar w:fldCharType="end"/>
    </w:r>
    <w:r>
      <w:t>/</w:t>
    </w:r>
    <w:r>
      <w:fldChar w:fldCharType="begin"/>
    </w:r>
    <w:r>
      <w:instrText xml:space="preserve"> NUMPAGES </w:instrText>
    </w:r>
    <w:r>
      <w:fldChar w:fldCharType="separate"/>
    </w:r>
    <w:r>
      <w:t>10</w:t>
    </w:r>
    <w:r>
      <w:fldChar w:fldCharType="end"/>
    </w:r>
    <w:r>
      <w:tab/>
    </w:r>
    <w:r>
      <w:rPr>
        <w:rStyle w:val="HideTWBExt"/>
      </w:rPr>
      <w:t>&lt;PathFdR&gt;</w:t>
    </w:r>
    <w:r>
      <w:t>PA\1346758RO.docx</w:t>
    </w:r>
    <w:r>
      <w:rPr>
        <w:rStyle w:val="HideTWBExt"/>
      </w:rPr>
      <w:t>&lt;/PathFdR&gt;</w:t>
    </w:r>
  </w:p>
  <w:p>
    <w:pPr>
      <w:pStyle w:val="EPFooter2"/>
    </w:pPr>
    <w:r>
      <w:t>RO</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PA\1346758RO.docx</w:t>
    </w:r>
    <w:r>
      <w:rPr>
        <w:rStyle w:val="HideTWBExt"/>
      </w:rPr>
      <w:t>&lt;/PathFdR&gt;</w:t>
    </w:r>
    <w:r>
      <w:tab/>
    </w:r>
    <w:r>
      <w:fldChar w:fldCharType="begin"/>
    </w:r>
    <w:r>
      <w:instrText xml:space="preserve"> PAGE </w:instrText>
    </w:r>
    <w:r>
      <w:fldChar w:fldCharType="separate"/>
    </w:r>
    <w:r>
      <w:t>9</w:t>
    </w:r>
    <w:r>
      <w:fldChar w:fldCharType="end"/>
    </w:r>
    <w:r>
      <w:t>/</w:t>
    </w:r>
    <w:r>
      <w:fldChar w:fldCharType="begin"/>
    </w:r>
    <w:r>
      <w:instrText xml:space="preserve"> NUMPAGES </w:instrText>
    </w:r>
    <w:r>
      <w:fldChar w:fldCharType="separate"/>
    </w:r>
    <w:r>
      <w:t>10</w:t>
    </w:r>
    <w:r>
      <w:fldChar w:fldCharType="end"/>
    </w:r>
    <w:r>
      <w:tab/>
    </w:r>
    <w:r>
      <w:t>PE</w:t>
    </w:r>
    <w:r>
      <w:rPr>
        <w:rStyle w:val="HideTWBExt"/>
      </w:rPr>
      <w:t>&lt;NoPE&gt;</w:t>
    </w:r>
    <w:r>
      <w:t>790.216</w:t>
    </w:r>
    <w:r>
      <w:rPr>
        <w:rStyle w:val="HideTWBExt"/>
      </w:rPr>
      <w:t>&lt;/NoPE&gt;</w:t>
    </w:r>
    <w:r>
      <w:rPr>
        <w:rStyle w:val="HideTWBExt"/>
      </w:rPr>
      <w:t>&lt;Version&gt;</w:t>
    </w:r>
    <w:r>
      <w:t>v01-00</w:t>
    </w:r>
    <w:r>
      <w:rPr>
        <w:rStyle w:val="HideTWBExt"/>
      </w:rPr>
      <w:t>&lt;/Version&gt;</w:t>
    </w:r>
  </w:p>
  <w:p>
    <w:pPr>
      <w:pStyle w:val="EPFooter2"/>
    </w:pPr>
    <w:r>
      <w:tab/>
    </w:r>
    <w:r>
      <w:tab/>
    </w:r>
    <w:r>
      <w:t>RO</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PA\1346758RO.docx</w:t>
    </w:r>
    <w:r>
      <w:rPr>
        <w:rStyle w:val="HideTWBExt"/>
      </w:rPr>
      <w:t>&lt;/PathFdR&gt;</w:t>
    </w:r>
    <w:r>
      <w:tab/>
    </w:r>
    <w:r>
      <w:tab/>
    </w:r>
    <w:r>
      <w:t>PE</w:t>
    </w:r>
    <w:r>
      <w:rPr>
        <w:rStyle w:val="HideTWBExt"/>
      </w:rPr>
      <w:t>&lt;NoPE&gt;</w:t>
    </w:r>
    <w:r>
      <w:t>790.216</w:t>
    </w:r>
    <w:r>
      <w:rPr>
        <w:rStyle w:val="HideTWBExt"/>
      </w:rPr>
      <w:t>&lt;/NoPE&gt;</w:t>
    </w:r>
    <w:r>
      <w:rPr>
        <w:rStyle w:val="HideTWBExt"/>
      </w:rPr>
      <w:t>&lt;Version&gt;</w:t>
    </w:r>
    <w:r>
      <w:t>v01-00</w:t>
    </w:r>
    <w:r>
      <w:rPr>
        <w:rStyle w:val="HideTWBExt"/>
      </w:rPr>
      <w:t>&lt;/Version&gt;</w:t>
    </w:r>
  </w:p>
  <w:p>
    <w:pPr>
      <w:pStyle w:val="EPFooter2"/>
    </w:pPr>
    <w:r>
      <w:t>RO</w:t>
    </w:r>
    <w:r>
      <w:tab/>
    </w:r>
    <w:r>
      <w:rPr>
        <w:rStyle w:val="EPFooter2Motto"/>
      </w:rPr>
      <w:t>Unită în diversitate</w:t>
    </w:r>
    <w:r>
      <w:tab/>
    </w:r>
    <w:r>
      <w:t>RO</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rStyle w:val="FootnoteReference"/>
        </w:rPr>
        <w:t>1</w:t>
      </w:r>
      <w:r>
        <w:t xml:space="preserve"> </w:t>
      </w:r>
      <w:r>
        <w:t xml:space="preserve"> </w:t>
      </w:r>
      <w:r>
        <w:t xml:space="preserve">Acordul interinstituțional din mai 2021 dintre Parlamentul European, Consiliul Uniunii Europene și Comisia Europeană privind un registru de transparență obligatoriu (JO L 207, 11.6.2021, p. 1, ELI: </w:t>
      </w:r>
      <w:hyperlink r:id="rId1" w:tgtFrame="http://data.europa.eu/eli/agree_interinstit/2021/611/oj" w:history="1">
        <w:r>
          <w:rPr>
            <w:rStyle w:val="Hyperlink"/>
          </w:rPr>
          <w:t>http://data.europa.eu/eli/agree_interinstit/2021/611/oj</w:t>
        </w:r>
      </w:hyperlink>
      <w:r>
        <w:t>).</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5\fbidi \froman\fcharset238\fprq2 Times New Roman CE;}{\f336\fbidi \froman\fcharset204\fprq2 Times New Roman Cyr;}{\f338\fbidi \froman\fcharset161\fprq2 Times New Roman Greek;}_x000d__x000a_{\f339\fbidi \froman\fcharset162\fprq2 Times New Roman Tur;}{\f340\fbidi \froman\fcharset177\fprq2 Times New Roman (Hebrew);}{\f341\fbidi \froman\fcharset178\fprq2 Times New Roman (Arabic);}{\f342\fbidi \froman\fcharset186\fprq2 Times New Roman Baltic;}_x000d__x000a_{\f343\fbidi \froman\fcharset163\fprq2 Times New Roman (Vietnamese);}{\f345\fbidi \fswiss\fcharset238\fprq2 Arial CE;}{\f346\fbidi \fswiss\fcharset204\fprq2 Arial Cyr;}{\f348\fbidi \fswiss\fcharset161\fprq2 Arial Greek;}_x000d__x000a_{\f349\fbidi \fswiss\fcharset162\fprq2 Arial Tur;}{\f350\fbidi \fswiss\fcharset177\fprq2 Arial (Hebrew);}{\f351\fbidi \fswiss\fcharset178\fprq2 Arial (Arabic);}{\f352\fbidi \fswiss\fcharset186\fprq2 Arial Baltic;}_x000d__x000a_{\f353\fbidi \fswiss\fcharset163\fprq2 Arial (Vietnamese);}{\f675\fbidi \froman\fcharset238\fprq2 Cambria Math CE;}{\f676\fbidi \froman\fcharset204\fprq2 Cambria Math Cyr;}{\f678\fbidi \froman\fcharset161\fprq2 Cambria Math Greek;}_x000d__x000a_{\f679\fbidi \froman\fcharset162\fprq2 Cambria Math Tur;}{\f682\fbidi \froman\fcharset186\fprq2 Cambria Math Baltic;}{\f683\fbidi \froman\fcharset163\fprq2 Cambria Math (Vietnamese);}_x000d__x000a_{\f717\fbidi \fswiss\fcharset0\fprq2 Yu Gothic Light Western{\*\falt \'9f\'e0\'83\'53\'83\'56\'83\'62\'83\'4e Light};}{\f715\fbidi \fswiss\fcharset238\fprq2 Yu Gothic Light CE{\*\falt \'9f\'e0\'83\'53\'83\'56\'83\'62\'83\'4e Light};}_x000d__x000a_{\f716\fbidi \fswiss\fcharset204\fprq2 Yu Gothic Light Cyr{\*\falt \'9f\'e0\'83\'53\'83\'56\'83\'62\'83\'4e Light};}{\f718\fbidi \fswiss\fcharset161\fprq2 Yu Gothic Light Greek{\*\falt \'9f\'e0\'83\'53\'83\'56\'83\'62\'83\'4e Light};}_x000d__x000a_{\f719\fbidi \fswiss\fcharset162\fprq2 Yu Gothic Light Tur{\*\falt \'9f\'e0\'83\'53\'83\'56\'83\'62\'83\'4e Light};}{\f722\fbidi \fswiss\fcharset186\fprq2 Yu Gothic Light Baltic{\*\falt \'9f\'e0\'83\'53\'83\'56\'83\'62\'83\'4e Light};}_x000d__x000a_{\f1967\fbidi \fswiss\fcharset0\fprq2 @Yu Gothic Light Western;}{\f1965\fbidi \fswiss\fcharset238\fprq2 @Yu Gothic Light CE;}{\f1966\fbidi \fswiss\fcharset204\fprq2 @Yu Gothic Light Cyr;}{\f1968\fbidi \fswiss\fcharset161\fprq2 @Yu Gothic Light Greek;}_x000d__x000a_{\f1969\fbidi \fswiss\fcharset162\fprq2 @Yu Gothic Light Tur;}{\f1972\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242834 HideTWBExt;}{_x000d__x000a_\s18\ql \li0\ri0\nowidctlpar\wrapdefault\aspalpha\aspnum\faauto\adjustright\rin0\lin0\itap0 \rtlch\fcs1 \af0\afs20\alang1025 \ltrch\fcs0 \b\fs24\lang2057\langfe2057\cgrid\langnp2057\langfenp2057 \sbasedon0 \snext18 \spriority0 \styrsid2242834 NormalBold;}_x000d__x000a_{\s19\qr \li0\ri0\sb240\sa240\nowidctlpar\wrapdefault\aspalpha\aspnum\faauto\adjustright\rin0\lin0\itap0 \rtlch\fcs1 \af0\afs20\alang1025 \ltrch\fcs0 \fs24\lang2057\langfe2057\cgrid\langnp2057\langfenp2057 \sbasedon0 \snext19 \spriority0 \styrsid2242834 _x000d__x000a_AmOrLang;}{\s20\ql \li0\ri0\sa120\nowidctlpar\wrapdefault\aspalpha\aspnum\faauto\adjustright\rin0\lin0\itap0 \rtlch\fcs1 \af0\afs20\alang1025 \ltrch\fcs0 \fs24\lang2057\langfe2057\cgrid\langnp2057\langfenp2057 _x000d__x000a_\sbasedon0 \snext20 \spriority0 \styrsid2242834 Normal6a;}{\s21\qc \li0\ri0\sa240\nowidctlpar\wrapdefault\aspalpha\aspnum\faauto\adjustright\rin0\lin0\itap0 \rtlch\fcs1 \af0\afs20\alang1025 \ltrch\fcs0 _x000d__x000a_\i\fs24\lang2057\langfe2057\cgrid\langnp2057\langfenp2057 \sbasedon0 \snext21 \spriority0 \styrsid2242834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2242834 AmNumberTabs;}{\s23\ql \li0\ri0\sb240\nowidctlpar\wrapdefault\aspalpha\aspnum\faauto\adjustright\rin0\lin0\itap0 \rtlch\fcs1 _x000d__x000a_\af0\afs20\alang1025 \ltrch\fcs0 \b\fs24\lang2057\langfe2057\cgrid\langnp2057\langfenp2057 \sbasedon0 \snext23 \spriority0 \styrsid2242834 NormalBold12b;}}{\*\rsidtbl \rsid24658\rsid223860\rsid735077\rsid1718133\rsid2242834\rsid2892074\rsid3565327_x000d__x000a_\rsid4666813\rsid6641733\rsid7823322\rsid9582763\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nmonkuniene}{\operator MONKUNIENE Neringa}{\creatim\yr2024\mo5\dy23\hr11\min2}{\revtim\yr2024\mo5\dy23\hr11\min2}{\version1}{\edmins0}{\nofpages1}_x000d__x000a_{\nofwords120}{\nofchars69}{\nofcharsws188}{\vern109}}{\*\xmlnstbl {\xmlns1 http://schemas.microsoft.com/office/word/2003/wordml}}\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242834\newtblstyruls\nogrowautofit\usenormstyforlist\noindnmbrts\felnbrelev\nocxsptable\indrlsweleven\noafcnsttbl\afelev\utinl\hwelev\spltpgpar\notcvasp\notbrkcnstfrctbl\notvatxbx\krnprsnet\cachedcolbal _x000d__x000a_\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9582763 \chftnsep _x000d__x000a_\par }}{\*\ftnsepc \ltrpar \pard\plain \ltrpar\ql \li0\ri0\widctlpar\wrapdefault\aspalpha\aspnum\faauto\adjustright\rin0\lin0\itap0 \rtlch\fcs1 \af0\afs20\alang1025 \ltrch\fcs0 \fs24\lang2057\langfe2057\cgrid\langnp2057\langfenp2057 {\rtlch\fcs1 \af0 _x000d__x000a_\ltrch\fcs0 \insrsid9582763 \chftnsepc _x000d__x000a_\par }}{\*\aftnsep \ltrpar \pard\plain \ltrpar\ql \li0\ri0\widctlpar\wrapdefault\aspalpha\aspnum\faauto\adjustright\rin0\lin0\itap0 \rtlch\fcs1 \af0\afs20\alang1025 \ltrch\fcs0 \fs24\lang2057\langfe2057\cgrid\langnp2057\langfenp2057 {\rtlch\fcs1 \af0 _x000d__x000a_\ltrch\fcs0 \insrsid9582763 \chftnsep _x000d__x000a_\par }}{\*\aftnsepc \ltrpar \pard\plain \ltrpar\ql \li0\ri0\widctlpar\wrapdefault\aspalpha\aspnum\faauto\adjustright\rin0\lin0\itap0 \rtlch\fcs1 \af0\afs20\alang1025 \ltrch\fcs0 \fs24\lang2057\langfe2057\cgrid\langnp2057\langfenp2057 {\rtlch\fcs1 \af0 _x000d__x000a_\ltrch\fcs0 \insrsid958276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2242834 \rtlch\fcs1 _x000d__x000a_\af0\afs20\alang1025 \ltrch\fcs0 \b\fs24\lang2057\langfe2057\cgrid\langnp2057\langfenp2057 {\rtlch\fcs1 \af0 \ltrch\fcs0 \cs17\b0\v\fs20\cf9\lang1024\langfe1024\loch\af1\hich\af1\dbch\af31501\noproof\langnp1036\insrsid2242834\charrsid4291528 _x000d__x000a_{\*\bkmkstart restart}\hich\af1\dbch\af31501\loch\f1 &lt;Amend&gt;}{\rtlch\fcs1 \af0 \ltrch\fcs0 \lang1036\langfe2057\langnp1036\insrsid2242834\charrsid4291528 [ZAMENDMENT]\tab \tab }{\rtlch\fcs1 \af0 \ltrch\fcs0 _x000d__x000a_\cs17\b0\v\fs20\cf9\lang1024\langfe1024\loch\af1\hich\af1\dbch\af31501\noproof\langnp1036\insrsid2242834\charrsid4291528 \hich\af1\dbch\af31501\loch\f1 &lt;NumAm&gt;}{\rtlch\fcs1 \af0 \ltrch\fcs0 \lang1036\langfe2057\langnp1036\insrsid2242834\charrsid4291528 _x000d__x000a_[ZNRAM]}{\rtlch\fcs1 \af0 \ltrch\fcs0 \cs17\b0\v\fs20\cf9\lang1024\langfe1024\loch\af1\hich\af1\dbch\af31501\noproof\langnp1036\insrsid2242834\charrsid4291528 \hich\af1\dbch\af31501\loch\f1 &lt;/NumAm&gt;}{\rtlch\fcs1 \af0 \ltrch\fcs0 _x000d__x000a_\lang1036\langfe2057\langnp1036\insrsid2242834\charrsid4291528 _x000d__x000a_\par }\pard\plain \ltrpar\s23\ql \li0\ri0\sb240\keepn\nowidctlpar\wrapdefault\aspalpha\aspnum\faauto\adjustright\rin0\lin0\itap0\pararsid2242834 \rtlch\fcs1 \af0\afs20\alang1025 \ltrch\fcs0 \b\fs24\lang2057\langfe2057\cgrid\langnp2057\langfenp2057 {_x000d__x000a_\rtlch\fcs1 \af0 \ltrch\fcs0 \cs17\b0\v\fs20\cf9\lang1024\langfe1024\loch\af1\hich\af1\dbch\af31501\noproof\langnp1036\insrsid2242834\charrsid4291528 \hich\af1\dbch\af31501\loch\f1 &lt;DocAmend&gt;}{\rtlch\fcs1 \af0 \ltrch\fcs0 _x000d__x000a_\lang1036\langfe2057\langnp1036\insrsid2242834\charrsid4291528 [}{\rtlch\fcs1 \af0 \ltrch\fcs0 \lang1036\langfe2057\langnp1036\insrsid2242834\charrsid3548259 ZPROPOSAL}{\rtlch\fcs1 \af0 \ltrch\fcs0 _x000d__x000a_\lang1036\langfe2057\langnp1036\insrsid2242834\charrsid4291528 ]}{\rtlch\fcs1 \af0 \ltrch\fcs0 \cs17\b0\v\fs20\cf9\lang1024\langfe1024\loch\af1\hich\af1\dbch\af31501\noproof\langnp1036\insrsid2242834\charrsid4291528 \hich\af1\dbch\af31501\loch\f1 _x000d__x000a_&lt;/DocAmend&gt;}{\rtlch\fcs1 \af0 \ltrch\fcs0 \lang1036\langfe2057\langnp1036\insrsid2242834\charrsid4291528 _x000d__x000a_\par }\pard\plain \ltrpar\s18\ql \li0\ri0\nowidctlpar\wrapdefault\aspalpha\aspnum\faauto\adjustright\rin0\lin0\itap0\pararsid2242834 \rtlch\fcs1 \af0\afs20\alang1025 \ltrch\fcs0 \b\fs24\lang2057\langfe2057\cgrid\langnp2057\langfenp2057 {\rtlch\fcs1 \af0 _x000d__x000a_\ltrch\fcs0 \cs17\b0\v\fs20\cf9\lang1024\langfe1024\loch\af1\hich\af1\dbch\af31501\noproof\langnp1036\insrsid2242834\charrsid4291528 \hich\af1\dbch\af31501\loch\f1 &lt;Article&gt;}{\rtlch\fcs1 \af0 \ltrch\fcs0 _x000d__x000a_\lang1036\langfe2057\langnp1036\insrsid2242834\charrsid4291528 [ZAMPART]}{\rtlch\fcs1 \af0 \ltrch\fcs0 \cs17\b0\v\fs20\cf9\lang1024\langfe1024\loch\af1\hich\af1\dbch\af31501\noproof\langnp1036\insrsid2242834\charrsid4291528 \hich\af1\dbch\af31501\loch\f1 _x000d__x000a_&lt;/Article&gt;}{\rtlch\fcs1 \af0 \ltrch\fcs0 \lang1036\langfe2057\langnp1036\insrsid2242834\charrsid4291528 _x000d__x000a_\par \ltrrow}\trowd \irow0\irowband0\ltrrow\ts11\trqc\trgaph340\trleft0\trftsWidth3\trwWidth9752\trftsWidthB3\trpaddl340\trpaddr340\trpaddfl3\trpaddft3\trpaddfb3\trpaddfr3\tblrsid9505846\tblind0\tblindtype3 \clvertalt\clbrdrt\brdrtbl \clbrdrl\brdrtbl \clbrdrb_x000d__x000a_\brdrtbl \clbrdrr\brdrtbl \cltxlrtb\clftsWidth3\clwWidth9752\clshdrawnil \cellx9752\pard\plain \ltrpar\ql \li0\ri0\keepn\widctlpar\intbl\wrapdefault\aspalpha\aspnum\faauto\adjustright\rin0\lin0\pararsid9505846 \rtlch\fcs1 \af0\afs20\alang1025 \ltrch\fcs0 _x000d__x000a_\fs24\lang2057\langfe2057\cgrid\langnp2057\langfenp2057 {\rtlch\fcs1 \af0 \ltrch\fcs0 \lang1036\langfe2057\langnp1036\insrsid2242834\charrsid4291528 \cell }\pard\plain \ltrpar_x000d__x000a_\ql \li0\ri0\widctlpar\intbl\wrapdefault\aspalpha\aspnum\faauto\adjustright\rin0\lin0 \rtlch\fcs1 \af0\afs20\alang1025 \ltrch\fcs0 \fs24\lang2057\langfe2057\cgrid\langnp2057\langfenp2057 {\rtlch\fcs1 \af0 \ltrch\fcs0 \insrsid2242834\charrsid4291528 _x000d__x000a_\trowd \irow0\irowband0\ltrrow\ts11\trqc\trgaph340\trleft0\trftsWidth3\trwWidth9752\trftsWidthB3\trpaddl340\trpaddr340\trpaddfl3\trpaddft3\trpaddfb3\trpaddfr3\tblrsid9505846\tblind0\tblindtype3 \clvertalt\clbrdrt\brdrtbl \clbrdrl\brdrtbl \clbrdrb\brdrtbl _x000d__x000a_\clbrdrr\brdrtbl \cltxlrtb\clftsWidth3\clwWidth9752\clshdrawnil \cellx9752\row \ltrrow}\trowd \irow1\irowband1\ltrrow_x000d__x000a_\ts11\trqc\trgaph340\trleft0\trftsWidth3\trwWidth9752\trftsWidthB3\trpaddl340\trpaddr340\trpaddfl3\trpaddft3\trpaddfb3\trpaddfr3\tblrsid9505846\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1\qc \li0\ri0\sa240\keepn\nowidctlpar\intbl\wrapdefault\aspalpha\aspnum\faauto\adjustright\rin0\lin0\pararsid9505846 \rtlch\fcs1 \af0\afs20\alang1025 \ltrch\fcs0 \i\fs24\lang2057\langfe2057\cgrid\langnp2057\langfenp2057 {\rtlch\fcs1 \af0 \ltrch\fcs0 _x000d__x000a_\insrsid2242834\charrsid6708014 [ZLEFT]\cell [ZRIGHT]\cell }\pard\plain \ltrpar\ql \li0\ri0\widctlpar\intbl\wrapdefault\aspalpha\aspnum\faauto\adjustright\rin0\lin0 \rtlch\fcs1 \af0\afs20\alang1025 \ltrch\fcs0 _x000d__x000a_\fs24\lang2057\langfe2057\cgrid\langnp2057\langfenp2057 {\rtlch\fcs1 \af0 \ltrch\fcs0 \insrsid2242834\charrsid6708014 \trowd \irow1\irowband1\ltrrow_x000d__x000a_\ts11\trqc\trgaph340\trleft0\trftsWidth3\trwWidth9752\trftsWidthB3\trpaddl340\trpaddr340\trpaddfl3\trpaddft3\trpaddfb3\trpaddfr3\tblrsid950584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9505846 \rtlch\fcs1 \af0\afs20\alang1025 \ltrch\fcs0 \fs24\lang2057\langfe2057\cgrid\langnp2057\langfenp2057 {\rtlch\fcs1 \af0 \ltrch\fcs0 _x000d__x000a_\insrsid2242834\charrsid6708014 [ZTEXTL]\cell [ZTEXTR]}{\rtlch\fcs1 \af0\afs24 \ltrch\fcs0 \insrsid2242834\charrsid6708014 \cell }\pard\plain \ltrpar\ql \li0\ri0\widctlpar\intbl\wrapdefault\aspalpha\aspnum\faauto\adjustright\rin0\lin0 \rtlch\fcs1 _x000d__x000a_\af0\afs20\alang1025 \ltrch\fcs0 \fs24\lang2057\langfe2057\cgrid\langnp2057\langfenp2057 {\rtlch\fcs1 \af0 \ltrch\fcs0 \insrsid2242834\charrsid6708014 \trowd \irow2\irowband2\lastrow \ltrrow_x000d__x000a_\ts11\trqc\trgaph340\trleft0\trftsWidth3\trwWidth9752\trftsWidthB3\trpaddl340\trpaddr340\trpaddfl3\trpaddft3\trpaddfb3\trpaddfr3\tblrsid950584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2242834 \rtlch\fcs1 \af0\afs20\alang1025 \ltrch\fcs0 \fs24\lang2057\langfe2057\cgrid\langnp2057\langfenp2057 {\rtlch\fcs1 \af0 \ltrch\fcs0 _x000d__x000a_\insrsid2242834\charrsid6708014 Or. }{\rtlch\fcs1 \af0 \ltrch\fcs0 \cs17\v\fs20\cf9\lang1024\langfe1024\loch\af1\hich\af1\dbch\af31501\noproof\insrsid2242834\charrsid6708014 \hich\af1\dbch\af31501\loch\f1 &lt;Original&gt;}{\rtlch\fcs1 \af0 \ltrch\fcs0 _x000d__x000a_\insrsid2242834\charrsid6708014 [ZORLANG]}{\rtlch\fcs1 \af0 \ltrch\fcs0 \cs17\v\fs20\cf9\lang1024\langfe1024\loch\af1\hich\af1\dbch\af31501\noproof\insrsid2242834\charrsid6708014 \hich\af1\dbch\af31501\loch\f1 &lt;/Original&gt;}{\rtlch\fcs1 \af0 \ltrch\fcs0 _x000d__x000a_\insrsid2242834\charrsid6708014 _x000d__x000a_\par }\pard\plain \ltrpar\ql \li0\ri0\widctlpar\wrapdefault\aspalpha\aspnum\faauto\adjustright\rin0\lin0\itap0\pararsid2242834 \rtlch\fcs1 \af0\afs20\alang1025 \ltrch\fcs0 \fs24\lang2057\langfe2057\cgrid\langnp2057\langfenp2057 {\rtlch\fcs1 \af0 \ltrch\fcs0 _x000d__x000a_\cs17\v\fs20\cf9\lang1024\langfe1024\loch\af1\hich\af1\dbch\af31501\noproof\insrsid2242834\charrsid6708014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b4_x000d__x000a_ebf4efac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Bold12b">
    <w:name w:val="NormalBold12b"/>
    <w:basedOn w:val="Normal"/>
    <w:pPr>
      <w:widowControl/>
      <w:spacing w:before="240"/>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rossRef">
    <w:name w:val="AmCrossRef"/>
    <w:basedOn w:val="Normal"/>
    <w:pPr>
      <w:widowControl/>
      <w:spacing w:before="240" w:after="240"/>
      <w:jc w:val="center"/>
    </w:pPr>
    <w:rPr>
      <w:i/>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customStyle="1" w:styleId="NormalBold">
    <w:name w:val="NormalBold"/>
    <w:basedOn w:val="Normal"/>
    <w:pPr>
      <w:widowControl/>
    </w:pPr>
    <w:rPr>
      <w:b/>
    </w:r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EPName">
    <w:name w:val="EPName"/>
    <w:basedOn w:val="Normal"/>
    <w:pPr>
      <w:widowControl/>
      <w:spacing w:before="80" w:after="80"/>
    </w:pPr>
    <w:rPr>
      <w:rFonts w:ascii="Arial Narrow" w:eastAsia="Arial" w:hAnsi="Arial Narrow" w:cs="Arial"/>
      <w:b/>
      <w:sz w:val="3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spacing w:after="240"/>
    </w:p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character" w:customStyle="1" w:styleId="HideTWBInt">
    <w:name w:val="HideTWBInt"/>
    <w:rPr>
      <w:rFonts w:ascii="Arial" w:hAnsi="Arial"/>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DocTypeTab">
    <w:name w:val="AmDocTypeTab"/>
    <w:basedOn w:val="Normal"/>
    <w:pPr>
      <w:widowControl/>
      <w:tabs>
        <w:tab w:val="right" w:pos="9070"/>
      </w:tabs>
    </w:pPr>
    <w:rPr>
      <w:b/>
    </w:rPr>
  </w:style>
  <w:style w:type="paragraph" w:customStyle="1" w:styleId="AmDateTab">
    <w:name w:val="AmDateTab"/>
    <w:basedOn w:val="Normal"/>
    <w:pPr>
      <w:widowControl/>
      <w:tabs>
        <w:tab w:val="right" w:pos="9070"/>
      </w:tabs>
    </w:p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character" w:customStyle="1" w:styleId="FooterChar">
    <w:name w:val="Footer Char"/>
    <w:rPr>
      <w:rFonts w:ascii="Times New Roman" w:eastAsia="Times New Roman" w:hAnsi="Times New Roman" w:cs="Times New Roman"/>
      <w:sz w:val="24"/>
    </w:rPr>
  </w:style>
  <w:style w:type="paragraph" w:customStyle="1" w:styleId="Arial14CentreBold">
    <w:name w:val="Arial14CentreBold"/>
    <w:basedOn w:val="Normal"/>
    <w:pPr>
      <w:widowControl w:val="0"/>
      <w:spacing w:after="0" w:line="240" w:lineRule="auto"/>
      <w:jc w:val="center"/>
    </w:pPr>
    <w:rPr>
      <w:rFonts w:ascii="Arial" w:eastAsia="Arial" w:hAnsi="Arial" w:cs="Arial"/>
      <w:b/>
      <w:sz w:val="28"/>
    </w:rPr>
  </w:style>
  <w:style w:type="paragraph" w:customStyle="1" w:styleId="ProcedureTable">
    <w:name w:val="ProcedureTable"/>
    <w:basedOn w:val="Normal"/>
    <w:pPr>
      <w:widowControl w:val="0"/>
      <w:spacing w:after="0" w:line="240" w:lineRule="auto"/>
    </w:pPr>
    <w:rPr>
      <w:rFonts w:ascii="Times New Roman" w:eastAsia="Times New Roman" w:hAnsi="Times New Roman" w:cs="Times New Roman"/>
      <w:sz w:val="20"/>
    </w:rPr>
  </w:style>
  <w:style w:type="paragraph" w:customStyle="1" w:styleId="ProcedureTableBold">
    <w:name w:val="ProcedureTableBold"/>
    <w:basedOn w:val="Normal"/>
    <w:pPr>
      <w:widowControl w:val="0"/>
      <w:spacing w:after="0" w:line="240" w:lineRule="auto"/>
    </w:pPr>
    <w:rPr>
      <w:rFonts w:ascii="Times New Roman" w:eastAsia="Times New Roman" w:hAnsi="Times New Roman" w:cs="Times New Roman"/>
      <w:b/>
      <w:sz w:val="20"/>
    </w:rPr>
  </w:style>
  <w:style w:type="paragraph" w:customStyle="1" w:styleId="NormalTab">
    <w:name w:val="NormalTab"/>
    <w:basedOn w:val="Normal"/>
    <w:pPr>
      <w:widowControl w:val="0"/>
      <w:tabs>
        <w:tab w:val="center" w:pos="284"/>
        <w:tab w:val="left" w:pos="424"/>
      </w:tabs>
      <w:spacing w:after="0" w:line="240" w:lineRule="auto"/>
    </w:pPr>
    <w:rPr>
      <w:rFonts w:ascii="Times New Roman" w:eastAsia="Times New Roman" w:hAnsi="Times New Roman" w:cs="Times New Roman"/>
      <w:sz w:val="24"/>
    </w:rPr>
  </w:style>
  <w:style w:type="paragraph" w:customStyle="1" w:styleId="NormalHanging">
    <w:name w:val="NormalHanging"/>
    <w:basedOn w:val="Normal"/>
    <w:pPr>
      <w:widowControl w:val="0"/>
      <w:overflowPunct/>
      <w:spacing w:after="240" w:line="240" w:lineRule="auto"/>
      <w:ind w:left="566" w:hanging="566"/>
    </w:pPr>
    <w:rPr>
      <w:rFonts w:ascii="Times New Roman" w:eastAsia="Times New Roman" w:hAnsi="Times New Roman" w:cs="Times New Roman"/>
      <w:sz w:val="24"/>
    </w:rPr>
  </w:style>
  <w:style w:type="paragraph" w:customStyle="1" w:styleId="AMNumberTabs0">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after="0" w:line="240" w:lineRule="auto"/>
    </w:pPr>
    <w:rPr>
      <w:rFonts w:ascii="Times New Roman" w:eastAsia="Times New Roman" w:hAnsi="Times New Roman" w:cs="Times New Roman"/>
      <w:b/>
      <w:color w:val="000000"/>
      <w:sz w:val="24"/>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NormalCenter12a">
    <w:name w:val="NormalCenter12a"/>
    <w:basedOn w:val="Normal"/>
    <w:pPr>
      <w:widowControl/>
      <w:spacing w:after="240"/>
      <w:jc w:val="center"/>
    </w:p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NormalCenter">
    <w:name w:val="NormalCenter"/>
    <w:basedOn w:val="Normal"/>
    <w:pPr>
      <w:widowControl w:val="0"/>
      <w:spacing w:after="0" w:line="240" w:lineRule="auto"/>
      <w:jc w:val="center"/>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10</Pages>
  <Words>1790</Words>
  <Characters>10741</Characters>
  <Application>Microsoft Office Word</Application>
  <DocSecurity>0</DocSecurity>
  <Lines>1</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1346758</vt:lpwstr>
  </property>
  <property fmtid="{D5CDD505-2E9C-101B-9397-08002B2CF9AE}" pid="4" name="&lt;Model&gt;">
    <vt:lpwstr>PA_NonLeg</vt:lpwstr>
  </property>
  <property fmtid="{D5CDD505-2E9C-101B-9397-08002B2CF9AE}" pid="5" name="&lt;Type&gt;">
    <vt:lpwstr>PA</vt:lpwstr>
  </property>
  <property fmtid="{D5CDD505-2E9C-101B-9397-08002B2CF9AE}" pid="6" name="dmxml.render.id">
    <vt:lpwstr>575299</vt:lpwstr>
  </property>
  <property fmtid="{D5CDD505-2E9C-101B-9397-08002B2CF9AE}" pid="7" name="dmxml.render.traceId">
    <vt:lpwstr>6a5743e544c3624fd0157d7f5fcc77fa</vt:lpwstr>
  </property>
  <property fmtid="{D5CDD505-2E9C-101B-9397-08002B2CF9AE}" pid="8" name="FooterPath">
    <vt:lpwstr>PA\1346758RO.doc</vt:lpwstr>
  </property>
  <property fmtid="{D5CDD505-2E9C-101B-9397-08002B2CF9AE}" pid="9" name="PE Number">
    <vt:lpwstr>790.216</vt:lpwstr>
  </property>
  <property fmtid="{D5CDD505-2E9C-101B-9397-08002B2CF9AE}" pid="10" name="UID">
    <vt:lpwstr>eu.europa.europarl-DIN1-2026-0000198249_01.04-ro-01.00_text-xml</vt:lpwstr>
  </property>
</Properties>
</file>