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3500C" w:rsidRPr="005668DC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5668DC" w:rsidRDefault="00CD168C" w:rsidP="00C85D0F">
            <w:pPr>
              <w:pStyle w:val="EPName"/>
            </w:pPr>
            <w:r w:rsidRPr="005668DC">
              <w:t>Europa-Parlamentet</w:t>
            </w:r>
          </w:p>
          <w:p w:rsidR="00854CAC" w:rsidRPr="005668DC" w:rsidRDefault="00CD168C" w:rsidP="00B712EA">
            <w:pPr>
              <w:pStyle w:val="EPTerm"/>
            </w:pPr>
            <w:r w:rsidRPr="005668D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854CAC" w:rsidRPr="005668DC" w:rsidRDefault="00CD168C" w:rsidP="00C85D0F">
            <w:pPr>
              <w:pStyle w:val="EPLogo"/>
            </w:pPr>
            <w:r w:rsidRPr="005668DC"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5668DC" w:rsidRDefault="001746D0" w:rsidP="001746D0">
      <w:pPr>
        <w:pStyle w:val="LineTop"/>
      </w:pPr>
    </w:p>
    <w:p w:rsidR="001746D0" w:rsidRPr="005668DC" w:rsidRDefault="00CD168C" w:rsidP="001746D0">
      <w:pPr>
        <w:pStyle w:val="EPBody"/>
      </w:pPr>
      <w:r w:rsidRPr="005668DC">
        <w:rPr>
          <w:rStyle w:val="HideTWBExt"/>
          <w:noProof w:val="0"/>
        </w:rPr>
        <w:t>&lt;</w:t>
      </w:r>
      <w:r w:rsidRPr="005668DC">
        <w:rPr>
          <w:rStyle w:val="HideTWBExt"/>
          <w:i w:val="0"/>
          <w:noProof w:val="0"/>
        </w:rPr>
        <w:t>Commission</w:t>
      </w:r>
      <w:r w:rsidRPr="005668DC">
        <w:rPr>
          <w:rStyle w:val="HideTWBExt"/>
          <w:noProof w:val="0"/>
        </w:rPr>
        <w:t>&gt;</w:t>
      </w:r>
      <w:r w:rsidRPr="005668DC">
        <w:rPr>
          <w:rStyle w:val="HideTWBInt"/>
          <w:color w:val="auto"/>
        </w:rPr>
        <w:t>{JURI}</w:t>
      </w:r>
      <w:r w:rsidRPr="005668DC">
        <w:t>Retsudvalget</w:t>
      </w:r>
      <w:r w:rsidRPr="005668DC">
        <w:rPr>
          <w:rStyle w:val="HideTWBExt"/>
          <w:noProof w:val="0"/>
        </w:rPr>
        <w:t>&lt;/</w:t>
      </w:r>
      <w:r w:rsidRPr="005668DC">
        <w:rPr>
          <w:rStyle w:val="HideTWBExt"/>
          <w:i w:val="0"/>
          <w:noProof w:val="0"/>
        </w:rPr>
        <w:t>Commission</w:t>
      </w:r>
      <w:r w:rsidRPr="005668DC">
        <w:rPr>
          <w:rStyle w:val="HideTWBExt"/>
          <w:noProof w:val="0"/>
        </w:rPr>
        <w:t>&gt;</w:t>
      </w:r>
    </w:p>
    <w:p w:rsidR="001746D0" w:rsidRPr="005668DC" w:rsidRDefault="001746D0" w:rsidP="001746D0">
      <w:pPr>
        <w:pStyle w:val="LineBottom"/>
      </w:pPr>
    </w:p>
    <w:p w:rsidR="002E2F2E" w:rsidRPr="005668DC" w:rsidRDefault="00CD168C">
      <w:pPr>
        <w:pStyle w:val="CoverReference"/>
      </w:pPr>
      <w:r w:rsidRPr="005668DC">
        <w:rPr>
          <w:rStyle w:val="HideTWBExt"/>
          <w:b w:val="0"/>
          <w:noProof w:val="0"/>
        </w:rPr>
        <w:t>&lt;RefProc&gt;</w:t>
      </w:r>
      <w:r w:rsidRPr="005668DC">
        <w:t>2023/2113</w:t>
      </w:r>
      <w:r w:rsidRPr="005668DC">
        <w:rPr>
          <w:rStyle w:val="HideTWBExt"/>
          <w:b w:val="0"/>
          <w:noProof w:val="0"/>
        </w:rPr>
        <w:t>&lt;/RefProc&gt;&lt;RefTypeProc&gt;</w:t>
      </w:r>
      <w:r w:rsidRPr="005668DC">
        <w:t>(INI)</w:t>
      </w:r>
      <w:r w:rsidRPr="005668DC">
        <w:rPr>
          <w:rStyle w:val="HideTWBExt"/>
          <w:b w:val="0"/>
          <w:noProof w:val="0"/>
        </w:rPr>
        <w:t>&lt;/RefTypeProc&gt;</w:t>
      </w:r>
    </w:p>
    <w:p w:rsidR="002E2F2E" w:rsidRPr="005668DC" w:rsidRDefault="00CD168C">
      <w:pPr>
        <w:pStyle w:val="CoverDate"/>
      </w:pPr>
      <w:r w:rsidRPr="005668DC">
        <w:rPr>
          <w:rStyle w:val="HideTWBExt"/>
          <w:noProof w:val="0"/>
        </w:rPr>
        <w:t>&lt;Date&gt;</w:t>
      </w:r>
      <w:r w:rsidRPr="005668DC">
        <w:rPr>
          <w:rStyle w:val="HideTWBInt"/>
          <w:color w:val="auto"/>
        </w:rPr>
        <w:t>{13/10/2023}</w:t>
      </w:r>
      <w:r w:rsidRPr="005668DC">
        <w:t>13.10.2023</w:t>
      </w:r>
      <w:r w:rsidRPr="005668DC">
        <w:rPr>
          <w:rStyle w:val="HideTWBExt"/>
          <w:noProof w:val="0"/>
        </w:rPr>
        <w:t>&lt;/Date&gt;</w:t>
      </w:r>
    </w:p>
    <w:p w:rsidR="002E2F2E" w:rsidRPr="005668DC" w:rsidRDefault="00CD168C">
      <w:pPr>
        <w:pStyle w:val="CoverDocType24a"/>
      </w:pPr>
      <w:r w:rsidRPr="005668DC">
        <w:rPr>
          <w:rStyle w:val="HideTWBExt"/>
          <w:b w:val="0"/>
          <w:noProof w:val="0"/>
        </w:rPr>
        <w:t>&lt;TitreType&gt;</w:t>
      </w:r>
      <w:r w:rsidRPr="005668DC">
        <w:t>UDKAST TIL UDTALELSE</w:t>
      </w:r>
      <w:r w:rsidRPr="005668DC">
        <w:rPr>
          <w:rStyle w:val="HideTWBExt"/>
          <w:b w:val="0"/>
          <w:noProof w:val="0"/>
        </w:rPr>
        <w:t>&lt;/TitreType&gt;</w:t>
      </w:r>
    </w:p>
    <w:p w:rsidR="002E2F2E" w:rsidRPr="005668DC" w:rsidRDefault="00CD168C">
      <w:pPr>
        <w:pStyle w:val="CoverNormal24a"/>
      </w:pPr>
      <w:r w:rsidRPr="005668DC">
        <w:rPr>
          <w:rStyle w:val="HideTWBExt"/>
          <w:noProof w:val="0"/>
        </w:rPr>
        <w:t>&lt;CommissionResp&gt;</w:t>
      </w:r>
      <w:r w:rsidRPr="005668DC">
        <w:t>fra Retsudvalget</w:t>
      </w:r>
      <w:r w:rsidRPr="005668DC">
        <w:rPr>
          <w:rStyle w:val="HideTWBExt"/>
          <w:noProof w:val="0"/>
        </w:rPr>
        <w:t>&lt;/CommissionResp&gt;</w:t>
      </w:r>
    </w:p>
    <w:p w:rsidR="002E2F2E" w:rsidRPr="005668DC" w:rsidRDefault="00CD168C">
      <w:pPr>
        <w:pStyle w:val="CoverNormal24a"/>
      </w:pPr>
      <w:r w:rsidRPr="005668DC">
        <w:rPr>
          <w:rStyle w:val="HideTWBExt"/>
          <w:noProof w:val="0"/>
        </w:rPr>
        <w:t>&lt;CommissionInt&gt;</w:t>
      </w:r>
      <w:r w:rsidRPr="005668DC">
        <w:t>til Udvalget om Borgernes Rettigheder og Retlige og Indre Anliggender</w:t>
      </w:r>
      <w:r w:rsidRPr="005668DC">
        <w:rPr>
          <w:rStyle w:val="HideTWBExt"/>
          <w:noProof w:val="0"/>
        </w:rPr>
        <w:t>&lt;/CommissionInt&gt;</w:t>
      </w:r>
    </w:p>
    <w:p w:rsidR="002E2F2E" w:rsidRPr="005668DC" w:rsidRDefault="00CD168C">
      <w:pPr>
        <w:pStyle w:val="CoverNormal"/>
      </w:pPr>
      <w:r w:rsidRPr="005668DC">
        <w:rPr>
          <w:rStyle w:val="HideTWBExt"/>
          <w:noProof w:val="0"/>
        </w:rPr>
        <w:t>&lt;Titre&gt;</w:t>
      </w:r>
      <w:r w:rsidRPr="005668DC">
        <w:t>om betænkning om Kommissionens rapport om retsstatssituationen 2023</w:t>
      </w:r>
      <w:r w:rsidRPr="005668DC">
        <w:rPr>
          <w:rStyle w:val="HideTWBExt"/>
          <w:noProof w:val="0"/>
        </w:rPr>
        <w:t>&lt;/Titre&gt;</w:t>
      </w:r>
    </w:p>
    <w:p w:rsidR="002E2F2E" w:rsidRPr="005668DC" w:rsidRDefault="00CD168C">
      <w:pPr>
        <w:pStyle w:val="CoverNormal24a"/>
      </w:pPr>
      <w:r w:rsidRPr="005668DC">
        <w:rPr>
          <w:rStyle w:val="HideTWBExt"/>
          <w:noProof w:val="0"/>
        </w:rPr>
        <w:t>&lt;DocRef&gt;</w:t>
      </w:r>
      <w:r w:rsidRPr="005668DC">
        <w:t>(2023/2113(INI))</w:t>
      </w:r>
      <w:r w:rsidRPr="005668DC">
        <w:rPr>
          <w:rStyle w:val="HideTWBExt"/>
          <w:noProof w:val="0"/>
        </w:rPr>
        <w:t>&lt;/DocRef&gt;</w:t>
      </w:r>
    </w:p>
    <w:p w:rsidR="002E2F2E" w:rsidRPr="005668DC" w:rsidRDefault="00CD168C">
      <w:pPr>
        <w:pStyle w:val="CoverNormal24a"/>
      </w:pPr>
      <w:r w:rsidRPr="005668DC">
        <w:t>Ordfører for udtalel</w:t>
      </w:r>
      <w:r w:rsidRPr="005668DC">
        <w:t xml:space="preserve">se (*): </w:t>
      </w:r>
      <w:r w:rsidRPr="005668DC">
        <w:rPr>
          <w:rStyle w:val="HideTWBExt"/>
          <w:noProof w:val="0"/>
        </w:rPr>
        <w:t>&lt;Depute&gt;</w:t>
      </w:r>
      <w:r w:rsidRPr="005668DC">
        <w:t>Adrián Vázquez Lázara</w:t>
      </w:r>
      <w:r w:rsidRPr="005668DC">
        <w:rPr>
          <w:rStyle w:val="HideTWBExt"/>
          <w:noProof w:val="0"/>
        </w:rPr>
        <w:t>&lt;/Depute&gt;</w:t>
      </w:r>
    </w:p>
    <w:p w:rsidR="00B712EA" w:rsidRPr="005668DC" w:rsidRDefault="00CD168C" w:rsidP="00B712EA">
      <w:pPr>
        <w:pStyle w:val="CoverNormal24a"/>
      </w:pPr>
      <w:r w:rsidRPr="005668DC">
        <w:t>(*) Associeret udvalg – forretningsordenens artikel 57</w:t>
      </w:r>
    </w:p>
    <w:p w:rsidR="00A72C35" w:rsidRPr="005668DC" w:rsidRDefault="00A72C35" w:rsidP="00A72C35">
      <w:pPr>
        <w:pStyle w:val="CoverNormal"/>
      </w:pPr>
    </w:p>
    <w:p w:rsidR="002E2F2E" w:rsidRPr="005668DC" w:rsidRDefault="00CD168C" w:rsidP="00E856D2">
      <w:pPr>
        <w:widowControl/>
        <w:tabs>
          <w:tab w:val="center" w:pos="4677"/>
        </w:tabs>
      </w:pPr>
      <w:r w:rsidRPr="005668DC">
        <w:br w:type="page"/>
      </w:r>
      <w:r w:rsidRPr="005668DC">
        <w:lastRenderedPageBreak/>
        <w:t>PA_NonLeg</w:t>
      </w:r>
    </w:p>
    <w:p w:rsidR="002E2F2E" w:rsidRPr="005668DC" w:rsidRDefault="00CD168C">
      <w:pPr>
        <w:pStyle w:val="PageHeadingNotTOC"/>
      </w:pPr>
      <w:r w:rsidRPr="005668DC">
        <w:br w:type="page"/>
      </w:r>
      <w:r w:rsidRPr="005668DC">
        <w:lastRenderedPageBreak/>
        <w:t>FORSLAG</w:t>
      </w:r>
    </w:p>
    <w:p w:rsidR="00B712EA" w:rsidRPr="005668DC" w:rsidRDefault="00CD168C" w:rsidP="001C6C04">
      <w:pPr>
        <w:pStyle w:val="Normal12a"/>
        <w:rPr>
          <w:szCs w:val="24"/>
        </w:rPr>
      </w:pPr>
      <w:r w:rsidRPr="005668DC">
        <w:t xml:space="preserve">Retsudvalget opfordrer Udvalget om Borgernes Rettigheder og Retlige og Indre Anliggender, som er korresponderende udvalg, til at </w:t>
      </w:r>
      <w:r w:rsidRPr="005668DC">
        <w:t>optage følgende forslag i det beslutningsforslag, det vedtager:</w:t>
      </w:r>
    </w:p>
    <w:p w:rsidR="00B712EA" w:rsidRPr="005668DC" w:rsidRDefault="00CD168C" w:rsidP="001C6C04">
      <w:pPr>
        <w:pStyle w:val="NormalHanging12a"/>
      </w:pPr>
      <w:r w:rsidRPr="005668DC">
        <w:rPr>
          <w:rStyle w:val="BoldItalic"/>
        </w:rPr>
        <w:t>Generelt</w:t>
      </w:r>
    </w:p>
    <w:p w:rsidR="00B712EA" w:rsidRPr="005668DC" w:rsidRDefault="00CD168C" w:rsidP="00B712EA">
      <w:pPr>
        <w:pStyle w:val="NormalHanging12a"/>
      </w:pPr>
      <w:r w:rsidRPr="005668DC">
        <w:t>1.</w:t>
      </w:r>
      <w:r w:rsidRPr="005668DC">
        <w:tab/>
        <w:t>minder om, at Unionens retlige struktur er baseret på den grundlæggende forudsætning, at hver medlemsstat deler et sæt fælles værdier, som EU bygger på, med alle de øvrige medlemss</w:t>
      </w:r>
      <w:r w:rsidRPr="005668DC">
        <w:t>tater, som anført i artikel 2 i traktaten om Den Europæiske Union</w:t>
      </w:r>
      <w:r w:rsidRPr="005668DC">
        <w:rPr>
          <w:rStyle w:val="FootnoteReference"/>
        </w:rPr>
        <w:footnoteReference w:id="1"/>
      </w:r>
      <w:r w:rsidRPr="005668DC">
        <w:t xml:space="preserve">; minder endvidere om, at retsstatsprincippet, som er forankret i EU's primære ret og yderligere defineret i EU-Domstolens retspraksis, er beslægtet med demokrati og grundlæggende </w:t>
      </w:r>
      <w:r w:rsidRPr="005668DC">
        <w:t>rettigheder; understreger, at ethvert tilbageskridt med hensyn til retsstatsprincippet i en given medlemsstat i væsentlig grad påvirker det fælles område med frihed, sikkerhed og retfærdighed samt gensidig tillid og gensidig anerkendelse som ledende princi</w:t>
      </w:r>
      <w:r w:rsidRPr="005668DC">
        <w:t>pper i EU-retten på dette område</w:t>
      </w:r>
      <w:r w:rsidRPr="005668DC">
        <w:rPr>
          <w:rStyle w:val="FootnoteReference"/>
        </w:rPr>
        <w:footnoteReference w:id="2"/>
      </w:r>
      <w:r w:rsidRPr="005668DC">
        <w:t>;</w:t>
      </w:r>
    </w:p>
    <w:p w:rsidR="00B712EA" w:rsidRPr="005668DC" w:rsidRDefault="00CD168C" w:rsidP="00B712EA">
      <w:pPr>
        <w:pStyle w:val="NormalHanging12a"/>
      </w:pPr>
      <w:r w:rsidRPr="005668DC">
        <w:t>2.</w:t>
      </w:r>
      <w:r w:rsidRPr="005668DC">
        <w:tab/>
        <w:t>glæder sig over Kommissionens fjerde rapport om retsstatssituationen ("rapporten") og mener, at den regelmæssige gennemgang af retsstatsprincippet er et vigtigt overvågningsredskab; understreger i denne forbindelse bet</w:t>
      </w:r>
      <w:r w:rsidRPr="005668DC">
        <w:t>ydningen af, at Kommissionen anvender klare og objektive kriterier, når den foretager sin vurdering, hvorved man undgår påstande om ulige behandling af medlemsstaterne eller anvendelse af selektive data; glæder sig i denne forbindelse over Kommissionens ti</w:t>
      </w:r>
      <w:r w:rsidRPr="005668DC">
        <w:t>lgang til at modtage bidrag fra medlemsstaterne og dermed fremme en fælles dialog; glæder sig over den nye klassificering med fire kategorier, som Kommissionen har vedtaget med hensyn til måling af fremskridt med hensyn til tidligere anbefalinger: a) ingen</w:t>
      </w:r>
      <w:r w:rsidRPr="005668DC">
        <w:t xml:space="preserve"> fremskridt, b) visse fremskridt, c) betydelige fremskridt og d) fuld gennemførelse; påpeger i lyset af de problemer, der er forbundet med medlemsstaternes indsamling af statistiske data, nytten af Europarådets redskaber såsom rapporterne fra Den Europæisk</w:t>
      </w:r>
      <w:r w:rsidRPr="005668DC">
        <w:t>e Kommission for et Effektivt Retsvæsen under Europarådet (CEPEJ)</w:t>
      </w:r>
      <w:r w:rsidRPr="005668DC">
        <w:rPr>
          <w:rStyle w:val="FootnoteReference"/>
        </w:rPr>
        <w:footnoteReference w:id="3"/>
      </w:r>
      <w:r w:rsidRPr="005668DC">
        <w:t>, hvorved der så vidt muligt skabes konvergens mellem de forskellige datainput;</w:t>
      </w:r>
    </w:p>
    <w:p w:rsidR="00B712EA" w:rsidRPr="005668DC" w:rsidRDefault="00CD168C" w:rsidP="001C6C04">
      <w:pPr>
        <w:pStyle w:val="NormalHanging12a"/>
      </w:pPr>
      <w:r w:rsidRPr="005668DC">
        <w:rPr>
          <w:rStyle w:val="BoldItalic"/>
        </w:rPr>
        <w:t>Retlige anliggender</w:t>
      </w:r>
    </w:p>
    <w:p w:rsidR="00B712EA" w:rsidRPr="005668DC" w:rsidRDefault="00CD168C" w:rsidP="00B712EA">
      <w:pPr>
        <w:pStyle w:val="NormalHanging12a"/>
      </w:pPr>
      <w:r w:rsidRPr="005668DC">
        <w:t>3.</w:t>
      </w:r>
      <w:r w:rsidRPr="005668DC">
        <w:tab/>
        <w:t>anerkender den betydning, som rapportering om retsstatsprincippet tillægger retssysteme</w:t>
      </w:r>
      <w:r w:rsidRPr="005668DC">
        <w:t>rne, navnlig med hensyn til dommeres lovlighed, uafhængighed og upartiskhed og udnævnelse af dommere, forfremmelser, afskedigelser og afgørelser; erkender, at der ikke findes et fælles EU-system for udnævnelse af dommere; minder imidlertid om, at alle medl</w:t>
      </w:r>
      <w:r w:rsidRPr="005668DC">
        <w:t>emsstater skal overholde Europarådets</w:t>
      </w:r>
      <w:r w:rsidRPr="005668DC">
        <w:rPr>
          <w:rStyle w:val="FootnoteReference"/>
        </w:rPr>
        <w:footnoteReference w:id="4"/>
      </w:r>
      <w:r w:rsidRPr="005668DC">
        <w:t xml:space="preserve"> og EU-Domstolens</w:t>
      </w:r>
      <w:r w:rsidRPr="005668DC">
        <w:rPr>
          <w:rStyle w:val="FootnoteReference"/>
        </w:rPr>
        <w:footnoteReference w:id="5"/>
      </w:r>
      <w:r w:rsidRPr="005668DC">
        <w:t xml:space="preserve"> </w:t>
      </w:r>
      <w:r w:rsidRPr="005668DC">
        <w:lastRenderedPageBreak/>
        <w:t>minimumsstandarder; understreger i denne forbindelse betydningen af uafhængige domstolsråd, som skal bestå af et betydeligt flertal af dommere, der vælges af deres kolleger, og som har betydelige bef</w:t>
      </w:r>
      <w:r w:rsidRPr="005668DC">
        <w:t>øjelser med hensyn til udvælgelse, forfremmelse og disciplinære procedurer for dommere; beklager dybt, at ikke alle medlemsstater har opfyldt deres forpligtelser fuldt ud i denne henseende;</w:t>
      </w:r>
    </w:p>
    <w:p w:rsidR="00B712EA" w:rsidRPr="005668DC" w:rsidRDefault="00CD168C" w:rsidP="00B712EA">
      <w:pPr>
        <w:pStyle w:val="NormalHanging12a"/>
      </w:pPr>
      <w:r w:rsidRPr="005668DC">
        <w:t>4.</w:t>
      </w:r>
      <w:r w:rsidRPr="005668DC">
        <w:tab/>
        <w:t>opfordrer indtrængende Kommissionen til at fortsætte sin omhygg</w:t>
      </w:r>
      <w:r w:rsidRPr="005668DC">
        <w:t>elige overvågning af medlemsstaternes retlige rammer med henblik på at vurdere, om de er i overensstemmelse med ovennævnte henstillinger, og opfordrer endvidere Kommissionen til at insistere mere på gennemførelsen af disse kritiske reformer i tilfælde, hvo</w:t>
      </w:r>
      <w:r w:rsidRPr="005668DC">
        <w:t xml:space="preserve">r medlemsstaternes systemer ikke opfylder de foreskrevne standarder; </w:t>
      </w:r>
    </w:p>
    <w:p w:rsidR="00B712EA" w:rsidRPr="005668DC" w:rsidRDefault="00CD168C" w:rsidP="00B712EA">
      <w:pPr>
        <w:pStyle w:val="NormalHanging12a"/>
      </w:pPr>
      <w:r w:rsidRPr="005668DC">
        <w:t>5.</w:t>
      </w:r>
      <w:r w:rsidRPr="005668DC">
        <w:tab/>
        <w:t>anerkender, at der i den seneste rapport kan konstateres en vis grad af fremskridt med hensyn til retsvæsenets uafhængighed i en række forskellige medlemsstater; glæder sig i denne fo</w:t>
      </w:r>
      <w:r w:rsidRPr="005668DC">
        <w:t>rbindelse over tilbageholdelsen af EU-midler, hvis det er nødvendigt, i henhold til konditionalitetsmekanismen</w:t>
      </w:r>
      <w:r w:rsidRPr="005668DC">
        <w:rPr>
          <w:rStyle w:val="FootnoteReference"/>
        </w:rPr>
        <w:footnoteReference w:id="6"/>
      </w:r>
      <w:r w:rsidRPr="005668DC">
        <w:t>, som bekræftet af EU-Domstolen</w:t>
      </w:r>
      <w:r w:rsidRPr="005668DC">
        <w:rPr>
          <w:rStyle w:val="FootnoteReference"/>
        </w:rPr>
        <w:footnoteReference w:id="7"/>
      </w:r>
      <w:r w:rsidRPr="005668DC">
        <w:t>, eller under genopretnings- og resiliensfaciliteten</w:t>
      </w:r>
      <w:r w:rsidRPr="005668DC">
        <w:rPr>
          <w:rStyle w:val="FootnoteReference"/>
        </w:rPr>
        <w:footnoteReference w:id="8"/>
      </w:r>
      <w:r w:rsidRPr="005668DC">
        <w:t>; påpeger imidlertid, at overtrædelser af retsvæsenets uafhæ</w:t>
      </w:r>
      <w:r w:rsidRPr="005668DC">
        <w:t>ngighed stadig giver anledning til bekymring i nogle medlemsstater, såsom igangværende disciplinærsager mod dommere for indholdet af deres afgørelser, problemer med sammensætningen af domstolsråd og med sammensætningen af de højeste nationale domstole i ly</w:t>
      </w:r>
      <w:r w:rsidRPr="005668DC">
        <w:t>set af princippet om en domstol, der er oprettet ved lov osv.;</w:t>
      </w:r>
    </w:p>
    <w:p w:rsidR="00B712EA" w:rsidRPr="005668DC" w:rsidRDefault="00CD168C" w:rsidP="00B712EA">
      <w:pPr>
        <w:pStyle w:val="NormalHanging12a"/>
      </w:pPr>
      <w:r w:rsidRPr="005668DC">
        <w:t>6.</w:t>
      </w:r>
      <w:r w:rsidRPr="005668DC">
        <w:tab/>
        <w:t>minder om, at et effektivt og retfærdigt retssystem, der sikrer adgang til domstolsprøvelse for alle, kræver et passende budget og finansiering af retsvæsenets organer; beklager, at rapporte</w:t>
      </w:r>
      <w:r w:rsidRPr="005668DC">
        <w:t>n stadig viser, at der findes alvorlige mangler i denne henseende, og at det navnlig hæmmer afgørelsen af højt profilerede korruptionssager; understreger imidlertid, at der også skal være tilstrækkelig retshjælp og retsmidler til rådighed for borgerne; opf</w:t>
      </w:r>
      <w:r w:rsidRPr="005668DC">
        <w:t xml:space="preserve">ordrer i denne forbindelse Kommissionen til i den næste rapport om retsstatssituationen at medtage vurderinger af anvendelsen af gældende EU-ret om retshjælp i civil- og strafferetlige sager, såsom Rådets direktiv 2003/8/EF af 27. januar 2023 om forbedret </w:t>
      </w:r>
      <w:r w:rsidRPr="005668DC">
        <w:t>adgang til domstolene i grænseoverskridende tvister gennem fastsættelse af fælles mindsteregler for retshjælp i forbindelse med sådanne tvister</w:t>
      </w:r>
      <w:r w:rsidRPr="005668DC">
        <w:rPr>
          <w:rStyle w:val="FootnoteReference"/>
        </w:rPr>
        <w:footnoteReference w:id="9"/>
      </w:r>
      <w:r w:rsidRPr="005668DC">
        <w:t>, da EU-Domstolens retspraksis viser, at der stadig er tvivl om fortolkningen heraf;</w:t>
      </w:r>
    </w:p>
    <w:p w:rsidR="00B712EA" w:rsidRPr="005668DC" w:rsidRDefault="00CD168C" w:rsidP="00B712EA">
      <w:pPr>
        <w:pStyle w:val="NormalHanging12a"/>
      </w:pPr>
      <w:r w:rsidRPr="005668DC">
        <w:t>7.</w:t>
      </w:r>
      <w:r w:rsidRPr="005668DC">
        <w:tab/>
        <w:t>minder om, at også ankla</w:t>
      </w:r>
      <w:r w:rsidRPr="005668DC">
        <w:t xml:space="preserve">gemyndigheder, uanset deres placering i det nationale system for fordeling af beføjelser mellem tre forvaltningsgrene, skal være uafhængige af unødigt politisk pres; bemærker, at der er gjort visse fremskridt i nogle medlemsstater; beklager imidlertid, at </w:t>
      </w:r>
      <w:r w:rsidRPr="005668DC">
        <w:t xml:space="preserve">der stadig findes systemer, hvor regeringen kan udstede bindende afgørelser til anklagere i særlige tilfælde, hvor embedsperioden er knyttet til en politisk </w:t>
      </w:r>
      <w:r w:rsidRPr="005668DC">
        <w:lastRenderedPageBreak/>
        <w:t>proces, eller hvor funktionerne som minister og offentlig anklager kombineres, hvilket giver muligh</w:t>
      </w:r>
      <w:r w:rsidRPr="005668DC">
        <w:t>ed for utilbørlig politisk indflydelse og skaber problemer med gensidig anerkendelse</w:t>
      </w:r>
      <w:r w:rsidRPr="005668DC">
        <w:rPr>
          <w:rStyle w:val="FootnoteReference"/>
        </w:rPr>
        <w:footnoteReference w:id="10"/>
      </w:r>
      <w:r w:rsidRPr="005668DC">
        <w:t>;</w:t>
      </w:r>
    </w:p>
    <w:p w:rsidR="00B712EA" w:rsidRPr="005668DC" w:rsidRDefault="00CD168C" w:rsidP="00B712EA">
      <w:pPr>
        <w:pStyle w:val="NormalHanging12a"/>
      </w:pPr>
      <w:r w:rsidRPr="005668DC">
        <w:t>8.</w:t>
      </w:r>
      <w:r w:rsidRPr="005668DC">
        <w:tab/>
        <w:t>understreger navnlig, at spørgsmålet om "svingdørssituationer" ikke kun er begrænset til bekymringer om tidligere ministre, der skifter til den private sektor efter d</w:t>
      </w:r>
      <w:r w:rsidRPr="005668DC">
        <w:t>eres embedsperiode i et offentligt embede, men omfatter situationer, hvor enkeltpersoner kan påtage sig kritiske roller inden for retsvæsenet eller anklagemyndigheden umiddelbart efter deres tjeneste som ministre eller tilknytning til et politisk parti;</w:t>
      </w:r>
    </w:p>
    <w:p w:rsidR="00B712EA" w:rsidRPr="005668DC" w:rsidRDefault="00CD168C" w:rsidP="00B712EA">
      <w:pPr>
        <w:pStyle w:val="NormalHanging12a"/>
      </w:pPr>
      <w:r w:rsidRPr="005668DC">
        <w:t>9.</w:t>
      </w:r>
      <w:r w:rsidRPr="005668DC">
        <w:tab/>
        <w:t xml:space="preserve">opfordrer Kommissionen til at tage behørigt hensyn til sådanne eksempler i sine kommende rapporter om retsstatsprincippet i Den Europæiske Union; opfordrer indtrængende Kommissionen til kraftigt at opfordre medlemsstaterne til at afstå fra denne praksis, </w:t>
      </w:r>
      <w:r w:rsidRPr="005668DC">
        <w:t>navnlig ved at gennemføre retlige bestemmelser, der proaktivt forhindrer tidligere ministre og højtstående politiske personligheder i at indtage ledende stillinger inden for de øverste domstole eller anklagemyndigheden, og derved sikre disse vitale institu</w:t>
      </w:r>
      <w:r w:rsidRPr="005668DC">
        <w:t>tioners uafhængighed og integritet;</w:t>
      </w:r>
    </w:p>
    <w:p w:rsidR="00B712EA" w:rsidRPr="005668DC" w:rsidRDefault="00CD168C" w:rsidP="001C6C04">
      <w:pPr>
        <w:pStyle w:val="NormalHanging12a"/>
      </w:pPr>
      <w:r w:rsidRPr="005668DC">
        <w:rPr>
          <w:rStyle w:val="BoldItalic"/>
        </w:rPr>
        <w:t>Bekæmpelse af korruption</w:t>
      </w:r>
    </w:p>
    <w:p w:rsidR="00B712EA" w:rsidRPr="005668DC" w:rsidRDefault="00CD168C" w:rsidP="00B712EA">
      <w:pPr>
        <w:pStyle w:val="NormalHanging12a"/>
      </w:pPr>
      <w:r w:rsidRPr="005668DC">
        <w:t>10.</w:t>
      </w:r>
      <w:r w:rsidRPr="005668DC">
        <w:tab/>
        <w:t>anfører, at korruption er en trussel, der kan ødelægge demokratier og skal bekæmpes i alle dens former; er bekymret over, at den seneste rapport viser enten ingen eller kun meget langsomme fr</w:t>
      </w:r>
      <w:r w:rsidRPr="005668DC">
        <w:t>emskridt med hensyn til foranstaltninger til forebyggelse af korruption i flere medlemsstater; er yderst bekymret over modstanden mod at oprette registre over lobbyister, åbenhedsregistre og passende systemer for formueangivelser fra indehavere af offentli</w:t>
      </w:r>
      <w:r w:rsidRPr="005668DC">
        <w:t>ge embeder og højtstående embedsmænd samt over den manglende politiske vilje til at indføre strenge regler inden for svingdørspolitikker; fremhæver i denne forbindelse betydningen af en gennemsigtig lovgivningsprocedure med vidtrækkende aktindsigt og regle</w:t>
      </w:r>
      <w:r w:rsidRPr="005668DC">
        <w:t>r for at sikre den højeste grad af gennemsigtighed og ansvarlighed i offentlige forvaltninger og offentlig beslutningstagning med henblik på at forebygge korruption</w:t>
      </w:r>
      <w:r w:rsidRPr="005668DC">
        <w:rPr>
          <w:rStyle w:val="FootnoteReference"/>
        </w:rPr>
        <w:footnoteReference w:id="11"/>
      </w:r>
      <w:r w:rsidRPr="005668DC">
        <w:t>;</w:t>
      </w:r>
    </w:p>
    <w:p w:rsidR="00B712EA" w:rsidRPr="005668DC" w:rsidRDefault="00CD168C" w:rsidP="00B712EA">
      <w:pPr>
        <w:pStyle w:val="NormalHanging12a"/>
      </w:pPr>
      <w:r w:rsidRPr="005668DC">
        <w:t>11.</w:t>
      </w:r>
      <w:r w:rsidRPr="005668DC">
        <w:tab/>
        <w:t>opfordrer i denne forbindelse også alle EU-institutioner til at overholde de højest m</w:t>
      </w:r>
      <w:r w:rsidRPr="005668DC">
        <w:t>ulige standarder med henblik på at forebygge korruption, såsom bl.a. oprettelse af et effektivt etisk organ i EU, fuld anvendelse af forordning (EF) nr. 1049/2001</w:t>
      </w:r>
      <w:r w:rsidRPr="005668DC">
        <w:rPr>
          <w:rStyle w:val="FootnoteReference"/>
        </w:rPr>
        <w:footnoteReference w:id="12"/>
      </w:r>
      <w:r w:rsidRPr="005668DC">
        <w:t xml:space="preserve"> om aktindsigt og fuld anvendelse af konditionalitetsprincippet for så vidt angår EU's åbenhe</w:t>
      </w:r>
      <w:r w:rsidRPr="005668DC">
        <w:t>dsregister; opfordrer medlemsstaterne til hurtigst muligt at forsøge at nå til enighed om det foreslåede direktiv om bekæmpelse af korruption;</w:t>
      </w:r>
    </w:p>
    <w:p w:rsidR="00B712EA" w:rsidRPr="005668DC" w:rsidRDefault="00CD168C" w:rsidP="00B712EA">
      <w:pPr>
        <w:pStyle w:val="NormalHanging12a"/>
      </w:pPr>
      <w:r w:rsidRPr="005668DC">
        <w:t>12.</w:t>
      </w:r>
      <w:r w:rsidRPr="005668DC">
        <w:tab/>
        <w:t xml:space="preserve">anerkender den betydelige stigning i de seneste års kvantitative betydning af de midler, der er afsat af Den </w:t>
      </w:r>
      <w:r w:rsidRPr="005668DC">
        <w:t xml:space="preserve">Europæiske Union, herunder NextGenerationEU-midlerne; </w:t>
      </w:r>
      <w:r w:rsidRPr="005668DC">
        <w:lastRenderedPageBreak/>
        <w:t>anerkender, at tilstedeværelsen af lovbestemmelser i medlemsstaternes lovgivning, der har til formål at forhindre misbrug af disse midler, har fået den allerstørste betydning;</w:t>
      </w:r>
    </w:p>
    <w:p w:rsidR="00B712EA" w:rsidRPr="005668DC" w:rsidRDefault="00CD168C" w:rsidP="00B712EA">
      <w:pPr>
        <w:pStyle w:val="NormalHanging12a"/>
      </w:pPr>
      <w:r w:rsidRPr="005668DC">
        <w:t>13.</w:t>
      </w:r>
      <w:r w:rsidRPr="005668DC">
        <w:tab/>
        <w:t>opfordrer Kommissionen</w:t>
      </w:r>
      <w:r w:rsidRPr="005668DC">
        <w:t xml:space="preserve"> til som led i sine kommende rapporter om retsstatssituationen at indarbejde en evaluering af udviklingen i medlemsstaternes lovgivning i de seneste år vedrørende tilsyn med passende anvendelse af offentlige midler samt de retlige mekanismer, der er indfør</w:t>
      </w:r>
      <w:r w:rsidRPr="005668DC">
        <w:t>t for at imødegå enhver uretmæssig anvendelse af offentlige midler;</w:t>
      </w:r>
    </w:p>
    <w:p w:rsidR="002E6F98" w:rsidRPr="005668DC" w:rsidRDefault="00CD168C" w:rsidP="00B712EA">
      <w:pPr>
        <w:pStyle w:val="NormalHanging12a"/>
      </w:pPr>
      <w:r w:rsidRPr="005668DC">
        <w:t>14.</w:t>
      </w:r>
      <w:r w:rsidRPr="005668DC">
        <w:tab/>
        <w:t>opfordrer endvidere indtrængende Kommissionen til i tilfælde, hvor det konstateres, at beskyttelsesniveauet for offentlige midler er blevet sænket, straks at samarbejde med den eller d</w:t>
      </w:r>
      <w:r w:rsidRPr="005668DC">
        <w:t>e berørte medlemsstater og anmode om en hurtig gennemførelse af de nødvendige foranstaltninger til at rette op på denne situation.</w:t>
      </w:r>
    </w:p>
    <w:p w:rsidR="001C6C04" w:rsidRPr="005668DC" w:rsidRDefault="001C6C04" w:rsidP="00B712EA">
      <w:pPr>
        <w:pStyle w:val="NormalHanging12a"/>
      </w:pPr>
      <w:bookmarkStart w:id="0" w:name="_GoBack"/>
      <w:bookmarkEnd w:id="0"/>
    </w:p>
    <w:sectPr w:rsidR="001C6C04" w:rsidRPr="005668DC" w:rsidSect="005668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5668DC" w:rsidRDefault="00CD168C">
      <w:r w:rsidRPr="005668DC">
        <w:separator/>
      </w:r>
    </w:p>
  </w:endnote>
  <w:endnote w:type="continuationSeparator" w:id="0">
    <w:p w:rsidR="00000000" w:rsidRPr="005668DC" w:rsidRDefault="00CD168C">
      <w:r w:rsidRPr="005668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8DC" w:rsidRPr="005668DC" w:rsidRDefault="005668DC" w:rsidP="005668DC">
    <w:pPr>
      <w:pStyle w:val="EPFooter"/>
    </w:pPr>
    <w:r w:rsidRPr="005668DC">
      <w:t>PE</w:t>
    </w:r>
    <w:r w:rsidRPr="005668DC">
      <w:rPr>
        <w:rStyle w:val="HideTWBExt"/>
      </w:rPr>
      <w:t>&lt;NoPE&gt;</w:t>
    </w:r>
    <w:r w:rsidRPr="005668DC">
      <w:t>754.755</w:t>
    </w:r>
    <w:r w:rsidRPr="005668DC">
      <w:rPr>
        <w:rStyle w:val="HideTWBExt"/>
      </w:rPr>
      <w:t>&lt;/NoPE&gt;&lt;Version&gt;</w:t>
    </w:r>
    <w:r w:rsidRPr="005668DC">
      <w:t>v01-00</w:t>
    </w:r>
    <w:r w:rsidRPr="005668DC">
      <w:rPr>
        <w:rStyle w:val="HideTWBExt"/>
      </w:rPr>
      <w:t>&lt;/Version&gt;</w:t>
    </w:r>
    <w:r w:rsidRPr="005668DC">
      <w:tab/>
    </w:r>
    <w:r w:rsidRPr="005668DC">
      <w:fldChar w:fldCharType="begin"/>
    </w:r>
    <w:r w:rsidRPr="005668DC">
      <w:instrText xml:space="preserve"> PAGE  \* MERGEFORMAT </w:instrText>
    </w:r>
    <w:r w:rsidRPr="005668DC">
      <w:fldChar w:fldCharType="separate"/>
    </w:r>
    <w:r w:rsidR="00CD168C">
      <w:rPr>
        <w:noProof/>
      </w:rPr>
      <w:t>6</w:t>
    </w:r>
    <w:r w:rsidRPr="005668DC">
      <w:fldChar w:fldCharType="end"/>
    </w:r>
    <w:r w:rsidRPr="005668DC">
      <w:t>/</w:t>
    </w:r>
    <w:fldSimple w:instr=" NUMPAGES  \* MERGEFORMAT ">
      <w:r w:rsidR="00CD168C">
        <w:rPr>
          <w:noProof/>
        </w:rPr>
        <w:t>6</w:t>
      </w:r>
    </w:fldSimple>
    <w:r w:rsidRPr="005668DC">
      <w:tab/>
    </w:r>
    <w:r w:rsidRPr="005668DC">
      <w:rPr>
        <w:rStyle w:val="HideTWBExt"/>
      </w:rPr>
      <w:t>&lt;PathFdR&gt;</w:t>
    </w:r>
    <w:r w:rsidRPr="005668DC">
      <w:t>PA\1288100DA.docx</w:t>
    </w:r>
    <w:r w:rsidRPr="005668DC">
      <w:rPr>
        <w:rStyle w:val="HideTWBExt"/>
      </w:rPr>
      <w:t>&lt;/PathFdR&gt;</w:t>
    </w:r>
  </w:p>
  <w:p w:rsidR="002E2F2E" w:rsidRPr="005668DC" w:rsidRDefault="005668DC" w:rsidP="005668DC">
    <w:pPr>
      <w:pStyle w:val="EPFooter2"/>
    </w:pPr>
    <w:r w:rsidRPr="005668DC">
      <w:t>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8DC" w:rsidRPr="005668DC" w:rsidRDefault="005668DC" w:rsidP="005668DC">
    <w:pPr>
      <w:pStyle w:val="EPFooter"/>
    </w:pPr>
    <w:r w:rsidRPr="005668DC">
      <w:rPr>
        <w:rStyle w:val="HideTWBExt"/>
      </w:rPr>
      <w:t>&lt;PathFdR&gt;</w:t>
    </w:r>
    <w:r w:rsidRPr="005668DC">
      <w:t>PA\1288100DA.docx</w:t>
    </w:r>
    <w:r w:rsidRPr="005668DC">
      <w:rPr>
        <w:rStyle w:val="HideTWBExt"/>
      </w:rPr>
      <w:t>&lt;/PathFdR&gt;</w:t>
    </w:r>
    <w:r w:rsidRPr="005668DC">
      <w:tab/>
    </w:r>
    <w:r w:rsidRPr="005668DC">
      <w:fldChar w:fldCharType="begin"/>
    </w:r>
    <w:r w:rsidRPr="005668DC">
      <w:instrText xml:space="preserve"> PAGE  \* MERGEFORMAT </w:instrText>
    </w:r>
    <w:r w:rsidRPr="005668DC">
      <w:fldChar w:fldCharType="separate"/>
    </w:r>
    <w:r w:rsidR="00CD168C">
      <w:rPr>
        <w:noProof/>
      </w:rPr>
      <w:t>5</w:t>
    </w:r>
    <w:r w:rsidRPr="005668DC">
      <w:fldChar w:fldCharType="end"/>
    </w:r>
    <w:r w:rsidRPr="005668DC">
      <w:t>/</w:t>
    </w:r>
    <w:fldSimple w:instr=" NUMPAGES  \* MERGEFORMAT ">
      <w:r w:rsidR="00CD168C">
        <w:rPr>
          <w:noProof/>
        </w:rPr>
        <w:t>6</w:t>
      </w:r>
    </w:fldSimple>
    <w:r w:rsidRPr="005668DC">
      <w:tab/>
      <w:t>PE</w:t>
    </w:r>
    <w:r w:rsidRPr="005668DC">
      <w:rPr>
        <w:rStyle w:val="HideTWBExt"/>
      </w:rPr>
      <w:t>&lt;NoPE&gt;</w:t>
    </w:r>
    <w:r w:rsidRPr="005668DC">
      <w:t>754.755</w:t>
    </w:r>
    <w:r w:rsidRPr="005668DC">
      <w:rPr>
        <w:rStyle w:val="HideTWBExt"/>
      </w:rPr>
      <w:t>&lt;/NoPE&gt;&lt;Version&gt;</w:t>
    </w:r>
    <w:r w:rsidRPr="005668DC">
      <w:t>v01-00</w:t>
    </w:r>
    <w:r w:rsidRPr="005668DC">
      <w:rPr>
        <w:rStyle w:val="HideTWBExt"/>
      </w:rPr>
      <w:t>&lt;/Version&gt;</w:t>
    </w:r>
  </w:p>
  <w:p w:rsidR="002E2F2E" w:rsidRPr="005668DC" w:rsidRDefault="005668DC" w:rsidP="005668DC">
    <w:pPr>
      <w:pStyle w:val="EPFooter2"/>
    </w:pPr>
    <w:r w:rsidRPr="005668DC">
      <w:tab/>
    </w:r>
    <w:r w:rsidRPr="005668DC">
      <w:tab/>
      <w:t>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8DC" w:rsidRPr="005668DC" w:rsidRDefault="005668DC" w:rsidP="005668DC">
    <w:pPr>
      <w:pStyle w:val="EPFooter"/>
    </w:pPr>
    <w:r w:rsidRPr="005668DC">
      <w:rPr>
        <w:rStyle w:val="HideTWBExt"/>
      </w:rPr>
      <w:t>&lt;PathFdR&gt;</w:t>
    </w:r>
    <w:r w:rsidRPr="005668DC">
      <w:t>PA\1288100DA.docx</w:t>
    </w:r>
    <w:r w:rsidRPr="005668DC">
      <w:rPr>
        <w:rStyle w:val="HideTWBExt"/>
      </w:rPr>
      <w:t>&lt;/PathFdR&gt;</w:t>
    </w:r>
    <w:r w:rsidRPr="005668DC">
      <w:tab/>
    </w:r>
    <w:r w:rsidRPr="005668DC">
      <w:tab/>
      <w:t>PE</w:t>
    </w:r>
    <w:r w:rsidRPr="005668DC">
      <w:rPr>
        <w:rStyle w:val="HideTWBExt"/>
      </w:rPr>
      <w:t>&lt;NoPE&gt;</w:t>
    </w:r>
    <w:r w:rsidRPr="005668DC">
      <w:t>754.755</w:t>
    </w:r>
    <w:r w:rsidRPr="005668DC">
      <w:rPr>
        <w:rStyle w:val="HideTWBExt"/>
      </w:rPr>
      <w:t>&lt;/NoPE&gt;&lt;Version&gt;</w:t>
    </w:r>
    <w:r w:rsidRPr="005668DC">
      <w:t>v01-00</w:t>
    </w:r>
    <w:r w:rsidRPr="005668DC">
      <w:rPr>
        <w:rStyle w:val="HideTWBExt"/>
      </w:rPr>
      <w:t>&lt;/Version&gt;</w:t>
    </w:r>
  </w:p>
  <w:p w:rsidR="002E2F2E" w:rsidRPr="005668DC" w:rsidRDefault="005668DC" w:rsidP="005668DC">
    <w:pPr>
      <w:pStyle w:val="EPFooter2"/>
    </w:pPr>
    <w:r w:rsidRPr="005668DC">
      <w:t>DA</w:t>
    </w:r>
    <w:r w:rsidRPr="005668DC">
      <w:tab/>
    </w:r>
    <w:r w:rsidRPr="005668DC">
      <w:rPr>
        <w:b w:val="0"/>
        <w:i/>
        <w:color w:val="C0C0C0"/>
        <w:sz w:val="22"/>
      </w:rPr>
      <w:t>Forenet i mangfoldighed</w:t>
    </w:r>
    <w:r w:rsidRPr="005668DC">
      <w:tab/>
      <w:t>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57D" w:rsidRPr="005668DC" w:rsidRDefault="00CD168C">
      <w:r w:rsidRPr="005668DC">
        <w:separator/>
      </w:r>
    </w:p>
  </w:footnote>
  <w:footnote w:type="continuationSeparator" w:id="0">
    <w:p w:rsidR="0007657D" w:rsidRPr="005668DC" w:rsidRDefault="00CD168C">
      <w:r w:rsidRPr="005668DC">
        <w:continuationSeparator/>
      </w:r>
    </w:p>
  </w:footnote>
  <w:footnote w:id="1">
    <w:p w:rsidR="00B712EA" w:rsidRPr="005668DC" w:rsidRDefault="00CD168C" w:rsidP="00CD168C">
      <w:pPr>
        <w:pStyle w:val="FootnoteText"/>
      </w:pPr>
      <w:r w:rsidRPr="005668DC">
        <w:rPr>
          <w:rStyle w:val="FootnoteReference"/>
        </w:rPr>
        <w:footnoteRef/>
      </w:r>
      <w:r w:rsidRPr="005668DC">
        <w:t xml:space="preserve"> Se udtalelse 2/2013 fra Den Europæiske Unions Domstol (plenum) af 18. december 2014, ECLI:EU:C:2014:2454, præmis 168.</w:t>
      </w:r>
    </w:p>
  </w:footnote>
  <w:footnote w:id="2">
    <w:p w:rsidR="00B712EA" w:rsidRPr="005668DC" w:rsidRDefault="00CD168C" w:rsidP="00CD168C">
      <w:pPr>
        <w:pStyle w:val="FootnoteText"/>
      </w:pPr>
      <w:r w:rsidRPr="005668DC">
        <w:rPr>
          <w:rStyle w:val="FootnoteReference"/>
        </w:rPr>
        <w:footnoteRef/>
      </w:r>
      <w:r w:rsidRPr="005668DC">
        <w:t xml:space="preserve"> Ibid., præmis 191.</w:t>
      </w:r>
    </w:p>
  </w:footnote>
  <w:footnote w:id="3">
    <w:p w:rsidR="00B712EA" w:rsidRPr="005668DC" w:rsidRDefault="00CD168C" w:rsidP="00CD168C">
      <w:pPr>
        <w:pStyle w:val="FootnoteText"/>
      </w:pPr>
      <w:r w:rsidRPr="005668DC">
        <w:rPr>
          <w:rStyle w:val="FootnoteReference"/>
        </w:rPr>
        <w:footnoteRef/>
      </w:r>
      <w:r w:rsidRPr="005668DC">
        <w:t xml:space="preserve"> CEPEJ's evalueringscyklusser.</w:t>
      </w:r>
    </w:p>
  </w:footnote>
  <w:footnote w:id="4">
    <w:p w:rsidR="00B712EA" w:rsidRPr="005668DC" w:rsidRDefault="00CD168C" w:rsidP="00CD168C">
      <w:pPr>
        <w:pStyle w:val="FootnoteText"/>
      </w:pPr>
      <w:r w:rsidRPr="005668DC">
        <w:rPr>
          <w:rStyle w:val="FootnoteReference"/>
        </w:rPr>
        <w:footnoteRef/>
      </w:r>
      <w:r w:rsidRPr="005668DC">
        <w:t xml:space="preserve"> Briefing — "Council of Europe standards on judicial independence", Europa-Parlamentet, Generaldirektoratet for Parlamentarisk Forskning, 25. maj 2021.</w:t>
      </w:r>
    </w:p>
  </w:footnote>
  <w:footnote w:id="5">
    <w:p w:rsidR="00B712EA" w:rsidRPr="005668DC" w:rsidRDefault="00CD168C" w:rsidP="00CD168C">
      <w:pPr>
        <w:pStyle w:val="FootnoteText"/>
      </w:pPr>
      <w:r w:rsidRPr="005668DC">
        <w:rPr>
          <w:rStyle w:val="FootnoteReference"/>
        </w:rPr>
        <w:footnoteRef/>
      </w:r>
      <w:r w:rsidRPr="005668DC">
        <w:t xml:space="preserve"> F.eks. Domstolens dom (Store Afdeling) af 27. februar 2018 i sag C-64/</w:t>
      </w:r>
      <w:r w:rsidRPr="005668DC">
        <w:t xml:space="preserve">16, Associação Sindical dos Juízes Portugueses mod Tribunal de Contas, ECLI:EU:C:2018:117, eller Domstolens dom (Store Afdeling) af 19. november 2019, A.K. mod Krajowa Rada Sądownictwa, forenede sager C-585/18, C-624/18 og C-625/18, ECLI:EU:C:2019:982. Se </w:t>
      </w:r>
      <w:r w:rsidRPr="005668DC">
        <w:t>også Briefing — "European Court of Justice case law on judicial independence", Europa-Parlamentet, Generaldirektoratet for Parlamentarisk Forskning, 19. juli 2021.</w:t>
      </w:r>
    </w:p>
  </w:footnote>
  <w:footnote w:id="6">
    <w:p w:rsidR="00B712EA" w:rsidRPr="005668DC" w:rsidRDefault="00CD168C" w:rsidP="00CD168C">
      <w:pPr>
        <w:pStyle w:val="FootnoteText"/>
      </w:pPr>
      <w:r w:rsidRPr="005668DC">
        <w:rPr>
          <w:rStyle w:val="FootnoteReference"/>
        </w:rPr>
        <w:footnoteRef/>
      </w:r>
      <w:r w:rsidRPr="005668DC">
        <w:t xml:space="preserve"> Europa-Parlamentets og Rådets forordning (EU, Euratom) 2020/2092 af 16. december 2020 om e</w:t>
      </w:r>
      <w:r w:rsidRPr="005668DC">
        <w:t>n generel ordning med konditionalitet til beskyttelse af Unionens budget (EUT L 433I af 22.12.2020, s. 1).</w:t>
      </w:r>
    </w:p>
  </w:footnote>
  <w:footnote w:id="7">
    <w:p w:rsidR="00B712EA" w:rsidRPr="005668DC" w:rsidRDefault="00CD168C" w:rsidP="00CD168C">
      <w:pPr>
        <w:pStyle w:val="FootnoteText"/>
      </w:pPr>
      <w:r w:rsidRPr="005668DC">
        <w:rPr>
          <w:rStyle w:val="FootnoteReference"/>
        </w:rPr>
        <w:footnoteRef/>
      </w:r>
      <w:r w:rsidRPr="005668DC">
        <w:t xml:space="preserve"> Se Domstolens dom (plenum) af 16. februar 2022, Ungarn mod Europa-Parlamentet og Rådet for Den Europæiske Union, C-156/21, ECLI:EU:C:2022:97, og Do</w:t>
      </w:r>
      <w:r w:rsidRPr="005668DC">
        <w:t>mstolens dom (plenum) af 16. februar 2022, Polen mod Europa-Parlamentet og Rådet for Den Europæiske Union, C-157/21, ECLI:EU:C:2022:98.</w:t>
      </w:r>
    </w:p>
  </w:footnote>
  <w:footnote w:id="8">
    <w:p w:rsidR="00B712EA" w:rsidRPr="005668DC" w:rsidRDefault="00CD168C" w:rsidP="00CD168C">
      <w:pPr>
        <w:pStyle w:val="FootnoteText"/>
      </w:pPr>
      <w:r w:rsidRPr="005668DC">
        <w:rPr>
          <w:rStyle w:val="FootnoteReference"/>
        </w:rPr>
        <w:footnoteRef/>
      </w:r>
      <w:r w:rsidRPr="005668DC">
        <w:t xml:space="preserve"> Europa-Parlamentets og Rådets forordning (EU)</w:t>
      </w:r>
      <w:r w:rsidRPr="005668DC">
        <w:rPr>
          <w:b/>
          <w:bCs/>
        </w:rPr>
        <w:t xml:space="preserve"> </w:t>
      </w:r>
      <w:r w:rsidRPr="005668DC">
        <w:t>2021/241 af 12. februar 2021 om oprettelse af genopretnings- og resilien</w:t>
      </w:r>
      <w:r w:rsidRPr="005668DC">
        <w:t>sfaciliteten (EUT L 57 af 18.2.2021, s. 17).</w:t>
      </w:r>
    </w:p>
  </w:footnote>
  <w:footnote w:id="9">
    <w:p w:rsidR="00B712EA" w:rsidRPr="005668DC" w:rsidRDefault="00CD168C" w:rsidP="00CD168C">
      <w:pPr>
        <w:pStyle w:val="FootnoteText"/>
      </w:pPr>
      <w:r w:rsidRPr="005668DC">
        <w:rPr>
          <w:rStyle w:val="FootnoteReference"/>
        </w:rPr>
        <w:footnoteRef/>
      </w:r>
      <w:r w:rsidRPr="005668DC">
        <w:t xml:space="preserve"> EFT L 26 af 31.1.2003, s. 41, og den tilhørende berigtigelse (EUT L 32 af 7.2.2003, s. 15).</w:t>
      </w:r>
    </w:p>
  </w:footnote>
  <w:footnote w:id="10">
    <w:p w:rsidR="00B712EA" w:rsidRPr="005668DC" w:rsidRDefault="00CD168C" w:rsidP="00CD168C">
      <w:pPr>
        <w:pStyle w:val="FootnoteText"/>
      </w:pPr>
      <w:r w:rsidRPr="005668DC">
        <w:rPr>
          <w:rStyle w:val="FootnoteReference"/>
        </w:rPr>
        <w:footnoteRef/>
      </w:r>
      <w:r w:rsidRPr="005668DC">
        <w:t xml:space="preserve"> F.eks. udtalelse nr. 9 af 17. december 2014 fra Europarådets rådgivende anklagekomité om "European norms and princi</w:t>
      </w:r>
      <w:r w:rsidRPr="005668DC">
        <w:t>ples concerning prosecutors" (europæiske normer og principper vedrørende anklagere)</w:t>
      </w:r>
    </w:p>
  </w:footnote>
  <w:footnote w:id="11">
    <w:p w:rsidR="00B712EA" w:rsidRPr="005668DC" w:rsidRDefault="00CD168C" w:rsidP="00CD168C">
      <w:pPr>
        <w:pStyle w:val="FootnoteText"/>
      </w:pPr>
      <w:r w:rsidRPr="005668DC">
        <w:rPr>
          <w:rStyle w:val="FootnoteReference"/>
        </w:rPr>
        <w:footnoteRef/>
      </w:r>
      <w:r w:rsidRPr="005668DC">
        <w:t xml:space="preserve"> Se i denne forbindelse artikel 3 i forslaget til Europa-Parlamentets og Rådets direktiv af 3. maj 2023 om bekæmpelse af korruption, om erstatning af Rådets rammeafgørelse 2003/568/RIA og konventionen om bekæmpelse af bestikkelse, der involverer tjenestemæ</w:t>
      </w:r>
      <w:r w:rsidRPr="005668DC">
        <w:t>nd ved De Europæiske Fællesskaber eller i Den Europæiske Unions medlemsstater, og om ændring af Europa-Parlamentets og Rådets direktiv (EU) 2017/1371 (COM(2023)0234).</w:t>
      </w:r>
    </w:p>
  </w:footnote>
  <w:footnote w:id="12">
    <w:p w:rsidR="00B730E0" w:rsidRPr="005668DC" w:rsidRDefault="00CD168C" w:rsidP="00CD168C">
      <w:pPr>
        <w:pStyle w:val="FootnoteText"/>
      </w:pPr>
      <w:r w:rsidRPr="005668DC">
        <w:rPr>
          <w:rStyle w:val="FootnoteReference"/>
        </w:rPr>
        <w:footnoteRef/>
      </w:r>
      <w:r w:rsidRPr="005668DC">
        <w:t xml:space="preserve"> Europa-Parlamentets og Rådets forordning (EF) nr. 1049/2001 af 30. maj 2001 om aktindsi</w:t>
      </w:r>
      <w:r w:rsidRPr="005668DC">
        <w:t>gt i Europa-Parlamentets, Rådets og Kommissionens dokumenter (EFT L 145 af 31.5.2001, s. 43).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68C" w:rsidRDefault="00CD16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68C" w:rsidRDefault="00CD16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68C" w:rsidRDefault="00CD16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INIMNU" w:val=" 1"/>
    <w:docVar w:name="CJMNU" w:val="1"/>
    <w:docVar w:name="CODEMNU" w:val=" 1"/>
    <w:docVar w:name="COM2KEY" w:val="LIBE"/>
    <w:docVar w:name="COMKEY" w:val="JURI"/>
    <w:docVar w:name="DOCREFINIMNU" w:val=" 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2\fbidi \froman\fcharset238\fprq2 Times New Roman CE;}{\f333\fbidi \froman\fcharset204\fprq2 Times New Roman Cyr;}_x000d__x000a_{\f335\fbidi \froman\fcharset161\fprq2 Times New Roman Greek;}{\f336\fbidi \froman\fcharset162\fprq2 Times New Roman Tur;}{\f337\fbidi \froman\fcharset177\fprq2 Times New Roman (Hebrew);}{\f338\fbidi \froman\fcharset178\fprq2 Times New Roman (Arabic);}_x000d__x000a_{\f339\fbidi \froman\fcharset186\fprq2 Times New Roman Baltic;}{\f340\fbidi \froman\fcharset163\fprq2 Times New Roman (Vietnamese);}{\f342\fbidi \fswiss\fcharset238\fprq2 Arial CE;}{\f343\fbidi \fswiss\fcharset204\fprq2 Arial Cyr;}_x000d__x000a_{\f345\fbidi \fswiss\fcharset161\fprq2 Arial Greek;}{\f346\fbidi \fswiss\fcharset162\fprq2 Arial Tur;}{\f347\fbidi \fswiss\fcharset177\fprq2 Arial (Hebrew);}{\f348\fbidi \fswiss\fcharset178\fprq2 Arial (Arabic);}_x000d__x000a_{\f349\fbidi \fswiss\fcharset186\fprq2 Arial Baltic;}{\f350\fbidi \fswiss\fcharset163\fprq2 Arial (Vietnamese);}{\f672\fbidi \froman\fcharset238\fprq2 Cambria Math CE;}{\f673\fbidi \froman\fcharset204\fprq2 Cambria Math Cyr;}_x000d__x000a_{\f675\fbidi \froman\fcharset161\fprq2 Cambria Math Greek;}{\f676\fbidi \froman\fcharset162\fprq2 Cambria Math Tur;}{\f679\fbidi \froman\fcharset186\fprq2 Cambria Math Baltic;}{\f68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3103265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3103265 NormalHanging12a;}}{\*\rsidtbl \rsid24658\rsid223860\rsid735077\rsid1718133\rsid2892074\rsid3103265\rsid3565327\rsid4666813\rsid6641733\rsid7823322\rsid8852725\rsid9636012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PALCAU Mihaela}{\operator PALCAU Mihaela}{\creatim\yr2023\mo10\dy13\hr14\min20}{\revtim\yr2023\mo10\dy13\hr14\min20}{\version1}{\edmins0}{\nofpages1}{\nofwords1}{\nofchars12}{\nofcharsws12}{\vern109}}{\*\xmlnstbl {\xmlns1 http://schemas.microsoft_x000d__x000a_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310326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palcau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85272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85272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85272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85272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3103265 \rtlch\fcs1 \af0\afs20\alang1025 \ltrch\fcs0 \fs24\lang2057\langfe2057\cgrid\langnp2057\langfenp2057 {\rtlch\fcs1 \af0 _x000d__x000a_\ltrch\fcs0 \insrsid3103265\charrsid7021133 {\*\bkmkstart restart}#}{\rtlch\fcs1 \af1 \ltrch\fcs0 \cs17\v\f1\fs20\cf15\insrsid3103265\charrsid7021133 NRMSG}{\rtlch\fcs1 \af0 \ltrch\fcs0 \insrsid3103265\charrsid7021133 #.\tab ##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6_x000d__x000a_29accff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_x000d__x000a_{\flomajor\f31500\fbidi \froman\fcharset0\fprq2{\*\panose 02020603050405020304}Times New Roman;}{\fdbmajor\f31501\fbidi \froman\fcharset0\fprq2{\*\panose 02020603050405020304}Times New Roman;}_x000d__x000a_{\fhimajor\f31502\fbidi \fswiss\fcharset0\fprq2{\*\panose 020f0302020204030204}Calibri Light;}{\fbimajor\f31503\fbidi \froman\fcharset0\fprq2{\*\panose 02020603050405020304}Times New Roman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roman\fcharset0\fprq2{\*\panose 02020603050405020304}Times New Roman;}{\f276\fbidi \froman\fcharset238\fprq2 Times New Roman CE;}_x000d__x000a_{\f277\fbidi \froman\fcharset204\fprq2 Times New Roman Cyr;}{\f279\fbidi \froman\fcharset161\fprq2 Times New Roman Greek;}{\f280\fbidi \froman\fcharset162\fprq2 Times New Roman Tur;}{\f281\fbidi \froman\fcharset177\fprq2 Times New Roman (Hebrew);}_x000d__x000a_{\f282\fbidi \froman\fcharset178\fprq2 Times New Roman (Arabic);}{\f283\fbidi \froman\fcharset186\fprq2 Times New Roman Baltic;}{\f284\fbidi \froman\fcharset163\fprq2 Times New Roman (Vietnamese);}{\f616\fbidi \froman\fcharset238\fprq2 Cambria Math CE;}_x000d__x000a_{\f617\fbidi \froman\fcharset204\fprq2 Cambria Math Cyr;}{\f619\fbidi \froman\fcharset161\fprq2 Cambria Math Greek;}{\f620\fbidi \froman\fcharset162\fprq2 Cambria Math Tur;}{\f623\fbidi \froman\fcharset186\fprq2 Cambria Math Baltic;}_x000d__x000a_{\f624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78\fbidi \froman\fcharset238\fprq2 Times New Roman CE;}{\fbiminor\f31579\fbidi \froman\fcharset204\fprq2 Times New Roman Cyr;}{\fbiminor\f31581\fbidi \froman\fcharset161\fprq2 Times New Roman Greek;}_x000d__x000a_{\fbiminor\f31582\fbidi \froman\fcharset162\fprq2 Times New Roman Tur;}{\fbiminor\f31583\fbidi \froman\fcharset177\fprq2 Times New Roman (Hebrew);}{\fbiminor\f31584\fbidi \froman\fcharset178\fprq2 Times New Roman (Arabic);}_x000d__x000a_{\fbiminor\f31585\fbidi \froman\fcharset186\fprq2 Times New Roman Baltic;}{\fbiminor\f31586\fbidi \froman\fcharset163\fprq2 Times New Roman (Vietnamese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}{\*\defchp }{\*\defpap \ql \li0\ri0\widctlpar\wrapdefault\aspalpha\aspnum\faauto\adjustright\rin0\lin0\itap0 }\noqfpromote {\stylesheet{\ql \li0\ri0\widctlpar\wrapdefault\aspalpha\aspnum\faauto\adjustright\rin0\lin0\itap0 _x000d__x000a_\rtlch\fcs1 \af0\afs20\alang1025 \ltrch\fcs0 \fs24\lang2057\langfe2057\cgrid\langnp2057\langfenp2057 \snext0 \sqformat \spriority0 Normal;}{\*\cs10 \additive \ssemihidden \spriority0 Default Paragraph Font;}{\*_x000d__x000a_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_x000d__x000a_\s15\ql \fi-567\li567\ri0\sa240\nowidctlpar\wrapdefault\aspalpha\aspnum\faauto\adjustright\rin0\lin567\itap0 \rtlch\fcs1 \af0\afs20\alang1025 \ltrch\fcs0 \fs24\lang2057\langfe2057\cgrid\langnp2057\langfenp2057 _x000d__x000a_\sbasedon0 \snext15 \spriority0 \styrsid2039872 NormalHanging12a;}}{\*\rsidtbl \rsid24658\rsid358857\rsid735077\rsid787282\rsid2039872\rsid2892074\rsid3622648\rsid4666813\rsid5708216\rsid6641733\rsid7368735\rsid7553164\rsid8465581\rsid8681905\rsid8724649_x000d__x000a_\rsid9636012\rsid9862312\rsid11215221\rsid11370291\rsid11434737\rsid11607138\rsid11824949\rsid12154954\rsid14424199\rsid15204470\rsid15285974\rsid15535219\rsid15950462\rsid16324206\rsid16662270}{\mmathPr\mmathFont34\mbrkBin0\mbrkBinSub0\msmallFrac0_x000d__x000a_\mdispDef1\mlMargin0\mrMargin0\mdefJc1\mwrapIndent1440\mintLim0\mnaryLim1}{\info{\author FELIX Karina}{\operator FELIX Karina}{\creatim\yr2019\mo7\dy4\hr16\min16}{\revtim\yr2019\mo7\dy4\hr16\min16}{\version1}{\edmins0}{\nofpages1}{\nofwords5}{\nofchars30}_x000d__x000a_{\*\company European Parliament}{\nofcharsws34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2039872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73687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3687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3687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3687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5\ql \fi-567\li567\ri0\sa240\nowidctlpar\wrapdefault\aspalpha\aspnum\faauto\adjustright\rin0\lin567\itap0\pararsid2039872 \rtlch\fcs1 \af0\afs20\alang1025 \ltrch\fcs0 \fs24\lang2057\langfe2057\cgrid\langnp2057\langfenp2057 {\rtlch\fcs1 \af0 _x000d__x000a_\ltrch\fcs0 \insrsid2039872\charrsid1525456 {\*\bkmkstart restart}[ZSUGGESTIONNR]\tab [ZSUGGESTIONTEXT]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0_x000d__x000a_f70c73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88"/>
    <w:docVar w:name="TITLEMNU" w:val=" 1"/>
    <w:docVar w:name="TXTLANGUE" w:val="DA"/>
    <w:docVar w:name="TXTLANGUEMIN" w:val="da"/>
    <w:docVar w:name="TXTNRPE" w:val="754.755"/>
    <w:docVar w:name="TXTNRPROC" w:val="2023/2113"/>
    <w:docVar w:name="TXTPEorAP" w:val="PE"/>
    <w:docVar w:name="TXTROUTE" w:val="PA\1288100DA.docx"/>
    <w:docVar w:name="TXTTITLE" w:val="xxx"/>
    <w:docVar w:name="TXTVERSION" w:val="01-00"/>
  </w:docVars>
  <w:rsids>
    <w:rsidRoot w:val="0007657D"/>
    <w:rsid w:val="0007657D"/>
    <w:rsid w:val="000800B3"/>
    <w:rsid w:val="000E7EBF"/>
    <w:rsid w:val="0011784F"/>
    <w:rsid w:val="00124F60"/>
    <w:rsid w:val="00135121"/>
    <w:rsid w:val="00140BE6"/>
    <w:rsid w:val="00147F4E"/>
    <w:rsid w:val="0016635E"/>
    <w:rsid w:val="001746D0"/>
    <w:rsid w:val="001B7393"/>
    <w:rsid w:val="001C6C04"/>
    <w:rsid w:val="001D2ED9"/>
    <w:rsid w:val="001F21C1"/>
    <w:rsid w:val="00283435"/>
    <w:rsid w:val="002B6C3C"/>
    <w:rsid w:val="002D28A7"/>
    <w:rsid w:val="002E2F2E"/>
    <w:rsid w:val="002E6F98"/>
    <w:rsid w:val="00325BCB"/>
    <w:rsid w:val="00331944"/>
    <w:rsid w:val="00332AD9"/>
    <w:rsid w:val="00347D2C"/>
    <w:rsid w:val="0037356F"/>
    <w:rsid w:val="00390EB2"/>
    <w:rsid w:val="00396A0E"/>
    <w:rsid w:val="003E2402"/>
    <w:rsid w:val="00440DC6"/>
    <w:rsid w:val="004764CF"/>
    <w:rsid w:val="004B1EAD"/>
    <w:rsid w:val="004C28FB"/>
    <w:rsid w:val="004C44C0"/>
    <w:rsid w:val="004F5F73"/>
    <w:rsid w:val="0052544E"/>
    <w:rsid w:val="005668DC"/>
    <w:rsid w:val="005940C3"/>
    <w:rsid w:val="00594C48"/>
    <w:rsid w:val="005B2F11"/>
    <w:rsid w:val="005C0BDF"/>
    <w:rsid w:val="005D60C6"/>
    <w:rsid w:val="006102E7"/>
    <w:rsid w:val="006116EA"/>
    <w:rsid w:val="00640C1B"/>
    <w:rsid w:val="00657AFB"/>
    <w:rsid w:val="006D5BF7"/>
    <w:rsid w:val="008313E7"/>
    <w:rsid w:val="00854CAC"/>
    <w:rsid w:val="00885FB1"/>
    <w:rsid w:val="008A32C5"/>
    <w:rsid w:val="008C6203"/>
    <w:rsid w:val="008D61E7"/>
    <w:rsid w:val="008F7002"/>
    <w:rsid w:val="009173BB"/>
    <w:rsid w:val="0098190D"/>
    <w:rsid w:val="0099493F"/>
    <w:rsid w:val="00A16BEA"/>
    <w:rsid w:val="00A312B3"/>
    <w:rsid w:val="00A72C35"/>
    <w:rsid w:val="00A93D90"/>
    <w:rsid w:val="00AE180F"/>
    <w:rsid w:val="00B362F7"/>
    <w:rsid w:val="00B5456B"/>
    <w:rsid w:val="00B712EA"/>
    <w:rsid w:val="00B730E0"/>
    <w:rsid w:val="00B74B53"/>
    <w:rsid w:val="00BC26E4"/>
    <w:rsid w:val="00BD1EAA"/>
    <w:rsid w:val="00C52739"/>
    <w:rsid w:val="00C67F26"/>
    <w:rsid w:val="00C827FF"/>
    <w:rsid w:val="00C85D0F"/>
    <w:rsid w:val="00CD168C"/>
    <w:rsid w:val="00CD34AC"/>
    <w:rsid w:val="00D3500C"/>
    <w:rsid w:val="00DE19FF"/>
    <w:rsid w:val="00E81BA6"/>
    <w:rsid w:val="00E856D2"/>
    <w:rsid w:val="00E929A7"/>
    <w:rsid w:val="00EF1E40"/>
    <w:rsid w:val="00FB4670"/>
    <w:rsid w:val="00FC6460"/>
    <w:rsid w:val="00FD0D14"/>
    <w:rsid w:val="00FD4BC4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286E4-81AE-4324-88E1-9835149D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noteText">
    <w:name w:val="footnote text"/>
    <w:basedOn w:val="Normal"/>
    <w:link w:val="FootnoteTextChar"/>
    <w:unhideWhenUsed/>
    <w:rsid w:val="00B712E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B712EA"/>
  </w:style>
  <w:style w:type="character" w:styleId="FootnoteReference">
    <w:name w:val="footnote reference"/>
    <w:basedOn w:val="DefaultParagraphFont"/>
    <w:unhideWhenUsed/>
    <w:rsid w:val="00B712EA"/>
    <w:rPr>
      <w:vertAlign w:val="superscript"/>
    </w:rPr>
  </w:style>
  <w:style w:type="character" w:customStyle="1" w:styleId="BoldItalic">
    <w:name w:val="BoldItalic"/>
    <w:uiPriority w:val="1"/>
    <w:rsid w:val="00B712EA"/>
    <w:rPr>
      <w:b/>
      <w:bCs w:val="0"/>
      <w:i/>
      <w:iCs w:val="0"/>
      <w:strike w:val="0"/>
      <w:dstrike w:val="0"/>
      <w:u w:val="none"/>
      <w:effect w:val="none"/>
    </w:rPr>
  </w:style>
  <w:style w:type="paragraph" w:styleId="Footer">
    <w:name w:val="footer"/>
    <w:basedOn w:val="Normal"/>
    <w:link w:val="FooterChar"/>
    <w:semiHidden/>
    <w:rsid w:val="00B712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712EA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0800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00B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440DC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0DC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40DC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40D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40DC6"/>
    <w:rPr>
      <w:b/>
      <w:bCs/>
    </w:rPr>
  </w:style>
  <w:style w:type="paragraph" w:styleId="Revision">
    <w:name w:val="Revision"/>
    <w:hidden/>
    <w:uiPriority w:val="99"/>
    <w:semiHidden/>
    <w:rsid w:val="004B1EA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4940D3-4F4C-46C6-BEE5-605B5EF35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1269</Words>
  <Characters>8076</Characters>
  <Application>Microsoft Office Word</Application>
  <DocSecurity>0</DocSecurity>
  <Lines>135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2</cp:revision>
  <cp:lastPrinted>2023-10-16T10:47:00Z</cp:lastPrinted>
  <dcterms:created xsi:type="dcterms:W3CDTF">2023-10-26T12:49:00Z</dcterms:created>
  <dcterms:modified xsi:type="dcterms:W3CDTF">2023-10-26T12:49:00Z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1288100</vt:lpwstr>
  </property>
  <property fmtid="{D5CDD505-2E9C-101B-9397-08002B2CF9AE}" pid="4" name="&lt;Model&gt;">
    <vt:lpwstr>PA_NonLeg</vt:lpwstr>
  </property>
  <property fmtid="{D5CDD505-2E9C-101B-9397-08002B2CF9AE}" pid="5" name="&lt;ModelCod&gt;">
    <vt:lpwstr>\\eiciBRUpr1\pdocep$\DocEP\DOCS\General\PA\PA_NonLeg\PA_NonLeg.dotx(18/09/2023 11:25:02)</vt:lpwstr>
  </property>
  <property fmtid="{D5CDD505-2E9C-101B-9397-08002B2CF9AE}" pid="6" name="&lt;ModelTra&gt;">
    <vt:lpwstr>\\eiciBRUpr1\pdocep$\DocEP\TRANSFIL\EN\PA_NonLeg.EN(18/09/2023 11:08:01)</vt:lpwstr>
  </property>
  <property fmtid="{D5CDD505-2E9C-101B-9397-08002B2CF9AE}" pid="7" name="&lt;Type&gt;">
    <vt:lpwstr>PA</vt:lpwstr>
  </property>
  <property fmtid="{D5CDD505-2E9C-101B-9397-08002B2CF9AE}" pid="8" name="Bookout">
    <vt:lpwstr>OK - 2023/10/26 14:49</vt:lpwstr>
  </property>
  <property fmtid="{D5CDD505-2E9C-101B-9397-08002B2CF9AE}" pid="9" name="Created with">
    <vt:lpwstr>9.16.1 Build [20230915]</vt:lpwstr>
  </property>
  <property fmtid="{D5CDD505-2E9C-101B-9397-08002B2CF9AE}" pid="10" name="FooterPath">
    <vt:lpwstr>PA\1288100DA.docx</vt:lpwstr>
  </property>
  <property fmtid="{D5CDD505-2E9C-101B-9397-08002B2CF9AE}" pid="11" name="LastEdited with">
    <vt:lpwstr>9.16.1 Build [20230915]</vt:lpwstr>
  </property>
  <property fmtid="{D5CDD505-2E9C-101B-9397-08002B2CF9AE}" pid="12" name="PE number">
    <vt:lpwstr>754.755</vt:lpwstr>
  </property>
  <property fmtid="{D5CDD505-2E9C-101B-9397-08002B2CF9AE}" pid="13" name="SDLStudio">
    <vt:lpwstr/>
  </property>
  <property fmtid="{D5CDD505-2E9C-101B-9397-08002B2CF9AE}" pid="14" name="SendToEpades">
    <vt:lpwstr>OK - 2023/10/13 15:25</vt:lpwstr>
  </property>
</Properties>
</file>