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B335F7" w14:paraId="51876E0B" w14:textId="77777777" w:rsidTr="00C85D0F">
        <w:trPr>
          <w:trHeight w:hRule="exact" w:val="1418"/>
        </w:trPr>
        <w:tc>
          <w:tcPr>
            <w:tcW w:w="6804" w:type="dxa"/>
            <w:shd w:val="clear" w:color="auto" w:fill="auto"/>
            <w:vAlign w:val="center"/>
          </w:tcPr>
          <w:p w14:paraId="34E0683C" w14:textId="04764322" w:rsidR="00BA3E40" w:rsidRPr="00B335F7" w:rsidRDefault="00040EE9" w:rsidP="00C85D0F">
            <w:pPr>
              <w:pStyle w:val="EPName"/>
            </w:pPr>
            <w:r w:rsidRPr="00B335F7">
              <w:t>European Parliament</w:t>
            </w:r>
          </w:p>
          <w:p w14:paraId="200BA2EF" w14:textId="0D169167" w:rsidR="00BA3E40" w:rsidRPr="00B335F7" w:rsidRDefault="00A87657" w:rsidP="00C85D0F">
            <w:pPr>
              <w:pStyle w:val="EPTerm"/>
            </w:pPr>
            <w:r w:rsidRPr="00B335F7">
              <w:t>2024-2029</w:t>
            </w:r>
          </w:p>
        </w:tc>
        <w:tc>
          <w:tcPr>
            <w:tcW w:w="2268" w:type="dxa"/>
            <w:shd w:val="clear" w:color="auto" w:fill="auto"/>
          </w:tcPr>
          <w:p w14:paraId="79767C31" w14:textId="77777777" w:rsidR="00BA3E40" w:rsidRPr="00B335F7" w:rsidRDefault="00BA3E40" w:rsidP="00C85D0F">
            <w:pPr>
              <w:pStyle w:val="EPLogo"/>
            </w:pPr>
            <w:r w:rsidRPr="00B335F7">
              <w:rPr>
                <w:noProof/>
              </w:rPr>
              <w:drawing>
                <wp:inline distT="0" distB="0" distL="0" distR="0" wp14:anchorId="35308E01" wp14:editId="22C498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957AC8" w14:textId="77777777" w:rsidR="00F24D40" w:rsidRPr="00B335F7" w:rsidRDefault="00F24D40" w:rsidP="00F24D40">
      <w:pPr>
        <w:pStyle w:val="LineTop"/>
      </w:pPr>
    </w:p>
    <w:p w14:paraId="28941BE1" w14:textId="42D337DC" w:rsidR="00F24D40" w:rsidRPr="00B335F7" w:rsidRDefault="00F24D40" w:rsidP="00F24D40">
      <w:pPr>
        <w:pStyle w:val="EPBody"/>
      </w:pPr>
      <w:r w:rsidRPr="00B335F7">
        <w:rPr>
          <w:rStyle w:val="HideTWBExt"/>
        </w:rPr>
        <w:t>&lt;</w:t>
      </w:r>
      <w:r w:rsidRPr="00B335F7">
        <w:rPr>
          <w:rStyle w:val="HideTWBExt"/>
          <w:i w:val="0"/>
        </w:rPr>
        <w:t>Commission</w:t>
      </w:r>
      <w:r w:rsidRPr="00B335F7">
        <w:rPr>
          <w:rStyle w:val="HideTWBExt"/>
        </w:rPr>
        <w:t>&gt;</w:t>
      </w:r>
      <w:r w:rsidR="00A87657" w:rsidRPr="00B335F7">
        <w:rPr>
          <w:rStyle w:val="HideTWBInt"/>
        </w:rPr>
        <w:t>{JURI}</w:t>
      </w:r>
      <w:r w:rsidR="00A87657" w:rsidRPr="00B335F7">
        <w:t>Committee on Legal Affairs</w:t>
      </w:r>
      <w:r w:rsidRPr="00B335F7">
        <w:rPr>
          <w:rStyle w:val="HideTWBExt"/>
        </w:rPr>
        <w:t>&lt;/</w:t>
      </w:r>
      <w:r w:rsidRPr="00B335F7">
        <w:rPr>
          <w:rStyle w:val="HideTWBExt"/>
          <w:i w:val="0"/>
        </w:rPr>
        <w:t>Commission</w:t>
      </w:r>
      <w:r w:rsidRPr="00B335F7">
        <w:rPr>
          <w:rStyle w:val="HideTWBExt"/>
        </w:rPr>
        <w:t>&gt;</w:t>
      </w:r>
    </w:p>
    <w:p w14:paraId="54FE5CAE" w14:textId="77777777" w:rsidR="00F24D40" w:rsidRPr="00B335F7" w:rsidRDefault="00F24D40" w:rsidP="00F24D40">
      <w:pPr>
        <w:pStyle w:val="LineBottom"/>
      </w:pPr>
    </w:p>
    <w:p w14:paraId="3D36662A" w14:textId="0C1D0174" w:rsidR="00DB56E4" w:rsidRPr="00B335F7" w:rsidRDefault="00DB56E4" w:rsidP="00DB56E4">
      <w:pPr>
        <w:pStyle w:val="CoverReference"/>
      </w:pPr>
      <w:r w:rsidRPr="00B335F7">
        <w:rPr>
          <w:rStyle w:val="HideTWBExt"/>
          <w:b w:val="0"/>
        </w:rPr>
        <w:t>&lt;RefProc&gt;</w:t>
      </w:r>
      <w:r w:rsidR="00A87657" w:rsidRPr="00B335F7">
        <w:t>2025/0406</w:t>
      </w:r>
      <w:r w:rsidRPr="00B335F7">
        <w:rPr>
          <w:rStyle w:val="HideTWBExt"/>
          <w:b w:val="0"/>
        </w:rPr>
        <w:t>&lt;/RefProc&gt;&lt;RefTypeProc&gt;</w:t>
      </w:r>
      <w:r w:rsidR="00040EE9" w:rsidRPr="00B335F7">
        <w:t>(</w:t>
      </w:r>
      <w:r w:rsidR="00A87657" w:rsidRPr="00B335F7">
        <w:t>COD</w:t>
      </w:r>
      <w:r w:rsidR="00040EE9" w:rsidRPr="00B335F7">
        <w:t>)</w:t>
      </w:r>
      <w:r w:rsidRPr="00B335F7">
        <w:rPr>
          <w:rStyle w:val="HideTWBExt"/>
          <w:b w:val="0"/>
        </w:rPr>
        <w:t>&lt;/RefTypeProc&gt;</w:t>
      </w:r>
    </w:p>
    <w:p w14:paraId="6AFA22C3" w14:textId="6FDC042E" w:rsidR="00DB56E4" w:rsidRPr="00B335F7" w:rsidRDefault="00DB56E4" w:rsidP="00DB56E4">
      <w:pPr>
        <w:pStyle w:val="CoverDate"/>
        <w:rPr>
          <w:lang w:val="fr-BE"/>
        </w:rPr>
      </w:pPr>
      <w:r w:rsidRPr="00B335F7">
        <w:rPr>
          <w:rStyle w:val="HideTWBExt"/>
          <w:lang w:val="fr-BE"/>
        </w:rPr>
        <w:t>&lt;Date&gt;</w:t>
      </w:r>
      <w:r w:rsidR="00A87657" w:rsidRPr="00B335F7">
        <w:rPr>
          <w:rStyle w:val="HideTWBInt"/>
          <w:lang w:val="fr-BE"/>
        </w:rPr>
        <w:t>{08/06/2026}</w:t>
      </w:r>
      <w:r w:rsidR="00A87657" w:rsidRPr="00B335F7">
        <w:rPr>
          <w:lang w:val="fr-BE"/>
        </w:rPr>
        <w:t>8.6.2026</w:t>
      </w:r>
      <w:r w:rsidRPr="00B335F7">
        <w:rPr>
          <w:rStyle w:val="HideTWBExt"/>
          <w:lang w:val="fr-BE"/>
        </w:rPr>
        <w:t>&lt;/Date&gt;</w:t>
      </w:r>
    </w:p>
    <w:p w14:paraId="191473F3" w14:textId="494153D0" w:rsidR="00DB56E4" w:rsidRPr="00B335F7" w:rsidRDefault="00DB56E4" w:rsidP="00DB56E4">
      <w:pPr>
        <w:pStyle w:val="CoverDocType24a"/>
        <w:rPr>
          <w:lang w:val="fr-BE"/>
        </w:rPr>
      </w:pPr>
      <w:r w:rsidRPr="00B335F7">
        <w:rPr>
          <w:rStyle w:val="HideTWBExt"/>
          <w:b w:val="0"/>
          <w:lang w:val="fr-BE"/>
        </w:rPr>
        <w:t>&lt;TitreType&gt;</w:t>
      </w:r>
      <w:r w:rsidR="00040EE9" w:rsidRPr="00B335F7">
        <w:rPr>
          <w:lang w:val="fr-BE"/>
        </w:rPr>
        <w:t>DRAFT OPINION</w:t>
      </w:r>
      <w:r w:rsidRPr="00B335F7">
        <w:rPr>
          <w:rStyle w:val="HideTWBExt"/>
          <w:b w:val="0"/>
          <w:lang w:val="fr-BE"/>
        </w:rPr>
        <w:t>&lt;/TitreType&gt;</w:t>
      </w:r>
    </w:p>
    <w:p w14:paraId="40B0F457" w14:textId="239E9EA3" w:rsidR="00DB56E4" w:rsidRPr="00B335F7" w:rsidRDefault="00DB56E4" w:rsidP="00DB56E4">
      <w:pPr>
        <w:pStyle w:val="CoverNormal24a"/>
      </w:pPr>
      <w:r w:rsidRPr="00B335F7">
        <w:rPr>
          <w:rStyle w:val="HideTWBExt"/>
        </w:rPr>
        <w:t>&lt;CommissionResp&gt;</w:t>
      </w:r>
      <w:r w:rsidR="00040EE9" w:rsidRPr="00B335F7">
        <w:t xml:space="preserve">of the </w:t>
      </w:r>
      <w:r w:rsidR="00A87657" w:rsidRPr="00B335F7">
        <w:t>Committee on Legal Affairs</w:t>
      </w:r>
      <w:r w:rsidRPr="00B335F7">
        <w:rPr>
          <w:rStyle w:val="HideTWBExt"/>
        </w:rPr>
        <w:t>&lt;/CommissionResp&gt;</w:t>
      </w:r>
    </w:p>
    <w:p w14:paraId="5F9A76E2" w14:textId="70D5CBFA" w:rsidR="00DB56E4" w:rsidRPr="00B335F7" w:rsidRDefault="00DB56E4" w:rsidP="00DB56E4">
      <w:pPr>
        <w:pStyle w:val="CoverNormal24a"/>
      </w:pPr>
      <w:r w:rsidRPr="00B335F7">
        <w:rPr>
          <w:rStyle w:val="HideTWBExt"/>
        </w:rPr>
        <w:t>&lt;CommissionInt&gt;</w:t>
      </w:r>
      <w:r w:rsidR="00040EE9" w:rsidRPr="00B335F7">
        <w:t xml:space="preserve">for the </w:t>
      </w:r>
      <w:r w:rsidR="00A87657" w:rsidRPr="00B335F7">
        <w:t>Committee on Public Health and the Committee on Industry, Research and Energy</w:t>
      </w:r>
      <w:r w:rsidRPr="00B335F7">
        <w:rPr>
          <w:rStyle w:val="HideTWBExt"/>
        </w:rPr>
        <w:t>&lt;/CommissionInt&gt;</w:t>
      </w:r>
    </w:p>
    <w:p w14:paraId="43CFAEAB" w14:textId="1B94892E" w:rsidR="00DB56E4" w:rsidRPr="00B335F7" w:rsidRDefault="00DB56E4" w:rsidP="00DB56E4">
      <w:pPr>
        <w:pStyle w:val="CoverNormal"/>
      </w:pPr>
      <w:r w:rsidRPr="00B335F7">
        <w:rPr>
          <w:rStyle w:val="HideTWBExt"/>
        </w:rPr>
        <w:t>&lt;Titre&gt;</w:t>
      </w:r>
      <w:r w:rsidR="00A87657" w:rsidRPr="00B335F7">
        <w:t xml:space="preserve">on the proposal for a regulation of the European Parliament and of the Council </w:t>
      </w:r>
      <w:r w:rsidR="005C099B" w:rsidRPr="00B335F7">
        <w:t xml:space="preserve">on </w:t>
      </w:r>
      <w:r w:rsidR="006E2F13" w:rsidRPr="00B335F7">
        <w:t>e</w:t>
      </w:r>
      <w:r w:rsidR="00A87657" w:rsidRPr="00B335F7">
        <w:t>stablishing a framework of measures for strengthening Union’s biotechnology and biomanufacturing sectors particularly in the area of health and amending Regulations (EC) No 178/2002, (EC) No 1394/2007, (EU) No 536/2014, (EU) 2019/6, (EU) 2024/795 and (EU) 2024/1938 (European Biotech Act)</w:t>
      </w:r>
      <w:r w:rsidRPr="00B335F7">
        <w:rPr>
          <w:rStyle w:val="HideTWBExt"/>
        </w:rPr>
        <w:t>&lt;/Titre&gt;</w:t>
      </w:r>
    </w:p>
    <w:p w14:paraId="116CA58C" w14:textId="45F45BDE" w:rsidR="00DB56E4" w:rsidRPr="00B335F7" w:rsidRDefault="00DB56E4" w:rsidP="00DB56E4">
      <w:pPr>
        <w:pStyle w:val="CoverNormal24a"/>
        <w:rPr>
          <w:lang w:val="pt-PT"/>
        </w:rPr>
      </w:pPr>
      <w:r w:rsidRPr="00B335F7">
        <w:rPr>
          <w:rStyle w:val="HideTWBExt"/>
          <w:lang w:val="pt-PT"/>
        </w:rPr>
        <w:t>&lt;DocRef&gt;</w:t>
      </w:r>
      <w:r w:rsidR="00040EE9" w:rsidRPr="00B335F7">
        <w:rPr>
          <w:lang w:val="pt-PT"/>
        </w:rPr>
        <w:t>(</w:t>
      </w:r>
      <w:r w:rsidR="00A87657" w:rsidRPr="00B335F7">
        <w:rPr>
          <w:lang w:val="pt-PT"/>
        </w:rPr>
        <w:t>COM</w:t>
      </w:r>
      <w:r w:rsidR="006A4739" w:rsidRPr="00B335F7">
        <w:rPr>
          <w:lang w:val="pt-PT"/>
        </w:rPr>
        <w:t>(</w:t>
      </w:r>
      <w:r w:rsidR="00A87657" w:rsidRPr="00B335F7">
        <w:rPr>
          <w:lang w:val="pt-PT"/>
        </w:rPr>
        <w:t>2025</w:t>
      </w:r>
      <w:r w:rsidR="006A4739" w:rsidRPr="00B335F7">
        <w:rPr>
          <w:lang w:val="pt-PT"/>
        </w:rPr>
        <w:t>)</w:t>
      </w:r>
      <w:r w:rsidR="00A87657" w:rsidRPr="00B335F7">
        <w:rPr>
          <w:lang w:val="pt-PT"/>
        </w:rPr>
        <w:t>1022 – C10</w:t>
      </w:r>
      <w:r w:rsidR="00A87657" w:rsidRPr="00B335F7">
        <w:rPr>
          <w:lang w:val="pt-PT"/>
        </w:rPr>
        <w:noBreakHyphen/>
        <w:t>0363/2025 – 2025/0406</w:t>
      </w:r>
      <w:r w:rsidR="00040EE9" w:rsidRPr="00B335F7">
        <w:rPr>
          <w:lang w:val="pt-PT"/>
        </w:rPr>
        <w:t>(</w:t>
      </w:r>
      <w:r w:rsidR="00A87657" w:rsidRPr="00B335F7">
        <w:rPr>
          <w:lang w:val="pt-PT"/>
        </w:rPr>
        <w:t>COD</w:t>
      </w:r>
      <w:r w:rsidR="00040EE9" w:rsidRPr="00B335F7">
        <w:rPr>
          <w:lang w:val="pt-PT"/>
        </w:rPr>
        <w:t>))</w:t>
      </w:r>
      <w:r w:rsidRPr="00B335F7">
        <w:rPr>
          <w:rStyle w:val="HideTWBExt"/>
          <w:lang w:val="pt-PT"/>
        </w:rPr>
        <w:t>&lt;/DocRef&gt;</w:t>
      </w:r>
    </w:p>
    <w:p w14:paraId="1017B405" w14:textId="12AA3778" w:rsidR="00DB56E4" w:rsidRPr="00B335F7" w:rsidRDefault="00040EE9" w:rsidP="00DB56E4">
      <w:pPr>
        <w:pStyle w:val="CoverNormal24a"/>
        <w:rPr>
          <w:lang w:val="fr-BE"/>
        </w:rPr>
      </w:pPr>
      <w:r w:rsidRPr="00B335F7">
        <w:rPr>
          <w:lang w:val="fr-BE"/>
        </w:rPr>
        <w:t>Rapporteur for opinion:</w:t>
      </w:r>
      <w:r w:rsidR="00DB56E4" w:rsidRPr="00B335F7">
        <w:rPr>
          <w:lang w:val="fr-BE"/>
        </w:rPr>
        <w:t xml:space="preserve"> </w:t>
      </w:r>
      <w:r w:rsidR="00DB56E4" w:rsidRPr="00B335F7">
        <w:rPr>
          <w:rStyle w:val="HideTWBExt"/>
          <w:lang w:val="fr-BE"/>
        </w:rPr>
        <w:t>&lt;Depute&gt;</w:t>
      </w:r>
      <w:r w:rsidR="00A87657" w:rsidRPr="00B335F7">
        <w:rPr>
          <w:lang w:val="fr-BE"/>
        </w:rPr>
        <w:t>Tiemo Wölken</w:t>
      </w:r>
      <w:r w:rsidR="00DB56E4" w:rsidRPr="00B335F7">
        <w:rPr>
          <w:rStyle w:val="HideTWBExt"/>
          <w:lang w:val="fr-BE"/>
        </w:rPr>
        <w:t>&lt;/Depute&gt;</w:t>
      </w:r>
    </w:p>
    <w:p w14:paraId="7861D438" w14:textId="77777777" w:rsidR="00487596" w:rsidRPr="00B335F7" w:rsidRDefault="00487596" w:rsidP="00487596">
      <w:pPr>
        <w:pStyle w:val="CoverNormal"/>
        <w:rPr>
          <w:lang w:val="fr-BE"/>
        </w:rPr>
      </w:pPr>
    </w:p>
    <w:p w14:paraId="5C174F38" w14:textId="2EF658F9" w:rsidR="00DB56E4" w:rsidRPr="00B335F7" w:rsidRDefault="00DB56E4" w:rsidP="0004474F">
      <w:pPr>
        <w:tabs>
          <w:tab w:val="center" w:pos="4677"/>
        </w:tabs>
      </w:pPr>
      <w:r w:rsidRPr="00B335F7">
        <w:br w:type="page"/>
      </w:r>
      <w:r w:rsidR="00040EE9" w:rsidRPr="00B335F7">
        <w:lastRenderedPageBreak/>
        <w:t>PA_Legam</w:t>
      </w:r>
    </w:p>
    <w:p w14:paraId="05470052" w14:textId="5056044E" w:rsidR="00DB56E4" w:rsidRPr="00B335F7" w:rsidRDefault="00DB56E4" w:rsidP="00DB56E4">
      <w:pPr>
        <w:pStyle w:val="PageHeadingNotTOC"/>
      </w:pPr>
      <w:r w:rsidRPr="00B335F7">
        <w:br w:type="page"/>
      </w:r>
      <w:r w:rsidR="00040EE9" w:rsidRPr="00B335F7">
        <w:lastRenderedPageBreak/>
        <w:t>SHORT JUSTIFICATION</w:t>
      </w:r>
    </w:p>
    <w:p w14:paraId="2C3F9299" w14:textId="5FB457E7" w:rsidR="00E55AC0" w:rsidRPr="00B335F7" w:rsidRDefault="00E55AC0" w:rsidP="007F40B5">
      <w:pPr>
        <w:pStyle w:val="Normal12a"/>
      </w:pPr>
      <w:r w:rsidRPr="00B335F7">
        <w:t xml:space="preserve">In the current geopolitical context, characterised by increasing global competition, supply chain vulnerabilities and growing dependencies on third-country production, the Union must reinforce its capacity to manufacture medicinal products within Europe. This objective is reflected across several recent policy initiatives, including the proposed Critical Medicines Act, which seeks to strengthen security of supply and reduce strategic dependencies. In this context, the rapporteur wishes to underline the importance of extending the stockpiling provisions under the </w:t>
      </w:r>
      <w:r w:rsidR="007F40B5" w:rsidRPr="00B335F7">
        <w:t>Supplementary Protection Certificate (</w:t>
      </w:r>
      <w:r w:rsidRPr="00B335F7">
        <w:t>SPC</w:t>
      </w:r>
      <w:r w:rsidR="007F40B5" w:rsidRPr="00B335F7">
        <w:t>)</w:t>
      </w:r>
      <w:r w:rsidRPr="00B335F7">
        <w:t xml:space="preserve"> Manufacturing Waiver.</w:t>
      </w:r>
    </w:p>
    <w:p w14:paraId="5EB38C6D" w14:textId="31A3AAB7" w:rsidR="00E55AC0" w:rsidRPr="00B335F7" w:rsidRDefault="00E55AC0" w:rsidP="00E55AC0">
      <w:pPr>
        <w:pStyle w:val="Normal12a"/>
      </w:pPr>
      <w:r w:rsidRPr="00B335F7">
        <w:t>Against this background, allowing unlimited stockpiling of biosimilars during the SPC term would contribute to the Union’s competitiveness and manufacturing base by enabling production within the Union ahead of market entry. Such an approach would ensure that biosimilars manufactured in Europe can not only be exported to third-country markets but can also enter the Union market immediately upon expiry of the supplementary protection certificate (SPC), or of the basic patent where no SPC exists. This measure would facilitate EU-Day-1 entry, enhance competition, improve patient access to affordable medicines and further support the Union’s objectives of strategic autonomy, supply security and industrial resilience.</w:t>
      </w:r>
    </w:p>
    <w:p w14:paraId="28FAC2DC" w14:textId="4FE67811" w:rsidR="00E55AC0" w:rsidRPr="00B335F7" w:rsidRDefault="00E55AC0" w:rsidP="00E55AC0">
      <w:pPr>
        <w:pStyle w:val="Normal12a"/>
      </w:pPr>
      <w:r w:rsidRPr="00B335F7">
        <w:t>At the same time, the rapporteur considers that the recently concluded agreement between the co-legislators on the general pharmaceutical legislation has established a comprehensive and carefully balanced framework for pharmaceutical incentives. As that reform specifically addresses the design and calibration of incentives for innovation, the Biotech Act is not the appropriate legislative instrument through which to reopen discussions on additional exclusivity-based incentives. Furthermore, any sector-specific incentive limited to biological medicinal products would risk distorting the innovation landscape by favouring one category of medicines over others, including potentially transformative therapies developed through different technological platforms. The Union’s regulatory framework should remain technology-neutral and support innovation across all therapeutic areas and product categories.</w:t>
      </w:r>
    </w:p>
    <w:p w14:paraId="0FE40FA0" w14:textId="371230CA" w:rsidR="00DB56E4" w:rsidRPr="00B335F7" w:rsidRDefault="00E55AC0" w:rsidP="00E55AC0">
      <w:pPr>
        <w:pStyle w:val="Normal12a"/>
      </w:pPr>
      <w:r w:rsidRPr="00B335F7">
        <w:t>The rapporteur has additionally strengthened the provisions relating to the ethical use of artificial intelligence. While AI offers considerable opportunities to improve research, innovation and healthcare delivery, its use must remain human-centric, adhere to ethical standards and be subject to appropriate safeguards. Particular attention should be paid to transparency, accountability, the prevention of algorithmic bias, data protection and the maintenance of meaningful human oversight. Ensuring the trustworthy and ethical deployment of AI is essential to protecting patient rights, fostering public confidence and ensuring that technological progress benefits all citizens.</w:t>
      </w:r>
    </w:p>
    <w:p w14:paraId="3B382BB1" w14:textId="5EB1BE82" w:rsidR="00DB56E4" w:rsidRPr="00B335F7" w:rsidRDefault="00A87657" w:rsidP="00DB56E4">
      <w:pPr>
        <w:pStyle w:val="AmHeadingPA"/>
      </w:pPr>
      <w:r w:rsidRPr="00B335F7">
        <w:t>AMENDMENTS</w:t>
      </w:r>
    </w:p>
    <w:p w14:paraId="74F0F279" w14:textId="0CEA0E21" w:rsidR="00DB56E4" w:rsidRPr="00B335F7" w:rsidRDefault="00040EE9" w:rsidP="001E3AC4">
      <w:pPr>
        <w:pStyle w:val="Normal12a"/>
      </w:pPr>
      <w:bookmarkStart w:id="0" w:name="IntroA"/>
      <w:r w:rsidRPr="00B335F7">
        <w:t xml:space="preserve">The </w:t>
      </w:r>
      <w:r w:rsidR="00A87657" w:rsidRPr="00B335F7">
        <w:t>Committee on Legal Affairs</w:t>
      </w:r>
      <w:r w:rsidRPr="00B335F7">
        <w:t xml:space="preserve"> submits the following to the </w:t>
      </w:r>
      <w:r w:rsidR="00A87657" w:rsidRPr="00B335F7">
        <w:t>Committee on Public Health and the Committee on Industry, Research and Energy</w:t>
      </w:r>
      <w:r w:rsidRPr="00B335F7">
        <w:t xml:space="preserve">, </w:t>
      </w:r>
      <w:r w:rsidR="00A87657" w:rsidRPr="00B335F7">
        <w:t>as the committees responsible:</w:t>
      </w:r>
    </w:p>
    <w:bookmarkEnd w:id="0"/>
    <w:p w14:paraId="75113981" w14:textId="6FC44CC1"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&lt;RepeatBlock-Amend&gt;&lt;Amend&gt;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w:t>
      </w:r>
      <w:r w:rsidRPr="00B335F7">
        <w:rPr>
          <w:rStyle w:val="HideTWBExt"/>
          <w:rFonts w:eastAsiaTheme="majorEastAsia"/>
          <w:b w:val="0"/>
          <w:lang w:val="en-GB"/>
        </w:rPr>
        <w:t>&lt;/NumAm&gt;</w:t>
      </w:r>
    </w:p>
    <w:p w14:paraId="30D8019A"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69C22E9C" w14:textId="77777777" w:rsidR="002969F2" w:rsidRPr="00B335F7" w:rsidRDefault="002969F2" w:rsidP="002969F2">
      <w:pPr>
        <w:pStyle w:val="NormalBold"/>
      </w:pPr>
      <w:r w:rsidRPr="00B335F7">
        <w:rPr>
          <w:rStyle w:val="HideTWBExt"/>
          <w:rFonts w:eastAsiaTheme="majorEastAsia"/>
          <w:b w:val="0"/>
        </w:rPr>
        <w:t>&lt;Article&gt;</w:t>
      </w:r>
      <w:r w:rsidRPr="00B335F7">
        <w:t>Recital 21</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122322CE" w14:textId="77777777" w:rsidTr="002969F2">
        <w:trPr>
          <w:jc w:val="center"/>
        </w:trPr>
        <w:tc>
          <w:tcPr>
            <w:tcW w:w="9752" w:type="dxa"/>
            <w:gridSpan w:val="2"/>
          </w:tcPr>
          <w:p w14:paraId="59830351" w14:textId="77777777" w:rsidR="002969F2" w:rsidRPr="00B335F7" w:rsidRDefault="002969F2">
            <w:pPr>
              <w:keepNext/>
            </w:pPr>
          </w:p>
        </w:tc>
      </w:tr>
      <w:tr w:rsidR="002969F2" w:rsidRPr="00B335F7" w14:paraId="7C928843" w14:textId="77777777" w:rsidTr="002969F2">
        <w:trPr>
          <w:jc w:val="center"/>
        </w:trPr>
        <w:tc>
          <w:tcPr>
            <w:tcW w:w="4876" w:type="dxa"/>
            <w:hideMark/>
          </w:tcPr>
          <w:p w14:paraId="68FAED49"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7D6DE90D" w14:textId="77777777" w:rsidR="002969F2" w:rsidRPr="00B335F7" w:rsidRDefault="002969F2">
            <w:pPr>
              <w:pStyle w:val="ColumnHeading"/>
              <w:keepNext/>
              <w:rPr>
                <w:lang w:val="en-GB"/>
              </w:rPr>
            </w:pPr>
            <w:r w:rsidRPr="00B335F7">
              <w:rPr>
                <w:lang w:val="en-GB"/>
              </w:rPr>
              <w:t>Amendment</w:t>
            </w:r>
          </w:p>
        </w:tc>
      </w:tr>
      <w:tr w:rsidR="002969F2" w:rsidRPr="00B335F7" w14:paraId="4B549481" w14:textId="77777777" w:rsidTr="002969F2">
        <w:trPr>
          <w:jc w:val="center"/>
        </w:trPr>
        <w:tc>
          <w:tcPr>
            <w:tcW w:w="4876" w:type="dxa"/>
            <w:hideMark/>
          </w:tcPr>
          <w:p w14:paraId="1C826BF3" w14:textId="22D6863C" w:rsidR="002969F2" w:rsidRPr="00B335F7" w:rsidRDefault="002969F2">
            <w:pPr>
              <w:pStyle w:val="Normal6"/>
              <w:rPr>
                <w:lang w:val="en-GB"/>
              </w:rPr>
            </w:pPr>
            <w:r w:rsidRPr="00B335F7">
              <w:rPr>
                <w:lang w:val="en-GB"/>
              </w:rPr>
              <w:t>(21)</w:t>
            </w:r>
            <w:r w:rsidRPr="00B335F7">
              <w:rPr>
                <w:lang w:val="en-GB"/>
              </w:rPr>
              <w:tab/>
              <w:t>Recognising the transformative role of data and AI in the area of biotechnology and biomanufacturing, that mapping should also assess access to data, computing capacity and digital infrastructure for the health biotechnology sector and identify measures to foster responsible AI-enabled biotechnology innovation and possible measures to mitigate related risks, building on analyses done in the context of existing Union initiatives such as the European Health Data Space</w:t>
            </w:r>
            <w:r w:rsidRPr="00B335F7">
              <w:rPr>
                <w:vertAlign w:val="superscript"/>
                <w:lang w:val="en-GB"/>
              </w:rPr>
              <w:t>14</w:t>
            </w:r>
            <w:r w:rsidRPr="00B335F7">
              <w:rPr>
                <w:lang w:val="en-GB"/>
              </w:rPr>
              <w:t>, the Apply AI Strategy</w:t>
            </w:r>
            <w:r w:rsidRPr="00B335F7">
              <w:rPr>
                <w:vertAlign w:val="superscript"/>
                <w:lang w:val="en-GB"/>
              </w:rPr>
              <w:t>15</w:t>
            </w:r>
            <w:r w:rsidRPr="00B335F7">
              <w:rPr>
                <w:lang w:val="en-GB"/>
              </w:rPr>
              <w:t>, the Data Union Strategy</w:t>
            </w:r>
            <w:r w:rsidRPr="00B335F7">
              <w:rPr>
                <w:vertAlign w:val="superscript"/>
                <w:lang w:val="en-GB"/>
              </w:rPr>
              <w:t>16</w:t>
            </w:r>
            <w:r w:rsidRPr="00B335F7">
              <w:rPr>
                <w:lang w:val="en-GB"/>
              </w:rPr>
              <w:t>, the AI Continent Action Plan</w:t>
            </w:r>
            <w:r w:rsidRPr="00B335F7">
              <w:rPr>
                <w:vertAlign w:val="superscript"/>
                <w:lang w:val="en-GB"/>
              </w:rPr>
              <w:t>17</w:t>
            </w:r>
            <w:r w:rsidRPr="00B335F7">
              <w:rPr>
                <w:lang w:val="en-GB"/>
              </w:rPr>
              <w:t xml:space="preserve"> and the European Strategy for AI in Science</w:t>
            </w:r>
            <w:r w:rsidRPr="00B335F7">
              <w:rPr>
                <w:vertAlign w:val="superscript"/>
                <w:lang w:val="en-GB"/>
              </w:rPr>
              <w:t>18</w:t>
            </w:r>
            <w:r w:rsidRPr="00B335F7">
              <w:rPr>
                <w:lang w:val="en-GB"/>
              </w:rPr>
              <w:t>. With a view to ensuring appropriate cooperation with the Member States and optimising the use of relevant knowledge and expertise available at Union level, such mapping should be conducted by the Commission in cooperation with relevant Union agencies and bodies, including, where relevant, the AI Board established under the Regulation (EU) 2024/1689, and with the European Health Biotechnology Steering Group (‘the Steering Group’) established in accordance with this Regulation, to facilitate its implementation, provide advice to the Commission and to the Member States, and ensure coordinated action in particular with regard to health biotechnology strategic projects and high impact health biotechnology strategic projects.</w:t>
            </w:r>
          </w:p>
        </w:tc>
        <w:tc>
          <w:tcPr>
            <w:tcW w:w="4876" w:type="dxa"/>
            <w:hideMark/>
          </w:tcPr>
          <w:p w14:paraId="52741B9F" w14:textId="35D7C7F8" w:rsidR="002969F2" w:rsidRPr="00B335F7" w:rsidRDefault="002F1264">
            <w:pPr>
              <w:pStyle w:val="Normal6"/>
              <w:rPr>
                <w:szCs w:val="24"/>
                <w:lang w:val="en-GB"/>
              </w:rPr>
            </w:pPr>
            <w:r w:rsidRPr="00B335F7">
              <w:rPr>
                <w:lang w:val="en-GB"/>
              </w:rPr>
              <w:t>(21)</w:t>
            </w:r>
            <w:r w:rsidRPr="00B335F7">
              <w:rPr>
                <w:lang w:val="en-GB"/>
              </w:rPr>
              <w:tab/>
            </w:r>
            <w:r w:rsidR="002969F2" w:rsidRPr="00B335F7">
              <w:rPr>
                <w:lang w:val="en-GB"/>
              </w:rPr>
              <w:t xml:space="preserve">Recognising the transformative role of data and AI in the area of biotechnology and biomanufacturing, that mapping should also assess access to data, computing capacity and digital infrastructure for the health biotechnology sector and identify measures to foster responsible AI-enabled biotechnology innovation and possible measures to mitigate related risks, </w:t>
            </w:r>
            <w:r w:rsidR="002969F2" w:rsidRPr="00B335F7">
              <w:rPr>
                <w:b/>
                <w:i/>
                <w:lang w:val="en-GB"/>
              </w:rPr>
              <w:t>ensuring the ethical use of AI and</w:t>
            </w:r>
            <w:r w:rsidR="002969F2" w:rsidRPr="00B335F7">
              <w:rPr>
                <w:lang w:val="en-GB"/>
              </w:rPr>
              <w:t xml:space="preserve"> building on analyses done in the context of existing Union initiatives such as the European Health Data Space</w:t>
            </w:r>
            <w:r w:rsidR="002969F2" w:rsidRPr="00B335F7">
              <w:rPr>
                <w:vertAlign w:val="superscript"/>
                <w:lang w:val="en-GB"/>
              </w:rPr>
              <w:t>14</w:t>
            </w:r>
            <w:r w:rsidR="002969F2" w:rsidRPr="00B335F7">
              <w:rPr>
                <w:lang w:val="en-GB"/>
              </w:rPr>
              <w:t>, the Apply AI Strategy</w:t>
            </w:r>
            <w:r w:rsidR="002969F2" w:rsidRPr="00B335F7">
              <w:rPr>
                <w:vertAlign w:val="superscript"/>
                <w:lang w:val="en-GB"/>
              </w:rPr>
              <w:t>15</w:t>
            </w:r>
            <w:r w:rsidR="002969F2" w:rsidRPr="00B335F7">
              <w:rPr>
                <w:lang w:val="en-GB"/>
              </w:rPr>
              <w:t>, the Data Union Strategy</w:t>
            </w:r>
            <w:r w:rsidR="002969F2" w:rsidRPr="00B335F7">
              <w:rPr>
                <w:vertAlign w:val="superscript"/>
                <w:lang w:val="en-GB"/>
              </w:rPr>
              <w:t>16</w:t>
            </w:r>
            <w:r w:rsidR="002969F2" w:rsidRPr="00B335F7">
              <w:rPr>
                <w:lang w:val="en-GB"/>
              </w:rPr>
              <w:t>, the AI Continent Action Plan</w:t>
            </w:r>
            <w:r w:rsidR="002969F2" w:rsidRPr="00B335F7">
              <w:rPr>
                <w:vertAlign w:val="superscript"/>
                <w:lang w:val="en-GB"/>
              </w:rPr>
              <w:t>17</w:t>
            </w:r>
            <w:r w:rsidR="002969F2" w:rsidRPr="00B335F7">
              <w:rPr>
                <w:lang w:val="en-GB"/>
              </w:rPr>
              <w:t xml:space="preserve"> and the European Strategy for AI in Science</w:t>
            </w:r>
            <w:r w:rsidR="002969F2" w:rsidRPr="00B335F7">
              <w:rPr>
                <w:vertAlign w:val="superscript"/>
                <w:lang w:val="en-GB"/>
              </w:rPr>
              <w:t>18</w:t>
            </w:r>
            <w:r w:rsidR="002969F2" w:rsidRPr="00B335F7">
              <w:rPr>
                <w:lang w:val="en-GB"/>
              </w:rPr>
              <w:t>. With a view to ensuring appropriate cooperation with the Member States and optimising the use of relevant knowledge and expertise available at Union level, such mapping should be conducted by the Commission in cooperation with relevant Union agencies and bodies, including, where relevant, the AI Board established under the Regulation (EU) 2024/1689, and with the European Health Biotechnology Steering Group (‘the Steering Group’) established in accordance with this Regulation, to facilitate its implementation, provide advice to the Commission and to the Member States, and ensure coordinated action in particular with regard to health biotechnology strategic projects and high impact health biotechnology strategic projects.</w:t>
            </w:r>
          </w:p>
        </w:tc>
      </w:tr>
      <w:tr w:rsidR="002969F2" w:rsidRPr="00B335F7" w14:paraId="5731EB4A" w14:textId="77777777" w:rsidTr="002969F2">
        <w:trPr>
          <w:jc w:val="center"/>
        </w:trPr>
        <w:tc>
          <w:tcPr>
            <w:tcW w:w="4876" w:type="dxa"/>
            <w:hideMark/>
          </w:tcPr>
          <w:p w14:paraId="06D1E85E" w14:textId="77777777" w:rsidR="002969F2" w:rsidRPr="00B335F7" w:rsidRDefault="002969F2">
            <w:pPr>
              <w:pStyle w:val="Normal6"/>
              <w:rPr>
                <w:lang w:val="en-GB"/>
              </w:rPr>
            </w:pPr>
            <w:r w:rsidRPr="00B335F7">
              <w:rPr>
                <w:lang w:val="en-GB"/>
              </w:rPr>
              <w:t>__________________</w:t>
            </w:r>
          </w:p>
        </w:tc>
        <w:tc>
          <w:tcPr>
            <w:tcW w:w="4876" w:type="dxa"/>
            <w:hideMark/>
          </w:tcPr>
          <w:p w14:paraId="3DCC06E9" w14:textId="77777777" w:rsidR="002969F2" w:rsidRPr="00B335F7" w:rsidRDefault="002969F2">
            <w:pPr>
              <w:pStyle w:val="Normal6"/>
              <w:rPr>
                <w:szCs w:val="24"/>
                <w:lang w:val="en-GB"/>
              </w:rPr>
            </w:pPr>
            <w:r w:rsidRPr="00B335F7">
              <w:rPr>
                <w:lang w:val="en-GB"/>
              </w:rPr>
              <w:t>__________________</w:t>
            </w:r>
          </w:p>
        </w:tc>
      </w:tr>
      <w:tr w:rsidR="002969F2" w:rsidRPr="00B335F7" w14:paraId="7F2DC48E" w14:textId="77777777" w:rsidTr="002969F2">
        <w:trPr>
          <w:jc w:val="center"/>
        </w:trPr>
        <w:tc>
          <w:tcPr>
            <w:tcW w:w="4876" w:type="dxa"/>
            <w:hideMark/>
          </w:tcPr>
          <w:p w14:paraId="311C5D23" w14:textId="77777777" w:rsidR="002969F2" w:rsidRPr="00B335F7" w:rsidRDefault="002969F2">
            <w:pPr>
              <w:pStyle w:val="Normal6"/>
              <w:rPr>
                <w:lang w:val="en-GB"/>
              </w:rPr>
            </w:pPr>
            <w:r w:rsidRPr="00B335F7">
              <w:rPr>
                <w:vertAlign w:val="superscript"/>
                <w:lang w:val="en-GB"/>
              </w:rPr>
              <w:t>14</w:t>
            </w:r>
            <w:r w:rsidRPr="00B335F7">
              <w:rPr>
                <w:lang w:val="en-GB"/>
              </w:rPr>
              <w:t xml:space="preserve"> Regulation (EU) 2025/327 of the European Parliament and of the Council of 11 February 2025 on the European Health Data Space and amending Directive 2011/24/EU and Regulation (EU) </w:t>
            </w:r>
            <w:r w:rsidRPr="00B335F7">
              <w:rPr>
                <w:lang w:val="en-GB"/>
              </w:rPr>
              <w:lastRenderedPageBreak/>
              <w:t>2024/2847 (OJ L, 2025/327, 5.3.2025, ELI: http://data.europa.eu/eli/reg/2025/327/oj).</w:t>
            </w:r>
          </w:p>
        </w:tc>
        <w:tc>
          <w:tcPr>
            <w:tcW w:w="4876" w:type="dxa"/>
            <w:hideMark/>
          </w:tcPr>
          <w:p w14:paraId="282DC6BB" w14:textId="77777777" w:rsidR="002969F2" w:rsidRPr="00B335F7" w:rsidRDefault="002969F2">
            <w:pPr>
              <w:pStyle w:val="Normal6"/>
              <w:rPr>
                <w:szCs w:val="24"/>
                <w:lang w:val="en-GB"/>
              </w:rPr>
            </w:pPr>
            <w:r w:rsidRPr="00B335F7">
              <w:rPr>
                <w:vertAlign w:val="superscript"/>
                <w:lang w:val="en-GB"/>
              </w:rPr>
              <w:lastRenderedPageBreak/>
              <w:t>14</w:t>
            </w:r>
            <w:r w:rsidRPr="00B335F7">
              <w:rPr>
                <w:lang w:val="en-GB"/>
              </w:rPr>
              <w:t xml:space="preserve"> Regulation (EU) 2025/327 of the European Parliament and of the Council of 11 February 2025 on the European Health Data Space and amending Directive 2011/24/EU and Regulation (EU) </w:t>
            </w:r>
            <w:r w:rsidRPr="00B335F7">
              <w:rPr>
                <w:lang w:val="en-GB"/>
              </w:rPr>
              <w:lastRenderedPageBreak/>
              <w:t>2024/2847 (OJ L, 2025/327, 5.3.2025, ELI: http://data.europa.eu/eli/reg/2025/327/oj).</w:t>
            </w:r>
          </w:p>
        </w:tc>
      </w:tr>
      <w:tr w:rsidR="002969F2" w:rsidRPr="00B335F7" w14:paraId="675F4765" w14:textId="77777777" w:rsidTr="002969F2">
        <w:trPr>
          <w:jc w:val="center"/>
        </w:trPr>
        <w:tc>
          <w:tcPr>
            <w:tcW w:w="4876" w:type="dxa"/>
            <w:hideMark/>
          </w:tcPr>
          <w:p w14:paraId="19DA6683" w14:textId="77777777" w:rsidR="002969F2" w:rsidRPr="00B335F7" w:rsidRDefault="002969F2">
            <w:pPr>
              <w:pStyle w:val="Normal6"/>
              <w:rPr>
                <w:lang w:val="en-GB"/>
              </w:rPr>
            </w:pPr>
            <w:r w:rsidRPr="00B335F7">
              <w:rPr>
                <w:vertAlign w:val="superscript"/>
                <w:lang w:val="en-GB"/>
              </w:rPr>
              <w:lastRenderedPageBreak/>
              <w:t>15</w:t>
            </w:r>
            <w:r w:rsidRPr="00B335F7">
              <w:rPr>
                <w:lang w:val="en-GB"/>
              </w:rPr>
              <w:t xml:space="preserve"> Communication from the Commission to the European Parliament, the Council, the European Economic and Social Committee and the Committee of the Regions: Apply AI Strategy, COM(2025)723 final of 8 October 2025.</w:t>
            </w:r>
          </w:p>
        </w:tc>
        <w:tc>
          <w:tcPr>
            <w:tcW w:w="4876" w:type="dxa"/>
            <w:hideMark/>
          </w:tcPr>
          <w:p w14:paraId="6A9B6ADB" w14:textId="77777777" w:rsidR="002969F2" w:rsidRPr="00B335F7" w:rsidRDefault="002969F2">
            <w:pPr>
              <w:pStyle w:val="Normal6"/>
              <w:rPr>
                <w:szCs w:val="24"/>
                <w:lang w:val="en-GB"/>
              </w:rPr>
            </w:pPr>
            <w:r w:rsidRPr="00B335F7">
              <w:rPr>
                <w:vertAlign w:val="superscript"/>
                <w:lang w:val="en-GB"/>
              </w:rPr>
              <w:t>15</w:t>
            </w:r>
            <w:r w:rsidRPr="00B335F7">
              <w:rPr>
                <w:lang w:val="en-GB"/>
              </w:rPr>
              <w:t xml:space="preserve"> Communication from the Commission to the European Parliament, the Council, the European Economic and Social Committee and the Committee of the Regions: Apply AI Strategy, COM(2025)723 final of 8 October 2025.</w:t>
            </w:r>
          </w:p>
        </w:tc>
      </w:tr>
      <w:tr w:rsidR="002969F2" w:rsidRPr="00B335F7" w14:paraId="620384F3" w14:textId="77777777" w:rsidTr="002969F2">
        <w:trPr>
          <w:jc w:val="center"/>
        </w:trPr>
        <w:tc>
          <w:tcPr>
            <w:tcW w:w="4876" w:type="dxa"/>
            <w:hideMark/>
          </w:tcPr>
          <w:p w14:paraId="4D42E6DA" w14:textId="77777777" w:rsidR="002969F2" w:rsidRPr="00B335F7" w:rsidRDefault="002969F2">
            <w:pPr>
              <w:pStyle w:val="Normal6"/>
              <w:rPr>
                <w:lang w:val="en-GB"/>
              </w:rPr>
            </w:pPr>
            <w:r w:rsidRPr="00B335F7">
              <w:rPr>
                <w:vertAlign w:val="superscript"/>
                <w:lang w:val="en-GB"/>
              </w:rPr>
              <w:t>16</w:t>
            </w:r>
            <w:r w:rsidRPr="00B335F7">
              <w:rPr>
                <w:lang w:val="en-GB"/>
              </w:rPr>
              <w:t xml:space="preserve"> Communication from the Commission to the European Parliament and the Council, Data Union Strategy, Unlocking Data For AI, COM(2025) 835 final, 19 November 2025.</w:t>
            </w:r>
          </w:p>
        </w:tc>
        <w:tc>
          <w:tcPr>
            <w:tcW w:w="4876" w:type="dxa"/>
            <w:hideMark/>
          </w:tcPr>
          <w:p w14:paraId="1A9F0806" w14:textId="77777777" w:rsidR="002969F2" w:rsidRPr="00B335F7" w:rsidRDefault="002969F2">
            <w:pPr>
              <w:pStyle w:val="Normal6"/>
              <w:rPr>
                <w:szCs w:val="24"/>
                <w:lang w:val="en-GB"/>
              </w:rPr>
            </w:pPr>
            <w:r w:rsidRPr="00B335F7">
              <w:rPr>
                <w:vertAlign w:val="superscript"/>
                <w:lang w:val="en-GB"/>
              </w:rPr>
              <w:t>16</w:t>
            </w:r>
            <w:r w:rsidRPr="00B335F7">
              <w:rPr>
                <w:lang w:val="en-GB"/>
              </w:rPr>
              <w:t xml:space="preserve"> Communication from the Commission to the European Parliament and the Council, Data Union Strategy, Unlocking Data For AI, COM(2025) 835 final, 19 November 2025.</w:t>
            </w:r>
          </w:p>
        </w:tc>
      </w:tr>
      <w:tr w:rsidR="002969F2" w:rsidRPr="00B335F7" w14:paraId="4C1FCCCD" w14:textId="77777777" w:rsidTr="002969F2">
        <w:trPr>
          <w:jc w:val="center"/>
        </w:trPr>
        <w:tc>
          <w:tcPr>
            <w:tcW w:w="4876" w:type="dxa"/>
            <w:hideMark/>
          </w:tcPr>
          <w:p w14:paraId="3C105603" w14:textId="77777777" w:rsidR="002969F2" w:rsidRPr="00B335F7" w:rsidRDefault="002969F2">
            <w:pPr>
              <w:pStyle w:val="Normal6"/>
              <w:rPr>
                <w:lang w:val="en-GB"/>
              </w:rPr>
            </w:pPr>
            <w:r w:rsidRPr="00B335F7">
              <w:rPr>
                <w:vertAlign w:val="superscript"/>
                <w:lang w:val="en-GB"/>
              </w:rPr>
              <w:t>17</w:t>
            </w:r>
            <w:r w:rsidRPr="00B335F7">
              <w:rPr>
                <w:lang w:val="en-GB"/>
              </w:rPr>
              <w:t xml:space="preserve"> https://ec.europa.eu/newsroom/dae/redirection/document/114523</w:t>
            </w:r>
          </w:p>
        </w:tc>
        <w:tc>
          <w:tcPr>
            <w:tcW w:w="4876" w:type="dxa"/>
            <w:hideMark/>
          </w:tcPr>
          <w:p w14:paraId="59C094F8" w14:textId="77777777" w:rsidR="002969F2" w:rsidRPr="00B335F7" w:rsidRDefault="002969F2">
            <w:pPr>
              <w:pStyle w:val="Normal6"/>
              <w:rPr>
                <w:szCs w:val="24"/>
                <w:lang w:val="en-GB"/>
              </w:rPr>
            </w:pPr>
            <w:r w:rsidRPr="00B335F7">
              <w:rPr>
                <w:vertAlign w:val="superscript"/>
                <w:lang w:val="en-GB"/>
              </w:rPr>
              <w:t>17</w:t>
            </w:r>
            <w:r w:rsidRPr="00B335F7">
              <w:rPr>
                <w:lang w:val="en-GB"/>
              </w:rPr>
              <w:t xml:space="preserve"> https://ec.europa.eu/newsroom/dae/redirection/document/114523</w:t>
            </w:r>
          </w:p>
        </w:tc>
      </w:tr>
      <w:tr w:rsidR="002969F2" w:rsidRPr="00B335F7" w14:paraId="7B5C3898" w14:textId="77777777" w:rsidTr="002969F2">
        <w:trPr>
          <w:jc w:val="center"/>
        </w:trPr>
        <w:tc>
          <w:tcPr>
            <w:tcW w:w="4876" w:type="dxa"/>
            <w:hideMark/>
          </w:tcPr>
          <w:p w14:paraId="7B00C516" w14:textId="77777777" w:rsidR="002969F2" w:rsidRPr="00B335F7" w:rsidRDefault="002969F2">
            <w:pPr>
              <w:pStyle w:val="Normal6"/>
              <w:rPr>
                <w:lang w:val="en-GB"/>
              </w:rPr>
            </w:pPr>
            <w:r w:rsidRPr="00B335F7">
              <w:rPr>
                <w:vertAlign w:val="superscript"/>
                <w:lang w:val="en-GB"/>
              </w:rPr>
              <w:t>18</w:t>
            </w:r>
            <w:r w:rsidRPr="00B335F7">
              <w:rPr>
                <w:lang w:val="en-GB"/>
              </w:rPr>
              <w:t xml:space="preserve"> Communication from the Commission to the European Parliament, the Council, the European Economic and Social Committee and the Committee of the Regions: European Strategy for Artificial Intelligence in Science – Harnessing AI for research, innovation and excellence in the Union, COM(2025)724 final of, 8 October 2025.</w:t>
            </w:r>
          </w:p>
        </w:tc>
        <w:tc>
          <w:tcPr>
            <w:tcW w:w="4876" w:type="dxa"/>
            <w:hideMark/>
          </w:tcPr>
          <w:p w14:paraId="6795DD6B" w14:textId="77777777" w:rsidR="002969F2" w:rsidRPr="00B335F7" w:rsidRDefault="002969F2">
            <w:pPr>
              <w:pStyle w:val="Normal6"/>
              <w:rPr>
                <w:szCs w:val="24"/>
                <w:lang w:val="en-GB"/>
              </w:rPr>
            </w:pPr>
            <w:r w:rsidRPr="00B335F7">
              <w:rPr>
                <w:vertAlign w:val="superscript"/>
                <w:lang w:val="en-GB"/>
              </w:rPr>
              <w:t>18</w:t>
            </w:r>
            <w:r w:rsidRPr="00B335F7">
              <w:rPr>
                <w:lang w:val="en-GB"/>
              </w:rPr>
              <w:t xml:space="preserve"> Communication from the Commission to the European Parliament, the Council, the European Economic and Social Committee and the Committee of the Regions: European Strategy for Artificial Intelligence in Science – Harnessing AI for research, innovation and excellence in the Union, COM(2025)724 final of, 8 October 2025.</w:t>
            </w:r>
          </w:p>
        </w:tc>
      </w:tr>
    </w:tbl>
    <w:p w14:paraId="1BF4208C"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F91621D" w14:textId="77777777" w:rsidR="002969F2" w:rsidRPr="00B335F7" w:rsidRDefault="002969F2" w:rsidP="002969F2">
      <w:r w:rsidRPr="00B335F7">
        <w:rPr>
          <w:rStyle w:val="HideTWBExt"/>
          <w:rFonts w:eastAsiaTheme="majorEastAsia"/>
        </w:rPr>
        <w:t>&lt;/Amend&gt;</w:t>
      </w:r>
    </w:p>
    <w:p w14:paraId="076DE8C7" w14:textId="0F13D12A"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w:t>
      </w:r>
      <w:r w:rsidRPr="00B335F7">
        <w:rPr>
          <w:rStyle w:val="HideTWBExt"/>
          <w:rFonts w:eastAsiaTheme="majorEastAsia"/>
          <w:b w:val="0"/>
          <w:lang w:val="en-GB"/>
        </w:rPr>
        <w:t>&lt;/NumAm&gt;</w:t>
      </w:r>
    </w:p>
    <w:p w14:paraId="1E87BFAF"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8D1688D" w14:textId="77777777" w:rsidR="002969F2" w:rsidRPr="00B335F7" w:rsidRDefault="002969F2" w:rsidP="002969F2">
      <w:pPr>
        <w:pStyle w:val="NormalBold"/>
      </w:pPr>
      <w:r w:rsidRPr="00B335F7">
        <w:rPr>
          <w:rStyle w:val="HideTWBExt"/>
          <w:rFonts w:eastAsiaTheme="majorEastAsia"/>
          <w:b w:val="0"/>
        </w:rPr>
        <w:t>&lt;Article&gt;</w:t>
      </w:r>
      <w:r w:rsidRPr="00B335F7">
        <w:t>Recital 57</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0EA4253" w14:textId="77777777" w:rsidTr="002969F2">
        <w:trPr>
          <w:jc w:val="center"/>
        </w:trPr>
        <w:tc>
          <w:tcPr>
            <w:tcW w:w="9752" w:type="dxa"/>
            <w:gridSpan w:val="2"/>
          </w:tcPr>
          <w:p w14:paraId="74A4CA1A" w14:textId="77777777" w:rsidR="002969F2" w:rsidRPr="00B335F7" w:rsidRDefault="002969F2">
            <w:pPr>
              <w:keepNext/>
            </w:pPr>
          </w:p>
        </w:tc>
      </w:tr>
      <w:tr w:rsidR="002969F2" w:rsidRPr="00B335F7" w14:paraId="7E64F350" w14:textId="77777777" w:rsidTr="002969F2">
        <w:trPr>
          <w:jc w:val="center"/>
        </w:trPr>
        <w:tc>
          <w:tcPr>
            <w:tcW w:w="4876" w:type="dxa"/>
            <w:hideMark/>
          </w:tcPr>
          <w:p w14:paraId="65FF6628"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11FEFE0D" w14:textId="77777777" w:rsidR="002969F2" w:rsidRPr="00B335F7" w:rsidRDefault="002969F2">
            <w:pPr>
              <w:pStyle w:val="ColumnHeading"/>
              <w:keepNext/>
              <w:rPr>
                <w:lang w:val="en-GB"/>
              </w:rPr>
            </w:pPr>
            <w:r w:rsidRPr="00B335F7">
              <w:rPr>
                <w:lang w:val="en-GB"/>
              </w:rPr>
              <w:t>Amendment</w:t>
            </w:r>
          </w:p>
        </w:tc>
      </w:tr>
      <w:tr w:rsidR="002969F2" w:rsidRPr="00B335F7" w14:paraId="720B53BB" w14:textId="77777777" w:rsidTr="002969F2">
        <w:trPr>
          <w:jc w:val="center"/>
        </w:trPr>
        <w:tc>
          <w:tcPr>
            <w:tcW w:w="4876" w:type="dxa"/>
            <w:hideMark/>
          </w:tcPr>
          <w:p w14:paraId="01D745EB" w14:textId="77777777" w:rsidR="002969F2" w:rsidRPr="00B335F7" w:rsidRDefault="002969F2">
            <w:pPr>
              <w:pStyle w:val="Normal6"/>
              <w:rPr>
                <w:lang w:val="en-GB"/>
              </w:rPr>
            </w:pPr>
            <w:r w:rsidRPr="00B335F7">
              <w:rPr>
                <w:b/>
                <w:i/>
                <w:lang w:val="en-GB"/>
              </w:rPr>
              <w:t>(57)</w:t>
            </w:r>
            <w:r w:rsidRPr="00B335F7">
              <w:rPr>
                <w:b/>
                <w:i/>
                <w:lang w:val="en-GB"/>
              </w:rPr>
              <w:tab/>
              <w:t>Medicinal products developed with innovative biotechnology technologies which will bring a therapeutic advantage to patients should be incentivised with an extension of the Supplementary Protection Certificate.</w:t>
            </w:r>
          </w:p>
        </w:tc>
        <w:tc>
          <w:tcPr>
            <w:tcW w:w="4876" w:type="dxa"/>
            <w:hideMark/>
          </w:tcPr>
          <w:p w14:paraId="3AA1F39B" w14:textId="77777777" w:rsidR="002969F2" w:rsidRPr="00B335F7" w:rsidRDefault="002969F2">
            <w:pPr>
              <w:pStyle w:val="Normal6"/>
              <w:rPr>
                <w:szCs w:val="24"/>
                <w:lang w:val="en-GB"/>
              </w:rPr>
            </w:pPr>
            <w:r w:rsidRPr="00B335F7">
              <w:rPr>
                <w:b/>
                <w:i/>
              </w:rPr>
              <w:t>deleted</w:t>
            </w:r>
          </w:p>
        </w:tc>
      </w:tr>
    </w:tbl>
    <w:p w14:paraId="37981649" w14:textId="77777777" w:rsidR="002969F2" w:rsidRPr="00B335F7" w:rsidRDefault="002969F2" w:rsidP="002969F2">
      <w:pPr>
        <w:pStyle w:val="Olang"/>
      </w:pPr>
      <w:r w:rsidRPr="00B335F7">
        <w:t xml:space="preserve">Or. </w:t>
      </w:r>
      <w:r w:rsidRPr="00B335F7">
        <w:rPr>
          <w:rStyle w:val="HideTWBExt"/>
          <w:rFonts w:eastAsiaTheme="majorEastAsia"/>
          <w:noProof w:val="0"/>
        </w:rPr>
        <w:t>&lt;Original&gt;</w:t>
      </w:r>
      <w:r w:rsidRPr="00B335F7">
        <w:rPr>
          <w:rStyle w:val="HideTWBInt"/>
        </w:rPr>
        <w:t>{EN}</w:t>
      </w:r>
      <w:r w:rsidRPr="00B335F7">
        <w:t>en</w:t>
      </w:r>
      <w:r w:rsidRPr="00B335F7">
        <w:rPr>
          <w:rStyle w:val="HideTWBExt"/>
          <w:rFonts w:eastAsiaTheme="majorEastAsia"/>
          <w:noProof w:val="0"/>
        </w:rPr>
        <w:t>&lt;/Original&gt;</w:t>
      </w:r>
    </w:p>
    <w:p w14:paraId="609BB0FB" w14:textId="77777777" w:rsidR="002969F2" w:rsidRPr="00B335F7" w:rsidRDefault="002969F2" w:rsidP="002969F2">
      <w:r w:rsidRPr="00B335F7">
        <w:rPr>
          <w:rStyle w:val="HideTWBExt"/>
          <w:rFonts w:eastAsiaTheme="majorEastAsia"/>
        </w:rPr>
        <w:t>&lt;/Amend&gt;</w:t>
      </w:r>
    </w:p>
    <w:p w14:paraId="4FE16B71" w14:textId="2BA7A590"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w:t>
      </w:r>
      <w:r w:rsidRPr="00B335F7">
        <w:rPr>
          <w:rStyle w:val="HideTWBExt"/>
          <w:rFonts w:eastAsiaTheme="majorEastAsia"/>
          <w:b w:val="0"/>
          <w:lang w:val="en-GB"/>
        </w:rPr>
        <w:t>&lt;/NumAm&gt;</w:t>
      </w:r>
    </w:p>
    <w:p w14:paraId="15E3BB39"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C924622" w14:textId="77777777" w:rsidR="002969F2" w:rsidRPr="00B335F7" w:rsidRDefault="002969F2" w:rsidP="002969F2">
      <w:pPr>
        <w:pStyle w:val="NormalBold"/>
      </w:pPr>
      <w:r w:rsidRPr="00B335F7">
        <w:rPr>
          <w:rStyle w:val="HideTWBExt"/>
          <w:rFonts w:eastAsiaTheme="majorEastAsia"/>
          <w:b w:val="0"/>
        </w:rPr>
        <w:t>&lt;Article&gt;</w:t>
      </w:r>
      <w:r w:rsidRPr="00B335F7">
        <w:t>Recital 57 a (new)</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029E775F" w14:textId="77777777" w:rsidTr="002969F2">
        <w:trPr>
          <w:jc w:val="center"/>
        </w:trPr>
        <w:tc>
          <w:tcPr>
            <w:tcW w:w="9752" w:type="dxa"/>
            <w:gridSpan w:val="2"/>
          </w:tcPr>
          <w:p w14:paraId="72996AAE" w14:textId="77777777" w:rsidR="002969F2" w:rsidRPr="00B335F7" w:rsidRDefault="002969F2">
            <w:pPr>
              <w:keepNext/>
            </w:pPr>
          </w:p>
        </w:tc>
      </w:tr>
      <w:tr w:rsidR="002969F2" w:rsidRPr="00B335F7" w14:paraId="18624026" w14:textId="77777777" w:rsidTr="002969F2">
        <w:trPr>
          <w:jc w:val="center"/>
        </w:trPr>
        <w:tc>
          <w:tcPr>
            <w:tcW w:w="4876" w:type="dxa"/>
            <w:hideMark/>
          </w:tcPr>
          <w:p w14:paraId="14562931"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87700B0" w14:textId="77777777" w:rsidR="002969F2" w:rsidRPr="00B335F7" w:rsidRDefault="002969F2">
            <w:pPr>
              <w:pStyle w:val="ColumnHeading"/>
              <w:keepNext/>
              <w:rPr>
                <w:lang w:val="en-GB"/>
              </w:rPr>
            </w:pPr>
            <w:r w:rsidRPr="00B335F7">
              <w:rPr>
                <w:lang w:val="en-GB"/>
              </w:rPr>
              <w:t>Amendment</w:t>
            </w:r>
          </w:p>
        </w:tc>
      </w:tr>
      <w:tr w:rsidR="002969F2" w:rsidRPr="00B335F7" w14:paraId="189775BA" w14:textId="77777777" w:rsidTr="002969F2">
        <w:trPr>
          <w:jc w:val="center"/>
        </w:trPr>
        <w:tc>
          <w:tcPr>
            <w:tcW w:w="4876" w:type="dxa"/>
          </w:tcPr>
          <w:p w14:paraId="0C43ADFA" w14:textId="77777777" w:rsidR="002969F2" w:rsidRPr="00B335F7" w:rsidRDefault="002969F2">
            <w:pPr>
              <w:pStyle w:val="Normal6"/>
              <w:rPr>
                <w:lang w:val="en-GB"/>
              </w:rPr>
            </w:pPr>
          </w:p>
        </w:tc>
        <w:tc>
          <w:tcPr>
            <w:tcW w:w="4876" w:type="dxa"/>
            <w:hideMark/>
          </w:tcPr>
          <w:p w14:paraId="1B75FDD4" w14:textId="77777777" w:rsidR="002969F2" w:rsidRPr="00B335F7" w:rsidRDefault="002969F2">
            <w:pPr>
              <w:pStyle w:val="Normal6"/>
              <w:rPr>
                <w:szCs w:val="24"/>
                <w:lang w:val="en-GB"/>
              </w:rPr>
            </w:pPr>
            <w:r w:rsidRPr="00B335F7">
              <w:rPr>
                <w:b/>
                <w:i/>
                <w:lang w:val="en-GB"/>
              </w:rPr>
              <w:t>(57a)</w:t>
            </w:r>
            <w:r w:rsidRPr="00B335F7">
              <w:rPr>
                <w:b/>
                <w:i/>
                <w:lang w:val="en-GB"/>
              </w:rPr>
              <w:tab/>
              <w:t>The aim of this Regulation is to also promote the competitiveness of the Union, thereby enhancing growth and job creation in the internal market and contributing to a wider supply of products under uniform conditions, by allowing makers of biosimilars established in the Union to make in the Union products, or medicinal products containing those products, for the purpose of export to third-country markets in which protection does not exist or has expired, thereby also helping those makers to compete effectively in those third-country markets. This Regulation should also allow such makers to make and store products, or medicinal products containing those products, in a Member State for an unlimited period pending the expiry of the certificate, for the purpose of entering the market of any Member State upon expiry of the corresponding certificate, thereby helping those makers to compete effectively in the Union immediately after protection has expired (‘EU day-one entry’) and thus supporting the Union’s strategic autonomy and competitiveness by fostering a more stable and predictable market environment, encouraging investment and supporting innovation in the pharmaceutical sector.</w:t>
            </w:r>
          </w:p>
        </w:tc>
      </w:tr>
    </w:tbl>
    <w:p w14:paraId="058C0D88"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8EFCD48" w14:textId="77777777" w:rsidR="002969F2" w:rsidRPr="00B335F7" w:rsidRDefault="002969F2" w:rsidP="002969F2">
      <w:r w:rsidRPr="00B335F7">
        <w:rPr>
          <w:rStyle w:val="HideTWBExt"/>
          <w:rFonts w:eastAsiaTheme="majorEastAsia"/>
        </w:rPr>
        <w:t>&lt;/Amend&gt;</w:t>
      </w:r>
    </w:p>
    <w:p w14:paraId="52A329CF" w14:textId="36BC6AF9"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4</w:t>
      </w:r>
      <w:r w:rsidRPr="00B335F7">
        <w:rPr>
          <w:rStyle w:val="HideTWBExt"/>
          <w:rFonts w:eastAsiaTheme="majorEastAsia"/>
          <w:b w:val="0"/>
          <w:lang w:val="en-GB"/>
        </w:rPr>
        <w:t>&lt;/NumAm&gt;</w:t>
      </w:r>
    </w:p>
    <w:p w14:paraId="5887BE31"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6A984F64" w14:textId="321F40D9" w:rsidR="002969F2" w:rsidRPr="00B335F7" w:rsidRDefault="002969F2" w:rsidP="002969F2">
      <w:pPr>
        <w:pStyle w:val="NormalBold"/>
        <w:rPr>
          <w:lang w:val="fr-BE"/>
        </w:rPr>
      </w:pPr>
      <w:r w:rsidRPr="00B335F7">
        <w:rPr>
          <w:rStyle w:val="HideTWBExt"/>
          <w:rFonts w:eastAsiaTheme="majorEastAsia"/>
          <w:b w:val="0"/>
          <w:lang w:val="fr-BE"/>
        </w:rPr>
        <w:t>&lt;Article&gt;</w:t>
      </w:r>
      <w:r w:rsidRPr="00B335F7">
        <w:rPr>
          <w:lang w:val="fr-BE"/>
        </w:rPr>
        <w:t xml:space="preserve">Recital 57 </w:t>
      </w:r>
      <w:r w:rsidR="006E2F13" w:rsidRPr="00B335F7">
        <w:rPr>
          <w:lang w:val="fr-BE"/>
        </w:rPr>
        <w:t xml:space="preserve">b </w:t>
      </w:r>
      <w:r w:rsidRPr="00B335F7">
        <w:rPr>
          <w:lang w:val="fr-BE"/>
        </w:rPr>
        <w:t>(new)</w:t>
      </w:r>
      <w:r w:rsidRPr="00B335F7">
        <w:rPr>
          <w:rStyle w:val="HideTWBExt"/>
          <w:rFonts w:eastAsiaTheme="majorEastAsia"/>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2CF96FFB" w14:textId="77777777" w:rsidTr="002969F2">
        <w:trPr>
          <w:jc w:val="center"/>
        </w:trPr>
        <w:tc>
          <w:tcPr>
            <w:tcW w:w="9752" w:type="dxa"/>
            <w:gridSpan w:val="2"/>
          </w:tcPr>
          <w:p w14:paraId="702A9740" w14:textId="77777777" w:rsidR="002969F2" w:rsidRPr="00B335F7" w:rsidRDefault="002969F2">
            <w:pPr>
              <w:keepNext/>
              <w:rPr>
                <w:lang w:val="fr-BE"/>
              </w:rPr>
            </w:pPr>
          </w:p>
        </w:tc>
      </w:tr>
      <w:tr w:rsidR="002969F2" w:rsidRPr="00B335F7" w14:paraId="4DC9951B" w14:textId="77777777" w:rsidTr="002969F2">
        <w:trPr>
          <w:jc w:val="center"/>
        </w:trPr>
        <w:tc>
          <w:tcPr>
            <w:tcW w:w="4876" w:type="dxa"/>
            <w:hideMark/>
          </w:tcPr>
          <w:p w14:paraId="7849C23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0AD274D" w14:textId="77777777" w:rsidR="002969F2" w:rsidRPr="00B335F7" w:rsidRDefault="002969F2">
            <w:pPr>
              <w:pStyle w:val="ColumnHeading"/>
              <w:keepNext/>
              <w:rPr>
                <w:lang w:val="en-GB"/>
              </w:rPr>
            </w:pPr>
            <w:r w:rsidRPr="00B335F7">
              <w:rPr>
                <w:lang w:val="en-GB"/>
              </w:rPr>
              <w:t>Amendment</w:t>
            </w:r>
          </w:p>
        </w:tc>
      </w:tr>
      <w:tr w:rsidR="002969F2" w:rsidRPr="00B335F7" w14:paraId="5D29D6B2" w14:textId="77777777" w:rsidTr="002969F2">
        <w:trPr>
          <w:jc w:val="center"/>
        </w:trPr>
        <w:tc>
          <w:tcPr>
            <w:tcW w:w="4876" w:type="dxa"/>
          </w:tcPr>
          <w:p w14:paraId="496A085F" w14:textId="77777777" w:rsidR="002969F2" w:rsidRPr="00B335F7" w:rsidRDefault="002969F2">
            <w:pPr>
              <w:pStyle w:val="Normal6"/>
              <w:rPr>
                <w:lang w:val="en-GB"/>
              </w:rPr>
            </w:pPr>
          </w:p>
        </w:tc>
        <w:tc>
          <w:tcPr>
            <w:tcW w:w="4876" w:type="dxa"/>
            <w:hideMark/>
          </w:tcPr>
          <w:p w14:paraId="03CFFD02" w14:textId="740790CE" w:rsidR="002969F2" w:rsidRPr="00B335F7" w:rsidRDefault="002969F2">
            <w:pPr>
              <w:pStyle w:val="Normal6"/>
              <w:rPr>
                <w:szCs w:val="24"/>
                <w:lang w:val="en-GB"/>
              </w:rPr>
            </w:pPr>
            <w:r w:rsidRPr="00B335F7">
              <w:rPr>
                <w:b/>
                <w:i/>
                <w:lang w:val="en-GB"/>
              </w:rPr>
              <w:t>(</w:t>
            </w:r>
            <w:r w:rsidR="006E2F13" w:rsidRPr="00B335F7">
              <w:rPr>
                <w:b/>
                <w:i/>
                <w:lang w:val="en-GB"/>
              </w:rPr>
              <w:t>57b</w:t>
            </w:r>
            <w:r w:rsidRPr="00B335F7">
              <w:rPr>
                <w:b/>
                <w:i/>
                <w:lang w:val="en-GB"/>
              </w:rPr>
              <w:t>)</w:t>
            </w:r>
            <w:r w:rsidRPr="00B335F7">
              <w:rPr>
                <w:b/>
                <w:i/>
                <w:lang w:val="en-GB"/>
              </w:rPr>
              <w:tab/>
              <w:t>Since the adoption in 1992 of the predecessor to Regulation (EC) No 469/2009, markets have evolved significantly and there has been huge growth in the making of especially of biosimilars, and in the making of their active ingredients, in particular in countries outside the Union (‘third countries’) in which protection does not exist or has expired.</w:t>
            </w:r>
          </w:p>
        </w:tc>
      </w:tr>
    </w:tbl>
    <w:p w14:paraId="291E4182"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08C3DFB6" w14:textId="77777777" w:rsidR="002969F2" w:rsidRPr="00B335F7" w:rsidRDefault="002969F2" w:rsidP="002969F2">
      <w:r w:rsidRPr="00B335F7">
        <w:rPr>
          <w:rStyle w:val="HideTWBExt"/>
          <w:rFonts w:eastAsiaTheme="majorEastAsia"/>
        </w:rPr>
        <w:t>&lt;/Amend&gt;</w:t>
      </w:r>
    </w:p>
    <w:p w14:paraId="5D6A0788" w14:textId="18D8901F"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5</w:t>
      </w:r>
      <w:r w:rsidRPr="00B335F7">
        <w:rPr>
          <w:rStyle w:val="HideTWBExt"/>
          <w:rFonts w:eastAsiaTheme="majorEastAsia"/>
          <w:b w:val="0"/>
          <w:lang w:val="en-GB"/>
        </w:rPr>
        <w:t>&lt;/NumAm&gt;</w:t>
      </w:r>
    </w:p>
    <w:p w14:paraId="47AFD202"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F187C41" w14:textId="614B3614" w:rsidR="002969F2" w:rsidRPr="00B335F7" w:rsidRDefault="002969F2" w:rsidP="002969F2">
      <w:pPr>
        <w:pStyle w:val="NormalBold"/>
        <w:rPr>
          <w:lang w:val="fr-BE"/>
        </w:rPr>
      </w:pPr>
      <w:r w:rsidRPr="00B335F7">
        <w:rPr>
          <w:rStyle w:val="HideTWBExt"/>
          <w:rFonts w:eastAsiaTheme="majorEastAsia"/>
          <w:b w:val="0"/>
          <w:lang w:val="fr-BE"/>
        </w:rPr>
        <w:t>&lt;Article&gt;</w:t>
      </w:r>
      <w:r w:rsidRPr="00B335F7">
        <w:rPr>
          <w:lang w:val="fr-BE"/>
        </w:rPr>
        <w:t xml:space="preserve">Recital 57 </w:t>
      </w:r>
      <w:r w:rsidR="006E2F13" w:rsidRPr="00B335F7">
        <w:rPr>
          <w:lang w:val="fr-BE"/>
        </w:rPr>
        <w:t xml:space="preserve">c </w:t>
      </w:r>
      <w:r w:rsidRPr="00B335F7">
        <w:rPr>
          <w:lang w:val="fr-BE"/>
        </w:rPr>
        <w:t>(new)</w:t>
      </w:r>
      <w:r w:rsidRPr="00B335F7">
        <w:rPr>
          <w:rStyle w:val="HideTWBExt"/>
          <w:rFonts w:eastAsiaTheme="majorEastAsia"/>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6F3782AA" w14:textId="77777777" w:rsidTr="002969F2">
        <w:trPr>
          <w:jc w:val="center"/>
        </w:trPr>
        <w:tc>
          <w:tcPr>
            <w:tcW w:w="9752" w:type="dxa"/>
            <w:gridSpan w:val="2"/>
          </w:tcPr>
          <w:p w14:paraId="2963A82D" w14:textId="77777777" w:rsidR="002969F2" w:rsidRPr="00B335F7" w:rsidRDefault="002969F2">
            <w:pPr>
              <w:keepNext/>
              <w:rPr>
                <w:lang w:val="fr-BE"/>
              </w:rPr>
            </w:pPr>
          </w:p>
        </w:tc>
      </w:tr>
      <w:tr w:rsidR="002969F2" w:rsidRPr="00B335F7" w14:paraId="2B856CA6" w14:textId="77777777" w:rsidTr="002969F2">
        <w:trPr>
          <w:jc w:val="center"/>
        </w:trPr>
        <w:tc>
          <w:tcPr>
            <w:tcW w:w="4876" w:type="dxa"/>
            <w:hideMark/>
          </w:tcPr>
          <w:p w14:paraId="3F9C9610"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7535C9A3" w14:textId="77777777" w:rsidR="002969F2" w:rsidRPr="00B335F7" w:rsidRDefault="002969F2">
            <w:pPr>
              <w:pStyle w:val="ColumnHeading"/>
              <w:keepNext/>
              <w:rPr>
                <w:lang w:val="en-GB"/>
              </w:rPr>
            </w:pPr>
            <w:r w:rsidRPr="00B335F7">
              <w:rPr>
                <w:lang w:val="en-GB"/>
              </w:rPr>
              <w:t>Amendment</w:t>
            </w:r>
          </w:p>
        </w:tc>
      </w:tr>
      <w:tr w:rsidR="002969F2" w:rsidRPr="00B335F7" w14:paraId="21F5C3DC" w14:textId="77777777" w:rsidTr="002969F2">
        <w:trPr>
          <w:jc w:val="center"/>
        </w:trPr>
        <w:tc>
          <w:tcPr>
            <w:tcW w:w="4876" w:type="dxa"/>
          </w:tcPr>
          <w:p w14:paraId="38A5EEA7" w14:textId="77777777" w:rsidR="002969F2" w:rsidRPr="00B335F7" w:rsidRDefault="002969F2">
            <w:pPr>
              <w:pStyle w:val="Normal6"/>
              <w:rPr>
                <w:lang w:val="en-GB"/>
              </w:rPr>
            </w:pPr>
          </w:p>
        </w:tc>
        <w:tc>
          <w:tcPr>
            <w:tcW w:w="4876" w:type="dxa"/>
            <w:hideMark/>
          </w:tcPr>
          <w:p w14:paraId="50C1480C" w14:textId="1D66983A" w:rsidR="002969F2" w:rsidRPr="00B335F7" w:rsidRDefault="002969F2">
            <w:pPr>
              <w:pStyle w:val="Normal6"/>
              <w:rPr>
                <w:szCs w:val="24"/>
                <w:lang w:val="en-GB"/>
              </w:rPr>
            </w:pPr>
            <w:r w:rsidRPr="00B335F7">
              <w:rPr>
                <w:b/>
                <w:i/>
                <w:lang w:val="en-GB"/>
              </w:rPr>
              <w:t>(</w:t>
            </w:r>
            <w:r w:rsidR="006E2F13" w:rsidRPr="00B335F7">
              <w:rPr>
                <w:b/>
                <w:i/>
                <w:lang w:val="en-GB"/>
              </w:rPr>
              <w:t>57c</w:t>
            </w:r>
            <w:r w:rsidRPr="00B335F7">
              <w:rPr>
                <w:b/>
                <w:i/>
                <w:lang w:val="en-GB"/>
              </w:rPr>
              <w:t>)</w:t>
            </w:r>
            <w:r w:rsidRPr="00B335F7">
              <w:rPr>
                <w:b/>
                <w:i/>
                <w:lang w:val="en-GB"/>
              </w:rPr>
              <w:tab/>
              <w:t xml:space="preserve">The absence in Regulation (EC) No 469/2009 of any exception to the protection conferred by the certificate has had the unintended consequence of preventing makers of biosimilars established in the Union from making biosimilars in the Union, even for the purpose of export to third-country markets in which protection does not exist or has expired. Likewise, makers are prevented from making biosimilars for the purpose of storing them for a limited period before the expiry of the certificate. Those circumstances make it more difficult for those makers, in contrast to makers located in third countries where protection does not exist or has expired, to enter the Union market immediately after expiry of the certificate, given that they are not in a position to build up production capacity for the purpose of export or for the purpose of entering the market of a Member State until the protection provided by that certificate has </w:t>
            </w:r>
            <w:r w:rsidRPr="00B335F7">
              <w:rPr>
                <w:b/>
                <w:i/>
                <w:lang w:val="en-GB"/>
              </w:rPr>
              <w:lastRenderedPageBreak/>
              <w:t>expired.</w:t>
            </w:r>
          </w:p>
        </w:tc>
      </w:tr>
    </w:tbl>
    <w:p w14:paraId="6C679E0B"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5E270501" w14:textId="77777777" w:rsidR="002969F2" w:rsidRPr="00B335F7" w:rsidRDefault="002969F2" w:rsidP="002969F2">
      <w:r w:rsidRPr="00B335F7">
        <w:rPr>
          <w:rStyle w:val="HideTWBExt"/>
          <w:rFonts w:eastAsiaTheme="majorEastAsia"/>
        </w:rPr>
        <w:t>&lt;/Amend&gt;</w:t>
      </w:r>
    </w:p>
    <w:p w14:paraId="19F7DEB1" w14:textId="5801AAC7"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6</w:t>
      </w:r>
      <w:r w:rsidRPr="00B335F7">
        <w:rPr>
          <w:rStyle w:val="HideTWBExt"/>
          <w:rFonts w:eastAsiaTheme="majorEastAsia"/>
          <w:b w:val="0"/>
          <w:lang w:val="en-GB"/>
        </w:rPr>
        <w:t>&lt;/NumAm&gt;</w:t>
      </w:r>
    </w:p>
    <w:p w14:paraId="5526F248"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229A705" w14:textId="03EA9F53" w:rsidR="002969F2" w:rsidRPr="00B335F7" w:rsidRDefault="002969F2" w:rsidP="002969F2">
      <w:pPr>
        <w:pStyle w:val="NormalBold"/>
        <w:rPr>
          <w:lang w:val="fr-BE"/>
        </w:rPr>
      </w:pPr>
      <w:r w:rsidRPr="00B335F7">
        <w:rPr>
          <w:rStyle w:val="HideTWBExt"/>
          <w:rFonts w:eastAsiaTheme="majorEastAsia"/>
          <w:b w:val="0"/>
          <w:lang w:val="fr-BE"/>
        </w:rPr>
        <w:t>&lt;Article&gt;</w:t>
      </w:r>
      <w:r w:rsidRPr="00B335F7">
        <w:rPr>
          <w:lang w:val="fr-BE"/>
        </w:rPr>
        <w:t xml:space="preserve">Recital 57 </w:t>
      </w:r>
      <w:r w:rsidR="006E2F13" w:rsidRPr="00B335F7">
        <w:rPr>
          <w:lang w:val="fr-BE"/>
        </w:rPr>
        <w:t xml:space="preserve">d </w:t>
      </w:r>
      <w:r w:rsidRPr="00B335F7">
        <w:rPr>
          <w:lang w:val="fr-BE"/>
        </w:rPr>
        <w:t>(new)</w:t>
      </w:r>
      <w:r w:rsidRPr="00B335F7">
        <w:rPr>
          <w:rStyle w:val="HideTWBExt"/>
          <w:rFonts w:eastAsiaTheme="majorEastAsia"/>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2697492" w14:textId="77777777" w:rsidTr="002969F2">
        <w:trPr>
          <w:jc w:val="center"/>
        </w:trPr>
        <w:tc>
          <w:tcPr>
            <w:tcW w:w="9752" w:type="dxa"/>
            <w:gridSpan w:val="2"/>
          </w:tcPr>
          <w:p w14:paraId="22F9561E" w14:textId="77777777" w:rsidR="002969F2" w:rsidRPr="00B335F7" w:rsidRDefault="002969F2">
            <w:pPr>
              <w:keepNext/>
              <w:rPr>
                <w:lang w:val="fr-BE"/>
              </w:rPr>
            </w:pPr>
          </w:p>
        </w:tc>
      </w:tr>
      <w:tr w:rsidR="002969F2" w:rsidRPr="00B335F7" w14:paraId="29D8F8D5" w14:textId="77777777" w:rsidTr="002969F2">
        <w:trPr>
          <w:jc w:val="center"/>
        </w:trPr>
        <w:tc>
          <w:tcPr>
            <w:tcW w:w="4876" w:type="dxa"/>
            <w:hideMark/>
          </w:tcPr>
          <w:p w14:paraId="32A9DD4E"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99BD220" w14:textId="77777777" w:rsidR="002969F2" w:rsidRPr="00B335F7" w:rsidRDefault="002969F2">
            <w:pPr>
              <w:pStyle w:val="ColumnHeading"/>
              <w:keepNext/>
              <w:rPr>
                <w:lang w:val="en-GB"/>
              </w:rPr>
            </w:pPr>
            <w:r w:rsidRPr="00B335F7">
              <w:rPr>
                <w:lang w:val="en-GB"/>
              </w:rPr>
              <w:t>Amendment</w:t>
            </w:r>
          </w:p>
        </w:tc>
      </w:tr>
      <w:tr w:rsidR="002969F2" w:rsidRPr="00B335F7" w14:paraId="31D70A45" w14:textId="77777777" w:rsidTr="002969F2">
        <w:trPr>
          <w:jc w:val="center"/>
        </w:trPr>
        <w:tc>
          <w:tcPr>
            <w:tcW w:w="4876" w:type="dxa"/>
          </w:tcPr>
          <w:p w14:paraId="03CEC9BE" w14:textId="77777777" w:rsidR="002969F2" w:rsidRPr="00B335F7" w:rsidRDefault="002969F2">
            <w:pPr>
              <w:pStyle w:val="Normal6"/>
              <w:rPr>
                <w:lang w:val="en-GB"/>
              </w:rPr>
            </w:pPr>
          </w:p>
        </w:tc>
        <w:tc>
          <w:tcPr>
            <w:tcW w:w="4876" w:type="dxa"/>
            <w:hideMark/>
          </w:tcPr>
          <w:p w14:paraId="2F1E20A4" w14:textId="5AEED3BF" w:rsidR="002969F2" w:rsidRPr="00B335F7" w:rsidRDefault="002969F2">
            <w:pPr>
              <w:pStyle w:val="Normal6"/>
              <w:rPr>
                <w:szCs w:val="24"/>
                <w:lang w:val="en-GB"/>
              </w:rPr>
            </w:pPr>
            <w:r w:rsidRPr="00B335F7">
              <w:rPr>
                <w:b/>
                <w:i/>
                <w:lang w:val="en-GB"/>
              </w:rPr>
              <w:t>(</w:t>
            </w:r>
            <w:r w:rsidR="006E2F13" w:rsidRPr="00B335F7">
              <w:rPr>
                <w:b/>
                <w:i/>
                <w:lang w:val="en-GB"/>
              </w:rPr>
              <w:t>57d</w:t>
            </w:r>
            <w:r w:rsidRPr="00B335F7">
              <w:rPr>
                <w:b/>
                <w:i/>
                <w:lang w:val="en-GB"/>
              </w:rPr>
              <w:t>)</w:t>
            </w:r>
            <w:r w:rsidRPr="00B335F7">
              <w:rPr>
                <w:b/>
                <w:i/>
                <w:lang w:val="en-GB"/>
              </w:rPr>
              <w:tab/>
              <w:t>Those circumstances put makers of biosimilars established in the Union at a significant competitive disadvantage in comparison with makers based in third countries that offer less or no protection. The Union should strike a balance between restoring a level playing field between those makers and ensuring that the essence of the exclusive rights of holders of certificates (‘certificate holders’) is guaranteed in relation to the Union market.</w:t>
            </w:r>
          </w:p>
        </w:tc>
      </w:tr>
    </w:tbl>
    <w:p w14:paraId="21B1D8FA"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EDDB57A" w14:textId="77777777" w:rsidR="002969F2" w:rsidRPr="00B335F7" w:rsidRDefault="002969F2" w:rsidP="002969F2">
      <w:r w:rsidRPr="00B335F7">
        <w:rPr>
          <w:rStyle w:val="HideTWBExt"/>
          <w:rFonts w:eastAsiaTheme="majorEastAsia"/>
        </w:rPr>
        <w:t>&lt;/Amend&gt;</w:t>
      </w:r>
    </w:p>
    <w:p w14:paraId="5A87EE2C" w14:textId="7CEFF1B9"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7</w:t>
      </w:r>
      <w:r w:rsidRPr="00B335F7">
        <w:rPr>
          <w:rStyle w:val="HideTWBExt"/>
          <w:rFonts w:eastAsiaTheme="majorEastAsia"/>
          <w:b w:val="0"/>
          <w:lang w:val="en-GB"/>
        </w:rPr>
        <w:t>&lt;/NumAm&gt;</w:t>
      </w:r>
    </w:p>
    <w:p w14:paraId="2BC8FA8F"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840FAFE" w14:textId="173E20C1" w:rsidR="002969F2" w:rsidRPr="00B335F7" w:rsidRDefault="002969F2" w:rsidP="002969F2">
      <w:pPr>
        <w:pStyle w:val="NormalBold"/>
        <w:rPr>
          <w:lang w:val="fr-BE"/>
        </w:rPr>
      </w:pPr>
      <w:r w:rsidRPr="00B335F7">
        <w:rPr>
          <w:rStyle w:val="HideTWBExt"/>
          <w:rFonts w:eastAsiaTheme="majorEastAsia"/>
          <w:b w:val="0"/>
          <w:lang w:val="fr-BE"/>
        </w:rPr>
        <w:t>&lt;Article&gt;</w:t>
      </w:r>
      <w:r w:rsidRPr="00B335F7">
        <w:rPr>
          <w:lang w:val="fr-BE"/>
        </w:rPr>
        <w:t xml:space="preserve">Recital 57 </w:t>
      </w:r>
      <w:r w:rsidR="006E2F13" w:rsidRPr="00B335F7">
        <w:rPr>
          <w:lang w:val="fr-BE"/>
        </w:rPr>
        <w:t xml:space="preserve">e </w:t>
      </w:r>
      <w:r w:rsidRPr="00B335F7">
        <w:rPr>
          <w:lang w:val="fr-BE"/>
        </w:rPr>
        <w:t>(new)</w:t>
      </w:r>
      <w:r w:rsidRPr="00B335F7">
        <w:rPr>
          <w:rStyle w:val="HideTWBExt"/>
          <w:rFonts w:eastAsiaTheme="majorEastAsia"/>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5A5ED69" w14:textId="77777777" w:rsidTr="002969F2">
        <w:trPr>
          <w:jc w:val="center"/>
        </w:trPr>
        <w:tc>
          <w:tcPr>
            <w:tcW w:w="9752" w:type="dxa"/>
            <w:gridSpan w:val="2"/>
          </w:tcPr>
          <w:p w14:paraId="4FE9C135" w14:textId="77777777" w:rsidR="002969F2" w:rsidRPr="00B335F7" w:rsidRDefault="002969F2">
            <w:pPr>
              <w:keepNext/>
              <w:rPr>
                <w:lang w:val="fr-BE"/>
              </w:rPr>
            </w:pPr>
          </w:p>
        </w:tc>
      </w:tr>
      <w:tr w:rsidR="002969F2" w:rsidRPr="00B335F7" w14:paraId="75AFC276" w14:textId="77777777" w:rsidTr="002969F2">
        <w:trPr>
          <w:jc w:val="center"/>
        </w:trPr>
        <w:tc>
          <w:tcPr>
            <w:tcW w:w="4876" w:type="dxa"/>
            <w:hideMark/>
          </w:tcPr>
          <w:p w14:paraId="5991C935"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8E0DDF4" w14:textId="77777777" w:rsidR="002969F2" w:rsidRPr="00B335F7" w:rsidRDefault="002969F2">
            <w:pPr>
              <w:pStyle w:val="ColumnHeading"/>
              <w:keepNext/>
              <w:rPr>
                <w:lang w:val="en-GB"/>
              </w:rPr>
            </w:pPr>
            <w:r w:rsidRPr="00B335F7">
              <w:rPr>
                <w:lang w:val="en-GB"/>
              </w:rPr>
              <w:t>Amendment</w:t>
            </w:r>
          </w:p>
        </w:tc>
      </w:tr>
      <w:tr w:rsidR="002969F2" w:rsidRPr="00B335F7" w14:paraId="2CD93D60" w14:textId="77777777" w:rsidTr="002969F2">
        <w:trPr>
          <w:jc w:val="center"/>
        </w:trPr>
        <w:tc>
          <w:tcPr>
            <w:tcW w:w="4876" w:type="dxa"/>
          </w:tcPr>
          <w:p w14:paraId="72C42D7D" w14:textId="77777777" w:rsidR="002969F2" w:rsidRPr="00B335F7" w:rsidRDefault="002969F2">
            <w:pPr>
              <w:pStyle w:val="Normal6"/>
              <w:rPr>
                <w:lang w:val="en-GB"/>
              </w:rPr>
            </w:pPr>
          </w:p>
        </w:tc>
        <w:tc>
          <w:tcPr>
            <w:tcW w:w="4876" w:type="dxa"/>
            <w:hideMark/>
          </w:tcPr>
          <w:p w14:paraId="6B1201BA" w14:textId="457B41D6" w:rsidR="002969F2" w:rsidRPr="00B335F7" w:rsidRDefault="002969F2">
            <w:pPr>
              <w:pStyle w:val="Normal6"/>
              <w:rPr>
                <w:szCs w:val="24"/>
                <w:lang w:val="en-GB"/>
              </w:rPr>
            </w:pPr>
            <w:r w:rsidRPr="00B335F7">
              <w:rPr>
                <w:b/>
                <w:i/>
                <w:lang w:val="en-GB"/>
              </w:rPr>
              <w:t>(</w:t>
            </w:r>
            <w:r w:rsidR="006E2F13" w:rsidRPr="00B335F7">
              <w:rPr>
                <w:b/>
                <w:i/>
                <w:lang w:val="en-GB"/>
              </w:rPr>
              <w:t>57e</w:t>
            </w:r>
            <w:r w:rsidRPr="00B335F7">
              <w:rPr>
                <w:b/>
                <w:i/>
                <w:lang w:val="en-GB"/>
              </w:rPr>
              <w:t>)</w:t>
            </w:r>
            <w:r w:rsidRPr="00B335F7">
              <w:rPr>
                <w:b/>
                <w:i/>
                <w:lang w:val="en-GB"/>
              </w:rPr>
              <w:tab/>
              <w:t>Without intervention, the viability of makers of biosimilars established in the Union could be threatened, with consequences for the Union's pharmaceutical industrial base as a whole. That situation could affect the fully effective functioning of the internal market through the loss of potential new business opportunities for makers of biosimilars, thereby possibly diminishing related investments and hampering job creation within the Union.</w:t>
            </w:r>
          </w:p>
        </w:tc>
      </w:tr>
    </w:tbl>
    <w:p w14:paraId="251448A5"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1633A155" w14:textId="77777777" w:rsidR="002969F2" w:rsidRPr="00B335F7" w:rsidRDefault="002969F2" w:rsidP="002969F2">
      <w:r w:rsidRPr="00B335F7">
        <w:rPr>
          <w:rStyle w:val="HideTWBExt"/>
          <w:rFonts w:eastAsiaTheme="majorEastAsia"/>
        </w:rPr>
        <w:t>&lt;/Amend&gt;</w:t>
      </w:r>
    </w:p>
    <w:p w14:paraId="55C106FB" w14:textId="0DFD1AEF"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8</w:t>
      </w:r>
      <w:r w:rsidRPr="00B335F7">
        <w:rPr>
          <w:rStyle w:val="HideTWBExt"/>
          <w:rFonts w:eastAsiaTheme="majorEastAsia"/>
          <w:b w:val="0"/>
          <w:lang w:val="en-GB"/>
        </w:rPr>
        <w:t>&lt;/NumAm&gt;</w:t>
      </w:r>
    </w:p>
    <w:p w14:paraId="6935A180"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9818EEE" w14:textId="249991A6" w:rsidR="002969F2" w:rsidRPr="00B335F7" w:rsidRDefault="002969F2" w:rsidP="002969F2">
      <w:pPr>
        <w:pStyle w:val="NormalBold"/>
      </w:pPr>
      <w:r w:rsidRPr="00B335F7">
        <w:rPr>
          <w:rStyle w:val="HideTWBExt"/>
          <w:rFonts w:eastAsiaTheme="majorEastAsia"/>
          <w:b w:val="0"/>
        </w:rPr>
        <w:t>&lt;Article&gt;</w:t>
      </w:r>
      <w:r w:rsidRPr="00B335F7">
        <w:t xml:space="preserve">Recital 57 </w:t>
      </w:r>
      <w:r w:rsidR="006E2F13" w:rsidRPr="00B335F7">
        <w:t xml:space="preserve">f </w:t>
      </w:r>
      <w:r w:rsidRPr="00B335F7">
        <w:t>(new)</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E156B2F" w14:textId="77777777" w:rsidTr="002969F2">
        <w:trPr>
          <w:jc w:val="center"/>
        </w:trPr>
        <w:tc>
          <w:tcPr>
            <w:tcW w:w="9752" w:type="dxa"/>
            <w:gridSpan w:val="2"/>
          </w:tcPr>
          <w:p w14:paraId="0A551BBA" w14:textId="77777777" w:rsidR="002969F2" w:rsidRPr="00B335F7" w:rsidRDefault="002969F2">
            <w:pPr>
              <w:keepNext/>
            </w:pPr>
          </w:p>
        </w:tc>
      </w:tr>
      <w:tr w:rsidR="002969F2" w:rsidRPr="00B335F7" w14:paraId="7373BE92" w14:textId="77777777" w:rsidTr="002969F2">
        <w:trPr>
          <w:jc w:val="center"/>
        </w:trPr>
        <w:tc>
          <w:tcPr>
            <w:tcW w:w="4876" w:type="dxa"/>
            <w:hideMark/>
          </w:tcPr>
          <w:p w14:paraId="16BDE842"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E83DAF6" w14:textId="77777777" w:rsidR="002969F2" w:rsidRPr="00B335F7" w:rsidRDefault="002969F2">
            <w:pPr>
              <w:pStyle w:val="ColumnHeading"/>
              <w:keepNext/>
              <w:rPr>
                <w:lang w:val="en-GB"/>
              </w:rPr>
            </w:pPr>
            <w:r w:rsidRPr="00B335F7">
              <w:rPr>
                <w:lang w:val="en-GB"/>
              </w:rPr>
              <w:t>Amendment</w:t>
            </w:r>
          </w:p>
        </w:tc>
      </w:tr>
      <w:tr w:rsidR="002969F2" w:rsidRPr="00B335F7" w14:paraId="03B5CE23" w14:textId="77777777" w:rsidTr="002969F2">
        <w:trPr>
          <w:jc w:val="center"/>
        </w:trPr>
        <w:tc>
          <w:tcPr>
            <w:tcW w:w="4876" w:type="dxa"/>
          </w:tcPr>
          <w:p w14:paraId="3A62D183" w14:textId="77777777" w:rsidR="002969F2" w:rsidRPr="00B335F7" w:rsidRDefault="002969F2">
            <w:pPr>
              <w:pStyle w:val="Normal6"/>
              <w:rPr>
                <w:lang w:val="en-GB"/>
              </w:rPr>
            </w:pPr>
          </w:p>
        </w:tc>
        <w:tc>
          <w:tcPr>
            <w:tcW w:w="4876" w:type="dxa"/>
            <w:hideMark/>
          </w:tcPr>
          <w:p w14:paraId="7C0C6CC5" w14:textId="32755E27" w:rsidR="002969F2" w:rsidRPr="00B335F7" w:rsidRDefault="002969F2">
            <w:pPr>
              <w:pStyle w:val="Normal6"/>
              <w:rPr>
                <w:szCs w:val="24"/>
                <w:lang w:val="en-GB"/>
              </w:rPr>
            </w:pPr>
            <w:r w:rsidRPr="00B335F7">
              <w:rPr>
                <w:b/>
                <w:i/>
                <w:lang w:val="en-GB"/>
              </w:rPr>
              <w:t>(</w:t>
            </w:r>
            <w:r w:rsidR="006E2F13" w:rsidRPr="00B335F7">
              <w:rPr>
                <w:b/>
                <w:i/>
                <w:lang w:val="en-GB"/>
              </w:rPr>
              <w:t>57f</w:t>
            </w:r>
            <w:r w:rsidRPr="00B335F7">
              <w:rPr>
                <w:b/>
                <w:i/>
                <w:lang w:val="en-GB"/>
              </w:rPr>
              <w:t>)</w:t>
            </w:r>
            <w:r w:rsidRPr="00B335F7">
              <w:rPr>
                <w:b/>
                <w:i/>
                <w:lang w:val="en-GB"/>
              </w:rPr>
              <w:tab/>
              <w:t>The timely entry of biosimilars into the Union market is important, particularly in order to increase competition, to reduce prices and to ensure that national healthcare systems are sustainable and that patients in the Union have better access to affordable medicines.</w:t>
            </w:r>
          </w:p>
        </w:tc>
      </w:tr>
    </w:tbl>
    <w:p w14:paraId="70B1BEE6"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DF56182" w14:textId="77777777" w:rsidR="002969F2" w:rsidRPr="00B335F7" w:rsidRDefault="002969F2" w:rsidP="002969F2">
      <w:r w:rsidRPr="00B335F7">
        <w:rPr>
          <w:rStyle w:val="HideTWBExt"/>
          <w:rFonts w:eastAsiaTheme="majorEastAsia"/>
        </w:rPr>
        <w:t>&lt;/Amend&gt;</w:t>
      </w:r>
    </w:p>
    <w:p w14:paraId="79AA9E0D" w14:textId="6CF3DCE0"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9</w:t>
      </w:r>
      <w:r w:rsidRPr="00B335F7">
        <w:rPr>
          <w:rStyle w:val="HideTWBExt"/>
          <w:rFonts w:eastAsiaTheme="majorEastAsia"/>
          <w:b w:val="0"/>
          <w:lang w:val="en-GB"/>
        </w:rPr>
        <w:t>&lt;/NumAm&gt;</w:t>
      </w:r>
    </w:p>
    <w:p w14:paraId="217E533C"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064BD7AD" w14:textId="77777777" w:rsidR="002969F2" w:rsidRPr="00B335F7" w:rsidRDefault="002969F2" w:rsidP="002969F2">
      <w:pPr>
        <w:pStyle w:val="NormalBold"/>
      </w:pPr>
      <w:r w:rsidRPr="00B335F7">
        <w:rPr>
          <w:rStyle w:val="HideTWBExt"/>
          <w:rFonts w:eastAsiaTheme="majorEastAsia"/>
          <w:b w:val="0"/>
        </w:rPr>
        <w:t>&lt;Article&gt;</w:t>
      </w:r>
      <w:r w:rsidRPr="00B335F7">
        <w:t>Recital 61</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0E13BAB6" w14:textId="77777777" w:rsidTr="002969F2">
        <w:trPr>
          <w:jc w:val="center"/>
        </w:trPr>
        <w:tc>
          <w:tcPr>
            <w:tcW w:w="9752" w:type="dxa"/>
            <w:gridSpan w:val="2"/>
          </w:tcPr>
          <w:p w14:paraId="269DC823" w14:textId="77777777" w:rsidR="002969F2" w:rsidRPr="00B335F7" w:rsidRDefault="002969F2">
            <w:pPr>
              <w:keepNext/>
            </w:pPr>
          </w:p>
        </w:tc>
      </w:tr>
      <w:tr w:rsidR="002969F2" w:rsidRPr="00B335F7" w14:paraId="66C87E8E" w14:textId="77777777" w:rsidTr="002969F2">
        <w:trPr>
          <w:jc w:val="center"/>
        </w:trPr>
        <w:tc>
          <w:tcPr>
            <w:tcW w:w="4876" w:type="dxa"/>
            <w:hideMark/>
          </w:tcPr>
          <w:p w14:paraId="25EEA359"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EFD4EE5" w14:textId="77777777" w:rsidR="002969F2" w:rsidRPr="00B335F7" w:rsidRDefault="002969F2">
            <w:pPr>
              <w:pStyle w:val="ColumnHeading"/>
              <w:keepNext/>
              <w:rPr>
                <w:lang w:val="en-GB"/>
              </w:rPr>
            </w:pPr>
            <w:r w:rsidRPr="00B335F7">
              <w:rPr>
                <w:lang w:val="en-GB"/>
              </w:rPr>
              <w:t>Amendment</w:t>
            </w:r>
          </w:p>
        </w:tc>
      </w:tr>
      <w:tr w:rsidR="002969F2" w:rsidRPr="00B335F7" w14:paraId="49A7AA11" w14:textId="77777777" w:rsidTr="002969F2">
        <w:trPr>
          <w:jc w:val="center"/>
        </w:trPr>
        <w:tc>
          <w:tcPr>
            <w:tcW w:w="4876" w:type="dxa"/>
            <w:hideMark/>
          </w:tcPr>
          <w:p w14:paraId="34AC05D9" w14:textId="5BA9D7A2" w:rsidR="002969F2" w:rsidRPr="00B335F7" w:rsidRDefault="002969F2">
            <w:pPr>
              <w:pStyle w:val="Normal6"/>
              <w:rPr>
                <w:lang w:val="en-GB"/>
              </w:rPr>
            </w:pPr>
            <w:r w:rsidRPr="00B335F7">
              <w:rPr>
                <w:lang w:val="en-GB"/>
              </w:rPr>
              <w:t>(61)</w:t>
            </w:r>
            <w:r w:rsidRPr="00B335F7">
              <w:rPr>
                <w:lang w:val="en-GB"/>
              </w:rPr>
              <w:tab/>
              <w:t>AI can enhance the development, safety, efficiency and scale-up of biotechnology and biomanufacturing, provided that its use is responsible and aligned with Union legislation. To pursue this, the Commission and the Member States should promote an AI-first policy approach as introduced in the Apply AI Strategy when implementing this Regulation and the exchange of knowledge, standards and best practices relevant to the responsible application of the AI-First Policy Approach</w:t>
            </w:r>
            <w:r w:rsidRPr="00B335F7">
              <w:rPr>
                <w:b/>
                <w:i/>
                <w:vertAlign w:val="superscript"/>
                <w:lang w:val="en-GB"/>
              </w:rPr>
              <w:t>36</w:t>
            </w:r>
            <w:r w:rsidRPr="00B335F7">
              <w:rPr>
                <w:lang w:val="en-GB"/>
              </w:rPr>
              <w:t xml:space="preserve">. The responsible and effective integration of AI can enhance research, development and regulatory processes and thereby support the competitiveness of Union innovators in biotechnology. The Commission and the </w:t>
            </w:r>
            <w:r w:rsidRPr="00B335F7">
              <w:rPr>
                <w:lang w:val="en-GB"/>
              </w:rPr>
              <w:lastRenderedPageBreak/>
              <w:t>Member States should therefore encourage the uptake of such approaches and facilitate the exchange of knowledge, standards and best practices relevant to their application. That cooperation should remain fully compliant with Union competition rules.</w:t>
            </w:r>
          </w:p>
        </w:tc>
        <w:tc>
          <w:tcPr>
            <w:tcW w:w="4876" w:type="dxa"/>
            <w:hideMark/>
          </w:tcPr>
          <w:p w14:paraId="46691DC3" w14:textId="1DC2370C" w:rsidR="002969F2" w:rsidRPr="00B335F7" w:rsidRDefault="002F1264">
            <w:pPr>
              <w:pStyle w:val="Normal6"/>
              <w:rPr>
                <w:szCs w:val="24"/>
                <w:lang w:val="en-GB"/>
              </w:rPr>
            </w:pPr>
            <w:r w:rsidRPr="00B335F7">
              <w:rPr>
                <w:lang w:val="en-GB"/>
              </w:rPr>
              <w:lastRenderedPageBreak/>
              <w:t>(61)</w:t>
            </w:r>
            <w:r w:rsidRPr="00B335F7">
              <w:rPr>
                <w:lang w:val="en-GB"/>
              </w:rPr>
              <w:tab/>
            </w:r>
            <w:r w:rsidR="002969F2" w:rsidRPr="00B335F7">
              <w:rPr>
                <w:lang w:val="en-GB"/>
              </w:rPr>
              <w:t>AI can enhance the development, safety, efficiency and scale-up of biotechnology and biomanufacturing, provided that its use is responsible and aligned with Union legislation</w:t>
            </w:r>
            <w:r w:rsidR="002969F2" w:rsidRPr="00B335F7">
              <w:rPr>
                <w:b/>
                <w:i/>
                <w:lang w:val="en-GB"/>
              </w:rPr>
              <w:t>, with a focus on human-centric approach and the development of secure, trustworthy and ethical AI</w:t>
            </w:r>
            <w:r w:rsidR="002969F2" w:rsidRPr="00B335F7">
              <w:rPr>
                <w:lang w:val="en-GB"/>
              </w:rPr>
              <w:t>. To pursue this, the Commission and the Member States should promote an AI-first policy approach as introduced in the Apply AI Strategy when implementing this Regulation and the exchange of knowledge, standards and best practices relevant to the responsible application of the AI-First Policy Approach</w:t>
            </w:r>
            <w:r w:rsidR="00A05CFF" w:rsidRPr="00B335F7">
              <w:rPr>
                <w:b/>
                <w:i/>
                <w:vertAlign w:val="superscript"/>
                <w:lang w:val="en-GB"/>
              </w:rPr>
              <w:t>36</w:t>
            </w:r>
            <w:r w:rsidR="002969F2" w:rsidRPr="00B335F7">
              <w:rPr>
                <w:lang w:val="en-GB"/>
              </w:rPr>
              <w:t xml:space="preserve">. The responsible and effective integration of AI can enhance research, development and regulatory processes and thereby support </w:t>
            </w:r>
            <w:r w:rsidR="002969F2" w:rsidRPr="00B335F7">
              <w:rPr>
                <w:lang w:val="en-GB"/>
              </w:rPr>
              <w:lastRenderedPageBreak/>
              <w:t xml:space="preserve">the competitiveness of Union innovators in biotechnology. The Commission and the Member States should therefore encourage the uptake of such approaches and facilitate the exchange of knowledge, standards and best practices relevant to their application. That cooperation should remain fully compliant with Union competition rules. </w:t>
            </w:r>
            <w:r w:rsidR="002969F2" w:rsidRPr="00B335F7">
              <w:rPr>
                <w:b/>
                <w:i/>
                <w:lang w:val="en-GB"/>
              </w:rPr>
              <w:t>At the same time ethical and professional standards for scientific research need to be ensured so that AI is used trustworthy and ethically sound.</w:t>
            </w:r>
          </w:p>
        </w:tc>
      </w:tr>
      <w:tr w:rsidR="002969F2" w:rsidRPr="00B335F7" w14:paraId="29B95CEE" w14:textId="77777777" w:rsidTr="002969F2">
        <w:trPr>
          <w:jc w:val="center"/>
        </w:trPr>
        <w:tc>
          <w:tcPr>
            <w:tcW w:w="4876" w:type="dxa"/>
            <w:hideMark/>
          </w:tcPr>
          <w:p w14:paraId="40341B0D" w14:textId="77777777" w:rsidR="002969F2" w:rsidRPr="00B335F7" w:rsidRDefault="002969F2">
            <w:pPr>
              <w:pStyle w:val="Normal6"/>
              <w:rPr>
                <w:lang w:val="en-GB"/>
              </w:rPr>
            </w:pPr>
            <w:r w:rsidRPr="00B335F7">
              <w:rPr>
                <w:lang w:val="en-GB"/>
              </w:rPr>
              <w:lastRenderedPageBreak/>
              <w:t>__________________</w:t>
            </w:r>
          </w:p>
        </w:tc>
        <w:tc>
          <w:tcPr>
            <w:tcW w:w="4876" w:type="dxa"/>
            <w:hideMark/>
          </w:tcPr>
          <w:p w14:paraId="29FEA980" w14:textId="77777777" w:rsidR="002969F2" w:rsidRPr="00B335F7" w:rsidRDefault="002969F2">
            <w:pPr>
              <w:pStyle w:val="Normal6"/>
              <w:rPr>
                <w:szCs w:val="24"/>
                <w:lang w:val="en-GB"/>
              </w:rPr>
            </w:pPr>
            <w:r w:rsidRPr="00B335F7">
              <w:rPr>
                <w:lang w:val="en-GB"/>
              </w:rPr>
              <w:t>__________________</w:t>
            </w:r>
          </w:p>
        </w:tc>
      </w:tr>
      <w:tr w:rsidR="002969F2" w:rsidRPr="00B335F7" w14:paraId="64A4B9E4" w14:textId="77777777" w:rsidTr="002969F2">
        <w:trPr>
          <w:jc w:val="center"/>
        </w:trPr>
        <w:tc>
          <w:tcPr>
            <w:tcW w:w="4876" w:type="dxa"/>
            <w:hideMark/>
          </w:tcPr>
          <w:p w14:paraId="472EF099" w14:textId="77777777" w:rsidR="002969F2" w:rsidRPr="00B335F7" w:rsidRDefault="002969F2">
            <w:pPr>
              <w:pStyle w:val="Normal6"/>
              <w:rPr>
                <w:lang w:val="en-GB"/>
              </w:rPr>
            </w:pPr>
            <w:r w:rsidRPr="00B335F7">
              <w:rPr>
                <w:vertAlign w:val="superscript"/>
                <w:lang w:val="en-GB"/>
              </w:rPr>
              <w:t>36</w:t>
            </w:r>
            <w:r w:rsidRPr="00B335F7">
              <w:rPr>
                <w:lang w:val="en-GB"/>
              </w:rPr>
              <w:t xml:space="preserve"> Communication from the Commission to the European Parliament and the Council, Apply AI Strategy, COM/2025/723 final.</w:t>
            </w:r>
          </w:p>
        </w:tc>
        <w:tc>
          <w:tcPr>
            <w:tcW w:w="4876" w:type="dxa"/>
            <w:hideMark/>
          </w:tcPr>
          <w:p w14:paraId="6ED10B20" w14:textId="77777777" w:rsidR="002969F2" w:rsidRPr="00B335F7" w:rsidRDefault="002969F2">
            <w:pPr>
              <w:pStyle w:val="Normal6"/>
              <w:rPr>
                <w:szCs w:val="24"/>
                <w:lang w:val="en-GB"/>
              </w:rPr>
            </w:pPr>
            <w:r w:rsidRPr="00B335F7">
              <w:rPr>
                <w:vertAlign w:val="superscript"/>
                <w:lang w:val="en-GB"/>
              </w:rPr>
              <w:t>36</w:t>
            </w:r>
            <w:r w:rsidRPr="00B335F7">
              <w:rPr>
                <w:lang w:val="en-GB"/>
              </w:rPr>
              <w:t xml:space="preserve"> Communication from the Commission to the European Parliament and the Council, Apply AI Strategy, COM/2025/723 final.</w:t>
            </w:r>
          </w:p>
        </w:tc>
      </w:tr>
    </w:tbl>
    <w:p w14:paraId="1E7C55FE"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22FBB5E9" w14:textId="77777777" w:rsidR="002969F2" w:rsidRPr="00B335F7" w:rsidRDefault="002969F2" w:rsidP="002969F2">
      <w:r w:rsidRPr="00B335F7">
        <w:rPr>
          <w:rStyle w:val="HideTWBExt"/>
          <w:rFonts w:eastAsiaTheme="majorEastAsia"/>
        </w:rPr>
        <w:t>&lt;/Amend&gt;</w:t>
      </w:r>
    </w:p>
    <w:p w14:paraId="2D7E6DCF" w14:textId="1B975E0A"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10</w:t>
      </w:r>
      <w:r w:rsidRPr="00B335F7">
        <w:rPr>
          <w:rStyle w:val="HideTWBExt"/>
          <w:rFonts w:eastAsiaTheme="majorEastAsia"/>
          <w:b w:val="0"/>
          <w:lang w:val="en-GB"/>
        </w:rPr>
        <w:t>&lt;/NumAm&gt;</w:t>
      </w:r>
    </w:p>
    <w:p w14:paraId="66476095"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B5131C8" w14:textId="77777777" w:rsidR="002969F2" w:rsidRPr="00B335F7" w:rsidRDefault="002969F2" w:rsidP="002969F2">
      <w:pPr>
        <w:pStyle w:val="NormalBold"/>
      </w:pPr>
      <w:r w:rsidRPr="00B335F7">
        <w:rPr>
          <w:rStyle w:val="HideTWBExt"/>
          <w:rFonts w:eastAsiaTheme="majorEastAsia"/>
          <w:b w:val="0"/>
        </w:rPr>
        <w:t>&lt;Article&gt;</w:t>
      </w:r>
      <w:r w:rsidRPr="00B335F7">
        <w:t>Recital 62</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0B4A5455" w14:textId="77777777" w:rsidTr="002969F2">
        <w:trPr>
          <w:jc w:val="center"/>
        </w:trPr>
        <w:tc>
          <w:tcPr>
            <w:tcW w:w="9752" w:type="dxa"/>
            <w:gridSpan w:val="2"/>
          </w:tcPr>
          <w:p w14:paraId="54EFB6F2" w14:textId="77777777" w:rsidR="002969F2" w:rsidRPr="00B335F7" w:rsidRDefault="002969F2">
            <w:pPr>
              <w:keepNext/>
            </w:pPr>
          </w:p>
        </w:tc>
      </w:tr>
      <w:tr w:rsidR="002969F2" w:rsidRPr="00B335F7" w14:paraId="1328F0E1" w14:textId="77777777" w:rsidTr="002969F2">
        <w:trPr>
          <w:jc w:val="center"/>
        </w:trPr>
        <w:tc>
          <w:tcPr>
            <w:tcW w:w="4876" w:type="dxa"/>
            <w:hideMark/>
          </w:tcPr>
          <w:p w14:paraId="3D92025E"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2571A08C" w14:textId="77777777" w:rsidR="002969F2" w:rsidRPr="00B335F7" w:rsidRDefault="002969F2">
            <w:pPr>
              <w:pStyle w:val="ColumnHeading"/>
              <w:keepNext/>
              <w:rPr>
                <w:lang w:val="en-GB"/>
              </w:rPr>
            </w:pPr>
            <w:r w:rsidRPr="00B335F7">
              <w:rPr>
                <w:lang w:val="en-GB"/>
              </w:rPr>
              <w:t>Amendment</w:t>
            </w:r>
          </w:p>
        </w:tc>
      </w:tr>
      <w:tr w:rsidR="002969F2" w:rsidRPr="00B335F7" w14:paraId="207AE0C2" w14:textId="77777777" w:rsidTr="002969F2">
        <w:trPr>
          <w:jc w:val="center"/>
        </w:trPr>
        <w:tc>
          <w:tcPr>
            <w:tcW w:w="4876" w:type="dxa"/>
            <w:hideMark/>
          </w:tcPr>
          <w:p w14:paraId="24ADAF4C" w14:textId="3EC68EFE" w:rsidR="002969F2" w:rsidRPr="00B335F7" w:rsidRDefault="002969F2">
            <w:pPr>
              <w:pStyle w:val="Normal6"/>
              <w:rPr>
                <w:lang w:val="en-GB"/>
              </w:rPr>
            </w:pPr>
            <w:r w:rsidRPr="00B335F7">
              <w:rPr>
                <w:lang w:val="en-GB"/>
              </w:rPr>
              <w:t>(62)</w:t>
            </w:r>
            <w:r w:rsidRPr="00B335F7">
              <w:rPr>
                <w:lang w:val="en-GB"/>
              </w:rPr>
              <w:tab/>
              <w:t xml:space="preserve">The rapid expansion and increasing complexity of AI applications throughout the medicinal-product lifecycle requires structured and coherent guidance to ensure their safe, effective and trustworthy use. The Agency is developing expertise in this area through initiatives such as the Good Manufacturing Practice (GMP) Annex 22 – Artificial Intelligence, Q&amp;A in AI in Pharmacovigilance, the GCP Annex to the Guideline on computerised systems and electronic data in clinical trials and AI in Clinical Development. It is therefore appropriate for the Agency to develop </w:t>
            </w:r>
            <w:r w:rsidRPr="00B335F7">
              <w:rPr>
                <w:bCs/>
                <w:iCs/>
                <w:lang w:val="en-GB"/>
              </w:rPr>
              <w:t>non-binding</w:t>
            </w:r>
            <w:r w:rsidRPr="00B335F7">
              <w:rPr>
                <w:lang w:val="en-GB"/>
              </w:rPr>
              <w:t xml:space="preserve"> guidance on the deployment and use of systems based on advanced technologies, including of AI systems and of general-purpose AI models across development, manufacturing, clinical trials, and post-authorisation activities for </w:t>
            </w:r>
            <w:r w:rsidRPr="00B335F7">
              <w:rPr>
                <w:lang w:val="en-GB"/>
              </w:rPr>
              <w:lastRenderedPageBreak/>
              <w:t xml:space="preserve">compliance with applicable Union legislation in the health area. To ensure consistency across the health and digital domains, when developing or updating such guidance, the Agency should cooperate with the Commission, including the AI </w:t>
            </w:r>
            <w:r w:rsidR="007E4F5D" w:rsidRPr="00B335F7">
              <w:rPr>
                <w:lang w:val="en-GB"/>
              </w:rPr>
              <w:t>O</w:t>
            </w:r>
            <w:r w:rsidRPr="00B335F7">
              <w:rPr>
                <w:lang w:val="en-GB"/>
              </w:rPr>
              <w:t>ffice and should consult relevant national competent authorities and stakeholders, and relevant expert coordination groups established under Union legislation in the health and digital areas, as appropriate.</w:t>
            </w:r>
          </w:p>
        </w:tc>
        <w:tc>
          <w:tcPr>
            <w:tcW w:w="4876" w:type="dxa"/>
            <w:hideMark/>
          </w:tcPr>
          <w:p w14:paraId="362ABBFE" w14:textId="626872A0" w:rsidR="002969F2" w:rsidRPr="00B335F7" w:rsidRDefault="0084036E">
            <w:pPr>
              <w:pStyle w:val="Normal6"/>
              <w:rPr>
                <w:szCs w:val="24"/>
                <w:lang w:val="en-GB"/>
              </w:rPr>
            </w:pPr>
            <w:r w:rsidRPr="00B335F7">
              <w:rPr>
                <w:lang w:val="en-GB"/>
              </w:rPr>
              <w:lastRenderedPageBreak/>
              <w:t>(62)</w:t>
            </w:r>
            <w:r w:rsidRPr="00B335F7">
              <w:rPr>
                <w:lang w:val="en-GB"/>
              </w:rPr>
              <w:tab/>
            </w:r>
            <w:r w:rsidR="002969F2" w:rsidRPr="00B335F7">
              <w:rPr>
                <w:lang w:val="en-GB"/>
              </w:rPr>
              <w:t>The rapid expansion and increasing complexity of AI applications throughout the medicinal-product lifecycle requires structured and coherent guidance to ensure their safe, effective</w:t>
            </w:r>
            <w:r w:rsidR="002969F2" w:rsidRPr="00B335F7">
              <w:rPr>
                <w:b/>
                <w:i/>
                <w:lang w:val="en-GB"/>
              </w:rPr>
              <w:t>, ethical</w:t>
            </w:r>
            <w:r w:rsidR="002969F2" w:rsidRPr="00B335F7">
              <w:rPr>
                <w:lang w:val="en-GB"/>
              </w:rPr>
              <w:t xml:space="preserve"> and trustworthy use. The Agency is developing expertise in this area through initiatives such as the Good Manufacturing Practice (GMP) Annex 22 – Artificial Intelligence, Q&amp;A in AI in Pharmacovigilance, the GCP Annex to the Guideline on computerised systems and electronic data in clinical trials and AI in Clinical Development. It is therefore appropriate for the Agency to develop non-</w:t>
            </w:r>
            <w:r w:rsidR="002969F2" w:rsidRPr="00B335F7">
              <w:rPr>
                <w:bCs/>
                <w:iCs/>
                <w:lang w:val="en-GB"/>
              </w:rPr>
              <w:t>binding</w:t>
            </w:r>
            <w:r w:rsidR="002969F2" w:rsidRPr="00B335F7">
              <w:rPr>
                <w:lang w:val="en-GB"/>
              </w:rPr>
              <w:t xml:space="preserve"> guidance on the deployment and use of systems based on advanced technologies, including of AI systems and of general-purpose AI models across development, manufacturing, clinical trials, and post-authorisation </w:t>
            </w:r>
            <w:r w:rsidR="002969F2" w:rsidRPr="00B335F7">
              <w:rPr>
                <w:lang w:val="en-GB"/>
              </w:rPr>
              <w:lastRenderedPageBreak/>
              <w:t xml:space="preserve">activities for compliance with applicable Union legislation in the health area. To ensure consistency across the health and digital domains, when developing or updating such guidance, the Agency should cooperate with the Commission, including the AI </w:t>
            </w:r>
            <w:r w:rsidR="007E4F5D" w:rsidRPr="00B335F7">
              <w:rPr>
                <w:lang w:val="en-GB"/>
              </w:rPr>
              <w:t>O</w:t>
            </w:r>
            <w:r w:rsidR="002969F2" w:rsidRPr="00B335F7">
              <w:rPr>
                <w:lang w:val="en-GB"/>
              </w:rPr>
              <w:t>ffice and should consult relevant national competent authorities and stakeholders, and relevant expert coordination groups established under Union legislation in the health and digital areas, as appropriate.</w:t>
            </w:r>
          </w:p>
        </w:tc>
      </w:tr>
    </w:tbl>
    <w:p w14:paraId="250D3205"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06449E7F" w14:textId="77777777" w:rsidR="002969F2" w:rsidRPr="00B335F7" w:rsidRDefault="002969F2" w:rsidP="002969F2">
      <w:r w:rsidRPr="00B335F7">
        <w:rPr>
          <w:rStyle w:val="HideTWBExt"/>
          <w:rFonts w:eastAsiaTheme="majorEastAsia"/>
        </w:rPr>
        <w:t>&lt;/Amend&gt;</w:t>
      </w:r>
    </w:p>
    <w:p w14:paraId="118115DA" w14:textId="169FFDA2"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11</w:t>
      </w:r>
      <w:r w:rsidRPr="00B335F7">
        <w:rPr>
          <w:rStyle w:val="HideTWBExt"/>
          <w:rFonts w:eastAsiaTheme="majorEastAsia"/>
          <w:b w:val="0"/>
          <w:lang w:val="en-GB"/>
        </w:rPr>
        <w:t>&lt;/NumAm&gt;</w:t>
      </w:r>
    </w:p>
    <w:p w14:paraId="20300A03"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6DFCE94F" w14:textId="77777777" w:rsidR="002969F2" w:rsidRPr="00B335F7" w:rsidRDefault="002969F2" w:rsidP="002969F2">
      <w:pPr>
        <w:pStyle w:val="NormalBold"/>
      </w:pPr>
      <w:r w:rsidRPr="00B335F7">
        <w:rPr>
          <w:rStyle w:val="HideTWBExt"/>
          <w:rFonts w:eastAsiaTheme="majorEastAsia"/>
          <w:b w:val="0"/>
        </w:rPr>
        <w:t>&lt;Article&gt;</w:t>
      </w:r>
      <w:r w:rsidRPr="00B335F7">
        <w:t>Recital 63</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08C2D605" w14:textId="77777777" w:rsidTr="002969F2">
        <w:trPr>
          <w:jc w:val="center"/>
        </w:trPr>
        <w:tc>
          <w:tcPr>
            <w:tcW w:w="9752" w:type="dxa"/>
            <w:gridSpan w:val="2"/>
          </w:tcPr>
          <w:p w14:paraId="1A8F5BD6" w14:textId="77777777" w:rsidR="002969F2" w:rsidRPr="00B335F7" w:rsidRDefault="002969F2">
            <w:pPr>
              <w:keepNext/>
            </w:pPr>
          </w:p>
        </w:tc>
      </w:tr>
      <w:tr w:rsidR="002969F2" w:rsidRPr="00B335F7" w14:paraId="1116A590" w14:textId="77777777" w:rsidTr="002969F2">
        <w:trPr>
          <w:jc w:val="center"/>
        </w:trPr>
        <w:tc>
          <w:tcPr>
            <w:tcW w:w="4876" w:type="dxa"/>
            <w:hideMark/>
          </w:tcPr>
          <w:p w14:paraId="359936E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1DC7238" w14:textId="77777777" w:rsidR="002969F2" w:rsidRPr="00B335F7" w:rsidRDefault="002969F2">
            <w:pPr>
              <w:pStyle w:val="ColumnHeading"/>
              <w:keepNext/>
              <w:rPr>
                <w:lang w:val="en-GB"/>
              </w:rPr>
            </w:pPr>
            <w:r w:rsidRPr="00B335F7">
              <w:rPr>
                <w:lang w:val="en-GB"/>
              </w:rPr>
              <w:t>Amendment</w:t>
            </w:r>
          </w:p>
        </w:tc>
      </w:tr>
      <w:tr w:rsidR="002969F2" w:rsidRPr="00B335F7" w14:paraId="3E51456C" w14:textId="77777777" w:rsidTr="002969F2">
        <w:trPr>
          <w:jc w:val="center"/>
        </w:trPr>
        <w:tc>
          <w:tcPr>
            <w:tcW w:w="4876" w:type="dxa"/>
            <w:hideMark/>
          </w:tcPr>
          <w:p w14:paraId="2CDA4946" w14:textId="77777777" w:rsidR="002969F2" w:rsidRPr="00B335F7" w:rsidRDefault="002969F2">
            <w:pPr>
              <w:pStyle w:val="Normal6"/>
              <w:rPr>
                <w:lang w:val="en-GB"/>
              </w:rPr>
            </w:pPr>
            <w:r w:rsidRPr="00B335F7">
              <w:rPr>
                <w:lang w:val="en-GB"/>
              </w:rPr>
              <w:t>(63)</w:t>
            </w:r>
            <w:r w:rsidRPr="00B335F7">
              <w:rPr>
                <w:lang w:val="en-GB"/>
              </w:rPr>
              <w:tab/>
              <w:t xml:space="preserve">Moreover, the Agency should develop </w:t>
            </w:r>
            <w:r w:rsidRPr="00B335F7">
              <w:rPr>
                <w:bCs/>
                <w:iCs/>
                <w:lang w:val="en-GB"/>
              </w:rPr>
              <w:t>non-binding</w:t>
            </w:r>
            <w:r w:rsidRPr="00B335F7">
              <w:rPr>
                <w:lang w:val="en-GB"/>
              </w:rPr>
              <w:t xml:space="preserve"> guidance on the deployment and use of AI systems and of general-purpose AI models also in the procedures for the authorisation of medicinal products, with a view to optimising processes and increasing efficiency of regulatory activities. Such guidance should be developed and published in agreement with the Commission, the AI Board and the competent authorities.</w:t>
            </w:r>
          </w:p>
        </w:tc>
        <w:tc>
          <w:tcPr>
            <w:tcW w:w="4876" w:type="dxa"/>
            <w:hideMark/>
          </w:tcPr>
          <w:p w14:paraId="4D39D29A" w14:textId="5062F420" w:rsidR="002969F2" w:rsidRPr="00B335F7" w:rsidRDefault="0084036E">
            <w:pPr>
              <w:pStyle w:val="Normal6"/>
              <w:rPr>
                <w:szCs w:val="24"/>
                <w:lang w:val="en-GB"/>
              </w:rPr>
            </w:pPr>
            <w:r w:rsidRPr="00B335F7">
              <w:rPr>
                <w:lang w:val="en-GB"/>
              </w:rPr>
              <w:t>(63)</w:t>
            </w:r>
            <w:r w:rsidRPr="00B335F7">
              <w:rPr>
                <w:lang w:val="en-GB"/>
              </w:rPr>
              <w:tab/>
            </w:r>
            <w:r w:rsidR="002969F2" w:rsidRPr="00B335F7">
              <w:rPr>
                <w:lang w:val="en-GB"/>
              </w:rPr>
              <w:t>Moreover, the Agency should develop non-</w:t>
            </w:r>
            <w:r w:rsidR="002969F2" w:rsidRPr="00B335F7">
              <w:rPr>
                <w:bCs/>
                <w:iCs/>
                <w:lang w:val="en-GB"/>
              </w:rPr>
              <w:t>binding</w:t>
            </w:r>
            <w:r w:rsidR="002969F2" w:rsidRPr="00B335F7">
              <w:rPr>
                <w:lang w:val="en-GB"/>
              </w:rPr>
              <w:t xml:space="preserve"> guidance on the deployment and use of AI systems and of general-purpose AI models also in the procedures for the authorisation of medicinal products, with a view to optimising processes and increasing efficiency of regulatory activities. Such guidance should be developed and published in agreement with the Commission, the AI Board and the competent authorities.</w:t>
            </w:r>
            <w:r w:rsidR="002969F2" w:rsidRPr="00B335F7">
              <w:rPr>
                <w:b/>
                <w:i/>
                <w:lang w:val="en-GB"/>
              </w:rPr>
              <w:t xml:space="preserve"> Such guidance shall furthermore ensure a homogenous application of common ethical principles enshrined in law when developing, deploying and using artificial intelligence, especially high-risk AI as well as robotics and related technologies. </w:t>
            </w:r>
          </w:p>
        </w:tc>
      </w:tr>
    </w:tbl>
    <w:p w14:paraId="4EE11427"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2BCF06CB" w14:textId="77777777" w:rsidR="002969F2" w:rsidRPr="00B335F7" w:rsidRDefault="002969F2" w:rsidP="002969F2">
      <w:r w:rsidRPr="00B335F7">
        <w:rPr>
          <w:rStyle w:val="HideTWBExt"/>
          <w:rFonts w:eastAsiaTheme="majorEastAsia"/>
        </w:rPr>
        <w:t>&lt;/Amend&gt;</w:t>
      </w:r>
    </w:p>
    <w:p w14:paraId="40445F6E" w14:textId="18D441A6"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12</w:t>
      </w:r>
      <w:r w:rsidRPr="00B335F7">
        <w:rPr>
          <w:rStyle w:val="HideTWBExt"/>
          <w:rFonts w:eastAsiaTheme="majorEastAsia"/>
          <w:b w:val="0"/>
          <w:lang w:val="en-GB"/>
        </w:rPr>
        <w:t>&lt;/NumAm&gt;</w:t>
      </w:r>
    </w:p>
    <w:p w14:paraId="1A0DD5F5"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1FD5C710" w14:textId="77777777" w:rsidR="002969F2" w:rsidRPr="00B335F7" w:rsidRDefault="002969F2" w:rsidP="002969F2">
      <w:pPr>
        <w:pStyle w:val="NormalBold"/>
      </w:pPr>
      <w:r w:rsidRPr="00B335F7">
        <w:rPr>
          <w:rStyle w:val="HideTWBExt"/>
          <w:rFonts w:eastAsiaTheme="majorEastAsia"/>
          <w:b w:val="0"/>
        </w:rPr>
        <w:t>&lt;Article&gt;</w:t>
      </w:r>
      <w:r w:rsidRPr="00B335F7">
        <w:t>Recital 64</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975B7E5" w14:textId="77777777" w:rsidTr="002969F2">
        <w:trPr>
          <w:jc w:val="center"/>
        </w:trPr>
        <w:tc>
          <w:tcPr>
            <w:tcW w:w="9752" w:type="dxa"/>
            <w:gridSpan w:val="2"/>
          </w:tcPr>
          <w:p w14:paraId="674266FC" w14:textId="77777777" w:rsidR="002969F2" w:rsidRPr="00B335F7" w:rsidRDefault="002969F2">
            <w:pPr>
              <w:keepNext/>
            </w:pPr>
          </w:p>
        </w:tc>
      </w:tr>
      <w:tr w:rsidR="002969F2" w:rsidRPr="00B335F7" w14:paraId="30C31E45" w14:textId="77777777" w:rsidTr="002969F2">
        <w:trPr>
          <w:jc w:val="center"/>
        </w:trPr>
        <w:tc>
          <w:tcPr>
            <w:tcW w:w="4876" w:type="dxa"/>
            <w:hideMark/>
          </w:tcPr>
          <w:p w14:paraId="341CD10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08C486B" w14:textId="77777777" w:rsidR="002969F2" w:rsidRPr="00B335F7" w:rsidRDefault="002969F2">
            <w:pPr>
              <w:pStyle w:val="ColumnHeading"/>
              <w:keepNext/>
              <w:rPr>
                <w:lang w:val="en-GB"/>
              </w:rPr>
            </w:pPr>
            <w:r w:rsidRPr="00B335F7">
              <w:rPr>
                <w:lang w:val="en-GB"/>
              </w:rPr>
              <w:t>Amendment</w:t>
            </w:r>
          </w:p>
        </w:tc>
      </w:tr>
      <w:tr w:rsidR="002969F2" w:rsidRPr="00B335F7" w14:paraId="632A6613" w14:textId="77777777" w:rsidTr="002969F2">
        <w:trPr>
          <w:jc w:val="center"/>
        </w:trPr>
        <w:tc>
          <w:tcPr>
            <w:tcW w:w="4876" w:type="dxa"/>
            <w:hideMark/>
          </w:tcPr>
          <w:p w14:paraId="486CF809" w14:textId="77777777" w:rsidR="002969F2" w:rsidRPr="00B335F7" w:rsidRDefault="002969F2">
            <w:pPr>
              <w:pStyle w:val="Normal6"/>
              <w:rPr>
                <w:lang w:val="en-GB"/>
              </w:rPr>
            </w:pPr>
            <w:r w:rsidRPr="00B335F7">
              <w:rPr>
                <w:lang w:val="en-GB"/>
              </w:rPr>
              <w:t>(64)</w:t>
            </w:r>
            <w:r w:rsidRPr="00B335F7">
              <w:rPr>
                <w:lang w:val="en-GB"/>
              </w:rPr>
              <w:tab/>
              <w:t>In order to accelerate the development and scale-up of biotechnology innovations that are enabled, enhanced or significantly supported by AI and advanced computational methods, the Union requires dedicated testing environments that combine experimental, computational and data-driven capabilities. Given their essential role for supporting AI-enabled biotechnology innovations, it is appropriate to establish requirements in this Regulation for the recognition by the Commission and the support for high-impact health biotechnology strategic projects in the form of biotechnology testing environments, under certain conditions.</w:t>
            </w:r>
          </w:p>
        </w:tc>
        <w:tc>
          <w:tcPr>
            <w:tcW w:w="4876" w:type="dxa"/>
            <w:hideMark/>
          </w:tcPr>
          <w:p w14:paraId="1774493D" w14:textId="140A5942" w:rsidR="002969F2" w:rsidRPr="00B335F7" w:rsidRDefault="001B48BE">
            <w:pPr>
              <w:pStyle w:val="Normal6"/>
              <w:rPr>
                <w:szCs w:val="24"/>
                <w:lang w:val="en-GB"/>
              </w:rPr>
            </w:pPr>
            <w:r w:rsidRPr="00B335F7">
              <w:rPr>
                <w:lang w:val="en-GB"/>
              </w:rPr>
              <w:t>(64)</w:t>
            </w:r>
            <w:r w:rsidRPr="00B335F7">
              <w:rPr>
                <w:lang w:val="en-GB"/>
              </w:rPr>
              <w:tab/>
            </w:r>
            <w:r w:rsidR="002969F2" w:rsidRPr="00B335F7">
              <w:rPr>
                <w:lang w:val="en-GB"/>
              </w:rPr>
              <w:t>In order to accelerate the development and scale-up of biotechnology innovations that are enabled, enhanced or significantly supported by AI and advanced computational methods, the Union requires dedicated testing environments that combine experimental, computational and data-driven capabilities</w:t>
            </w:r>
            <w:r w:rsidR="002969F2" w:rsidRPr="00B335F7">
              <w:rPr>
                <w:b/>
                <w:i/>
                <w:lang w:val="en-GB"/>
              </w:rPr>
              <w:t>, while upholding high safety and ethical standards</w:t>
            </w:r>
            <w:r w:rsidR="002969F2" w:rsidRPr="00B335F7">
              <w:rPr>
                <w:lang w:val="en-GB"/>
              </w:rPr>
              <w:t xml:space="preserve">. Given their essential role for supporting AI-enabled biotechnology innovations, it is appropriate to establish requirements in this Regulation for the recognition by the Commission and the support for high-impact health biotechnology strategic projects in the form of biotechnology testing environments, under certain conditions. </w:t>
            </w:r>
            <w:r w:rsidR="002969F2" w:rsidRPr="00B335F7">
              <w:rPr>
                <w:b/>
                <w:i/>
                <w:lang w:val="en-GB"/>
              </w:rPr>
              <w:t>The Commission should put in place sufficient, effective and specific technical and organisational measures to safeguard the fundamental rights, ethical standards and interests of data subjects in line with Union Law.</w:t>
            </w:r>
          </w:p>
        </w:tc>
      </w:tr>
    </w:tbl>
    <w:p w14:paraId="6C9ADA97"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0BC0BE15" w14:textId="77777777" w:rsidR="002969F2" w:rsidRPr="00B335F7" w:rsidRDefault="002969F2" w:rsidP="002969F2">
      <w:r w:rsidRPr="00B335F7">
        <w:rPr>
          <w:rStyle w:val="HideTWBExt"/>
          <w:rFonts w:eastAsiaTheme="majorEastAsia"/>
        </w:rPr>
        <w:t>&lt;/Amend&gt;</w:t>
      </w:r>
    </w:p>
    <w:p w14:paraId="7C48DC67" w14:textId="3D725864"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13</w:t>
      </w:r>
      <w:r w:rsidRPr="00B335F7">
        <w:rPr>
          <w:rStyle w:val="HideTWBExt"/>
          <w:rFonts w:eastAsiaTheme="majorEastAsia"/>
          <w:b w:val="0"/>
          <w:lang w:val="en-GB"/>
        </w:rPr>
        <w:t>&lt;/NumAm&gt;</w:t>
      </w:r>
    </w:p>
    <w:p w14:paraId="123C6524"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200C429" w14:textId="77777777" w:rsidR="002969F2" w:rsidRPr="00B335F7" w:rsidRDefault="002969F2" w:rsidP="002969F2">
      <w:pPr>
        <w:pStyle w:val="NormalBold"/>
      </w:pPr>
      <w:r w:rsidRPr="00B335F7">
        <w:rPr>
          <w:rStyle w:val="HideTWBExt"/>
          <w:rFonts w:eastAsiaTheme="majorEastAsia"/>
          <w:b w:val="0"/>
        </w:rPr>
        <w:t>&lt;Article&gt;</w:t>
      </w:r>
      <w:r w:rsidRPr="00B335F7">
        <w:t>Recital 65</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064DB3D" w14:textId="77777777" w:rsidTr="002969F2">
        <w:trPr>
          <w:jc w:val="center"/>
        </w:trPr>
        <w:tc>
          <w:tcPr>
            <w:tcW w:w="9752" w:type="dxa"/>
            <w:gridSpan w:val="2"/>
          </w:tcPr>
          <w:p w14:paraId="62722791" w14:textId="77777777" w:rsidR="002969F2" w:rsidRPr="00B335F7" w:rsidRDefault="002969F2">
            <w:pPr>
              <w:keepNext/>
            </w:pPr>
          </w:p>
        </w:tc>
      </w:tr>
      <w:tr w:rsidR="002969F2" w:rsidRPr="00B335F7" w14:paraId="6BDC0433" w14:textId="77777777" w:rsidTr="002969F2">
        <w:trPr>
          <w:jc w:val="center"/>
        </w:trPr>
        <w:tc>
          <w:tcPr>
            <w:tcW w:w="4876" w:type="dxa"/>
            <w:hideMark/>
          </w:tcPr>
          <w:p w14:paraId="483B8CC6"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2F946B10" w14:textId="77777777" w:rsidR="002969F2" w:rsidRPr="00B335F7" w:rsidRDefault="002969F2">
            <w:pPr>
              <w:pStyle w:val="ColumnHeading"/>
              <w:keepNext/>
              <w:rPr>
                <w:lang w:val="en-GB"/>
              </w:rPr>
            </w:pPr>
            <w:r w:rsidRPr="00B335F7">
              <w:rPr>
                <w:lang w:val="en-GB"/>
              </w:rPr>
              <w:t>Amendment</w:t>
            </w:r>
          </w:p>
        </w:tc>
      </w:tr>
      <w:tr w:rsidR="002969F2" w:rsidRPr="00B335F7" w14:paraId="74D9953A" w14:textId="77777777" w:rsidTr="002969F2">
        <w:trPr>
          <w:jc w:val="center"/>
        </w:trPr>
        <w:tc>
          <w:tcPr>
            <w:tcW w:w="4876" w:type="dxa"/>
            <w:hideMark/>
          </w:tcPr>
          <w:p w14:paraId="729A0BFD" w14:textId="77777777" w:rsidR="002969F2" w:rsidRPr="00B335F7" w:rsidRDefault="002969F2">
            <w:pPr>
              <w:pStyle w:val="Normal6"/>
              <w:rPr>
                <w:lang w:val="en-GB"/>
              </w:rPr>
            </w:pPr>
            <w:r w:rsidRPr="00B335F7">
              <w:rPr>
                <w:lang w:val="en-GB"/>
              </w:rPr>
              <w:t>(65)</w:t>
            </w:r>
            <w:r w:rsidRPr="00B335F7">
              <w:rPr>
                <w:lang w:val="en-GB"/>
              </w:rPr>
              <w:tab/>
              <w:t xml:space="preserve">Such environments could provide the wet-lab, bioprocess, pilot-line and translational validation capacities necessary for AI-enabled biotechnology development, and should complement, without duplicating, the functions of regulatory sandboxes established under </w:t>
            </w:r>
            <w:r w:rsidRPr="00B335F7">
              <w:rPr>
                <w:lang w:val="en-GB"/>
              </w:rPr>
              <w:lastRenderedPageBreak/>
              <w:t>Union or national law as well as the testing and experimentation facilities established in accordance with Regulation (EU) 2024/1689. Where relevant, they should also leverage health data and the European Health Data Space in accordance with Union legislation. These infrastructures should support the development of biotechnology applications where the use of AI has the potential to accelerate progress, in particular in health-related areas such as advanced therapies, where AI can improve efficacy and safety — for example through optimised CRISPR site prediction, tumour antigen identification, sequence engineering, delivery-vehicle design, or the matching of diverse patient cancer-cell variants with CAR-T cell types.</w:t>
            </w:r>
          </w:p>
        </w:tc>
        <w:tc>
          <w:tcPr>
            <w:tcW w:w="4876" w:type="dxa"/>
            <w:hideMark/>
          </w:tcPr>
          <w:p w14:paraId="1ACAE5AB" w14:textId="4F743FDA" w:rsidR="002969F2" w:rsidRPr="00B335F7" w:rsidRDefault="00D96A2F">
            <w:pPr>
              <w:pStyle w:val="Normal6"/>
              <w:rPr>
                <w:szCs w:val="24"/>
                <w:lang w:val="en-GB"/>
              </w:rPr>
            </w:pPr>
            <w:r w:rsidRPr="00B335F7">
              <w:rPr>
                <w:lang w:val="en-GB"/>
              </w:rPr>
              <w:lastRenderedPageBreak/>
              <w:t>(65)</w:t>
            </w:r>
            <w:r w:rsidRPr="00B335F7">
              <w:rPr>
                <w:lang w:val="en-GB"/>
              </w:rPr>
              <w:tab/>
            </w:r>
            <w:r w:rsidR="002969F2" w:rsidRPr="00B335F7">
              <w:rPr>
                <w:lang w:val="en-GB"/>
              </w:rPr>
              <w:t xml:space="preserve">Such environments could provide the wet-lab, bioprocess, pilot-line and translational validation capacities necessary for AI-enabled biotechnology development, and should complement, without duplicating, the functions of regulatory sandboxes established under </w:t>
            </w:r>
            <w:r w:rsidR="002969F2" w:rsidRPr="00B335F7">
              <w:rPr>
                <w:lang w:val="en-GB"/>
              </w:rPr>
              <w:lastRenderedPageBreak/>
              <w:t>Union or national law as well as the testing and experimentation facilities established in accordance with Regulation (EU) 2024/1689. Where relevant, they should also leverage health data and the European Health Data Space in accordance with Union legislation. These infrastructures should support the development of biotechnology applications where the use of AI has the potential to accelerate progress, in particular in health-related areas such as advanced therapies, where AI can improve efficacy and safety — for example through optimised CRISPR site prediction, tumour antigen identification, sequence engineering, delivery-vehicle design, or the matching of diverse patient cancer-cell variants with CAR-T cell types.</w:t>
            </w:r>
            <w:r w:rsidR="002969F2" w:rsidRPr="00B335F7">
              <w:rPr>
                <w:b/>
                <w:i/>
                <w:lang w:val="en-GB"/>
              </w:rPr>
              <w:t xml:space="preserve"> Given the sensitivity of personal electronic health data, this Regulation should provide sufficient safeguards at both Union and national level to ensure a high degree of data protection, security, confidentiality and ethical use. Such safeguards are necessary to promote trust in safe handling of electronic health data.</w:t>
            </w:r>
          </w:p>
        </w:tc>
      </w:tr>
    </w:tbl>
    <w:p w14:paraId="5A3ED68B"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7B971BB" w14:textId="77777777" w:rsidR="002969F2" w:rsidRPr="00B335F7" w:rsidRDefault="002969F2" w:rsidP="002969F2">
      <w:r w:rsidRPr="00B335F7">
        <w:rPr>
          <w:rStyle w:val="HideTWBExt"/>
          <w:rFonts w:eastAsiaTheme="majorEastAsia"/>
        </w:rPr>
        <w:t>&lt;/Amend&gt;</w:t>
      </w:r>
    </w:p>
    <w:p w14:paraId="604CE79A" w14:textId="641E228C"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14</w:t>
      </w:r>
      <w:r w:rsidRPr="00B335F7">
        <w:rPr>
          <w:rStyle w:val="HideTWBExt"/>
          <w:rFonts w:eastAsiaTheme="majorEastAsia"/>
          <w:b w:val="0"/>
          <w:lang w:val="en-GB"/>
        </w:rPr>
        <w:t>&lt;/NumAm&gt;</w:t>
      </w:r>
    </w:p>
    <w:p w14:paraId="015DE287"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09C817E2" w14:textId="77777777" w:rsidR="002969F2" w:rsidRPr="00B335F7" w:rsidRDefault="002969F2" w:rsidP="002969F2">
      <w:pPr>
        <w:pStyle w:val="NormalBold"/>
      </w:pPr>
      <w:r w:rsidRPr="00B335F7">
        <w:rPr>
          <w:rStyle w:val="HideTWBExt"/>
          <w:rFonts w:eastAsiaTheme="majorEastAsia"/>
          <w:b w:val="0"/>
        </w:rPr>
        <w:t>&lt;Article&gt;</w:t>
      </w:r>
      <w:r w:rsidRPr="00B335F7">
        <w:t>Recital 66</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4CB4562" w14:textId="77777777" w:rsidTr="002969F2">
        <w:trPr>
          <w:jc w:val="center"/>
        </w:trPr>
        <w:tc>
          <w:tcPr>
            <w:tcW w:w="9752" w:type="dxa"/>
            <w:gridSpan w:val="2"/>
          </w:tcPr>
          <w:p w14:paraId="5C48ED7A" w14:textId="77777777" w:rsidR="002969F2" w:rsidRPr="00B335F7" w:rsidRDefault="002969F2">
            <w:pPr>
              <w:keepNext/>
            </w:pPr>
          </w:p>
        </w:tc>
      </w:tr>
      <w:tr w:rsidR="002969F2" w:rsidRPr="00B335F7" w14:paraId="5E35FA22" w14:textId="77777777" w:rsidTr="002969F2">
        <w:trPr>
          <w:jc w:val="center"/>
        </w:trPr>
        <w:tc>
          <w:tcPr>
            <w:tcW w:w="4876" w:type="dxa"/>
            <w:hideMark/>
          </w:tcPr>
          <w:p w14:paraId="3531C3E0"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1344B34" w14:textId="77777777" w:rsidR="002969F2" w:rsidRPr="00B335F7" w:rsidRDefault="002969F2">
            <w:pPr>
              <w:pStyle w:val="ColumnHeading"/>
              <w:keepNext/>
              <w:rPr>
                <w:lang w:val="en-GB"/>
              </w:rPr>
            </w:pPr>
            <w:r w:rsidRPr="00B335F7">
              <w:rPr>
                <w:lang w:val="en-GB"/>
              </w:rPr>
              <w:t>Amendment</w:t>
            </w:r>
          </w:p>
        </w:tc>
      </w:tr>
      <w:tr w:rsidR="002969F2" w:rsidRPr="00B335F7" w14:paraId="186772E2" w14:textId="77777777" w:rsidTr="002969F2">
        <w:trPr>
          <w:jc w:val="center"/>
        </w:trPr>
        <w:tc>
          <w:tcPr>
            <w:tcW w:w="4876" w:type="dxa"/>
            <w:hideMark/>
          </w:tcPr>
          <w:p w14:paraId="57C9C7F0" w14:textId="77777777" w:rsidR="002969F2" w:rsidRPr="00B335F7" w:rsidRDefault="002969F2">
            <w:pPr>
              <w:pStyle w:val="Normal6"/>
              <w:rPr>
                <w:lang w:val="en-GB"/>
              </w:rPr>
            </w:pPr>
            <w:r w:rsidRPr="00B335F7">
              <w:rPr>
                <w:lang w:val="en-GB"/>
              </w:rPr>
              <w:t>(66)</w:t>
            </w:r>
            <w:r w:rsidRPr="00B335F7">
              <w:rPr>
                <w:lang w:val="en-GB"/>
              </w:rPr>
              <w:tab/>
              <w:t xml:space="preserve">Having high-quality, interoperable, provenance-verified and well-annotated datasets is essential for the development, testing and validation of trustworthy and competitive AI systems and models used in biotechnology applications. For example, datasets generated in the course of provision of healthcare are usually recorded in a way that supports their initial purpose, such as diagnosis or treatment. Often, they are technically not easily </w:t>
            </w:r>
            <w:r w:rsidRPr="00B335F7">
              <w:rPr>
                <w:lang w:val="en-GB"/>
              </w:rPr>
              <w:lastRenderedPageBreak/>
              <w:t>usable and fit for training, testing and validation of AI systems, for example due to the use of different data standards or lacking annotations. Given the potential of AI systems and models to support research and innovation in biotechnology applications, it is important to ensure that high-quality data are available for training, testing and validating AI systems and models used in health biotechnology applications. To make such data more easily usable for those purposes, it is appropriate to facilitate the enhancement of the quality of that data. Therefore, this Regulation should lay down provisions for the recognition by the Commission of high impact health biotechnology strategic projects in the form of biotechnology data quality accelerators, to provide assistance to entities that lawfully hold relevant data to improve data quality, standardize such data and make further improvements.</w:t>
            </w:r>
          </w:p>
        </w:tc>
        <w:tc>
          <w:tcPr>
            <w:tcW w:w="4876" w:type="dxa"/>
            <w:hideMark/>
          </w:tcPr>
          <w:p w14:paraId="73081701" w14:textId="18418F86" w:rsidR="002969F2" w:rsidRPr="00B335F7" w:rsidRDefault="00D96A2F">
            <w:pPr>
              <w:pStyle w:val="Normal6"/>
              <w:rPr>
                <w:szCs w:val="24"/>
                <w:lang w:val="en-GB"/>
              </w:rPr>
            </w:pPr>
            <w:r w:rsidRPr="00B335F7">
              <w:rPr>
                <w:lang w:val="en-GB"/>
              </w:rPr>
              <w:lastRenderedPageBreak/>
              <w:t>(66)</w:t>
            </w:r>
            <w:r w:rsidRPr="00B335F7">
              <w:rPr>
                <w:lang w:val="en-GB"/>
              </w:rPr>
              <w:tab/>
            </w:r>
            <w:r w:rsidR="002969F2" w:rsidRPr="00B335F7">
              <w:rPr>
                <w:lang w:val="en-GB"/>
              </w:rPr>
              <w:t xml:space="preserve">Having high-quality, interoperable, provenance-verified and well-annotated datasets is essential for the development, testing and validation of trustworthy and competitive AI systems and models used in biotechnology applications. For example, datasets generated in the course of provision of healthcare are usually recorded in a way that supports their initial purpose, such as diagnosis or treatment. Often, they are technically not easily </w:t>
            </w:r>
            <w:r w:rsidR="002969F2" w:rsidRPr="00B335F7">
              <w:rPr>
                <w:lang w:val="en-GB"/>
              </w:rPr>
              <w:lastRenderedPageBreak/>
              <w:t>usable and fit for training, testing and validation of AI systems, for example due to the use of different data standards or lacking annotations. Given the potential of AI systems and models to support research and innovation in biotechnology applications, it is important to ensure that high-quality data are available for training, testing and validating AI systems and models used in health biotechnology applications. To make such data more easily usable for those purposes, it is appropriate to facilitate the enhancement of the quality of that data. Therefore, this Regulation should lay down provisions for the recognition by the Commission of high impact health biotechnology strategic projects in the form of biotechnology data quality accelerators, to provide assistance to entities that lawfully hold relevant data to improve data quality, standardize such data and make further improvements</w:t>
            </w:r>
            <w:r w:rsidR="002969F2" w:rsidRPr="00B335F7">
              <w:rPr>
                <w:b/>
                <w:i/>
                <w:lang w:val="en-GB"/>
              </w:rPr>
              <w:t>, while ensuring that ethical standards of AI use are adhered to</w:t>
            </w:r>
            <w:r w:rsidR="002969F2" w:rsidRPr="00B335F7">
              <w:rPr>
                <w:lang w:val="en-GB"/>
              </w:rPr>
              <w:t>.</w:t>
            </w:r>
          </w:p>
        </w:tc>
      </w:tr>
    </w:tbl>
    <w:p w14:paraId="53AF02C5"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C0A2205" w14:textId="77777777" w:rsidR="002969F2" w:rsidRPr="00B335F7" w:rsidRDefault="002969F2" w:rsidP="002969F2">
      <w:r w:rsidRPr="00B335F7">
        <w:rPr>
          <w:rStyle w:val="HideTWBExt"/>
          <w:rFonts w:eastAsiaTheme="majorEastAsia"/>
        </w:rPr>
        <w:t>&lt;/Amend&gt;</w:t>
      </w:r>
    </w:p>
    <w:p w14:paraId="2BC80D95" w14:textId="3624E9C2"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15</w:t>
      </w:r>
      <w:r w:rsidRPr="00B335F7">
        <w:rPr>
          <w:rStyle w:val="HideTWBExt"/>
          <w:rFonts w:eastAsiaTheme="majorEastAsia"/>
          <w:b w:val="0"/>
          <w:lang w:val="en-GB"/>
        </w:rPr>
        <w:t>&lt;/NumAm&gt;</w:t>
      </w:r>
    </w:p>
    <w:p w14:paraId="34BDD908"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723BE1D1" w14:textId="77777777" w:rsidR="002969F2" w:rsidRPr="00B335F7" w:rsidRDefault="002969F2" w:rsidP="002969F2">
      <w:pPr>
        <w:pStyle w:val="NormalBold"/>
      </w:pPr>
      <w:r w:rsidRPr="00B335F7">
        <w:rPr>
          <w:rStyle w:val="HideTWBExt"/>
          <w:rFonts w:eastAsiaTheme="majorEastAsia"/>
          <w:b w:val="0"/>
        </w:rPr>
        <w:t>&lt;Article&gt;</w:t>
      </w:r>
      <w:r w:rsidRPr="00B335F7">
        <w:t>Recital 67</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34A38CE" w14:textId="77777777" w:rsidTr="002969F2">
        <w:trPr>
          <w:jc w:val="center"/>
        </w:trPr>
        <w:tc>
          <w:tcPr>
            <w:tcW w:w="9752" w:type="dxa"/>
            <w:gridSpan w:val="2"/>
          </w:tcPr>
          <w:p w14:paraId="7E530DED" w14:textId="77777777" w:rsidR="002969F2" w:rsidRPr="00B335F7" w:rsidRDefault="002969F2">
            <w:pPr>
              <w:keepNext/>
            </w:pPr>
          </w:p>
        </w:tc>
      </w:tr>
      <w:tr w:rsidR="002969F2" w:rsidRPr="00B335F7" w14:paraId="415F33D4" w14:textId="77777777" w:rsidTr="002969F2">
        <w:trPr>
          <w:jc w:val="center"/>
        </w:trPr>
        <w:tc>
          <w:tcPr>
            <w:tcW w:w="4876" w:type="dxa"/>
            <w:hideMark/>
          </w:tcPr>
          <w:p w14:paraId="61720C7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6F5595C2" w14:textId="77777777" w:rsidR="002969F2" w:rsidRPr="00B335F7" w:rsidRDefault="002969F2">
            <w:pPr>
              <w:pStyle w:val="ColumnHeading"/>
              <w:keepNext/>
              <w:rPr>
                <w:lang w:val="en-GB"/>
              </w:rPr>
            </w:pPr>
            <w:r w:rsidRPr="00B335F7">
              <w:rPr>
                <w:lang w:val="en-GB"/>
              </w:rPr>
              <w:t>Amendment</w:t>
            </w:r>
          </w:p>
        </w:tc>
      </w:tr>
      <w:tr w:rsidR="002969F2" w:rsidRPr="00B335F7" w14:paraId="32B2384C" w14:textId="77777777" w:rsidTr="002969F2">
        <w:trPr>
          <w:jc w:val="center"/>
        </w:trPr>
        <w:tc>
          <w:tcPr>
            <w:tcW w:w="4876" w:type="dxa"/>
            <w:hideMark/>
          </w:tcPr>
          <w:p w14:paraId="7C542BB2" w14:textId="77777777" w:rsidR="002969F2" w:rsidRPr="00B335F7" w:rsidRDefault="002969F2">
            <w:pPr>
              <w:pStyle w:val="Normal6"/>
              <w:rPr>
                <w:lang w:val="en-GB"/>
              </w:rPr>
            </w:pPr>
            <w:r w:rsidRPr="00B335F7">
              <w:rPr>
                <w:lang w:val="en-GB"/>
              </w:rPr>
              <w:t>(67)</w:t>
            </w:r>
            <w:r w:rsidRPr="00B335F7">
              <w:rPr>
                <w:lang w:val="en-GB"/>
              </w:rPr>
              <w:tab/>
              <w:t>Such biotechnology data quality accelerator projects should complement Union initiatives such as data labs</w:t>
            </w:r>
            <w:r w:rsidRPr="00B335F7">
              <w:rPr>
                <w:vertAlign w:val="superscript"/>
                <w:lang w:val="en-GB"/>
              </w:rPr>
              <w:t>37</w:t>
            </w:r>
            <w:r w:rsidRPr="00B335F7">
              <w:rPr>
                <w:lang w:val="en-GB"/>
              </w:rPr>
              <w:t xml:space="preserve"> and by addressing the specific data-quality requirements of biotechnology, ensuring that biological and health datasets are reliable, interoperable and usable for the development of advanced AI models.</w:t>
            </w:r>
          </w:p>
        </w:tc>
        <w:tc>
          <w:tcPr>
            <w:tcW w:w="4876" w:type="dxa"/>
            <w:hideMark/>
          </w:tcPr>
          <w:p w14:paraId="441D4A25" w14:textId="4D5CC49F" w:rsidR="002969F2" w:rsidRPr="00B335F7" w:rsidRDefault="00D96A2F">
            <w:pPr>
              <w:pStyle w:val="Normal6"/>
              <w:rPr>
                <w:szCs w:val="24"/>
                <w:lang w:val="en-GB"/>
              </w:rPr>
            </w:pPr>
            <w:r w:rsidRPr="00B335F7">
              <w:rPr>
                <w:lang w:val="en-GB"/>
              </w:rPr>
              <w:t>(67)</w:t>
            </w:r>
            <w:r w:rsidRPr="00B335F7">
              <w:rPr>
                <w:lang w:val="en-GB"/>
              </w:rPr>
              <w:tab/>
            </w:r>
            <w:r w:rsidR="002969F2" w:rsidRPr="00B335F7">
              <w:rPr>
                <w:lang w:val="en-GB"/>
              </w:rPr>
              <w:t>Such biotechnology data quality accelerator projects should complement Union initiatives such as data labs</w:t>
            </w:r>
            <w:r w:rsidR="002969F2" w:rsidRPr="00B335F7">
              <w:rPr>
                <w:vertAlign w:val="superscript"/>
                <w:lang w:val="en-GB"/>
              </w:rPr>
              <w:t>37</w:t>
            </w:r>
            <w:r w:rsidR="002969F2" w:rsidRPr="00B335F7">
              <w:rPr>
                <w:lang w:val="en-GB"/>
              </w:rPr>
              <w:t xml:space="preserve"> and by addressing the specific data-quality requirements of biotechnology, ensuring that biological and health datasets are reliable, interoperable</w:t>
            </w:r>
            <w:r w:rsidR="002969F2" w:rsidRPr="00B335F7">
              <w:rPr>
                <w:b/>
                <w:i/>
                <w:lang w:val="en-GB"/>
              </w:rPr>
              <w:t>, without any discriminatory impacts and unfair biases</w:t>
            </w:r>
            <w:r w:rsidR="002969F2" w:rsidRPr="00B335F7">
              <w:rPr>
                <w:lang w:val="en-GB"/>
              </w:rPr>
              <w:t xml:space="preserve"> and usable for the development of advanced AI models.</w:t>
            </w:r>
          </w:p>
        </w:tc>
      </w:tr>
      <w:tr w:rsidR="002969F2" w:rsidRPr="00B335F7" w14:paraId="28123788" w14:textId="77777777" w:rsidTr="002969F2">
        <w:trPr>
          <w:jc w:val="center"/>
        </w:trPr>
        <w:tc>
          <w:tcPr>
            <w:tcW w:w="4876" w:type="dxa"/>
            <w:hideMark/>
          </w:tcPr>
          <w:p w14:paraId="7A2680B1" w14:textId="77777777" w:rsidR="002969F2" w:rsidRPr="00B335F7" w:rsidRDefault="002969F2">
            <w:pPr>
              <w:pStyle w:val="Normal6"/>
              <w:rPr>
                <w:lang w:val="en-GB"/>
              </w:rPr>
            </w:pPr>
            <w:r w:rsidRPr="00B335F7">
              <w:rPr>
                <w:lang w:val="en-GB"/>
              </w:rPr>
              <w:t>__________________</w:t>
            </w:r>
          </w:p>
        </w:tc>
        <w:tc>
          <w:tcPr>
            <w:tcW w:w="4876" w:type="dxa"/>
            <w:hideMark/>
          </w:tcPr>
          <w:p w14:paraId="3223F246" w14:textId="77777777" w:rsidR="002969F2" w:rsidRPr="00B335F7" w:rsidRDefault="002969F2">
            <w:pPr>
              <w:pStyle w:val="Normal6"/>
              <w:rPr>
                <w:szCs w:val="24"/>
                <w:lang w:val="en-GB"/>
              </w:rPr>
            </w:pPr>
            <w:r w:rsidRPr="00B335F7">
              <w:rPr>
                <w:lang w:val="en-GB"/>
              </w:rPr>
              <w:t>__________________</w:t>
            </w:r>
          </w:p>
        </w:tc>
      </w:tr>
      <w:tr w:rsidR="002969F2" w:rsidRPr="00B335F7" w14:paraId="3CA4AF97" w14:textId="77777777" w:rsidTr="002969F2">
        <w:trPr>
          <w:jc w:val="center"/>
        </w:trPr>
        <w:tc>
          <w:tcPr>
            <w:tcW w:w="4876" w:type="dxa"/>
            <w:hideMark/>
          </w:tcPr>
          <w:p w14:paraId="5DE9168D" w14:textId="77777777" w:rsidR="002969F2" w:rsidRPr="00B335F7" w:rsidRDefault="002969F2">
            <w:pPr>
              <w:pStyle w:val="Normal6"/>
              <w:rPr>
                <w:lang w:val="en-GB"/>
              </w:rPr>
            </w:pPr>
            <w:r w:rsidRPr="00B335F7">
              <w:rPr>
                <w:vertAlign w:val="superscript"/>
                <w:lang w:val="en-GB"/>
              </w:rPr>
              <w:t>37</w:t>
            </w:r>
            <w:r w:rsidRPr="00B335F7">
              <w:rPr>
                <w:lang w:val="en-GB"/>
              </w:rPr>
              <w:t xml:space="preserve"> Proposed in the Communication from </w:t>
            </w:r>
            <w:r w:rsidRPr="00B335F7">
              <w:rPr>
                <w:lang w:val="en-GB"/>
              </w:rPr>
              <w:lastRenderedPageBreak/>
              <w:t>the Commission to the European Parliament, the Council, the European Economic and Social Committee and the Committee of the Regions, A European Strategy for Artificial Intelligence in Science – Paving the way for the Resource for AI Science in Europe (RAISE), COM(2025) 724 final of 8 October 2025.</w:t>
            </w:r>
          </w:p>
        </w:tc>
        <w:tc>
          <w:tcPr>
            <w:tcW w:w="4876" w:type="dxa"/>
            <w:hideMark/>
          </w:tcPr>
          <w:p w14:paraId="5212F743" w14:textId="77777777" w:rsidR="002969F2" w:rsidRPr="00B335F7" w:rsidRDefault="002969F2">
            <w:pPr>
              <w:pStyle w:val="Normal6"/>
              <w:rPr>
                <w:szCs w:val="24"/>
                <w:lang w:val="en-GB"/>
              </w:rPr>
            </w:pPr>
            <w:r w:rsidRPr="00B335F7">
              <w:rPr>
                <w:vertAlign w:val="superscript"/>
                <w:lang w:val="en-GB"/>
              </w:rPr>
              <w:lastRenderedPageBreak/>
              <w:t>37</w:t>
            </w:r>
            <w:r w:rsidRPr="00B335F7">
              <w:rPr>
                <w:lang w:val="en-GB"/>
              </w:rPr>
              <w:t xml:space="preserve"> Proposed in the Communication from </w:t>
            </w:r>
            <w:r w:rsidRPr="00B335F7">
              <w:rPr>
                <w:lang w:val="en-GB"/>
              </w:rPr>
              <w:lastRenderedPageBreak/>
              <w:t>the Commission to the European Parliament, the Council, the European Economic and Social Committee and the Committee of the Regions, A European Strategy for Artificial Intelligence in Science – Paving the way for the Resource for AI Science in Europe (RAISE), COM(2025) 724 final of 8 October 2025.</w:t>
            </w:r>
          </w:p>
        </w:tc>
      </w:tr>
    </w:tbl>
    <w:p w14:paraId="14F0FD10"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C29140B" w14:textId="77777777" w:rsidR="002969F2" w:rsidRPr="00B335F7" w:rsidRDefault="002969F2" w:rsidP="002969F2">
      <w:r w:rsidRPr="00B335F7">
        <w:rPr>
          <w:rStyle w:val="HideTWBExt"/>
          <w:rFonts w:eastAsiaTheme="majorEastAsia"/>
        </w:rPr>
        <w:t>&lt;/Amend&gt;</w:t>
      </w:r>
    </w:p>
    <w:p w14:paraId="4EF2E3E7" w14:textId="4BE2E787"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16</w:t>
      </w:r>
      <w:r w:rsidRPr="00B335F7">
        <w:rPr>
          <w:rStyle w:val="HideTWBExt"/>
          <w:rFonts w:eastAsiaTheme="majorEastAsia"/>
          <w:b w:val="0"/>
          <w:lang w:val="en-GB"/>
        </w:rPr>
        <w:t>&lt;/NumAm&gt;</w:t>
      </w:r>
    </w:p>
    <w:p w14:paraId="571E0323"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56B36F9" w14:textId="77777777" w:rsidR="002969F2" w:rsidRPr="00B335F7" w:rsidRDefault="002969F2" w:rsidP="002969F2">
      <w:pPr>
        <w:pStyle w:val="NormalBold"/>
      </w:pPr>
      <w:r w:rsidRPr="00B335F7">
        <w:rPr>
          <w:rStyle w:val="HideTWBExt"/>
          <w:rFonts w:eastAsiaTheme="majorEastAsia"/>
          <w:b w:val="0"/>
        </w:rPr>
        <w:t>&lt;Article&gt;</w:t>
      </w:r>
      <w:r w:rsidRPr="00B335F7">
        <w:t>Recital 85</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4F45AC8B" w14:textId="77777777" w:rsidTr="002969F2">
        <w:trPr>
          <w:jc w:val="center"/>
        </w:trPr>
        <w:tc>
          <w:tcPr>
            <w:tcW w:w="9752" w:type="dxa"/>
            <w:gridSpan w:val="2"/>
          </w:tcPr>
          <w:p w14:paraId="6D28BF74" w14:textId="77777777" w:rsidR="002969F2" w:rsidRPr="00B335F7" w:rsidRDefault="002969F2">
            <w:pPr>
              <w:keepNext/>
            </w:pPr>
          </w:p>
        </w:tc>
      </w:tr>
      <w:tr w:rsidR="002969F2" w:rsidRPr="00B335F7" w14:paraId="68932333" w14:textId="77777777" w:rsidTr="002969F2">
        <w:trPr>
          <w:jc w:val="center"/>
        </w:trPr>
        <w:tc>
          <w:tcPr>
            <w:tcW w:w="4876" w:type="dxa"/>
            <w:hideMark/>
          </w:tcPr>
          <w:p w14:paraId="3EF91D73"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75EB8D28" w14:textId="77777777" w:rsidR="002969F2" w:rsidRPr="00B335F7" w:rsidRDefault="002969F2">
            <w:pPr>
              <w:pStyle w:val="ColumnHeading"/>
              <w:keepNext/>
              <w:rPr>
                <w:lang w:val="en-GB"/>
              </w:rPr>
            </w:pPr>
            <w:r w:rsidRPr="00B335F7">
              <w:rPr>
                <w:lang w:val="en-GB"/>
              </w:rPr>
              <w:t>Amendment</w:t>
            </w:r>
          </w:p>
        </w:tc>
      </w:tr>
      <w:tr w:rsidR="002969F2" w:rsidRPr="00B335F7" w14:paraId="0B24C49C" w14:textId="77777777" w:rsidTr="002969F2">
        <w:trPr>
          <w:jc w:val="center"/>
        </w:trPr>
        <w:tc>
          <w:tcPr>
            <w:tcW w:w="4876" w:type="dxa"/>
            <w:hideMark/>
          </w:tcPr>
          <w:p w14:paraId="6FBA5C7A" w14:textId="77777777" w:rsidR="002969F2" w:rsidRPr="00B335F7" w:rsidRDefault="002969F2">
            <w:pPr>
              <w:pStyle w:val="Normal6"/>
              <w:rPr>
                <w:lang w:val="en-GB"/>
              </w:rPr>
            </w:pPr>
            <w:r w:rsidRPr="00B335F7">
              <w:rPr>
                <w:lang w:val="en-GB"/>
              </w:rPr>
              <w:t>(85)</w:t>
            </w:r>
            <w:r w:rsidRPr="00B335F7">
              <w:rPr>
                <w:lang w:val="en-GB"/>
              </w:rPr>
              <w:tab/>
              <w:t>The biotechnology landscape is evolving at an unprecedented speed, driven by advances in synthetic biology and genome editing, which, coupled with AI, make biotechnology stand at the forefront of innovation, offering unprecedented opportunities for advancing health and protecting against biological threats. These advances also make biotechnological misuse faster, cheaper, and more accessible. Biotechnologies can pose serious and distinctive risks that call for continuous assessment and anticipatory safeguards. Therefore, a limited set of biotechnology products with significant potential for misuse (‘biotechnology products of concern’) require a specific framework to prevent and protect against their misuse.</w:t>
            </w:r>
          </w:p>
        </w:tc>
        <w:tc>
          <w:tcPr>
            <w:tcW w:w="4876" w:type="dxa"/>
            <w:hideMark/>
          </w:tcPr>
          <w:p w14:paraId="5B7AA550" w14:textId="19E0AD6B" w:rsidR="002969F2" w:rsidRPr="00B335F7" w:rsidRDefault="00B73EFC">
            <w:pPr>
              <w:pStyle w:val="Normal6"/>
              <w:rPr>
                <w:szCs w:val="24"/>
                <w:lang w:val="en-GB"/>
              </w:rPr>
            </w:pPr>
            <w:r w:rsidRPr="00B335F7">
              <w:rPr>
                <w:lang w:val="en-GB"/>
              </w:rPr>
              <w:t>(85)</w:t>
            </w:r>
            <w:r w:rsidRPr="00B335F7">
              <w:rPr>
                <w:lang w:val="en-GB"/>
              </w:rPr>
              <w:tab/>
            </w:r>
            <w:r w:rsidR="002969F2" w:rsidRPr="00B335F7">
              <w:rPr>
                <w:lang w:val="en-GB"/>
              </w:rPr>
              <w:t>The biotechnology landscape is evolving at an unprecedented speed, driven by advances in synthetic biology and genome editing, which, coupled with AI, make biotechnology stand at the forefront of innovation, offering unprecedented opportunities for advancing health and protecting against biological threats. These advances also make biotechnological misuse faster, cheaper, and more accessible. Biotechnologies can pose serious and distinctive risks that call for continuous assessment and anticipatory safeguards. Therefore, a limited set of biotechnology products with significant potential for misuse (‘biotechnology products of concern’) require a specific framework to prevent and protect against their misuse.</w:t>
            </w:r>
            <w:r w:rsidR="002969F2" w:rsidRPr="00B335F7">
              <w:rPr>
                <w:b/>
                <w:i/>
                <w:lang w:val="en-GB"/>
              </w:rPr>
              <w:t xml:space="preserve"> Where the stakes for life and health are particularly high, increasingly sophisticated diagnostics systems and systems supporting human decisions should be reliable and accurate, while avoiding discriminatory impacts and unfair biases in accordance with Union or national law.</w:t>
            </w:r>
          </w:p>
        </w:tc>
      </w:tr>
    </w:tbl>
    <w:p w14:paraId="1C974048"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189D90E" w14:textId="77777777" w:rsidR="002969F2" w:rsidRPr="00B335F7" w:rsidRDefault="002969F2" w:rsidP="002969F2">
      <w:r w:rsidRPr="00B335F7">
        <w:rPr>
          <w:rStyle w:val="HideTWBExt"/>
          <w:rFonts w:eastAsiaTheme="majorEastAsia"/>
        </w:rPr>
        <w:lastRenderedPageBreak/>
        <w:t>&lt;/Amend&gt;</w:t>
      </w:r>
    </w:p>
    <w:p w14:paraId="5058D231" w14:textId="54BD31AA"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17</w:t>
      </w:r>
      <w:r w:rsidRPr="00B335F7">
        <w:rPr>
          <w:rStyle w:val="HideTWBExt"/>
          <w:rFonts w:eastAsiaTheme="majorEastAsia"/>
          <w:b w:val="0"/>
          <w:lang w:val="en-GB"/>
        </w:rPr>
        <w:t>&lt;/NumAm&gt;</w:t>
      </w:r>
    </w:p>
    <w:p w14:paraId="7A846F0C"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5A529FA" w14:textId="77777777" w:rsidR="002969F2" w:rsidRPr="00B335F7" w:rsidRDefault="002969F2" w:rsidP="002969F2">
      <w:pPr>
        <w:pStyle w:val="NormalBold"/>
      </w:pPr>
      <w:r w:rsidRPr="00B335F7">
        <w:rPr>
          <w:rStyle w:val="HideTWBExt"/>
          <w:rFonts w:eastAsiaTheme="majorEastAsia"/>
          <w:b w:val="0"/>
        </w:rPr>
        <w:t>&lt;Article&gt;</w:t>
      </w:r>
      <w:r w:rsidRPr="00B335F7">
        <w:t>Recital 86</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2978E37B" w14:textId="77777777" w:rsidTr="002969F2">
        <w:trPr>
          <w:jc w:val="center"/>
        </w:trPr>
        <w:tc>
          <w:tcPr>
            <w:tcW w:w="9752" w:type="dxa"/>
            <w:gridSpan w:val="2"/>
          </w:tcPr>
          <w:p w14:paraId="6C483728" w14:textId="77777777" w:rsidR="002969F2" w:rsidRPr="00B335F7" w:rsidRDefault="002969F2">
            <w:pPr>
              <w:keepNext/>
            </w:pPr>
          </w:p>
        </w:tc>
      </w:tr>
      <w:tr w:rsidR="002969F2" w:rsidRPr="00B335F7" w14:paraId="579CC3D5" w14:textId="77777777" w:rsidTr="002969F2">
        <w:trPr>
          <w:jc w:val="center"/>
        </w:trPr>
        <w:tc>
          <w:tcPr>
            <w:tcW w:w="4876" w:type="dxa"/>
            <w:hideMark/>
          </w:tcPr>
          <w:p w14:paraId="1DBBB988"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5C953B3" w14:textId="77777777" w:rsidR="002969F2" w:rsidRPr="00B335F7" w:rsidRDefault="002969F2">
            <w:pPr>
              <w:pStyle w:val="ColumnHeading"/>
              <w:keepNext/>
              <w:rPr>
                <w:lang w:val="en-GB"/>
              </w:rPr>
            </w:pPr>
            <w:r w:rsidRPr="00B335F7">
              <w:rPr>
                <w:lang w:val="en-GB"/>
              </w:rPr>
              <w:t>Amendment</w:t>
            </w:r>
          </w:p>
        </w:tc>
      </w:tr>
      <w:tr w:rsidR="002969F2" w:rsidRPr="00B335F7" w14:paraId="57F1C38B" w14:textId="77777777" w:rsidTr="002969F2">
        <w:trPr>
          <w:jc w:val="center"/>
        </w:trPr>
        <w:tc>
          <w:tcPr>
            <w:tcW w:w="4876" w:type="dxa"/>
            <w:hideMark/>
          </w:tcPr>
          <w:p w14:paraId="341198FF" w14:textId="3EFED0B1" w:rsidR="002969F2" w:rsidRPr="00B335F7" w:rsidRDefault="002969F2">
            <w:pPr>
              <w:pStyle w:val="Normal6"/>
              <w:rPr>
                <w:lang w:val="en-GB"/>
              </w:rPr>
            </w:pPr>
            <w:r w:rsidRPr="00B335F7">
              <w:rPr>
                <w:lang w:val="en-GB"/>
              </w:rPr>
              <w:t>(86)</w:t>
            </w:r>
            <w:r w:rsidRPr="00B335F7">
              <w:rPr>
                <w:lang w:val="en-GB"/>
              </w:rPr>
              <w:tab/>
              <w:t>Union and international rules address certain aspects related to biological threats, biological incidents or biological risks, in particular in relation to serious cross-border threats to health</w:t>
            </w:r>
            <w:r w:rsidRPr="00B335F7">
              <w:rPr>
                <w:vertAlign w:val="superscript"/>
                <w:lang w:val="en-GB"/>
              </w:rPr>
              <w:t>42</w:t>
            </w:r>
            <w:r w:rsidRPr="00B335F7">
              <w:rPr>
                <w:lang w:val="en-GB"/>
              </w:rPr>
              <w:t>, the control of exports, brokering, technical assistance, transit and transfer of dual-use items</w:t>
            </w:r>
            <w:r w:rsidRPr="00B335F7">
              <w:rPr>
                <w:vertAlign w:val="superscript"/>
                <w:lang w:val="en-GB"/>
              </w:rPr>
              <w:t>43</w:t>
            </w:r>
            <w:r w:rsidRPr="00B335F7">
              <w:rPr>
                <w:lang w:val="en-GB"/>
              </w:rPr>
              <w:t>, resilience in biosafety and biosecurity through the Biological and Toxin Weapons Convention (BTWC)</w:t>
            </w:r>
            <w:r w:rsidRPr="00B335F7">
              <w:rPr>
                <w:vertAlign w:val="superscript"/>
                <w:lang w:val="en-GB"/>
              </w:rPr>
              <w:t>44</w:t>
            </w:r>
            <w:r w:rsidRPr="00B335F7">
              <w:rPr>
                <w:lang w:val="en-GB"/>
              </w:rPr>
              <w:t>, the Chemical Weapons Convention (CWC), the contained use of genetically modified micro-organisms</w:t>
            </w:r>
            <w:r w:rsidRPr="00B335F7">
              <w:rPr>
                <w:vertAlign w:val="superscript"/>
                <w:lang w:val="en-GB"/>
              </w:rPr>
              <w:t>45</w:t>
            </w:r>
            <w:r w:rsidRPr="00B335F7">
              <w:rPr>
                <w:lang w:val="en-GB"/>
              </w:rPr>
              <w:t>, workers’ protection from risks related to exposure to biological agents at work</w:t>
            </w:r>
            <w:r w:rsidRPr="00B335F7">
              <w:rPr>
                <w:vertAlign w:val="superscript"/>
                <w:lang w:val="en-GB"/>
              </w:rPr>
              <w:t>46</w:t>
            </w:r>
            <w:r w:rsidRPr="00B335F7">
              <w:rPr>
                <w:lang w:val="en-GB"/>
              </w:rPr>
              <w:t>, in relation to AI systems and models through Regulation (EU) 2024/1689. However, the approach remains fragmented and does not sufficiently address all aspects related to the misuse related to biotechnologies. A consistent and high level of protection throughout the Union should therefore be ensured in order to guarantee biotechnology remains trustworthy and provides legal certainty for economic operators in the biotechnology sector.</w:t>
            </w:r>
          </w:p>
        </w:tc>
        <w:tc>
          <w:tcPr>
            <w:tcW w:w="4876" w:type="dxa"/>
            <w:hideMark/>
          </w:tcPr>
          <w:p w14:paraId="22274794" w14:textId="2738C8A1" w:rsidR="002969F2" w:rsidRPr="00B335F7" w:rsidRDefault="00B73EFC">
            <w:pPr>
              <w:pStyle w:val="Normal6"/>
              <w:rPr>
                <w:szCs w:val="24"/>
                <w:lang w:val="en-GB"/>
              </w:rPr>
            </w:pPr>
            <w:r w:rsidRPr="00B335F7">
              <w:rPr>
                <w:lang w:val="en-GB"/>
              </w:rPr>
              <w:t>(86)</w:t>
            </w:r>
            <w:r w:rsidRPr="00B335F7">
              <w:rPr>
                <w:lang w:val="en-GB"/>
              </w:rPr>
              <w:tab/>
            </w:r>
            <w:r w:rsidR="002969F2" w:rsidRPr="00B335F7">
              <w:rPr>
                <w:lang w:val="en-GB"/>
              </w:rPr>
              <w:t>Union and international rules address certain aspects related to biological threats, biological incidents or biological risks, in particular in relation to serious cross-border threats to health</w:t>
            </w:r>
            <w:r w:rsidR="002969F2" w:rsidRPr="00B335F7">
              <w:rPr>
                <w:vertAlign w:val="superscript"/>
                <w:lang w:val="en-GB"/>
              </w:rPr>
              <w:t>42</w:t>
            </w:r>
            <w:r w:rsidR="002969F2" w:rsidRPr="00B335F7">
              <w:rPr>
                <w:lang w:val="en-GB"/>
              </w:rPr>
              <w:t>, the control of exports, brokering, technical assistance, transit and transfer of dual-use items</w:t>
            </w:r>
            <w:r w:rsidR="002969F2" w:rsidRPr="00B335F7">
              <w:rPr>
                <w:vertAlign w:val="superscript"/>
                <w:lang w:val="en-GB"/>
              </w:rPr>
              <w:t>43</w:t>
            </w:r>
            <w:r w:rsidR="002969F2" w:rsidRPr="00B335F7">
              <w:rPr>
                <w:lang w:val="en-GB"/>
              </w:rPr>
              <w:t>, resilience in biosafety and biosecurity through the Biological and Toxin Weapons Convention (BTWC)</w:t>
            </w:r>
            <w:r w:rsidR="002969F2" w:rsidRPr="00B335F7">
              <w:rPr>
                <w:vertAlign w:val="superscript"/>
                <w:lang w:val="en-GB"/>
              </w:rPr>
              <w:t>44</w:t>
            </w:r>
            <w:r w:rsidR="002969F2" w:rsidRPr="00B335F7">
              <w:rPr>
                <w:lang w:val="en-GB"/>
              </w:rPr>
              <w:t>, the Chemical Weapons Convention (CWC), the contained use of genetically modified micro-organisms</w:t>
            </w:r>
            <w:r w:rsidR="002969F2" w:rsidRPr="00B335F7">
              <w:rPr>
                <w:vertAlign w:val="superscript"/>
                <w:lang w:val="en-GB"/>
              </w:rPr>
              <w:t>45</w:t>
            </w:r>
            <w:r w:rsidR="002969F2" w:rsidRPr="00B335F7">
              <w:rPr>
                <w:lang w:val="en-GB"/>
              </w:rPr>
              <w:t>, workers’ protection from risks related to exposure to biological agents at work</w:t>
            </w:r>
            <w:r w:rsidR="002969F2" w:rsidRPr="00B335F7">
              <w:rPr>
                <w:vertAlign w:val="superscript"/>
                <w:lang w:val="en-GB"/>
              </w:rPr>
              <w:t>46</w:t>
            </w:r>
            <w:r w:rsidR="002969F2" w:rsidRPr="00B335F7">
              <w:rPr>
                <w:lang w:val="en-GB"/>
              </w:rPr>
              <w:t xml:space="preserve">, in relation to AI systems and models through Regulation (EU) 2024/1689. However, the approach remains fragmented and does not sufficiently address all aspects related to the misuse related to biotechnologies. A consistent and high level of protection throughout the Union should therefore be ensured in order to guarantee biotechnology remains </w:t>
            </w:r>
            <w:r w:rsidR="002969F2" w:rsidRPr="00B335F7">
              <w:rPr>
                <w:b/>
                <w:i/>
                <w:lang w:val="en-GB"/>
              </w:rPr>
              <w:t>ethical,</w:t>
            </w:r>
            <w:r w:rsidR="002969F2" w:rsidRPr="00B335F7">
              <w:rPr>
                <w:lang w:val="en-GB"/>
              </w:rPr>
              <w:t xml:space="preserve"> trustworthy and provides legal certainty for economic operators in the biotechnology sector.</w:t>
            </w:r>
          </w:p>
        </w:tc>
      </w:tr>
      <w:tr w:rsidR="002969F2" w:rsidRPr="00B335F7" w14:paraId="3D4577DF" w14:textId="77777777" w:rsidTr="002969F2">
        <w:trPr>
          <w:jc w:val="center"/>
        </w:trPr>
        <w:tc>
          <w:tcPr>
            <w:tcW w:w="4876" w:type="dxa"/>
            <w:hideMark/>
          </w:tcPr>
          <w:p w14:paraId="70E78FF9" w14:textId="77777777" w:rsidR="002969F2" w:rsidRPr="00B335F7" w:rsidRDefault="002969F2">
            <w:pPr>
              <w:pStyle w:val="Normal6"/>
              <w:rPr>
                <w:lang w:val="en-GB"/>
              </w:rPr>
            </w:pPr>
            <w:r w:rsidRPr="00B335F7">
              <w:rPr>
                <w:lang w:val="en-GB"/>
              </w:rPr>
              <w:t>__________________</w:t>
            </w:r>
          </w:p>
        </w:tc>
        <w:tc>
          <w:tcPr>
            <w:tcW w:w="4876" w:type="dxa"/>
            <w:hideMark/>
          </w:tcPr>
          <w:p w14:paraId="7E8B338C" w14:textId="77777777" w:rsidR="002969F2" w:rsidRPr="00B335F7" w:rsidRDefault="002969F2">
            <w:pPr>
              <w:pStyle w:val="Normal6"/>
              <w:rPr>
                <w:szCs w:val="24"/>
                <w:lang w:val="en-GB"/>
              </w:rPr>
            </w:pPr>
            <w:r w:rsidRPr="00B335F7">
              <w:rPr>
                <w:lang w:val="en-GB"/>
              </w:rPr>
              <w:t>__________________</w:t>
            </w:r>
          </w:p>
        </w:tc>
      </w:tr>
      <w:tr w:rsidR="002969F2" w:rsidRPr="00B335F7" w14:paraId="77111439" w14:textId="77777777" w:rsidTr="002969F2">
        <w:trPr>
          <w:jc w:val="center"/>
        </w:trPr>
        <w:tc>
          <w:tcPr>
            <w:tcW w:w="4876" w:type="dxa"/>
            <w:hideMark/>
          </w:tcPr>
          <w:p w14:paraId="2D148326" w14:textId="77777777" w:rsidR="002969F2" w:rsidRPr="00B335F7" w:rsidRDefault="002969F2">
            <w:pPr>
              <w:pStyle w:val="Normal6"/>
              <w:rPr>
                <w:lang w:val="en-GB"/>
              </w:rPr>
            </w:pPr>
            <w:r w:rsidRPr="00B335F7">
              <w:rPr>
                <w:vertAlign w:val="superscript"/>
                <w:lang w:val="en-GB"/>
              </w:rPr>
              <w:t>42</w:t>
            </w:r>
            <w:r w:rsidRPr="00B335F7">
              <w:rPr>
                <w:lang w:val="en-GB"/>
              </w:rPr>
              <w:t xml:space="preserve"> Regulation (EU) 2022/2371 of the European Parliament and of the Council of 23 November 2022 on serious cross-border threats to health and repealing Decision No 1082/2013/, p. 26. ELI: http://data.europa.eu/eli/reg/2022/2371/oj.</w:t>
            </w:r>
          </w:p>
        </w:tc>
        <w:tc>
          <w:tcPr>
            <w:tcW w:w="4876" w:type="dxa"/>
            <w:hideMark/>
          </w:tcPr>
          <w:p w14:paraId="06F81A2E" w14:textId="77777777" w:rsidR="002969F2" w:rsidRPr="00B335F7" w:rsidRDefault="002969F2">
            <w:pPr>
              <w:pStyle w:val="Normal6"/>
              <w:rPr>
                <w:szCs w:val="24"/>
                <w:lang w:val="en-GB"/>
              </w:rPr>
            </w:pPr>
            <w:r w:rsidRPr="00B335F7">
              <w:rPr>
                <w:vertAlign w:val="superscript"/>
                <w:lang w:val="en-GB"/>
              </w:rPr>
              <w:t>42</w:t>
            </w:r>
            <w:r w:rsidRPr="00B335F7">
              <w:rPr>
                <w:lang w:val="en-GB"/>
              </w:rPr>
              <w:t xml:space="preserve"> Regulation (EU) 2022/2371 of the European Parliament and of the Council of 23 November 2022 on serious cross-border threats to health and repealing Decision No 1082/2013/, p. 26. ELI: http://data.europa.eu/eli/reg/2022/2371/oj.</w:t>
            </w:r>
          </w:p>
        </w:tc>
      </w:tr>
      <w:tr w:rsidR="002969F2" w:rsidRPr="00B335F7" w14:paraId="58F9E9B5" w14:textId="77777777" w:rsidTr="002969F2">
        <w:trPr>
          <w:jc w:val="center"/>
        </w:trPr>
        <w:tc>
          <w:tcPr>
            <w:tcW w:w="4876" w:type="dxa"/>
            <w:hideMark/>
          </w:tcPr>
          <w:p w14:paraId="6541D3C7" w14:textId="4875816F" w:rsidR="002969F2" w:rsidRPr="00B335F7" w:rsidRDefault="002969F2">
            <w:pPr>
              <w:pStyle w:val="Normal6"/>
              <w:rPr>
                <w:lang w:val="en-GB"/>
              </w:rPr>
            </w:pPr>
            <w:r w:rsidRPr="00B335F7">
              <w:rPr>
                <w:vertAlign w:val="superscript"/>
                <w:lang w:val="en-GB"/>
              </w:rPr>
              <w:t>43</w:t>
            </w:r>
            <w:r w:rsidRPr="00B335F7">
              <w:rPr>
                <w:lang w:val="en-GB"/>
              </w:rPr>
              <w:t xml:space="preserve"> Regulation (EU) 2021/821 of the European Parliament and of the Council of 20 May 2021 setting up a Union regime for the control of exports, brokering, technical assistance, transit and transfer of dual-use items, OJ L 206, 11.6.2021, pp. 1. ELI: </w:t>
            </w:r>
            <w:r w:rsidRPr="00B335F7">
              <w:rPr>
                <w:lang w:val="en-GB"/>
              </w:rPr>
              <w:lastRenderedPageBreak/>
              <w:t>http://data.europa.eu/eli/reg/2021/821/oj.</w:t>
            </w:r>
          </w:p>
        </w:tc>
        <w:tc>
          <w:tcPr>
            <w:tcW w:w="4876" w:type="dxa"/>
            <w:hideMark/>
          </w:tcPr>
          <w:p w14:paraId="296669E9" w14:textId="5EF35AF6" w:rsidR="002969F2" w:rsidRPr="00B335F7" w:rsidRDefault="002969F2">
            <w:pPr>
              <w:pStyle w:val="Normal6"/>
              <w:rPr>
                <w:szCs w:val="24"/>
                <w:lang w:val="en-GB"/>
              </w:rPr>
            </w:pPr>
            <w:r w:rsidRPr="00B335F7">
              <w:rPr>
                <w:vertAlign w:val="superscript"/>
                <w:lang w:val="en-GB"/>
              </w:rPr>
              <w:lastRenderedPageBreak/>
              <w:t>43</w:t>
            </w:r>
            <w:r w:rsidRPr="00B335F7">
              <w:rPr>
                <w:lang w:val="en-GB"/>
              </w:rPr>
              <w:t xml:space="preserve"> Regulation (EU) 2021/821 of the European Parliament and of the Council of 20 May 2021 setting up a Union regime for the control of exports, brokering, technical assistance, transit and transfer of dual-use items, OJ L 206, 11.6.2021, pp. 1. ELI: </w:t>
            </w:r>
            <w:r w:rsidRPr="00B335F7">
              <w:rPr>
                <w:lang w:val="en-GB"/>
              </w:rPr>
              <w:lastRenderedPageBreak/>
              <w:t>http://data.europa.eu/eli/reg/2021/821/oj.</w:t>
            </w:r>
          </w:p>
        </w:tc>
      </w:tr>
      <w:tr w:rsidR="002969F2" w:rsidRPr="00B335F7" w14:paraId="1C909BA2" w14:textId="77777777" w:rsidTr="002969F2">
        <w:trPr>
          <w:jc w:val="center"/>
        </w:trPr>
        <w:tc>
          <w:tcPr>
            <w:tcW w:w="4876" w:type="dxa"/>
            <w:hideMark/>
          </w:tcPr>
          <w:p w14:paraId="0687AB56" w14:textId="77777777" w:rsidR="002969F2" w:rsidRPr="00B335F7" w:rsidRDefault="002969F2">
            <w:pPr>
              <w:pStyle w:val="Normal6"/>
              <w:rPr>
                <w:lang w:val="fi-FI"/>
              </w:rPr>
            </w:pPr>
            <w:r w:rsidRPr="00B335F7">
              <w:rPr>
                <w:vertAlign w:val="superscript"/>
                <w:lang w:val="en-GB"/>
              </w:rPr>
              <w:lastRenderedPageBreak/>
              <w:t>44</w:t>
            </w:r>
            <w:r w:rsidRPr="00B335F7">
              <w:rPr>
                <w:lang w:val="en-GB"/>
              </w:rPr>
              <w:t xml:space="preserve"> Council Decision (CFSP) 2023/2636 of 20 November 2023 amending Decision (CFSP) 2021/2072 in support of building resilience in biosafety and biosecurity through the Biological and Toxin Weapons Convention, no longer in force. </w:t>
            </w:r>
            <w:r w:rsidRPr="00B335F7">
              <w:rPr>
                <w:lang w:val="fi-FI"/>
              </w:rPr>
              <w:t>OJ L, 2023/2636, 22.11.2023, ELI: http://data.europa.eu/eli/dec/2023/2636/oj</w:t>
            </w:r>
          </w:p>
        </w:tc>
        <w:tc>
          <w:tcPr>
            <w:tcW w:w="4876" w:type="dxa"/>
            <w:hideMark/>
          </w:tcPr>
          <w:p w14:paraId="1DC4A8E8" w14:textId="77777777" w:rsidR="002969F2" w:rsidRPr="00B335F7" w:rsidRDefault="002969F2">
            <w:pPr>
              <w:pStyle w:val="Normal6"/>
              <w:rPr>
                <w:szCs w:val="24"/>
                <w:lang w:val="fi-FI"/>
              </w:rPr>
            </w:pPr>
            <w:r w:rsidRPr="00B335F7">
              <w:rPr>
                <w:vertAlign w:val="superscript"/>
                <w:lang w:val="en-GB"/>
              </w:rPr>
              <w:t>44</w:t>
            </w:r>
            <w:r w:rsidRPr="00B335F7">
              <w:rPr>
                <w:lang w:val="en-GB"/>
              </w:rPr>
              <w:t xml:space="preserve"> Council Decision (CFSP) 2023/2636 of 20 November 2023 amending Decision (CFSP) 2021/2072 in support of building resilience in biosafety and biosecurity through the Biological and Toxin Weapons Convention, no longer in force. </w:t>
            </w:r>
            <w:r w:rsidRPr="00B335F7">
              <w:rPr>
                <w:lang w:val="fi-FI"/>
              </w:rPr>
              <w:t>OJ L, 2023/2636, 22.11.2023, ELI: http://data.europa.eu/eli/dec/2023/2636/oj</w:t>
            </w:r>
          </w:p>
        </w:tc>
      </w:tr>
      <w:tr w:rsidR="002969F2" w:rsidRPr="00B335F7" w14:paraId="7899D5E4" w14:textId="77777777" w:rsidTr="002969F2">
        <w:trPr>
          <w:jc w:val="center"/>
        </w:trPr>
        <w:tc>
          <w:tcPr>
            <w:tcW w:w="4876" w:type="dxa"/>
            <w:hideMark/>
          </w:tcPr>
          <w:p w14:paraId="72AF5709" w14:textId="77777777" w:rsidR="002969F2" w:rsidRPr="00B335F7" w:rsidRDefault="002969F2">
            <w:pPr>
              <w:pStyle w:val="Normal6"/>
              <w:rPr>
                <w:lang w:val="en-GB"/>
              </w:rPr>
            </w:pPr>
            <w:r w:rsidRPr="00B335F7">
              <w:rPr>
                <w:vertAlign w:val="superscript"/>
                <w:lang w:val="en-GB"/>
              </w:rPr>
              <w:t>45</w:t>
            </w:r>
            <w:r w:rsidRPr="00B335F7">
              <w:rPr>
                <w:lang w:val="en-GB"/>
              </w:rPr>
              <w:t xml:space="preserve"> Directive 2009/41/EC of the European Parliament and of the Council of 6 May 2009 on the contained use of genetically modified micro-organisms (Recast) (Text with EEA relevance), OJ L 125, 21.5.2009, p. 75. ELI: http://data.europa.eu/eli/dir/2009/41/oj.</w:t>
            </w:r>
          </w:p>
        </w:tc>
        <w:tc>
          <w:tcPr>
            <w:tcW w:w="4876" w:type="dxa"/>
            <w:hideMark/>
          </w:tcPr>
          <w:p w14:paraId="4BAAF585" w14:textId="77777777" w:rsidR="002969F2" w:rsidRPr="00B335F7" w:rsidRDefault="002969F2">
            <w:pPr>
              <w:pStyle w:val="Normal6"/>
              <w:rPr>
                <w:szCs w:val="24"/>
                <w:lang w:val="en-GB"/>
              </w:rPr>
            </w:pPr>
            <w:r w:rsidRPr="00B335F7">
              <w:rPr>
                <w:vertAlign w:val="superscript"/>
                <w:lang w:val="en-GB"/>
              </w:rPr>
              <w:t>45</w:t>
            </w:r>
            <w:r w:rsidRPr="00B335F7">
              <w:rPr>
                <w:lang w:val="en-GB"/>
              </w:rPr>
              <w:t xml:space="preserve"> Directive 2009/41/EC of the European Parliament and of the Council of 6 May 2009 on the contained use of genetically modified micro-organisms (Recast) (Text with EEA relevance), OJ L 125, 21.5.2009, p. 75. ELI: http://data.europa.eu/eli/dir/2009/41/oj.</w:t>
            </w:r>
          </w:p>
        </w:tc>
      </w:tr>
      <w:tr w:rsidR="002969F2" w:rsidRPr="00B335F7" w14:paraId="32FAABDA" w14:textId="77777777" w:rsidTr="002969F2">
        <w:trPr>
          <w:jc w:val="center"/>
        </w:trPr>
        <w:tc>
          <w:tcPr>
            <w:tcW w:w="4876" w:type="dxa"/>
            <w:hideMark/>
          </w:tcPr>
          <w:p w14:paraId="40AF7F38" w14:textId="77777777" w:rsidR="002969F2" w:rsidRPr="00B335F7" w:rsidRDefault="002969F2">
            <w:pPr>
              <w:pStyle w:val="Normal6"/>
              <w:rPr>
                <w:lang w:val="en-GB"/>
              </w:rPr>
            </w:pPr>
            <w:r w:rsidRPr="00B335F7">
              <w:rPr>
                <w:vertAlign w:val="superscript"/>
                <w:lang w:val="en-GB"/>
              </w:rPr>
              <w:t>46</w:t>
            </w:r>
            <w:r w:rsidRPr="00B335F7">
              <w:rPr>
                <w:lang w:val="en-GB"/>
              </w:rPr>
              <w:t xml:space="preserve"> Directive 2000/54/EC of the European Parliament and of the Council of 18 September 2000 on the protection of workers from risks related to exposure to biological agents at work (seventh individual directive within the meaning of Article 16(1) of Directive 89/391/EEC), OJ L 262, 17.10.2000, p. 21. ELI: http://data.europa.eu/eli/dir/2000/54/oj.</w:t>
            </w:r>
          </w:p>
        </w:tc>
        <w:tc>
          <w:tcPr>
            <w:tcW w:w="4876" w:type="dxa"/>
            <w:hideMark/>
          </w:tcPr>
          <w:p w14:paraId="27B056B2" w14:textId="77777777" w:rsidR="002969F2" w:rsidRPr="00B335F7" w:rsidRDefault="002969F2">
            <w:pPr>
              <w:pStyle w:val="Normal6"/>
              <w:rPr>
                <w:szCs w:val="24"/>
                <w:lang w:val="en-GB"/>
              </w:rPr>
            </w:pPr>
            <w:r w:rsidRPr="00B335F7">
              <w:rPr>
                <w:vertAlign w:val="superscript"/>
                <w:lang w:val="en-GB"/>
              </w:rPr>
              <w:t>46</w:t>
            </w:r>
            <w:r w:rsidRPr="00B335F7">
              <w:rPr>
                <w:lang w:val="en-GB"/>
              </w:rPr>
              <w:t xml:space="preserve"> Directive 2000/54/EC of the European Parliament and of the Council of 18 September 2000 on the protection of workers from risks related to exposure to biological agents at work (seventh individual directive within the meaning of Article 16(1) of Directive 89/391/EEC), OJ L 262, 17.10.2000, p. 21. ELI: http://data.europa.eu/eli/dir/2000/54/oj.</w:t>
            </w:r>
          </w:p>
        </w:tc>
      </w:tr>
    </w:tbl>
    <w:p w14:paraId="559FA515" w14:textId="77777777" w:rsidR="002969F2" w:rsidRPr="00B335F7" w:rsidRDefault="002969F2" w:rsidP="002969F2">
      <w:pPr>
        <w:pStyle w:val="Olang"/>
      </w:pPr>
      <w:r w:rsidRPr="00B335F7">
        <w:t xml:space="preserve">Or. </w:t>
      </w:r>
      <w:r w:rsidRPr="00B335F7">
        <w:rPr>
          <w:rStyle w:val="HideTWBExt"/>
          <w:rFonts w:eastAsiaTheme="majorEastAsia"/>
          <w:noProof w:val="0"/>
        </w:rPr>
        <w:t>&lt;Original&gt;</w:t>
      </w:r>
      <w:r w:rsidRPr="00B335F7">
        <w:rPr>
          <w:rStyle w:val="HideTWBInt"/>
        </w:rPr>
        <w:t>{EN}</w:t>
      </w:r>
      <w:r w:rsidRPr="00B335F7">
        <w:t>en</w:t>
      </w:r>
      <w:r w:rsidRPr="00B335F7">
        <w:rPr>
          <w:rStyle w:val="HideTWBExt"/>
          <w:rFonts w:eastAsiaTheme="majorEastAsia"/>
          <w:noProof w:val="0"/>
        </w:rPr>
        <w:t>&lt;/Original&gt;</w:t>
      </w:r>
    </w:p>
    <w:p w14:paraId="688CFD21" w14:textId="77777777" w:rsidR="002969F2" w:rsidRPr="00B335F7" w:rsidRDefault="002969F2" w:rsidP="002969F2">
      <w:r w:rsidRPr="00B335F7">
        <w:rPr>
          <w:rStyle w:val="HideTWBExt"/>
          <w:rFonts w:eastAsiaTheme="majorEastAsia"/>
        </w:rPr>
        <w:t>&lt;/Amend&gt;</w:t>
      </w:r>
    </w:p>
    <w:p w14:paraId="03D7C76A" w14:textId="6FE8FEEB"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18</w:t>
      </w:r>
      <w:r w:rsidRPr="00B335F7">
        <w:rPr>
          <w:rStyle w:val="HideTWBExt"/>
          <w:rFonts w:eastAsiaTheme="majorEastAsia"/>
          <w:b w:val="0"/>
          <w:lang w:val="en-GB"/>
        </w:rPr>
        <w:t>&lt;/NumAm&gt;</w:t>
      </w:r>
    </w:p>
    <w:p w14:paraId="0809DA9E"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7D14A035" w14:textId="77777777" w:rsidR="002969F2" w:rsidRPr="00B335F7" w:rsidRDefault="002969F2" w:rsidP="002969F2">
      <w:pPr>
        <w:pStyle w:val="NormalBold"/>
      </w:pPr>
      <w:r w:rsidRPr="00B335F7">
        <w:rPr>
          <w:rStyle w:val="HideTWBExt"/>
          <w:rFonts w:eastAsiaTheme="majorEastAsia"/>
          <w:b w:val="0"/>
        </w:rPr>
        <w:t>&lt;Article&gt;</w:t>
      </w:r>
      <w:r w:rsidRPr="00B335F7">
        <w:t>Recital 98</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D80DF49" w14:textId="77777777" w:rsidTr="002969F2">
        <w:trPr>
          <w:jc w:val="center"/>
        </w:trPr>
        <w:tc>
          <w:tcPr>
            <w:tcW w:w="9752" w:type="dxa"/>
            <w:gridSpan w:val="2"/>
          </w:tcPr>
          <w:p w14:paraId="1B531608" w14:textId="77777777" w:rsidR="002969F2" w:rsidRPr="00B335F7" w:rsidRDefault="002969F2">
            <w:pPr>
              <w:keepNext/>
            </w:pPr>
          </w:p>
        </w:tc>
      </w:tr>
      <w:tr w:rsidR="002969F2" w:rsidRPr="00B335F7" w14:paraId="509EF3BA" w14:textId="77777777" w:rsidTr="002969F2">
        <w:trPr>
          <w:jc w:val="center"/>
        </w:trPr>
        <w:tc>
          <w:tcPr>
            <w:tcW w:w="4876" w:type="dxa"/>
            <w:hideMark/>
          </w:tcPr>
          <w:p w14:paraId="3402DE12"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6D0E1740" w14:textId="77777777" w:rsidR="002969F2" w:rsidRPr="00B335F7" w:rsidRDefault="002969F2">
            <w:pPr>
              <w:pStyle w:val="ColumnHeading"/>
              <w:keepNext/>
              <w:rPr>
                <w:lang w:val="en-GB"/>
              </w:rPr>
            </w:pPr>
            <w:r w:rsidRPr="00B335F7">
              <w:rPr>
                <w:lang w:val="en-GB"/>
              </w:rPr>
              <w:t>Amendment</w:t>
            </w:r>
          </w:p>
        </w:tc>
      </w:tr>
      <w:tr w:rsidR="002969F2" w:rsidRPr="00B335F7" w14:paraId="145FEB77" w14:textId="77777777" w:rsidTr="002969F2">
        <w:trPr>
          <w:jc w:val="center"/>
        </w:trPr>
        <w:tc>
          <w:tcPr>
            <w:tcW w:w="4876" w:type="dxa"/>
            <w:hideMark/>
          </w:tcPr>
          <w:p w14:paraId="7CF8FB9C" w14:textId="77777777" w:rsidR="002969F2" w:rsidRPr="00B335F7" w:rsidRDefault="002969F2">
            <w:pPr>
              <w:pStyle w:val="Normal6"/>
              <w:rPr>
                <w:lang w:val="en-GB"/>
              </w:rPr>
            </w:pPr>
            <w:r w:rsidRPr="00B335F7">
              <w:rPr>
                <w:lang w:val="en-GB"/>
              </w:rPr>
              <w:t>(98)</w:t>
            </w:r>
            <w:r w:rsidRPr="00B335F7">
              <w:rPr>
                <w:lang w:val="en-GB"/>
              </w:rPr>
              <w:tab/>
              <w:t xml:space="preserve">Certain tools with a potential to be misused without further modification and to cause serious harm to public health and safety, agricultural crops and other plants, to animals, the environment, material or government security (dual-use research of concern - ‘DURC’) are increasingly affordable and accessible, also through progress in AI capabilities, which elevates the risk of misuse by actors lacking appropriate competence, oversight, </w:t>
            </w:r>
            <w:r w:rsidRPr="00B335F7">
              <w:rPr>
                <w:lang w:val="en-GB"/>
              </w:rPr>
              <w:lastRenderedPageBreak/>
              <w:t>legitimate or peaceful intent. A proportionate and risk-based framework is therefore necessary to minimise opportunities for misuse of DURC, including on AI models in biological applications, while preserving legitimate research and innovation.</w:t>
            </w:r>
          </w:p>
        </w:tc>
        <w:tc>
          <w:tcPr>
            <w:tcW w:w="4876" w:type="dxa"/>
            <w:hideMark/>
          </w:tcPr>
          <w:p w14:paraId="76D99617" w14:textId="5686BE8F" w:rsidR="002969F2" w:rsidRPr="00B335F7" w:rsidRDefault="0082110A">
            <w:pPr>
              <w:pStyle w:val="Normal6"/>
              <w:rPr>
                <w:szCs w:val="24"/>
                <w:lang w:val="en-GB"/>
              </w:rPr>
            </w:pPr>
            <w:r w:rsidRPr="00B335F7">
              <w:rPr>
                <w:lang w:val="en-GB"/>
              </w:rPr>
              <w:lastRenderedPageBreak/>
              <w:t>(98)</w:t>
            </w:r>
            <w:r w:rsidRPr="00B335F7">
              <w:rPr>
                <w:lang w:val="en-GB"/>
              </w:rPr>
              <w:tab/>
            </w:r>
            <w:r w:rsidR="002969F2" w:rsidRPr="00B335F7">
              <w:rPr>
                <w:lang w:val="en-GB"/>
              </w:rPr>
              <w:t xml:space="preserve">Certain tools with a potential to be misused without further modification and to cause serious harm to public health and safety, agricultural crops and other plants, to animals, the environment, material or government security (dual-use research of concern - ‘DURC’) are increasingly affordable and accessible, also through progress in AI capabilities, which elevates the risk of </w:t>
            </w:r>
            <w:r w:rsidR="002969F2" w:rsidRPr="00B335F7">
              <w:rPr>
                <w:b/>
                <w:i/>
                <w:lang w:val="en-GB"/>
              </w:rPr>
              <w:t>non-ethical use of AI and</w:t>
            </w:r>
            <w:r w:rsidR="002969F2" w:rsidRPr="00B335F7">
              <w:rPr>
                <w:lang w:val="en-GB"/>
              </w:rPr>
              <w:t xml:space="preserve"> misuse by actors lacking appropriate </w:t>
            </w:r>
            <w:r w:rsidR="002969F2" w:rsidRPr="00B335F7">
              <w:rPr>
                <w:lang w:val="en-GB"/>
              </w:rPr>
              <w:lastRenderedPageBreak/>
              <w:t>competence, oversight, legitimate or peaceful intent. A proportionate and risk-based framework is therefore necessary to minimise opportunities for misuse of DURC, including on AI models in biological applications, while preserving legitimate research and innovation.</w:t>
            </w:r>
          </w:p>
        </w:tc>
      </w:tr>
    </w:tbl>
    <w:p w14:paraId="3ED8F87E"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24C1BF75" w14:textId="77777777" w:rsidR="002969F2" w:rsidRPr="00B335F7" w:rsidRDefault="002969F2" w:rsidP="002969F2">
      <w:r w:rsidRPr="00B335F7">
        <w:rPr>
          <w:rStyle w:val="HideTWBExt"/>
          <w:rFonts w:eastAsiaTheme="majorEastAsia"/>
        </w:rPr>
        <w:t>&lt;/Amend&gt;</w:t>
      </w:r>
    </w:p>
    <w:p w14:paraId="37DAC27F" w14:textId="0809B95C"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19</w:t>
      </w:r>
      <w:r w:rsidRPr="00B335F7">
        <w:rPr>
          <w:rStyle w:val="HideTWBExt"/>
          <w:rFonts w:eastAsiaTheme="majorEastAsia"/>
          <w:b w:val="0"/>
          <w:lang w:val="en-GB"/>
        </w:rPr>
        <w:t>&lt;/NumAm&gt;</w:t>
      </w:r>
    </w:p>
    <w:p w14:paraId="5E64578E"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A7FBF1F" w14:textId="77777777" w:rsidR="002969F2" w:rsidRPr="00B335F7" w:rsidRDefault="002969F2" w:rsidP="002969F2">
      <w:pPr>
        <w:pStyle w:val="NormalBold"/>
      </w:pPr>
      <w:r w:rsidRPr="00B335F7">
        <w:rPr>
          <w:rStyle w:val="HideTWBExt"/>
          <w:rFonts w:eastAsiaTheme="majorEastAsia"/>
          <w:b w:val="0"/>
        </w:rPr>
        <w:t>&lt;Article&gt;</w:t>
      </w:r>
      <w:r w:rsidRPr="00B335F7">
        <w:t>Recital 102</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A75DB85" w14:textId="77777777" w:rsidTr="002969F2">
        <w:trPr>
          <w:jc w:val="center"/>
        </w:trPr>
        <w:tc>
          <w:tcPr>
            <w:tcW w:w="9752" w:type="dxa"/>
            <w:gridSpan w:val="2"/>
          </w:tcPr>
          <w:p w14:paraId="21D3EE9E" w14:textId="77777777" w:rsidR="002969F2" w:rsidRPr="00B335F7" w:rsidRDefault="002969F2">
            <w:pPr>
              <w:keepNext/>
            </w:pPr>
          </w:p>
        </w:tc>
      </w:tr>
      <w:tr w:rsidR="002969F2" w:rsidRPr="00B335F7" w14:paraId="1174DAA0" w14:textId="77777777" w:rsidTr="002969F2">
        <w:trPr>
          <w:jc w:val="center"/>
        </w:trPr>
        <w:tc>
          <w:tcPr>
            <w:tcW w:w="4876" w:type="dxa"/>
            <w:hideMark/>
          </w:tcPr>
          <w:p w14:paraId="76735907"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22B47F8" w14:textId="77777777" w:rsidR="002969F2" w:rsidRPr="00B335F7" w:rsidRDefault="002969F2">
            <w:pPr>
              <w:pStyle w:val="ColumnHeading"/>
              <w:keepNext/>
              <w:rPr>
                <w:lang w:val="en-GB"/>
              </w:rPr>
            </w:pPr>
            <w:r w:rsidRPr="00B335F7">
              <w:rPr>
                <w:lang w:val="en-GB"/>
              </w:rPr>
              <w:t>Amendment</w:t>
            </w:r>
          </w:p>
        </w:tc>
      </w:tr>
      <w:tr w:rsidR="002969F2" w:rsidRPr="00B335F7" w14:paraId="349DDDE7" w14:textId="77777777" w:rsidTr="002969F2">
        <w:trPr>
          <w:jc w:val="center"/>
        </w:trPr>
        <w:tc>
          <w:tcPr>
            <w:tcW w:w="4876" w:type="dxa"/>
            <w:hideMark/>
          </w:tcPr>
          <w:p w14:paraId="4AF3E452" w14:textId="77777777" w:rsidR="002969F2" w:rsidRPr="00B335F7" w:rsidRDefault="002969F2">
            <w:pPr>
              <w:pStyle w:val="Normal6"/>
              <w:rPr>
                <w:lang w:val="en-GB"/>
              </w:rPr>
            </w:pPr>
            <w:r w:rsidRPr="00B335F7">
              <w:rPr>
                <w:lang w:val="en-GB"/>
              </w:rPr>
              <w:t>(102)</w:t>
            </w:r>
            <w:r w:rsidRPr="00B335F7">
              <w:rPr>
                <w:lang w:val="en-GB"/>
              </w:rPr>
              <w:tab/>
              <w:t>AI offers significant potential to enhance the Union’s competitiveness and innovation capacity, including in the area of biotechnology. This potential should be realised in a safe and responsible manner. In this regard, Regulation (EU) 2024/1689 lays down harmonised rules for placing on the market putting into service and use of AI systems and models in the Union, prohibitions of certain AI practices, harmonised transparency rules for certain AI systems, rules on market monitoring, market surveillance, governance and enforcement as well as measures to support innovation. AI systems and general-purpose AI models can lower the barrier for actors to misuse biotechnology. The provisions of Regulation (EU) 2024/1689 governing AI systems and general-purpose AI models aim to mitigate this. Further, AI models, as described in Regulation (EU) 2024/1689, used in biological applications, that are not covered by Regulation (EU) 2024/1689 (‘AI models in biological applications’) can also pose risks, including different types of systemic biological risks.</w:t>
            </w:r>
          </w:p>
        </w:tc>
        <w:tc>
          <w:tcPr>
            <w:tcW w:w="4876" w:type="dxa"/>
            <w:hideMark/>
          </w:tcPr>
          <w:p w14:paraId="098B0079" w14:textId="11A90F6F" w:rsidR="002969F2" w:rsidRPr="00B335F7" w:rsidRDefault="007C2804">
            <w:pPr>
              <w:pStyle w:val="Normal6"/>
              <w:rPr>
                <w:szCs w:val="24"/>
                <w:lang w:val="en-GB"/>
              </w:rPr>
            </w:pPr>
            <w:r w:rsidRPr="00B335F7">
              <w:rPr>
                <w:lang w:val="en-GB"/>
              </w:rPr>
              <w:t>(102)</w:t>
            </w:r>
            <w:r w:rsidRPr="00B335F7">
              <w:rPr>
                <w:lang w:val="en-GB"/>
              </w:rPr>
              <w:tab/>
            </w:r>
            <w:r w:rsidR="002969F2" w:rsidRPr="00B335F7">
              <w:rPr>
                <w:lang w:val="en-GB"/>
              </w:rPr>
              <w:t>AI offers significant potential to enhance the Union’s competitiveness and innovation capacity, including in the area of biotechnology. This potential should be realised in a safe</w:t>
            </w:r>
            <w:r w:rsidR="002969F2" w:rsidRPr="00B335F7">
              <w:rPr>
                <w:b/>
                <w:i/>
                <w:lang w:val="en-GB"/>
              </w:rPr>
              <w:t>, ethical</w:t>
            </w:r>
            <w:r w:rsidR="002969F2" w:rsidRPr="00B335F7">
              <w:rPr>
                <w:lang w:val="en-GB"/>
              </w:rPr>
              <w:t xml:space="preserve"> and responsible manner. In this regard, Regulation (EU) 2024/1689 lays down harmonised rules for placing on the market putting into service and use of AI systems and models in the Union, prohibitions of certain AI practices, harmonised transparency rules for certain AI systems, rules on market monitoring, market surveillance, governance and enforcement as well as measures to support innovation. AI systems and general-purpose AI models can lower the barrier for actors to misuse biotechnology. The provisions of Regulation (EU) 2024/1689 governing AI systems and general-purpose AI models aim to mitigate this. Further, AI models, as described in Regulation (EU) 2024/1689, used in biological applications, that are not covered by Regulation (EU) 2024/1689 (‘AI models in biological applications’) can also pose risks, including different types of systemic biological risks.</w:t>
            </w:r>
          </w:p>
        </w:tc>
      </w:tr>
    </w:tbl>
    <w:p w14:paraId="2756A662"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4239D1AC" w14:textId="77777777" w:rsidR="002969F2" w:rsidRPr="00B335F7" w:rsidRDefault="002969F2" w:rsidP="002969F2">
      <w:r w:rsidRPr="00B335F7">
        <w:rPr>
          <w:rStyle w:val="HideTWBExt"/>
          <w:rFonts w:eastAsiaTheme="majorEastAsia"/>
        </w:rPr>
        <w:lastRenderedPageBreak/>
        <w:t>&lt;/Amend&gt;</w:t>
      </w:r>
    </w:p>
    <w:p w14:paraId="3F2D85AE" w14:textId="65A73F26"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20</w:t>
      </w:r>
      <w:r w:rsidRPr="00B335F7">
        <w:rPr>
          <w:rStyle w:val="HideTWBExt"/>
          <w:rFonts w:eastAsiaTheme="majorEastAsia"/>
          <w:b w:val="0"/>
          <w:lang w:val="en-GB"/>
        </w:rPr>
        <w:t>&lt;/NumAm&gt;</w:t>
      </w:r>
    </w:p>
    <w:p w14:paraId="506E4804"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1CD9932" w14:textId="77777777" w:rsidR="002969F2" w:rsidRPr="00B335F7" w:rsidRDefault="002969F2" w:rsidP="002969F2">
      <w:pPr>
        <w:pStyle w:val="NormalBold"/>
      </w:pPr>
      <w:r w:rsidRPr="00B335F7">
        <w:rPr>
          <w:rStyle w:val="HideTWBExt"/>
          <w:rFonts w:eastAsiaTheme="majorEastAsia"/>
          <w:b w:val="0"/>
        </w:rPr>
        <w:t>&lt;Article&gt;</w:t>
      </w:r>
      <w:r w:rsidRPr="00B335F7">
        <w:t>Recital 149</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002B44D4" w14:textId="77777777" w:rsidTr="002969F2">
        <w:trPr>
          <w:jc w:val="center"/>
        </w:trPr>
        <w:tc>
          <w:tcPr>
            <w:tcW w:w="9752" w:type="dxa"/>
            <w:gridSpan w:val="2"/>
          </w:tcPr>
          <w:p w14:paraId="377AE18A" w14:textId="77777777" w:rsidR="002969F2" w:rsidRPr="00B335F7" w:rsidRDefault="002969F2">
            <w:pPr>
              <w:keepNext/>
            </w:pPr>
          </w:p>
        </w:tc>
      </w:tr>
      <w:tr w:rsidR="002969F2" w:rsidRPr="00B335F7" w14:paraId="238A8A6D" w14:textId="77777777" w:rsidTr="002969F2">
        <w:trPr>
          <w:jc w:val="center"/>
        </w:trPr>
        <w:tc>
          <w:tcPr>
            <w:tcW w:w="4876" w:type="dxa"/>
            <w:hideMark/>
          </w:tcPr>
          <w:p w14:paraId="16FC1664"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FF3B599" w14:textId="77777777" w:rsidR="002969F2" w:rsidRPr="00B335F7" w:rsidRDefault="002969F2">
            <w:pPr>
              <w:pStyle w:val="ColumnHeading"/>
              <w:keepNext/>
              <w:rPr>
                <w:lang w:val="en-GB"/>
              </w:rPr>
            </w:pPr>
            <w:r w:rsidRPr="00B335F7">
              <w:rPr>
                <w:lang w:val="en-GB"/>
              </w:rPr>
              <w:t>Amendment</w:t>
            </w:r>
          </w:p>
        </w:tc>
      </w:tr>
      <w:tr w:rsidR="002969F2" w:rsidRPr="00B335F7" w14:paraId="1745419C" w14:textId="77777777" w:rsidTr="002969F2">
        <w:trPr>
          <w:jc w:val="center"/>
        </w:trPr>
        <w:tc>
          <w:tcPr>
            <w:tcW w:w="4876" w:type="dxa"/>
            <w:hideMark/>
          </w:tcPr>
          <w:p w14:paraId="14ED4D78" w14:textId="77777777" w:rsidR="002969F2" w:rsidRPr="00B335F7" w:rsidRDefault="002969F2">
            <w:pPr>
              <w:pStyle w:val="Normal6"/>
              <w:rPr>
                <w:lang w:val="en-GB"/>
              </w:rPr>
            </w:pPr>
            <w:r w:rsidRPr="00B335F7">
              <w:rPr>
                <w:lang w:val="en-GB"/>
              </w:rPr>
              <w:t>(149)</w:t>
            </w:r>
            <w:r w:rsidRPr="00B335F7">
              <w:rPr>
                <w:lang w:val="en-GB"/>
              </w:rPr>
              <w:tab/>
              <w:t>The disruptive and innovative approaches to clinical trials may require adaptations to the rules governing clinical trial approvals and conduct. To harness the benefits of this innovation while providing necessary safeguards, it is essential to create a safe space for testing new regulatory approaches and technologies. This includes, where appropriate, the use of AI in trial design, data collection, analysis, and participant interaction. For that reason, it is necessary to provide for a possibility of setting up a controlled experimental environment in the form of a regulatory sandbox, allowing regulators to test new methods for authorising and conducting clinical trials, for example, when some requirements of the dossier cannot be fully complied with, while ensuring strong safeguards for participant protection and data robustness. Insights gained from sandbox activities should inform future guidance and, where appropriate, legislative amendments.</w:t>
            </w:r>
          </w:p>
        </w:tc>
        <w:tc>
          <w:tcPr>
            <w:tcW w:w="4876" w:type="dxa"/>
            <w:hideMark/>
          </w:tcPr>
          <w:p w14:paraId="6EC1AE36" w14:textId="4E5E06A8" w:rsidR="002969F2" w:rsidRPr="00B335F7" w:rsidRDefault="007C2804">
            <w:pPr>
              <w:pStyle w:val="Normal6"/>
              <w:rPr>
                <w:szCs w:val="24"/>
                <w:lang w:val="en-GB"/>
              </w:rPr>
            </w:pPr>
            <w:r w:rsidRPr="00B335F7">
              <w:rPr>
                <w:lang w:val="en-GB"/>
              </w:rPr>
              <w:t>(149)</w:t>
            </w:r>
            <w:r w:rsidRPr="00B335F7">
              <w:rPr>
                <w:lang w:val="en-GB"/>
              </w:rPr>
              <w:tab/>
            </w:r>
            <w:r w:rsidR="002969F2" w:rsidRPr="00B335F7">
              <w:rPr>
                <w:lang w:val="en-GB"/>
              </w:rPr>
              <w:t xml:space="preserve">The disruptive and innovative approaches to clinical trials may require adaptations to the rules governing clinical trial approvals and conduct. To harness the benefits of this innovation while providing necessary safeguards, it is essential to create a safe space for testing new regulatory approaches and technologies. This includes, where appropriate, the use of AI in trial design, data collection, analysis, and participant interaction. For that reason, it is necessary to provide for a possibility of setting up a controlled experimental environment in the form of a regulatory sandbox, allowing regulators to test new methods for authorising and conducting clinical trials, for example, when some requirements of the dossier cannot be fully complied with, while ensuring strong safeguards for participant protection and data robustness. </w:t>
            </w:r>
            <w:r w:rsidR="002969F2" w:rsidRPr="00B335F7">
              <w:rPr>
                <w:b/>
                <w:i/>
                <w:lang w:val="en-GB"/>
              </w:rPr>
              <w:t>Regulatory sandboxes can also benefit patients’ access to groundbreaking new therapies without compromising the standards of quality, safety and efficacy.</w:t>
            </w:r>
            <w:r w:rsidR="002969F2" w:rsidRPr="00B335F7">
              <w:rPr>
                <w:lang w:val="en-GB"/>
              </w:rPr>
              <w:t xml:space="preserve"> Insights gained from sandbox activities should inform future guidance and, where appropriate, legislative amendments.</w:t>
            </w:r>
            <w:r w:rsidR="002969F2" w:rsidRPr="00B335F7">
              <w:rPr>
                <w:b/>
                <w:i/>
                <w:lang w:val="en-GB"/>
              </w:rPr>
              <w:t xml:space="preserve"> Regulatory sandboxes should not affect the supervisory and corrective powers of the competent authorities and the liability of the participants, such as clinical trial sponsors, marketing authorisation holders, applicants for marketing authorisation, or any entities involved in the lifecycle of the medicinal product.</w:t>
            </w:r>
          </w:p>
        </w:tc>
      </w:tr>
    </w:tbl>
    <w:p w14:paraId="56F2B80A"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88B4494" w14:textId="77777777" w:rsidR="002969F2" w:rsidRPr="00B335F7" w:rsidRDefault="002969F2" w:rsidP="002969F2">
      <w:r w:rsidRPr="00B335F7">
        <w:rPr>
          <w:rStyle w:val="HideTWBExt"/>
          <w:rFonts w:eastAsiaTheme="majorEastAsia"/>
        </w:rPr>
        <w:t>&lt;/Amend&gt;</w:t>
      </w:r>
    </w:p>
    <w:p w14:paraId="51D2BFA6" w14:textId="7EA7A6F8"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21</w:t>
      </w:r>
      <w:r w:rsidRPr="00B335F7">
        <w:rPr>
          <w:rStyle w:val="HideTWBExt"/>
          <w:rFonts w:eastAsiaTheme="majorEastAsia"/>
          <w:b w:val="0"/>
          <w:lang w:val="en-GB"/>
        </w:rPr>
        <w:t>&lt;/NumAm&gt;</w:t>
      </w:r>
    </w:p>
    <w:p w14:paraId="1D0F3400"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6B4A9EAB" w14:textId="77777777" w:rsidR="002969F2" w:rsidRPr="00B335F7" w:rsidRDefault="002969F2" w:rsidP="002969F2">
      <w:pPr>
        <w:pStyle w:val="NormalBold"/>
      </w:pPr>
      <w:r w:rsidRPr="00B335F7">
        <w:rPr>
          <w:rStyle w:val="HideTWBExt"/>
          <w:rFonts w:eastAsiaTheme="majorEastAsia"/>
          <w:b w:val="0"/>
        </w:rPr>
        <w:t>&lt;Article&gt;</w:t>
      </w:r>
      <w:r w:rsidRPr="00B335F7">
        <w:t>Recital 157</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65A84350" w14:textId="77777777" w:rsidTr="002969F2">
        <w:trPr>
          <w:jc w:val="center"/>
        </w:trPr>
        <w:tc>
          <w:tcPr>
            <w:tcW w:w="9752" w:type="dxa"/>
            <w:gridSpan w:val="2"/>
          </w:tcPr>
          <w:p w14:paraId="28B5E894" w14:textId="77777777" w:rsidR="002969F2" w:rsidRPr="00B335F7" w:rsidRDefault="002969F2">
            <w:pPr>
              <w:keepNext/>
            </w:pPr>
          </w:p>
        </w:tc>
      </w:tr>
      <w:tr w:rsidR="002969F2" w:rsidRPr="00B335F7" w14:paraId="14858061" w14:textId="77777777" w:rsidTr="002969F2">
        <w:trPr>
          <w:jc w:val="center"/>
        </w:trPr>
        <w:tc>
          <w:tcPr>
            <w:tcW w:w="4876" w:type="dxa"/>
            <w:hideMark/>
          </w:tcPr>
          <w:p w14:paraId="032B5432"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049A681" w14:textId="77777777" w:rsidR="002969F2" w:rsidRPr="00B335F7" w:rsidRDefault="002969F2">
            <w:pPr>
              <w:pStyle w:val="ColumnHeading"/>
              <w:keepNext/>
              <w:rPr>
                <w:lang w:val="en-GB"/>
              </w:rPr>
            </w:pPr>
            <w:r w:rsidRPr="00B335F7">
              <w:rPr>
                <w:lang w:val="en-GB"/>
              </w:rPr>
              <w:t>Amendment</w:t>
            </w:r>
          </w:p>
        </w:tc>
      </w:tr>
      <w:tr w:rsidR="002969F2" w:rsidRPr="00B335F7" w14:paraId="1E9DA17D" w14:textId="77777777" w:rsidTr="002969F2">
        <w:trPr>
          <w:jc w:val="center"/>
        </w:trPr>
        <w:tc>
          <w:tcPr>
            <w:tcW w:w="4876" w:type="dxa"/>
            <w:hideMark/>
          </w:tcPr>
          <w:p w14:paraId="609AC7BA" w14:textId="77777777" w:rsidR="002969F2" w:rsidRPr="00B335F7" w:rsidRDefault="002969F2">
            <w:pPr>
              <w:pStyle w:val="Normal6"/>
              <w:rPr>
                <w:lang w:val="en-GB"/>
              </w:rPr>
            </w:pPr>
            <w:r w:rsidRPr="00B335F7">
              <w:rPr>
                <w:lang w:val="en-GB"/>
              </w:rPr>
              <w:t>(157)</w:t>
            </w:r>
            <w:r w:rsidRPr="00B335F7">
              <w:rPr>
                <w:lang w:val="en-GB"/>
              </w:rPr>
              <w:tab/>
              <w:t>The integration of AI in clinical trials presents opportunities to enhance the clinical trials’ design, execution, and oversight. This technological advancement offers substantial benefits to clinical trial sponsors, regulators, and ultimately patients. Among the possible enhancements are improved endpoint determination, advanced statistical analysis, optimized patient selection, enhanced data handling and analysis. While AI tools aim to accelerate the development of medicinal products, it is imperative that their use in clinical trials adheres to applicable legislation. This includes, when applicable, compliance with Regulation (EU) 2024/1689, Regulation (EU) 2017/746, Regulation (EU) 2017/745 and Regulation (EU) 2016/679.</w:t>
            </w:r>
          </w:p>
        </w:tc>
        <w:tc>
          <w:tcPr>
            <w:tcW w:w="4876" w:type="dxa"/>
            <w:hideMark/>
          </w:tcPr>
          <w:p w14:paraId="2CED1725" w14:textId="0F0001AD" w:rsidR="002969F2" w:rsidRPr="00B335F7" w:rsidRDefault="007C2804">
            <w:pPr>
              <w:pStyle w:val="Normal6"/>
              <w:rPr>
                <w:szCs w:val="24"/>
                <w:lang w:val="en-GB"/>
              </w:rPr>
            </w:pPr>
            <w:r w:rsidRPr="00B335F7">
              <w:rPr>
                <w:lang w:val="en-GB"/>
              </w:rPr>
              <w:t>(157)</w:t>
            </w:r>
            <w:r w:rsidRPr="00B335F7">
              <w:rPr>
                <w:lang w:val="en-GB"/>
              </w:rPr>
              <w:tab/>
            </w:r>
            <w:r w:rsidR="002969F2" w:rsidRPr="00B335F7">
              <w:rPr>
                <w:lang w:val="en-GB"/>
              </w:rPr>
              <w:t>The integration of AI in clinical trials presents opportunities to enhance the clinical trials’ design, execution, and oversight. This technological advancement offers substantial benefits to clinical trial sponsors, regulators, and ultimately patients. Among the possible enhancements are improved endpoint determination, advanced statistical analysis, optimized patient selection, enhanced data handling and analysis</w:t>
            </w:r>
            <w:r w:rsidR="002969F2" w:rsidRPr="00B335F7">
              <w:rPr>
                <w:b/>
                <w:i/>
                <w:lang w:val="en-GB"/>
              </w:rPr>
              <w:t>, without compromising privacy rights</w:t>
            </w:r>
            <w:r w:rsidR="002969F2" w:rsidRPr="00B335F7">
              <w:rPr>
                <w:lang w:val="en-GB"/>
              </w:rPr>
              <w:t>. While AI tools aim to accelerate the development of medicinal products, it is imperative that their use in clinical trials adheres to applicable legislation. This includes, when applicable, compliance with Regulation (EU) 2024/1689, Regulation (EU) 2017/746, Regulation (EU) 2017/745 and Regulation (EU) 2016/679.</w:t>
            </w:r>
          </w:p>
        </w:tc>
      </w:tr>
    </w:tbl>
    <w:p w14:paraId="2048F0FC"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2951AC58" w14:textId="77777777" w:rsidR="002969F2" w:rsidRPr="00B335F7" w:rsidRDefault="002969F2" w:rsidP="002969F2">
      <w:r w:rsidRPr="00B335F7">
        <w:rPr>
          <w:rStyle w:val="HideTWBExt"/>
          <w:rFonts w:eastAsiaTheme="majorEastAsia"/>
        </w:rPr>
        <w:t>&lt;/Amend&gt;</w:t>
      </w:r>
    </w:p>
    <w:p w14:paraId="3D4D79AB" w14:textId="7EEDD6AA"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22</w:t>
      </w:r>
      <w:r w:rsidRPr="00B335F7">
        <w:rPr>
          <w:rStyle w:val="HideTWBExt"/>
          <w:rFonts w:eastAsiaTheme="majorEastAsia"/>
          <w:b w:val="0"/>
          <w:lang w:val="en-GB"/>
        </w:rPr>
        <w:t>&lt;/NumAm&gt;</w:t>
      </w:r>
    </w:p>
    <w:p w14:paraId="60417CD2"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B5E6D1D" w14:textId="77777777" w:rsidR="002969F2" w:rsidRPr="00B335F7" w:rsidRDefault="002969F2" w:rsidP="002969F2">
      <w:pPr>
        <w:pStyle w:val="NormalBold"/>
      </w:pPr>
      <w:r w:rsidRPr="00B335F7">
        <w:rPr>
          <w:rStyle w:val="HideTWBExt"/>
          <w:rFonts w:eastAsiaTheme="majorEastAsia"/>
          <w:b w:val="0"/>
        </w:rPr>
        <w:t>&lt;Article&gt;</w:t>
      </w:r>
      <w:r w:rsidRPr="00B335F7">
        <w:t>Recital 158 a (new)</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350C8BEB" w14:textId="77777777" w:rsidTr="002969F2">
        <w:trPr>
          <w:jc w:val="center"/>
        </w:trPr>
        <w:tc>
          <w:tcPr>
            <w:tcW w:w="9752" w:type="dxa"/>
            <w:gridSpan w:val="2"/>
          </w:tcPr>
          <w:p w14:paraId="008CCFCD" w14:textId="77777777" w:rsidR="002969F2" w:rsidRPr="00B335F7" w:rsidRDefault="002969F2">
            <w:pPr>
              <w:keepNext/>
            </w:pPr>
          </w:p>
        </w:tc>
      </w:tr>
      <w:tr w:rsidR="002969F2" w:rsidRPr="00B335F7" w14:paraId="5DE4D707" w14:textId="77777777" w:rsidTr="002969F2">
        <w:trPr>
          <w:jc w:val="center"/>
        </w:trPr>
        <w:tc>
          <w:tcPr>
            <w:tcW w:w="4876" w:type="dxa"/>
            <w:hideMark/>
          </w:tcPr>
          <w:p w14:paraId="3D6082CD"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A86BBF1" w14:textId="77777777" w:rsidR="002969F2" w:rsidRPr="00B335F7" w:rsidRDefault="002969F2">
            <w:pPr>
              <w:pStyle w:val="ColumnHeading"/>
              <w:keepNext/>
              <w:rPr>
                <w:lang w:val="en-GB"/>
              </w:rPr>
            </w:pPr>
            <w:r w:rsidRPr="00B335F7">
              <w:rPr>
                <w:lang w:val="en-GB"/>
              </w:rPr>
              <w:t>Amendment</w:t>
            </w:r>
          </w:p>
        </w:tc>
      </w:tr>
      <w:tr w:rsidR="002969F2" w:rsidRPr="00B335F7" w14:paraId="6FF3A1FC" w14:textId="77777777" w:rsidTr="002969F2">
        <w:trPr>
          <w:jc w:val="center"/>
        </w:trPr>
        <w:tc>
          <w:tcPr>
            <w:tcW w:w="4876" w:type="dxa"/>
          </w:tcPr>
          <w:p w14:paraId="2F1A1683" w14:textId="77777777" w:rsidR="002969F2" w:rsidRPr="00B335F7" w:rsidRDefault="002969F2">
            <w:pPr>
              <w:pStyle w:val="Normal6"/>
              <w:rPr>
                <w:lang w:val="en-GB"/>
              </w:rPr>
            </w:pPr>
          </w:p>
        </w:tc>
        <w:tc>
          <w:tcPr>
            <w:tcW w:w="4876" w:type="dxa"/>
            <w:hideMark/>
          </w:tcPr>
          <w:p w14:paraId="16DE79CE" w14:textId="3AA97E3A" w:rsidR="002969F2" w:rsidRPr="00B335F7" w:rsidRDefault="002969F2">
            <w:pPr>
              <w:pStyle w:val="Normal6"/>
              <w:rPr>
                <w:szCs w:val="24"/>
                <w:lang w:val="en-GB"/>
              </w:rPr>
            </w:pPr>
            <w:r w:rsidRPr="00B335F7">
              <w:rPr>
                <w:b/>
                <w:i/>
                <w:lang w:val="en-GB"/>
              </w:rPr>
              <w:t>(158a)</w:t>
            </w:r>
            <w:r w:rsidRPr="00B335F7">
              <w:rPr>
                <w:b/>
                <w:i/>
                <w:lang w:val="en-GB"/>
              </w:rPr>
              <w:tab/>
              <w:t>The risk-based approach to AI use, as set down in Regulation (EU) 2024/1689, is the basis for a proportionate and effective set of binding rules</w:t>
            </w:r>
            <w:r w:rsidR="002B53F3" w:rsidRPr="00B335F7">
              <w:rPr>
                <w:b/>
                <w:i/>
                <w:lang w:val="en-GB"/>
              </w:rPr>
              <w:t>.</w:t>
            </w:r>
            <w:r w:rsidRPr="00B335F7">
              <w:rPr>
                <w:b/>
                <w:i/>
                <w:lang w:val="en-GB"/>
              </w:rPr>
              <w:t xml:space="preserve"> It is important to recall the 2019 Ethics </w:t>
            </w:r>
            <w:r w:rsidR="00D63609" w:rsidRPr="00B335F7">
              <w:rPr>
                <w:b/>
                <w:i/>
                <w:lang w:val="en-GB"/>
              </w:rPr>
              <w:t>G</w:t>
            </w:r>
            <w:r w:rsidRPr="00B335F7">
              <w:rPr>
                <w:b/>
                <w:i/>
                <w:lang w:val="en-GB"/>
              </w:rPr>
              <w:t xml:space="preserve">uidelines for </w:t>
            </w:r>
            <w:r w:rsidR="00D63609" w:rsidRPr="00B335F7">
              <w:rPr>
                <w:b/>
                <w:i/>
                <w:lang w:val="en-GB"/>
              </w:rPr>
              <w:t>T</w:t>
            </w:r>
            <w:r w:rsidRPr="00B335F7">
              <w:rPr>
                <w:b/>
                <w:i/>
                <w:lang w:val="en-GB"/>
              </w:rPr>
              <w:t>rustworthy AI developed by the independent AI HLEG appointed by the Commission. In those guidelines, the AI HLEG developed seven non-</w:t>
            </w:r>
            <w:r w:rsidRPr="00B335F7">
              <w:rPr>
                <w:b/>
                <w:i/>
                <w:lang w:val="en-GB"/>
              </w:rPr>
              <w:lastRenderedPageBreak/>
              <w:t xml:space="preserve">binding ethical principles for AI which are intended to help ensure that AI is trustworthy and ethically sound. The seven principles include human agency and oversight; technical robustness and safety; privacy and data governance; transparency; diversity, non-discrimination and fairness; societal and environmental well-being and accountability. Without prejudice to the legally binding requirements of this Regulation and any other applicable Union law, those guidelines contribute to the design of coherent, trustworthy and human-centric AI, in line with the Charter of Fundamental Rights of the European Union and with the values on which the Union is founded. According to the guidelines of the AI HLEG, human agency and oversight means that AI systems are developed and used as a tool that serves people, respects human dignity and personal autonomy, and that is functioning in a way that can be appropriately controlled and overseen by humans. Technical robustness and safety means that AI systems are developed and used in a way that allows robustness in the case of problems and resilience against attempts to alter the use or performance of the AI system so as to allow unlawful use by third parties, and minimise unintended harm. Privacy and data governance means that AI systems are developed and used in accordance with privacy and data protection rules, while processing data that meets high standards in terms of quality and integrity. Transparency means that AI systems are developed and used in a way that allows appropriate traceability and explainability, while making humans aware that they communicate or interact with an AI system, as well as duly informing deployers of the capabilities and limitations of that AI system and affected persons about their rights. Diversity, non-discrimination and fairness means that AI systems are developed and </w:t>
            </w:r>
            <w:r w:rsidRPr="00B335F7">
              <w:rPr>
                <w:b/>
                <w:i/>
                <w:lang w:val="en-GB"/>
              </w:rPr>
              <w:lastRenderedPageBreak/>
              <w:t>used in a way that includes diverse actors and promotes equal access, gender equality and cultural diversity, while avoiding discriminatory impacts and unfair biases that are prohibited by Union or national law.</w:t>
            </w:r>
          </w:p>
        </w:tc>
      </w:tr>
    </w:tbl>
    <w:p w14:paraId="709A2BB1"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58B1BE9" w14:textId="77777777" w:rsidR="002969F2" w:rsidRPr="00B335F7" w:rsidRDefault="002969F2" w:rsidP="002969F2">
      <w:r w:rsidRPr="00B335F7">
        <w:rPr>
          <w:rStyle w:val="HideTWBExt"/>
          <w:rFonts w:eastAsiaTheme="majorEastAsia"/>
        </w:rPr>
        <w:t>&lt;/Amend&gt;</w:t>
      </w:r>
    </w:p>
    <w:p w14:paraId="24BAA82A" w14:textId="174FDBEB"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23</w:t>
      </w:r>
      <w:r w:rsidRPr="00B335F7">
        <w:rPr>
          <w:rStyle w:val="HideTWBExt"/>
          <w:rFonts w:eastAsiaTheme="majorEastAsia"/>
          <w:b w:val="0"/>
          <w:lang w:val="en-GB"/>
        </w:rPr>
        <w:t>&lt;/NumAm&gt;</w:t>
      </w:r>
    </w:p>
    <w:p w14:paraId="27D22A07"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4A30F0E" w14:textId="77777777" w:rsidR="002969F2" w:rsidRPr="00B335F7" w:rsidRDefault="002969F2" w:rsidP="002969F2">
      <w:pPr>
        <w:pStyle w:val="NormalBold"/>
      </w:pPr>
      <w:r w:rsidRPr="00B335F7">
        <w:rPr>
          <w:rStyle w:val="HideTWBExt"/>
          <w:rFonts w:eastAsiaTheme="majorEastAsia"/>
          <w:b w:val="0"/>
        </w:rPr>
        <w:t>&lt;Article&gt;</w:t>
      </w:r>
      <w:r w:rsidRPr="00B335F7">
        <w:t>Recital 166</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20E5CCC7" w14:textId="77777777" w:rsidTr="002969F2">
        <w:trPr>
          <w:jc w:val="center"/>
        </w:trPr>
        <w:tc>
          <w:tcPr>
            <w:tcW w:w="9752" w:type="dxa"/>
            <w:gridSpan w:val="2"/>
          </w:tcPr>
          <w:p w14:paraId="3E8574FC" w14:textId="77777777" w:rsidR="002969F2" w:rsidRPr="00B335F7" w:rsidRDefault="002969F2">
            <w:pPr>
              <w:keepNext/>
            </w:pPr>
          </w:p>
        </w:tc>
      </w:tr>
      <w:tr w:rsidR="002969F2" w:rsidRPr="00B335F7" w14:paraId="77A7F95A" w14:textId="77777777" w:rsidTr="002969F2">
        <w:trPr>
          <w:jc w:val="center"/>
        </w:trPr>
        <w:tc>
          <w:tcPr>
            <w:tcW w:w="4876" w:type="dxa"/>
            <w:hideMark/>
          </w:tcPr>
          <w:p w14:paraId="2AEDB0FB"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7BAB59FB" w14:textId="77777777" w:rsidR="002969F2" w:rsidRPr="00B335F7" w:rsidRDefault="002969F2">
            <w:pPr>
              <w:pStyle w:val="ColumnHeading"/>
              <w:keepNext/>
              <w:rPr>
                <w:lang w:val="en-GB"/>
              </w:rPr>
            </w:pPr>
            <w:r w:rsidRPr="00B335F7">
              <w:rPr>
                <w:lang w:val="en-GB"/>
              </w:rPr>
              <w:t>Amendment</w:t>
            </w:r>
          </w:p>
        </w:tc>
      </w:tr>
      <w:tr w:rsidR="002969F2" w:rsidRPr="00B335F7" w14:paraId="00275245" w14:textId="77777777" w:rsidTr="002969F2">
        <w:trPr>
          <w:jc w:val="center"/>
        </w:trPr>
        <w:tc>
          <w:tcPr>
            <w:tcW w:w="4876" w:type="dxa"/>
            <w:hideMark/>
          </w:tcPr>
          <w:p w14:paraId="0215E59D" w14:textId="77777777" w:rsidR="002969F2" w:rsidRPr="00B335F7" w:rsidRDefault="002969F2">
            <w:pPr>
              <w:pStyle w:val="Normal6"/>
              <w:rPr>
                <w:lang w:val="en-GB"/>
              </w:rPr>
            </w:pPr>
            <w:r w:rsidRPr="00B335F7">
              <w:rPr>
                <w:b/>
                <w:i/>
                <w:lang w:val="en-GB"/>
              </w:rPr>
              <w:t>(166)</w:t>
            </w:r>
            <w:r w:rsidRPr="00B335F7">
              <w:rPr>
                <w:b/>
                <w:i/>
                <w:lang w:val="en-GB"/>
              </w:rPr>
              <w:tab/>
              <w:t>Veterinary medicinal products developed by means of biotechnology processes to diagnose, treat or prevent zoonotic diseases should be entitled to an extra year of supplementary protection certificate (‘SPC’) in order to support their development.</w:t>
            </w:r>
          </w:p>
        </w:tc>
        <w:tc>
          <w:tcPr>
            <w:tcW w:w="4876" w:type="dxa"/>
            <w:hideMark/>
          </w:tcPr>
          <w:p w14:paraId="1D166B83" w14:textId="77777777" w:rsidR="002969F2" w:rsidRPr="00B335F7" w:rsidRDefault="002969F2">
            <w:pPr>
              <w:pStyle w:val="Normal6"/>
              <w:rPr>
                <w:szCs w:val="24"/>
                <w:lang w:val="en-GB"/>
              </w:rPr>
            </w:pPr>
            <w:r w:rsidRPr="00B335F7">
              <w:rPr>
                <w:b/>
                <w:i/>
              </w:rPr>
              <w:t>deleted</w:t>
            </w:r>
          </w:p>
        </w:tc>
      </w:tr>
    </w:tbl>
    <w:p w14:paraId="7F8BC4BB" w14:textId="77777777" w:rsidR="002969F2" w:rsidRPr="00B335F7" w:rsidRDefault="002969F2" w:rsidP="002969F2">
      <w:pPr>
        <w:pStyle w:val="Olang"/>
      </w:pPr>
      <w:r w:rsidRPr="00B335F7">
        <w:t xml:space="preserve">Or. </w:t>
      </w:r>
      <w:r w:rsidRPr="00B335F7">
        <w:rPr>
          <w:rStyle w:val="HideTWBExt"/>
          <w:rFonts w:eastAsiaTheme="majorEastAsia"/>
          <w:noProof w:val="0"/>
        </w:rPr>
        <w:t>&lt;Original&gt;</w:t>
      </w:r>
      <w:r w:rsidRPr="00B335F7">
        <w:rPr>
          <w:rStyle w:val="HideTWBInt"/>
        </w:rPr>
        <w:t>{EN}</w:t>
      </w:r>
      <w:r w:rsidRPr="00B335F7">
        <w:t>en</w:t>
      </w:r>
      <w:r w:rsidRPr="00B335F7">
        <w:rPr>
          <w:rStyle w:val="HideTWBExt"/>
          <w:rFonts w:eastAsiaTheme="majorEastAsia"/>
          <w:noProof w:val="0"/>
        </w:rPr>
        <w:t>&lt;/Original&gt;</w:t>
      </w:r>
    </w:p>
    <w:p w14:paraId="30072575" w14:textId="77777777" w:rsidR="002969F2" w:rsidRPr="00B335F7" w:rsidRDefault="002969F2" w:rsidP="002969F2">
      <w:r w:rsidRPr="00B335F7">
        <w:rPr>
          <w:rStyle w:val="HideTWBExt"/>
          <w:rFonts w:eastAsiaTheme="majorEastAsia"/>
        </w:rPr>
        <w:t>&lt;/Amend&gt;</w:t>
      </w:r>
    </w:p>
    <w:p w14:paraId="1D34D48B" w14:textId="40FDDCA2"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24</w:t>
      </w:r>
      <w:r w:rsidRPr="00B335F7">
        <w:rPr>
          <w:rStyle w:val="HideTWBExt"/>
          <w:rFonts w:eastAsiaTheme="majorEastAsia"/>
          <w:b w:val="0"/>
          <w:lang w:val="en-GB"/>
        </w:rPr>
        <w:t>&lt;/NumAm&gt;</w:t>
      </w:r>
    </w:p>
    <w:p w14:paraId="0ECAA693"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0F651339" w14:textId="77777777" w:rsidR="002969F2" w:rsidRPr="00B335F7" w:rsidRDefault="002969F2" w:rsidP="002969F2">
      <w:pPr>
        <w:pStyle w:val="NormalBold"/>
        <w:rPr>
          <w:lang w:val="fr-BE"/>
        </w:rPr>
      </w:pPr>
      <w:r w:rsidRPr="00B335F7">
        <w:rPr>
          <w:rStyle w:val="HideTWBExt"/>
          <w:rFonts w:eastAsiaTheme="majorEastAsia"/>
          <w:b w:val="0"/>
          <w:lang w:val="fr-BE"/>
        </w:rPr>
        <w:t>&lt;Article&gt;</w:t>
      </w:r>
      <w:r w:rsidRPr="00B335F7">
        <w:rPr>
          <w:lang w:val="fr-BE"/>
        </w:rPr>
        <w:t>Article 17 – paragraph 2 – point e</w:t>
      </w:r>
      <w:r w:rsidRPr="00B335F7">
        <w:rPr>
          <w:rStyle w:val="HideTWBExt"/>
          <w:rFonts w:eastAsiaTheme="majorEastAsia"/>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A8AB771" w14:textId="77777777" w:rsidTr="002969F2">
        <w:trPr>
          <w:jc w:val="center"/>
        </w:trPr>
        <w:tc>
          <w:tcPr>
            <w:tcW w:w="9752" w:type="dxa"/>
            <w:gridSpan w:val="2"/>
          </w:tcPr>
          <w:p w14:paraId="339F1F90" w14:textId="77777777" w:rsidR="002969F2" w:rsidRPr="00B335F7" w:rsidRDefault="002969F2">
            <w:pPr>
              <w:keepNext/>
              <w:rPr>
                <w:lang w:val="fr-BE"/>
              </w:rPr>
            </w:pPr>
          </w:p>
        </w:tc>
      </w:tr>
      <w:tr w:rsidR="002969F2" w:rsidRPr="00B335F7" w14:paraId="017E3A24" w14:textId="77777777" w:rsidTr="002969F2">
        <w:trPr>
          <w:jc w:val="center"/>
        </w:trPr>
        <w:tc>
          <w:tcPr>
            <w:tcW w:w="4876" w:type="dxa"/>
            <w:hideMark/>
          </w:tcPr>
          <w:p w14:paraId="36AC6BF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FB72E77" w14:textId="77777777" w:rsidR="002969F2" w:rsidRPr="00B335F7" w:rsidRDefault="002969F2">
            <w:pPr>
              <w:pStyle w:val="ColumnHeading"/>
              <w:keepNext/>
              <w:rPr>
                <w:lang w:val="en-GB"/>
              </w:rPr>
            </w:pPr>
            <w:r w:rsidRPr="00B335F7">
              <w:rPr>
                <w:lang w:val="en-GB"/>
              </w:rPr>
              <w:t>Amendment</w:t>
            </w:r>
          </w:p>
        </w:tc>
      </w:tr>
      <w:tr w:rsidR="002969F2" w:rsidRPr="00B335F7" w14:paraId="60A1CC3B" w14:textId="77777777" w:rsidTr="002969F2">
        <w:trPr>
          <w:jc w:val="center"/>
        </w:trPr>
        <w:tc>
          <w:tcPr>
            <w:tcW w:w="4876" w:type="dxa"/>
            <w:hideMark/>
          </w:tcPr>
          <w:p w14:paraId="62891F50" w14:textId="77777777" w:rsidR="002969F2" w:rsidRPr="00B335F7" w:rsidRDefault="002969F2">
            <w:pPr>
              <w:pStyle w:val="Normal6"/>
              <w:rPr>
                <w:lang w:val="en-GB"/>
              </w:rPr>
            </w:pPr>
            <w:r w:rsidRPr="00B335F7">
              <w:rPr>
                <w:lang w:val="en-GB"/>
              </w:rPr>
              <w:t>(e)</w:t>
            </w:r>
            <w:r w:rsidRPr="00B335F7">
              <w:rPr>
                <w:lang w:val="en-GB"/>
              </w:rPr>
              <w:tab/>
              <w:t>use of data and AI, by assessing access to data, computing and digital infrastructures for biotechnology and identifying opportunities to foster responsible AI-enabled innovation and mitigate related risks.</w:t>
            </w:r>
          </w:p>
        </w:tc>
        <w:tc>
          <w:tcPr>
            <w:tcW w:w="4876" w:type="dxa"/>
            <w:hideMark/>
          </w:tcPr>
          <w:p w14:paraId="41832EA8" w14:textId="209417E3" w:rsidR="002969F2" w:rsidRPr="00B335F7" w:rsidRDefault="00D63609">
            <w:pPr>
              <w:pStyle w:val="Normal6"/>
              <w:rPr>
                <w:szCs w:val="24"/>
                <w:lang w:val="en-GB"/>
              </w:rPr>
            </w:pPr>
            <w:r w:rsidRPr="00B335F7">
              <w:rPr>
                <w:lang w:val="en-GB"/>
              </w:rPr>
              <w:t>(e)</w:t>
            </w:r>
            <w:r w:rsidRPr="00B335F7">
              <w:rPr>
                <w:lang w:val="en-GB"/>
              </w:rPr>
              <w:tab/>
            </w:r>
            <w:r w:rsidR="002969F2" w:rsidRPr="00B335F7">
              <w:rPr>
                <w:lang w:val="en-GB"/>
              </w:rPr>
              <w:t xml:space="preserve">use of data and AI, by assessing access to data, computing and digital infrastructures for biotechnology and identifying opportunities to foster </w:t>
            </w:r>
            <w:r w:rsidR="002969F2" w:rsidRPr="00B335F7">
              <w:rPr>
                <w:b/>
                <w:i/>
                <w:lang w:val="en-GB"/>
              </w:rPr>
              <w:t>ethical and</w:t>
            </w:r>
            <w:r w:rsidR="002969F2" w:rsidRPr="00B335F7">
              <w:rPr>
                <w:lang w:val="en-GB"/>
              </w:rPr>
              <w:t xml:space="preserve"> responsible AI-enabled innovation and mitigate related risks</w:t>
            </w:r>
            <w:r w:rsidR="002969F2" w:rsidRPr="00B335F7">
              <w:rPr>
                <w:b/>
                <w:i/>
                <w:lang w:val="en-GB"/>
              </w:rPr>
              <w:t>, used in a manner that guarantees full human oversight at any time</w:t>
            </w:r>
            <w:r w:rsidR="002969F2" w:rsidRPr="00B335F7">
              <w:rPr>
                <w:lang w:val="en-GB"/>
              </w:rPr>
              <w:t>.</w:t>
            </w:r>
          </w:p>
        </w:tc>
      </w:tr>
    </w:tbl>
    <w:p w14:paraId="3A24CE2C"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106468D" w14:textId="77777777" w:rsidR="002969F2" w:rsidRPr="00B335F7" w:rsidRDefault="002969F2" w:rsidP="002969F2">
      <w:r w:rsidRPr="00B335F7">
        <w:rPr>
          <w:rStyle w:val="HideTWBExt"/>
          <w:rFonts w:eastAsiaTheme="majorEastAsia"/>
        </w:rPr>
        <w:t>&lt;/Amend&gt;</w:t>
      </w:r>
    </w:p>
    <w:p w14:paraId="58CD5D86" w14:textId="0F0B0C08"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25</w:t>
      </w:r>
      <w:r w:rsidRPr="00B335F7">
        <w:rPr>
          <w:rStyle w:val="HideTWBExt"/>
          <w:rFonts w:eastAsiaTheme="majorEastAsia"/>
          <w:b w:val="0"/>
          <w:lang w:val="en-GB"/>
        </w:rPr>
        <w:t>&lt;/NumAm&gt;</w:t>
      </w:r>
    </w:p>
    <w:p w14:paraId="5989B066"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12412747" w14:textId="77777777" w:rsidR="002969F2" w:rsidRPr="00B335F7" w:rsidRDefault="002969F2" w:rsidP="002969F2">
      <w:pPr>
        <w:pStyle w:val="NormalBold"/>
      </w:pPr>
      <w:r w:rsidRPr="00B335F7">
        <w:rPr>
          <w:rStyle w:val="HideTWBExt"/>
          <w:rFonts w:eastAsiaTheme="majorEastAsia"/>
          <w:b w:val="0"/>
        </w:rPr>
        <w:t>&lt;Article&gt;</w:t>
      </w:r>
      <w:r w:rsidRPr="00B335F7">
        <w:t>Article 19 – paragraph 3 – point f</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28AF5EF" w14:textId="77777777" w:rsidTr="002969F2">
        <w:trPr>
          <w:jc w:val="center"/>
        </w:trPr>
        <w:tc>
          <w:tcPr>
            <w:tcW w:w="9752" w:type="dxa"/>
            <w:gridSpan w:val="2"/>
          </w:tcPr>
          <w:p w14:paraId="688C89AF" w14:textId="77777777" w:rsidR="002969F2" w:rsidRPr="00B335F7" w:rsidRDefault="002969F2">
            <w:pPr>
              <w:keepNext/>
            </w:pPr>
          </w:p>
        </w:tc>
      </w:tr>
      <w:tr w:rsidR="002969F2" w:rsidRPr="00B335F7" w14:paraId="76C7B58F" w14:textId="77777777" w:rsidTr="002969F2">
        <w:trPr>
          <w:jc w:val="center"/>
        </w:trPr>
        <w:tc>
          <w:tcPr>
            <w:tcW w:w="4876" w:type="dxa"/>
            <w:hideMark/>
          </w:tcPr>
          <w:p w14:paraId="5809B939"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813B307" w14:textId="77777777" w:rsidR="002969F2" w:rsidRPr="00B335F7" w:rsidRDefault="002969F2">
            <w:pPr>
              <w:pStyle w:val="ColumnHeading"/>
              <w:keepNext/>
              <w:rPr>
                <w:lang w:val="en-GB"/>
              </w:rPr>
            </w:pPr>
            <w:r w:rsidRPr="00B335F7">
              <w:rPr>
                <w:lang w:val="en-GB"/>
              </w:rPr>
              <w:t>Amendment</w:t>
            </w:r>
          </w:p>
        </w:tc>
      </w:tr>
      <w:tr w:rsidR="002969F2" w:rsidRPr="00B335F7" w14:paraId="003CE754" w14:textId="77777777" w:rsidTr="002969F2">
        <w:trPr>
          <w:jc w:val="center"/>
        </w:trPr>
        <w:tc>
          <w:tcPr>
            <w:tcW w:w="4876" w:type="dxa"/>
            <w:hideMark/>
          </w:tcPr>
          <w:p w14:paraId="668D1A9F" w14:textId="77777777" w:rsidR="002969F2" w:rsidRPr="00B335F7" w:rsidRDefault="002969F2">
            <w:pPr>
              <w:pStyle w:val="Normal6"/>
              <w:rPr>
                <w:lang w:val="en-GB"/>
              </w:rPr>
            </w:pPr>
            <w:r w:rsidRPr="00B335F7">
              <w:rPr>
                <w:lang w:val="en-GB"/>
              </w:rPr>
              <w:t>(f)</w:t>
            </w:r>
            <w:r w:rsidRPr="00B335F7">
              <w:rPr>
                <w:lang w:val="en-GB"/>
              </w:rPr>
              <w:tab/>
              <w:t>support biotechnology actors in the responsible and effective integration of AI, by providing sector-specific guidance and promoting best practices and standards for trustworthy AI, in coordination with the bodies established under Regulation (EU) 2024/1689, and by providing information and support, in particular to SMEs, start-ups and scale-ups;</w:t>
            </w:r>
          </w:p>
        </w:tc>
        <w:tc>
          <w:tcPr>
            <w:tcW w:w="4876" w:type="dxa"/>
            <w:hideMark/>
          </w:tcPr>
          <w:p w14:paraId="4E432059" w14:textId="0A44041A" w:rsidR="002969F2" w:rsidRPr="00B335F7" w:rsidRDefault="00D63609">
            <w:pPr>
              <w:pStyle w:val="Normal6"/>
              <w:rPr>
                <w:szCs w:val="24"/>
                <w:lang w:val="en-GB"/>
              </w:rPr>
            </w:pPr>
            <w:r w:rsidRPr="00B335F7">
              <w:rPr>
                <w:lang w:val="en-GB"/>
              </w:rPr>
              <w:t>(f)</w:t>
            </w:r>
            <w:r w:rsidRPr="00B335F7">
              <w:rPr>
                <w:lang w:val="en-GB"/>
              </w:rPr>
              <w:tab/>
            </w:r>
            <w:r w:rsidR="002969F2" w:rsidRPr="00B335F7">
              <w:rPr>
                <w:lang w:val="en-GB"/>
              </w:rPr>
              <w:t xml:space="preserve">support biotechnology actors in the responsible and effective integration of AI, by providing sector-specific guidance and promoting best practices and standards for </w:t>
            </w:r>
            <w:r w:rsidR="002969F2" w:rsidRPr="00B335F7">
              <w:rPr>
                <w:b/>
                <w:i/>
                <w:lang w:val="en-GB"/>
              </w:rPr>
              <w:t>ethical and</w:t>
            </w:r>
            <w:r w:rsidR="002969F2" w:rsidRPr="00B335F7">
              <w:rPr>
                <w:lang w:val="en-GB"/>
              </w:rPr>
              <w:t xml:space="preserve"> trustworthy AI, in coordination with the bodies established under Regulation (EU) 2024/1689, and by providing information and support, in particular to SMEs, start-ups and scale-ups;</w:t>
            </w:r>
          </w:p>
        </w:tc>
      </w:tr>
    </w:tbl>
    <w:p w14:paraId="3B8331B2"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3164BA3" w14:textId="77777777" w:rsidR="002969F2" w:rsidRPr="00B335F7" w:rsidRDefault="002969F2" w:rsidP="002969F2">
      <w:r w:rsidRPr="00B335F7">
        <w:rPr>
          <w:rStyle w:val="HideTWBExt"/>
          <w:rFonts w:eastAsiaTheme="majorEastAsia"/>
        </w:rPr>
        <w:t>&lt;/Amend&gt;</w:t>
      </w:r>
    </w:p>
    <w:p w14:paraId="766323FC" w14:textId="6AA67D57" w:rsidR="005262B4" w:rsidRPr="00B335F7" w:rsidRDefault="002969F2" w:rsidP="005262B4">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005262B4" w:rsidRPr="00B335F7">
        <w:rPr>
          <w:rStyle w:val="HideTWBExt"/>
          <w:rFonts w:eastAsiaTheme="majorEastAsia"/>
          <w:b w:val="0"/>
          <w:lang w:val="en-GB"/>
        </w:rPr>
        <w:t>&lt;NumAm&gt;</w:t>
      </w:r>
      <w:r w:rsidR="003B6177" w:rsidRPr="00B335F7">
        <w:rPr>
          <w:lang w:val="en-GB"/>
        </w:rPr>
        <w:t>26</w:t>
      </w:r>
      <w:r w:rsidR="005262B4" w:rsidRPr="00B335F7">
        <w:rPr>
          <w:rStyle w:val="HideTWBExt"/>
          <w:rFonts w:eastAsiaTheme="majorEastAsia"/>
          <w:b w:val="0"/>
          <w:lang w:val="en-GB"/>
        </w:rPr>
        <w:t>&lt;/NumAm&gt;</w:t>
      </w:r>
    </w:p>
    <w:p w14:paraId="0787D2D0" w14:textId="54686E4F" w:rsidR="002969F2" w:rsidRPr="00B335F7" w:rsidRDefault="002969F2" w:rsidP="005262B4">
      <w:pPr>
        <w:pStyle w:val="AMNumberTabs0"/>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00AF2AD7" w14:textId="325F35CF" w:rsidR="002969F2" w:rsidRPr="00B335F7" w:rsidRDefault="002969F2" w:rsidP="002969F2">
      <w:pPr>
        <w:pStyle w:val="NormalBold"/>
      </w:pPr>
      <w:r w:rsidRPr="00B335F7">
        <w:rPr>
          <w:rStyle w:val="HideTWBExt"/>
          <w:rFonts w:eastAsiaTheme="majorEastAsia"/>
          <w:b w:val="0"/>
        </w:rPr>
        <w:t>&lt;Article&gt;</w:t>
      </w:r>
      <w:r w:rsidRPr="00B335F7">
        <w:t>Chapter IV</w:t>
      </w:r>
      <w:r w:rsidRPr="00B335F7">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7B8151A" w14:textId="77777777" w:rsidTr="00B335F7">
        <w:trPr>
          <w:jc w:val="center"/>
        </w:trPr>
        <w:tc>
          <w:tcPr>
            <w:tcW w:w="9752" w:type="dxa"/>
            <w:gridSpan w:val="2"/>
          </w:tcPr>
          <w:p w14:paraId="5B0B3333" w14:textId="77777777" w:rsidR="002969F2" w:rsidRPr="00B335F7" w:rsidRDefault="002969F2">
            <w:pPr>
              <w:keepNext/>
            </w:pPr>
          </w:p>
        </w:tc>
      </w:tr>
      <w:tr w:rsidR="002969F2" w:rsidRPr="00B335F7" w14:paraId="421FDA4A" w14:textId="77777777" w:rsidTr="00B335F7">
        <w:trPr>
          <w:jc w:val="center"/>
        </w:trPr>
        <w:tc>
          <w:tcPr>
            <w:tcW w:w="4876" w:type="dxa"/>
            <w:hideMark/>
          </w:tcPr>
          <w:p w14:paraId="4C0E6920"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FE3D2EE" w14:textId="77777777" w:rsidR="002969F2" w:rsidRPr="00B335F7" w:rsidRDefault="002969F2">
            <w:pPr>
              <w:pStyle w:val="ColumnHeading"/>
              <w:keepNext/>
              <w:rPr>
                <w:lang w:val="en-GB"/>
              </w:rPr>
            </w:pPr>
            <w:r w:rsidRPr="00B335F7">
              <w:rPr>
                <w:lang w:val="en-GB"/>
              </w:rPr>
              <w:t>Amendment</w:t>
            </w:r>
          </w:p>
        </w:tc>
      </w:tr>
      <w:tr w:rsidR="002969F2" w:rsidRPr="00B335F7" w14:paraId="2F218B8C" w14:textId="77777777" w:rsidTr="00B335F7">
        <w:trPr>
          <w:jc w:val="center"/>
        </w:trPr>
        <w:tc>
          <w:tcPr>
            <w:tcW w:w="4876" w:type="dxa"/>
            <w:hideMark/>
          </w:tcPr>
          <w:p w14:paraId="5B061CF3" w14:textId="135C4E4A" w:rsidR="002969F2" w:rsidRPr="00B335F7" w:rsidRDefault="002969F2">
            <w:pPr>
              <w:pStyle w:val="Normal6"/>
              <w:rPr>
                <w:lang w:val="en-GB"/>
              </w:rPr>
            </w:pPr>
            <w:r w:rsidRPr="00B335F7">
              <w:rPr>
                <w:b/>
                <w:i/>
                <w:lang w:val="en-GB"/>
              </w:rPr>
              <w:t>EXTENSION OF THE SUPPLEMENTARY PROTECTION CERTIFICATE</w:t>
            </w:r>
          </w:p>
        </w:tc>
        <w:tc>
          <w:tcPr>
            <w:tcW w:w="4876" w:type="dxa"/>
            <w:hideMark/>
          </w:tcPr>
          <w:p w14:paraId="14918ED7" w14:textId="77777777" w:rsidR="002969F2" w:rsidRPr="00B335F7" w:rsidRDefault="002969F2">
            <w:pPr>
              <w:pStyle w:val="Normal6"/>
              <w:rPr>
                <w:szCs w:val="24"/>
                <w:lang w:val="en-GB"/>
              </w:rPr>
            </w:pPr>
            <w:r w:rsidRPr="00B335F7">
              <w:rPr>
                <w:b/>
                <w:i/>
              </w:rPr>
              <w:t>deleted</w:t>
            </w:r>
          </w:p>
        </w:tc>
      </w:tr>
      <w:tr w:rsidR="006E2F13" w:rsidRPr="00B335F7" w14:paraId="565DB6E9" w14:textId="77777777" w:rsidTr="00B335F7">
        <w:trPr>
          <w:jc w:val="center"/>
        </w:trPr>
        <w:tc>
          <w:tcPr>
            <w:tcW w:w="4876" w:type="dxa"/>
          </w:tcPr>
          <w:p w14:paraId="16F0949A" w14:textId="3A51BBF6" w:rsidR="006E2F13" w:rsidRPr="00B335F7" w:rsidDel="006E2F13" w:rsidRDefault="006E2F13">
            <w:pPr>
              <w:pStyle w:val="Normal6"/>
              <w:rPr>
                <w:b/>
                <w:i/>
                <w:lang w:val="en-GB"/>
              </w:rPr>
            </w:pPr>
            <w:r w:rsidRPr="00B335F7">
              <w:rPr>
                <w:b/>
                <w:i/>
                <w:lang w:val="en-GB"/>
              </w:rPr>
              <w:t>Article 27</w:t>
            </w:r>
          </w:p>
        </w:tc>
        <w:tc>
          <w:tcPr>
            <w:tcW w:w="4876" w:type="dxa"/>
          </w:tcPr>
          <w:p w14:paraId="2681A32D" w14:textId="77777777" w:rsidR="006E2F13" w:rsidRPr="00B335F7" w:rsidRDefault="006E2F13">
            <w:pPr>
              <w:pStyle w:val="Normal6"/>
              <w:rPr>
                <w:b/>
                <w:i/>
              </w:rPr>
            </w:pPr>
          </w:p>
        </w:tc>
      </w:tr>
      <w:tr w:rsidR="002969F2" w:rsidRPr="00B335F7" w14:paraId="6F85D67A" w14:textId="77777777" w:rsidTr="00B335F7">
        <w:trPr>
          <w:jc w:val="center"/>
        </w:trPr>
        <w:tc>
          <w:tcPr>
            <w:tcW w:w="4876" w:type="dxa"/>
            <w:hideMark/>
          </w:tcPr>
          <w:p w14:paraId="34F3519A" w14:textId="573430D7" w:rsidR="002969F2" w:rsidRPr="00B335F7" w:rsidRDefault="002969F2">
            <w:pPr>
              <w:pStyle w:val="Normal6"/>
              <w:rPr>
                <w:lang w:val="en-GB"/>
              </w:rPr>
            </w:pPr>
            <w:r w:rsidRPr="00B335F7">
              <w:rPr>
                <w:b/>
                <w:i/>
                <w:lang w:val="en-GB"/>
              </w:rPr>
              <w:t>Extension of the supplementary protection certificate concerning best-in-class biotechnology medicines developed in the Union</w:t>
            </w:r>
          </w:p>
        </w:tc>
        <w:tc>
          <w:tcPr>
            <w:tcW w:w="4876" w:type="dxa"/>
          </w:tcPr>
          <w:p w14:paraId="758E4F51" w14:textId="77777777" w:rsidR="002969F2" w:rsidRPr="00B335F7" w:rsidRDefault="002969F2">
            <w:pPr>
              <w:pStyle w:val="Normal6"/>
              <w:rPr>
                <w:szCs w:val="24"/>
                <w:lang w:val="en-GB"/>
              </w:rPr>
            </w:pPr>
          </w:p>
        </w:tc>
      </w:tr>
      <w:tr w:rsidR="002969F2" w:rsidRPr="00B335F7" w14:paraId="6DDBDE2C" w14:textId="77777777" w:rsidTr="00B335F7">
        <w:trPr>
          <w:jc w:val="center"/>
        </w:trPr>
        <w:tc>
          <w:tcPr>
            <w:tcW w:w="4876" w:type="dxa"/>
            <w:hideMark/>
          </w:tcPr>
          <w:p w14:paraId="7C81F07E" w14:textId="77777777" w:rsidR="002969F2" w:rsidRPr="00B335F7" w:rsidRDefault="002969F2">
            <w:pPr>
              <w:pStyle w:val="Normal6"/>
              <w:rPr>
                <w:lang w:val="en-GB"/>
              </w:rPr>
            </w:pPr>
            <w:r w:rsidRPr="00B335F7">
              <w:rPr>
                <w:b/>
                <w:i/>
                <w:lang w:val="en-GB"/>
              </w:rPr>
              <w:t>1.</w:t>
            </w:r>
            <w:r w:rsidRPr="00B335F7">
              <w:rPr>
                <w:b/>
                <w:i/>
                <w:lang w:val="en-GB"/>
              </w:rPr>
              <w:tab/>
              <w:t xml:space="preserve">Where a marketing authorisation is granted by the Union to a medicinal product for human use developed by means of biotechnological processes referred to in paragraph 1 of Annex I to Regulation (EU) …/… [reference to be added after adoption cf. COM(2023) 193 final] or to an advanced therapy medicinal product referred to in paragraph 2 of that Annex, and that is protected either by a supplementary protection certificate in accordance with </w:t>
            </w:r>
            <w:r w:rsidRPr="00B335F7">
              <w:rPr>
                <w:b/>
                <w:i/>
                <w:lang w:val="en-GB"/>
              </w:rPr>
              <w:lastRenderedPageBreak/>
              <w:t>Regulation (EC) No 469/2009 of the European Parliament and of the Council</w:t>
            </w:r>
            <w:r w:rsidRPr="00B335F7">
              <w:rPr>
                <w:b/>
                <w:i/>
                <w:vertAlign w:val="superscript"/>
                <w:lang w:val="en-GB"/>
              </w:rPr>
              <w:t>69</w:t>
            </w:r>
            <w:r w:rsidRPr="00B335F7">
              <w:rPr>
                <w:lang w:val="en-GB"/>
              </w:rPr>
              <w:t xml:space="preserve"> </w:t>
            </w:r>
            <w:r w:rsidRPr="00B335F7">
              <w:rPr>
                <w:b/>
                <w:i/>
                <w:lang w:val="en-GB"/>
              </w:rPr>
              <w:t>, or by a patent which qualifies for the granting of such supplementary protection certificate, the holder of a patent or of such certificate shall be entitled to a 12-month extension of the periods referred to in Article 13, paragraphs (1) and (2), of Regulation (EC) No 469/2009, provided that the marketing authorisation applicant demonstrates that all of the following conditions are met:</w:t>
            </w:r>
          </w:p>
        </w:tc>
        <w:tc>
          <w:tcPr>
            <w:tcW w:w="4876" w:type="dxa"/>
          </w:tcPr>
          <w:p w14:paraId="1FF3FA73" w14:textId="77777777" w:rsidR="002969F2" w:rsidRPr="00B335F7" w:rsidRDefault="002969F2">
            <w:pPr>
              <w:pStyle w:val="Normal6"/>
              <w:rPr>
                <w:szCs w:val="24"/>
                <w:lang w:val="en-GB"/>
              </w:rPr>
            </w:pPr>
          </w:p>
        </w:tc>
      </w:tr>
      <w:tr w:rsidR="002969F2" w:rsidRPr="00B335F7" w14:paraId="7816B822" w14:textId="77777777" w:rsidTr="00B335F7">
        <w:trPr>
          <w:jc w:val="center"/>
        </w:trPr>
        <w:tc>
          <w:tcPr>
            <w:tcW w:w="4876" w:type="dxa"/>
            <w:hideMark/>
          </w:tcPr>
          <w:p w14:paraId="26E73A5E" w14:textId="77777777" w:rsidR="002969F2" w:rsidRPr="00B335F7" w:rsidRDefault="002969F2">
            <w:pPr>
              <w:pStyle w:val="Normal6"/>
              <w:rPr>
                <w:lang w:val="en-GB"/>
              </w:rPr>
            </w:pPr>
            <w:r w:rsidRPr="00B335F7">
              <w:rPr>
                <w:b/>
                <w:i/>
                <w:lang w:val="en-GB"/>
              </w:rPr>
              <w:t>(a)</w:t>
            </w:r>
            <w:r w:rsidRPr="00B335F7">
              <w:rPr>
                <w:b/>
                <w:i/>
                <w:lang w:val="en-GB"/>
              </w:rPr>
              <w:tab/>
              <w:t>the medicinal product contains a new active substance distinctly different from that of any authorised medicinal product in the Union;</w:t>
            </w:r>
          </w:p>
        </w:tc>
        <w:tc>
          <w:tcPr>
            <w:tcW w:w="4876" w:type="dxa"/>
          </w:tcPr>
          <w:p w14:paraId="0FB6EFB5" w14:textId="77777777" w:rsidR="002969F2" w:rsidRPr="00B335F7" w:rsidRDefault="002969F2">
            <w:pPr>
              <w:pStyle w:val="Normal6"/>
              <w:rPr>
                <w:szCs w:val="24"/>
                <w:lang w:val="en-GB"/>
              </w:rPr>
            </w:pPr>
          </w:p>
        </w:tc>
      </w:tr>
      <w:tr w:rsidR="002969F2" w:rsidRPr="00B335F7" w14:paraId="3B5F5316" w14:textId="77777777" w:rsidTr="00B335F7">
        <w:trPr>
          <w:jc w:val="center"/>
        </w:trPr>
        <w:tc>
          <w:tcPr>
            <w:tcW w:w="4876" w:type="dxa"/>
            <w:hideMark/>
          </w:tcPr>
          <w:p w14:paraId="1AA2F833" w14:textId="77777777" w:rsidR="002969F2" w:rsidRPr="00B335F7" w:rsidRDefault="002969F2">
            <w:pPr>
              <w:pStyle w:val="Normal6"/>
              <w:rPr>
                <w:lang w:val="en-GB"/>
              </w:rPr>
            </w:pPr>
            <w:r w:rsidRPr="00B335F7">
              <w:rPr>
                <w:b/>
                <w:i/>
                <w:lang w:val="en-GB"/>
              </w:rPr>
              <w:t>(b)</w:t>
            </w:r>
            <w:r w:rsidRPr="00B335F7">
              <w:rPr>
                <w:b/>
                <w:i/>
                <w:lang w:val="en-GB"/>
              </w:rPr>
              <w:tab/>
              <w:t>the medicinal product has a mechanism of action distinctly different and shows a level of safety and efficacy which is at least equivalent to that of any authorised medicinal product in the Union for the same disease;</w:t>
            </w:r>
          </w:p>
        </w:tc>
        <w:tc>
          <w:tcPr>
            <w:tcW w:w="4876" w:type="dxa"/>
          </w:tcPr>
          <w:p w14:paraId="79187C23" w14:textId="77777777" w:rsidR="002969F2" w:rsidRPr="00B335F7" w:rsidRDefault="002969F2">
            <w:pPr>
              <w:pStyle w:val="Normal6"/>
              <w:rPr>
                <w:szCs w:val="24"/>
                <w:lang w:val="en-GB"/>
              </w:rPr>
            </w:pPr>
          </w:p>
        </w:tc>
      </w:tr>
      <w:tr w:rsidR="002969F2" w:rsidRPr="00B335F7" w14:paraId="1CC0704B" w14:textId="77777777" w:rsidTr="00B335F7">
        <w:trPr>
          <w:jc w:val="center"/>
        </w:trPr>
        <w:tc>
          <w:tcPr>
            <w:tcW w:w="4876" w:type="dxa"/>
            <w:hideMark/>
          </w:tcPr>
          <w:p w14:paraId="53033CF2" w14:textId="77777777" w:rsidR="002969F2" w:rsidRPr="00B335F7" w:rsidRDefault="002969F2">
            <w:pPr>
              <w:pStyle w:val="Normal6"/>
              <w:rPr>
                <w:lang w:val="en-GB"/>
              </w:rPr>
            </w:pPr>
            <w:r w:rsidRPr="00B335F7">
              <w:rPr>
                <w:b/>
                <w:i/>
                <w:lang w:val="en-GB"/>
              </w:rPr>
              <w:t>(c)</w:t>
            </w:r>
            <w:r w:rsidRPr="00B335F7">
              <w:rPr>
                <w:b/>
                <w:i/>
                <w:lang w:val="en-GB"/>
              </w:rPr>
              <w:tab/>
              <w:t>the clinical trials evaluating the efficacy of the medicinal product and supporting its marketing authorisation were conducted in more than two Member States;</w:t>
            </w:r>
          </w:p>
        </w:tc>
        <w:tc>
          <w:tcPr>
            <w:tcW w:w="4876" w:type="dxa"/>
          </w:tcPr>
          <w:p w14:paraId="3E45F478" w14:textId="77777777" w:rsidR="002969F2" w:rsidRPr="00B335F7" w:rsidRDefault="002969F2">
            <w:pPr>
              <w:pStyle w:val="Normal6"/>
              <w:rPr>
                <w:szCs w:val="24"/>
                <w:lang w:val="en-GB"/>
              </w:rPr>
            </w:pPr>
          </w:p>
        </w:tc>
      </w:tr>
      <w:tr w:rsidR="002969F2" w:rsidRPr="00B335F7" w14:paraId="7CED1A07" w14:textId="77777777" w:rsidTr="00B335F7">
        <w:trPr>
          <w:jc w:val="center"/>
        </w:trPr>
        <w:tc>
          <w:tcPr>
            <w:tcW w:w="4876" w:type="dxa"/>
            <w:hideMark/>
          </w:tcPr>
          <w:p w14:paraId="1DA0B8C7" w14:textId="77777777" w:rsidR="002969F2" w:rsidRPr="00B335F7" w:rsidRDefault="002969F2">
            <w:pPr>
              <w:pStyle w:val="Normal6"/>
              <w:rPr>
                <w:lang w:val="en-GB"/>
              </w:rPr>
            </w:pPr>
            <w:r w:rsidRPr="00B335F7">
              <w:rPr>
                <w:b/>
                <w:i/>
                <w:lang w:val="en-GB"/>
              </w:rPr>
              <w:t>(d)</w:t>
            </w:r>
            <w:r w:rsidRPr="00B335F7">
              <w:rPr>
                <w:b/>
                <w:i/>
                <w:lang w:val="en-GB"/>
              </w:rPr>
              <w:tab/>
              <w:t>at least a manufacturing step, excluding packaging, quality testing and certification is performed in the Union.</w:t>
            </w:r>
          </w:p>
        </w:tc>
        <w:tc>
          <w:tcPr>
            <w:tcW w:w="4876" w:type="dxa"/>
          </w:tcPr>
          <w:p w14:paraId="39DD615E" w14:textId="77777777" w:rsidR="002969F2" w:rsidRPr="00B335F7" w:rsidRDefault="002969F2">
            <w:pPr>
              <w:pStyle w:val="Normal6"/>
              <w:rPr>
                <w:szCs w:val="24"/>
                <w:lang w:val="en-GB"/>
              </w:rPr>
            </w:pPr>
          </w:p>
        </w:tc>
      </w:tr>
      <w:tr w:rsidR="002969F2" w:rsidRPr="00B335F7" w14:paraId="4013611D" w14:textId="77777777" w:rsidTr="00B335F7">
        <w:trPr>
          <w:jc w:val="center"/>
        </w:trPr>
        <w:tc>
          <w:tcPr>
            <w:tcW w:w="4876" w:type="dxa"/>
            <w:hideMark/>
          </w:tcPr>
          <w:p w14:paraId="2F0C784E" w14:textId="77777777" w:rsidR="002969F2" w:rsidRPr="00B335F7" w:rsidRDefault="002969F2">
            <w:pPr>
              <w:pStyle w:val="Normal6"/>
              <w:rPr>
                <w:lang w:val="en-GB"/>
              </w:rPr>
            </w:pPr>
            <w:r w:rsidRPr="00B335F7">
              <w:rPr>
                <w:b/>
                <w:i/>
                <w:lang w:val="en-GB"/>
              </w:rPr>
              <w:t>2.</w:t>
            </w:r>
            <w:r w:rsidRPr="00B335F7">
              <w:rPr>
                <w:b/>
                <w:i/>
                <w:lang w:val="en-GB"/>
              </w:rPr>
              <w:tab/>
              <w:t>The European Medicines Agency (‘the Agency’) shall assess compliance with the conditions referred to in paragraph 1 as part of the marketing authorisation procedure concerned.</w:t>
            </w:r>
          </w:p>
        </w:tc>
        <w:tc>
          <w:tcPr>
            <w:tcW w:w="4876" w:type="dxa"/>
          </w:tcPr>
          <w:p w14:paraId="0C700242" w14:textId="77777777" w:rsidR="002969F2" w:rsidRPr="00B335F7" w:rsidRDefault="002969F2">
            <w:pPr>
              <w:pStyle w:val="Normal6"/>
              <w:rPr>
                <w:szCs w:val="24"/>
                <w:lang w:val="en-GB"/>
              </w:rPr>
            </w:pPr>
          </w:p>
        </w:tc>
      </w:tr>
      <w:tr w:rsidR="002969F2" w:rsidRPr="00B335F7" w14:paraId="7219ED3E" w14:textId="77777777" w:rsidTr="00B335F7">
        <w:trPr>
          <w:jc w:val="center"/>
        </w:trPr>
        <w:tc>
          <w:tcPr>
            <w:tcW w:w="4876" w:type="dxa"/>
            <w:hideMark/>
          </w:tcPr>
          <w:p w14:paraId="428165C9" w14:textId="77777777" w:rsidR="002969F2" w:rsidRPr="00B335F7" w:rsidRDefault="002969F2">
            <w:pPr>
              <w:pStyle w:val="Normal6"/>
              <w:rPr>
                <w:lang w:val="en-GB"/>
              </w:rPr>
            </w:pPr>
            <w:r w:rsidRPr="00B335F7">
              <w:rPr>
                <w:b/>
                <w:i/>
                <w:lang w:val="en-GB"/>
              </w:rPr>
              <w:t>3.</w:t>
            </w:r>
            <w:r w:rsidRPr="00B335F7">
              <w:rPr>
                <w:b/>
                <w:i/>
                <w:lang w:val="en-GB"/>
              </w:rPr>
              <w:tab/>
              <w:t>Where compliance is confirmed, the Agency shall issue a statement to that effect.</w:t>
            </w:r>
          </w:p>
        </w:tc>
        <w:tc>
          <w:tcPr>
            <w:tcW w:w="4876" w:type="dxa"/>
          </w:tcPr>
          <w:p w14:paraId="792A9819" w14:textId="77777777" w:rsidR="002969F2" w:rsidRPr="00B335F7" w:rsidRDefault="002969F2">
            <w:pPr>
              <w:pStyle w:val="Normal6"/>
              <w:rPr>
                <w:szCs w:val="24"/>
                <w:lang w:val="en-GB"/>
              </w:rPr>
            </w:pPr>
          </w:p>
        </w:tc>
      </w:tr>
      <w:tr w:rsidR="002969F2" w:rsidRPr="00B335F7" w14:paraId="4B62669E" w14:textId="77777777" w:rsidTr="00B335F7">
        <w:trPr>
          <w:jc w:val="center"/>
        </w:trPr>
        <w:tc>
          <w:tcPr>
            <w:tcW w:w="4876" w:type="dxa"/>
            <w:hideMark/>
          </w:tcPr>
          <w:p w14:paraId="67AF4E98" w14:textId="77777777" w:rsidR="002969F2" w:rsidRPr="00B335F7" w:rsidRDefault="002969F2">
            <w:pPr>
              <w:pStyle w:val="Normal6"/>
              <w:rPr>
                <w:lang w:val="en-GB"/>
              </w:rPr>
            </w:pPr>
            <w:r w:rsidRPr="00B335F7">
              <w:rPr>
                <w:b/>
                <w:i/>
                <w:lang w:val="en-GB"/>
              </w:rPr>
              <w:t>4.</w:t>
            </w:r>
            <w:r w:rsidRPr="00B335F7">
              <w:rPr>
                <w:b/>
                <w:i/>
                <w:lang w:val="en-GB"/>
              </w:rPr>
              <w:tab/>
              <w:t>A copy of the statement referred to in paragraph 3 of this Article shall be included in the application for a certificate lodged under article 7 of Regulation (EC) No 469/2009.</w:t>
            </w:r>
          </w:p>
        </w:tc>
        <w:tc>
          <w:tcPr>
            <w:tcW w:w="4876" w:type="dxa"/>
          </w:tcPr>
          <w:p w14:paraId="4B670CC9" w14:textId="77777777" w:rsidR="002969F2" w:rsidRPr="00B335F7" w:rsidRDefault="002969F2">
            <w:pPr>
              <w:pStyle w:val="Normal6"/>
              <w:rPr>
                <w:szCs w:val="24"/>
                <w:lang w:val="en-GB"/>
              </w:rPr>
            </w:pPr>
          </w:p>
        </w:tc>
      </w:tr>
      <w:tr w:rsidR="002969F2" w:rsidRPr="00B335F7" w14:paraId="705F03F3" w14:textId="77777777" w:rsidTr="00B335F7">
        <w:trPr>
          <w:jc w:val="center"/>
        </w:trPr>
        <w:tc>
          <w:tcPr>
            <w:tcW w:w="4876" w:type="dxa"/>
            <w:hideMark/>
          </w:tcPr>
          <w:p w14:paraId="19078EF2" w14:textId="77777777" w:rsidR="002969F2" w:rsidRPr="00B335F7" w:rsidRDefault="002969F2">
            <w:pPr>
              <w:pStyle w:val="Normal6"/>
              <w:rPr>
                <w:lang w:val="en-GB"/>
              </w:rPr>
            </w:pPr>
            <w:r w:rsidRPr="00B335F7">
              <w:rPr>
                <w:b/>
                <w:i/>
                <w:lang w:val="en-GB"/>
              </w:rPr>
              <w:t>__________________</w:t>
            </w:r>
          </w:p>
        </w:tc>
        <w:tc>
          <w:tcPr>
            <w:tcW w:w="4876" w:type="dxa"/>
          </w:tcPr>
          <w:p w14:paraId="5203A1B2" w14:textId="77777777" w:rsidR="002969F2" w:rsidRPr="00B335F7" w:rsidRDefault="002969F2">
            <w:pPr>
              <w:pStyle w:val="Normal6"/>
              <w:rPr>
                <w:szCs w:val="24"/>
                <w:lang w:val="en-GB"/>
              </w:rPr>
            </w:pPr>
          </w:p>
        </w:tc>
      </w:tr>
      <w:tr w:rsidR="002969F2" w:rsidRPr="00B335F7" w14:paraId="45E1F656" w14:textId="77777777" w:rsidTr="00B335F7">
        <w:trPr>
          <w:jc w:val="center"/>
        </w:trPr>
        <w:tc>
          <w:tcPr>
            <w:tcW w:w="4876" w:type="dxa"/>
            <w:hideMark/>
          </w:tcPr>
          <w:p w14:paraId="08277CC3" w14:textId="77777777" w:rsidR="002969F2" w:rsidRPr="00B335F7" w:rsidRDefault="002969F2">
            <w:pPr>
              <w:pStyle w:val="Normal6"/>
              <w:rPr>
                <w:lang w:val="en-GB"/>
              </w:rPr>
            </w:pPr>
            <w:r w:rsidRPr="00B335F7">
              <w:rPr>
                <w:b/>
                <w:i/>
                <w:vertAlign w:val="superscript"/>
                <w:lang w:val="en-GB"/>
              </w:rPr>
              <w:lastRenderedPageBreak/>
              <w:t>69</w:t>
            </w:r>
            <w:r w:rsidRPr="00B335F7">
              <w:rPr>
                <w:lang w:val="en-GB"/>
              </w:rPr>
              <w:t xml:space="preserve"> </w:t>
            </w:r>
            <w:r w:rsidRPr="00B335F7">
              <w:rPr>
                <w:b/>
                <w:i/>
                <w:lang w:val="en-GB"/>
              </w:rPr>
              <w:t>Regulation (EC) No 469/2009 of the European Parliament and of the Council of 6 May 2009 concerning the supplementary protection certificate for medicinal products, OJ L 152, 16.6.2009, pp. 1.</w:t>
            </w:r>
          </w:p>
        </w:tc>
        <w:tc>
          <w:tcPr>
            <w:tcW w:w="4876" w:type="dxa"/>
          </w:tcPr>
          <w:p w14:paraId="6DEA0580" w14:textId="77777777" w:rsidR="002969F2" w:rsidRPr="00B335F7" w:rsidRDefault="002969F2">
            <w:pPr>
              <w:pStyle w:val="Normal6"/>
              <w:rPr>
                <w:szCs w:val="24"/>
                <w:lang w:val="en-GB"/>
              </w:rPr>
            </w:pPr>
          </w:p>
        </w:tc>
      </w:tr>
    </w:tbl>
    <w:p w14:paraId="08B41E62"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00FE409D" w14:textId="77777777" w:rsidR="002969F2" w:rsidRPr="00B335F7" w:rsidRDefault="002969F2" w:rsidP="002969F2">
      <w:r w:rsidRPr="00B335F7">
        <w:rPr>
          <w:rStyle w:val="HideTWBExt"/>
          <w:rFonts w:eastAsiaTheme="majorEastAsia"/>
        </w:rPr>
        <w:t>&lt;/Amend&gt;</w:t>
      </w:r>
    </w:p>
    <w:p w14:paraId="3501848D" w14:textId="39491445"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27</w:t>
      </w:r>
      <w:r w:rsidRPr="00B335F7">
        <w:rPr>
          <w:rStyle w:val="HideTWBExt"/>
          <w:rFonts w:eastAsiaTheme="majorEastAsia"/>
          <w:b w:val="0"/>
          <w:lang w:val="en-GB"/>
        </w:rPr>
        <w:t>&lt;/NumAm&gt;</w:t>
      </w:r>
    </w:p>
    <w:p w14:paraId="1646F3F0"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B08ED95" w14:textId="77777777" w:rsidR="002969F2" w:rsidRPr="00B335F7" w:rsidRDefault="002969F2" w:rsidP="002969F2">
      <w:pPr>
        <w:pStyle w:val="NormalBold"/>
      </w:pPr>
      <w:r w:rsidRPr="00B335F7">
        <w:rPr>
          <w:rStyle w:val="HideTWBExt"/>
          <w:rFonts w:eastAsiaTheme="majorEastAsia"/>
          <w:b w:val="0"/>
        </w:rPr>
        <w:t>&lt;Article&gt;</w:t>
      </w:r>
      <w:r w:rsidRPr="00B335F7">
        <w:t>Article 31 – paragraph 1 – subparagraph 1</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01D4245" w14:textId="77777777" w:rsidTr="002969F2">
        <w:trPr>
          <w:jc w:val="center"/>
        </w:trPr>
        <w:tc>
          <w:tcPr>
            <w:tcW w:w="9752" w:type="dxa"/>
            <w:gridSpan w:val="2"/>
          </w:tcPr>
          <w:p w14:paraId="608F2F7A" w14:textId="77777777" w:rsidR="002969F2" w:rsidRPr="00B335F7" w:rsidRDefault="002969F2">
            <w:pPr>
              <w:keepNext/>
            </w:pPr>
          </w:p>
        </w:tc>
      </w:tr>
      <w:tr w:rsidR="002969F2" w:rsidRPr="00B335F7" w14:paraId="564000C1" w14:textId="77777777" w:rsidTr="002969F2">
        <w:trPr>
          <w:jc w:val="center"/>
        </w:trPr>
        <w:tc>
          <w:tcPr>
            <w:tcW w:w="4876" w:type="dxa"/>
            <w:hideMark/>
          </w:tcPr>
          <w:p w14:paraId="2D8440F0"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5BBF202" w14:textId="77777777" w:rsidR="002969F2" w:rsidRPr="00B335F7" w:rsidRDefault="002969F2">
            <w:pPr>
              <w:pStyle w:val="ColumnHeading"/>
              <w:keepNext/>
              <w:rPr>
                <w:lang w:val="en-GB"/>
              </w:rPr>
            </w:pPr>
            <w:r w:rsidRPr="00B335F7">
              <w:rPr>
                <w:lang w:val="en-GB"/>
              </w:rPr>
              <w:t>Amendment</w:t>
            </w:r>
          </w:p>
        </w:tc>
      </w:tr>
      <w:tr w:rsidR="002969F2" w:rsidRPr="00B335F7" w14:paraId="4DFBBBCC" w14:textId="77777777" w:rsidTr="002969F2">
        <w:trPr>
          <w:jc w:val="center"/>
        </w:trPr>
        <w:tc>
          <w:tcPr>
            <w:tcW w:w="4876" w:type="dxa"/>
            <w:hideMark/>
          </w:tcPr>
          <w:p w14:paraId="7069D7A2" w14:textId="77777777" w:rsidR="002969F2" w:rsidRPr="00B335F7" w:rsidRDefault="002969F2">
            <w:pPr>
              <w:pStyle w:val="Normal6"/>
              <w:rPr>
                <w:lang w:val="en-GB"/>
              </w:rPr>
            </w:pPr>
            <w:r w:rsidRPr="00B335F7">
              <w:rPr>
                <w:lang w:val="en-GB"/>
              </w:rPr>
              <w:t xml:space="preserve">The Agency shall publish and regularly update, as appropriate, </w:t>
            </w:r>
            <w:r w:rsidRPr="00B335F7">
              <w:rPr>
                <w:bCs/>
                <w:iCs/>
                <w:lang w:val="en-GB"/>
              </w:rPr>
              <w:t>non-binding</w:t>
            </w:r>
            <w:r w:rsidRPr="00B335F7">
              <w:rPr>
                <w:lang w:val="en-GB"/>
              </w:rPr>
              <w:t xml:space="preserve"> guidance on the deployment and use of systems based on advanced technologies, including AI, in the lifecycle of medicinal products development, including during pre-clinical research, clinical development and trials, manufacturing and post-authorisation monitoring.</w:t>
            </w:r>
          </w:p>
        </w:tc>
        <w:tc>
          <w:tcPr>
            <w:tcW w:w="4876" w:type="dxa"/>
            <w:hideMark/>
          </w:tcPr>
          <w:p w14:paraId="278254CB" w14:textId="77777777" w:rsidR="002969F2" w:rsidRPr="00B335F7" w:rsidRDefault="002969F2">
            <w:pPr>
              <w:pStyle w:val="Normal6"/>
              <w:rPr>
                <w:szCs w:val="24"/>
                <w:lang w:val="en-GB"/>
              </w:rPr>
            </w:pPr>
            <w:r w:rsidRPr="00B335F7">
              <w:rPr>
                <w:lang w:val="en-GB"/>
              </w:rPr>
              <w:t>The Agency shall publish and regularly update, as appropriate, non-</w:t>
            </w:r>
            <w:r w:rsidRPr="00B335F7">
              <w:rPr>
                <w:bCs/>
                <w:iCs/>
                <w:lang w:val="en-GB"/>
              </w:rPr>
              <w:t>binding</w:t>
            </w:r>
            <w:r w:rsidRPr="00B335F7">
              <w:rPr>
                <w:lang w:val="en-GB"/>
              </w:rPr>
              <w:t xml:space="preserve"> guidance on the deployment and use of systems based on advanced technologies, including AI </w:t>
            </w:r>
            <w:r w:rsidRPr="00B335F7">
              <w:rPr>
                <w:b/>
                <w:i/>
                <w:lang w:val="en-GB"/>
              </w:rPr>
              <w:t>and its ethical use</w:t>
            </w:r>
            <w:r w:rsidRPr="00B335F7">
              <w:rPr>
                <w:lang w:val="en-GB"/>
              </w:rPr>
              <w:t>, in the lifecycle of medicinal products development, including during pre-clinical research, clinical development and trials, manufacturing and post-authorisation monitoring.</w:t>
            </w:r>
          </w:p>
        </w:tc>
      </w:tr>
    </w:tbl>
    <w:p w14:paraId="4D6068F6"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06A775C5" w14:textId="77777777" w:rsidR="002969F2" w:rsidRPr="00B335F7" w:rsidRDefault="002969F2" w:rsidP="002969F2">
      <w:r w:rsidRPr="00B335F7">
        <w:rPr>
          <w:rStyle w:val="HideTWBExt"/>
          <w:rFonts w:eastAsiaTheme="majorEastAsia"/>
        </w:rPr>
        <w:t>&lt;/Amend&gt;</w:t>
      </w:r>
    </w:p>
    <w:p w14:paraId="615DB638" w14:textId="3E76333B"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28</w:t>
      </w:r>
      <w:r w:rsidRPr="00B335F7">
        <w:rPr>
          <w:rStyle w:val="HideTWBExt"/>
          <w:rFonts w:eastAsiaTheme="majorEastAsia"/>
          <w:b w:val="0"/>
          <w:lang w:val="en-GB"/>
        </w:rPr>
        <w:t>&lt;/NumAm&gt;</w:t>
      </w:r>
    </w:p>
    <w:p w14:paraId="63247043"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07F3A617" w14:textId="77777777" w:rsidR="002969F2" w:rsidRPr="00B335F7" w:rsidRDefault="002969F2" w:rsidP="002969F2">
      <w:pPr>
        <w:pStyle w:val="NormalBold"/>
      </w:pPr>
      <w:r w:rsidRPr="00B335F7">
        <w:rPr>
          <w:rStyle w:val="HideTWBExt"/>
          <w:rFonts w:eastAsiaTheme="majorEastAsia"/>
          <w:b w:val="0"/>
        </w:rPr>
        <w:t>&lt;Article&gt;</w:t>
      </w:r>
      <w:r w:rsidRPr="00B335F7">
        <w:t>Article 31 – paragraph 3</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088B6DC" w14:textId="77777777" w:rsidTr="002969F2">
        <w:trPr>
          <w:jc w:val="center"/>
        </w:trPr>
        <w:tc>
          <w:tcPr>
            <w:tcW w:w="9752" w:type="dxa"/>
            <w:gridSpan w:val="2"/>
          </w:tcPr>
          <w:p w14:paraId="29377B7A" w14:textId="77777777" w:rsidR="002969F2" w:rsidRPr="00B335F7" w:rsidRDefault="002969F2">
            <w:pPr>
              <w:keepNext/>
            </w:pPr>
          </w:p>
        </w:tc>
      </w:tr>
      <w:tr w:rsidR="002969F2" w:rsidRPr="00B335F7" w14:paraId="176A623C" w14:textId="77777777" w:rsidTr="002969F2">
        <w:trPr>
          <w:jc w:val="center"/>
        </w:trPr>
        <w:tc>
          <w:tcPr>
            <w:tcW w:w="4876" w:type="dxa"/>
            <w:hideMark/>
          </w:tcPr>
          <w:p w14:paraId="27DBF0F6"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BB7DB71" w14:textId="77777777" w:rsidR="002969F2" w:rsidRPr="00B335F7" w:rsidRDefault="002969F2">
            <w:pPr>
              <w:pStyle w:val="ColumnHeading"/>
              <w:keepNext/>
              <w:rPr>
                <w:lang w:val="en-GB"/>
              </w:rPr>
            </w:pPr>
            <w:r w:rsidRPr="00B335F7">
              <w:rPr>
                <w:lang w:val="en-GB"/>
              </w:rPr>
              <w:t>Amendment</w:t>
            </w:r>
          </w:p>
        </w:tc>
      </w:tr>
      <w:tr w:rsidR="002969F2" w:rsidRPr="00B335F7" w14:paraId="47FA4F09" w14:textId="77777777" w:rsidTr="002969F2">
        <w:trPr>
          <w:jc w:val="center"/>
        </w:trPr>
        <w:tc>
          <w:tcPr>
            <w:tcW w:w="4876" w:type="dxa"/>
            <w:hideMark/>
          </w:tcPr>
          <w:p w14:paraId="674745A7" w14:textId="77777777" w:rsidR="002969F2" w:rsidRPr="00B335F7" w:rsidRDefault="002969F2">
            <w:pPr>
              <w:pStyle w:val="Normal6"/>
              <w:rPr>
                <w:lang w:val="en-GB"/>
              </w:rPr>
            </w:pPr>
            <w:r w:rsidRPr="00B335F7">
              <w:rPr>
                <w:lang w:val="en-GB"/>
              </w:rPr>
              <w:t>3.</w:t>
            </w:r>
            <w:r w:rsidRPr="00B335F7">
              <w:rPr>
                <w:lang w:val="en-GB"/>
              </w:rPr>
              <w:tab/>
              <w:t>The Agency shall develop and publish in agreement with the Commission, including the AI Office where appropriate, and in cooperation with the national competent authorities, non-binding guidance on the deployment and use of advanced technologies, including AI, in the procedures for the authorisation of medicinal products.</w:t>
            </w:r>
          </w:p>
        </w:tc>
        <w:tc>
          <w:tcPr>
            <w:tcW w:w="4876" w:type="dxa"/>
            <w:hideMark/>
          </w:tcPr>
          <w:p w14:paraId="3447F7CD" w14:textId="09A1B2A7" w:rsidR="002969F2" w:rsidRPr="00B335F7" w:rsidRDefault="00D63609">
            <w:pPr>
              <w:pStyle w:val="Normal6"/>
              <w:rPr>
                <w:szCs w:val="24"/>
                <w:lang w:val="en-GB"/>
              </w:rPr>
            </w:pPr>
            <w:r w:rsidRPr="00B335F7">
              <w:rPr>
                <w:lang w:val="en-GB"/>
              </w:rPr>
              <w:t>3.</w:t>
            </w:r>
            <w:r w:rsidRPr="00B335F7">
              <w:rPr>
                <w:lang w:val="en-GB"/>
              </w:rPr>
              <w:tab/>
            </w:r>
            <w:r w:rsidR="002969F2" w:rsidRPr="00B335F7">
              <w:rPr>
                <w:lang w:val="en-GB"/>
              </w:rPr>
              <w:t xml:space="preserve">The Agency shall develop and publish in agreement with the Commission, including the AI Office where appropriate, and in cooperation with the national competent authorities, non-binding guidance on the deployment and use of advanced technologies, including AI </w:t>
            </w:r>
            <w:r w:rsidR="002969F2" w:rsidRPr="00B335F7">
              <w:rPr>
                <w:b/>
                <w:i/>
                <w:lang w:val="en-GB"/>
              </w:rPr>
              <w:t>and its ethical use</w:t>
            </w:r>
            <w:r w:rsidR="002969F2" w:rsidRPr="00B335F7">
              <w:rPr>
                <w:lang w:val="en-GB"/>
              </w:rPr>
              <w:t>, in the procedures for the authorisation of medicinal products.</w:t>
            </w:r>
          </w:p>
        </w:tc>
      </w:tr>
    </w:tbl>
    <w:p w14:paraId="68B6E4C2"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4B72D42C" w14:textId="77777777" w:rsidR="002969F2" w:rsidRPr="00B335F7" w:rsidRDefault="002969F2" w:rsidP="002969F2">
      <w:r w:rsidRPr="00B335F7">
        <w:rPr>
          <w:rStyle w:val="HideTWBExt"/>
          <w:rFonts w:eastAsiaTheme="majorEastAsia"/>
        </w:rPr>
        <w:t>&lt;/Amend&gt;</w:t>
      </w:r>
    </w:p>
    <w:p w14:paraId="0F4272D4" w14:textId="02440EAE"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29</w:t>
      </w:r>
      <w:r w:rsidRPr="00B335F7">
        <w:rPr>
          <w:rStyle w:val="HideTWBExt"/>
          <w:rFonts w:eastAsiaTheme="majorEastAsia"/>
          <w:b w:val="0"/>
          <w:lang w:val="en-GB"/>
        </w:rPr>
        <w:t>&lt;/NumAm&gt;</w:t>
      </w:r>
    </w:p>
    <w:p w14:paraId="033BF680"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2E6C4AEB" w14:textId="77777777" w:rsidR="002969F2" w:rsidRPr="00B335F7" w:rsidRDefault="002969F2" w:rsidP="002969F2">
      <w:pPr>
        <w:pStyle w:val="NormalBold"/>
      </w:pPr>
      <w:r w:rsidRPr="00B335F7">
        <w:rPr>
          <w:rStyle w:val="HideTWBExt"/>
          <w:rFonts w:eastAsiaTheme="majorEastAsia"/>
          <w:b w:val="0"/>
        </w:rPr>
        <w:t>&lt;Article&gt;</w:t>
      </w:r>
      <w:r w:rsidRPr="00B335F7">
        <w:t>Article 32 – paragraph 1 – point a</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35BCD534" w14:textId="77777777" w:rsidTr="002969F2">
        <w:trPr>
          <w:jc w:val="center"/>
        </w:trPr>
        <w:tc>
          <w:tcPr>
            <w:tcW w:w="9752" w:type="dxa"/>
            <w:gridSpan w:val="2"/>
          </w:tcPr>
          <w:p w14:paraId="0B82D89E" w14:textId="77777777" w:rsidR="002969F2" w:rsidRPr="00B335F7" w:rsidRDefault="002969F2">
            <w:pPr>
              <w:keepNext/>
            </w:pPr>
          </w:p>
        </w:tc>
      </w:tr>
      <w:tr w:rsidR="002969F2" w:rsidRPr="00B335F7" w14:paraId="0B511E0B" w14:textId="77777777" w:rsidTr="002969F2">
        <w:trPr>
          <w:jc w:val="center"/>
        </w:trPr>
        <w:tc>
          <w:tcPr>
            <w:tcW w:w="4876" w:type="dxa"/>
            <w:hideMark/>
          </w:tcPr>
          <w:p w14:paraId="284C0163"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6DDF01C" w14:textId="77777777" w:rsidR="002969F2" w:rsidRPr="00B335F7" w:rsidRDefault="002969F2">
            <w:pPr>
              <w:pStyle w:val="ColumnHeading"/>
              <w:keepNext/>
              <w:rPr>
                <w:lang w:val="en-GB"/>
              </w:rPr>
            </w:pPr>
            <w:r w:rsidRPr="00B335F7">
              <w:rPr>
                <w:lang w:val="en-GB"/>
              </w:rPr>
              <w:t>Amendment</w:t>
            </w:r>
          </w:p>
        </w:tc>
      </w:tr>
      <w:tr w:rsidR="002969F2" w:rsidRPr="00B335F7" w14:paraId="78E16E8D" w14:textId="77777777" w:rsidTr="002969F2">
        <w:trPr>
          <w:jc w:val="center"/>
        </w:trPr>
        <w:tc>
          <w:tcPr>
            <w:tcW w:w="4876" w:type="dxa"/>
            <w:hideMark/>
          </w:tcPr>
          <w:p w14:paraId="41FA447E" w14:textId="77777777" w:rsidR="002969F2" w:rsidRPr="00B335F7" w:rsidRDefault="002969F2">
            <w:pPr>
              <w:pStyle w:val="Normal6"/>
              <w:rPr>
                <w:lang w:val="en-GB"/>
              </w:rPr>
            </w:pPr>
            <w:r w:rsidRPr="00B335F7">
              <w:rPr>
                <w:lang w:val="en-GB"/>
              </w:rPr>
              <w:t>(a)</w:t>
            </w:r>
            <w:r w:rsidRPr="00B335F7">
              <w:rPr>
                <w:lang w:val="en-GB"/>
              </w:rPr>
              <w:tab/>
              <w:t>operate under trusted conditions ensuring compliance and alignment with relevant Union and national legislation and complements where appropriate testing and experimentation facilities and AI regulatory sandboxes established in accordance with Regulation (EU) 2024/1689, while ensuring consistency and synergies in their implementation;</w:t>
            </w:r>
          </w:p>
        </w:tc>
        <w:tc>
          <w:tcPr>
            <w:tcW w:w="4876" w:type="dxa"/>
            <w:hideMark/>
          </w:tcPr>
          <w:p w14:paraId="39226DF7" w14:textId="7BC971CC" w:rsidR="002969F2" w:rsidRPr="00B335F7" w:rsidRDefault="006E2F13">
            <w:pPr>
              <w:pStyle w:val="Normal6"/>
              <w:rPr>
                <w:szCs w:val="24"/>
                <w:lang w:val="en-GB"/>
              </w:rPr>
            </w:pPr>
            <w:r w:rsidRPr="00B335F7">
              <w:rPr>
                <w:lang w:val="en-GB"/>
              </w:rPr>
              <w:t>(a)</w:t>
            </w:r>
            <w:r w:rsidRPr="00B335F7">
              <w:rPr>
                <w:lang w:val="en-GB"/>
              </w:rPr>
              <w:tab/>
            </w:r>
            <w:r w:rsidR="002969F2" w:rsidRPr="00B335F7">
              <w:rPr>
                <w:lang w:val="en-GB"/>
              </w:rPr>
              <w:t xml:space="preserve">operate under trusted </w:t>
            </w:r>
            <w:r w:rsidR="002969F2" w:rsidRPr="00B335F7">
              <w:rPr>
                <w:b/>
                <w:i/>
                <w:lang w:val="en-GB"/>
              </w:rPr>
              <w:t>and ethical</w:t>
            </w:r>
            <w:r w:rsidR="002969F2" w:rsidRPr="00B335F7">
              <w:rPr>
                <w:lang w:val="en-GB"/>
              </w:rPr>
              <w:t xml:space="preserve"> conditions ensuring compliance and alignment with relevant Union and national legislation and complements where appropriate testing and experimentation facilities and AI regulatory sandboxes established in accordance with Regulation (EU) 2024/1689, while ensuring consistency and synergies in their implementation;</w:t>
            </w:r>
          </w:p>
        </w:tc>
      </w:tr>
    </w:tbl>
    <w:p w14:paraId="7B5AFE8C"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CE42D47" w14:textId="77777777" w:rsidR="002969F2" w:rsidRPr="00B335F7" w:rsidRDefault="002969F2" w:rsidP="002969F2">
      <w:r w:rsidRPr="00B335F7">
        <w:rPr>
          <w:rStyle w:val="HideTWBExt"/>
          <w:rFonts w:eastAsiaTheme="majorEastAsia"/>
        </w:rPr>
        <w:t>&lt;/Amend&gt;</w:t>
      </w:r>
    </w:p>
    <w:p w14:paraId="08A9F6B4" w14:textId="309726ED"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30</w:t>
      </w:r>
      <w:r w:rsidRPr="00B335F7">
        <w:rPr>
          <w:rStyle w:val="HideTWBExt"/>
          <w:rFonts w:eastAsiaTheme="majorEastAsia"/>
          <w:b w:val="0"/>
          <w:lang w:val="en-GB"/>
        </w:rPr>
        <w:t>&lt;/NumAm&gt;</w:t>
      </w:r>
    </w:p>
    <w:p w14:paraId="7B6A1F3E"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13D9525" w14:textId="77777777" w:rsidR="002969F2" w:rsidRPr="00B335F7" w:rsidRDefault="002969F2" w:rsidP="002969F2">
      <w:pPr>
        <w:pStyle w:val="NormalBold"/>
      </w:pPr>
      <w:r w:rsidRPr="00B335F7">
        <w:rPr>
          <w:rStyle w:val="HideTWBExt"/>
          <w:rFonts w:eastAsiaTheme="majorEastAsia"/>
          <w:b w:val="0"/>
        </w:rPr>
        <w:t>&lt;Article&gt;</w:t>
      </w:r>
      <w:r w:rsidRPr="00B335F7">
        <w:t>Article 32 – paragraph 1 – point d</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5D1D8D4" w14:textId="77777777" w:rsidTr="002969F2">
        <w:trPr>
          <w:jc w:val="center"/>
        </w:trPr>
        <w:tc>
          <w:tcPr>
            <w:tcW w:w="9752" w:type="dxa"/>
            <w:gridSpan w:val="2"/>
          </w:tcPr>
          <w:p w14:paraId="228F7D97" w14:textId="77777777" w:rsidR="002969F2" w:rsidRPr="00B335F7" w:rsidRDefault="002969F2">
            <w:pPr>
              <w:keepNext/>
            </w:pPr>
          </w:p>
        </w:tc>
      </w:tr>
      <w:tr w:rsidR="002969F2" w:rsidRPr="00B335F7" w14:paraId="42A9308C" w14:textId="77777777" w:rsidTr="002969F2">
        <w:trPr>
          <w:jc w:val="center"/>
        </w:trPr>
        <w:tc>
          <w:tcPr>
            <w:tcW w:w="4876" w:type="dxa"/>
            <w:hideMark/>
          </w:tcPr>
          <w:p w14:paraId="0E782817"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2A6C390" w14:textId="77777777" w:rsidR="002969F2" w:rsidRPr="00B335F7" w:rsidRDefault="002969F2">
            <w:pPr>
              <w:pStyle w:val="ColumnHeading"/>
              <w:keepNext/>
              <w:rPr>
                <w:lang w:val="en-GB"/>
              </w:rPr>
            </w:pPr>
            <w:r w:rsidRPr="00B335F7">
              <w:rPr>
                <w:lang w:val="en-GB"/>
              </w:rPr>
              <w:t>Amendment</w:t>
            </w:r>
          </w:p>
        </w:tc>
      </w:tr>
      <w:tr w:rsidR="002969F2" w:rsidRPr="00B335F7" w14:paraId="29ACE5C1" w14:textId="77777777" w:rsidTr="002969F2">
        <w:trPr>
          <w:jc w:val="center"/>
        </w:trPr>
        <w:tc>
          <w:tcPr>
            <w:tcW w:w="4876" w:type="dxa"/>
            <w:hideMark/>
          </w:tcPr>
          <w:p w14:paraId="6FB83E67" w14:textId="77777777" w:rsidR="002969F2" w:rsidRPr="00B335F7" w:rsidRDefault="002969F2">
            <w:pPr>
              <w:pStyle w:val="Normal6"/>
              <w:rPr>
                <w:lang w:val="en-GB"/>
              </w:rPr>
            </w:pPr>
            <w:r w:rsidRPr="00B335F7">
              <w:rPr>
                <w:lang w:val="en-GB"/>
              </w:rPr>
              <w:t>(d)</w:t>
            </w:r>
            <w:r w:rsidRPr="00B335F7">
              <w:rPr>
                <w:lang w:val="en-GB"/>
              </w:rPr>
              <w:tab/>
              <w:t>make available, under fair and transparent conditions, evidence, results and lessons learned generated within such testing environments, to inform Union guidance, standardisation and best-practice frameworks, and, where appropriate, the design or implementation of regulatory sandboxes in accordance with Union or national law.</w:t>
            </w:r>
          </w:p>
        </w:tc>
        <w:tc>
          <w:tcPr>
            <w:tcW w:w="4876" w:type="dxa"/>
            <w:hideMark/>
          </w:tcPr>
          <w:p w14:paraId="0A3EE391" w14:textId="07337171" w:rsidR="002969F2" w:rsidRPr="00B335F7" w:rsidRDefault="006E2F13">
            <w:pPr>
              <w:pStyle w:val="Normal6"/>
              <w:rPr>
                <w:szCs w:val="24"/>
                <w:lang w:val="en-GB"/>
              </w:rPr>
            </w:pPr>
            <w:r w:rsidRPr="00B335F7">
              <w:rPr>
                <w:lang w:val="en-GB"/>
              </w:rPr>
              <w:t>(d)</w:t>
            </w:r>
            <w:r w:rsidRPr="00B335F7">
              <w:rPr>
                <w:lang w:val="en-GB"/>
              </w:rPr>
              <w:tab/>
            </w:r>
            <w:r w:rsidR="002969F2" w:rsidRPr="00B335F7">
              <w:rPr>
                <w:lang w:val="en-GB"/>
              </w:rPr>
              <w:t>make available, under fair and transparent conditions, evidence, results and lessons learned</w:t>
            </w:r>
            <w:r w:rsidR="002969F2" w:rsidRPr="00B335F7">
              <w:rPr>
                <w:b/>
                <w:i/>
                <w:lang w:val="en-GB"/>
              </w:rPr>
              <w:t>, including on the ethical use of AI,</w:t>
            </w:r>
            <w:r w:rsidR="002969F2" w:rsidRPr="00B335F7">
              <w:rPr>
                <w:lang w:val="en-GB"/>
              </w:rPr>
              <w:t xml:space="preserve"> generated within such testing environments, to inform Union guidance, standardisation and best-practice frameworks, and, where appropriate, the design or implementation of regulatory sandboxes in accordance with Union or national law.</w:t>
            </w:r>
          </w:p>
        </w:tc>
      </w:tr>
    </w:tbl>
    <w:p w14:paraId="68F6D9CE"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10E929E" w14:textId="77777777" w:rsidR="002969F2" w:rsidRPr="00B335F7" w:rsidRDefault="002969F2" w:rsidP="002969F2">
      <w:r w:rsidRPr="00B335F7">
        <w:rPr>
          <w:rStyle w:val="HideTWBExt"/>
          <w:rFonts w:eastAsiaTheme="majorEastAsia"/>
        </w:rPr>
        <w:t>&lt;/Amend&gt;</w:t>
      </w:r>
    </w:p>
    <w:p w14:paraId="071BAEFD" w14:textId="3D6598C3"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31</w:t>
      </w:r>
      <w:r w:rsidRPr="00B335F7">
        <w:rPr>
          <w:rStyle w:val="HideTWBExt"/>
          <w:rFonts w:eastAsiaTheme="majorEastAsia"/>
          <w:b w:val="0"/>
          <w:lang w:val="en-GB"/>
        </w:rPr>
        <w:t>&lt;/NumAm&gt;</w:t>
      </w:r>
    </w:p>
    <w:p w14:paraId="4C14CF7D"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568D55C" w14:textId="77777777" w:rsidR="002969F2" w:rsidRPr="00B335F7" w:rsidRDefault="002969F2" w:rsidP="002969F2">
      <w:pPr>
        <w:pStyle w:val="NormalBold"/>
      </w:pPr>
      <w:r w:rsidRPr="00B335F7">
        <w:rPr>
          <w:rStyle w:val="HideTWBExt"/>
          <w:rFonts w:eastAsiaTheme="majorEastAsia"/>
          <w:b w:val="0"/>
        </w:rPr>
        <w:t>&lt;Article&gt;</w:t>
      </w:r>
      <w:r w:rsidRPr="00B335F7">
        <w:t>Article 33 – paragraph 1</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4AD369FD" w14:textId="77777777" w:rsidTr="002969F2">
        <w:trPr>
          <w:jc w:val="center"/>
        </w:trPr>
        <w:tc>
          <w:tcPr>
            <w:tcW w:w="9752" w:type="dxa"/>
            <w:gridSpan w:val="2"/>
          </w:tcPr>
          <w:p w14:paraId="31CE1A4A" w14:textId="77777777" w:rsidR="002969F2" w:rsidRPr="00B335F7" w:rsidRDefault="002969F2">
            <w:pPr>
              <w:keepNext/>
            </w:pPr>
          </w:p>
        </w:tc>
      </w:tr>
      <w:tr w:rsidR="002969F2" w:rsidRPr="00B335F7" w14:paraId="3BD414E2" w14:textId="77777777" w:rsidTr="002969F2">
        <w:trPr>
          <w:jc w:val="center"/>
        </w:trPr>
        <w:tc>
          <w:tcPr>
            <w:tcW w:w="4876" w:type="dxa"/>
            <w:hideMark/>
          </w:tcPr>
          <w:p w14:paraId="2B95F856"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364C486" w14:textId="77777777" w:rsidR="002969F2" w:rsidRPr="00B335F7" w:rsidRDefault="002969F2">
            <w:pPr>
              <w:pStyle w:val="ColumnHeading"/>
              <w:keepNext/>
              <w:rPr>
                <w:lang w:val="en-GB"/>
              </w:rPr>
            </w:pPr>
            <w:r w:rsidRPr="00B335F7">
              <w:rPr>
                <w:lang w:val="en-GB"/>
              </w:rPr>
              <w:t>Amendment</w:t>
            </w:r>
          </w:p>
        </w:tc>
      </w:tr>
      <w:tr w:rsidR="002969F2" w:rsidRPr="00B335F7" w14:paraId="13A7CB4C" w14:textId="77777777" w:rsidTr="002969F2">
        <w:trPr>
          <w:jc w:val="center"/>
        </w:trPr>
        <w:tc>
          <w:tcPr>
            <w:tcW w:w="4876" w:type="dxa"/>
            <w:hideMark/>
          </w:tcPr>
          <w:p w14:paraId="5231F186" w14:textId="77777777" w:rsidR="002969F2" w:rsidRPr="00B335F7" w:rsidRDefault="002969F2">
            <w:pPr>
              <w:pStyle w:val="Normal6"/>
              <w:rPr>
                <w:lang w:val="en-GB"/>
              </w:rPr>
            </w:pPr>
            <w:r w:rsidRPr="00B335F7">
              <w:rPr>
                <w:lang w:val="en-GB"/>
              </w:rPr>
              <w:t>1.</w:t>
            </w:r>
            <w:r w:rsidRPr="00B335F7">
              <w:rPr>
                <w:lang w:val="en-GB"/>
              </w:rPr>
              <w:tab/>
              <w:t>To enable access to the support measures laid down in Section 2 of Chapter II, the Commission shall recognise projects located in the Union as high impact health biotechnology strategic projects in the form of biotechnology data quality accelerators, only where they comply with the criteria laid down in Article 4(1) and fulfil the conditions laid down in paragraph 2 of this Article and they make a significant contribution to the curation, maintenance and responsible use of high-quality, appropriately annotated and provenance-verified datasets that are essential for the training, validation and testing of AI systems and models used in health biotechnology applications.</w:t>
            </w:r>
          </w:p>
        </w:tc>
        <w:tc>
          <w:tcPr>
            <w:tcW w:w="4876" w:type="dxa"/>
            <w:hideMark/>
          </w:tcPr>
          <w:p w14:paraId="610B9032" w14:textId="38A9E02B" w:rsidR="002969F2" w:rsidRPr="00B335F7" w:rsidRDefault="006E2F13">
            <w:pPr>
              <w:pStyle w:val="Normal6"/>
              <w:rPr>
                <w:szCs w:val="24"/>
                <w:lang w:val="en-GB"/>
              </w:rPr>
            </w:pPr>
            <w:r w:rsidRPr="00B335F7">
              <w:rPr>
                <w:lang w:val="en-GB"/>
              </w:rPr>
              <w:t>1.</w:t>
            </w:r>
            <w:r w:rsidRPr="00B335F7">
              <w:rPr>
                <w:lang w:val="en-GB"/>
              </w:rPr>
              <w:tab/>
            </w:r>
            <w:r w:rsidR="002969F2" w:rsidRPr="00B335F7">
              <w:rPr>
                <w:lang w:val="en-GB"/>
              </w:rPr>
              <w:t>To enable access to the support measures laid down in Section 2 of Chapter II, the Commission shall recognise projects located in the Union as high impact health biotechnology strategic projects in the form of biotechnology data quality accelerators, only where they comply with the criteria laid down in Article 4(1) and fulfil the conditions laid down in paragraph 2 of this Article and they make a significant contribution to the curation, maintenance</w:t>
            </w:r>
            <w:r w:rsidR="002969F2" w:rsidRPr="00B335F7">
              <w:rPr>
                <w:b/>
                <w:i/>
                <w:lang w:val="en-GB"/>
              </w:rPr>
              <w:t>, ethical</w:t>
            </w:r>
            <w:r w:rsidR="002969F2" w:rsidRPr="00B335F7">
              <w:rPr>
                <w:lang w:val="en-GB"/>
              </w:rPr>
              <w:t xml:space="preserve"> and responsible use of high-quality, appropriately annotated and provenance-verified datasets that are essential for the training, validation and testing of AI systems and models used in health biotechnology applications.</w:t>
            </w:r>
          </w:p>
        </w:tc>
      </w:tr>
    </w:tbl>
    <w:p w14:paraId="272EE320"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4CCC0529" w14:textId="77777777" w:rsidR="002969F2" w:rsidRPr="00B335F7" w:rsidRDefault="002969F2" w:rsidP="002969F2">
      <w:r w:rsidRPr="00B335F7">
        <w:rPr>
          <w:rStyle w:val="HideTWBExt"/>
          <w:rFonts w:eastAsiaTheme="majorEastAsia"/>
        </w:rPr>
        <w:t>&lt;/Amend&gt;</w:t>
      </w:r>
    </w:p>
    <w:p w14:paraId="49EEDB1F" w14:textId="54F1242D"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32</w:t>
      </w:r>
      <w:r w:rsidRPr="00B335F7">
        <w:rPr>
          <w:rStyle w:val="HideTWBExt"/>
          <w:rFonts w:eastAsiaTheme="majorEastAsia"/>
          <w:b w:val="0"/>
          <w:lang w:val="en-GB"/>
        </w:rPr>
        <w:t>&lt;/NumAm&gt;</w:t>
      </w:r>
    </w:p>
    <w:p w14:paraId="6B591D4F"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4C652DD" w14:textId="77777777" w:rsidR="002969F2" w:rsidRPr="00B335F7" w:rsidRDefault="002969F2" w:rsidP="002969F2">
      <w:pPr>
        <w:pStyle w:val="NormalBold"/>
      </w:pPr>
      <w:r w:rsidRPr="00B335F7">
        <w:rPr>
          <w:rStyle w:val="HideTWBExt"/>
          <w:rFonts w:eastAsiaTheme="majorEastAsia"/>
          <w:b w:val="0"/>
        </w:rPr>
        <w:t>&lt;Article&gt;</w:t>
      </w:r>
      <w:r w:rsidRPr="00B335F7">
        <w:t>Article 33 – paragraph 2 – point a</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76E34B23" w14:textId="77777777" w:rsidTr="002969F2">
        <w:trPr>
          <w:jc w:val="center"/>
        </w:trPr>
        <w:tc>
          <w:tcPr>
            <w:tcW w:w="9752" w:type="dxa"/>
            <w:gridSpan w:val="2"/>
          </w:tcPr>
          <w:p w14:paraId="5765C92B" w14:textId="77777777" w:rsidR="002969F2" w:rsidRPr="00B335F7" w:rsidRDefault="002969F2">
            <w:pPr>
              <w:keepNext/>
            </w:pPr>
          </w:p>
        </w:tc>
      </w:tr>
      <w:tr w:rsidR="002969F2" w:rsidRPr="00B335F7" w14:paraId="2E949F61" w14:textId="77777777" w:rsidTr="002969F2">
        <w:trPr>
          <w:jc w:val="center"/>
        </w:trPr>
        <w:tc>
          <w:tcPr>
            <w:tcW w:w="4876" w:type="dxa"/>
            <w:hideMark/>
          </w:tcPr>
          <w:p w14:paraId="08C679BA"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4138795C" w14:textId="77777777" w:rsidR="002969F2" w:rsidRPr="00B335F7" w:rsidRDefault="002969F2">
            <w:pPr>
              <w:pStyle w:val="ColumnHeading"/>
              <w:keepNext/>
              <w:rPr>
                <w:lang w:val="en-GB"/>
              </w:rPr>
            </w:pPr>
            <w:r w:rsidRPr="00B335F7">
              <w:rPr>
                <w:lang w:val="en-GB"/>
              </w:rPr>
              <w:t>Amendment</w:t>
            </w:r>
          </w:p>
        </w:tc>
      </w:tr>
      <w:tr w:rsidR="002969F2" w:rsidRPr="00B335F7" w14:paraId="3293502C" w14:textId="77777777" w:rsidTr="002969F2">
        <w:trPr>
          <w:jc w:val="center"/>
        </w:trPr>
        <w:tc>
          <w:tcPr>
            <w:tcW w:w="4876" w:type="dxa"/>
            <w:hideMark/>
          </w:tcPr>
          <w:p w14:paraId="16B327BB" w14:textId="77777777" w:rsidR="002969F2" w:rsidRPr="00B335F7" w:rsidRDefault="002969F2">
            <w:pPr>
              <w:pStyle w:val="Normal6"/>
              <w:rPr>
                <w:lang w:val="en-GB"/>
              </w:rPr>
            </w:pPr>
            <w:r w:rsidRPr="00B335F7">
              <w:rPr>
                <w:lang w:val="en-GB"/>
              </w:rPr>
              <w:t>(a)</w:t>
            </w:r>
            <w:r w:rsidRPr="00B335F7">
              <w:rPr>
                <w:lang w:val="en-GB"/>
              </w:rPr>
              <w:tab/>
              <w:t>aim to foster the development and deployment of trustworthy and competitive AI systems in health biotechnologies, including large-scale and general-purpose models relevant for biological, biomedical or biomanufacturing use cases;</w:t>
            </w:r>
          </w:p>
        </w:tc>
        <w:tc>
          <w:tcPr>
            <w:tcW w:w="4876" w:type="dxa"/>
            <w:hideMark/>
          </w:tcPr>
          <w:p w14:paraId="7207DC17" w14:textId="2700CCF2" w:rsidR="002969F2" w:rsidRPr="00B335F7" w:rsidRDefault="006E2F13">
            <w:pPr>
              <w:pStyle w:val="Normal6"/>
              <w:rPr>
                <w:szCs w:val="24"/>
                <w:lang w:val="en-GB"/>
              </w:rPr>
            </w:pPr>
            <w:r w:rsidRPr="00B335F7">
              <w:rPr>
                <w:lang w:val="en-GB"/>
              </w:rPr>
              <w:t>(a)</w:t>
            </w:r>
            <w:r w:rsidRPr="00B335F7">
              <w:rPr>
                <w:lang w:val="en-GB"/>
              </w:rPr>
              <w:tab/>
            </w:r>
            <w:r w:rsidR="002969F2" w:rsidRPr="00B335F7">
              <w:rPr>
                <w:lang w:val="en-GB"/>
              </w:rPr>
              <w:t xml:space="preserve">aim to foster the development and deployment of </w:t>
            </w:r>
            <w:r w:rsidR="002969F2" w:rsidRPr="00B335F7">
              <w:rPr>
                <w:b/>
                <w:i/>
                <w:lang w:val="en-GB"/>
              </w:rPr>
              <w:t>ethical, non-biased,</w:t>
            </w:r>
            <w:r w:rsidR="002969F2" w:rsidRPr="00B335F7">
              <w:rPr>
                <w:lang w:val="en-GB"/>
              </w:rPr>
              <w:t xml:space="preserve"> trustworthy and competitive AI systems in health biotechnologies, including large-scale and general-purpose models relevant for biological, biomedical or biomanufacturing use cases;</w:t>
            </w:r>
          </w:p>
        </w:tc>
      </w:tr>
    </w:tbl>
    <w:p w14:paraId="58777E86"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B3DD303" w14:textId="77777777" w:rsidR="002969F2" w:rsidRPr="00B335F7" w:rsidRDefault="002969F2" w:rsidP="002969F2">
      <w:r w:rsidRPr="00B335F7">
        <w:rPr>
          <w:rStyle w:val="HideTWBExt"/>
          <w:rFonts w:eastAsiaTheme="majorEastAsia"/>
        </w:rPr>
        <w:t>&lt;/Amend&gt;</w:t>
      </w:r>
    </w:p>
    <w:p w14:paraId="0DD50F5B" w14:textId="6F3578E6"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33</w:t>
      </w:r>
      <w:r w:rsidRPr="00B335F7">
        <w:rPr>
          <w:rStyle w:val="HideTWBExt"/>
          <w:rFonts w:eastAsiaTheme="majorEastAsia"/>
          <w:b w:val="0"/>
          <w:lang w:val="en-GB"/>
        </w:rPr>
        <w:t>&lt;/NumAm&gt;</w:t>
      </w:r>
    </w:p>
    <w:p w14:paraId="41BAD3E0"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75F0C98" w14:textId="77777777" w:rsidR="002969F2" w:rsidRPr="00B335F7" w:rsidRDefault="002969F2" w:rsidP="002969F2">
      <w:pPr>
        <w:pStyle w:val="NormalBold"/>
      </w:pPr>
      <w:r w:rsidRPr="00B335F7">
        <w:rPr>
          <w:rStyle w:val="HideTWBExt"/>
          <w:rFonts w:eastAsiaTheme="majorEastAsia"/>
          <w:b w:val="0"/>
        </w:rPr>
        <w:t>&lt;Article&gt;</w:t>
      </w:r>
      <w:r w:rsidRPr="00B335F7">
        <w:t>Article 33 – paragraph 6</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B546F42" w14:textId="77777777" w:rsidTr="002969F2">
        <w:trPr>
          <w:jc w:val="center"/>
        </w:trPr>
        <w:tc>
          <w:tcPr>
            <w:tcW w:w="9752" w:type="dxa"/>
            <w:gridSpan w:val="2"/>
          </w:tcPr>
          <w:p w14:paraId="5473035A" w14:textId="77777777" w:rsidR="002969F2" w:rsidRPr="00B335F7" w:rsidRDefault="002969F2">
            <w:pPr>
              <w:keepNext/>
            </w:pPr>
          </w:p>
        </w:tc>
      </w:tr>
      <w:tr w:rsidR="002969F2" w:rsidRPr="00B335F7" w14:paraId="142C9BF1" w14:textId="77777777" w:rsidTr="002969F2">
        <w:trPr>
          <w:jc w:val="center"/>
        </w:trPr>
        <w:tc>
          <w:tcPr>
            <w:tcW w:w="4876" w:type="dxa"/>
            <w:hideMark/>
          </w:tcPr>
          <w:p w14:paraId="513D0F77"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2E8735ED" w14:textId="77777777" w:rsidR="002969F2" w:rsidRPr="00B335F7" w:rsidRDefault="002969F2">
            <w:pPr>
              <w:pStyle w:val="ColumnHeading"/>
              <w:keepNext/>
              <w:rPr>
                <w:lang w:val="en-GB"/>
              </w:rPr>
            </w:pPr>
            <w:r w:rsidRPr="00B335F7">
              <w:rPr>
                <w:lang w:val="en-GB"/>
              </w:rPr>
              <w:t>Amendment</w:t>
            </w:r>
          </w:p>
        </w:tc>
      </w:tr>
      <w:tr w:rsidR="002969F2" w:rsidRPr="00B335F7" w14:paraId="531B4E2D" w14:textId="77777777" w:rsidTr="002969F2">
        <w:trPr>
          <w:jc w:val="center"/>
        </w:trPr>
        <w:tc>
          <w:tcPr>
            <w:tcW w:w="4876" w:type="dxa"/>
            <w:hideMark/>
          </w:tcPr>
          <w:p w14:paraId="0E673409" w14:textId="77777777" w:rsidR="002969F2" w:rsidRPr="00B335F7" w:rsidRDefault="002969F2">
            <w:pPr>
              <w:pStyle w:val="Normal6"/>
              <w:rPr>
                <w:lang w:val="en-GB"/>
              </w:rPr>
            </w:pPr>
            <w:r w:rsidRPr="00B335F7">
              <w:rPr>
                <w:lang w:val="en-GB"/>
              </w:rPr>
              <w:t>6.</w:t>
            </w:r>
            <w:r w:rsidRPr="00B335F7">
              <w:rPr>
                <w:lang w:val="en-GB"/>
              </w:rPr>
              <w:tab/>
              <w:t>Entities that lawfully hold relevant datasets enhanced as provided for in paragraph 2, point (b) of the Article, shall support, where appropriate, the integration of such datasets into Union infrastructures, including the European Research Area data spaces, data labs, AI factories and the infrastructures operated by high impact health biotechnology strategic projects.</w:t>
            </w:r>
          </w:p>
        </w:tc>
        <w:tc>
          <w:tcPr>
            <w:tcW w:w="4876" w:type="dxa"/>
            <w:hideMark/>
          </w:tcPr>
          <w:p w14:paraId="2843FBB0" w14:textId="498E8EBD" w:rsidR="002969F2" w:rsidRPr="00B335F7" w:rsidRDefault="006E2F13">
            <w:pPr>
              <w:pStyle w:val="Normal6"/>
              <w:rPr>
                <w:szCs w:val="24"/>
                <w:lang w:val="en-GB"/>
              </w:rPr>
            </w:pPr>
            <w:r w:rsidRPr="00B335F7">
              <w:rPr>
                <w:lang w:val="en-GB"/>
              </w:rPr>
              <w:t>6.</w:t>
            </w:r>
            <w:r w:rsidRPr="00B335F7">
              <w:rPr>
                <w:lang w:val="en-GB"/>
              </w:rPr>
              <w:tab/>
            </w:r>
            <w:r w:rsidR="002969F2" w:rsidRPr="00B335F7">
              <w:rPr>
                <w:lang w:val="en-GB"/>
              </w:rPr>
              <w:t xml:space="preserve">Entities that lawfully hold relevant datasets enhanced as provided for in paragraph 2, point (b) of the Article, shall support, where appropriate, the integration of such datasets into Union infrastructures, including the European Research Area data spaces, </w:t>
            </w:r>
            <w:r w:rsidR="002969F2" w:rsidRPr="00B335F7">
              <w:rPr>
                <w:b/>
                <w:i/>
                <w:lang w:val="en-GB"/>
              </w:rPr>
              <w:t>the European Health Data Space as established in Regulation (EU) 2025/327,</w:t>
            </w:r>
            <w:r w:rsidR="002969F2" w:rsidRPr="00B335F7">
              <w:rPr>
                <w:lang w:val="en-GB"/>
              </w:rPr>
              <w:t xml:space="preserve"> data labs, AI factories and the infrastructures operated by high impact health biotechnology strategic projects.</w:t>
            </w:r>
          </w:p>
        </w:tc>
      </w:tr>
    </w:tbl>
    <w:p w14:paraId="5992F9E0"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7688E4EE" w14:textId="77777777" w:rsidR="002969F2" w:rsidRPr="00B335F7" w:rsidRDefault="002969F2" w:rsidP="002969F2">
      <w:r w:rsidRPr="00B335F7">
        <w:rPr>
          <w:rStyle w:val="HideTWBExt"/>
          <w:rFonts w:eastAsiaTheme="majorEastAsia"/>
        </w:rPr>
        <w:t>&lt;/Amend&gt;</w:t>
      </w:r>
    </w:p>
    <w:p w14:paraId="7CC38780" w14:textId="58AE2258"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34</w:t>
      </w:r>
      <w:r w:rsidRPr="00B335F7">
        <w:rPr>
          <w:rStyle w:val="HideTWBExt"/>
          <w:rFonts w:eastAsiaTheme="majorEastAsia"/>
          <w:b w:val="0"/>
          <w:lang w:val="en-GB"/>
        </w:rPr>
        <w:t>&lt;/NumAm&gt;</w:t>
      </w:r>
    </w:p>
    <w:p w14:paraId="7432423E"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47243165" w14:textId="77777777" w:rsidR="002969F2" w:rsidRPr="00B335F7" w:rsidRDefault="002969F2" w:rsidP="002969F2">
      <w:pPr>
        <w:pStyle w:val="NormalBold"/>
      </w:pPr>
      <w:r w:rsidRPr="00B335F7">
        <w:rPr>
          <w:rStyle w:val="HideTWBExt"/>
          <w:rFonts w:eastAsiaTheme="majorEastAsia"/>
          <w:b w:val="0"/>
        </w:rPr>
        <w:t>&lt;Article&gt;</w:t>
      </w:r>
      <w:r w:rsidRPr="00B335F7">
        <w:t>Article 52 – paragraph 3 – point b</w:t>
      </w:r>
      <w:r w:rsidRPr="00B335F7">
        <w:rPr>
          <w:rStyle w:val="HideTWBExt"/>
          <w:rFonts w:eastAsiaTheme="majorEastAsia"/>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3DDDFCFE" w14:textId="77777777" w:rsidTr="002969F2">
        <w:trPr>
          <w:jc w:val="center"/>
        </w:trPr>
        <w:tc>
          <w:tcPr>
            <w:tcW w:w="9752" w:type="dxa"/>
            <w:gridSpan w:val="2"/>
          </w:tcPr>
          <w:p w14:paraId="5287C6AF" w14:textId="77777777" w:rsidR="002969F2" w:rsidRPr="00B335F7" w:rsidRDefault="002969F2">
            <w:pPr>
              <w:keepNext/>
            </w:pPr>
          </w:p>
        </w:tc>
      </w:tr>
      <w:tr w:rsidR="002969F2" w:rsidRPr="00B335F7" w14:paraId="5C6596B5" w14:textId="77777777" w:rsidTr="002969F2">
        <w:trPr>
          <w:jc w:val="center"/>
        </w:trPr>
        <w:tc>
          <w:tcPr>
            <w:tcW w:w="4876" w:type="dxa"/>
            <w:hideMark/>
          </w:tcPr>
          <w:p w14:paraId="083F78D0"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60A838E" w14:textId="77777777" w:rsidR="002969F2" w:rsidRPr="00B335F7" w:rsidRDefault="002969F2">
            <w:pPr>
              <w:pStyle w:val="ColumnHeading"/>
              <w:keepNext/>
              <w:rPr>
                <w:lang w:val="en-GB"/>
              </w:rPr>
            </w:pPr>
            <w:r w:rsidRPr="00B335F7">
              <w:rPr>
                <w:lang w:val="en-GB"/>
              </w:rPr>
              <w:t>Amendment</w:t>
            </w:r>
          </w:p>
        </w:tc>
      </w:tr>
      <w:tr w:rsidR="002969F2" w:rsidRPr="00B335F7" w14:paraId="6DF1027B" w14:textId="77777777" w:rsidTr="002969F2">
        <w:trPr>
          <w:jc w:val="center"/>
        </w:trPr>
        <w:tc>
          <w:tcPr>
            <w:tcW w:w="4876" w:type="dxa"/>
            <w:hideMark/>
          </w:tcPr>
          <w:p w14:paraId="40537977" w14:textId="77777777" w:rsidR="002969F2" w:rsidRPr="00B335F7" w:rsidRDefault="002969F2">
            <w:pPr>
              <w:pStyle w:val="Normal6"/>
              <w:rPr>
                <w:lang w:val="en-GB"/>
              </w:rPr>
            </w:pPr>
            <w:r w:rsidRPr="00B335F7">
              <w:rPr>
                <w:lang w:val="en-GB"/>
              </w:rPr>
              <w:t>(b)</w:t>
            </w:r>
            <w:r w:rsidRPr="00B335F7">
              <w:rPr>
                <w:lang w:val="en-GB"/>
              </w:rPr>
              <w:tab/>
              <w:t>monitoring the capabilities and risk profile of AI models in biological applications throughout their life cycle;</w:t>
            </w:r>
          </w:p>
        </w:tc>
        <w:tc>
          <w:tcPr>
            <w:tcW w:w="4876" w:type="dxa"/>
            <w:hideMark/>
          </w:tcPr>
          <w:p w14:paraId="5D67B0A8" w14:textId="711C4849" w:rsidR="002969F2" w:rsidRPr="00B335F7" w:rsidRDefault="006E2F13">
            <w:pPr>
              <w:pStyle w:val="Normal6"/>
              <w:rPr>
                <w:szCs w:val="24"/>
                <w:lang w:val="en-GB"/>
              </w:rPr>
            </w:pPr>
            <w:r w:rsidRPr="00B335F7">
              <w:rPr>
                <w:lang w:val="en-GB"/>
              </w:rPr>
              <w:t>(b)</w:t>
            </w:r>
            <w:r w:rsidRPr="00B335F7">
              <w:rPr>
                <w:lang w:val="en-GB"/>
              </w:rPr>
              <w:tab/>
            </w:r>
            <w:r w:rsidR="002969F2" w:rsidRPr="00B335F7">
              <w:rPr>
                <w:lang w:val="en-GB"/>
              </w:rPr>
              <w:t>monitoring the capabilities and risk profile of AI models in biological applications throughout their life cycle</w:t>
            </w:r>
            <w:r w:rsidR="002969F2" w:rsidRPr="00B335F7">
              <w:rPr>
                <w:b/>
                <w:i/>
                <w:lang w:val="en-GB"/>
              </w:rPr>
              <w:t>, as well as the ethical use of AI in the biotechnology sector</w:t>
            </w:r>
            <w:r w:rsidR="002969F2" w:rsidRPr="00B335F7">
              <w:rPr>
                <w:lang w:val="en-GB"/>
              </w:rPr>
              <w:t>;</w:t>
            </w:r>
          </w:p>
        </w:tc>
      </w:tr>
    </w:tbl>
    <w:p w14:paraId="51F926A3"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5E4C2217" w14:textId="77777777" w:rsidR="002969F2" w:rsidRPr="00B335F7" w:rsidRDefault="002969F2" w:rsidP="002969F2">
      <w:r w:rsidRPr="00B335F7">
        <w:rPr>
          <w:rStyle w:val="HideTWBExt"/>
          <w:rFonts w:eastAsiaTheme="majorEastAsia"/>
        </w:rPr>
        <w:t>&lt;/Amend&gt;</w:t>
      </w:r>
    </w:p>
    <w:p w14:paraId="29C4B542" w14:textId="612572B6"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35</w:t>
      </w:r>
      <w:r w:rsidRPr="00B335F7">
        <w:rPr>
          <w:rStyle w:val="HideTWBExt"/>
          <w:rFonts w:eastAsiaTheme="majorEastAsia"/>
          <w:b w:val="0"/>
          <w:lang w:val="en-GB"/>
        </w:rPr>
        <w:t>&lt;/NumAm&gt;</w:t>
      </w:r>
    </w:p>
    <w:p w14:paraId="7A6A63D7"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5E851827" w14:textId="77777777" w:rsidR="002969F2" w:rsidRPr="00B335F7" w:rsidRDefault="002969F2" w:rsidP="002969F2">
      <w:pPr>
        <w:pStyle w:val="NormalBold"/>
      </w:pPr>
      <w:r w:rsidRPr="00B335F7">
        <w:rPr>
          <w:rStyle w:val="HideTWBExt"/>
          <w:rFonts w:eastAsiaTheme="majorEastAsia"/>
          <w:b w:val="0"/>
        </w:rPr>
        <w:t>&lt;Article&gt;</w:t>
      </w:r>
      <w:r w:rsidRPr="00B335F7">
        <w:t>Article 58 – paragraph 1 – point 24</w:t>
      </w:r>
      <w:r w:rsidRPr="00B335F7">
        <w:rPr>
          <w:rStyle w:val="HideTWBExt"/>
          <w:rFonts w:eastAsiaTheme="majorEastAsia"/>
          <w:b w:val="0"/>
        </w:rPr>
        <w:t>&lt;/Article&gt;</w:t>
      </w:r>
    </w:p>
    <w:p w14:paraId="32FC837C" w14:textId="08429EA5" w:rsidR="002969F2" w:rsidRPr="00B335F7" w:rsidRDefault="002969F2" w:rsidP="002969F2">
      <w:pPr>
        <w:keepNext/>
      </w:pPr>
      <w:r w:rsidRPr="00B335F7">
        <w:rPr>
          <w:rStyle w:val="HideTWBExt"/>
          <w:rFonts w:eastAsiaTheme="majorEastAsia"/>
        </w:rPr>
        <w:t>&lt;DocAmend2&gt;</w:t>
      </w:r>
      <w:r w:rsidR="006E2F13" w:rsidRPr="00B335F7">
        <w:t>Regulation (EU) No 536/2014</w:t>
      </w:r>
      <w:r w:rsidRPr="00B335F7">
        <w:rPr>
          <w:rStyle w:val="HideTWBExt"/>
          <w:rFonts w:eastAsiaTheme="majorEastAsia"/>
        </w:rPr>
        <w:t>&lt;/DocAmend2&gt;</w:t>
      </w:r>
    </w:p>
    <w:p w14:paraId="1C4CF46E" w14:textId="14E2AA02" w:rsidR="002969F2" w:rsidRPr="00B335F7" w:rsidRDefault="002969F2" w:rsidP="002969F2">
      <w:pPr>
        <w:rPr>
          <w:lang w:val="fr-BE"/>
        </w:rPr>
      </w:pPr>
      <w:r w:rsidRPr="00B335F7">
        <w:rPr>
          <w:rStyle w:val="HideTWBExt"/>
          <w:rFonts w:eastAsiaTheme="majorEastAsia"/>
          <w:lang w:val="fr-BE"/>
        </w:rPr>
        <w:t>&lt;Article2&gt;</w:t>
      </w:r>
      <w:r w:rsidRPr="00B335F7">
        <w:rPr>
          <w:lang w:val="fr-BE"/>
        </w:rPr>
        <w:t xml:space="preserve">Article </w:t>
      </w:r>
      <w:r w:rsidR="005A5A5E" w:rsidRPr="00B335F7">
        <w:rPr>
          <w:lang w:val="fr-BE"/>
        </w:rPr>
        <w:t xml:space="preserve">27d </w:t>
      </w:r>
      <w:r w:rsidRPr="00B335F7">
        <w:rPr>
          <w:lang w:val="fr-BE"/>
        </w:rPr>
        <w:t>– paragraph 1</w:t>
      </w:r>
      <w:r w:rsidRPr="00B335F7">
        <w:rPr>
          <w:rStyle w:val="HideTWBExt"/>
          <w:rFonts w:eastAsiaTheme="majorEastAsia"/>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60ED6294" w14:textId="77777777" w:rsidTr="002969F2">
        <w:trPr>
          <w:jc w:val="center"/>
        </w:trPr>
        <w:tc>
          <w:tcPr>
            <w:tcW w:w="9752" w:type="dxa"/>
            <w:gridSpan w:val="2"/>
          </w:tcPr>
          <w:p w14:paraId="4F49E545" w14:textId="77777777" w:rsidR="002969F2" w:rsidRPr="00B335F7" w:rsidRDefault="002969F2">
            <w:pPr>
              <w:keepNext/>
              <w:rPr>
                <w:lang w:val="fr-BE"/>
              </w:rPr>
            </w:pPr>
          </w:p>
        </w:tc>
      </w:tr>
      <w:tr w:rsidR="002969F2" w:rsidRPr="00B335F7" w14:paraId="5F3436F4" w14:textId="77777777" w:rsidTr="002969F2">
        <w:trPr>
          <w:jc w:val="center"/>
        </w:trPr>
        <w:tc>
          <w:tcPr>
            <w:tcW w:w="4876" w:type="dxa"/>
            <w:hideMark/>
          </w:tcPr>
          <w:p w14:paraId="0DEBB1CB"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26106D0C" w14:textId="77777777" w:rsidR="002969F2" w:rsidRPr="00B335F7" w:rsidRDefault="002969F2">
            <w:pPr>
              <w:pStyle w:val="ColumnHeading"/>
              <w:keepNext/>
              <w:rPr>
                <w:lang w:val="en-GB"/>
              </w:rPr>
            </w:pPr>
            <w:r w:rsidRPr="00B335F7">
              <w:rPr>
                <w:lang w:val="en-GB"/>
              </w:rPr>
              <w:t>Amendment</w:t>
            </w:r>
          </w:p>
        </w:tc>
      </w:tr>
      <w:tr w:rsidR="002969F2" w:rsidRPr="00B335F7" w14:paraId="13D0D95F" w14:textId="77777777" w:rsidTr="002969F2">
        <w:trPr>
          <w:jc w:val="center"/>
        </w:trPr>
        <w:tc>
          <w:tcPr>
            <w:tcW w:w="4876" w:type="dxa"/>
            <w:hideMark/>
          </w:tcPr>
          <w:p w14:paraId="712D276C" w14:textId="77777777" w:rsidR="002969F2" w:rsidRPr="00B335F7" w:rsidRDefault="002969F2">
            <w:pPr>
              <w:pStyle w:val="Normal6"/>
              <w:rPr>
                <w:lang w:val="en-GB"/>
              </w:rPr>
            </w:pPr>
            <w:r w:rsidRPr="00B335F7">
              <w:rPr>
                <w:lang w:val="en-GB"/>
              </w:rPr>
              <w:t>1.</w:t>
            </w:r>
            <w:r w:rsidRPr="00B335F7">
              <w:rPr>
                <w:lang w:val="en-GB"/>
              </w:rPr>
              <w:tab/>
              <w:t>The Commission may, pursuant to the procedure set out in paragraph 7, establish and operate a regulatory sandbox at Union level that provides a controlled and time-limited framework to enable, under real-world conditions, the testing of innovative approaches in clinical trials to which the full application of certain requirements of this Regulation is not possible or appropriate and which therefore may require adaptations.</w:t>
            </w:r>
          </w:p>
        </w:tc>
        <w:tc>
          <w:tcPr>
            <w:tcW w:w="4876" w:type="dxa"/>
            <w:hideMark/>
          </w:tcPr>
          <w:p w14:paraId="6C4E52F1" w14:textId="32F815B6" w:rsidR="002969F2" w:rsidRPr="00B335F7" w:rsidRDefault="005A5A5E">
            <w:pPr>
              <w:pStyle w:val="Normal6"/>
              <w:rPr>
                <w:szCs w:val="24"/>
                <w:lang w:val="en-GB"/>
              </w:rPr>
            </w:pPr>
            <w:r w:rsidRPr="00B335F7">
              <w:rPr>
                <w:lang w:val="en-GB"/>
              </w:rPr>
              <w:t>1.</w:t>
            </w:r>
            <w:r w:rsidRPr="00B335F7">
              <w:rPr>
                <w:lang w:val="en-GB"/>
              </w:rPr>
              <w:tab/>
            </w:r>
            <w:r w:rsidR="002969F2" w:rsidRPr="00B335F7">
              <w:rPr>
                <w:lang w:val="en-GB"/>
              </w:rPr>
              <w:t xml:space="preserve">The Commission may, </w:t>
            </w:r>
            <w:r w:rsidR="002969F2" w:rsidRPr="00B335F7">
              <w:rPr>
                <w:b/>
                <w:i/>
                <w:lang w:val="en-GB"/>
              </w:rPr>
              <w:t>on a case-by-case basis and</w:t>
            </w:r>
            <w:r w:rsidR="002969F2" w:rsidRPr="00B335F7">
              <w:rPr>
                <w:lang w:val="en-GB"/>
              </w:rPr>
              <w:t xml:space="preserve"> pursuant to the procedure set out in paragraph 7, establish and operate a regulatory sandbox at Union level that provides a controlled and time-limited framework to enable, under real-world conditions, the testing of innovative approaches in clinical trials to which the full application of certain requirements of this Regulation is not possible or appropriate and which therefore may require adaptations.</w:t>
            </w:r>
          </w:p>
        </w:tc>
      </w:tr>
    </w:tbl>
    <w:p w14:paraId="4E2FC1B1"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19267546" w14:textId="77777777" w:rsidR="002969F2" w:rsidRPr="00B335F7" w:rsidRDefault="002969F2" w:rsidP="002969F2">
      <w:r w:rsidRPr="00B335F7">
        <w:rPr>
          <w:rStyle w:val="HideTWBExt"/>
          <w:rFonts w:eastAsiaTheme="majorEastAsia"/>
        </w:rPr>
        <w:t>&lt;/Amend&gt;</w:t>
      </w:r>
    </w:p>
    <w:p w14:paraId="736DCD54" w14:textId="6967B139"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36</w:t>
      </w:r>
      <w:r w:rsidRPr="00B335F7">
        <w:rPr>
          <w:rStyle w:val="HideTWBExt"/>
          <w:rFonts w:eastAsiaTheme="majorEastAsia"/>
          <w:b w:val="0"/>
          <w:lang w:val="en-GB"/>
        </w:rPr>
        <w:t>&lt;/NumAm&gt;</w:t>
      </w:r>
    </w:p>
    <w:p w14:paraId="566AF39E"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6010E803" w14:textId="77777777" w:rsidR="002969F2" w:rsidRPr="00B335F7" w:rsidRDefault="002969F2" w:rsidP="002969F2">
      <w:pPr>
        <w:pStyle w:val="NormalBold"/>
      </w:pPr>
      <w:r w:rsidRPr="00B335F7">
        <w:rPr>
          <w:rStyle w:val="HideTWBExt"/>
          <w:rFonts w:eastAsiaTheme="majorEastAsia"/>
          <w:b w:val="0"/>
        </w:rPr>
        <w:t>&lt;Article&gt;</w:t>
      </w:r>
      <w:r w:rsidRPr="00B335F7">
        <w:t>Article 58 – paragraph 1 – point 24</w:t>
      </w:r>
      <w:r w:rsidRPr="00B335F7">
        <w:rPr>
          <w:rStyle w:val="HideTWBExt"/>
          <w:rFonts w:eastAsiaTheme="majorEastAsia"/>
          <w:b w:val="0"/>
        </w:rPr>
        <w:t>&lt;/Article&gt;</w:t>
      </w:r>
    </w:p>
    <w:p w14:paraId="03A19F59" w14:textId="56A0D2FC" w:rsidR="002969F2" w:rsidRPr="00B335F7" w:rsidRDefault="002969F2" w:rsidP="002969F2">
      <w:pPr>
        <w:keepNext/>
      </w:pPr>
      <w:r w:rsidRPr="00B335F7">
        <w:rPr>
          <w:rStyle w:val="HideTWBExt"/>
          <w:rFonts w:eastAsiaTheme="majorEastAsia"/>
        </w:rPr>
        <w:t>&lt;DocAmend2&gt;</w:t>
      </w:r>
      <w:r w:rsidR="005A5A5E" w:rsidRPr="00B335F7">
        <w:t>Regulation (EU) No 536/2014</w:t>
      </w:r>
      <w:r w:rsidRPr="00B335F7">
        <w:rPr>
          <w:rStyle w:val="HideTWBExt"/>
          <w:rFonts w:eastAsiaTheme="majorEastAsia"/>
        </w:rPr>
        <w:t>&lt;/DocAmend2&gt;</w:t>
      </w:r>
    </w:p>
    <w:p w14:paraId="6A6ACE27" w14:textId="6FD61335" w:rsidR="002969F2" w:rsidRPr="00B335F7" w:rsidRDefault="002969F2" w:rsidP="002969F2">
      <w:pPr>
        <w:rPr>
          <w:lang w:val="fr-BE"/>
        </w:rPr>
      </w:pPr>
      <w:r w:rsidRPr="00B335F7">
        <w:rPr>
          <w:rStyle w:val="HideTWBExt"/>
          <w:rFonts w:eastAsiaTheme="majorEastAsia"/>
          <w:lang w:val="fr-BE"/>
        </w:rPr>
        <w:t>&lt;Article2&gt;</w:t>
      </w:r>
      <w:r w:rsidRPr="00B335F7">
        <w:rPr>
          <w:lang w:val="fr-BE"/>
        </w:rPr>
        <w:t xml:space="preserve">Article </w:t>
      </w:r>
      <w:r w:rsidR="005A5A5E" w:rsidRPr="00B335F7">
        <w:rPr>
          <w:lang w:val="fr-BE"/>
        </w:rPr>
        <w:t xml:space="preserve">27d </w:t>
      </w:r>
      <w:r w:rsidRPr="00B335F7">
        <w:rPr>
          <w:lang w:val="fr-BE"/>
        </w:rPr>
        <w:t>– paragraph 2</w:t>
      </w:r>
      <w:r w:rsidRPr="00B335F7">
        <w:rPr>
          <w:rStyle w:val="HideTWBExt"/>
          <w:rFonts w:eastAsiaTheme="majorEastAsia"/>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748A06F" w14:textId="77777777" w:rsidTr="002969F2">
        <w:trPr>
          <w:jc w:val="center"/>
        </w:trPr>
        <w:tc>
          <w:tcPr>
            <w:tcW w:w="9752" w:type="dxa"/>
            <w:gridSpan w:val="2"/>
          </w:tcPr>
          <w:p w14:paraId="1E73B08C" w14:textId="77777777" w:rsidR="002969F2" w:rsidRPr="00B335F7" w:rsidRDefault="002969F2">
            <w:pPr>
              <w:keepNext/>
              <w:rPr>
                <w:lang w:val="fr-BE"/>
              </w:rPr>
            </w:pPr>
          </w:p>
        </w:tc>
      </w:tr>
      <w:tr w:rsidR="002969F2" w:rsidRPr="00B335F7" w14:paraId="2B8648F5" w14:textId="77777777" w:rsidTr="002969F2">
        <w:trPr>
          <w:jc w:val="center"/>
        </w:trPr>
        <w:tc>
          <w:tcPr>
            <w:tcW w:w="4876" w:type="dxa"/>
            <w:hideMark/>
          </w:tcPr>
          <w:p w14:paraId="183F974C"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A9BF156" w14:textId="77777777" w:rsidR="002969F2" w:rsidRPr="00B335F7" w:rsidRDefault="002969F2">
            <w:pPr>
              <w:pStyle w:val="ColumnHeading"/>
              <w:keepNext/>
              <w:rPr>
                <w:lang w:val="en-GB"/>
              </w:rPr>
            </w:pPr>
            <w:r w:rsidRPr="00B335F7">
              <w:rPr>
                <w:lang w:val="en-GB"/>
              </w:rPr>
              <w:t>Amendment</w:t>
            </w:r>
          </w:p>
        </w:tc>
      </w:tr>
      <w:tr w:rsidR="002969F2" w:rsidRPr="00B335F7" w14:paraId="738362F7" w14:textId="77777777" w:rsidTr="002969F2">
        <w:trPr>
          <w:jc w:val="center"/>
        </w:trPr>
        <w:tc>
          <w:tcPr>
            <w:tcW w:w="4876" w:type="dxa"/>
            <w:hideMark/>
          </w:tcPr>
          <w:p w14:paraId="59A9BB3D" w14:textId="77777777" w:rsidR="002969F2" w:rsidRPr="00B335F7" w:rsidRDefault="002969F2">
            <w:pPr>
              <w:pStyle w:val="Normal6"/>
              <w:rPr>
                <w:lang w:val="en-GB"/>
              </w:rPr>
            </w:pPr>
            <w:r w:rsidRPr="00B335F7">
              <w:rPr>
                <w:lang w:val="en-GB"/>
              </w:rPr>
              <w:t>2.</w:t>
            </w:r>
            <w:r w:rsidRPr="00B335F7">
              <w:rPr>
                <w:lang w:val="en-GB"/>
              </w:rPr>
              <w:tab/>
              <w:t>The regulatory sandbox under this Regulation may encompass approaches to the authorisation and conduct of the clinical trials and where appropriate, maybe be implemented in coordination and synergies with the regulatory sandboxes established pursuant to Regulation (EU) 2024/1689 with full involvement of competent authorities supervising the sandbox under Regulation (EU) 2024/1689 and in accordance with the relevant procedures and rules for participating in those AI regulatory sandboxes.</w:t>
            </w:r>
          </w:p>
        </w:tc>
        <w:tc>
          <w:tcPr>
            <w:tcW w:w="4876" w:type="dxa"/>
            <w:hideMark/>
          </w:tcPr>
          <w:p w14:paraId="5F810400" w14:textId="1029D913" w:rsidR="002969F2" w:rsidRPr="00B335F7" w:rsidRDefault="005A5A5E">
            <w:pPr>
              <w:pStyle w:val="Normal6"/>
              <w:rPr>
                <w:szCs w:val="24"/>
                <w:lang w:val="en-GB"/>
              </w:rPr>
            </w:pPr>
            <w:r w:rsidRPr="00B335F7">
              <w:rPr>
                <w:lang w:val="en-GB"/>
              </w:rPr>
              <w:t>2.</w:t>
            </w:r>
            <w:r w:rsidRPr="00B335F7">
              <w:rPr>
                <w:lang w:val="en-GB"/>
              </w:rPr>
              <w:tab/>
            </w:r>
            <w:r w:rsidR="002969F2" w:rsidRPr="00B335F7">
              <w:rPr>
                <w:lang w:val="en-GB"/>
              </w:rPr>
              <w:t xml:space="preserve">The regulatory sandbox under this Regulation may encompass approaches to the authorisation and conduct of the clinical trials and where appropriate, maybe be implemented in coordination and synergies with the regulatory sandboxes established pursuant to Regulation (EU) 2024/1689 with full involvement of competent authorities supervising the sandbox under Regulation (EU) 2024/1689 and in accordance with the relevant procedures and rules for participating in those AI regulatory sandboxes. </w:t>
            </w:r>
            <w:r w:rsidR="002969F2" w:rsidRPr="00B335F7">
              <w:rPr>
                <w:b/>
                <w:i/>
                <w:lang w:val="en-GB"/>
              </w:rPr>
              <w:t>Processed data shall meet high standards in terms of quality, ethics and integrity.</w:t>
            </w:r>
          </w:p>
        </w:tc>
      </w:tr>
    </w:tbl>
    <w:p w14:paraId="12789E4F"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85E0ADA" w14:textId="77777777" w:rsidR="002969F2" w:rsidRPr="00B335F7" w:rsidRDefault="002969F2" w:rsidP="002969F2">
      <w:r w:rsidRPr="00B335F7">
        <w:rPr>
          <w:rStyle w:val="HideTWBExt"/>
          <w:rFonts w:eastAsiaTheme="majorEastAsia"/>
        </w:rPr>
        <w:t>&lt;/Amend&gt;</w:t>
      </w:r>
    </w:p>
    <w:p w14:paraId="0AD311FC" w14:textId="7FE701BB" w:rsidR="002969F2" w:rsidRPr="00B335F7" w:rsidRDefault="002969F2" w:rsidP="002969F2">
      <w:pPr>
        <w:pStyle w:val="AMNumberTabs0"/>
        <w:keepNext/>
        <w:rPr>
          <w:lang w:val="en-GB"/>
        </w:rPr>
      </w:pPr>
      <w:r w:rsidRPr="00B335F7">
        <w:rPr>
          <w:rStyle w:val="HideTWBExt"/>
          <w:rFonts w:eastAsiaTheme="majorEastAsia"/>
          <w:b w:val="0"/>
          <w:lang w:val="en-GB"/>
        </w:rPr>
        <w:lastRenderedPageBreak/>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37</w:t>
      </w:r>
      <w:r w:rsidRPr="00B335F7">
        <w:rPr>
          <w:rStyle w:val="HideTWBExt"/>
          <w:rFonts w:eastAsiaTheme="majorEastAsia"/>
          <w:b w:val="0"/>
          <w:lang w:val="en-GB"/>
        </w:rPr>
        <w:t>&lt;/NumAm&gt;</w:t>
      </w:r>
    </w:p>
    <w:p w14:paraId="5E659A48"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7ADC9CA9" w14:textId="77777777" w:rsidR="002969F2" w:rsidRPr="00B335F7" w:rsidRDefault="002969F2" w:rsidP="002969F2">
      <w:pPr>
        <w:pStyle w:val="NormalBold"/>
      </w:pPr>
      <w:r w:rsidRPr="00B335F7">
        <w:rPr>
          <w:rStyle w:val="HideTWBExt"/>
          <w:rFonts w:eastAsiaTheme="majorEastAsia"/>
          <w:b w:val="0"/>
        </w:rPr>
        <w:t>&lt;Article&gt;</w:t>
      </w:r>
      <w:r w:rsidRPr="00B335F7">
        <w:t>Article 58 – paragraph 1 – point 24</w:t>
      </w:r>
      <w:r w:rsidRPr="00B335F7">
        <w:rPr>
          <w:rStyle w:val="HideTWBExt"/>
          <w:rFonts w:eastAsiaTheme="majorEastAsia"/>
          <w:b w:val="0"/>
        </w:rPr>
        <w:t>&lt;/Article&gt;</w:t>
      </w:r>
    </w:p>
    <w:p w14:paraId="7C72FDCC" w14:textId="02ABD41D" w:rsidR="002969F2" w:rsidRPr="00B335F7" w:rsidRDefault="002969F2" w:rsidP="002969F2">
      <w:pPr>
        <w:keepNext/>
      </w:pPr>
      <w:r w:rsidRPr="00B335F7">
        <w:rPr>
          <w:rStyle w:val="HideTWBExt"/>
          <w:rFonts w:eastAsiaTheme="majorEastAsia"/>
        </w:rPr>
        <w:t>&lt;DocAmend2&gt;</w:t>
      </w:r>
      <w:r w:rsidR="005A5A5E" w:rsidRPr="00B335F7">
        <w:t>Regulation (EU) No 536/2014</w:t>
      </w:r>
      <w:r w:rsidRPr="00B335F7">
        <w:rPr>
          <w:rStyle w:val="HideTWBExt"/>
          <w:rFonts w:eastAsiaTheme="majorEastAsia"/>
        </w:rPr>
        <w:t>&lt;/DocAmend2&gt;</w:t>
      </w:r>
    </w:p>
    <w:p w14:paraId="627F656E" w14:textId="19E9C3F4" w:rsidR="002969F2" w:rsidRPr="00B335F7" w:rsidRDefault="002969F2" w:rsidP="002969F2">
      <w:pPr>
        <w:rPr>
          <w:lang w:val="fr-BE"/>
        </w:rPr>
      </w:pPr>
      <w:r w:rsidRPr="00B335F7">
        <w:rPr>
          <w:rStyle w:val="HideTWBExt"/>
          <w:rFonts w:eastAsiaTheme="majorEastAsia"/>
          <w:lang w:val="fr-BE"/>
        </w:rPr>
        <w:t>&lt;Article2&gt;</w:t>
      </w:r>
      <w:r w:rsidRPr="00B335F7">
        <w:rPr>
          <w:lang w:val="fr-BE"/>
        </w:rPr>
        <w:t xml:space="preserve">Article </w:t>
      </w:r>
      <w:r w:rsidR="005A5A5E" w:rsidRPr="00B335F7">
        <w:rPr>
          <w:lang w:val="fr-BE"/>
        </w:rPr>
        <w:t xml:space="preserve">27d </w:t>
      </w:r>
      <w:r w:rsidRPr="00B335F7">
        <w:rPr>
          <w:lang w:val="fr-BE"/>
        </w:rPr>
        <w:t>– paragraph 3</w:t>
      </w:r>
      <w:r w:rsidRPr="00B335F7">
        <w:rPr>
          <w:rStyle w:val="HideTWBExt"/>
          <w:rFonts w:eastAsiaTheme="majorEastAsia"/>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1258867D" w14:textId="77777777" w:rsidTr="002969F2">
        <w:trPr>
          <w:jc w:val="center"/>
        </w:trPr>
        <w:tc>
          <w:tcPr>
            <w:tcW w:w="9752" w:type="dxa"/>
            <w:gridSpan w:val="2"/>
          </w:tcPr>
          <w:p w14:paraId="4C632392" w14:textId="77777777" w:rsidR="002969F2" w:rsidRPr="00B335F7" w:rsidRDefault="002969F2">
            <w:pPr>
              <w:keepNext/>
              <w:rPr>
                <w:lang w:val="fr-BE"/>
              </w:rPr>
            </w:pPr>
          </w:p>
        </w:tc>
      </w:tr>
      <w:tr w:rsidR="002969F2" w:rsidRPr="00B335F7" w14:paraId="3E4C64C2" w14:textId="77777777" w:rsidTr="002969F2">
        <w:trPr>
          <w:jc w:val="center"/>
        </w:trPr>
        <w:tc>
          <w:tcPr>
            <w:tcW w:w="4876" w:type="dxa"/>
            <w:hideMark/>
          </w:tcPr>
          <w:p w14:paraId="692C12D8"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5ADBD377" w14:textId="77777777" w:rsidR="002969F2" w:rsidRPr="00B335F7" w:rsidRDefault="002969F2">
            <w:pPr>
              <w:pStyle w:val="ColumnHeading"/>
              <w:keepNext/>
              <w:rPr>
                <w:lang w:val="en-GB"/>
              </w:rPr>
            </w:pPr>
            <w:r w:rsidRPr="00B335F7">
              <w:rPr>
                <w:lang w:val="en-GB"/>
              </w:rPr>
              <w:t>Amendment</w:t>
            </w:r>
          </w:p>
        </w:tc>
      </w:tr>
      <w:tr w:rsidR="002969F2" w:rsidRPr="00B335F7" w14:paraId="002C61B3" w14:textId="77777777" w:rsidTr="002969F2">
        <w:trPr>
          <w:jc w:val="center"/>
        </w:trPr>
        <w:tc>
          <w:tcPr>
            <w:tcW w:w="4876" w:type="dxa"/>
            <w:hideMark/>
          </w:tcPr>
          <w:p w14:paraId="13C228DE" w14:textId="77777777" w:rsidR="002969F2" w:rsidRPr="00B335F7" w:rsidRDefault="002969F2">
            <w:pPr>
              <w:pStyle w:val="Normal6"/>
              <w:rPr>
                <w:lang w:val="en-GB"/>
              </w:rPr>
            </w:pPr>
            <w:r w:rsidRPr="00B335F7">
              <w:rPr>
                <w:lang w:val="en-GB"/>
              </w:rPr>
              <w:t>3.</w:t>
            </w:r>
            <w:r w:rsidRPr="00B335F7">
              <w:rPr>
                <w:lang w:val="en-GB"/>
              </w:rPr>
              <w:tab/>
              <w:t>The activities within a regulatory sandbox shall take place pursuant to a specific plan, for eligible clinical trials, which may be conducted under enhanced regulatory oversight of the Member States concerned. The plan shall clearly identify the requirements of this Regulation that are temporarily adapted or derogated from in the sandbox and that may relate to, as necessary, to source data and documentation requirements, recruitment and informed consent procedures, monitoring and reporting requirements, trial design rules, investigational medicines handling rules, safety reporting rules, site requirements. The plan shall also identify the roles and responsibilities of sponsors, investigators, and manufacturers.</w:t>
            </w:r>
          </w:p>
        </w:tc>
        <w:tc>
          <w:tcPr>
            <w:tcW w:w="4876" w:type="dxa"/>
            <w:hideMark/>
          </w:tcPr>
          <w:p w14:paraId="1AA67D94" w14:textId="55DE8DED" w:rsidR="002969F2" w:rsidRPr="00B335F7" w:rsidRDefault="005A5A5E">
            <w:pPr>
              <w:pStyle w:val="Normal6"/>
              <w:rPr>
                <w:szCs w:val="24"/>
                <w:lang w:val="en-GB"/>
              </w:rPr>
            </w:pPr>
            <w:r w:rsidRPr="00B335F7">
              <w:rPr>
                <w:lang w:val="en-GB"/>
              </w:rPr>
              <w:t>3.</w:t>
            </w:r>
            <w:r w:rsidRPr="00B335F7">
              <w:rPr>
                <w:lang w:val="en-GB"/>
              </w:rPr>
              <w:tab/>
            </w:r>
            <w:r w:rsidR="002969F2" w:rsidRPr="00B335F7">
              <w:rPr>
                <w:lang w:val="en-GB"/>
              </w:rPr>
              <w:t>The activities within a regulatory sandbox shall take place pursuant to a specific plan, for eligible clinical trials, which may be conducted under enhanced regulatory oversight of the Member States concerned</w:t>
            </w:r>
            <w:r w:rsidR="002969F2" w:rsidRPr="00B335F7">
              <w:rPr>
                <w:b/>
                <w:i/>
                <w:lang w:val="en-GB"/>
              </w:rPr>
              <w:t>, whilst respecting ethical standards</w:t>
            </w:r>
            <w:r w:rsidR="002969F2" w:rsidRPr="00B335F7">
              <w:rPr>
                <w:lang w:val="en-GB"/>
              </w:rPr>
              <w:t>. The plan shall clearly identify the requirements of this Regulation that are temporarily adapted or derogated from in the sandbox and that may relate to, as necessary, to source data and documentation requirements, recruitment and informed consent procedures, monitoring and reporting requirements, trial design rules, investigational medicines handling rules, safety reporting rules, site requirements. The plan shall also identify the roles and responsibilities of sponsors, investigators, and manufacturers.</w:t>
            </w:r>
          </w:p>
        </w:tc>
      </w:tr>
    </w:tbl>
    <w:p w14:paraId="41ACB5B7"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19C41556" w14:textId="77777777" w:rsidR="002969F2" w:rsidRPr="00B335F7" w:rsidRDefault="002969F2" w:rsidP="002969F2">
      <w:r w:rsidRPr="00B335F7">
        <w:rPr>
          <w:rStyle w:val="HideTWBExt"/>
          <w:rFonts w:eastAsiaTheme="majorEastAsia"/>
        </w:rPr>
        <w:t>&lt;/Amend&gt;</w:t>
      </w:r>
    </w:p>
    <w:p w14:paraId="12733CAB" w14:textId="4841B8B8"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38</w:t>
      </w:r>
      <w:r w:rsidRPr="00B335F7">
        <w:rPr>
          <w:rStyle w:val="HideTWBExt"/>
          <w:rFonts w:eastAsiaTheme="majorEastAsia"/>
          <w:b w:val="0"/>
          <w:lang w:val="en-GB"/>
        </w:rPr>
        <w:t>&lt;/NumAm&gt;</w:t>
      </w:r>
    </w:p>
    <w:p w14:paraId="69EB16FA"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7ADD7120" w14:textId="77777777" w:rsidR="002969F2" w:rsidRPr="00B335F7" w:rsidRDefault="002969F2" w:rsidP="002969F2">
      <w:pPr>
        <w:pStyle w:val="NormalBold"/>
      </w:pPr>
      <w:r w:rsidRPr="00B335F7">
        <w:rPr>
          <w:rStyle w:val="HideTWBExt"/>
          <w:rFonts w:eastAsiaTheme="majorEastAsia"/>
          <w:b w:val="0"/>
        </w:rPr>
        <w:t>&lt;Article&gt;</w:t>
      </w:r>
      <w:r w:rsidRPr="00B335F7">
        <w:t>Article 58 – paragraph 1 – point 24</w:t>
      </w:r>
      <w:r w:rsidRPr="00B335F7">
        <w:rPr>
          <w:rStyle w:val="HideTWBExt"/>
          <w:rFonts w:eastAsiaTheme="majorEastAsia"/>
          <w:b w:val="0"/>
        </w:rPr>
        <w:t>&lt;/Article&gt;</w:t>
      </w:r>
    </w:p>
    <w:p w14:paraId="1C49BF94" w14:textId="380F3305" w:rsidR="002969F2" w:rsidRPr="00B335F7" w:rsidRDefault="002969F2" w:rsidP="002969F2">
      <w:pPr>
        <w:keepNext/>
      </w:pPr>
      <w:r w:rsidRPr="00B335F7">
        <w:rPr>
          <w:rStyle w:val="HideTWBExt"/>
          <w:rFonts w:eastAsiaTheme="majorEastAsia"/>
        </w:rPr>
        <w:t>&lt;DocAmend2&gt;</w:t>
      </w:r>
      <w:r w:rsidR="005A5A5E" w:rsidRPr="00B335F7">
        <w:t>Regulation (EU) No 536/2014</w:t>
      </w:r>
      <w:r w:rsidRPr="00B335F7">
        <w:rPr>
          <w:rStyle w:val="HideTWBExt"/>
          <w:rFonts w:eastAsiaTheme="majorEastAsia"/>
        </w:rPr>
        <w:t>&lt;/DocAmend2&gt;</w:t>
      </w:r>
    </w:p>
    <w:p w14:paraId="54475A6B" w14:textId="197A23DF" w:rsidR="002969F2" w:rsidRPr="00B335F7" w:rsidRDefault="002969F2" w:rsidP="002969F2">
      <w:pPr>
        <w:rPr>
          <w:lang w:val="fr-BE"/>
        </w:rPr>
      </w:pPr>
      <w:r w:rsidRPr="00B335F7">
        <w:rPr>
          <w:rStyle w:val="HideTWBExt"/>
          <w:rFonts w:eastAsiaTheme="majorEastAsia"/>
          <w:lang w:val="fr-BE"/>
        </w:rPr>
        <w:t>&lt;Article2&gt;</w:t>
      </w:r>
      <w:r w:rsidRPr="00B335F7">
        <w:rPr>
          <w:lang w:val="fr-BE"/>
        </w:rPr>
        <w:t xml:space="preserve">Article </w:t>
      </w:r>
      <w:r w:rsidR="005A5A5E" w:rsidRPr="00B335F7">
        <w:rPr>
          <w:lang w:val="fr-BE"/>
        </w:rPr>
        <w:t xml:space="preserve">27d </w:t>
      </w:r>
      <w:r w:rsidRPr="00B335F7">
        <w:rPr>
          <w:lang w:val="fr-BE"/>
        </w:rPr>
        <w:t xml:space="preserve">– paragraph </w:t>
      </w:r>
      <w:r w:rsidR="005A5A5E" w:rsidRPr="00B335F7">
        <w:rPr>
          <w:lang w:val="fr-BE"/>
        </w:rPr>
        <w:t xml:space="preserve">4 </w:t>
      </w:r>
      <w:r w:rsidRPr="00B335F7">
        <w:rPr>
          <w:lang w:val="fr-BE"/>
        </w:rPr>
        <w:t xml:space="preserve">– point </w:t>
      </w:r>
      <w:r w:rsidR="005A5A5E" w:rsidRPr="00B335F7">
        <w:rPr>
          <w:lang w:val="fr-BE"/>
        </w:rPr>
        <w:t>c</w:t>
      </w:r>
      <w:r w:rsidRPr="00B335F7">
        <w:rPr>
          <w:rStyle w:val="HideTWBExt"/>
          <w:rFonts w:eastAsiaTheme="majorEastAsia"/>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40D75731" w14:textId="77777777" w:rsidTr="002969F2">
        <w:trPr>
          <w:jc w:val="center"/>
        </w:trPr>
        <w:tc>
          <w:tcPr>
            <w:tcW w:w="9752" w:type="dxa"/>
            <w:gridSpan w:val="2"/>
          </w:tcPr>
          <w:p w14:paraId="5064A9EA" w14:textId="77777777" w:rsidR="002969F2" w:rsidRPr="00B335F7" w:rsidRDefault="002969F2">
            <w:pPr>
              <w:keepNext/>
              <w:rPr>
                <w:lang w:val="fr-BE"/>
              </w:rPr>
            </w:pPr>
          </w:p>
        </w:tc>
      </w:tr>
      <w:tr w:rsidR="002969F2" w:rsidRPr="00B335F7" w14:paraId="0FD506B6" w14:textId="77777777" w:rsidTr="002969F2">
        <w:trPr>
          <w:jc w:val="center"/>
        </w:trPr>
        <w:tc>
          <w:tcPr>
            <w:tcW w:w="4876" w:type="dxa"/>
            <w:hideMark/>
          </w:tcPr>
          <w:p w14:paraId="2038BCD5"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BB0FC8A" w14:textId="77777777" w:rsidR="002969F2" w:rsidRPr="00B335F7" w:rsidRDefault="002969F2">
            <w:pPr>
              <w:pStyle w:val="ColumnHeading"/>
              <w:keepNext/>
              <w:rPr>
                <w:lang w:val="en-GB"/>
              </w:rPr>
            </w:pPr>
            <w:r w:rsidRPr="00B335F7">
              <w:rPr>
                <w:lang w:val="en-GB"/>
              </w:rPr>
              <w:t>Amendment</w:t>
            </w:r>
          </w:p>
        </w:tc>
      </w:tr>
      <w:tr w:rsidR="002969F2" w:rsidRPr="00B335F7" w14:paraId="7768B392" w14:textId="77777777" w:rsidTr="002969F2">
        <w:trPr>
          <w:jc w:val="center"/>
        </w:trPr>
        <w:tc>
          <w:tcPr>
            <w:tcW w:w="4876" w:type="dxa"/>
            <w:hideMark/>
          </w:tcPr>
          <w:p w14:paraId="7A6F4004" w14:textId="77777777" w:rsidR="002969F2" w:rsidRPr="00B335F7" w:rsidRDefault="002969F2">
            <w:pPr>
              <w:pStyle w:val="Normal6"/>
              <w:rPr>
                <w:lang w:val="en-GB"/>
              </w:rPr>
            </w:pPr>
            <w:r w:rsidRPr="00B335F7">
              <w:rPr>
                <w:lang w:val="en-GB"/>
              </w:rPr>
              <w:t>(c)</w:t>
            </w:r>
            <w:r w:rsidRPr="00B335F7">
              <w:rPr>
                <w:lang w:val="en-GB"/>
              </w:rPr>
              <w:tab/>
              <w:t>the sandbox provides safeguards to ensure the safety, well-being, and fundamental rights of clinical trial participants, data robustness, and maintained integrity of the clinical trials within the sandbox.</w:t>
            </w:r>
          </w:p>
        </w:tc>
        <w:tc>
          <w:tcPr>
            <w:tcW w:w="4876" w:type="dxa"/>
            <w:hideMark/>
          </w:tcPr>
          <w:p w14:paraId="18F7D9BC" w14:textId="7E1490CB" w:rsidR="002969F2" w:rsidRPr="00B335F7" w:rsidRDefault="005A5A5E">
            <w:pPr>
              <w:pStyle w:val="Normal6"/>
              <w:rPr>
                <w:szCs w:val="24"/>
                <w:lang w:val="en-GB"/>
              </w:rPr>
            </w:pPr>
            <w:r w:rsidRPr="00B335F7">
              <w:rPr>
                <w:lang w:val="en-GB"/>
              </w:rPr>
              <w:t>(c)</w:t>
            </w:r>
            <w:r w:rsidRPr="00B335F7">
              <w:rPr>
                <w:lang w:val="en-GB"/>
              </w:rPr>
              <w:tab/>
            </w:r>
            <w:r w:rsidR="002969F2" w:rsidRPr="00B335F7">
              <w:rPr>
                <w:lang w:val="en-GB"/>
              </w:rPr>
              <w:t xml:space="preserve">the sandbox provides safeguards </w:t>
            </w:r>
            <w:r w:rsidR="002969F2" w:rsidRPr="00B335F7">
              <w:rPr>
                <w:b/>
                <w:i/>
                <w:lang w:val="en-GB"/>
              </w:rPr>
              <w:t>to upholding ethical standards and</w:t>
            </w:r>
            <w:r w:rsidR="002969F2" w:rsidRPr="00B335F7">
              <w:rPr>
                <w:lang w:val="en-GB"/>
              </w:rPr>
              <w:t xml:space="preserve"> to ensure the safety, well-being, and fundamental rights of clinical trial participants, data robustness, and maintained integrity of the clinical trials within the sandbox.</w:t>
            </w:r>
          </w:p>
        </w:tc>
      </w:tr>
    </w:tbl>
    <w:p w14:paraId="06BDE3AD" w14:textId="77777777" w:rsidR="002969F2" w:rsidRPr="00B335F7" w:rsidRDefault="002969F2" w:rsidP="002969F2">
      <w:pPr>
        <w:pStyle w:val="Olang"/>
        <w:rPr>
          <w:lang w:val="en-GB"/>
        </w:rPr>
      </w:pPr>
      <w:r w:rsidRPr="00B335F7">
        <w:rPr>
          <w:lang w:val="en-GB"/>
        </w:rPr>
        <w:lastRenderedPageBreak/>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3DD40C3C" w14:textId="77777777" w:rsidR="002969F2" w:rsidRPr="00B335F7" w:rsidRDefault="002969F2" w:rsidP="002969F2">
      <w:r w:rsidRPr="00B335F7">
        <w:rPr>
          <w:rStyle w:val="HideTWBExt"/>
          <w:rFonts w:eastAsiaTheme="majorEastAsia"/>
        </w:rPr>
        <w:t>&lt;/Amend&gt;</w:t>
      </w:r>
    </w:p>
    <w:p w14:paraId="0AE62FF8" w14:textId="00DFA44B"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39</w:t>
      </w:r>
      <w:r w:rsidRPr="00B335F7">
        <w:rPr>
          <w:rStyle w:val="HideTWBExt"/>
          <w:rFonts w:eastAsiaTheme="majorEastAsia"/>
          <w:b w:val="0"/>
          <w:lang w:val="en-GB"/>
        </w:rPr>
        <w:t>&lt;/NumAm&gt;</w:t>
      </w:r>
    </w:p>
    <w:p w14:paraId="3BCAEC39"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72D52A36" w14:textId="77777777" w:rsidR="002969F2" w:rsidRPr="00B335F7" w:rsidRDefault="002969F2" w:rsidP="002969F2">
      <w:pPr>
        <w:pStyle w:val="NormalBold"/>
      </w:pPr>
      <w:r w:rsidRPr="00B335F7">
        <w:rPr>
          <w:rStyle w:val="HideTWBExt"/>
          <w:rFonts w:eastAsiaTheme="majorEastAsia"/>
          <w:b w:val="0"/>
        </w:rPr>
        <w:t>&lt;Article&gt;</w:t>
      </w:r>
      <w:r w:rsidRPr="00B335F7">
        <w:t>Article 58 – paragraph 1 – point 24</w:t>
      </w:r>
      <w:r w:rsidRPr="00B335F7">
        <w:rPr>
          <w:rStyle w:val="HideTWBExt"/>
          <w:rFonts w:eastAsiaTheme="majorEastAsia"/>
          <w:b w:val="0"/>
        </w:rPr>
        <w:t>&lt;/Article&gt;</w:t>
      </w:r>
    </w:p>
    <w:p w14:paraId="76C13BD8" w14:textId="7DBEE2E5" w:rsidR="002969F2" w:rsidRPr="00B335F7" w:rsidRDefault="002969F2" w:rsidP="002969F2">
      <w:pPr>
        <w:keepNext/>
      </w:pPr>
      <w:r w:rsidRPr="00B335F7">
        <w:rPr>
          <w:rStyle w:val="HideTWBExt"/>
          <w:rFonts w:eastAsiaTheme="majorEastAsia"/>
        </w:rPr>
        <w:t>&lt;DocAmend2&gt;</w:t>
      </w:r>
      <w:r w:rsidR="005A5A5E" w:rsidRPr="00B335F7">
        <w:t>Regulation (EU) No 536/2014</w:t>
      </w:r>
      <w:r w:rsidRPr="00B335F7">
        <w:rPr>
          <w:rStyle w:val="HideTWBExt"/>
          <w:rFonts w:eastAsiaTheme="majorEastAsia"/>
        </w:rPr>
        <w:t>&lt;/DocAmend2&gt;</w:t>
      </w:r>
    </w:p>
    <w:p w14:paraId="6E21D2C4" w14:textId="1F1376EF" w:rsidR="002969F2" w:rsidRPr="00B335F7" w:rsidRDefault="002969F2" w:rsidP="002969F2">
      <w:pPr>
        <w:rPr>
          <w:lang w:val="fr-BE"/>
        </w:rPr>
      </w:pPr>
      <w:r w:rsidRPr="00B335F7">
        <w:rPr>
          <w:rStyle w:val="HideTWBExt"/>
          <w:rFonts w:eastAsiaTheme="majorEastAsia"/>
          <w:lang w:val="fr-BE"/>
        </w:rPr>
        <w:t>&lt;Article2&gt;</w:t>
      </w:r>
      <w:r w:rsidRPr="00B335F7">
        <w:rPr>
          <w:lang w:val="fr-BE"/>
        </w:rPr>
        <w:t xml:space="preserve">Article </w:t>
      </w:r>
      <w:r w:rsidR="005A5A5E" w:rsidRPr="00B335F7">
        <w:rPr>
          <w:lang w:val="fr-BE"/>
        </w:rPr>
        <w:t xml:space="preserve">27e </w:t>
      </w:r>
      <w:r w:rsidRPr="00B335F7">
        <w:rPr>
          <w:lang w:val="fr-BE"/>
        </w:rPr>
        <w:t>– paragraph 4</w:t>
      </w:r>
      <w:r w:rsidRPr="00B335F7">
        <w:rPr>
          <w:rStyle w:val="HideTWBExt"/>
          <w:rFonts w:eastAsiaTheme="majorEastAsia"/>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D42056E" w14:textId="77777777" w:rsidTr="002969F2">
        <w:trPr>
          <w:jc w:val="center"/>
        </w:trPr>
        <w:tc>
          <w:tcPr>
            <w:tcW w:w="9752" w:type="dxa"/>
            <w:gridSpan w:val="2"/>
          </w:tcPr>
          <w:p w14:paraId="229F8870" w14:textId="77777777" w:rsidR="002969F2" w:rsidRPr="00B335F7" w:rsidRDefault="002969F2">
            <w:pPr>
              <w:keepNext/>
              <w:rPr>
                <w:lang w:val="fr-BE"/>
              </w:rPr>
            </w:pPr>
          </w:p>
        </w:tc>
      </w:tr>
      <w:tr w:rsidR="002969F2" w:rsidRPr="00B335F7" w14:paraId="61B09A72" w14:textId="77777777" w:rsidTr="002969F2">
        <w:trPr>
          <w:jc w:val="center"/>
        </w:trPr>
        <w:tc>
          <w:tcPr>
            <w:tcW w:w="4876" w:type="dxa"/>
            <w:hideMark/>
          </w:tcPr>
          <w:p w14:paraId="48D73782"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03795B4F" w14:textId="77777777" w:rsidR="002969F2" w:rsidRPr="00B335F7" w:rsidRDefault="002969F2">
            <w:pPr>
              <w:pStyle w:val="ColumnHeading"/>
              <w:keepNext/>
              <w:rPr>
                <w:lang w:val="en-GB"/>
              </w:rPr>
            </w:pPr>
            <w:r w:rsidRPr="00B335F7">
              <w:rPr>
                <w:lang w:val="en-GB"/>
              </w:rPr>
              <w:t>Amendment</w:t>
            </w:r>
          </w:p>
        </w:tc>
      </w:tr>
      <w:tr w:rsidR="002969F2" w:rsidRPr="00B335F7" w14:paraId="4A73B4ED" w14:textId="77777777" w:rsidTr="002969F2">
        <w:trPr>
          <w:jc w:val="center"/>
        </w:trPr>
        <w:tc>
          <w:tcPr>
            <w:tcW w:w="4876" w:type="dxa"/>
            <w:hideMark/>
          </w:tcPr>
          <w:p w14:paraId="4F2202D2" w14:textId="77777777" w:rsidR="002969F2" w:rsidRPr="00B335F7" w:rsidRDefault="002969F2">
            <w:pPr>
              <w:pStyle w:val="Normal6"/>
              <w:rPr>
                <w:lang w:val="en-GB"/>
              </w:rPr>
            </w:pPr>
            <w:r w:rsidRPr="00B335F7">
              <w:rPr>
                <w:lang w:val="en-GB"/>
              </w:rPr>
              <w:t>4.</w:t>
            </w:r>
            <w:r w:rsidRPr="00B335F7">
              <w:rPr>
                <w:lang w:val="en-GB"/>
              </w:rPr>
              <w:tab/>
              <w:t>In cooperation with the CTAG and, where appropriate, the Medical Device Coordination Group, the Artificial Intelligence Board, the Agency shall develop guidelines referred to in paragraph 1 of this Article.</w:t>
            </w:r>
          </w:p>
        </w:tc>
        <w:tc>
          <w:tcPr>
            <w:tcW w:w="4876" w:type="dxa"/>
            <w:hideMark/>
          </w:tcPr>
          <w:p w14:paraId="66D31258" w14:textId="45D88DA0" w:rsidR="002969F2" w:rsidRPr="00B335F7" w:rsidRDefault="005A5A5E">
            <w:pPr>
              <w:pStyle w:val="Normal6"/>
              <w:rPr>
                <w:szCs w:val="24"/>
                <w:lang w:val="en-GB"/>
              </w:rPr>
            </w:pPr>
            <w:r w:rsidRPr="00B335F7">
              <w:rPr>
                <w:lang w:val="en-GB"/>
              </w:rPr>
              <w:t>4.</w:t>
            </w:r>
            <w:r w:rsidRPr="00B335F7">
              <w:rPr>
                <w:lang w:val="en-GB"/>
              </w:rPr>
              <w:tab/>
            </w:r>
            <w:r w:rsidR="002969F2" w:rsidRPr="00B335F7">
              <w:rPr>
                <w:lang w:val="en-GB"/>
              </w:rPr>
              <w:t xml:space="preserve">In cooperation with the CTAG and, where appropriate, the Medical Device Coordination Group, the Artificial Intelligence Board, the Agency shall develop guidelines referred to in paragraph 1 of this Article. </w:t>
            </w:r>
            <w:r w:rsidR="002969F2" w:rsidRPr="00B335F7">
              <w:rPr>
                <w:b/>
                <w:i/>
                <w:lang w:val="en-GB"/>
              </w:rPr>
              <w:t xml:space="preserve">Such guidelines shall include the principles of human agency and oversight; technical robustness and safety; privacy and data governance; transparency; diversity, non-discrimination and fairness; societal and environmental well-being and accountability. Without prejudice to the legally binding requirements of this Regulation and any other applicable Union law, those guidelines should contribute to the design of coherent, trustworthy and human-centric AI, in line with the Charter of Fundamental Rights of the European Union and with the values on which the Union is founded. </w:t>
            </w:r>
          </w:p>
        </w:tc>
      </w:tr>
    </w:tbl>
    <w:p w14:paraId="53F0C4B5"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56B74113" w14:textId="77777777" w:rsidR="002969F2" w:rsidRPr="00B335F7" w:rsidRDefault="002969F2" w:rsidP="002969F2">
      <w:r w:rsidRPr="00B335F7">
        <w:rPr>
          <w:rStyle w:val="HideTWBExt"/>
          <w:rFonts w:eastAsiaTheme="majorEastAsia"/>
        </w:rPr>
        <w:t>&lt;/Amend&gt;</w:t>
      </w:r>
    </w:p>
    <w:p w14:paraId="4F485044" w14:textId="292C131D"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40</w:t>
      </w:r>
      <w:r w:rsidRPr="00B335F7">
        <w:rPr>
          <w:rStyle w:val="HideTWBExt"/>
          <w:rFonts w:eastAsiaTheme="majorEastAsia"/>
          <w:b w:val="0"/>
          <w:lang w:val="en-GB"/>
        </w:rPr>
        <w:t>&lt;/NumAm&gt;</w:t>
      </w:r>
    </w:p>
    <w:p w14:paraId="243C1CCB"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129544A" w14:textId="77777777" w:rsidR="002969F2" w:rsidRPr="00B335F7" w:rsidRDefault="002969F2" w:rsidP="002969F2">
      <w:pPr>
        <w:pStyle w:val="NormalBold"/>
      </w:pPr>
      <w:r w:rsidRPr="00B335F7">
        <w:rPr>
          <w:rStyle w:val="HideTWBExt"/>
          <w:rFonts w:eastAsiaTheme="majorEastAsia"/>
          <w:b w:val="0"/>
        </w:rPr>
        <w:t>&lt;Article&gt;</w:t>
      </w:r>
      <w:r w:rsidRPr="00B335F7">
        <w:t>Article 59 – paragraph 1 – point 6</w:t>
      </w:r>
      <w:r w:rsidRPr="00B335F7">
        <w:rPr>
          <w:rStyle w:val="HideTWBExt"/>
          <w:rFonts w:eastAsiaTheme="majorEastAsia"/>
          <w:b w:val="0"/>
        </w:rPr>
        <w:t>&lt;/Article&gt;</w:t>
      </w:r>
    </w:p>
    <w:p w14:paraId="19936BBC" w14:textId="48C67F86" w:rsidR="002969F2" w:rsidRPr="00B335F7" w:rsidRDefault="002969F2" w:rsidP="002969F2">
      <w:pPr>
        <w:keepNext/>
      </w:pPr>
      <w:r w:rsidRPr="00B335F7">
        <w:rPr>
          <w:rStyle w:val="HideTWBExt"/>
          <w:rFonts w:eastAsiaTheme="majorEastAsia"/>
        </w:rPr>
        <w:t>&lt;DocAmend2&gt;</w:t>
      </w:r>
      <w:r w:rsidR="005A5A5E" w:rsidRPr="00B335F7">
        <w:t>Regulation (EU) 2019/6</w:t>
      </w:r>
      <w:r w:rsidRPr="00B335F7">
        <w:rPr>
          <w:rStyle w:val="HideTWBExt"/>
          <w:rFonts w:eastAsiaTheme="majorEastAsia"/>
        </w:rPr>
        <w:t>&lt;/DocAmend2&gt;</w:t>
      </w:r>
    </w:p>
    <w:p w14:paraId="4798BE66" w14:textId="77777777" w:rsidR="002969F2" w:rsidRPr="00B335F7" w:rsidRDefault="002969F2" w:rsidP="002969F2">
      <w:r w:rsidRPr="00B335F7">
        <w:rPr>
          <w:rStyle w:val="HideTWBExt"/>
          <w:rFonts w:eastAsiaTheme="majorEastAsia"/>
        </w:rPr>
        <w:t>&lt;Article2&gt;</w:t>
      </w:r>
      <w:r w:rsidRPr="00B335F7">
        <w:t>Article 40a</w:t>
      </w:r>
      <w:r w:rsidRPr="00B335F7">
        <w:rPr>
          <w:rStyle w:val="HideTWBExt"/>
          <w:rFonts w:eastAsiaTheme="majorEastAsia"/>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DF472E1" w14:textId="77777777" w:rsidTr="00B335F7">
        <w:trPr>
          <w:jc w:val="center"/>
        </w:trPr>
        <w:tc>
          <w:tcPr>
            <w:tcW w:w="9752" w:type="dxa"/>
            <w:gridSpan w:val="2"/>
          </w:tcPr>
          <w:p w14:paraId="49CD243F" w14:textId="77777777" w:rsidR="002969F2" w:rsidRPr="00B335F7" w:rsidRDefault="002969F2">
            <w:pPr>
              <w:keepNext/>
            </w:pPr>
          </w:p>
        </w:tc>
      </w:tr>
      <w:tr w:rsidR="002969F2" w:rsidRPr="00B335F7" w14:paraId="5872ABC7" w14:textId="77777777" w:rsidTr="00B335F7">
        <w:trPr>
          <w:jc w:val="center"/>
        </w:trPr>
        <w:tc>
          <w:tcPr>
            <w:tcW w:w="4876" w:type="dxa"/>
            <w:hideMark/>
          </w:tcPr>
          <w:p w14:paraId="05E81475"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33658381" w14:textId="77777777" w:rsidR="002969F2" w:rsidRPr="00B335F7" w:rsidRDefault="002969F2">
            <w:pPr>
              <w:pStyle w:val="ColumnHeading"/>
              <w:keepNext/>
              <w:rPr>
                <w:lang w:val="en-GB"/>
              </w:rPr>
            </w:pPr>
            <w:r w:rsidRPr="00B335F7">
              <w:rPr>
                <w:lang w:val="en-GB"/>
              </w:rPr>
              <w:t>Amendment</w:t>
            </w:r>
          </w:p>
        </w:tc>
      </w:tr>
      <w:tr w:rsidR="002969F2" w:rsidRPr="00B335F7" w14:paraId="291751F6" w14:textId="77777777" w:rsidTr="00B335F7">
        <w:trPr>
          <w:jc w:val="center"/>
        </w:trPr>
        <w:tc>
          <w:tcPr>
            <w:tcW w:w="4876" w:type="dxa"/>
            <w:hideMark/>
          </w:tcPr>
          <w:p w14:paraId="4234C8CF" w14:textId="77777777" w:rsidR="002969F2" w:rsidRPr="00B335F7" w:rsidRDefault="002969F2">
            <w:pPr>
              <w:pStyle w:val="Normal6"/>
              <w:rPr>
                <w:lang w:val="en-GB"/>
              </w:rPr>
            </w:pPr>
            <w:r w:rsidRPr="00B335F7">
              <w:rPr>
                <w:b/>
                <w:i/>
                <w:lang w:val="en-GB"/>
              </w:rPr>
              <w:t>(6)</w:t>
            </w:r>
            <w:r w:rsidRPr="00B335F7">
              <w:rPr>
                <w:b/>
                <w:i/>
                <w:lang w:val="en-GB"/>
              </w:rPr>
              <w:tab/>
              <w:t xml:space="preserve">The following Article 40a is </w:t>
            </w:r>
            <w:r w:rsidRPr="00B335F7">
              <w:rPr>
                <w:b/>
                <w:i/>
                <w:lang w:val="en-GB"/>
              </w:rPr>
              <w:lastRenderedPageBreak/>
              <w:t>inserted:</w:t>
            </w:r>
          </w:p>
        </w:tc>
        <w:tc>
          <w:tcPr>
            <w:tcW w:w="4876" w:type="dxa"/>
            <w:hideMark/>
          </w:tcPr>
          <w:p w14:paraId="7E088D07" w14:textId="77777777" w:rsidR="002969F2" w:rsidRPr="00B335F7" w:rsidRDefault="002969F2">
            <w:pPr>
              <w:pStyle w:val="Normal6"/>
              <w:rPr>
                <w:szCs w:val="24"/>
                <w:lang w:val="en-GB"/>
              </w:rPr>
            </w:pPr>
            <w:r w:rsidRPr="00B335F7">
              <w:rPr>
                <w:b/>
                <w:i/>
              </w:rPr>
              <w:lastRenderedPageBreak/>
              <w:t>deleted</w:t>
            </w:r>
          </w:p>
        </w:tc>
      </w:tr>
      <w:tr w:rsidR="002969F2" w:rsidRPr="00B335F7" w14:paraId="7D9A874A" w14:textId="77777777" w:rsidTr="00B335F7">
        <w:trPr>
          <w:jc w:val="center"/>
        </w:trPr>
        <w:tc>
          <w:tcPr>
            <w:tcW w:w="4876" w:type="dxa"/>
            <w:hideMark/>
          </w:tcPr>
          <w:p w14:paraId="47CB99ED" w14:textId="171E4FD4" w:rsidR="002969F2" w:rsidRPr="00B335F7" w:rsidRDefault="005A5A5E">
            <w:pPr>
              <w:pStyle w:val="Normal6"/>
              <w:rPr>
                <w:lang w:val="en-GB"/>
              </w:rPr>
            </w:pPr>
            <w:r w:rsidRPr="00B335F7">
              <w:rPr>
                <w:b/>
                <w:i/>
              </w:rPr>
              <w:t>‘</w:t>
            </w:r>
            <w:r w:rsidR="002969F2" w:rsidRPr="00B335F7">
              <w:rPr>
                <w:b/>
                <w:i/>
              </w:rPr>
              <w:t>Article 40a</w:t>
            </w:r>
          </w:p>
        </w:tc>
        <w:tc>
          <w:tcPr>
            <w:tcW w:w="4876" w:type="dxa"/>
          </w:tcPr>
          <w:p w14:paraId="68DCE719" w14:textId="77777777" w:rsidR="002969F2" w:rsidRPr="00B335F7" w:rsidRDefault="002969F2">
            <w:pPr>
              <w:pStyle w:val="Normal6"/>
              <w:rPr>
                <w:szCs w:val="24"/>
                <w:lang w:val="en-GB"/>
              </w:rPr>
            </w:pPr>
          </w:p>
        </w:tc>
      </w:tr>
      <w:tr w:rsidR="002969F2" w:rsidRPr="00B335F7" w14:paraId="61332834" w14:textId="77777777" w:rsidTr="00B335F7">
        <w:trPr>
          <w:jc w:val="center"/>
        </w:trPr>
        <w:tc>
          <w:tcPr>
            <w:tcW w:w="4876" w:type="dxa"/>
            <w:hideMark/>
          </w:tcPr>
          <w:p w14:paraId="2C452097" w14:textId="77777777" w:rsidR="002969F2" w:rsidRPr="00B335F7" w:rsidRDefault="002969F2">
            <w:pPr>
              <w:pStyle w:val="Normal6"/>
              <w:rPr>
                <w:lang w:val="en-GB"/>
              </w:rPr>
            </w:pPr>
            <w:r w:rsidRPr="00B335F7">
              <w:rPr>
                <w:b/>
                <w:i/>
                <w:lang w:val="en-GB"/>
              </w:rPr>
              <w:t>Extension of the supplementary protection certificate concerning biotechnology medicinal products treating zoonoses developed and authorised in the Union</w:t>
            </w:r>
          </w:p>
        </w:tc>
        <w:tc>
          <w:tcPr>
            <w:tcW w:w="4876" w:type="dxa"/>
          </w:tcPr>
          <w:p w14:paraId="72FFFA53" w14:textId="77777777" w:rsidR="002969F2" w:rsidRPr="00B335F7" w:rsidRDefault="002969F2">
            <w:pPr>
              <w:pStyle w:val="Normal6"/>
              <w:rPr>
                <w:szCs w:val="24"/>
                <w:lang w:val="en-GB"/>
              </w:rPr>
            </w:pPr>
          </w:p>
        </w:tc>
      </w:tr>
      <w:tr w:rsidR="002969F2" w:rsidRPr="00B335F7" w14:paraId="1A891C66" w14:textId="77777777" w:rsidTr="00B335F7">
        <w:trPr>
          <w:jc w:val="center"/>
        </w:trPr>
        <w:tc>
          <w:tcPr>
            <w:tcW w:w="4876" w:type="dxa"/>
            <w:hideMark/>
          </w:tcPr>
          <w:p w14:paraId="029A3C05" w14:textId="02170336" w:rsidR="002969F2" w:rsidRPr="00B335F7" w:rsidRDefault="002969F2">
            <w:pPr>
              <w:pStyle w:val="Normal6"/>
              <w:rPr>
                <w:lang w:val="en-GB"/>
              </w:rPr>
            </w:pPr>
            <w:r w:rsidRPr="00B335F7">
              <w:rPr>
                <w:b/>
                <w:i/>
                <w:lang w:val="en-GB"/>
              </w:rPr>
              <w:t>1.</w:t>
            </w:r>
            <w:r w:rsidRPr="00B335F7">
              <w:rPr>
                <w:b/>
                <w:i/>
                <w:lang w:val="en-GB"/>
              </w:rPr>
              <w:tab/>
              <w:t>Where a marketing authorisation is granted by the Union to a veterinary medicinal product developed by means of a biotechnology process referred to in paragraphs 2(a) of Article 42 of Regulation (EU) 2019/6 that is intended to diagnose, treat or prevent zoonotic diseases, and that is protected either by a supplementary protection certificate in accordance with Regulation (EC) No 469/2009</w:t>
            </w:r>
            <w:r w:rsidRPr="00B335F7">
              <w:rPr>
                <w:b/>
                <w:i/>
                <w:vertAlign w:val="superscript"/>
                <w:lang w:val="en-GB"/>
              </w:rPr>
              <w:t>74</w:t>
            </w:r>
            <w:r w:rsidRPr="00B335F7">
              <w:rPr>
                <w:lang w:val="en-GB"/>
              </w:rPr>
              <w:t xml:space="preserve"> </w:t>
            </w:r>
            <w:r w:rsidRPr="00B335F7">
              <w:rPr>
                <w:b/>
                <w:i/>
                <w:lang w:val="en-GB"/>
              </w:rPr>
              <w:t>of the European Parliament and of the Council, or by a patent which qualifies for the granting of such supplementary protection certificate, the holder of a patent or of such certificate shall be entitled to a 12-month extension of the periods referred to in Article 13, paragraphs 1 and 2 of Regulation (EC) No 469/2009, provided that the marketing authorisation applicant demonstrates that all of the following conditions are met:</w:t>
            </w:r>
          </w:p>
        </w:tc>
        <w:tc>
          <w:tcPr>
            <w:tcW w:w="4876" w:type="dxa"/>
          </w:tcPr>
          <w:p w14:paraId="71FD3938" w14:textId="77777777" w:rsidR="002969F2" w:rsidRPr="00B335F7" w:rsidRDefault="002969F2">
            <w:pPr>
              <w:pStyle w:val="Normal6"/>
              <w:rPr>
                <w:szCs w:val="24"/>
                <w:lang w:val="en-GB"/>
              </w:rPr>
            </w:pPr>
          </w:p>
        </w:tc>
      </w:tr>
      <w:tr w:rsidR="002969F2" w:rsidRPr="00B335F7" w14:paraId="50F8FF79" w14:textId="77777777" w:rsidTr="00B335F7">
        <w:trPr>
          <w:jc w:val="center"/>
        </w:trPr>
        <w:tc>
          <w:tcPr>
            <w:tcW w:w="4876" w:type="dxa"/>
            <w:hideMark/>
          </w:tcPr>
          <w:p w14:paraId="1913339F" w14:textId="77777777" w:rsidR="002969F2" w:rsidRPr="00B335F7" w:rsidRDefault="002969F2">
            <w:pPr>
              <w:pStyle w:val="Normal6"/>
              <w:rPr>
                <w:lang w:val="en-GB"/>
              </w:rPr>
            </w:pPr>
            <w:r w:rsidRPr="00B335F7">
              <w:rPr>
                <w:b/>
                <w:i/>
                <w:lang w:val="en-GB"/>
              </w:rPr>
              <w:t>(a)</w:t>
            </w:r>
            <w:r w:rsidRPr="00B335F7">
              <w:rPr>
                <w:b/>
                <w:i/>
                <w:lang w:val="en-GB"/>
              </w:rPr>
              <w:tab/>
              <w:t>the medicinal product contains a new active substance distinctly different from that of any authorised medicinal product in the Union;</w:t>
            </w:r>
          </w:p>
        </w:tc>
        <w:tc>
          <w:tcPr>
            <w:tcW w:w="4876" w:type="dxa"/>
          </w:tcPr>
          <w:p w14:paraId="10B027F1" w14:textId="77777777" w:rsidR="002969F2" w:rsidRPr="00B335F7" w:rsidRDefault="002969F2">
            <w:pPr>
              <w:pStyle w:val="Normal6"/>
              <w:rPr>
                <w:szCs w:val="24"/>
                <w:lang w:val="en-GB"/>
              </w:rPr>
            </w:pPr>
          </w:p>
        </w:tc>
      </w:tr>
      <w:tr w:rsidR="002969F2" w:rsidRPr="00B335F7" w14:paraId="156B0924" w14:textId="77777777" w:rsidTr="00B335F7">
        <w:trPr>
          <w:jc w:val="center"/>
        </w:trPr>
        <w:tc>
          <w:tcPr>
            <w:tcW w:w="4876" w:type="dxa"/>
            <w:hideMark/>
          </w:tcPr>
          <w:p w14:paraId="7B6DA443" w14:textId="62A3247E" w:rsidR="002969F2" w:rsidRPr="00B335F7" w:rsidRDefault="002969F2">
            <w:pPr>
              <w:pStyle w:val="Normal6"/>
              <w:rPr>
                <w:lang w:val="en-GB"/>
              </w:rPr>
            </w:pPr>
            <w:r w:rsidRPr="00B335F7">
              <w:rPr>
                <w:b/>
                <w:i/>
                <w:lang w:val="en-GB"/>
              </w:rPr>
              <w:t>(b)</w:t>
            </w:r>
            <w:r w:rsidRPr="00B335F7">
              <w:rPr>
                <w:b/>
                <w:i/>
                <w:lang w:val="en-GB"/>
              </w:rPr>
              <w:tab/>
              <w:t>the veterinary medicinal product has a mechanism of action distinctly different and shows a level of safety and efficacy which at least e</w:t>
            </w:r>
            <w:r w:rsidR="00F95E60" w:rsidRPr="00B335F7">
              <w:rPr>
                <w:b/>
                <w:i/>
                <w:lang w:val="en-GB"/>
              </w:rPr>
              <w:t>q</w:t>
            </w:r>
            <w:r w:rsidRPr="00B335F7">
              <w:rPr>
                <w:b/>
                <w:i/>
                <w:lang w:val="en-GB"/>
              </w:rPr>
              <w:t>uivalent to that that of any authorised veterinary medicinal product in the Union for the same zoonotic disease; and</w:t>
            </w:r>
          </w:p>
        </w:tc>
        <w:tc>
          <w:tcPr>
            <w:tcW w:w="4876" w:type="dxa"/>
          </w:tcPr>
          <w:p w14:paraId="3843A057" w14:textId="77777777" w:rsidR="002969F2" w:rsidRPr="00B335F7" w:rsidRDefault="002969F2">
            <w:pPr>
              <w:pStyle w:val="Normal6"/>
              <w:rPr>
                <w:szCs w:val="24"/>
                <w:lang w:val="en-GB"/>
              </w:rPr>
            </w:pPr>
          </w:p>
        </w:tc>
      </w:tr>
      <w:tr w:rsidR="002969F2" w:rsidRPr="00B335F7" w14:paraId="05932C3E" w14:textId="77777777" w:rsidTr="00B335F7">
        <w:trPr>
          <w:jc w:val="center"/>
        </w:trPr>
        <w:tc>
          <w:tcPr>
            <w:tcW w:w="4876" w:type="dxa"/>
            <w:hideMark/>
          </w:tcPr>
          <w:p w14:paraId="464A7442" w14:textId="77777777" w:rsidR="002969F2" w:rsidRPr="00B335F7" w:rsidRDefault="002969F2">
            <w:pPr>
              <w:pStyle w:val="Normal6"/>
              <w:rPr>
                <w:lang w:val="en-GB"/>
              </w:rPr>
            </w:pPr>
            <w:r w:rsidRPr="00B335F7">
              <w:rPr>
                <w:b/>
                <w:i/>
                <w:lang w:val="en-GB"/>
              </w:rPr>
              <w:t>(c)</w:t>
            </w:r>
            <w:r w:rsidRPr="00B335F7">
              <w:rPr>
                <w:b/>
                <w:i/>
                <w:lang w:val="en-GB"/>
              </w:rPr>
              <w:tab/>
              <w:t>at least a manufacturing step, excluding packaging, quality testing and certification is performed in the Union.</w:t>
            </w:r>
          </w:p>
        </w:tc>
        <w:tc>
          <w:tcPr>
            <w:tcW w:w="4876" w:type="dxa"/>
          </w:tcPr>
          <w:p w14:paraId="315ADB13" w14:textId="77777777" w:rsidR="002969F2" w:rsidRPr="00B335F7" w:rsidRDefault="002969F2">
            <w:pPr>
              <w:pStyle w:val="Normal6"/>
              <w:rPr>
                <w:szCs w:val="24"/>
                <w:lang w:val="en-GB"/>
              </w:rPr>
            </w:pPr>
          </w:p>
        </w:tc>
      </w:tr>
      <w:tr w:rsidR="002969F2" w:rsidRPr="00B335F7" w14:paraId="62760A44" w14:textId="77777777" w:rsidTr="00B335F7">
        <w:trPr>
          <w:jc w:val="center"/>
        </w:trPr>
        <w:tc>
          <w:tcPr>
            <w:tcW w:w="4876" w:type="dxa"/>
            <w:hideMark/>
          </w:tcPr>
          <w:p w14:paraId="7A14ECCF" w14:textId="47E2E5B0" w:rsidR="002969F2" w:rsidRPr="00B335F7" w:rsidRDefault="002969F2">
            <w:pPr>
              <w:pStyle w:val="Normal6"/>
              <w:rPr>
                <w:lang w:val="en-GB"/>
              </w:rPr>
            </w:pPr>
            <w:r w:rsidRPr="00B335F7">
              <w:rPr>
                <w:b/>
                <w:i/>
                <w:lang w:val="en-GB"/>
              </w:rPr>
              <w:t>2.</w:t>
            </w:r>
            <w:r w:rsidRPr="00B335F7">
              <w:rPr>
                <w:b/>
                <w:i/>
                <w:lang w:val="en-GB"/>
              </w:rPr>
              <w:tab/>
              <w:t xml:space="preserve">The Agency shall assess compliance with the conditions referred to in paragraph 1 as part of the marketing </w:t>
            </w:r>
            <w:r w:rsidRPr="00B335F7">
              <w:rPr>
                <w:b/>
                <w:i/>
                <w:lang w:val="en-GB"/>
              </w:rPr>
              <w:lastRenderedPageBreak/>
              <w:t>authorisation procedure concerned.</w:t>
            </w:r>
          </w:p>
        </w:tc>
        <w:tc>
          <w:tcPr>
            <w:tcW w:w="4876" w:type="dxa"/>
          </w:tcPr>
          <w:p w14:paraId="0FCDBA70" w14:textId="77777777" w:rsidR="002969F2" w:rsidRPr="00B335F7" w:rsidRDefault="002969F2">
            <w:pPr>
              <w:pStyle w:val="Normal6"/>
              <w:rPr>
                <w:szCs w:val="24"/>
                <w:lang w:val="en-GB"/>
              </w:rPr>
            </w:pPr>
          </w:p>
        </w:tc>
      </w:tr>
      <w:tr w:rsidR="002969F2" w:rsidRPr="00B335F7" w14:paraId="76AA07E0" w14:textId="77777777" w:rsidTr="00B335F7">
        <w:trPr>
          <w:jc w:val="center"/>
        </w:trPr>
        <w:tc>
          <w:tcPr>
            <w:tcW w:w="4876" w:type="dxa"/>
            <w:hideMark/>
          </w:tcPr>
          <w:p w14:paraId="6574B9A7" w14:textId="77777777" w:rsidR="002969F2" w:rsidRPr="00B335F7" w:rsidRDefault="002969F2">
            <w:pPr>
              <w:pStyle w:val="Normal6"/>
              <w:rPr>
                <w:lang w:val="en-GB"/>
              </w:rPr>
            </w:pPr>
            <w:r w:rsidRPr="00B335F7">
              <w:rPr>
                <w:b/>
                <w:i/>
                <w:lang w:val="en-GB"/>
              </w:rPr>
              <w:t>3.</w:t>
            </w:r>
            <w:r w:rsidRPr="00B335F7">
              <w:rPr>
                <w:b/>
                <w:i/>
                <w:lang w:val="en-GB"/>
              </w:rPr>
              <w:tab/>
              <w:t>Where compliance is confirmed, the Agency´s opinion shall issue a statement to that effect.</w:t>
            </w:r>
          </w:p>
        </w:tc>
        <w:tc>
          <w:tcPr>
            <w:tcW w:w="4876" w:type="dxa"/>
          </w:tcPr>
          <w:p w14:paraId="4A032B89" w14:textId="77777777" w:rsidR="002969F2" w:rsidRPr="00B335F7" w:rsidRDefault="002969F2">
            <w:pPr>
              <w:pStyle w:val="Normal6"/>
              <w:rPr>
                <w:szCs w:val="24"/>
                <w:lang w:val="en-GB"/>
              </w:rPr>
            </w:pPr>
          </w:p>
        </w:tc>
      </w:tr>
      <w:tr w:rsidR="002969F2" w:rsidRPr="00B335F7" w14:paraId="087A6244" w14:textId="77777777" w:rsidTr="00B335F7">
        <w:trPr>
          <w:jc w:val="center"/>
        </w:trPr>
        <w:tc>
          <w:tcPr>
            <w:tcW w:w="4876" w:type="dxa"/>
            <w:hideMark/>
          </w:tcPr>
          <w:p w14:paraId="73FD05CC" w14:textId="66927E2F" w:rsidR="002969F2" w:rsidRPr="00B335F7" w:rsidRDefault="002969F2">
            <w:pPr>
              <w:pStyle w:val="Normal6"/>
              <w:rPr>
                <w:lang w:val="en-GB"/>
              </w:rPr>
            </w:pPr>
            <w:r w:rsidRPr="00B335F7">
              <w:rPr>
                <w:b/>
                <w:i/>
                <w:lang w:val="en-GB"/>
              </w:rPr>
              <w:t>4.</w:t>
            </w:r>
            <w:r w:rsidRPr="00B335F7">
              <w:rPr>
                <w:b/>
                <w:i/>
                <w:lang w:val="en-GB"/>
              </w:rPr>
              <w:tab/>
              <w:t>A copy of the statement referred to in paragraph 3 shall be included in the application for a certificate lodged under article 7 of Regulation (EC) No 469/2009.</w:t>
            </w:r>
          </w:p>
        </w:tc>
        <w:tc>
          <w:tcPr>
            <w:tcW w:w="4876" w:type="dxa"/>
          </w:tcPr>
          <w:p w14:paraId="4CD452D4" w14:textId="77777777" w:rsidR="002969F2" w:rsidRPr="00B335F7" w:rsidRDefault="002969F2">
            <w:pPr>
              <w:pStyle w:val="Normal6"/>
              <w:rPr>
                <w:szCs w:val="24"/>
                <w:lang w:val="en-GB"/>
              </w:rPr>
            </w:pPr>
          </w:p>
        </w:tc>
      </w:tr>
      <w:tr w:rsidR="002969F2" w:rsidRPr="00B335F7" w14:paraId="239E280B" w14:textId="77777777" w:rsidTr="00B335F7">
        <w:trPr>
          <w:jc w:val="center"/>
        </w:trPr>
        <w:tc>
          <w:tcPr>
            <w:tcW w:w="4876" w:type="dxa"/>
            <w:hideMark/>
          </w:tcPr>
          <w:p w14:paraId="1609FE06" w14:textId="77777777" w:rsidR="002969F2" w:rsidRPr="00B335F7" w:rsidRDefault="002969F2">
            <w:pPr>
              <w:pStyle w:val="Normal6"/>
              <w:rPr>
                <w:lang w:val="en-GB"/>
              </w:rPr>
            </w:pPr>
            <w:r w:rsidRPr="00B335F7">
              <w:rPr>
                <w:b/>
                <w:i/>
                <w:lang w:val="en-GB"/>
              </w:rPr>
              <w:t>__________________</w:t>
            </w:r>
          </w:p>
        </w:tc>
        <w:tc>
          <w:tcPr>
            <w:tcW w:w="4876" w:type="dxa"/>
          </w:tcPr>
          <w:p w14:paraId="1862DBFD" w14:textId="77777777" w:rsidR="002969F2" w:rsidRPr="00B335F7" w:rsidRDefault="002969F2">
            <w:pPr>
              <w:pStyle w:val="Normal6"/>
              <w:rPr>
                <w:szCs w:val="24"/>
                <w:lang w:val="en-GB"/>
              </w:rPr>
            </w:pPr>
          </w:p>
        </w:tc>
      </w:tr>
      <w:tr w:rsidR="002969F2" w:rsidRPr="00B335F7" w14:paraId="154045C7" w14:textId="77777777" w:rsidTr="00B335F7">
        <w:trPr>
          <w:jc w:val="center"/>
        </w:trPr>
        <w:tc>
          <w:tcPr>
            <w:tcW w:w="4876" w:type="dxa"/>
            <w:hideMark/>
          </w:tcPr>
          <w:p w14:paraId="0572EB24" w14:textId="4FBA7ED7" w:rsidR="002969F2" w:rsidRPr="00B335F7" w:rsidRDefault="002969F2">
            <w:pPr>
              <w:pStyle w:val="Normal6"/>
              <w:rPr>
                <w:lang w:val="en-GB"/>
              </w:rPr>
            </w:pPr>
            <w:r w:rsidRPr="00B335F7">
              <w:rPr>
                <w:b/>
                <w:i/>
                <w:vertAlign w:val="superscript"/>
                <w:lang w:val="en-GB"/>
              </w:rPr>
              <w:t>74</w:t>
            </w:r>
            <w:r w:rsidRPr="00B335F7">
              <w:rPr>
                <w:lang w:val="en-GB"/>
              </w:rPr>
              <w:t xml:space="preserve"> </w:t>
            </w:r>
            <w:r w:rsidRPr="00B335F7">
              <w:rPr>
                <w:b/>
                <w:i/>
                <w:lang w:val="en-GB"/>
              </w:rPr>
              <w:t>Regulation (EC) No 469/2009 of the European Parliament and of the Council of 6 May 2009 concerning the supplementary protection certificate for medicinal products, OJ L 152, 16.6.2009, pp. 1</w:t>
            </w:r>
            <w:r w:rsidR="005A5A5E" w:rsidRPr="00B335F7">
              <w:rPr>
                <w:b/>
                <w:i/>
                <w:lang w:val="en-GB"/>
              </w:rPr>
              <w:t>.’</w:t>
            </w:r>
          </w:p>
        </w:tc>
        <w:tc>
          <w:tcPr>
            <w:tcW w:w="4876" w:type="dxa"/>
          </w:tcPr>
          <w:p w14:paraId="24B37FF3" w14:textId="77777777" w:rsidR="002969F2" w:rsidRPr="00B335F7" w:rsidRDefault="002969F2">
            <w:pPr>
              <w:pStyle w:val="Normal6"/>
              <w:rPr>
                <w:szCs w:val="24"/>
                <w:lang w:val="en-GB"/>
              </w:rPr>
            </w:pPr>
          </w:p>
        </w:tc>
      </w:tr>
    </w:tbl>
    <w:p w14:paraId="5DC1951E"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6829815" w14:textId="77777777" w:rsidR="002969F2" w:rsidRPr="00B335F7" w:rsidRDefault="002969F2" w:rsidP="002969F2">
      <w:r w:rsidRPr="00B335F7">
        <w:rPr>
          <w:rStyle w:val="HideTWBExt"/>
          <w:rFonts w:eastAsiaTheme="majorEastAsia"/>
        </w:rPr>
        <w:t>&lt;/Amend&gt;</w:t>
      </w:r>
    </w:p>
    <w:p w14:paraId="3B1144F5" w14:textId="059B19D1" w:rsidR="002969F2" w:rsidRPr="00B335F7" w:rsidRDefault="002969F2" w:rsidP="002969F2">
      <w:pPr>
        <w:pStyle w:val="AMNumberTabs0"/>
        <w:keepNext/>
        <w:rPr>
          <w:lang w:val="en-GB"/>
        </w:rPr>
      </w:pPr>
      <w:r w:rsidRPr="00B335F7">
        <w:rPr>
          <w:rStyle w:val="HideTWBExt"/>
          <w:rFonts w:eastAsiaTheme="majorEastAsia"/>
          <w:b w:val="0"/>
          <w:lang w:val="en-GB"/>
        </w:rPr>
        <w:t>&lt;Amend&gt;</w:t>
      </w:r>
      <w:r w:rsidRPr="00B335F7">
        <w:rPr>
          <w:lang w:val="en-GB"/>
        </w:rPr>
        <w:t>Amendment</w:t>
      </w:r>
      <w:r w:rsidRPr="00B335F7">
        <w:rPr>
          <w:lang w:val="en-GB"/>
        </w:rPr>
        <w:tab/>
      </w:r>
      <w:r w:rsidRPr="00B335F7">
        <w:rPr>
          <w:lang w:val="en-GB"/>
        </w:rPr>
        <w:tab/>
      </w:r>
      <w:r w:rsidRPr="00B335F7">
        <w:rPr>
          <w:rStyle w:val="HideTWBExt"/>
          <w:rFonts w:eastAsiaTheme="majorEastAsia"/>
          <w:b w:val="0"/>
          <w:lang w:val="en-GB"/>
        </w:rPr>
        <w:t>&lt;NumAm&gt;</w:t>
      </w:r>
      <w:r w:rsidR="003B6177" w:rsidRPr="00B335F7">
        <w:rPr>
          <w:lang w:val="en-GB"/>
        </w:rPr>
        <w:t>41</w:t>
      </w:r>
      <w:r w:rsidRPr="00B335F7">
        <w:rPr>
          <w:rStyle w:val="HideTWBExt"/>
          <w:rFonts w:eastAsiaTheme="majorEastAsia"/>
          <w:b w:val="0"/>
          <w:lang w:val="en-GB"/>
        </w:rPr>
        <w:t>&lt;/NumAm&gt;</w:t>
      </w:r>
    </w:p>
    <w:p w14:paraId="208F30FD" w14:textId="77777777" w:rsidR="002969F2" w:rsidRPr="00B335F7" w:rsidRDefault="002969F2" w:rsidP="002969F2">
      <w:pPr>
        <w:pStyle w:val="NormalBold12b"/>
        <w:keepNext/>
      </w:pPr>
      <w:r w:rsidRPr="00B335F7">
        <w:rPr>
          <w:rStyle w:val="HideTWBExt"/>
          <w:rFonts w:eastAsiaTheme="majorEastAsia"/>
          <w:b w:val="0"/>
        </w:rPr>
        <w:t>&lt;DocAmend&gt;</w:t>
      </w:r>
      <w:r w:rsidRPr="00B335F7">
        <w:t>Proposal for a regulation</w:t>
      </w:r>
      <w:r w:rsidRPr="00B335F7">
        <w:rPr>
          <w:rStyle w:val="HideTWBExt"/>
          <w:rFonts w:eastAsiaTheme="majorEastAsia"/>
          <w:b w:val="0"/>
        </w:rPr>
        <w:t>&lt;/DocAmend&gt;</w:t>
      </w:r>
    </w:p>
    <w:p w14:paraId="3057266A" w14:textId="1CFFBB7A" w:rsidR="002969F2" w:rsidRPr="00B335F7" w:rsidRDefault="002969F2" w:rsidP="002969F2">
      <w:pPr>
        <w:pStyle w:val="NormalBold"/>
        <w:rPr>
          <w:rStyle w:val="HideTWBExt"/>
          <w:rFonts w:eastAsiaTheme="majorEastAsia"/>
          <w:b w:val="0"/>
        </w:rPr>
      </w:pPr>
      <w:r w:rsidRPr="00B335F7">
        <w:rPr>
          <w:rStyle w:val="HideTWBExt"/>
          <w:rFonts w:eastAsiaTheme="majorEastAsia"/>
          <w:b w:val="0"/>
        </w:rPr>
        <w:t>&lt;Article&gt;</w:t>
      </w:r>
      <w:r w:rsidRPr="00B335F7">
        <w:t xml:space="preserve">Article 61 </w:t>
      </w:r>
      <w:r w:rsidR="00E41873" w:rsidRPr="00B335F7">
        <w:t xml:space="preserve">a </w:t>
      </w:r>
      <w:r w:rsidRPr="00B335F7">
        <w:t>(new)</w:t>
      </w:r>
      <w:r w:rsidRPr="00B335F7">
        <w:rPr>
          <w:rStyle w:val="HideTWBExt"/>
          <w:rFonts w:eastAsiaTheme="majorEastAsia"/>
          <w:b w:val="0"/>
        </w:rPr>
        <w:t>&lt;/Article&gt;</w:t>
      </w:r>
    </w:p>
    <w:p w14:paraId="020B2AA6" w14:textId="2CA35EBD" w:rsidR="00E41873" w:rsidRPr="00B335F7" w:rsidRDefault="00E41873" w:rsidP="00E41873">
      <w:pPr>
        <w:keepNext/>
      </w:pPr>
      <w:r w:rsidRPr="00B335F7">
        <w:rPr>
          <w:rStyle w:val="HideTWBExt"/>
          <w:rFonts w:eastAsiaTheme="majorEastAsia"/>
        </w:rPr>
        <w:t>&lt;DocAmend2&gt;</w:t>
      </w:r>
      <w:r w:rsidRPr="00B335F7">
        <w:t>Regulation (EC) No 469/2009</w:t>
      </w:r>
      <w:r w:rsidRPr="00B335F7">
        <w:rPr>
          <w:rStyle w:val="HideTWBExt"/>
          <w:rFonts w:eastAsiaTheme="majorEastAsia"/>
        </w:rPr>
        <w:t>&lt;/DocAmend2&gt;</w:t>
      </w:r>
    </w:p>
    <w:p w14:paraId="72893EE4" w14:textId="1BA0597C" w:rsidR="00E41873" w:rsidRPr="00B335F7" w:rsidRDefault="00E41873" w:rsidP="00B335F7">
      <w:pPr>
        <w:rPr>
          <w:lang w:val="fr-BE"/>
        </w:rPr>
      </w:pPr>
      <w:r w:rsidRPr="00B335F7">
        <w:rPr>
          <w:rStyle w:val="HideTWBExt"/>
          <w:rFonts w:eastAsiaTheme="majorEastAsia"/>
          <w:lang w:val="fr-BE"/>
        </w:rPr>
        <w:t>&lt;Article2&gt;</w:t>
      </w:r>
      <w:r w:rsidRPr="00B335F7">
        <w:rPr>
          <w:lang w:val="fr-BE"/>
        </w:rPr>
        <w:t>Article 5</w:t>
      </w:r>
      <w:r w:rsidRPr="00B335F7">
        <w:rPr>
          <w:rStyle w:val="HideTWBExt"/>
          <w:rFonts w:eastAsiaTheme="majorEastAsia"/>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69F2" w:rsidRPr="00B335F7" w14:paraId="5ACB4E16" w14:textId="77777777" w:rsidTr="002B53F3">
        <w:trPr>
          <w:jc w:val="center"/>
        </w:trPr>
        <w:tc>
          <w:tcPr>
            <w:tcW w:w="9752" w:type="dxa"/>
            <w:gridSpan w:val="2"/>
          </w:tcPr>
          <w:p w14:paraId="1A697572" w14:textId="77777777" w:rsidR="002969F2" w:rsidRPr="00B335F7" w:rsidRDefault="002969F2">
            <w:pPr>
              <w:keepNext/>
              <w:rPr>
                <w:lang w:val="fr-BE"/>
              </w:rPr>
            </w:pPr>
          </w:p>
        </w:tc>
      </w:tr>
      <w:tr w:rsidR="002969F2" w:rsidRPr="00B335F7" w14:paraId="3D7D5869" w14:textId="77777777" w:rsidTr="002B53F3">
        <w:trPr>
          <w:jc w:val="center"/>
        </w:trPr>
        <w:tc>
          <w:tcPr>
            <w:tcW w:w="4876" w:type="dxa"/>
            <w:hideMark/>
          </w:tcPr>
          <w:p w14:paraId="447F7A42" w14:textId="77777777" w:rsidR="002969F2" w:rsidRPr="00B335F7" w:rsidRDefault="002969F2">
            <w:pPr>
              <w:pStyle w:val="ColumnHeading"/>
              <w:keepNext/>
              <w:rPr>
                <w:lang w:val="en-GB"/>
              </w:rPr>
            </w:pPr>
            <w:r w:rsidRPr="00B335F7">
              <w:rPr>
                <w:lang w:val="en-GB"/>
              </w:rPr>
              <w:t>Text proposed by the Commission</w:t>
            </w:r>
          </w:p>
        </w:tc>
        <w:tc>
          <w:tcPr>
            <w:tcW w:w="4876" w:type="dxa"/>
            <w:hideMark/>
          </w:tcPr>
          <w:p w14:paraId="69820EC4" w14:textId="77777777" w:rsidR="002969F2" w:rsidRPr="00B335F7" w:rsidRDefault="002969F2">
            <w:pPr>
              <w:pStyle w:val="ColumnHeading"/>
              <w:keepNext/>
              <w:rPr>
                <w:lang w:val="en-GB"/>
              </w:rPr>
            </w:pPr>
            <w:r w:rsidRPr="00B335F7">
              <w:rPr>
                <w:lang w:val="en-GB"/>
              </w:rPr>
              <w:t>Amendment</w:t>
            </w:r>
          </w:p>
        </w:tc>
      </w:tr>
      <w:tr w:rsidR="002969F2" w:rsidRPr="00B335F7" w14:paraId="35B48829" w14:textId="77777777" w:rsidTr="002B53F3">
        <w:trPr>
          <w:jc w:val="center"/>
        </w:trPr>
        <w:tc>
          <w:tcPr>
            <w:tcW w:w="4876" w:type="dxa"/>
          </w:tcPr>
          <w:p w14:paraId="0CB57A81" w14:textId="77777777" w:rsidR="002969F2" w:rsidRPr="00B335F7" w:rsidRDefault="002969F2">
            <w:pPr>
              <w:pStyle w:val="Normal6"/>
              <w:rPr>
                <w:lang w:val="en-GB"/>
              </w:rPr>
            </w:pPr>
          </w:p>
        </w:tc>
        <w:tc>
          <w:tcPr>
            <w:tcW w:w="4876" w:type="dxa"/>
            <w:hideMark/>
          </w:tcPr>
          <w:p w14:paraId="29296FD8" w14:textId="77777777" w:rsidR="002969F2" w:rsidRPr="00B335F7" w:rsidRDefault="002969F2">
            <w:pPr>
              <w:pStyle w:val="Normal6"/>
              <w:jc w:val="center"/>
              <w:rPr>
                <w:szCs w:val="24"/>
                <w:lang w:val="en-GB"/>
              </w:rPr>
            </w:pPr>
            <w:r w:rsidRPr="00B335F7">
              <w:rPr>
                <w:b/>
                <w:i/>
                <w:lang w:val="en-GB"/>
              </w:rPr>
              <w:t>Article 61a</w:t>
            </w:r>
          </w:p>
        </w:tc>
      </w:tr>
      <w:tr w:rsidR="002969F2" w:rsidRPr="00B335F7" w14:paraId="6B2183A0" w14:textId="77777777" w:rsidTr="002B53F3">
        <w:trPr>
          <w:jc w:val="center"/>
        </w:trPr>
        <w:tc>
          <w:tcPr>
            <w:tcW w:w="4876" w:type="dxa"/>
          </w:tcPr>
          <w:p w14:paraId="69D86CCD" w14:textId="77777777" w:rsidR="002969F2" w:rsidRPr="00B335F7" w:rsidRDefault="002969F2">
            <w:pPr>
              <w:pStyle w:val="Normal6"/>
              <w:rPr>
                <w:lang w:val="en-GB"/>
              </w:rPr>
            </w:pPr>
          </w:p>
        </w:tc>
        <w:tc>
          <w:tcPr>
            <w:tcW w:w="4876" w:type="dxa"/>
            <w:hideMark/>
          </w:tcPr>
          <w:p w14:paraId="2ED2E17F" w14:textId="1F7B52A1" w:rsidR="002969F2" w:rsidRPr="00B335F7" w:rsidRDefault="002969F2">
            <w:pPr>
              <w:pStyle w:val="Normal6"/>
              <w:jc w:val="center"/>
              <w:rPr>
                <w:szCs w:val="24"/>
                <w:lang w:val="en-GB"/>
              </w:rPr>
            </w:pPr>
            <w:r w:rsidRPr="00B335F7">
              <w:rPr>
                <w:b/>
                <w:i/>
                <w:lang w:val="en-GB"/>
              </w:rPr>
              <w:t>Amendment</w:t>
            </w:r>
            <w:r w:rsidR="00EF20F6" w:rsidRPr="00B335F7">
              <w:rPr>
                <w:b/>
                <w:i/>
                <w:lang w:val="en-GB"/>
              </w:rPr>
              <w:t>s</w:t>
            </w:r>
            <w:r w:rsidRPr="00B335F7">
              <w:rPr>
                <w:b/>
                <w:i/>
                <w:lang w:val="en-GB"/>
              </w:rPr>
              <w:t xml:space="preserve"> to Regulation (EC) No 469/2009</w:t>
            </w:r>
          </w:p>
        </w:tc>
      </w:tr>
      <w:tr w:rsidR="002969F2" w:rsidRPr="00B335F7" w14:paraId="3E4B2C6B" w14:textId="77777777" w:rsidTr="002B53F3">
        <w:trPr>
          <w:jc w:val="center"/>
        </w:trPr>
        <w:tc>
          <w:tcPr>
            <w:tcW w:w="4876" w:type="dxa"/>
          </w:tcPr>
          <w:p w14:paraId="7FC37DB1" w14:textId="77777777" w:rsidR="002969F2" w:rsidRPr="00B335F7" w:rsidRDefault="002969F2">
            <w:pPr>
              <w:pStyle w:val="Normal6"/>
              <w:rPr>
                <w:lang w:val="en-GB"/>
              </w:rPr>
            </w:pPr>
          </w:p>
        </w:tc>
        <w:tc>
          <w:tcPr>
            <w:tcW w:w="4876" w:type="dxa"/>
            <w:hideMark/>
          </w:tcPr>
          <w:p w14:paraId="09B9F726" w14:textId="77777777" w:rsidR="002969F2" w:rsidRPr="00B335F7" w:rsidRDefault="002969F2">
            <w:pPr>
              <w:pStyle w:val="Normal6"/>
              <w:rPr>
                <w:szCs w:val="24"/>
                <w:lang w:val="en-GB"/>
              </w:rPr>
            </w:pPr>
            <w:r w:rsidRPr="00B335F7">
              <w:rPr>
                <w:b/>
                <w:i/>
                <w:lang w:val="en-GB"/>
              </w:rPr>
              <w:t>Regulation (EC) No 469/2009 is amended as follows:</w:t>
            </w:r>
          </w:p>
        </w:tc>
      </w:tr>
      <w:tr w:rsidR="002969F2" w:rsidRPr="00B335F7" w14:paraId="507FDDDB" w14:textId="77777777" w:rsidTr="002B53F3">
        <w:trPr>
          <w:jc w:val="center"/>
        </w:trPr>
        <w:tc>
          <w:tcPr>
            <w:tcW w:w="4876" w:type="dxa"/>
          </w:tcPr>
          <w:p w14:paraId="64F3E6E0" w14:textId="77777777" w:rsidR="002969F2" w:rsidRPr="00B335F7" w:rsidRDefault="002969F2">
            <w:pPr>
              <w:pStyle w:val="Normal6"/>
              <w:rPr>
                <w:lang w:val="en-GB"/>
              </w:rPr>
            </w:pPr>
          </w:p>
        </w:tc>
        <w:tc>
          <w:tcPr>
            <w:tcW w:w="4876" w:type="dxa"/>
            <w:hideMark/>
          </w:tcPr>
          <w:p w14:paraId="7BED0FB0" w14:textId="30CDC7B7" w:rsidR="002969F2" w:rsidRPr="00B335F7" w:rsidRDefault="002969F2">
            <w:pPr>
              <w:pStyle w:val="Normal6"/>
              <w:rPr>
                <w:szCs w:val="24"/>
                <w:lang w:val="en-GB"/>
              </w:rPr>
            </w:pPr>
            <w:r w:rsidRPr="00B335F7">
              <w:rPr>
                <w:b/>
                <w:i/>
                <w:lang w:val="en-GB"/>
              </w:rPr>
              <w:t>1)</w:t>
            </w:r>
            <w:r w:rsidR="00A11E09">
              <w:rPr>
                <w:b/>
                <w:i/>
                <w:lang w:val="en-GB"/>
              </w:rPr>
              <w:tab/>
            </w:r>
            <w:r w:rsidRPr="00B335F7">
              <w:rPr>
                <w:b/>
                <w:i/>
                <w:lang w:val="en-GB"/>
              </w:rPr>
              <w:t>Article 5 is amended as follows:</w:t>
            </w:r>
          </w:p>
        </w:tc>
      </w:tr>
      <w:tr w:rsidR="002969F2" w:rsidRPr="00B335F7" w14:paraId="307A1C15" w14:textId="77777777" w:rsidTr="002B53F3">
        <w:trPr>
          <w:jc w:val="center"/>
        </w:trPr>
        <w:tc>
          <w:tcPr>
            <w:tcW w:w="4876" w:type="dxa"/>
          </w:tcPr>
          <w:p w14:paraId="546EEB68" w14:textId="77777777" w:rsidR="002969F2" w:rsidRPr="00B335F7" w:rsidRDefault="002969F2">
            <w:pPr>
              <w:pStyle w:val="Normal6"/>
              <w:rPr>
                <w:lang w:val="en-GB"/>
              </w:rPr>
            </w:pPr>
          </w:p>
        </w:tc>
        <w:tc>
          <w:tcPr>
            <w:tcW w:w="4876" w:type="dxa"/>
            <w:hideMark/>
          </w:tcPr>
          <w:p w14:paraId="3E49CE3F" w14:textId="787473A4" w:rsidR="002969F2" w:rsidRPr="00B335F7" w:rsidRDefault="002969F2">
            <w:pPr>
              <w:pStyle w:val="Normal6"/>
              <w:rPr>
                <w:szCs w:val="24"/>
                <w:lang w:val="en-GB"/>
              </w:rPr>
            </w:pPr>
            <w:r w:rsidRPr="00B335F7">
              <w:rPr>
                <w:b/>
                <w:i/>
                <w:lang w:val="en-GB"/>
              </w:rPr>
              <w:t>(a)</w:t>
            </w:r>
            <w:r w:rsidR="00A11E09">
              <w:rPr>
                <w:b/>
                <w:i/>
                <w:lang w:val="en-GB"/>
              </w:rPr>
              <w:tab/>
              <w:t>P</w:t>
            </w:r>
            <w:r w:rsidRPr="00B335F7">
              <w:rPr>
                <w:b/>
                <w:i/>
                <w:lang w:val="en-GB"/>
              </w:rPr>
              <w:t>aragraph (2) is replaced by the following:</w:t>
            </w:r>
          </w:p>
        </w:tc>
      </w:tr>
      <w:tr w:rsidR="002969F2" w:rsidRPr="00B335F7" w14:paraId="16F3C2AA" w14:textId="77777777" w:rsidTr="002B53F3">
        <w:trPr>
          <w:jc w:val="center"/>
        </w:trPr>
        <w:tc>
          <w:tcPr>
            <w:tcW w:w="4876" w:type="dxa"/>
          </w:tcPr>
          <w:p w14:paraId="57941942" w14:textId="410C77BD" w:rsidR="002969F2" w:rsidRPr="00B335F7" w:rsidRDefault="00E41873" w:rsidP="00E41873">
            <w:pPr>
              <w:pStyle w:val="Normal6"/>
              <w:rPr>
                <w:lang w:val="en-GB"/>
              </w:rPr>
            </w:pPr>
            <w:r w:rsidRPr="00B335F7">
              <w:rPr>
                <w:lang w:val="en-GB"/>
              </w:rPr>
              <w:t>2.</w:t>
            </w:r>
            <w:r w:rsidR="00901437" w:rsidRPr="00B335F7">
              <w:rPr>
                <w:lang w:val="en-GB"/>
              </w:rPr>
              <w:tab/>
            </w:r>
            <w:r w:rsidRPr="00B335F7">
              <w:rPr>
                <w:lang w:val="en-GB"/>
              </w:rPr>
              <w:t>By way of derogation from paragraph 1, the certificate referred to in paragraph 1 shall not confer protection against certain acts which would otherwise require the consent of the holder of the certificate (‘the certificate holder’), if the following conditions are met:</w:t>
            </w:r>
          </w:p>
        </w:tc>
        <w:tc>
          <w:tcPr>
            <w:tcW w:w="4876" w:type="dxa"/>
            <w:hideMark/>
          </w:tcPr>
          <w:p w14:paraId="6799EBB1" w14:textId="251FEA70" w:rsidR="002969F2" w:rsidRPr="00B335F7" w:rsidRDefault="002969F2">
            <w:pPr>
              <w:pStyle w:val="Normal6"/>
              <w:rPr>
                <w:szCs w:val="24"/>
                <w:lang w:val="en-GB"/>
              </w:rPr>
            </w:pPr>
            <w:r w:rsidRPr="00B335F7">
              <w:rPr>
                <w:b/>
                <w:i/>
                <w:lang w:val="en-GB"/>
              </w:rPr>
              <w:t>‘</w:t>
            </w:r>
            <w:r w:rsidRPr="00B335F7">
              <w:rPr>
                <w:bCs/>
                <w:iCs/>
                <w:lang w:val="en-GB"/>
              </w:rPr>
              <w:t>2.</w:t>
            </w:r>
            <w:r w:rsidR="00901437" w:rsidRPr="00B335F7">
              <w:rPr>
                <w:bCs/>
                <w:iCs/>
                <w:lang w:val="en-GB"/>
              </w:rPr>
              <w:tab/>
            </w:r>
            <w:r w:rsidRPr="00B335F7">
              <w:rPr>
                <w:bCs/>
                <w:iCs/>
                <w:lang w:val="en-GB"/>
              </w:rPr>
              <w:t>By way of derogation from paragraph 1, the certificate referred to in paragraph 1 shall not confer protection against certain acts which would otherwise require the consent of the holder of the certificate (‘the certificate holder’), if the following conditions are met:</w:t>
            </w:r>
          </w:p>
        </w:tc>
      </w:tr>
      <w:tr w:rsidR="002969F2" w:rsidRPr="00B335F7" w14:paraId="0BF2D0D6" w14:textId="77777777" w:rsidTr="002B53F3">
        <w:trPr>
          <w:jc w:val="center"/>
        </w:trPr>
        <w:tc>
          <w:tcPr>
            <w:tcW w:w="4876" w:type="dxa"/>
          </w:tcPr>
          <w:p w14:paraId="207FB3AD" w14:textId="0CA4B1CD" w:rsidR="002969F2" w:rsidRPr="00B335F7" w:rsidRDefault="00901437" w:rsidP="00901437">
            <w:pPr>
              <w:pStyle w:val="Normal6"/>
              <w:rPr>
                <w:lang w:val="en-GB"/>
              </w:rPr>
            </w:pPr>
            <w:r w:rsidRPr="00B335F7">
              <w:rPr>
                <w:lang w:val="en-GB"/>
              </w:rPr>
              <w:t>(a)</w:t>
            </w:r>
            <w:r w:rsidRPr="00B335F7">
              <w:rPr>
                <w:lang w:val="en-GB"/>
              </w:rPr>
              <w:tab/>
              <w:t>the acts comprise:</w:t>
            </w:r>
          </w:p>
        </w:tc>
        <w:tc>
          <w:tcPr>
            <w:tcW w:w="4876" w:type="dxa"/>
            <w:hideMark/>
          </w:tcPr>
          <w:p w14:paraId="5E1CA500" w14:textId="54719EFB" w:rsidR="002969F2" w:rsidRPr="00B335F7" w:rsidRDefault="002969F2">
            <w:pPr>
              <w:pStyle w:val="Normal6"/>
              <w:rPr>
                <w:bCs/>
                <w:iCs/>
                <w:szCs w:val="24"/>
                <w:lang w:val="en-GB"/>
              </w:rPr>
            </w:pPr>
            <w:r w:rsidRPr="00B335F7">
              <w:rPr>
                <w:bCs/>
                <w:iCs/>
              </w:rPr>
              <w:t>(a)</w:t>
            </w:r>
            <w:r w:rsidR="00901437" w:rsidRPr="00B335F7">
              <w:rPr>
                <w:bCs/>
                <w:iCs/>
              </w:rPr>
              <w:tab/>
            </w:r>
            <w:r w:rsidRPr="00B335F7">
              <w:rPr>
                <w:bCs/>
                <w:iCs/>
              </w:rPr>
              <w:t>the acts comprise:</w:t>
            </w:r>
          </w:p>
        </w:tc>
      </w:tr>
      <w:tr w:rsidR="002969F2" w:rsidRPr="00B335F7" w14:paraId="0B713A19" w14:textId="77777777" w:rsidTr="002B53F3">
        <w:trPr>
          <w:jc w:val="center"/>
        </w:trPr>
        <w:tc>
          <w:tcPr>
            <w:tcW w:w="4876" w:type="dxa"/>
          </w:tcPr>
          <w:p w14:paraId="7D42616E" w14:textId="4046D55F" w:rsidR="002969F2" w:rsidRPr="00B335F7" w:rsidRDefault="00901437" w:rsidP="00901437">
            <w:pPr>
              <w:pStyle w:val="Normal6"/>
              <w:rPr>
                <w:lang w:val="en-GB"/>
              </w:rPr>
            </w:pPr>
            <w:r w:rsidRPr="00B335F7">
              <w:rPr>
                <w:lang w:val="en-GB"/>
              </w:rPr>
              <w:lastRenderedPageBreak/>
              <w:t>(i)</w:t>
            </w:r>
            <w:r w:rsidRPr="00B335F7">
              <w:rPr>
                <w:lang w:val="en-GB"/>
              </w:rPr>
              <w:tab/>
              <w:t>the making of a product, or a medicinal product containing that product, for the purpose of export to third countries; or</w:t>
            </w:r>
          </w:p>
        </w:tc>
        <w:tc>
          <w:tcPr>
            <w:tcW w:w="4876" w:type="dxa"/>
            <w:hideMark/>
          </w:tcPr>
          <w:p w14:paraId="76A0A1EF" w14:textId="25ECEA49" w:rsidR="002969F2" w:rsidRPr="00B335F7" w:rsidRDefault="002969F2">
            <w:pPr>
              <w:pStyle w:val="Normal6"/>
              <w:rPr>
                <w:bCs/>
                <w:iCs/>
                <w:szCs w:val="24"/>
                <w:lang w:val="en-GB"/>
              </w:rPr>
            </w:pPr>
            <w:r w:rsidRPr="00B335F7">
              <w:rPr>
                <w:bCs/>
                <w:iCs/>
                <w:lang w:val="en-GB"/>
              </w:rPr>
              <w:t>(i)</w:t>
            </w:r>
            <w:r w:rsidR="00901437" w:rsidRPr="00B335F7">
              <w:rPr>
                <w:bCs/>
                <w:iCs/>
                <w:lang w:val="en-GB"/>
              </w:rPr>
              <w:tab/>
            </w:r>
            <w:r w:rsidRPr="00B335F7">
              <w:rPr>
                <w:bCs/>
                <w:iCs/>
                <w:lang w:val="en-GB"/>
              </w:rPr>
              <w:t>the making of a product, or a medicinal product containing that product, for the purpose of export to third countries; or</w:t>
            </w:r>
          </w:p>
        </w:tc>
      </w:tr>
      <w:tr w:rsidR="002969F2" w:rsidRPr="00B335F7" w14:paraId="39194DB1" w14:textId="77777777" w:rsidTr="002B53F3">
        <w:trPr>
          <w:jc w:val="center"/>
        </w:trPr>
        <w:tc>
          <w:tcPr>
            <w:tcW w:w="4876" w:type="dxa"/>
          </w:tcPr>
          <w:p w14:paraId="11CE96B2" w14:textId="68E0AD2B" w:rsidR="002969F2" w:rsidRPr="00B335F7" w:rsidRDefault="00901437">
            <w:pPr>
              <w:pStyle w:val="Normal6"/>
              <w:rPr>
                <w:lang w:val="en-GB"/>
              </w:rPr>
            </w:pPr>
            <w:r w:rsidRPr="00B335F7">
              <w:rPr>
                <w:lang w:val="en-GB"/>
              </w:rPr>
              <w:t>(ii)</w:t>
            </w:r>
            <w:r w:rsidRPr="00B335F7">
              <w:rPr>
                <w:lang w:val="en-GB"/>
              </w:rPr>
              <w:tab/>
              <w:t xml:space="preserve">any related act that is </w:t>
            </w:r>
            <w:r w:rsidRPr="00B335F7">
              <w:rPr>
                <w:b/>
                <w:bCs/>
                <w:i/>
                <w:iCs/>
                <w:lang w:val="en-GB"/>
              </w:rPr>
              <w:t>strictly</w:t>
            </w:r>
            <w:r w:rsidRPr="00B335F7">
              <w:rPr>
                <w:lang w:val="en-GB"/>
              </w:rPr>
              <w:t xml:space="preserve"> necessary for the making, in the Union, referred to in point (i), or for the actual export; or</w:t>
            </w:r>
          </w:p>
        </w:tc>
        <w:tc>
          <w:tcPr>
            <w:tcW w:w="4876" w:type="dxa"/>
            <w:hideMark/>
          </w:tcPr>
          <w:p w14:paraId="3D77D453" w14:textId="0CE4C9F7" w:rsidR="002969F2" w:rsidRPr="00B335F7" w:rsidRDefault="002969F2">
            <w:pPr>
              <w:pStyle w:val="Normal6"/>
              <w:rPr>
                <w:bCs/>
                <w:iCs/>
                <w:szCs w:val="24"/>
                <w:lang w:val="en-GB"/>
              </w:rPr>
            </w:pPr>
            <w:r w:rsidRPr="00B335F7">
              <w:rPr>
                <w:bCs/>
                <w:iCs/>
                <w:lang w:val="en-GB"/>
              </w:rPr>
              <w:t>(ii)</w:t>
            </w:r>
            <w:r w:rsidR="00901437" w:rsidRPr="00B335F7">
              <w:rPr>
                <w:bCs/>
                <w:iCs/>
                <w:lang w:val="en-GB"/>
              </w:rPr>
              <w:tab/>
            </w:r>
            <w:r w:rsidRPr="00B335F7">
              <w:rPr>
                <w:bCs/>
                <w:iCs/>
                <w:lang w:val="en-GB"/>
              </w:rPr>
              <w:t>any related act that is necessary for the making, in the Union, referred to in point (i), or for the actual export; or</w:t>
            </w:r>
          </w:p>
        </w:tc>
      </w:tr>
      <w:tr w:rsidR="002969F2" w:rsidRPr="00B335F7" w14:paraId="5BC2F0C0" w14:textId="77777777" w:rsidTr="002B53F3">
        <w:trPr>
          <w:jc w:val="center"/>
        </w:trPr>
        <w:tc>
          <w:tcPr>
            <w:tcW w:w="4876" w:type="dxa"/>
          </w:tcPr>
          <w:p w14:paraId="1AC65B77" w14:textId="44F46831" w:rsidR="002969F2" w:rsidRPr="00B335F7" w:rsidRDefault="00901437" w:rsidP="00901437">
            <w:pPr>
              <w:pStyle w:val="Normal6"/>
              <w:rPr>
                <w:lang w:val="en-GB"/>
              </w:rPr>
            </w:pPr>
            <w:r w:rsidRPr="00B335F7">
              <w:rPr>
                <w:lang w:val="en-GB"/>
              </w:rPr>
              <w:t>(iii)</w:t>
            </w:r>
            <w:r w:rsidRPr="00B335F7">
              <w:rPr>
                <w:lang w:val="en-GB"/>
              </w:rPr>
              <w:tab/>
              <w:t>the making</w:t>
            </w:r>
            <w:r w:rsidRPr="00B335F7">
              <w:rPr>
                <w:b/>
                <w:bCs/>
                <w:i/>
                <w:iCs/>
                <w:lang w:val="en-GB"/>
              </w:rPr>
              <w:t>, no earlier than six months before the expiry of the certificate,</w:t>
            </w:r>
            <w:r w:rsidRPr="00B335F7">
              <w:rPr>
                <w:lang w:val="en-GB"/>
              </w:rPr>
              <w:t xml:space="preserve"> of a product, or a medicinal product containing that product, for the purpose of storing it in the Member State of making, in order to place that product, or a medicinal product containing that product, on the market of Member States after the expiry of the corresponding certificate; or</w:t>
            </w:r>
          </w:p>
        </w:tc>
        <w:tc>
          <w:tcPr>
            <w:tcW w:w="4876" w:type="dxa"/>
            <w:hideMark/>
          </w:tcPr>
          <w:p w14:paraId="46AFA7BE" w14:textId="4024BB3C" w:rsidR="002969F2" w:rsidRPr="00B335F7" w:rsidRDefault="002969F2">
            <w:pPr>
              <w:pStyle w:val="Normal6"/>
              <w:rPr>
                <w:szCs w:val="24"/>
                <w:lang w:val="en-GB"/>
              </w:rPr>
            </w:pPr>
            <w:r w:rsidRPr="00B335F7">
              <w:rPr>
                <w:bCs/>
                <w:iCs/>
                <w:lang w:val="en-GB"/>
              </w:rPr>
              <w:t>(iii)</w:t>
            </w:r>
            <w:r w:rsidR="00901437" w:rsidRPr="00B335F7">
              <w:rPr>
                <w:bCs/>
                <w:iCs/>
                <w:lang w:val="en-GB"/>
              </w:rPr>
              <w:tab/>
            </w:r>
            <w:r w:rsidRPr="00B335F7">
              <w:rPr>
                <w:bCs/>
                <w:iCs/>
                <w:lang w:val="en-GB"/>
              </w:rPr>
              <w:t>the making</w:t>
            </w:r>
            <w:r w:rsidRPr="00B335F7">
              <w:rPr>
                <w:b/>
                <w:i/>
                <w:lang w:val="en-GB"/>
              </w:rPr>
              <w:t xml:space="preserve"> </w:t>
            </w:r>
            <w:r w:rsidRPr="00B335F7">
              <w:rPr>
                <w:bCs/>
                <w:iCs/>
                <w:lang w:val="en-GB"/>
              </w:rPr>
              <w:t xml:space="preserve">of a product, or a medicinal product containing that product, for the purpose of storing it in the Member State of making, in order to place that product, or a medicinal product containing that product, on the market of Member States after the expiry of the corresponding certificate; </w:t>
            </w:r>
            <w:r w:rsidRPr="00B335F7">
              <w:rPr>
                <w:b/>
                <w:i/>
                <w:lang w:val="en-GB"/>
              </w:rPr>
              <w:t>or</w:t>
            </w:r>
          </w:p>
        </w:tc>
      </w:tr>
      <w:tr w:rsidR="002969F2" w:rsidRPr="00B335F7" w14:paraId="4F4D056F" w14:textId="77777777" w:rsidTr="002B53F3">
        <w:trPr>
          <w:jc w:val="center"/>
        </w:trPr>
        <w:tc>
          <w:tcPr>
            <w:tcW w:w="4876" w:type="dxa"/>
          </w:tcPr>
          <w:p w14:paraId="609ACF96" w14:textId="10DF8EB3" w:rsidR="002969F2" w:rsidRPr="00B335F7" w:rsidRDefault="00E41873" w:rsidP="00E41873">
            <w:pPr>
              <w:pStyle w:val="Normal6"/>
              <w:rPr>
                <w:lang w:val="en-GB"/>
              </w:rPr>
            </w:pPr>
            <w:r w:rsidRPr="00B335F7">
              <w:rPr>
                <w:lang w:val="en-GB"/>
              </w:rPr>
              <w:t>(iv)</w:t>
            </w:r>
            <w:r w:rsidRPr="00B335F7">
              <w:rPr>
                <w:lang w:val="en-GB"/>
              </w:rPr>
              <w:tab/>
              <w:t xml:space="preserve">any related act that is </w:t>
            </w:r>
            <w:r w:rsidRPr="00B335F7">
              <w:rPr>
                <w:b/>
                <w:bCs/>
                <w:i/>
                <w:iCs/>
                <w:lang w:val="en-GB"/>
              </w:rPr>
              <w:t>strictly</w:t>
            </w:r>
            <w:r w:rsidRPr="00B335F7">
              <w:rPr>
                <w:lang w:val="en-GB"/>
              </w:rPr>
              <w:t xml:space="preserve"> necessary for the making, in the Union, referred to in point (iii), </w:t>
            </w:r>
            <w:r w:rsidRPr="00B335F7">
              <w:rPr>
                <w:b/>
                <w:bCs/>
                <w:i/>
                <w:iCs/>
                <w:lang w:val="en-GB"/>
              </w:rPr>
              <w:t>or</w:t>
            </w:r>
            <w:r w:rsidRPr="00B335F7">
              <w:rPr>
                <w:lang w:val="en-GB"/>
              </w:rPr>
              <w:t xml:space="preserve"> for the actual storing, </w:t>
            </w:r>
            <w:r w:rsidRPr="00B335F7">
              <w:rPr>
                <w:b/>
                <w:bCs/>
                <w:i/>
                <w:iCs/>
                <w:lang w:val="en-GB"/>
              </w:rPr>
              <w:t>provided that such related act is carried out no earlier than six months before</w:t>
            </w:r>
            <w:r w:rsidRPr="00B335F7">
              <w:rPr>
                <w:lang w:val="en-GB"/>
              </w:rPr>
              <w:t xml:space="preserve"> the expiry of the certificate.</w:t>
            </w:r>
          </w:p>
        </w:tc>
        <w:tc>
          <w:tcPr>
            <w:tcW w:w="4876" w:type="dxa"/>
            <w:hideMark/>
          </w:tcPr>
          <w:p w14:paraId="2E1AA587" w14:textId="5C2FB09B" w:rsidR="002969F2" w:rsidRPr="00B335F7" w:rsidRDefault="002969F2">
            <w:pPr>
              <w:pStyle w:val="Normal6"/>
              <w:rPr>
                <w:szCs w:val="24"/>
                <w:lang w:val="en-GB"/>
              </w:rPr>
            </w:pPr>
            <w:r w:rsidRPr="00B335F7">
              <w:rPr>
                <w:bCs/>
                <w:iCs/>
                <w:lang w:val="en-GB"/>
              </w:rPr>
              <w:t>(iv)</w:t>
            </w:r>
            <w:r w:rsidR="00901437" w:rsidRPr="00B335F7">
              <w:rPr>
                <w:bCs/>
                <w:iCs/>
                <w:lang w:val="en-GB"/>
              </w:rPr>
              <w:tab/>
            </w:r>
            <w:r w:rsidRPr="00B335F7">
              <w:rPr>
                <w:bCs/>
                <w:iCs/>
                <w:lang w:val="en-GB"/>
              </w:rPr>
              <w:t>any related act that is necessary for the making, in the Union, referred to in point (iii),</w:t>
            </w:r>
            <w:r w:rsidRPr="00B335F7">
              <w:rPr>
                <w:b/>
                <w:i/>
                <w:lang w:val="en-GB"/>
              </w:rPr>
              <w:t xml:space="preserve"> </w:t>
            </w:r>
            <w:r w:rsidRPr="00B335F7">
              <w:rPr>
                <w:bCs/>
                <w:iCs/>
                <w:lang w:val="en-GB"/>
              </w:rPr>
              <w:t>for the actual storing</w:t>
            </w:r>
            <w:r w:rsidRPr="00B335F7">
              <w:rPr>
                <w:b/>
                <w:i/>
                <w:lang w:val="en-GB"/>
              </w:rPr>
              <w:t xml:space="preserve">, supplying or placing on the Union market after </w:t>
            </w:r>
            <w:r w:rsidRPr="00B335F7">
              <w:rPr>
                <w:bCs/>
                <w:iCs/>
                <w:lang w:val="en-GB"/>
              </w:rPr>
              <w:t>the expiry of the</w:t>
            </w:r>
            <w:r w:rsidRPr="00B335F7">
              <w:rPr>
                <w:b/>
                <w:i/>
                <w:lang w:val="en-GB"/>
              </w:rPr>
              <w:t xml:space="preserve"> corresponding </w:t>
            </w:r>
            <w:r w:rsidRPr="00B335F7">
              <w:rPr>
                <w:bCs/>
                <w:iCs/>
                <w:lang w:val="en-GB"/>
              </w:rPr>
              <w:t>certificate</w:t>
            </w:r>
            <w:r w:rsidRPr="00B335F7">
              <w:rPr>
                <w:b/>
                <w:i/>
                <w:lang w:val="en-GB"/>
              </w:rPr>
              <w:t xml:space="preserve"> or expiry of the basic patent, where no SPC exists.</w:t>
            </w:r>
          </w:p>
        </w:tc>
      </w:tr>
      <w:tr w:rsidR="002969F2" w:rsidRPr="00B335F7" w14:paraId="69382724" w14:textId="77777777" w:rsidTr="002B53F3">
        <w:trPr>
          <w:jc w:val="center"/>
        </w:trPr>
        <w:tc>
          <w:tcPr>
            <w:tcW w:w="4876" w:type="dxa"/>
          </w:tcPr>
          <w:p w14:paraId="6EFAC34B" w14:textId="49091CCD" w:rsidR="002969F2" w:rsidRPr="00B335F7" w:rsidRDefault="00E41873">
            <w:pPr>
              <w:pStyle w:val="Normal6"/>
              <w:rPr>
                <w:b/>
                <w:bCs/>
                <w:i/>
                <w:iCs/>
                <w:lang w:val="en-GB"/>
              </w:rPr>
            </w:pPr>
            <w:r w:rsidRPr="00B335F7">
              <w:rPr>
                <w:b/>
                <w:bCs/>
                <w:i/>
                <w:iCs/>
                <w:lang w:val="en-GB"/>
              </w:rPr>
              <w:t>(b)</w:t>
            </w:r>
            <w:r w:rsidR="00901437" w:rsidRPr="00B335F7">
              <w:rPr>
                <w:b/>
                <w:bCs/>
                <w:i/>
                <w:iCs/>
                <w:lang w:val="en-GB"/>
              </w:rPr>
              <w:tab/>
            </w:r>
            <w:r w:rsidRPr="00B335F7">
              <w:rPr>
                <w:b/>
                <w:bCs/>
                <w:i/>
                <w:iCs/>
                <w:lang w:val="en-GB"/>
              </w:rPr>
              <w:t>the maker, through appropriate and documented means, notifies the authority referred to in Article 9(1) in the Member State in which that making is to take place, and informs the certificate holder, of the information listed in paragraph 5 of this Article no later than three months before the start date of the making in that Member State, or no later than three months before the first related act, prior to that making, that would otherwise be prohibited by the protection conferred by a certificate, whichever is the earlier;</w:t>
            </w:r>
          </w:p>
        </w:tc>
        <w:tc>
          <w:tcPr>
            <w:tcW w:w="4876" w:type="dxa"/>
            <w:hideMark/>
          </w:tcPr>
          <w:p w14:paraId="4DE870B1" w14:textId="3ABD3E00" w:rsidR="002969F2" w:rsidRPr="00B335F7" w:rsidRDefault="002969F2">
            <w:pPr>
              <w:pStyle w:val="Normal6"/>
              <w:rPr>
                <w:szCs w:val="24"/>
                <w:lang w:val="en-GB"/>
              </w:rPr>
            </w:pPr>
          </w:p>
        </w:tc>
      </w:tr>
      <w:tr w:rsidR="00E41873" w:rsidRPr="00B335F7" w14:paraId="0DC71767" w14:textId="77777777" w:rsidTr="002B53F3">
        <w:trPr>
          <w:jc w:val="center"/>
        </w:trPr>
        <w:tc>
          <w:tcPr>
            <w:tcW w:w="4876" w:type="dxa"/>
          </w:tcPr>
          <w:p w14:paraId="3A00C2D9" w14:textId="46930E4E" w:rsidR="00E41873" w:rsidRPr="00B335F7" w:rsidRDefault="00E41873" w:rsidP="00E41873">
            <w:pPr>
              <w:pStyle w:val="Normal6"/>
              <w:rPr>
                <w:b/>
                <w:bCs/>
                <w:i/>
                <w:iCs/>
                <w:lang w:val="en-GB"/>
              </w:rPr>
            </w:pPr>
            <w:r w:rsidRPr="00B335F7">
              <w:rPr>
                <w:b/>
                <w:bCs/>
                <w:i/>
                <w:iCs/>
                <w:lang w:val="en-GB"/>
              </w:rPr>
              <w:t>(c)</w:t>
            </w:r>
            <w:r w:rsidRPr="00B335F7">
              <w:rPr>
                <w:b/>
                <w:bCs/>
                <w:i/>
                <w:iCs/>
                <w:lang w:val="en-GB"/>
              </w:rPr>
              <w:tab/>
              <w:t>if the information listed in paragraph 5 of this Article changes, the maker notifies the authority referred to in Article 9(1) and informs the certificate holder, before those changes take effect;</w:t>
            </w:r>
          </w:p>
        </w:tc>
        <w:tc>
          <w:tcPr>
            <w:tcW w:w="4876" w:type="dxa"/>
          </w:tcPr>
          <w:p w14:paraId="4A3FD47A" w14:textId="6C1FFE49" w:rsidR="00E41873" w:rsidRPr="00B335F7" w:rsidRDefault="00E41873">
            <w:pPr>
              <w:pStyle w:val="Normal6"/>
              <w:rPr>
                <w:b/>
                <w:i/>
                <w:lang w:val="en-GB"/>
              </w:rPr>
            </w:pPr>
          </w:p>
        </w:tc>
      </w:tr>
      <w:tr w:rsidR="00E41873" w:rsidRPr="00B335F7" w14:paraId="6B0BC8E1" w14:textId="77777777" w:rsidTr="002B53F3">
        <w:trPr>
          <w:jc w:val="center"/>
        </w:trPr>
        <w:tc>
          <w:tcPr>
            <w:tcW w:w="4876" w:type="dxa"/>
          </w:tcPr>
          <w:p w14:paraId="6D9461A1" w14:textId="5CA6F102" w:rsidR="00E41873" w:rsidRPr="00B335F7" w:rsidRDefault="00E41873">
            <w:pPr>
              <w:pStyle w:val="Normal6"/>
              <w:rPr>
                <w:lang w:val="en-GB"/>
              </w:rPr>
            </w:pPr>
            <w:r w:rsidRPr="00B335F7">
              <w:rPr>
                <w:lang w:val="en-GB"/>
              </w:rPr>
              <w:t>(</w:t>
            </w:r>
            <w:r w:rsidRPr="00B335F7">
              <w:rPr>
                <w:b/>
                <w:bCs/>
                <w:i/>
                <w:iCs/>
                <w:lang w:val="en-GB"/>
              </w:rPr>
              <w:t>d</w:t>
            </w:r>
            <w:r w:rsidRPr="00B335F7">
              <w:rPr>
                <w:lang w:val="en-GB"/>
              </w:rPr>
              <w:t>)</w:t>
            </w:r>
            <w:r w:rsidRPr="00B335F7">
              <w:rPr>
                <w:lang w:val="en-GB"/>
              </w:rPr>
              <w:tab/>
              <w:t xml:space="preserve">in the case of products, or medicinal products containing those products, made for the purpose of export to </w:t>
            </w:r>
            <w:r w:rsidRPr="00B335F7">
              <w:rPr>
                <w:lang w:val="en-GB"/>
              </w:rPr>
              <w:lastRenderedPageBreak/>
              <w:t>third countries, the maker ensures that a logo, in the form set out in Annex -I, is affixed to the outer packaging of the product, or the medicinal product containing that product, referred to in point (a)(i) of this paragraph, and, where feasible, to its immediate packaging;</w:t>
            </w:r>
          </w:p>
        </w:tc>
        <w:tc>
          <w:tcPr>
            <w:tcW w:w="4876" w:type="dxa"/>
          </w:tcPr>
          <w:p w14:paraId="7072469C" w14:textId="4B05D7FB" w:rsidR="00E41873" w:rsidRPr="00B335F7" w:rsidRDefault="00901437">
            <w:pPr>
              <w:pStyle w:val="Normal6"/>
              <w:rPr>
                <w:b/>
                <w:i/>
                <w:lang w:val="en-GB"/>
              </w:rPr>
            </w:pPr>
            <w:r w:rsidRPr="00B335F7">
              <w:rPr>
                <w:bCs/>
                <w:iCs/>
                <w:lang w:val="en-GB"/>
              </w:rPr>
              <w:lastRenderedPageBreak/>
              <w:t>(</w:t>
            </w:r>
            <w:r w:rsidRPr="00B335F7">
              <w:rPr>
                <w:b/>
                <w:i/>
                <w:lang w:val="en-GB"/>
              </w:rPr>
              <w:t>b</w:t>
            </w:r>
            <w:r w:rsidRPr="00B335F7">
              <w:rPr>
                <w:bCs/>
                <w:iCs/>
                <w:lang w:val="en-GB"/>
              </w:rPr>
              <w:t>)</w:t>
            </w:r>
            <w:r w:rsidRPr="00B335F7">
              <w:rPr>
                <w:bCs/>
                <w:iCs/>
                <w:lang w:val="en-GB"/>
              </w:rPr>
              <w:tab/>
              <w:t xml:space="preserve">in the case of products, or medicinal products containing those products, made for the purpose of export to </w:t>
            </w:r>
            <w:r w:rsidRPr="00B335F7">
              <w:rPr>
                <w:bCs/>
                <w:iCs/>
                <w:lang w:val="en-GB"/>
              </w:rPr>
              <w:lastRenderedPageBreak/>
              <w:t>third countries, the maker ensures that a logo, in the form set out in Annex -I, is affixed to the outer packaging of the product, or the medicinal product</w:t>
            </w:r>
            <w:r w:rsidRPr="00B335F7">
              <w:rPr>
                <w:b/>
                <w:i/>
                <w:lang w:val="en-GB"/>
              </w:rPr>
              <w:t xml:space="preserve"> </w:t>
            </w:r>
            <w:r w:rsidRPr="00B335F7">
              <w:rPr>
                <w:bCs/>
                <w:iCs/>
                <w:lang w:val="en-GB"/>
              </w:rPr>
              <w:t>containing that product, referred to in point (a)(i) of this paragraph, and, where feasible, to its immediate packaging;</w:t>
            </w:r>
            <w:r w:rsidRPr="00B335F7">
              <w:rPr>
                <w:b/>
                <w:i/>
                <w:lang w:val="en-GB"/>
              </w:rPr>
              <w:t xml:space="preserve"> </w:t>
            </w:r>
          </w:p>
        </w:tc>
      </w:tr>
      <w:tr w:rsidR="00E41873" w:rsidRPr="00B335F7" w14:paraId="608D694A" w14:textId="77777777" w:rsidTr="002B53F3">
        <w:trPr>
          <w:jc w:val="center"/>
        </w:trPr>
        <w:tc>
          <w:tcPr>
            <w:tcW w:w="4876" w:type="dxa"/>
          </w:tcPr>
          <w:p w14:paraId="4929CC2E" w14:textId="0163D318" w:rsidR="00E41873" w:rsidRPr="00B335F7" w:rsidRDefault="00E41873" w:rsidP="00E41873">
            <w:pPr>
              <w:pStyle w:val="Normal6"/>
              <w:rPr>
                <w:lang w:val="en-GB"/>
              </w:rPr>
            </w:pPr>
            <w:r w:rsidRPr="00B335F7">
              <w:rPr>
                <w:lang w:val="en-GB"/>
              </w:rPr>
              <w:lastRenderedPageBreak/>
              <w:t>(</w:t>
            </w:r>
            <w:r w:rsidRPr="00B335F7">
              <w:rPr>
                <w:b/>
                <w:bCs/>
                <w:i/>
                <w:iCs/>
                <w:lang w:val="en-GB"/>
              </w:rPr>
              <w:t>e</w:t>
            </w:r>
            <w:r w:rsidRPr="00B335F7">
              <w:rPr>
                <w:lang w:val="en-GB"/>
              </w:rPr>
              <w:t>)</w:t>
            </w:r>
            <w:r w:rsidRPr="00B335F7">
              <w:rPr>
                <w:lang w:val="en-GB"/>
              </w:rPr>
              <w:tab/>
              <w:t>the maker complies with paragraph 9 of this Article and, if applicable, with Article 12(2).</w:t>
            </w:r>
          </w:p>
        </w:tc>
        <w:tc>
          <w:tcPr>
            <w:tcW w:w="4876" w:type="dxa"/>
          </w:tcPr>
          <w:p w14:paraId="638AD800" w14:textId="10791613" w:rsidR="00E41873" w:rsidRPr="00B335F7" w:rsidRDefault="00901437">
            <w:pPr>
              <w:pStyle w:val="Normal6"/>
              <w:rPr>
                <w:bCs/>
                <w:iCs/>
                <w:lang w:val="en-GB"/>
              </w:rPr>
            </w:pPr>
            <w:r w:rsidRPr="00B335F7">
              <w:rPr>
                <w:bCs/>
                <w:iCs/>
                <w:lang w:val="en-GB"/>
              </w:rPr>
              <w:t>(</w:t>
            </w:r>
            <w:r w:rsidRPr="00B335F7">
              <w:rPr>
                <w:b/>
                <w:i/>
                <w:lang w:val="en-GB"/>
              </w:rPr>
              <w:t>c</w:t>
            </w:r>
            <w:r w:rsidRPr="00B335F7">
              <w:rPr>
                <w:bCs/>
                <w:iCs/>
                <w:lang w:val="en-GB"/>
              </w:rPr>
              <w:t>)</w:t>
            </w:r>
            <w:r w:rsidRPr="00B335F7">
              <w:rPr>
                <w:bCs/>
                <w:iCs/>
                <w:lang w:val="en-GB"/>
              </w:rPr>
              <w:tab/>
              <w:t>the maker complies with paragraph 9 of this Article and, if applicable, with Article 12(2).’</w:t>
            </w:r>
          </w:p>
        </w:tc>
      </w:tr>
      <w:tr w:rsidR="002969F2" w:rsidRPr="00B335F7" w14:paraId="2311DA8E" w14:textId="77777777" w:rsidTr="002B53F3">
        <w:trPr>
          <w:jc w:val="center"/>
        </w:trPr>
        <w:tc>
          <w:tcPr>
            <w:tcW w:w="4876" w:type="dxa"/>
          </w:tcPr>
          <w:p w14:paraId="2A427F0C" w14:textId="77777777" w:rsidR="002969F2" w:rsidRPr="00B335F7" w:rsidRDefault="002969F2">
            <w:pPr>
              <w:pStyle w:val="Normal6"/>
              <w:rPr>
                <w:lang w:val="en-GB"/>
              </w:rPr>
            </w:pPr>
          </w:p>
        </w:tc>
        <w:tc>
          <w:tcPr>
            <w:tcW w:w="4876" w:type="dxa"/>
            <w:hideMark/>
          </w:tcPr>
          <w:p w14:paraId="5410C992" w14:textId="5EB5A94F" w:rsidR="002969F2" w:rsidRPr="00B335F7" w:rsidRDefault="002969F2">
            <w:pPr>
              <w:pStyle w:val="Normal6"/>
              <w:rPr>
                <w:szCs w:val="24"/>
                <w:lang w:val="en-GB"/>
              </w:rPr>
            </w:pPr>
            <w:r w:rsidRPr="00B335F7">
              <w:rPr>
                <w:b/>
                <w:i/>
                <w:lang w:val="en-GB"/>
              </w:rPr>
              <w:t>(b)</w:t>
            </w:r>
            <w:r w:rsidR="00A11E09">
              <w:rPr>
                <w:b/>
                <w:i/>
                <w:lang w:val="en-GB"/>
              </w:rPr>
              <w:tab/>
            </w:r>
            <w:r w:rsidRPr="00B335F7">
              <w:rPr>
                <w:b/>
                <w:i/>
                <w:lang w:val="en-GB"/>
              </w:rPr>
              <w:t>Paragraphs (4), (5), (6) and (7) are deleted</w:t>
            </w:r>
            <w:r w:rsidR="002B53F3" w:rsidRPr="00B335F7">
              <w:rPr>
                <w:b/>
                <w:i/>
                <w:lang w:val="en-GB"/>
              </w:rPr>
              <w:t>.</w:t>
            </w:r>
          </w:p>
        </w:tc>
      </w:tr>
    </w:tbl>
    <w:p w14:paraId="7EFA3E5E" w14:textId="77777777" w:rsidR="002969F2" w:rsidRPr="00B335F7" w:rsidRDefault="002969F2" w:rsidP="002969F2">
      <w:pPr>
        <w:pStyle w:val="Olang"/>
        <w:rPr>
          <w:lang w:val="en-GB"/>
        </w:rPr>
      </w:pPr>
      <w:r w:rsidRPr="00B335F7">
        <w:rPr>
          <w:lang w:val="en-GB"/>
        </w:rPr>
        <w:t xml:space="preserve">Or. </w:t>
      </w:r>
      <w:r w:rsidRPr="00B335F7">
        <w:rPr>
          <w:rStyle w:val="HideTWBExt"/>
          <w:rFonts w:eastAsiaTheme="majorEastAsia"/>
          <w:noProof w:val="0"/>
          <w:lang w:val="en-GB"/>
        </w:rPr>
        <w:t>&lt;Original&gt;</w:t>
      </w:r>
      <w:r w:rsidRPr="00B335F7">
        <w:rPr>
          <w:rStyle w:val="HideTWBInt"/>
          <w:lang w:val="en-GB"/>
        </w:rPr>
        <w:t>{EN}</w:t>
      </w:r>
      <w:r w:rsidRPr="00B335F7">
        <w:rPr>
          <w:lang w:val="en-GB"/>
        </w:rPr>
        <w:t>en</w:t>
      </w:r>
      <w:r w:rsidRPr="00B335F7">
        <w:rPr>
          <w:rStyle w:val="HideTWBExt"/>
          <w:rFonts w:eastAsiaTheme="majorEastAsia"/>
          <w:noProof w:val="0"/>
          <w:lang w:val="en-GB"/>
        </w:rPr>
        <w:t>&lt;/Original&gt;</w:t>
      </w:r>
    </w:p>
    <w:p w14:paraId="6137929C" w14:textId="77777777" w:rsidR="002969F2" w:rsidRPr="00B335F7" w:rsidRDefault="002969F2" w:rsidP="002969F2">
      <w:r w:rsidRPr="00B335F7">
        <w:rPr>
          <w:rStyle w:val="HideTWBExt"/>
          <w:rFonts w:eastAsiaTheme="majorEastAsia"/>
        </w:rPr>
        <w:t>&lt;/Amend&gt;</w:t>
      </w:r>
      <w:r w:rsidRPr="00B335F7">
        <w:rPr>
          <w:rStyle w:val="HideTWBExt"/>
          <w:rFonts w:eastAsiaTheme="majorEastAsia"/>
          <w:szCs w:val="20"/>
        </w:rPr>
        <w:t>&lt;/RepeatBlock-Amend&gt;</w:t>
      </w:r>
      <w:r w:rsidRPr="00B335F7">
        <w:t xml:space="preserve"> </w:t>
      </w:r>
    </w:p>
    <w:p w14:paraId="50BA7816" w14:textId="77777777" w:rsidR="00E55AC0" w:rsidRPr="00B335F7" w:rsidRDefault="00E55AC0">
      <w:pPr>
        <w:widowControl/>
        <w:sectPr w:rsidR="00E55AC0" w:rsidRPr="00B335F7" w:rsidSect="00B335F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20B43AF" w14:textId="1C9DB1FF" w:rsidR="00E55AC0" w:rsidRPr="00B335F7" w:rsidRDefault="00E55AC0">
      <w:pPr>
        <w:widowControl/>
      </w:pPr>
    </w:p>
    <w:p w14:paraId="75F417B8" w14:textId="2BDA1BB3" w:rsidR="00E55AC0" w:rsidRPr="00B335F7" w:rsidRDefault="00E55AC0" w:rsidP="002B2C72">
      <w:pPr>
        <w:pStyle w:val="PageHeadingNotTOC"/>
      </w:pPr>
      <w:bookmarkStart w:id="1" w:name="FootprintPageAD"/>
      <w:r w:rsidRPr="00B335F7">
        <w:t>ANNEX: DECLARATION OF INPUT</w:t>
      </w:r>
    </w:p>
    <w:p w14:paraId="303ED565" w14:textId="06B2258F" w:rsidR="00E55AC0" w:rsidRPr="00B335F7" w:rsidRDefault="00E55AC0" w:rsidP="00037518">
      <w:pPr>
        <w:pStyle w:val="Normal24a"/>
      </w:pPr>
      <w:r w:rsidRPr="00B335F7">
        <w:rPr>
          <w:rStyle w:val="HideTWBExt"/>
        </w:rPr>
        <w:t>&lt;FootprintIntro&gt;</w:t>
      </w:r>
      <w:r w:rsidRPr="00B335F7">
        <w:t>Pursuant to Article 8 of Annex I to the Rules of Procedure, the rapporteur for opinion declares that he included in his draft opinion input on matters pertaining to the subject of the file that he received, in the preparation of the draft opinion, from the following interest representatives falling within the scope of the Interinstitutional Agreement on a mandatory transparency register</w:t>
      </w:r>
      <w:r w:rsidRPr="00B335F7">
        <w:rPr>
          <w:rStyle w:val="FootnoteReference"/>
        </w:rPr>
        <w:footnoteReference w:id="1"/>
      </w:r>
      <w:r w:rsidRPr="00B335F7">
        <w:t>, or from the following representatives of public authorities of third countries, including their diplomatic missions and embassies:</w:t>
      </w:r>
      <w:r w:rsidRPr="00B335F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55AC0" w:rsidRPr="00B335F7" w14:paraId="4B77FA02" w14:textId="77777777" w:rsidTr="00E55AC0">
        <w:tc>
          <w:tcPr>
            <w:tcW w:w="9060" w:type="dxa"/>
            <w:shd w:val="clear" w:color="auto" w:fill="auto"/>
          </w:tcPr>
          <w:p w14:paraId="758D5EBA" w14:textId="3BFCD237" w:rsidR="00E55AC0" w:rsidRPr="00B335F7" w:rsidRDefault="00E55AC0" w:rsidP="00F42F07">
            <w:pPr>
              <w:pStyle w:val="NormalBoldCenter"/>
            </w:pPr>
            <w:r w:rsidRPr="00B335F7">
              <w:t>1. Interest representatives falling within the scope of the Interinstitutional Agreement on a mandatory transparency register</w:t>
            </w:r>
          </w:p>
        </w:tc>
      </w:tr>
      <w:tr w:rsidR="00E55AC0" w:rsidRPr="00B335F7" w14:paraId="3EE5123E" w14:textId="77777777" w:rsidTr="00E55AC0">
        <w:tc>
          <w:tcPr>
            <w:tcW w:w="9060" w:type="dxa"/>
            <w:shd w:val="clear" w:color="auto" w:fill="auto"/>
          </w:tcPr>
          <w:p w14:paraId="54BF030E" w14:textId="1A37377E" w:rsidR="00E55AC0" w:rsidRPr="00B335F7" w:rsidRDefault="00E55AC0" w:rsidP="00E55AC0">
            <w:pPr>
              <w:pStyle w:val="NormalSingle"/>
              <w:rPr>
                <w:lang w:val="it-IT"/>
              </w:rPr>
            </w:pPr>
            <w:r w:rsidRPr="00B335F7">
              <w:rPr>
                <w:lang w:val="it-IT"/>
              </w:rPr>
              <w:t>A. Menarini Industrie Farmaceutiche Riunite s.r.l.</w:t>
            </w:r>
          </w:p>
        </w:tc>
      </w:tr>
      <w:tr w:rsidR="00E55AC0" w:rsidRPr="00B335F7" w14:paraId="0B18E04A" w14:textId="77777777" w:rsidTr="00E55AC0">
        <w:tc>
          <w:tcPr>
            <w:tcW w:w="9060" w:type="dxa"/>
            <w:shd w:val="clear" w:color="auto" w:fill="auto"/>
          </w:tcPr>
          <w:p w14:paraId="7AD2FBF5" w14:textId="5358AEE5" w:rsidR="00E55AC0" w:rsidRPr="00B335F7" w:rsidRDefault="00E55AC0" w:rsidP="00E55AC0">
            <w:pPr>
              <w:pStyle w:val="NormalSingle"/>
            </w:pPr>
            <w:r w:rsidRPr="00B335F7">
              <w:t>AstraZeneca PLC</w:t>
            </w:r>
          </w:p>
        </w:tc>
      </w:tr>
      <w:tr w:rsidR="00E55AC0" w:rsidRPr="00B335F7" w14:paraId="2A74C880" w14:textId="77777777" w:rsidTr="00E55AC0">
        <w:tc>
          <w:tcPr>
            <w:tcW w:w="9060" w:type="dxa"/>
            <w:shd w:val="clear" w:color="auto" w:fill="auto"/>
          </w:tcPr>
          <w:p w14:paraId="45C17A11" w14:textId="0C3A6408" w:rsidR="00E55AC0" w:rsidRPr="00B335F7" w:rsidRDefault="00E55AC0" w:rsidP="00E55AC0">
            <w:pPr>
              <w:pStyle w:val="NormalSingle"/>
            </w:pPr>
            <w:r w:rsidRPr="00B335F7">
              <w:t>BEUC</w:t>
            </w:r>
          </w:p>
        </w:tc>
      </w:tr>
      <w:tr w:rsidR="00E55AC0" w:rsidRPr="00B335F7" w14:paraId="210FF2E6" w14:textId="77777777" w:rsidTr="00E55AC0">
        <w:tc>
          <w:tcPr>
            <w:tcW w:w="9060" w:type="dxa"/>
            <w:shd w:val="clear" w:color="auto" w:fill="auto"/>
          </w:tcPr>
          <w:p w14:paraId="2F56693C" w14:textId="371C3C68" w:rsidR="00E55AC0" w:rsidRPr="00B335F7" w:rsidRDefault="00E55AC0" w:rsidP="00E55AC0">
            <w:pPr>
              <w:pStyle w:val="NormalSingle"/>
            </w:pPr>
            <w:r w:rsidRPr="00B335F7">
              <w:t>BIO Deutschland</w:t>
            </w:r>
          </w:p>
        </w:tc>
      </w:tr>
      <w:tr w:rsidR="00E55AC0" w:rsidRPr="00B335F7" w14:paraId="4C96C808" w14:textId="77777777" w:rsidTr="00E55AC0">
        <w:tc>
          <w:tcPr>
            <w:tcW w:w="9060" w:type="dxa"/>
            <w:shd w:val="clear" w:color="auto" w:fill="auto"/>
          </w:tcPr>
          <w:p w14:paraId="42FF0605" w14:textId="51462FC8" w:rsidR="00E55AC0" w:rsidRPr="00B335F7" w:rsidRDefault="00E55AC0" w:rsidP="00E55AC0">
            <w:pPr>
              <w:pStyle w:val="NormalSingle"/>
            </w:pPr>
            <w:r w:rsidRPr="00B335F7">
              <w:t>BioEquity Europe</w:t>
            </w:r>
          </w:p>
        </w:tc>
      </w:tr>
      <w:tr w:rsidR="00E55AC0" w:rsidRPr="00B335F7" w14:paraId="0FBBC863" w14:textId="77777777" w:rsidTr="00E55AC0">
        <w:tc>
          <w:tcPr>
            <w:tcW w:w="9060" w:type="dxa"/>
            <w:shd w:val="clear" w:color="auto" w:fill="auto"/>
          </w:tcPr>
          <w:p w14:paraId="0CAACE5F" w14:textId="0CA3E8DF" w:rsidR="00E55AC0" w:rsidRPr="00B335F7" w:rsidRDefault="00E55AC0" w:rsidP="00E55AC0">
            <w:pPr>
              <w:pStyle w:val="NormalSingle"/>
            </w:pPr>
            <w:r w:rsidRPr="00B335F7">
              <w:t>Breakthrough T1D</w:t>
            </w:r>
          </w:p>
        </w:tc>
      </w:tr>
      <w:tr w:rsidR="00E55AC0" w:rsidRPr="00B335F7" w14:paraId="3DE272A4" w14:textId="77777777" w:rsidTr="00E55AC0">
        <w:tc>
          <w:tcPr>
            <w:tcW w:w="9060" w:type="dxa"/>
            <w:shd w:val="clear" w:color="auto" w:fill="auto"/>
          </w:tcPr>
          <w:p w14:paraId="4FF32515" w14:textId="072964FE" w:rsidR="00E55AC0" w:rsidRPr="00B335F7" w:rsidRDefault="00E55AC0" w:rsidP="00E55AC0">
            <w:pPr>
              <w:pStyle w:val="NormalSingle"/>
            </w:pPr>
            <w:r w:rsidRPr="00B335F7">
              <w:t>Bristol-Myers Squibb Company</w:t>
            </w:r>
          </w:p>
        </w:tc>
      </w:tr>
      <w:tr w:rsidR="00E55AC0" w:rsidRPr="00B335F7" w14:paraId="1CB67A09" w14:textId="77777777" w:rsidTr="00E55AC0">
        <w:tc>
          <w:tcPr>
            <w:tcW w:w="9060" w:type="dxa"/>
            <w:shd w:val="clear" w:color="auto" w:fill="auto"/>
          </w:tcPr>
          <w:p w14:paraId="45530368" w14:textId="5A141DAB" w:rsidR="00E55AC0" w:rsidRPr="00B335F7" w:rsidRDefault="00E55AC0" w:rsidP="00E55AC0">
            <w:pPr>
              <w:pStyle w:val="NormalSingle"/>
            </w:pPr>
            <w:r w:rsidRPr="00B335F7">
              <w:t>Bundesärtzekammer</w:t>
            </w:r>
          </w:p>
        </w:tc>
      </w:tr>
      <w:tr w:rsidR="00E55AC0" w:rsidRPr="00B335F7" w14:paraId="4CCD3747" w14:textId="77777777" w:rsidTr="00E55AC0">
        <w:tc>
          <w:tcPr>
            <w:tcW w:w="9060" w:type="dxa"/>
            <w:shd w:val="clear" w:color="auto" w:fill="auto"/>
          </w:tcPr>
          <w:p w14:paraId="082349A7" w14:textId="50C30834" w:rsidR="00E55AC0" w:rsidRPr="00B335F7" w:rsidRDefault="00E55AC0" w:rsidP="00E55AC0">
            <w:pPr>
              <w:pStyle w:val="NormalSingle"/>
              <w:rPr>
                <w:lang w:val="de-DE"/>
              </w:rPr>
            </w:pPr>
            <w:r w:rsidRPr="00B335F7">
              <w:rPr>
                <w:lang w:val="de-DE"/>
              </w:rPr>
              <w:t>Bundesverband der Deutschen Industrie e.V. (BDI)</w:t>
            </w:r>
          </w:p>
        </w:tc>
      </w:tr>
      <w:tr w:rsidR="00E55AC0" w:rsidRPr="00B335F7" w14:paraId="707780CF" w14:textId="77777777" w:rsidTr="00E55AC0">
        <w:tc>
          <w:tcPr>
            <w:tcW w:w="9060" w:type="dxa"/>
            <w:shd w:val="clear" w:color="auto" w:fill="auto"/>
          </w:tcPr>
          <w:p w14:paraId="6943FE16" w14:textId="651E9FFC" w:rsidR="00E55AC0" w:rsidRPr="00B335F7" w:rsidRDefault="00E55AC0" w:rsidP="00E55AC0">
            <w:pPr>
              <w:pStyle w:val="NormalSingle"/>
            </w:pPr>
            <w:r w:rsidRPr="00B335F7">
              <w:t>Covington Burling LLP</w:t>
            </w:r>
          </w:p>
        </w:tc>
      </w:tr>
      <w:tr w:rsidR="00E55AC0" w:rsidRPr="00B335F7" w14:paraId="56AFAA6E" w14:textId="77777777" w:rsidTr="00E55AC0">
        <w:tc>
          <w:tcPr>
            <w:tcW w:w="9060" w:type="dxa"/>
            <w:shd w:val="clear" w:color="auto" w:fill="auto"/>
          </w:tcPr>
          <w:p w14:paraId="5EF0CB2F" w14:textId="62EC725E" w:rsidR="00E55AC0" w:rsidRPr="00B335F7" w:rsidRDefault="00E55AC0" w:rsidP="00E55AC0">
            <w:pPr>
              <w:pStyle w:val="NormalSingle"/>
            </w:pPr>
            <w:r w:rsidRPr="00B335F7">
              <w:t>Deutsche Krankenhausgesellschaft e.V.</w:t>
            </w:r>
          </w:p>
        </w:tc>
      </w:tr>
      <w:tr w:rsidR="00E55AC0" w:rsidRPr="00B335F7" w14:paraId="7FC2102C" w14:textId="77777777" w:rsidTr="00E55AC0">
        <w:tc>
          <w:tcPr>
            <w:tcW w:w="9060" w:type="dxa"/>
            <w:shd w:val="clear" w:color="auto" w:fill="auto"/>
          </w:tcPr>
          <w:p w14:paraId="6DC6D40E" w14:textId="23EC689A" w:rsidR="00E55AC0" w:rsidRPr="00B335F7" w:rsidRDefault="00E55AC0" w:rsidP="00E55AC0">
            <w:pPr>
              <w:pStyle w:val="NormalSingle"/>
            </w:pPr>
            <w:r w:rsidRPr="00B335F7">
              <w:t>Deutsche Sozialversicherung Europavertretung (DSV)</w:t>
            </w:r>
          </w:p>
        </w:tc>
      </w:tr>
      <w:tr w:rsidR="00E55AC0" w:rsidRPr="00B335F7" w14:paraId="0721EBFB" w14:textId="77777777" w:rsidTr="00E55AC0">
        <w:tc>
          <w:tcPr>
            <w:tcW w:w="9060" w:type="dxa"/>
            <w:shd w:val="clear" w:color="auto" w:fill="auto"/>
          </w:tcPr>
          <w:p w14:paraId="25855530" w14:textId="3F75975D" w:rsidR="00E55AC0" w:rsidRPr="00B335F7" w:rsidRDefault="00E55AC0" w:rsidP="00E55AC0">
            <w:pPr>
              <w:pStyle w:val="NormalSingle"/>
            </w:pPr>
            <w:r w:rsidRPr="00B335F7">
              <w:t>EFPIA - European Federation of Pharmaceutical Industries and Associations</w:t>
            </w:r>
          </w:p>
        </w:tc>
      </w:tr>
      <w:tr w:rsidR="00E55AC0" w:rsidRPr="00B335F7" w14:paraId="0E10DE8E" w14:textId="77777777" w:rsidTr="00E55AC0">
        <w:tc>
          <w:tcPr>
            <w:tcW w:w="9060" w:type="dxa"/>
            <w:shd w:val="clear" w:color="auto" w:fill="auto"/>
          </w:tcPr>
          <w:p w14:paraId="6760F7D7" w14:textId="1D3CA633" w:rsidR="00E55AC0" w:rsidRPr="00B335F7" w:rsidRDefault="00E55AC0" w:rsidP="00E55AC0">
            <w:pPr>
              <w:pStyle w:val="NormalSingle"/>
            </w:pPr>
            <w:r w:rsidRPr="00B335F7">
              <w:t>Eli Lilly and Company</w:t>
            </w:r>
          </w:p>
        </w:tc>
      </w:tr>
      <w:tr w:rsidR="00E55AC0" w:rsidRPr="00B335F7" w14:paraId="43B9C4DF" w14:textId="77777777" w:rsidTr="00E55AC0">
        <w:tc>
          <w:tcPr>
            <w:tcW w:w="9060" w:type="dxa"/>
            <w:shd w:val="clear" w:color="auto" w:fill="auto"/>
          </w:tcPr>
          <w:p w14:paraId="2E81C6F1" w14:textId="3AC0BD15" w:rsidR="00E55AC0" w:rsidRPr="00B335F7" w:rsidRDefault="00E55AC0" w:rsidP="00E55AC0">
            <w:pPr>
              <w:pStyle w:val="NormalSingle"/>
            </w:pPr>
            <w:r w:rsidRPr="00B335F7">
              <w:t>EORTIC</w:t>
            </w:r>
          </w:p>
        </w:tc>
      </w:tr>
      <w:tr w:rsidR="00E55AC0" w:rsidRPr="00B335F7" w14:paraId="23A2F22D" w14:textId="77777777" w:rsidTr="00E55AC0">
        <w:tc>
          <w:tcPr>
            <w:tcW w:w="9060" w:type="dxa"/>
            <w:shd w:val="clear" w:color="auto" w:fill="auto"/>
          </w:tcPr>
          <w:p w14:paraId="757BA62D" w14:textId="0F229E35" w:rsidR="00E55AC0" w:rsidRPr="00B335F7" w:rsidRDefault="00E55AC0" w:rsidP="00E55AC0">
            <w:pPr>
              <w:pStyle w:val="NormalSingle"/>
            </w:pPr>
            <w:r w:rsidRPr="00B335F7">
              <w:t>European Confederation of Pharmaceutical Entrepreneurs (EUCOPE)</w:t>
            </w:r>
          </w:p>
        </w:tc>
      </w:tr>
      <w:tr w:rsidR="00E55AC0" w:rsidRPr="00B335F7" w14:paraId="583B746B" w14:textId="77777777" w:rsidTr="00E55AC0">
        <w:tc>
          <w:tcPr>
            <w:tcW w:w="9060" w:type="dxa"/>
            <w:shd w:val="clear" w:color="auto" w:fill="auto"/>
          </w:tcPr>
          <w:p w14:paraId="307D7698" w14:textId="3E1C06FC" w:rsidR="00E55AC0" w:rsidRPr="00B335F7" w:rsidRDefault="00E55AC0" w:rsidP="00E55AC0">
            <w:pPr>
              <w:pStyle w:val="NormalSingle"/>
            </w:pPr>
            <w:r w:rsidRPr="00B335F7">
              <w:t>European CRO Federation</w:t>
            </w:r>
          </w:p>
        </w:tc>
      </w:tr>
      <w:tr w:rsidR="00E55AC0" w:rsidRPr="00B335F7" w14:paraId="130A46FA" w14:textId="77777777" w:rsidTr="00E55AC0">
        <w:tc>
          <w:tcPr>
            <w:tcW w:w="9060" w:type="dxa"/>
            <w:shd w:val="clear" w:color="auto" w:fill="auto"/>
          </w:tcPr>
          <w:p w14:paraId="7F87AD24" w14:textId="5444C012" w:rsidR="00E55AC0" w:rsidRPr="00B335F7" w:rsidRDefault="00E55AC0" w:rsidP="00E55AC0">
            <w:pPr>
              <w:pStyle w:val="NormalSingle"/>
            </w:pPr>
            <w:r w:rsidRPr="00B335F7">
              <w:t>European Patients’ Forum</w:t>
            </w:r>
          </w:p>
        </w:tc>
      </w:tr>
      <w:tr w:rsidR="00E55AC0" w:rsidRPr="00B335F7" w14:paraId="12CE9CC8" w14:textId="77777777" w:rsidTr="00E55AC0">
        <w:tc>
          <w:tcPr>
            <w:tcW w:w="9060" w:type="dxa"/>
            <w:shd w:val="clear" w:color="auto" w:fill="auto"/>
          </w:tcPr>
          <w:p w14:paraId="2F6D6529" w14:textId="6C895A2A" w:rsidR="00E55AC0" w:rsidRPr="00B335F7" w:rsidRDefault="00E55AC0" w:rsidP="00E55AC0">
            <w:pPr>
              <w:pStyle w:val="NormalSingle"/>
            </w:pPr>
            <w:r w:rsidRPr="00B335F7">
              <w:t>European Social Insurance Platform (ESIP)</w:t>
            </w:r>
          </w:p>
        </w:tc>
      </w:tr>
      <w:tr w:rsidR="00E55AC0" w:rsidRPr="00B335F7" w14:paraId="7DC56E4E" w14:textId="77777777" w:rsidTr="00E55AC0">
        <w:tc>
          <w:tcPr>
            <w:tcW w:w="9060" w:type="dxa"/>
            <w:shd w:val="clear" w:color="auto" w:fill="auto"/>
          </w:tcPr>
          <w:p w14:paraId="77A7DC90" w14:textId="6C54DF1D" w:rsidR="00E55AC0" w:rsidRPr="00B335F7" w:rsidRDefault="00E55AC0" w:rsidP="00E55AC0">
            <w:pPr>
              <w:pStyle w:val="NormalSingle"/>
            </w:pPr>
            <w:r w:rsidRPr="00B335F7">
              <w:t>Food Forward Europe</w:t>
            </w:r>
          </w:p>
        </w:tc>
      </w:tr>
      <w:tr w:rsidR="00E55AC0" w:rsidRPr="00B335F7" w14:paraId="73EF4514" w14:textId="77777777" w:rsidTr="00E55AC0">
        <w:tc>
          <w:tcPr>
            <w:tcW w:w="9060" w:type="dxa"/>
            <w:shd w:val="clear" w:color="auto" w:fill="auto"/>
          </w:tcPr>
          <w:p w14:paraId="2E9A63B1" w14:textId="0F003E12" w:rsidR="00E55AC0" w:rsidRPr="00B335F7" w:rsidRDefault="00E55AC0" w:rsidP="00E55AC0">
            <w:pPr>
              <w:pStyle w:val="NormalSingle"/>
            </w:pPr>
            <w:r w:rsidRPr="00B335F7">
              <w:t>Genmap</w:t>
            </w:r>
          </w:p>
        </w:tc>
      </w:tr>
      <w:tr w:rsidR="00E55AC0" w:rsidRPr="00B335F7" w14:paraId="6E53AF10" w14:textId="77777777" w:rsidTr="00E55AC0">
        <w:tc>
          <w:tcPr>
            <w:tcW w:w="9060" w:type="dxa"/>
            <w:shd w:val="clear" w:color="auto" w:fill="auto"/>
          </w:tcPr>
          <w:p w14:paraId="41A4E78C" w14:textId="1759E69F" w:rsidR="00E55AC0" w:rsidRPr="00B335F7" w:rsidRDefault="00E55AC0" w:rsidP="00E55AC0">
            <w:pPr>
              <w:pStyle w:val="NormalSingle"/>
            </w:pPr>
            <w:r w:rsidRPr="00B335F7">
              <w:t>GSK</w:t>
            </w:r>
          </w:p>
        </w:tc>
      </w:tr>
      <w:tr w:rsidR="00E55AC0" w:rsidRPr="00B335F7" w14:paraId="107B655B" w14:textId="77777777" w:rsidTr="00E55AC0">
        <w:tc>
          <w:tcPr>
            <w:tcW w:w="9060" w:type="dxa"/>
            <w:shd w:val="clear" w:color="auto" w:fill="auto"/>
          </w:tcPr>
          <w:p w14:paraId="7221A9C8" w14:textId="6EF1306F" w:rsidR="00E55AC0" w:rsidRPr="00B335F7" w:rsidRDefault="00E55AC0" w:rsidP="00E55AC0">
            <w:pPr>
              <w:pStyle w:val="NormalSingle"/>
            </w:pPr>
            <w:r w:rsidRPr="00B335F7">
              <w:t>Humane Society International/Europe</w:t>
            </w:r>
          </w:p>
        </w:tc>
      </w:tr>
      <w:tr w:rsidR="00E55AC0" w:rsidRPr="00B335F7" w14:paraId="7A098D5B" w14:textId="77777777" w:rsidTr="00E55AC0">
        <w:tc>
          <w:tcPr>
            <w:tcW w:w="9060" w:type="dxa"/>
            <w:shd w:val="clear" w:color="auto" w:fill="auto"/>
          </w:tcPr>
          <w:p w14:paraId="2F340751" w14:textId="35DC07E3" w:rsidR="00E55AC0" w:rsidRPr="00B335F7" w:rsidRDefault="00E55AC0" w:rsidP="00E55AC0">
            <w:pPr>
              <w:pStyle w:val="NormalSingle"/>
            </w:pPr>
            <w:r w:rsidRPr="00B335F7">
              <w:t>Johnson &amp; Johnson</w:t>
            </w:r>
          </w:p>
        </w:tc>
      </w:tr>
      <w:tr w:rsidR="00E55AC0" w:rsidRPr="00B335F7" w14:paraId="48334567" w14:textId="77777777" w:rsidTr="00E55AC0">
        <w:tc>
          <w:tcPr>
            <w:tcW w:w="9060" w:type="dxa"/>
            <w:shd w:val="clear" w:color="auto" w:fill="auto"/>
          </w:tcPr>
          <w:p w14:paraId="6A011FF1" w14:textId="55276927" w:rsidR="00E55AC0" w:rsidRPr="00B335F7" w:rsidRDefault="00E55AC0" w:rsidP="00E55AC0">
            <w:pPr>
              <w:pStyle w:val="NormalSingle"/>
            </w:pPr>
            <w:r w:rsidRPr="00B335F7">
              <w:t>Medicines for Europe</w:t>
            </w:r>
          </w:p>
        </w:tc>
      </w:tr>
      <w:tr w:rsidR="00E55AC0" w:rsidRPr="00B335F7" w14:paraId="0CD01085" w14:textId="77777777" w:rsidTr="00E55AC0">
        <w:tc>
          <w:tcPr>
            <w:tcW w:w="9060" w:type="dxa"/>
            <w:shd w:val="clear" w:color="auto" w:fill="auto"/>
          </w:tcPr>
          <w:p w14:paraId="24347DEF" w14:textId="63F9E744" w:rsidR="00E55AC0" w:rsidRPr="00B335F7" w:rsidRDefault="00E55AC0" w:rsidP="00E55AC0">
            <w:pPr>
              <w:pStyle w:val="NormalSingle"/>
            </w:pPr>
            <w:r w:rsidRPr="00B335F7">
              <w:t>Médecins Sans Frontières International</w:t>
            </w:r>
          </w:p>
        </w:tc>
      </w:tr>
      <w:tr w:rsidR="00E55AC0" w:rsidRPr="00B335F7" w14:paraId="660A3547" w14:textId="77777777" w:rsidTr="00E55AC0">
        <w:tc>
          <w:tcPr>
            <w:tcW w:w="9060" w:type="dxa"/>
            <w:shd w:val="clear" w:color="auto" w:fill="auto"/>
          </w:tcPr>
          <w:p w14:paraId="3FFCF32F" w14:textId="0529FD57" w:rsidR="00E55AC0" w:rsidRPr="00B335F7" w:rsidRDefault="00E55AC0" w:rsidP="00E55AC0">
            <w:pPr>
              <w:pStyle w:val="NormalSingle"/>
            </w:pPr>
            <w:r w:rsidRPr="00B335F7">
              <w:t>Merck Sharp &amp; Dohme Europe Belgium SRL</w:t>
            </w:r>
          </w:p>
        </w:tc>
      </w:tr>
      <w:tr w:rsidR="00E55AC0" w:rsidRPr="00B335F7" w14:paraId="6551E8A8" w14:textId="77777777" w:rsidTr="00E55AC0">
        <w:tc>
          <w:tcPr>
            <w:tcW w:w="9060" w:type="dxa"/>
            <w:shd w:val="clear" w:color="auto" w:fill="auto"/>
          </w:tcPr>
          <w:p w14:paraId="64DF4B20" w14:textId="36E899B8" w:rsidR="00E55AC0" w:rsidRPr="00B335F7" w:rsidRDefault="00E55AC0" w:rsidP="00E55AC0">
            <w:pPr>
              <w:pStyle w:val="NormalSingle"/>
            </w:pPr>
            <w:r w:rsidRPr="00B335F7">
              <w:t>Novo Nordisk</w:t>
            </w:r>
          </w:p>
        </w:tc>
      </w:tr>
      <w:tr w:rsidR="00E55AC0" w:rsidRPr="00B335F7" w14:paraId="300484B4" w14:textId="77777777" w:rsidTr="00E55AC0">
        <w:tc>
          <w:tcPr>
            <w:tcW w:w="9060" w:type="dxa"/>
            <w:shd w:val="clear" w:color="auto" w:fill="auto"/>
          </w:tcPr>
          <w:p w14:paraId="38765E18" w14:textId="145DFAA4" w:rsidR="00E55AC0" w:rsidRPr="00B335F7" w:rsidRDefault="00E55AC0" w:rsidP="00E55AC0">
            <w:pPr>
              <w:pStyle w:val="NormalSingle"/>
            </w:pPr>
            <w:r w:rsidRPr="00B335F7">
              <w:t>Pandemic Action Network</w:t>
            </w:r>
          </w:p>
        </w:tc>
      </w:tr>
      <w:tr w:rsidR="009E2AD8" w:rsidRPr="00B335F7" w14:paraId="5517BE49" w14:textId="77777777" w:rsidTr="00E55AC0">
        <w:tc>
          <w:tcPr>
            <w:tcW w:w="9060" w:type="dxa"/>
            <w:shd w:val="clear" w:color="auto" w:fill="auto"/>
          </w:tcPr>
          <w:p w14:paraId="2D7DFB20" w14:textId="3245BC3E" w:rsidR="009E2AD8" w:rsidRPr="00B335F7" w:rsidRDefault="009E2AD8" w:rsidP="009E2AD8">
            <w:pPr>
              <w:pStyle w:val="NormalSingle"/>
            </w:pPr>
            <w:r w:rsidRPr="00B335F7">
              <w:t>PAREA</w:t>
            </w:r>
          </w:p>
        </w:tc>
      </w:tr>
      <w:tr w:rsidR="009E2AD8" w:rsidRPr="00B335F7" w14:paraId="24633221" w14:textId="77777777" w:rsidTr="00E55AC0">
        <w:tc>
          <w:tcPr>
            <w:tcW w:w="9060" w:type="dxa"/>
            <w:shd w:val="clear" w:color="auto" w:fill="auto"/>
          </w:tcPr>
          <w:p w14:paraId="66DC16CA" w14:textId="38535A09" w:rsidR="009E2AD8" w:rsidRPr="00B335F7" w:rsidRDefault="009E2AD8" w:rsidP="009E2AD8">
            <w:pPr>
              <w:pStyle w:val="NormalSingle"/>
            </w:pPr>
            <w:r w:rsidRPr="00B335F7">
              <w:t>Phage EU</w:t>
            </w:r>
          </w:p>
        </w:tc>
      </w:tr>
      <w:tr w:rsidR="009E2AD8" w:rsidRPr="00B335F7" w14:paraId="403DBA0C" w14:textId="77777777" w:rsidTr="00E55AC0">
        <w:tc>
          <w:tcPr>
            <w:tcW w:w="9060" w:type="dxa"/>
            <w:shd w:val="clear" w:color="auto" w:fill="auto"/>
          </w:tcPr>
          <w:p w14:paraId="5C6C4270" w14:textId="70B1D7FE" w:rsidR="009E2AD8" w:rsidRPr="00B335F7" w:rsidRDefault="009E2AD8" w:rsidP="009E2AD8">
            <w:pPr>
              <w:pStyle w:val="NormalSingle"/>
            </w:pPr>
            <w:r w:rsidRPr="00B335F7">
              <w:t>Resilience Action Network International</w:t>
            </w:r>
          </w:p>
        </w:tc>
      </w:tr>
      <w:tr w:rsidR="009E2AD8" w:rsidRPr="00B335F7" w14:paraId="2733EFA0" w14:textId="77777777" w:rsidTr="00E55AC0">
        <w:tc>
          <w:tcPr>
            <w:tcW w:w="9060" w:type="dxa"/>
            <w:shd w:val="clear" w:color="auto" w:fill="auto"/>
          </w:tcPr>
          <w:p w14:paraId="31691413" w14:textId="71B82B79" w:rsidR="009E2AD8" w:rsidRPr="00B335F7" w:rsidRDefault="009E2AD8" w:rsidP="009E2AD8">
            <w:pPr>
              <w:pStyle w:val="NormalSingle"/>
            </w:pPr>
            <w:r w:rsidRPr="00B335F7">
              <w:t>Standing Committee of European Doctors</w:t>
            </w:r>
          </w:p>
        </w:tc>
      </w:tr>
      <w:tr w:rsidR="00E55AC0" w:rsidRPr="00B335F7" w14:paraId="29583AD2" w14:textId="77777777" w:rsidTr="00E55AC0">
        <w:tc>
          <w:tcPr>
            <w:tcW w:w="9060" w:type="dxa"/>
            <w:shd w:val="clear" w:color="auto" w:fill="auto"/>
          </w:tcPr>
          <w:p w14:paraId="74F9AC69" w14:textId="18D922E6" w:rsidR="00E55AC0" w:rsidRPr="00B335F7" w:rsidRDefault="00E55AC0" w:rsidP="007C35EE">
            <w:pPr>
              <w:pStyle w:val="NormalBoldCenter"/>
            </w:pPr>
            <w:r w:rsidRPr="00B335F7">
              <w:t>2. Representatives of public authorities of third countries, including their diplomatic missions and embassies</w:t>
            </w:r>
          </w:p>
        </w:tc>
      </w:tr>
    </w:tbl>
    <w:p w14:paraId="1B1D3408" w14:textId="754B6B7E" w:rsidR="00E55AC0" w:rsidRPr="00B335F7" w:rsidRDefault="00E55AC0" w:rsidP="00B60BF2">
      <w:pPr>
        <w:pStyle w:val="Footprint12b"/>
      </w:pPr>
      <w:r w:rsidRPr="00B335F7">
        <w:t>The list above is drawn up under the exclusive responsibility of the rapporteur for opinion.</w:t>
      </w:r>
    </w:p>
    <w:p w14:paraId="4A61E19C" w14:textId="0D38A0B1" w:rsidR="00E55AC0" w:rsidRPr="00B335F7" w:rsidRDefault="00E55AC0" w:rsidP="00802975">
      <w:pPr>
        <w:pStyle w:val="Footprint12b"/>
      </w:pPr>
      <w:r w:rsidRPr="00B335F7">
        <w:t>Where natural persons are identified in the list by their name, by their function or by both, the rapporteur for opinion declares that he has submitted to the natural persons concerned the European Parliament's Data Protection Notice No 484 (</w:t>
      </w:r>
      <w:hyperlink r:id="rId14" w:tooltip="https://www.europarl.europa.eu/data-protect/index.do" w:history="1">
        <w:r w:rsidRPr="00B335F7">
          <w:rPr>
            <w:rStyle w:val="Hyperlink"/>
          </w:rPr>
          <w:t>https://www.europarl.europa.eu/data-protect/index.do</w:t>
        </w:r>
      </w:hyperlink>
      <w:r w:rsidRPr="00B335F7">
        <w:t>), which sets out the conditions applicable to the processing of their personal data and the rights linked to that processing.</w:t>
      </w:r>
    </w:p>
    <w:p w14:paraId="1FD34C24" w14:textId="77777777" w:rsidR="00E55AC0" w:rsidRPr="00B335F7" w:rsidRDefault="00E55AC0" w:rsidP="00E55AC0"/>
    <w:bookmarkEnd w:id="1"/>
    <w:p w14:paraId="675CEBBA" w14:textId="72CC39D3" w:rsidR="00DB56E4" w:rsidRPr="00B335F7" w:rsidRDefault="00DB56E4" w:rsidP="00DB56E4"/>
    <w:sectPr w:rsidR="00DB56E4" w:rsidRPr="00B335F7" w:rsidSect="00E55A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FB445" w14:textId="77777777" w:rsidR="00040EE9" w:rsidRPr="00B335F7" w:rsidRDefault="00040EE9">
      <w:r w:rsidRPr="00B335F7">
        <w:separator/>
      </w:r>
    </w:p>
  </w:endnote>
  <w:endnote w:type="continuationSeparator" w:id="0">
    <w:p w14:paraId="16840D57" w14:textId="77777777" w:rsidR="00040EE9" w:rsidRPr="00B335F7" w:rsidRDefault="00040EE9">
      <w:r w:rsidRPr="00B335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5243" w14:textId="77777777" w:rsidR="00B335F7" w:rsidRDefault="00B335F7" w:rsidP="00B335F7">
    <w:pPr>
      <w:pStyle w:val="EPFooter"/>
    </w:pPr>
    <w:r>
      <w:t>PE</w:t>
    </w:r>
    <w:r w:rsidRPr="00B335F7">
      <w:rPr>
        <w:rStyle w:val="HideTWBExt"/>
      </w:rPr>
      <w:t>&lt;NoPE&gt;</w:t>
    </w:r>
    <w:r>
      <w:t>789.902</w:t>
    </w:r>
    <w:r w:rsidRPr="00B335F7">
      <w:rPr>
        <w:rStyle w:val="HideTWBExt"/>
      </w:rPr>
      <w:t>&lt;/NoPE&gt;&lt;Version&gt;</w:t>
    </w:r>
    <w:r>
      <w:t>v01-00</w:t>
    </w:r>
    <w:r w:rsidRPr="00B335F7">
      <w:rPr>
        <w:rStyle w:val="HideTWBExt"/>
      </w:rPr>
      <w:t>&lt;/Version&gt;</w:t>
    </w:r>
    <w:r>
      <w:tab/>
    </w:r>
    <w:r>
      <w:fldChar w:fldCharType="begin"/>
    </w:r>
    <w:r>
      <w:instrText xml:space="preserve"> PAGE  \* MERGEFORMAT </w:instrText>
    </w:r>
    <w:r>
      <w:fldChar w:fldCharType="separate"/>
    </w:r>
    <w:r>
      <w:rPr>
        <w:noProof/>
      </w:rPr>
      <w:t>24</w:t>
    </w:r>
    <w:r>
      <w:fldChar w:fldCharType="end"/>
    </w:r>
    <w:r>
      <w:t>/</w:t>
    </w:r>
    <w:fldSimple w:instr=" NUMPAGES  \* MERGEFORMAT ">
      <w:r>
        <w:rPr>
          <w:noProof/>
        </w:rPr>
        <w:t>37</w:t>
      </w:r>
    </w:fldSimple>
    <w:r>
      <w:tab/>
    </w:r>
    <w:r w:rsidRPr="00B335F7">
      <w:rPr>
        <w:rStyle w:val="HideTWBExt"/>
      </w:rPr>
      <w:t>&lt;PathFdR&gt;</w:t>
    </w:r>
    <w:r>
      <w:t>PA\1345357EN.docx</w:t>
    </w:r>
    <w:r w:rsidRPr="00B335F7">
      <w:rPr>
        <w:rStyle w:val="HideTWBExt"/>
      </w:rPr>
      <w:t>&lt;/PathFdR&gt;</w:t>
    </w:r>
  </w:p>
  <w:p w14:paraId="7ADC7668" w14:textId="4F205C23" w:rsidR="007F187F" w:rsidRPr="00B335F7" w:rsidRDefault="00B335F7" w:rsidP="00B335F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D266" w14:textId="77777777" w:rsidR="00B335F7" w:rsidRDefault="00B335F7" w:rsidP="00B335F7">
    <w:pPr>
      <w:pStyle w:val="EPFooter"/>
    </w:pPr>
    <w:r w:rsidRPr="00B335F7">
      <w:rPr>
        <w:rStyle w:val="HideTWBExt"/>
      </w:rPr>
      <w:t>&lt;PathFdR&gt;</w:t>
    </w:r>
    <w:r>
      <w:t>PA\1345357EN.docx</w:t>
    </w:r>
    <w:r w:rsidRPr="00B335F7">
      <w:rPr>
        <w:rStyle w:val="HideTWBExt"/>
      </w:rPr>
      <w:t>&lt;/PathFdR&gt;</w:t>
    </w:r>
    <w:r>
      <w:tab/>
    </w:r>
    <w:r>
      <w:fldChar w:fldCharType="begin"/>
    </w:r>
    <w:r>
      <w:instrText xml:space="preserve"> PAGE  \* MERGEFORMAT </w:instrText>
    </w:r>
    <w:r>
      <w:fldChar w:fldCharType="separate"/>
    </w:r>
    <w:r>
      <w:rPr>
        <w:noProof/>
      </w:rPr>
      <w:t>23</w:t>
    </w:r>
    <w:r>
      <w:fldChar w:fldCharType="end"/>
    </w:r>
    <w:r>
      <w:t>/</w:t>
    </w:r>
    <w:fldSimple w:instr=" NUMPAGES  \* MERGEFORMAT ">
      <w:r>
        <w:rPr>
          <w:noProof/>
        </w:rPr>
        <w:t>37</w:t>
      </w:r>
    </w:fldSimple>
    <w:r>
      <w:tab/>
      <w:t>PE</w:t>
    </w:r>
    <w:r w:rsidRPr="00B335F7">
      <w:rPr>
        <w:rStyle w:val="HideTWBExt"/>
      </w:rPr>
      <w:t>&lt;NoPE&gt;</w:t>
    </w:r>
    <w:r>
      <w:t>789.902</w:t>
    </w:r>
    <w:r w:rsidRPr="00B335F7">
      <w:rPr>
        <w:rStyle w:val="HideTWBExt"/>
      </w:rPr>
      <w:t>&lt;/NoPE&gt;&lt;Version&gt;</w:t>
    </w:r>
    <w:r>
      <w:t>v01-00</w:t>
    </w:r>
    <w:r w:rsidRPr="00B335F7">
      <w:rPr>
        <w:rStyle w:val="HideTWBExt"/>
      </w:rPr>
      <w:t>&lt;/Version&gt;</w:t>
    </w:r>
  </w:p>
  <w:p w14:paraId="7C01E6DA" w14:textId="492B1A4B" w:rsidR="007F187F" w:rsidRPr="00B335F7" w:rsidRDefault="00B335F7" w:rsidP="00B335F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467F" w14:textId="77777777" w:rsidR="00B335F7" w:rsidRDefault="00B335F7" w:rsidP="00B335F7">
    <w:pPr>
      <w:pStyle w:val="EPFooter"/>
    </w:pPr>
    <w:r w:rsidRPr="00B335F7">
      <w:rPr>
        <w:rStyle w:val="HideTWBExt"/>
      </w:rPr>
      <w:t>&lt;PathFdR&gt;</w:t>
    </w:r>
    <w:r>
      <w:t>PA\1345357EN.docx</w:t>
    </w:r>
    <w:r w:rsidRPr="00B335F7">
      <w:rPr>
        <w:rStyle w:val="HideTWBExt"/>
      </w:rPr>
      <w:t>&lt;/PathFdR&gt;</w:t>
    </w:r>
    <w:r>
      <w:tab/>
    </w:r>
    <w:r>
      <w:tab/>
      <w:t>PE</w:t>
    </w:r>
    <w:r w:rsidRPr="00B335F7">
      <w:rPr>
        <w:rStyle w:val="HideTWBExt"/>
      </w:rPr>
      <w:t>&lt;NoPE&gt;</w:t>
    </w:r>
    <w:r>
      <w:t>789.902</w:t>
    </w:r>
    <w:r w:rsidRPr="00B335F7">
      <w:rPr>
        <w:rStyle w:val="HideTWBExt"/>
      </w:rPr>
      <w:t>&lt;/NoPE&gt;&lt;Version&gt;</w:t>
    </w:r>
    <w:r>
      <w:t>v01-00</w:t>
    </w:r>
    <w:r w:rsidRPr="00B335F7">
      <w:rPr>
        <w:rStyle w:val="HideTWBExt"/>
      </w:rPr>
      <w:t>&lt;/Version&gt;</w:t>
    </w:r>
  </w:p>
  <w:p w14:paraId="200CFA86" w14:textId="60977D37" w:rsidR="007F187F" w:rsidRPr="00B335F7" w:rsidRDefault="00B335F7" w:rsidP="00B335F7">
    <w:pPr>
      <w:pStyle w:val="EPFooter2"/>
    </w:pPr>
    <w:r>
      <w:t>EN</w:t>
    </w:r>
    <w:r>
      <w:tab/>
    </w:r>
    <w:r w:rsidRPr="00B335F7">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411FD" w14:textId="77777777" w:rsidR="00040EE9" w:rsidRPr="00B335F7" w:rsidRDefault="00040EE9">
      <w:r w:rsidRPr="00B335F7">
        <w:separator/>
      </w:r>
    </w:p>
  </w:footnote>
  <w:footnote w:type="continuationSeparator" w:id="0">
    <w:p w14:paraId="53A905AB" w14:textId="77777777" w:rsidR="00040EE9" w:rsidRPr="00B335F7" w:rsidRDefault="00040EE9">
      <w:r w:rsidRPr="00B335F7">
        <w:continuationSeparator/>
      </w:r>
    </w:p>
  </w:footnote>
  <w:footnote w:id="1">
    <w:p w14:paraId="7B57A514" w14:textId="7B628D70" w:rsidR="00E55AC0" w:rsidRPr="00B335F7" w:rsidRDefault="00E55AC0">
      <w:pPr>
        <w:pStyle w:val="FootnoteText"/>
      </w:pPr>
      <w:r w:rsidRPr="00B335F7">
        <w:rPr>
          <w:rStyle w:val="FootnoteReference"/>
        </w:rPr>
        <w:footnoteRef/>
      </w:r>
      <w:r w:rsidRPr="00B335F7">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B335F7">
          <w:rPr>
            <w:rStyle w:val="Hyperlink"/>
          </w:rPr>
          <w:t>http://data.europa.eu/eli/agree_interinstit/2021/611/oj</w:t>
        </w:r>
      </w:hyperlink>
      <w:r w:rsidRPr="00B335F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ADEC" w14:textId="77777777" w:rsidR="00E55AC0" w:rsidRPr="00B335F7" w:rsidRDefault="00E55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0B6B" w14:textId="77777777" w:rsidR="00E55AC0" w:rsidRPr="00B335F7" w:rsidRDefault="00E55A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AE74" w14:textId="77777777" w:rsidR="00E55AC0" w:rsidRPr="00B335F7" w:rsidRDefault="00E55A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2"/>
    <w:docVar w:name="CODEMNU" w:val=" 1"/>
    <w:docVar w:name="COM2KEY" w:val="CJ53"/>
    <w:docVar w:name="COMKEY" w:val="JURI"/>
    <w:docVar w:name="CONTRIBUTIONMNU" w:val=" 1"/>
    <w:docVar w:name="CopyToNetwork" w:val="-1"/>
    <w:docVar w:name="CVAR" w:val="1"/>
    <w:docVar w:name="DDATE" w:val="08/06/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10368 HideTWBExt;}{_x000d__x000a_\s18\ql \li0\ri0\sa120\nowidctlpar\wrapdefault\aspalpha\aspnum\faauto\adjustright\rin0\lin0\itap0 \rtlch\fcs1 \af0\afs20\alang1025 \ltrch\fcs0 \fs24\lang2057\langfe2057\cgrid\langnp2057\langfenp2057 \sbasedon0 \snext18 \spriority0 \styrsid5910368 _x000d__x000a_Normal6a;}{\s19\ql \li0\ri0\nowidctlpar\wrapdefault\aspalpha\aspnum\faauto\adjustright\rin0\lin0\itap0 \rtlch\fcs1 \af0\afs20\alang1025 \ltrch\fcs0 \b\fs24\lang2057\langfe2057\cgrid\langnp2057\langfenp2057 \sbasedon0 \snext19 \spriority0 \styrsid5910368 _x000d__x000a_NormalBold;}{\*\cs20 \additive \v\f1\fs20\cf15 \spriority0 \styrsid5910368 HideTWBInt;}{\s21\qr \li0\ri0\sb240\sa240\nowidctlpar\wrapdefault\aspalpha\aspnum\faauto\adjustright\rin0\lin0\itap0 \rtlch\fcs1 \af0\afs20\alang1025 \ltrch\fcs0 _x000d__x000a_\fs24\lang2057\langfe2057\cgrid\langnp2057\langfenp2057 \sbasedon0 \snext21 \spriority0 \styrsid5910368 AmOrLang;}{\s22\qc \li0\ri0\sa240\nowidctlpar\wrapdefault\aspalpha\aspnum\faauto\adjustright\rin0\lin0\itap0 \rtlch\fcs1 \af0\afs20\alang1025 _x000d__x000a_\ltrch\fcs0 \i\fs24\lang2057\langfe2057\cgrid\langnp2057\langfenp2057 \sbasedon0 \snext22 \spriority0 \styrsid59103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910368 AmNumberTabs;}{\s24\ql \li0\ri0\sb240\nowidctlpar\wrapdefault\aspalpha\aspnum\faauto\adjustright\rin0\lin0\itap0 \rtlch\fcs1 _x000d__x000a_\af0\afs20\alang1025 \ltrch\fcs0 \b\fs24\lang2057\langfe2057\cgrid\langnp2057\langfenp2057 \sbasedon0 \snext24 \spriority0 \styrsid5910368 NormalBold12b;}}{\*\rsidtbl \rsid24658\rsid223860\rsid735077\rsid1718133\rsid2115379\rsid2892074\rsid3565327_x000d__x000a_\rsid4666813\rsid5910368\rsid6641733\rsid7823322\rsid8220584\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ZAHARIE Ana Maria}{\operator ZAHARIE Ana Maria}{\creatim\yr2026\mo6\dy8\hr18\min26}{\revtim\yr2026\mo6\dy8\hr18\min26}{\version1}{\edmins0}_x000d__x000a_{\nofpages1}{\nofwords39}{\nofchars237}{\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10368\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2115379 \chftnsep _x000d__x000a_\par }}{\*\ftnsepc \ltrpar \pard\plain \ltrpar\ql \li0\ri0\widctlpar\wrapdefault\aspalpha\aspnum\faauto\adjustright\rin0\lin0\itap0 \rtlch\fcs1 \af0\afs20\alang1025 \ltrch\fcs0 \fs24\lang2057\langfe2057\cgrid\langnp2057\langfenp2057 {\rtlch\fcs1 \af0 _x000d__x000a_\ltrch\fcs0 \insrsid2115379 \chftnsepc _x000d__x000a_\par }}{\*\aftnsep \ltrpar \pard\plain \ltrpar\ql \li0\ri0\widctlpar\wrapdefault\aspalpha\aspnum\faauto\adjustright\rin0\lin0\itap0 \rtlch\fcs1 \af0\afs20\alang1025 \ltrch\fcs0 \fs24\lang2057\langfe2057\cgrid\langnp2057\langfenp2057 {\rtlch\fcs1 \af0 _x000d__x000a_\ltrch\fcs0 \insrsid2115379 \chftnsep _x000d__x000a_\par }}{\*\aftnsepc \ltrpar \pard\plain \ltrpar\ql \li0\ri0\widctlpar\wrapdefault\aspalpha\aspnum\faauto\adjustright\rin0\lin0\itap0 \rtlch\fcs1 \af0\afs20\alang1025 \ltrch\fcs0 \fs24\lang2057\langfe2057\cgrid\langnp2057\langfenp2057 {\rtlch\fcs1 \af0 _x000d__x000a_\ltrch\fcs0 \insrsid2115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910368\charrsid265961 {\*\bkmkstart restartA}_x000d__x000a_\hich\af1\dbch\af31501\loch\f1 &lt;AmendA&gt;}{\rtlch\fcs1 \af0 \ltrch\fcs0 \insrsid5910368\charrsid265961 Amendment\tab \tab }{\rtlch\fcs1 \af0 \ltrch\fcs0 _x000d__x000a_\cs17\b0\v\fs20\cf9\lang1024\langfe1024\loch\af1\hich\af1\dbch\af31501\noproof\insrsid5910368\charrsid265961 \hich\af1\dbch\af31501\loch\f1 &lt;NumAmA&gt;}{\rtlch\fcs1 \af0 \ltrch\fcs0 \insrsid5910368\charrsid265961 #}{\rtlch\fcs1 \af1 \ltrch\fcs0 _x000d__x000a_\cs20\v\f1\fs20\cf15\insrsid5910368\charrsid265961 ENMIENDA@NRAM@}{\rtlch\fcs1 \af0 \ltrch\fcs0 \insrsid5910368\charrsid265961 #}{\rtlch\fcs1 \af0 \ltrch\fcs0 _x000d__x000a_\cs17\b0\v\fs20\cf9\lang1024\langfe1024\loch\af1\hich\af1\dbch\af31501\noproof\insrsid5910368\charrsid265961 \hich\af1\dbch\af31501\loch\f1 &lt;/NumAmA&gt;}{\rtlch\fcs1 \af0 \ltrch\fcs0 \insrsid5910368\charrsid26596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910368\charrsid265961 \hich\af1\dbch\af31501\loch\f1 &lt;DocAmend&gt;}{\rtlch\fcs1 \af0 \ltrch\fcs0 \insrsid5910368\charrsid265961 _x000d__x000a_Draft legislative resolution}{\rtlch\fcs1 \af0 \ltrch\fcs0 \cs17\b0\v\fs20\cf9\lang1024\langfe1024\loch\af1\hich\af1\dbch\af31501\noproof\insrsid5910368\charrsid265961 \hich\af1\dbch\af31501\loch\f1 &lt;/DocAmend&gt;}{\rtlch\fcs1 \af0 \ltrch\fcs0 _x000d__x000a_\insrsid5910368\charrsid26596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5910368\charrsid265961 \hich\af1\dbch\af31501\loch\f1 &lt;Article&gt;}{\rtlch\fcs1 \af0 \ltrch\fcs0 \cf10\insrsid5910368\charrsid265961 \u9668\'3f}{\rtlch\fcs1 _x000d__x000a_\af0 \ltrch\fcs0 \insrsid5910368\charrsid265961 #}{\rtlch\fcs1 \af1 \ltrch\fcs0 \cs20\v\f1\fs20\cf15\insrsid5910368\charrsid265961 TVTRESPART@RESPART@}{\rtlch\fcs1 \af0 \ltrch\fcs0 \insrsid5910368\charrsid265961 #}{\rtlch\fcs1 \af0 \ltrch\fcs0 _x000d__x000a_\cf10\insrsid5910368\charrsid265961 \u9658\'3f}{\rtlch\fcs1 \af0 \ltrch\fcs0 \cs17\b0\v\fs20\cf9\lang1024\langfe1024\loch\af1\hich\af1\dbch\af31501\noproof\insrsid5910368\charrsid265961 \hich\af1\dbch\af31501\loch\f1 &lt;/Article&gt;}{\rtlch\fcs1 \af0 _x000d__x000a_\ltrch\fcs0 \insrsid5910368\charrsid26596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910368\charrsid265961 \cell }\pard\plain \ltrpar\ql \li0\ri0\widctlpar\intbl\wrapdefault\aspalpha\aspnum\faauto\adjustright\rin0\lin0 \rtlch\fcs1 _x000d__x000a_\af0\afs20\alang1025 \ltrch\fcs0 \fs24\lang2057\langfe2057\cgrid\langnp2057\langfenp2057 {\rtlch\fcs1 \af0 \ltrch\fcs0 \insrsid5910368\charrsid26596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5910368\charrsid265961 Draft legislative resolution\cell Amendment\cell }\pard\plain \ltrpar\ql \li0\ri0\widctlpar\intbl\wrapdefault\aspalpha\aspnum\faauto\adjustright\rin0\lin0 \rtlch\fcs1 \af0\afs20\alang1025 _x000d__x000a_\ltrch\fcs0 \fs24\lang2057\langfe2057\cgrid\langnp2057\langfenp2057 {\rtlch\fcs1 \af0 \ltrch\fcs0 \insrsid5910368\charrsid26596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910368\charrsid265961 ##\cell ##}{\rtlch\fcs1 \af0\afs24 \ltrch\fcs0 \insrsid5910368\charrsid265961 \cell }\pard\plain \ltrpar\ql \li0\ri0\widctlpar\intbl\wrapdefault\aspalpha\aspnum\faauto\adjustright\rin0\lin0 \rtlch\fcs1 \af0\afs20\alang1025 _x000d__x000a_\ltrch\fcs0 \fs24\lang2057\langfe2057\cgrid\langnp2057\langfenp2057 {\rtlch\fcs1 \af0 \ltrch\fcs0 \insrsid5910368\charrsid26596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5910368\charrsid265961 Or. }{\rtlch\fcs1 \af0 \ltrch\fcs0 \cs17\v\fs20\cf9\lang1024\langfe1024\loch\af1\hich\af1\dbch\af31501\noproof\insrsid5910368\charrsid265961 \hich\af1\dbch\af31501\loch\f1 &lt;Original&gt;}{\rtlch\fcs1 \af0 \ltrch\fcs0 _x000d__x000a_\insrsid5910368\charrsid265961 #}{\rtlch\fcs1 \af1 \ltrch\fcs0 \cs20\v\f1\fs20\cf15\insrsid5910368\charrsid265961 MNU[OPTORLANG][ORLANGMORE]@CHOICE@AMPLURMNU}{\rtlch\fcs1 \af0 \ltrch\fcs0 \insrsid5910368\charrsid265961 #}{\rtlch\fcs1 \af0 \ltrch\fcs0 _x000d__x000a_\cs17\v\fs20\cf9\lang1024\langfe1024\loch\af1\hich\af1\dbch\af31501\noproof\insrsid5910368\charrsid265961 \hich\af1\dbch\af31501\loch\f1 &lt;/Original&gt;}{\rtlch\fcs1 \af0 \ltrch\fcs0 \insrsid5910368\charrsid2659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910368\charrsid26596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8_x000d__x000a_cd9a6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27709 HideTWBExt;}{_x000d__x000a_\s18\ql \li0\ri0\sa120\nowidctlpar\wrapdefault\aspalpha\aspnum\faauto\adjustright\rin0\lin0\itap0 \rtlch\fcs1 \af0\afs20\alang1025 \ltrch\fcs0 \fs24\lang2057\langfe2057\cgrid\langnp2057\langfenp2057 \sbasedon0 \snext18 \spriority0 \styrsid7427709 _x000d__x000a_Normal6a;}{\s19\ql \li0\ri0\nowidctlpar\wrapdefault\aspalpha\aspnum\faauto\adjustright\rin0\lin0\itap0 \rtlch\fcs1 \af0\afs20\alang1025 \ltrch\fcs0 \b\fs24\lang2057\langfe2057\cgrid\langnp2057\langfenp2057 \sbasedon0 \snext19 \spriority0 \styrsid7427709 _x000d__x000a_NormalBold;}{\s20\ql \li0\ri0\sa240\nowidctlpar\wrapdefault\aspalpha\aspnum\faauto\adjustright\rin0\lin0\itap0 \rtlch\fcs1 \af0\afs20\alang1025 \ltrch\fcs0 \i\fs24\lang2057\langfe2057\cgrid\langnp2057\langfenp2057 _x000d__x000a_\sbasedon0 \snext20 \spriority0 \styrsid7427709 AmJustText;}{\s21\qc \li0\ri0\sb240\sa240\nowidctlpar\wrapdefault\aspalpha\aspnum\faauto\adjustright\rin0\lin0\itap0 \rtlch\fcs1 \af0\afs20\alang1025 \ltrch\fcs0 _x000d__x000a_\i\fs24\lang2057\langfe2057\cgrid\langnp2057\langfenp2057 \sbasedon0 \snext21 \spriority0 \styrsid7427709 AmCrossRef;}{\*\cs22 \additive \v\f1\fs20\cf15 \spriority0 \styrsid7427709 HideTWBInt;}{_x000d__x000a_\s23\qc \li0\ri0\sb240\sa240\keepn\nowidctlpar\wrapdefault\aspalpha\aspnum\faauto\adjustright\rin0\lin0\itap0 \rtlch\fcs1 \af0\afs20\alang1025 \ltrch\fcs0 \i\fs24\lang2057\langfe2057\cgrid\langnp2057\langfenp2057 _x000d__x000a_\sbasedon0 \snext20 \spriority0 \styrsid7427709 AmJustTitle;}{\s24\qr \li0\ri0\sb240\sa240\nowidctlpar\wrapdefault\aspalpha\aspnum\faauto\adjustright\rin0\lin0\itap0 \rtlch\fcs1 \af0\afs20\alang1025 \ltrch\fcs0 _x000d__x000a_\fs24\lang2057\langfe2057\cgrid\langnp2057\langfenp2057 \sbasedon0 \snext24 \spriority0 \styrsid7427709 AmOrLang;}{\s25\qc \li0\ri0\sa240\nowidctlpar\wrapdefault\aspalpha\aspnum\faauto\adjustright\rin0\lin0\itap0 \rtlch\fcs1 \af0\afs20\alang1025 _x000d__x000a_\ltrch\fcs0 \i\fs24\lang2057\langfe2057\cgrid\langnp2057\langfenp2057 \sbasedon0 \snext25 \spriority0 \styrsid74277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27709 AmNumberTabs;}{\s27\ql \li0\ri0\sb240\nowidctlpar\wrapdefault\aspalpha\aspnum\faauto\adjustright\rin0\lin0\itap0 \rtlch\fcs1 _x000d__x000a_\af0\afs20\alang1025 \ltrch\fcs0 \b\fs24\lang2057\langfe2057\cgrid\langnp2057\langfenp2057 \sbasedon0 \snext27 \spriority0 \styrsid7427709 NormalBold12b;}}{\*\rsidtbl \rsid24658\rsid223860\rsid735077\rsid1718133\rsid2892074\rsid3565327\rsid4666813_x000d__x000a_\rsid6641733\rsid7427709\rsid7823322\rsid8220584\rsid9636012\rsid10160324\rsid10377208\rsid11215221\rsid11549030\rsid12154954\rsid14382809\rsid14424199\rsid15204470\rsid15285974\rsid15950462\rsid16324206\rsid16662270}{\mmathPr\mmathFont34\mbrkBin0_x000d__x000a_\mbrkBinSub0\msmallFrac0\mdispDef1\mlMargin0\mrMargin0\mdefJc1\mwrapIndent1440\mintLim0\mnaryLim1}{\info{\author ZAHARIE Ana Maria}{\operator ZAHARIE Ana Maria}{\creatim\yr2026\mo6\dy8\hr18\min26}{\revtim\yr2026\mo6\dy8\hr18\min26}{\version1}{\edmins0}_x000d__x000a_{\nofpages1}{\nofwords105}{\nofchars631}{\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27709\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10160324 \chftnsep _x000d__x000a_\par }}{\*\ftnsepc \ltrpar \pard\plain \ltrpar\ql \li0\ri0\widctlpar\wrapdefault\aspalpha\aspnum\faauto\adjustright\rin0\lin0\itap0 \rtlch\fcs1 \af0\afs20\alang1025 \ltrch\fcs0 \fs24\lang2057\langfe2057\cgrid\langnp2057\langfenp2057 {\rtlch\fcs1 \af0 _x000d__x000a_\ltrch\fcs0 \insrsid10160324 \chftnsepc _x000d__x000a_\par }}{\*\aftnsep \ltrpar \pard\plain \ltrpar\ql \li0\ri0\widctlpar\wrapdefault\aspalpha\aspnum\faauto\adjustright\rin0\lin0\itap0 \rtlch\fcs1 \af0\afs20\alang1025 \ltrch\fcs0 \fs24\lang2057\langfe2057\cgrid\langnp2057\langfenp2057 {\rtlch\fcs1 \af0 _x000d__x000a_\ltrch\fcs0 \insrsid10160324 \chftnsep _x000d__x000a_\par }}{\*\aftnsepc \ltrpar \pard\plain \ltrpar\ql \li0\ri0\widctlpar\wrapdefault\aspalpha\aspnum\faauto\adjustright\rin0\lin0\itap0 \rtlch\fcs1 \af0\afs20\alang1025 \ltrch\fcs0 \fs24\lang2057\langfe2057\cgrid\langnp2057\langfenp2057 {\rtlch\fcs1 \af0 _x000d__x000a_\ltrch\fcs0 \insrsid101603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427709\charrsid265961 {\*\bkmkstart restartB}_x000d__x000a_\hich\af1\dbch\af31501\loch\f1 &lt;AmendB&gt;}{\rtlch\fcs1 \af0 \ltrch\fcs0 \insrsid7427709\charrsid265961 Amendment\tab \tab }{\rtlch\fcs1 \af0 \ltrch\fcs0 _x000d__x000a_\cs17\b0\v\fs20\cf9\lang1024\langfe1024\loch\af1\hich\af1\dbch\af31501\noproof\insrsid7427709\charrsid265961 \hich\af1\dbch\af31501\loch\f1 &lt;NumAmB&gt;}{\rtlch\fcs1 \af0 \ltrch\fcs0 \insrsid7427709\charrsid265961 #}{\rtlch\fcs1 \af1 \ltrch\fcs0 _x000d__x000a_\cs22\v\f1\fs20\cf15\insrsid7427709\charrsid265961 ENMIENDA@NRAM@}{\rtlch\fcs1 \af0 \ltrch\fcs0 \insrsid7427709\charrsid265961 #}{\rtlch\fcs1 \af0 \ltrch\fcs0 _x000d__x000a_\cs17\b0\v\fs20\cf9\lang1024\langfe1024\loch\af1\hich\af1\dbch\af31501\noproof\insrsid7427709\charrsid265961 \hich\af1\dbch\af31501\loch\f1 &lt;/NumAmB&gt;}{\rtlch\fcs1 \af0 \ltrch\fcs0 \insrsid7427709\charrsid26596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427709\charrsid265961 \hich\af1\dbch\af31501\loch\f1 &lt;DocAmend&gt;}{\rtlch\fcs1 \af0 \ltrch\fcs0 \insrsid7427709\charrsid265961 #}{_x000d__x000a_\rtlch\fcs1 \af1 \ltrch\fcs0 \cs22\v\f1\fs20\cf15\insrsid7427709\charrsid265961 MNU[OPTPROPOSALCOD][OPTPROPOSALCNS][OPTPROPOSALNLE][OPTPROPOSALINL]@CHOICE@CODEMNU}{\rtlch\fcs1 \af0 \ltrch\fcs0 \insrsid7427709\charrsid265961 ##}{\rtlch\fcs1 \af1 _x000d__x000a_\ltrch\fcs0 \cs22\v\f1\fs20\cf15\insrsid7427709\charrsid265961 MNU[AMACTYES][NOTAPP]@CHOICE@AMACTMNU}{\rtlch\fcs1 \af0 \ltrch\fcs0 \insrsid7427709\charrsid265961 #}{\rtlch\fcs1 \af0 \ltrch\fcs0 _x000d__x000a_\cs17\b0\v\fs20\cf9\lang1024\langfe1024\loch\af1\hich\af1\dbch\af31501\noproof\insrsid7427709\charrsid265961 \hich\af1\dbch\af31501\loch\f1 &lt;/DocAmend&gt;}{\rtlch\fcs1 \af0 \ltrch\fcs0 \insrsid7427709\charrsid26596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427709\charrsid265961 \hich\af1\dbch\af31501\loch\f1 &lt;Article&gt;}{\rtlch\fcs1 \af0 \ltrch\fcs0 \insrsid7427709\charrsid265961 #}{\rtlch\fcs1 \af1 _x000d__x000a_\ltrch\fcs0 \cs22\v\f1\fs20\cf15\insrsid7427709\charrsid265961 MNU[AMACTPARTYES][AMACTPARTNO]@CHOICE@AMACTMNU}{\rtlch\fcs1 \af0 \ltrch\fcs0 \insrsid7427709\charrsid265961 #}{\rtlch\fcs1 \af0 \ltrch\fcs0 _x000d__x000a_\cs17\b0\v\fs20\cf9\lang1024\langfe1024\loch\af1\hich\af1\dbch\af31501\noproof\insrsid7427709\charrsid265961 \hich\af1\dbch\af31501\loch\f1 &lt;/Article&gt;}{\rtlch\fcs1 \af0 \ltrch\fcs0 \insrsid7427709\charrsid26596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427709\charrsid265961 \hich\af1\dbch\af31501\loch\f1 &lt;DocAmend2&gt;&lt;OptDel&gt;}{\rtlch\fcs1 \af0 \ltrch\fcs0 \insrsid7427709\charrsid265961 #}{\rtlch\fcs1 \af1 _x000d__x000a_\ltrch\fcs0 \cs22\v\f1\fs20\cf15\insrsid7427709\charrsid265961 MNU[OPTNRACTYES][NOTAPP]@CHOICE@AMACTMNU}{\rtlch\fcs1 \af0 \ltrch\fcs0 \insrsid7427709\charrsid265961 #}{\rtlch\fcs1 \af0 \ltrch\fcs0 _x000d__x000a_\cs17\v\fs20\cf9\lang1024\langfe1024\loch\af1\hich\af1\dbch\af31501\noproof\insrsid7427709\charrsid265961 \hich\af1\dbch\af31501\loch\f1 &lt;/OptDel&gt;&lt;/DocAmend2&gt;}{\rtlch\fcs1 \af0 \ltrch\fcs0 \insrsid7427709\charrsid265961 _x000d__x000a_\par }\pard \ltrpar\ql \li0\ri0\widctlpar\wrapdefault\aspalpha\aspnum\faauto\adjustright\rin0\lin0\itap0\pararsid14374628 {\rtlch\fcs1 \af0 \ltrch\fcs0 \cs17\v\fs20\cf9\lang1024\langfe1024\loch\af1\hich\af1\dbch\af31501\noproof\insrsid7427709\charrsid265961 _x000d__x000a_\hich\af1\dbch\af31501\loch\f1 &lt;Article2&gt;&lt;OptDel&gt;}{\rtlch\fcs1 \af0 \ltrch\fcs0 \insrsid7427709\charrsid265961 #}{\rtlch\fcs1 \af1 \ltrch\fcs0 \cs22\v\f1\fs20\cf15\insrsid7427709\charrsid265961 MNU[OPTACTPARTYES][NOTAPP]@CHOICE@AMACTMNU}{\rtlch\fcs1 \af0 _x000d__x000a_\ltrch\fcs0 \insrsid7427709\charrsid265961 #}{\rtlch\fcs1 \af0 \ltrch\fcs0 \cs17\v\fs20\cf9\lang1024\langfe1024\loch\af1\hich\af1\dbch\af31501\noproof\insrsid7427709\charrsid265961 \hich\af1\dbch\af31501\loch\f1 &lt;/OptDel&gt;&lt;/Article2&gt;}{\rtlch\fcs1 \af0 _x000d__x000a_\ltrch\fcs0 \insrsid7427709\charrsid26596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427709\charrsid265961 \cell }\pard\plain \ltrpar\ql \li0\ri0\widctlpar\intbl\wrapdefault\aspalpha\aspnum\faauto\adjustright\rin0\lin0 \rtlch\fcs1 _x000d__x000a_\af0\afs20\alang1025 \ltrch\fcs0 \fs24\lang2057\langfe2057\cgrid\langnp2057\langfenp2057 {\rtlch\fcs1 \af0 \ltrch\fcs0 \insrsid7427709\charrsid26596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427709\charrsid265961 #}{\rtlch\fcs1 \af1 \ltrch\fcs0 \cs22\v\f1\fs20\cf15\insrsid7427709\charrsid265961 MNU[OPTLEFTAMACT][LEFTPROP]@CHOICE@AMACTMNU}{_x000d__x000a_\rtlch\fcs1 \af0 \ltrch\fcs0 \insrsid7427709\charrsid265961 #\cell Amendment\cell }\pard\plain \ltrpar\ql \li0\ri0\widctlpar\intbl\wrapdefault\aspalpha\aspnum\faauto\adjustright\rin0\lin0 \rtlch\fcs1 \af0\afs20\alang1025 \ltrch\fcs0 _x000d__x000a_\fs24\lang2057\langfe2057\cgrid\langnp2057\langfenp2057 {\rtlch\fcs1 \af0 \ltrch\fcs0 \insrsid7427709\charrsid26596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427709\charrsid265961 ##\cell ##}{\rtlch\fcs1 \af0\afs24 \ltrch\fcs0 \insrsid7427709\charrsid265961 \cell }\pard\plain \ltrpar\ql \li0\ri0\widctlpar\intbl\wrapdefault\aspalpha\aspnum\faauto\adjustright\rin0\lin0 \rtlch\fcs1 \af0\afs20\alang1025 _x000d__x000a_\ltrch\fcs0 \fs24\lang2057\langfe2057\cgrid\langnp2057\langfenp2057 {\rtlch\fcs1 \af0 \ltrch\fcs0 \insrsid7427709\charrsid26596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427709\charrsid265961 Or. }{\rtlch\fcs1 \af0 \ltrch\fcs0 \cs17\v\fs20\cf9\lang1024\langfe1024\loch\af1\hich\af1\dbch\af31501\noproof\insrsid7427709\charrsid265961 \hich\af1\dbch\af31501\loch\f1 &lt;Original&gt;}{\rtlch\fcs1 \af0 \ltrch\fcs0 _x000d__x000a_\insrsid7427709\charrsid265961 #}{\rtlch\fcs1 \af1 \ltrch\fcs0 \cs22\v\f1\fs20\cf15\insrsid7427709\charrsid265961 MNU[OPTORLANG][ORLANGMORE]@CHOICE@AMPLURMNU}{\rtlch\fcs1 \af0 \ltrch\fcs0 \insrsid7427709\charrsid265961 #}{\rtlch\fcs1 \af0 \ltrch\fcs0 _x000d__x000a_\cs17\v\fs20\cf9\lang1024\langfe1024\loch\af1\hich\af1\dbch\af31501\noproof\insrsid7427709\charrsid265961 \hich\af1\dbch\af31501\loch\f1 &lt;/Original&gt;}{\rtlch\fcs1 \af0 \ltrch\fcs0 \insrsid7427709\charrsid26596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427709\charrsid265961 \hich\af1\dbch\af31501\loch\f1 &lt;OptDel&gt;}{\rtlch\fcs1 \af0 \ltrch\fcs0 \insrsid7427709\charrsid265961 #}{\rtlch\fcs1 _x000d__x000a_\af1 \ltrch\fcs0 \cs22\v\f1\fs20\cf15\insrsid7427709\charrsid265961 MNU[CROSSREFNO][CROSSREFYES]@CHOICE@}{\rtlch\fcs1 \af0 \ltrch\fcs0 \insrsid7427709\charrsid265961 #}{\rtlch\fcs1 \af0 \ltrch\fcs0 _x000d__x000a_\cs17\i0\v\fs20\cf9\lang1024\langfe1024\loch\af1\hich\af1\dbch\af31501\noproof\insrsid7427709\charrsid265961 \hich\af1\dbch\af31501\loch\f1 &lt;/OptDel&gt;}{\rtlch\fcs1 \af0 \ltrch\fcs0 \insrsid7427709\charrsid26596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427709\charrsid265961 \hich\af1\dbch\af31501\loch\f1 &lt;TitreJust&gt;}{\rtlch\fcs1 \af0 \ltrch\fcs0 \insrsid7427709\charrsid265961 Justification_x000d__x000a_}{\rtlch\fcs1 \af0 \ltrch\fcs0 \cs17\i0\v\fs20\cf9\lang1024\langfe1024\loch\af1\hich\af1\dbch\af31501\noproof\insrsid7427709\charrsid265961 \hich\af1\dbch\af31501\loch\f1 &lt;/TitreJust&gt;}{\rtlch\fcs1 \af0 \ltrch\fcs0 \insrsid7427709\charrsid26596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427709\charrsid265961 \hich\af1\dbch\af31501\loch\f1 &lt;OptDelPrev&gt;}{\rtlch\fcs1 \af0 \ltrch\fcs0 \insrsid7427709\charrsid265961 #}{\rtlch\fcs1 \af1 _x000d__x000a_\ltrch\fcs0 \cs22\v\f1\fs20\cf15\insrsid7427709\charrsid265961 MNU[TEXTJUSTYES][TEXTJUSTNO]@CHOICE@}{\rtlch\fcs1 \af0 \ltrch\fcs0 \insrsid7427709\charrsid265961 #}{\rtlch\fcs1 \af0 \ltrch\fcs0 _x000d__x000a_\cs17\i0\v\fs20\cf9\lang1024\langfe1024\loch\af1\hich\af1\dbch\af31501\noproof\insrsid7427709\charrsid265961 \hich\af1\dbch\af31501\loch\f1 &lt;/OptDelPrev&gt;}{\rtlch\fcs1 \af0 \ltrch\fcs0 \insrsid7427709\charrsid2659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27709\charrsid26596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0a_x000d__x000a_649b63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5"/>
    <w:docVar w:name="TEXTMNU" w:val=" 1"/>
    <w:docVar w:name="TITLECODMNU" w:val=" 1"/>
    <w:docVar w:name="TVTAMPART" w:val="xxx"/>
    <w:docVar w:name="TVTRESPART" w:val="xxx"/>
    <w:docVar w:name="TXTAUTHOR" w:val="Tiemo Wölken"/>
    <w:docVar w:name="TXTLANGUE" w:val="EN"/>
    <w:docVar w:name="TXTLANGUEMIN" w:val="en"/>
    <w:docVar w:name="TXTNRC" w:val="0363/2025"/>
    <w:docVar w:name="TXTNRCOM" w:val="2025(1022)"/>
    <w:docVar w:name="TXTNRFIRSTAM" w:val="1"/>
    <w:docVar w:name="TXTNRLASTAM" w:val="41"/>
    <w:docVar w:name="TXTNRPE" w:val="789.902"/>
    <w:docVar w:name="TXTNRPROC" w:val="2025/0406)"/>
    <w:docVar w:name="TXTPEorAP" w:val="PE"/>
    <w:docVar w:name="TXTROUTE" w:val="PA\1345357EN.docx"/>
    <w:docVar w:name="TXTVERSION" w:val="01-00"/>
  </w:docVars>
  <w:rsids>
    <w:rsidRoot w:val="00040EE9"/>
    <w:rsid w:val="00026559"/>
    <w:rsid w:val="00027FA8"/>
    <w:rsid w:val="00040EE9"/>
    <w:rsid w:val="0004474F"/>
    <w:rsid w:val="0006341A"/>
    <w:rsid w:val="00082EC4"/>
    <w:rsid w:val="00084DE7"/>
    <w:rsid w:val="000B40FD"/>
    <w:rsid w:val="000D44A6"/>
    <w:rsid w:val="00122C05"/>
    <w:rsid w:val="00134974"/>
    <w:rsid w:val="00141CD7"/>
    <w:rsid w:val="001616BD"/>
    <w:rsid w:val="001820A9"/>
    <w:rsid w:val="001A0556"/>
    <w:rsid w:val="001B0A1E"/>
    <w:rsid w:val="001B48BE"/>
    <w:rsid w:val="001C0886"/>
    <w:rsid w:val="001D5154"/>
    <w:rsid w:val="001E3AC4"/>
    <w:rsid w:val="001E58AC"/>
    <w:rsid w:val="0020077A"/>
    <w:rsid w:val="0023131B"/>
    <w:rsid w:val="002969F2"/>
    <w:rsid w:val="002A40FC"/>
    <w:rsid w:val="002A67EE"/>
    <w:rsid w:val="002B53F3"/>
    <w:rsid w:val="002F1264"/>
    <w:rsid w:val="002F70E5"/>
    <w:rsid w:val="00304EA8"/>
    <w:rsid w:val="00323437"/>
    <w:rsid w:val="00341A99"/>
    <w:rsid w:val="00360FAA"/>
    <w:rsid w:val="0038294E"/>
    <w:rsid w:val="003A2F84"/>
    <w:rsid w:val="003B6177"/>
    <w:rsid w:val="003C7390"/>
    <w:rsid w:val="003E1280"/>
    <w:rsid w:val="003F128E"/>
    <w:rsid w:val="0040055C"/>
    <w:rsid w:val="00487596"/>
    <w:rsid w:val="004B3A53"/>
    <w:rsid w:val="004C2A0D"/>
    <w:rsid w:val="004F1D2F"/>
    <w:rsid w:val="00502B76"/>
    <w:rsid w:val="00513F6F"/>
    <w:rsid w:val="00522B51"/>
    <w:rsid w:val="00524707"/>
    <w:rsid w:val="005262B4"/>
    <w:rsid w:val="005304A1"/>
    <w:rsid w:val="005539B7"/>
    <w:rsid w:val="00555844"/>
    <w:rsid w:val="00571233"/>
    <w:rsid w:val="005A5A5E"/>
    <w:rsid w:val="005C099B"/>
    <w:rsid w:val="005D26F7"/>
    <w:rsid w:val="00613134"/>
    <w:rsid w:val="00626D52"/>
    <w:rsid w:val="00643DA8"/>
    <w:rsid w:val="00657D5C"/>
    <w:rsid w:val="00683DD1"/>
    <w:rsid w:val="00691B1C"/>
    <w:rsid w:val="006A0F0A"/>
    <w:rsid w:val="006A4739"/>
    <w:rsid w:val="006A48AA"/>
    <w:rsid w:val="006B1267"/>
    <w:rsid w:val="006D292E"/>
    <w:rsid w:val="006E2F13"/>
    <w:rsid w:val="00712462"/>
    <w:rsid w:val="00716BAA"/>
    <w:rsid w:val="0078548A"/>
    <w:rsid w:val="007B7CE3"/>
    <w:rsid w:val="007C2804"/>
    <w:rsid w:val="007D6FA8"/>
    <w:rsid w:val="007E4F5D"/>
    <w:rsid w:val="007F187F"/>
    <w:rsid w:val="007F40B5"/>
    <w:rsid w:val="00817D13"/>
    <w:rsid w:val="00820C7D"/>
    <w:rsid w:val="0082110A"/>
    <w:rsid w:val="00833D11"/>
    <w:rsid w:val="00836FD3"/>
    <w:rsid w:val="008375A8"/>
    <w:rsid w:val="0084036E"/>
    <w:rsid w:val="00872A52"/>
    <w:rsid w:val="00876A73"/>
    <w:rsid w:val="0089388A"/>
    <w:rsid w:val="008F3DB0"/>
    <w:rsid w:val="00901437"/>
    <w:rsid w:val="00904864"/>
    <w:rsid w:val="009052FE"/>
    <w:rsid w:val="009215FC"/>
    <w:rsid w:val="00924555"/>
    <w:rsid w:val="009368B3"/>
    <w:rsid w:val="00982B83"/>
    <w:rsid w:val="009857B4"/>
    <w:rsid w:val="009E2AD8"/>
    <w:rsid w:val="009E7319"/>
    <w:rsid w:val="00A05CFF"/>
    <w:rsid w:val="00A069EF"/>
    <w:rsid w:val="00A11E09"/>
    <w:rsid w:val="00A71228"/>
    <w:rsid w:val="00A74E25"/>
    <w:rsid w:val="00A87657"/>
    <w:rsid w:val="00AC2A60"/>
    <w:rsid w:val="00AD49D0"/>
    <w:rsid w:val="00B00EE6"/>
    <w:rsid w:val="00B335F7"/>
    <w:rsid w:val="00B476DC"/>
    <w:rsid w:val="00B556CD"/>
    <w:rsid w:val="00B62D4B"/>
    <w:rsid w:val="00B73EFC"/>
    <w:rsid w:val="00B904FA"/>
    <w:rsid w:val="00BA3E40"/>
    <w:rsid w:val="00BD1F76"/>
    <w:rsid w:val="00BE20CF"/>
    <w:rsid w:val="00C0223E"/>
    <w:rsid w:val="00C22327"/>
    <w:rsid w:val="00C335C6"/>
    <w:rsid w:val="00C4219C"/>
    <w:rsid w:val="00C52A28"/>
    <w:rsid w:val="00C709B7"/>
    <w:rsid w:val="00C75E98"/>
    <w:rsid w:val="00C81C5B"/>
    <w:rsid w:val="00C83B35"/>
    <w:rsid w:val="00D25CF2"/>
    <w:rsid w:val="00D56CE0"/>
    <w:rsid w:val="00D6254D"/>
    <w:rsid w:val="00D63609"/>
    <w:rsid w:val="00D67D0A"/>
    <w:rsid w:val="00D74FD1"/>
    <w:rsid w:val="00D943A5"/>
    <w:rsid w:val="00D9581F"/>
    <w:rsid w:val="00D96A2F"/>
    <w:rsid w:val="00DB56E4"/>
    <w:rsid w:val="00DB7BC2"/>
    <w:rsid w:val="00E27F01"/>
    <w:rsid w:val="00E41873"/>
    <w:rsid w:val="00E55AC0"/>
    <w:rsid w:val="00E77FF5"/>
    <w:rsid w:val="00E91E62"/>
    <w:rsid w:val="00E94D64"/>
    <w:rsid w:val="00EA3802"/>
    <w:rsid w:val="00EF1432"/>
    <w:rsid w:val="00EF20F6"/>
    <w:rsid w:val="00EF33D5"/>
    <w:rsid w:val="00F05AC3"/>
    <w:rsid w:val="00F15744"/>
    <w:rsid w:val="00F24D40"/>
    <w:rsid w:val="00F95E60"/>
    <w:rsid w:val="00FB3082"/>
    <w:rsid w:val="00FC428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B3D70"/>
  <w15:chartTrackingRefBased/>
  <w15:docId w15:val="{CDDA2E47-74AD-4FFF-B775-3B1810D1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styleId="Hyperlink">
    <w:name w:val="Hyperlink"/>
    <w:basedOn w:val="DefaultParagraphFont"/>
    <w:unhideWhenUsed/>
    <w:rsid w:val="002969F2"/>
    <w:rPr>
      <w:color w:val="0563C1" w:themeColor="hyperlink"/>
      <w:u w:val="single"/>
    </w:rPr>
  </w:style>
  <w:style w:type="character" w:styleId="FollowedHyperlink">
    <w:name w:val="FollowedHyperlink"/>
    <w:basedOn w:val="DefaultParagraphFont"/>
    <w:uiPriority w:val="99"/>
    <w:unhideWhenUsed/>
    <w:rsid w:val="002969F2"/>
    <w:rPr>
      <w:color w:val="954F72" w:themeColor="followedHyperlink"/>
      <w:u w:val="single"/>
    </w:rPr>
  </w:style>
  <w:style w:type="paragraph" w:customStyle="1" w:styleId="msonormal0">
    <w:name w:val="msonormal"/>
    <w:basedOn w:val="Normal"/>
    <w:rsid w:val="002969F2"/>
    <w:pPr>
      <w:widowControl/>
      <w:spacing w:before="100" w:beforeAutospacing="1" w:after="100" w:afterAutospacing="1"/>
    </w:pPr>
  </w:style>
  <w:style w:type="paragraph" w:styleId="CommentText">
    <w:name w:val="annotation text"/>
    <w:basedOn w:val="Normal"/>
    <w:link w:val="CommentTextChar"/>
    <w:unhideWhenUsed/>
    <w:rsid w:val="002969F2"/>
    <w:pPr>
      <w:widowControl/>
    </w:pPr>
    <w:rPr>
      <w:sz w:val="20"/>
      <w:szCs w:val="20"/>
    </w:rPr>
  </w:style>
  <w:style w:type="character" w:customStyle="1" w:styleId="CommentTextChar">
    <w:name w:val="Comment Text Char"/>
    <w:basedOn w:val="DefaultParagraphFont"/>
    <w:link w:val="CommentText"/>
    <w:rsid w:val="002969F2"/>
  </w:style>
  <w:style w:type="paragraph" w:styleId="Footer">
    <w:name w:val="footer"/>
    <w:link w:val="FooterChar"/>
    <w:unhideWhenUsed/>
    <w:rsid w:val="002969F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2969F2"/>
    <w:rPr>
      <w:sz w:val="22"/>
    </w:rPr>
  </w:style>
  <w:style w:type="paragraph" w:styleId="CommentSubject">
    <w:name w:val="annotation subject"/>
    <w:basedOn w:val="CommentText"/>
    <w:next w:val="CommentText"/>
    <w:link w:val="CommentSubjectChar"/>
    <w:semiHidden/>
    <w:unhideWhenUsed/>
    <w:rsid w:val="002969F2"/>
    <w:rPr>
      <w:b/>
      <w:bCs/>
    </w:rPr>
  </w:style>
  <w:style w:type="character" w:customStyle="1" w:styleId="CommentSubjectChar">
    <w:name w:val="Comment Subject Char"/>
    <w:basedOn w:val="CommentTextChar"/>
    <w:link w:val="CommentSubject"/>
    <w:semiHidden/>
    <w:rsid w:val="002969F2"/>
    <w:rPr>
      <w:b/>
      <w:bCs/>
    </w:rPr>
  </w:style>
  <w:style w:type="paragraph" w:styleId="Revision">
    <w:name w:val="Revision"/>
    <w:uiPriority w:val="99"/>
    <w:semiHidden/>
    <w:rsid w:val="002969F2"/>
    <w:rPr>
      <w:sz w:val="24"/>
      <w:szCs w:val="24"/>
    </w:rPr>
  </w:style>
  <w:style w:type="character" w:customStyle="1" w:styleId="Normal12Char">
    <w:name w:val="Normal12 Char"/>
    <w:basedOn w:val="DefaultParagraphFont"/>
    <w:link w:val="Normal12"/>
    <w:locked/>
    <w:rsid w:val="002969F2"/>
    <w:rPr>
      <w:noProof/>
      <w:sz w:val="24"/>
    </w:rPr>
  </w:style>
  <w:style w:type="paragraph" w:customStyle="1" w:styleId="Normal12">
    <w:name w:val="Normal12"/>
    <w:basedOn w:val="Normal"/>
    <w:link w:val="Normal12Char"/>
    <w:rsid w:val="002969F2"/>
    <w:pPr>
      <w:spacing w:after="240"/>
    </w:pPr>
    <w:rPr>
      <w:noProof/>
      <w:szCs w:val="20"/>
    </w:rPr>
  </w:style>
  <w:style w:type="paragraph" w:customStyle="1" w:styleId="CommitteeAM">
    <w:name w:val="CommitteeAM"/>
    <w:basedOn w:val="Normal"/>
    <w:rsid w:val="002969F2"/>
    <w:pPr>
      <w:spacing w:before="240" w:after="600"/>
      <w:jc w:val="center"/>
    </w:pPr>
    <w:rPr>
      <w:i/>
      <w:szCs w:val="20"/>
    </w:rPr>
  </w:style>
  <w:style w:type="paragraph" w:customStyle="1" w:styleId="ZDateAM">
    <w:name w:val="ZDateAM"/>
    <w:basedOn w:val="Normal"/>
    <w:rsid w:val="002969F2"/>
    <w:pPr>
      <w:tabs>
        <w:tab w:val="right" w:pos="9356"/>
      </w:tabs>
      <w:spacing w:after="480"/>
    </w:pPr>
    <w:rPr>
      <w:noProof/>
      <w:szCs w:val="20"/>
    </w:rPr>
  </w:style>
  <w:style w:type="paragraph" w:customStyle="1" w:styleId="ProjRap">
    <w:name w:val="ProjRap"/>
    <w:basedOn w:val="Normal"/>
    <w:rsid w:val="002969F2"/>
    <w:pPr>
      <w:tabs>
        <w:tab w:val="right" w:pos="9356"/>
      </w:tabs>
    </w:pPr>
    <w:rPr>
      <w:b/>
      <w:noProof/>
      <w:szCs w:val="20"/>
    </w:rPr>
  </w:style>
  <w:style w:type="paragraph" w:customStyle="1" w:styleId="PELeft">
    <w:name w:val="PELeft"/>
    <w:basedOn w:val="Normal"/>
    <w:rsid w:val="002969F2"/>
    <w:pPr>
      <w:spacing w:before="40" w:after="40"/>
    </w:pPr>
    <w:rPr>
      <w:rFonts w:ascii="Arial" w:hAnsi="Arial" w:cs="Arial"/>
      <w:sz w:val="22"/>
      <w:szCs w:val="22"/>
      <w:lang w:val="fr-FR"/>
    </w:rPr>
  </w:style>
  <w:style w:type="paragraph" w:customStyle="1" w:styleId="PERight">
    <w:name w:val="PERight"/>
    <w:basedOn w:val="Normal"/>
    <w:next w:val="Normal"/>
    <w:rsid w:val="002969F2"/>
    <w:pPr>
      <w:jc w:val="right"/>
    </w:pPr>
    <w:rPr>
      <w:rFonts w:ascii="Arial" w:hAnsi="Arial" w:cs="Arial"/>
      <w:sz w:val="22"/>
      <w:szCs w:val="22"/>
      <w:lang w:val="fr-FR"/>
    </w:rPr>
  </w:style>
  <w:style w:type="character" w:customStyle="1" w:styleId="Normal6Char">
    <w:name w:val="Normal6 Char"/>
    <w:basedOn w:val="DefaultParagraphFont"/>
    <w:link w:val="Normal6"/>
    <w:locked/>
    <w:rsid w:val="002969F2"/>
    <w:rPr>
      <w:sz w:val="24"/>
      <w:lang w:val="fr-FR"/>
    </w:rPr>
  </w:style>
  <w:style w:type="paragraph" w:customStyle="1" w:styleId="Normal6">
    <w:name w:val="Normal6"/>
    <w:basedOn w:val="Normal"/>
    <w:link w:val="Normal6Char"/>
    <w:rsid w:val="002969F2"/>
    <w:pPr>
      <w:spacing w:after="120"/>
    </w:pPr>
    <w:rPr>
      <w:szCs w:val="20"/>
      <w:lang w:val="fr-FR"/>
    </w:rPr>
  </w:style>
  <w:style w:type="character" w:customStyle="1" w:styleId="NormalBoldChar">
    <w:name w:val="NormalBold Char"/>
    <w:basedOn w:val="DefaultParagraphFont"/>
    <w:link w:val="NormalBold"/>
    <w:locked/>
    <w:rsid w:val="002969F2"/>
    <w:rPr>
      <w:b/>
      <w:sz w:val="24"/>
    </w:rPr>
  </w:style>
  <w:style w:type="paragraph" w:customStyle="1" w:styleId="Normal12Italic">
    <w:name w:val="Normal12Italic"/>
    <w:basedOn w:val="Normal12"/>
    <w:rsid w:val="002969F2"/>
    <w:rPr>
      <w:i/>
      <w:lang w:val="fr-FR"/>
    </w:rPr>
  </w:style>
  <w:style w:type="paragraph" w:customStyle="1" w:styleId="JustificationTitle">
    <w:name w:val="JustificationTitle"/>
    <w:basedOn w:val="Normal"/>
    <w:next w:val="Normal12"/>
    <w:rsid w:val="002969F2"/>
    <w:pPr>
      <w:keepNext/>
      <w:spacing w:before="240" w:after="240"/>
      <w:jc w:val="center"/>
    </w:pPr>
    <w:rPr>
      <w:i/>
      <w:noProof/>
      <w:szCs w:val="20"/>
      <w:lang w:val="fr-FR"/>
    </w:rPr>
  </w:style>
  <w:style w:type="paragraph" w:customStyle="1" w:styleId="Olang">
    <w:name w:val="Olang"/>
    <w:basedOn w:val="Normal"/>
    <w:rsid w:val="002969F2"/>
    <w:pPr>
      <w:spacing w:before="240" w:after="240"/>
      <w:jc w:val="right"/>
    </w:pPr>
    <w:rPr>
      <w:noProof/>
      <w:lang w:val="fr-FR"/>
    </w:rPr>
  </w:style>
  <w:style w:type="paragraph" w:customStyle="1" w:styleId="ColumnHeading">
    <w:name w:val="ColumnHeading"/>
    <w:basedOn w:val="Normal"/>
    <w:rsid w:val="002969F2"/>
    <w:pPr>
      <w:spacing w:after="240"/>
      <w:jc w:val="center"/>
    </w:pPr>
    <w:rPr>
      <w:i/>
      <w:szCs w:val="20"/>
      <w:lang w:val="fr-FR"/>
    </w:rPr>
  </w:style>
  <w:style w:type="paragraph" w:customStyle="1" w:styleId="AMNumberTabs0">
    <w:name w:val="AMNumberTabs"/>
    <w:basedOn w:val="Normal"/>
    <w:rsid w:val="002969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2969F2"/>
    <w:pPr>
      <w:spacing w:before="240"/>
      <w:jc w:val="center"/>
    </w:pPr>
    <w:rPr>
      <w:i/>
      <w:szCs w:val="20"/>
      <w:lang w:val="fr-FR"/>
    </w:rPr>
  </w:style>
  <w:style w:type="paragraph" w:customStyle="1" w:styleId="Footer2">
    <w:name w:val="Footer2"/>
    <w:basedOn w:val="Normal12"/>
    <w:rsid w:val="002969F2"/>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2969F2"/>
    <w:rPr>
      <w:sz w:val="16"/>
      <w:szCs w:val="16"/>
    </w:rPr>
  </w:style>
  <w:style w:type="character" w:customStyle="1" w:styleId="Footer2Middle">
    <w:name w:val="Footer2Middle"/>
    <w:rsid w:val="002969F2"/>
    <w:rPr>
      <w:rFonts w:ascii="Arial" w:hAnsi="Arial" w:cs="Arial" w:hint="default"/>
      <w:b w:val="0"/>
      <w:bCs w:val="0"/>
      <w:i/>
      <w:iCs w:val="0"/>
      <w:color w:val="C0C0C0"/>
      <w:sz w:val="22"/>
    </w:rPr>
  </w:style>
  <w:style w:type="paragraph" w:customStyle="1" w:styleId="EntPE">
    <w:name w:val="EntPE"/>
    <w:basedOn w:val="Normal12"/>
    <w:rsid w:val="002969F2"/>
    <w:pPr>
      <w:jc w:val="center"/>
    </w:pPr>
    <w:rPr>
      <w:noProof w:val="0"/>
      <w:sz w:val="56"/>
    </w:rPr>
  </w:style>
  <w:style w:type="paragraph" w:customStyle="1" w:styleId="Normal24a">
    <w:name w:val="Normal24a"/>
    <w:basedOn w:val="Normal"/>
    <w:rsid w:val="00E55AC0"/>
    <w:pPr>
      <w:spacing w:after="480"/>
    </w:pPr>
  </w:style>
  <w:style w:type="paragraph" w:customStyle="1" w:styleId="NormalBoldCenter">
    <w:name w:val="NormalBoldCenter"/>
    <w:basedOn w:val="Normal"/>
    <w:rsid w:val="00E55AC0"/>
    <w:pPr>
      <w:jc w:val="center"/>
    </w:pPr>
    <w:rPr>
      <w:b/>
    </w:rPr>
  </w:style>
  <w:style w:type="paragraph" w:customStyle="1" w:styleId="Footprint12b">
    <w:name w:val="Footprint12b"/>
    <w:basedOn w:val="Normal"/>
    <w:rsid w:val="00E55AC0"/>
    <w:pPr>
      <w:spacing w:before="240"/>
    </w:pPr>
  </w:style>
  <w:style w:type="paragraph" w:customStyle="1" w:styleId="NormalSingle">
    <w:name w:val="NormalSingle"/>
    <w:basedOn w:val="Normal"/>
    <w:qFormat/>
    <w:rsid w:val="00E55AC0"/>
  </w:style>
  <w:style w:type="paragraph" w:styleId="FootnoteText">
    <w:name w:val="footnote text"/>
    <w:basedOn w:val="Normal"/>
    <w:link w:val="FootnoteTextChar"/>
    <w:rsid w:val="00E55AC0"/>
    <w:rPr>
      <w:sz w:val="20"/>
      <w:szCs w:val="20"/>
    </w:rPr>
  </w:style>
  <w:style w:type="character" w:customStyle="1" w:styleId="FootnoteTextChar">
    <w:name w:val="Footnote Text Char"/>
    <w:basedOn w:val="DefaultParagraphFont"/>
    <w:link w:val="FootnoteText"/>
    <w:rsid w:val="00E55AC0"/>
  </w:style>
  <w:style w:type="character" w:styleId="FootnoteReference">
    <w:name w:val="footnote reference"/>
    <w:basedOn w:val="DefaultParagraphFont"/>
    <w:rsid w:val="00E55AC0"/>
    <w:rPr>
      <w:vertAlign w:val="superscript"/>
    </w:rPr>
  </w:style>
  <w:style w:type="character" w:styleId="UnresolvedMention">
    <w:name w:val="Unresolved Mention"/>
    <w:basedOn w:val="DefaultParagraphFont"/>
    <w:uiPriority w:val="99"/>
    <w:semiHidden/>
    <w:unhideWhenUsed/>
    <w:rsid w:val="00E55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0378">
      <w:bodyDiv w:val="1"/>
      <w:marLeft w:val="0"/>
      <w:marRight w:val="0"/>
      <w:marTop w:val="0"/>
      <w:marBottom w:val="0"/>
      <w:divBdr>
        <w:top w:val="none" w:sz="0" w:space="0" w:color="auto"/>
        <w:left w:val="none" w:sz="0" w:space="0" w:color="auto"/>
        <w:bottom w:val="none" w:sz="0" w:space="0" w:color="auto"/>
        <w:right w:val="none" w:sz="0" w:space="0" w:color="auto"/>
      </w:divBdr>
    </w:div>
    <w:div w:id="1204366487">
      <w:bodyDiv w:val="1"/>
      <w:marLeft w:val="0"/>
      <w:marRight w:val="0"/>
      <w:marTop w:val="0"/>
      <w:marBottom w:val="0"/>
      <w:divBdr>
        <w:top w:val="none" w:sz="0" w:space="0" w:color="auto"/>
        <w:left w:val="none" w:sz="0" w:space="0" w:color="auto"/>
        <w:bottom w:val="none" w:sz="0" w:space="0" w:color="auto"/>
        <w:right w:val="none" w:sz="0" w:space="0" w:color="auto"/>
      </w:divBdr>
    </w:div>
    <w:div w:id="1511988617">
      <w:bodyDiv w:val="1"/>
      <w:marLeft w:val="0"/>
      <w:marRight w:val="0"/>
      <w:marTop w:val="0"/>
      <w:marBottom w:val="0"/>
      <w:divBdr>
        <w:top w:val="none" w:sz="0" w:space="0" w:color="auto"/>
        <w:left w:val="none" w:sz="0" w:space="0" w:color="auto"/>
        <w:bottom w:val="none" w:sz="0" w:space="0" w:color="auto"/>
        <w:right w:val="none" w:sz="0" w:space="0" w:color="auto"/>
      </w:divBdr>
    </w:div>
    <w:div w:id="191099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11004</Words>
  <Characters>65145</Characters>
  <Application>Microsoft Office Word</Application>
  <DocSecurity>0</DocSecurity>
  <Lines>2246</Lines>
  <Paragraphs>585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ZAHARIE Ana Maria</dc:creator>
  <cp:keywords/>
  <dc:description/>
  <cp:lastModifiedBy>TOP TA</cp:lastModifiedBy>
  <cp:revision>3</cp:revision>
  <dcterms:created xsi:type="dcterms:W3CDTF">2026-06-10T07:03:00Z</dcterms:created>
  <dcterms:modified xsi:type="dcterms:W3CDTF">2026-06-10T07:03:00Z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1345357</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PA\1345357EN.docx</vt:lpwstr>
  </property>
  <property fmtid="{D5CDD505-2E9C-101B-9397-08002B2CF9AE}" pid="11" name="PE number">
    <vt:lpwstr>789.902</vt:lpwstr>
  </property>
  <property fmtid="{D5CDD505-2E9C-101B-9397-08002B2CF9AE}" pid="12" name="RegistreCheck">
    <vt:lpwstr>OK</vt:lpwstr>
  </property>
  <property fmtid="{D5CDD505-2E9C-101B-9397-08002B2CF9AE}" pid="13" name="SendToEpades">
    <vt:lpwstr>OK(AMNUM) - 2026/06/09 09:35</vt:lpwstr>
  </property>
</Properties>
</file>