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9581D28" w14:textId="77777777" w:rsidTr="00C85D0F">
        <w:tblPrEx>
          <w:tblW w:w="9072" w:type="dxa"/>
          <w:tblCellMar>
            <w:left w:w="0" w:type="dxa"/>
            <w:right w:w="0" w:type="dxa"/>
          </w:tblCellMar>
          <w:tblLook w:val="01E0"/>
        </w:tblPrEx>
        <w:trPr>
          <w:trHeight w:hRule="exact" w:val="1418"/>
        </w:trPr>
        <w:tc>
          <w:tcPr>
            <w:tcW w:w="6804" w:type="dxa"/>
            <w:vAlign w:val="center"/>
          </w:tcPr>
          <w:p w:rsidR="004F48ED" w:rsidRPr="007C058A" w:rsidP="00C85D0F" w14:paraId="67EE42AD" w14:textId="758CA168">
            <w:pPr>
              <w:pStyle w:val="EPName"/>
            </w:pPr>
            <w:r w:rsidRPr="007C058A">
              <w:t>European Parliament</w:t>
            </w:r>
          </w:p>
          <w:p w:rsidR="004F48ED" w:rsidRPr="007C058A" w:rsidP="00C85D0F" w14:paraId="3A80C4BC" w14:textId="04F511E2">
            <w:pPr>
              <w:pStyle w:val="EPTerm"/>
            </w:pPr>
            <w:r w:rsidRPr="007C058A">
              <w:t>2024-2029</w:t>
            </w:r>
          </w:p>
        </w:tc>
        <w:tc>
          <w:tcPr>
            <w:tcW w:w="2268" w:type="dxa"/>
          </w:tcPr>
          <w:p w:rsidR="004F48ED" w:rsidRPr="007C058A" w:rsidP="00C85D0F" w14:paraId="79082A9F" w14:textId="77777777">
            <w:pPr>
              <w:pStyle w:val="EPLogo"/>
            </w:pPr>
            <w:r w:rsidRPr="007C05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34029"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7C058A" w:rsidP="00E9601C" w14:paraId="54636A10" w14:textId="77777777">
      <w:pPr>
        <w:pStyle w:val="LineTop"/>
      </w:pPr>
    </w:p>
    <w:p w:rsidR="00E9601C" w:rsidRPr="007C058A" w:rsidP="00E9601C" w14:paraId="04E8BC30" w14:textId="63380035">
      <w:pPr>
        <w:pStyle w:val="EPBody"/>
      </w:pPr>
      <w:r w:rsidRPr="007C058A">
        <w:rPr>
          <w:rStyle w:val="HideTWBExt"/>
        </w:rPr>
        <w:t>&lt;</w:t>
      </w:r>
      <w:r w:rsidRPr="007C058A">
        <w:rPr>
          <w:rStyle w:val="HideTWBExt"/>
          <w:i w:val="0"/>
        </w:rPr>
        <w:t>Commission</w:t>
      </w:r>
      <w:r w:rsidRPr="007C058A">
        <w:rPr>
          <w:rStyle w:val="HideTWBExt"/>
        </w:rPr>
        <w:t>&gt;</w:t>
      </w:r>
      <w:r w:rsidRPr="007C058A" w:rsidR="00CF1A30">
        <w:rPr>
          <w:rStyle w:val="HideTWBInt"/>
        </w:rPr>
        <w:t>{JURI}</w:t>
      </w:r>
      <w:r w:rsidRPr="007C058A" w:rsidR="00CF1A30">
        <w:t>Committee on Legal Affairs</w:t>
      </w:r>
      <w:r w:rsidRPr="007C058A">
        <w:rPr>
          <w:rStyle w:val="HideTWBExt"/>
        </w:rPr>
        <w:t>&lt;/</w:t>
      </w:r>
      <w:r w:rsidRPr="007C058A">
        <w:rPr>
          <w:rStyle w:val="HideTWBExt"/>
          <w:i w:val="0"/>
        </w:rPr>
        <w:t>Commission</w:t>
      </w:r>
      <w:r w:rsidRPr="007C058A">
        <w:rPr>
          <w:rStyle w:val="HideTWBExt"/>
        </w:rPr>
        <w:t>&gt;</w:t>
      </w:r>
    </w:p>
    <w:p w:rsidR="00E9601C" w:rsidRPr="007C058A" w:rsidP="00E9601C" w14:paraId="6F881EC7" w14:textId="77777777">
      <w:pPr>
        <w:pStyle w:val="LineBottom"/>
      </w:pPr>
    </w:p>
    <w:p w:rsidR="004E54DC" w:rsidRPr="007C058A" w:rsidP="004E54DC" w14:paraId="5411B1FA" w14:textId="05A989C9">
      <w:pPr>
        <w:pStyle w:val="CoverReference"/>
      </w:pPr>
      <w:r w:rsidRPr="007C058A">
        <w:rPr>
          <w:rStyle w:val="HideTWBExt"/>
          <w:b w:val="0"/>
        </w:rPr>
        <w:t>&lt;RefProc&gt;</w:t>
      </w:r>
      <w:r w:rsidRPr="007C058A" w:rsidR="00CF1A30">
        <w:t>2026/2082</w:t>
      </w:r>
      <w:r w:rsidRPr="007C058A">
        <w:rPr>
          <w:rStyle w:val="HideTWBExt"/>
          <w:b w:val="0"/>
        </w:rPr>
        <w:t>&lt;/RefProc&gt;&lt;RefTypeProc&gt;</w:t>
      </w:r>
      <w:r w:rsidRPr="007C058A" w:rsidR="004E53A7">
        <w:t>(DEC)</w:t>
      </w:r>
      <w:r w:rsidRPr="007C058A">
        <w:rPr>
          <w:rStyle w:val="HideTWBExt"/>
          <w:b w:val="0"/>
        </w:rPr>
        <w:t>&lt;/RefTypeProc&gt;</w:t>
      </w:r>
    </w:p>
    <w:p w:rsidR="002E2F2E" w:rsidRPr="007C058A" w14:paraId="45E59D0F" w14:textId="5949A30A">
      <w:pPr>
        <w:pStyle w:val="CoverDate"/>
      </w:pPr>
      <w:r w:rsidRPr="007C058A">
        <w:rPr>
          <w:rStyle w:val="HideTWBExt"/>
        </w:rPr>
        <w:t>&lt;Date&gt;</w:t>
      </w:r>
      <w:r w:rsidRPr="007C058A" w:rsidR="00CF1A30">
        <w:rPr>
          <w:rStyle w:val="HideTWBInt"/>
        </w:rPr>
        <w:t>{</w:t>
      </w:r>
      <w:r w:rsidR="00CA36FA">
        <w:rPr>
          <w:rStyle w:val="HideTWBInt"/>
        </w:rPr>
        <w:t>15</w:t>
      </w:r>
      <w:r w:rsidRPr="007C058A" w:rsidR="00CF1A30">
        <w:rPr>
          <w:rStyle w:val="HideTWBInt"/>
        </w:rPr>
        <w:t>/10/2026}</w:t>
      </w:r>
      <w:r w:rsidR="00CA36FA">
        <w:t>15</w:t>
      </w:r>
      <w:r w:rsidRPr="007C058A" w:rsidR="00CF1A30">
        <w:t>.10.2026</w:t>
      </w:r>
      <w:r w:rsidRPr="007C058A">
        <w:rPr>
          <w:rStyle w:val="HideTWBExt"/>
        </w:rPr>
        <w:t>&lt;/Date&gt;</w:t>
      </w:r>
    </w:p>
    <w:p w:rsidR="002E2F2E" w:rsidRPr="007C058A" w14:paraId="14C72F1B" w14:textId="1309DFB1">
      <w:pPr>
        <w:pStyle w:val="CoverDocType24a"/>
      </w:pPr>
      <w:r w:rsidRPr="007C058A">
        <w:rPr>
          <w:rStyle w:val="HideTWBExt"/>
          <w:b w:val="0"/>
        </w:rPr>
        <w:t>&lt;TitreType&gt;</w:t>
      </w:r>
      <w:r w:rsidRPr="007C058A" w:rsidR="004E53A7">
        <w:t>DRAFT OPINION</w:t>
      </w:r>
      <w:r w:rsidRPr="007C058A">
        <w:rPr>
          <w:rStyle w:val="HideTWBExt"/>
          <w:b w:val="0"/>
        </w:rPr>
        <w:t>&lt;/TitreType&gt;</w:t>
      </w:r>
    </w:p>
    <w:p w:rsidR="002E2F2E" w:rsidRPr="007C058A" w14:paraId="3866CC71" w14:textId="6503A850">
      <w:pPr>
        <w:pStyle w:val="CoverNormal24a"/>
      </w:pPr>
      <w:r w:rsidRPr="007C058A">
        <w:rPr>
          <w:rStyle w:val="HideTWBExt"/>
        </w:rPr>
        <w:t>&lt;CommissionResp&gt;</w:t>
      </w:r>
      <w:r w:rsidRPr="007C058A" w:rsidR="004E53A7">
        <w:t xml:space="preserve">of the </w:t>
      </w:r>
      <w:r w:rsidRPr="007C058A" w:rsidR="00CF1A30">
        <w:t>Committee on Legal Affairs</w:t>
      </w:r>
      <w:r w:rsidRPr="007C058A">
        <w:rPr>
          <w:rStyle w:val="HideTWBExt"/>
        </w:rPr>
        <w:t>&lt;/CommissionResp&gt;</w:t>
      </w:r>
    </w:p>
    <w:p w:rsidR="002E2F2E" w:rsidRPr="007C058A" w:rsidP="0095497D" w14:paraId="5ABDD647" w14:textId="6D864BC7">
      <w:pPr>
        <w:pStyle w:val="CoverNormal24a"/>
      </w:pPr>
      <w:r w:rsidRPr="007C058A">
        <w:rPr>
          <w:rStyle w:val="HideTWBExt"/>
        </w:rPr>
        <w:t>&lt;CommissionInt&gt;</w:t>
      </w:r>
      <w:r w:rsidRPr="007C058A" w:rsidR="004E53A7">
        <w:t>for the Committee on Budgetary Control</w:t>
      </w:r>
      <w:r w:rsidRPr="007C058A">
        <w:rPr>
          <w:rStyle w:val="HideTWBExt"/>
        </w:rPr>
        <w:t>&lt;/CommissionInt&gt;</w:t>
      </w:r>
    </w:p>
    <w:p w:rsidR="002E2F2E" w:rsidRPr="007C058A" w14:paraId="3FD249B8" w14:textId="511826B6">
      <w:pPr>
        <w:pStyle w:val="CoverNormal"/>
      </w:pPr>
      <w:r w:rsidRPr="007C058A">
        <w:rPr>
          <w:rStyle w:val="HideTWBExt"/>
        </w:rPr>
        <w:t>&lt;Titre&gt;</w:t>
      </w:r>
      <w:r w:rsidRPr="007C058A" w:rsidR="00CF1A30">
        <w:t>on discharge in respect of the implementation of the general budget of the European Union for the financial 2025 – Court of Justice of the European Union</w:t>
      </w:r>
      <w:r w:rsidRPr="007C058A">
        <w:rPr>
          <w:rStyle w:val="HideTWBExt"/>
        </w:rPr>
        <w:t>&lt;/Titre&gt;</w:t>
      </w:r>
    </w:p>
    <w:p w:rsidR="002E2F2E" w:rsidRPr="007C058A" w14:paraId="0162EF37" w14:textId="1C1AFFAC">
      <w:pPr>
        <w:pStyle w:val="CoverNormal24a"/>
      </w:pPr>
      <w:r w:rsidRPr="007C058A">
        <w:rPr>
          <w:rStyle w:val="HideTWBExt"/>
        </w:rPr>
        <w:t>&lt;DocRef&gt;</w:t>
      </w:r>
      <w:r w:rsidRPr="007C058A" w:rsidR="004E53A7">
        <w:t>(</w:t>
      </w:r>
      <w:r w:rsidRPr="007C058A" w:rsidR="00CF1A30">
        <w:t>2026/2082</w:t>
      </w:r>
      <w:r w:rsidRPr="007C058A" w:rsidR="004E53A7">
        <w:t>(DEC))</w:t>
      </w:r>
      <w:r w:rsidRPr="007C058A">
        <w:rPr>
          <w:rStyle w:val="HideTWBExt"/>
        </w:rPr>
        <w:t>&lt;/DocRef&gt;</w:t>
      </w:r>
    </w:p>
    <w:p w:rsidR="002E2F2E" w:rsidRPr="007C058A" w14:paraId="4B7FBC83" w14:textId="5ABD3E1E">
      <w:pPr>
        <w:pStyle w:val="CoverNormal24a"/>
      </w:pPr>
      <w:r w:rsidRPr="007C058A">
        <w:t>Rapporteur for opinion:</w:t>
      </w:r>
      <w:r w:rsidRPr="007C058A">
        <w:t xml:space="preserve"> </w:t>
      </w:r>
      <w:r w:rsidRPr="007C058A">
        <w:rPr>
          <w:rStyle w:val="HideTWBExt"/>
        </w:rPr>
        <w:t>&lt;Depute&gt;</w:t>
      </w:r>
      <w:r w:rsidRPr="007C058A" w:rsidR="00CF1A30">
        <w:t>Ilhan Kyuchyuk</w:t>
      </w:r>
      <w:r w:rsidRPr="007C058A">
        <w:rPr>
          <w:rStyle w:val="HideTWBExt"/>
        </w:rPr>
        <w:t>&lt;/Depute&gt;</w:t>
      </w:r>
    </w:p>
    <w:p w:rsidR="00977F76" w:rsidRPr="007C058A" w:rsidP="00977F76" w14:paraId="7E6FDBE2" w14:textId="77777777">
      <w:pPr>
        <w:pStyle w:val="CoverNormal"/>
      </w:pPr>
    </w:p>
    <w:p w:rsidR="002E2F2E" w:rsidRPr="007C058A" w:rsidP="00BB2AC1" w14:paraId="245360CB" w14:textId="4A1C23E6">
      <w:pPr>
        <w:widowControl/>
        <w:tabs>
          <w:tab w:val="center" w:pos="4677"/>
        </w:tabs>
      </w:pPr>
      <w:r w:rsidRPr="007C058A">
        <w:br w:type="page"/>
      </w:r>
      <w:r w:rsidRPr="007C058A" w:rsidR="004E53A7">
        <w:t>PA_NonLegDec</w:t>
      </w:r>
    </w:p>
    <w:p w:rsidR="003E06CF" w:rsidRPr="007C058A" w:rsidP="003E06CF" w14:paraId="2DB5109B" w14:textId="12E50C04">
      <w:pPr>
        <w:pStyle w:val="PageHeadingNotTOC"/>
      </w:pPr>
      <w:r w:rsidRPr="007C058A">
        <w:br w:type="page"/>
      </w:r>
      <w:r w:rsidRPr="007C058A" w:rsidR="004E53A7">
        <w:t>OPINION</w:t>
      </w:r>
    </w:p>
    <w:p w:rsidR="003E06CF" w:rsidRPr="007C058A" w:rsidP="003E06CF" w14:paraId="164AE161" w14:textId="198AAF99">
      <w:pPr>
        <w:pStyle w:val="Normal12a"/>
      </w:pPr>
      <w:r w:rsidRPr="007C058A">
        <w:t xml:space="preserve">The </w:t>
      </w:r>
      <w:r w:rsidRPr="007C058A" w:rsidR="00CF1A30">
        <w:t>Committee on Legal Affairs</w:t>
      </w:r>
      <w:r w:rsidRPr="007C058A">
        <w:t xml:space="preserve"> calls on the Committee on Budgetary Control, as the committee responsible, to incorporate the following into its </w:t>
      </w:r>
      <w:r w:rsidRPr="007C058A" w:rsidR="00CF1A30">
        <w:t>motion for a resolution</w:t>
      </w:r>
      <w:r w:rsidRPr="007C058A">
        <w:t>:</w:t>
      </w:r>
    </w:p>
    <w:p w:rsidR="003C4D04" w:rsidRPr="007C058A" w:rsidP="003B1A12" w14:paraId="45CD28B5" w14:textId="53EB0BC8">
      <w:pPr>
        <w:pStyle w:val="NormalHanging12a"/>
        <w:ind w:left="425" w:hanging="425"/>
        <w:rPr>
          <w:lang w:val="en-US"/>
        </w:rPr>
      </w:pPr>
      <w:r w:rsidRPr="007C058A">
        <w:rPr>
          <w:lang w:val="en-US" w:eastAsia="en-US"/>
        </w:rPr>
        <w:t>1.</w:t>
      </w:r>
      <w:r w:rsidRPr="007C058A">
        <w:rPr>
          <w:lang w:val="en-US" w:eastAsia="en-US"/>
        </w:rPr>
        <w:tab/>
      </w:r>
      <w:r w:rsidRPr="007C058A">
        <w:rPr>
          <w:lang w:val="en-US"/>
        </w:rPr>
        <w:t xml:space="preserve">Appreciates the CJEU’s high budgetary implementation rate for 2025 (97%), which is similar to that of previous years; </w:t>
      </w:r>
    </w:p>
    <w:p w:rsidR="003C4D04" w:rsidRPr="007C058A" w:rsidP="003B1A12" w14:paraId="6A9F7D2B" w14:textId="01F5F600">
      <w:pPr>
        <w:pStyle w:val="NormalHanging12a"/>
        <w:ind w:left="425" w:hanging="425"/>
        <w:rPr>
          <w:lang w:val="en-US"/>
        </w:rPr>
      </w:pPr>
      <w:r w:rsidRPr="007C058A">
        <w:rPr>
          <w:lang w:val="en-US" w:eastAsia="en-US"/>
        </w:rPr>
        <w:t>2.</w:t>
      </w:r>
      <w:r w:rsidRPr="007C058A">
        <w:rPr>
          <w:lang w:val="en-US" w:eastAsia="en-US"/>
        </w:rPr>
        <w:tab/>
      </w:r>
      <w:r w:rsidRPr="007C058A">
        <w:rPr>
          <w:lang w:val="en-US"/>
        </w:rPr>
        <w:t>Stresses that the budget of the CJEU is essentially administrative, with around 77% of the appropriations relating to expenditure on Members and staff, and almost all of the remaining expenditure on buildings and IT;</w:t>
      </w:r>
    </w:p>
    <w:p w:rsidR="003C4D04" w:rsidRPr="007C058A" w:rsidP="003B1A12" w14:paraId="0391DD86" w14:textId="6A455C61">
      <w:pPr>
        <w:pStyle w:val="NormalHanging12a"/>
        <w:ind w:left="425" w:hanging="425"/>
        <w:rPr>
          <w:lang w:val="en-US"/>
        </w:rPr>
      </w:pPr>
      <w:r w:rsidRPr="007C058A">
        <w:rPr>
          <w:lang w:val="en-US" w:eastAsia="en-US"/>
        </w:rPr>
        <w:t>3.</w:t>
      </w:r>
      <w:r w:rsidRPr="007C058A">
        <w:rPr>
          <w:lang w:val="en-US" w:eastAsia="en-US"/>
        </w:rPr>
        <w:tab/>
      </w:r>
      <w:r w:rsidRPr="007C058A">
        <w:rPr>
          <w:lang w:val="en-US"/>
        </w:rPr>
        <w:t>Highlights the fact that the occupation rate of posts remained high in 2025 (around 97%);</w:t>
      </w:r>
    </w:p>
    <w:p w:rsidR="003C4D04" w:rsidRPr="007C058A" w:rsidP="003B1A12" w14:paraId="0DEC1DAC" w14:textId="0322D4AB">
      <w:pPr>
        <w:pStyle w:val="NormalHanging12a"/>
        <w:ind w:left="425" w:hanging="425"/>
        <w:rPr>
          <w:lang w:val="en-US"/>
        </w:rPr>
      </w:pPr>
      <w:r w:rsidRPr="007C058A">
        <w:rPr>
          <w:lang w:val="en-US" w:eastAsia="en-US"/>
        </w:rPr>
        <w:t>4.</w:t>
      </w:r>
      <w:r w:rsidRPr="007C058A">
        <w:rPr>
          <w:lang w:val="en-US" w:eastAsia="en-US"/>
        </w:rPr>
        <w:tab/>
      </w:r>
      <w:r w:rsidRPr="007C058A">
        <w:rPr>
          <w:lang w:val="en-US"/>
        </w:rPr>
        <w:t>Notes that 1,878 cases were brought before the two courts in 2025, a number which represents an increase compared to the preceding years (1,706 in 2024, 1,689 in 2023 including a series of 404 essentially identical cases brought before the General Court in October 2023 counted as a single case, 1,710 cases in 2022 and 1,720 in 2021);</w:t>
      </w:r>
    </w:p>
    <w:p w:rsidR="003C4D04" w:rsidRPr="007C058A" w:rsidP="003B1A12" w14:paraId="363B079B" w14:textId="0B1015D9">
      <w:pPr>
        <w:pStyle w:val="NormalHanging12a"/>
        <w:ind w:left="425" w:hanging="425"/>
        <w:rPr>
          <w:lang w:val="en-US"/>
        </w:rPr>
      </w:pPr>
      <w:r w:rsidRPr="007C058A">
        <w:rPr>
          <w:lang w:val="en-US" w:eastAsia="en-US"/>
        </w:rPr>
        <w:t>5.</w:t>
      </w:r>
      <w:r w:rsidRPr="007C058A">
        <w:rPr>
          <w:lang w:val="en-US" w:eastAsia="en-US"/>
        </w:rPr>
        <w:tab/>
      </w:r>
      <w:r w:rsidRPr="007C058A">
        <w:rPr>
          <w:lang w:val="en-US"/>
        </w:rPr>
        <w:t xml:space="preserve">Welcomes that, together, the Court of Justice and the General Court were able to complete 2,301 cases in 2025 (including the aforementioned 404 cases, closed in December 2025), compared to 1,785 in 2024 and 1,687 cases in 2023, and that the total number of pending cases has decreased compared to previous years (2,489 at the end of 2025, 2,508 at the end of 2024 if the aforementioned 404 cases are counted as one, 2,587 cases at the end of 2023 and 2,585 at the end of 2022); </w:t>
      </w:r>
    </w:p>
    <w:p w:rsidR="003C4D04" w:rsidRPr="007C058A" w:rsidP="003B1A12" w14:paraId="119FA106" w14:textId="027985D6">
      <w:pPr>
        <w:pStyle w:val="NormalHanging12a"/>
        <w:ind w:left="425" w:hanging="425"/>
        <w:rPr>
          <w:lang w:val="en-US"/>
        </w:rPr>
      </w:pPr>
      <w:r w:rsidRPr="007C058A">
        <w:rPr>
          <w:lang w:val="en-US" w:eastAsia="en-US"/>
        </w:rPr>
        <w:t>6.</w:t>
      </w:r>
      <w:r w:rsidRPr="007C058A">
        <w:rPr>
          <w:lang w:val="en-US" w:eastAsia="en-US"/>
        </w:rPr>
        <w:tab/>
      </w:r>
      <w:r w:rsidRPr="007C058A">
        <w:rPr>
          <w:lang w:val="en-US"/>
        </w:rPr>
        <w:t xml:space="preserve">Notes that the number of cases brought before the Court of Justice in 2025 remains significant with 889 cases, on top of 65 requests for a preliminary ruling lodged at the Court of Justice and transferred to the General Court; </w:t>
      </w:r>
    </w:p>
    <w:p w:rsidR="003C4D04" w:rsidRPr="007C058A" w:rsidP="003B1A12" w14:paraId="33F1233F" w14:textId="18C2C12C">
      <w:pPr>
        <w:pStyle w:val="NormalHanging12a"/>
        <w:ind w:left="425" w:hanging="425"/>
        <w:rPr>
          <w:lang w:val="en-US"/>
        </w:rPr>
      </w:pPr>
      <w:r w:rsidRPr="007C058A">
        <w:rPr>
          <w:lang w:val="en-US" w:eastAsia="en-US"/>
        </w:rPr>
        <w:t>7.</w:t>
      </w:r>
      <w:r w:rsidRPr="007C058A">
        <w:rPr>
          <w:lang w:val="en-US" w:eastAsia="en-US"/>
        </w:rPr>
        <w:tab/>
      </w:r>
      <w:r w:rsidRPr="007C058A">
        <w:rPr>
          <w:lang w:val="en-US"/>
        </w:rPr>
        <w:t>Welcomes the reduction in the average length of proceedings for cases completed before the Court of Justice, which stood at 16.7 months in 2025 (compared to 17.7 months in 2024); notes that this reduction covers all types of cases (falling from 17.2 months to 16.9 months for preliminary ruling cases, from 21.5 months to 20 months for direct actions and from 18.4 months to 15.1 months for appeals);</w:t>
      </w:r>
    </w:p>
    <w:p w:rsidR="003C4D04" w:rsidRPr="007C058A" w:rsidP="003B1A12" w14:paraId="44E1E6FA" w14:textId="6F5E8936">
      <w:pPr>
        <w:pStyle w:val="NormalHanging12a"/>
        <w:ind w:left="425" w:hanging="425"/>
        <w:rPr>
          <w:lang w:val="en-US"/>
        </w:rPr>
      </w:pPr>
      <w:r w:rsidRPr="007C058A">
        <w:rPr>
          <w:lang w:val="en-US" w:eastAsia="en-US"/>
        </w:rPr>
        <w:t>8.</w:t>
      </w:r>
      <w:r w:rsidRPr="007C058A">
        <w:rPr>
          <w:lang w:val="en-US" w:eastAsia="en-US"/>
        </w:rPr>
        <w:tab/>
      </w:r>
      <w:r w:rsidRPr="007C058A">
        <w:rPr>
          <w:lang w:val="en-US"/>
        </w:rPr>
        <w:t>Notes that 989 cases were brought before the General Court (786 in 2024), equivalent to a 26% increase on the previous year;</w:t>
      </w:r>
    </w:p>
    <w:p w:rsidR="003C4D04" w:rsidRPr="007C058A" w:rsidP="003B1A12" w14:paraId="2966DC6A" w14:textId="435A042A">
      <w:pPr>
        <w:pStyle w:val="NormalHanging12a"/>
        <w:ind w:left="425" w:hanging="425"/>
        <w:rPr>
          <w:lang w:val="en-US"/>
        </w:rPr>
      </w:pPr>
      <w:r w:rsidRPr="007C058A">
        <w:rPr>
          <w:lang w:val="en-US" w:eastAsia="en-US"/>
        </w:rPr>
        <w:t>9.</w:t>
      </w:r>
      <w:r w:rsidRPr="007C058A">
        <w:rPr>
          <w:lang w:val="en-US" w:eastAsia="en-US"/>
        </w:rPr>
        <w:tab/>
      </w:r>
      <w:r w:rsidRPr="007C058A">
        <w:rPr>
          <w:lang w:val="en-US"/>
        </w:rPr>
        <w:t>Welcomes the increase in 2025 in the total number of cases closed by the General Court (1,527 compared to 922 in 2024), but if the 404 aforementioned essentially identical cases were treated as a single case, the figure would stand at 1,124, representing an increase of around 22% compared to the previous year. It is the highest level in the General Court’s history, significantly higher than the previous record of 1,009 cases closed, which was set in 2018; </w:t>
      </w:r>
    </w:p>
    <w:p w:rsidR="003C4D04" w:rsidRPr="007C058A" w:rsidP="003B1A12" w14:paraId="6A228EF2" w14:textId="25763849">
      <w:pPr>
        <w:pStyle w:val="NormalHanging12a"/>
        <w:ind w:left="425" w:hanging="425"/>
        <w:rPr>
          <w:lang w:val="en-US"/>
        </w:rPr>
      </w:pPr>
      <w:r w:rsidRPr="007C058A">
        <w:rPr>
          <w:lang w:val="en-US" w:eastAsia="en-US"/>
        </w:rPr>
        <w:t>10.</w:t>
      </w:r>
      <w:r w:rsidRPr="007C058A">
        <w:rPr>
          <w:lang w:val="en-US" w:eastAsia="en-US"/>
        </w:rPr>
        <w:tab/>
      </w:r>
      <w:r w:rsidRPr="007C058A">
        <w:rPr>
          <w:lang w:val="en-US"/>
        </w:rPr>
        <w:t xml:space="preserve">Notes that the duration of proceedings before the General Court remains similar to the previous year (18.9 months in 2025 and 18.5 months in 2024). Remarks, however, that </w:t>
      </w:r>
      <w:r w:rsidRPr="007C058A">
        <w:rPr>
          <w:lang w:val="en-US"/>
        </w:rPr>
        <w:t xml:space="preserve">this figure is influenced by the statistical weight of the 404 essentially identical cases that took longer than average to resolve; if these cases are counted as one, the average duration of proceedings would fall from 18.5 to 16.0 months; </w:t>
      </w:r>
    </w:p>
    <w:p w:rsidR="003C4D04" w:rsidRPr="007C058A" w:rsidP="003B1A12" w14:paraId="4AD2BBD8" w14:textId="03671AA7">
      <w:pPr>
        <w:pStyle w:val="NormalHanging12a"/>
        <w:ind w:left="425" w:hanging="425"/>
        <w:rPr>
          <w:lang w:val="en-US"/>
        </w:rPr>
      </w:pPr>
      <w:r w:rsidRPr="007C058A">
        <w:rPr>
          <w:lang w:val="en-US" w:eastAsia="en-US"/>
        </w:rPr>
        <w:t>11.</w:t>
      </w:r>
      <w:r w:rsidRPr="007C058A">
        <w:rPr>
          <w:lang w:val="en-US" w:eastAsia="en-US"/>
        </w:rPr>
        <w:tab/>
      </w:r>
      <w:r w:rsidRPr="007C058A">
        <w:rPr>
          <w:lang w:val="en-US"/>
        </w:rPr>
        <w:t>Notes that, following the entry into force in October 2024 of Regulation (EU, Euratom) 2024/2019 of the European Parliament and of the Council</w:t>
      </w:r>
      <w:r>
        <w:rPr>
          <w:vertAlign w:val="superscript"/>
          <w:lang w:val="en-US"/>
        </w:rPr>
        <w:footnoteReference w:id="2"/>
      </w:r>
      <w:r w:rsidRPr="007C058A">
        <w:rPr>
          <w:lang w:val="en-US"/>
        </w:rPr>
        <w:t xml:space="preserve"> amending Protocol No. 3 on the Statute of the CJEU, whereby part of the Court of Justice’s jurisdiction for preliminary rulings was transferred to the General Court, 2025 marked the first full year since the reform brought about by that Regulation;</w:t>
      </w:r>
    </w:p>
    <w:p w:rsidR="003C4D04" w:rsidRPr="007C058A" w:rsidP="003B1A12" w14:paraId="117D36D2" w14:textId="717DD527">
      <w:pPr>
        <w:pStyle w:val="NormalHanging12a"/>
        <w:ind w:left="425" w:hanging="425"/>
        <w:rPr>
          <w:lang w:val="en-US"/>
        </w:rPr>
      </w:pPr>
      <w:r w:rsidRPr="007C058A">
        <w:rPr>
          <w:lang w:val="en-US" w:eastAsia="en-US"/>
        </w:rPr>
        <w:t>12.</w:t>
      </w:r>
      <w:r w:rsidRPr="007C058A">
        <w:rPr>
          <w:lang w:val="en-US" w:eastAsia="en-US"/>
        </w:rPr>
        <w:tab/>
      </w:r>
      <w:r w:rsidRPr="007C058A">
        <w:rPr>
          <w:lang w:val="en-US"/>
        </w:rPr>
        <w:t>Welcomes, one year on, the effective operation of the ‘one-stop shop’ established  to centralise the analysis of requests for a preliminary ruling liable to be transferred to the General Court; notes that, in 2025, 65 requests for a preliminary ruling were submitted to the General Court on matters falling within its jurisdiction and, by the end of 2025, the General Court completed 17 preliminary ruling cases (among which 1 in 2024); the initial results show that the reform is achieving its objective of speeding up case handling through a better workload distribution between the Courts of the European Union, thereby benefitting citizens and undertakings;</w:t>
      </w:r>
    </w:p>
    <w:p w:rsidR="003C4D04" w:rsidRPr="007C058A" w:rsidP="003B1A12" w14:paraId="0BACD89B" w14:textId="0FF62889">
      <w:pPr>
        <w:pStyle w:val="NormalHanging12a"/>
        <w:ind w:left="425" w:hanging="425"/>
        <w:rPr>
          <w:lang w:val="en-US"/>
        </w:rPr>
      </w:pPr>
      <w:r w:rsidRPr="007C058A">
        <w:rPr>
          <w:lang w:val="en-US" w:eastAsia="en-US"/>
        </w:rPr>
        <w:t>13.</w:t>
      </w:r>
      <w:r w:rsidRPr="007C058A">
        <w:rPr>
          <w:lang w:val="en-US" w:eastAsia="en-US"/>
        </w:rPr>
        <w:tab/>
      </w:r>
      <w:r w:rsidRPr="007C058A">
        <w:rPr>
          <w:lang w:val="en-US"/>
        </w:rPr>
        <w:t>Welcomes the new communication format introduced by the CJEU, which consists of a short audiovisual debriefing in which a Member of the Court of Justice presents a particular judgment, thus making key rulings more visible and accessible for the general public and the media alike;</w:t>
      </w:r>
    </w:p>
    <w:p w:rsidR="003C4D04" w:rsidRPr="007C058A" w:rsidP="003B1A12" w14:paraId="00FE5C46" w14:textId="25CBA142">
      <w:pPr>
        <w:pStyle w:val="NormalHanging12a"/>
        <w:ind w:left="425" w:hanging="425"/>
        <w:rPr>
          <w:lang w:val="en-US"/>
        </w:rPr>
      </w:pPr>
      <w:r w:rsidRPr="007C058A">
        <w:rPr>
          <w:lang w:val="en-US" w:eastAsia="en-US"/>
        </w:rPr>
        <w:t>14.</w:t>
      </w:r>
      <w:r w:rsidRPr="007C058A">
        <w:rPr>
          <w:lang w:val="en-US" w:eastAsia="en-US"/>
        </w:rPr>
        <w:tab/>
      </w:r>
      <w:r w:rsidRPr="007C058A">
        <w:rPr>
          <w:lang w:val="en-US"/>
        </w:rPr>
        <w:t>Notes with appreciation the decision of the General Court leading to the first broadcast of the live delivery of a judgment of the Grand Chamber in May 2025, with further broadcasts following in September 2025;</w:t>
      </w:r>
    </w:p>
    <w:p w:rsidR="003C4D04" w:rsidRPr="007C058A" w:rsidP="003B1A12" w14:paraId="3926921E" w14:textId="65A92A60">
      <w:pPr>
        <w:pStyle w:val="NormalHanging12a"/>
        <w:ind w:left="425" w:hanging="425"/>
        <w:rPr>
          <w:lang w:val="en-US"/>
        </w:rPr>
      </w:pPr>
      <w:r w:rsidRPr="007C058A">
        <w:rPr>
          <w:lang w:val="en-US" w:eastAsia="en-US"/>
        </w:rPr>
        <w:t>15.</w:t>
      </w:r>
      <w:r w:rsidRPr="007C058A">
        <w:rPr>
          <w:lang w:val="en-US" w:eastAsia="en-US"/>
        </w:rPr>
        <w:tab/>
      </w:r>
      <w:r w:rsidRPr="007C058A">
        <w:rPr>
          <w:lang w:val="en-US"/>
        </w:rPr>
        <w:t>Notes that the CJEU has diversified its social media presence, opening accounts in 2025 on four new platforms, Bluesky, Threads, WhatsApp and Instagram (besides the existing ones on LinkedIn, X, YouTube and Mastodon), thereby allowing the CJEU to reach new audiences and provide more citizens with reliable and accurate information about its activities;</w:t>
      </w:r>
    </w:p>
    <w:p w:rsidR="003C4D04" w:rsidRPr="007C058A" w:rsidP="003B1A12" w14:paraId="17C05494" w14:textId="57EACC36">
      <w:pPr>
        <w:pStyle w:val="NormalHanging12a"/>
        <w:ind w:left="425" w:hanging="425"/>
        <w:rPr>
          <w:lang w:val="en-US"/>
        </w:rPr>
      </w:pPr>
      <w:r w:rsidRPr="007C058A">
        <w:rPr>
          <w:lang w:val="en-US" w:eastAsia="en-US"/>
        </w:rPr>
        <w:t>16.</w:t>
      </w:r>
      <w:r w:rsidRPr="007C058A">
        <w:rPr>
          <w:lang w:val="en-US" w:eastAsia="en-US"/>
        </w:rPr>
        <w:tab/>
      </w:r>
      <w:r w:rsidRPr="007C058A">
        <w:rPr>
          <w:lang w:val="en-US"/>
        </w:rPr>
        <w:t>Welcomes the consolidation of the annual dialogue between the CJEU and the European Parliament, devoted to topics of mutual interest relating to the proper administration of justice, in strict compliance with the principle of separation of powers;</w:t>
      </w:r>
    </w:p>
    <w:p w:rsidR="003C4D04" w:rsidRPr="007C058A" w:rsidP="003B1A12" w14:paraId="4879823D" w14:textId="2B3CD602">
      <w:pPr>
        <w:pStyle w:val="NormalHanging12a"/>
        <w:ind w:left="425" w:hanging="425"/>
        <w:rPr>
          <w:lang w:val="en-US"/>
        </w:rPr>
      </w:pPr>
      <w:r w:rsidRPr="007C058A">
        <w:rPr>
          <w:lang w:val="en-US" w:eastAsia="en-US"/>
        </w:rPr>
        <w:t>17.</w:t>
      </w:r>
      <w:r w:rsidRPr="007C058A">
        <w:rPr>
          <w:lang w:val="en-US" w:eastAsia="en-US"/>
        </w:rPr>
        <w:tab/>
      </w:r>
      <w:r w:rsidRPr="007C058A">
        <w:rPr>
          <w:lang w:val="en-US"/>
        </w:rPr>
        <w:t>Notes with satisfaction that the CJEU publishes a list of external activities of Members of the Court of Justice and the General Court made in the previous year. This list includes information on the nature of the activity, the organiser and the cost of missions relating to those activities;</w:t>
      </w:r>
    </w:p>
    <w:p w:rsidR="003C4D04" w:rsidRPr="007C058A" w:rsidP="003B1A12" w14:paraId="78863B25" w14:textId="52052A83">
      <w:pPr>
        <w:pStyle w:val="NormalHanging12a"/>
        <w:ind w:left="425" w:hanging="425"/>
        <w:rPr>
          <w:lang w:val="en-US"/>
        </w:rPr>
      </w:pPr>
      <w:r w:rsidRPr="007C058A">
        <w:rPr>
          <w:lang w:val="en-US" w:eastAsia="en-US"/>
        </w:rPr>
        <w:t>18.</w:t>
      </w:r>
      <w:r w:rsidRPr="007C058A">
        <w:rPr>
          <w:lang w:val="en-US" w:eastAsia="en-US"/>
        </w:rPr>
        <w:tab/>
      </w:r>
      <w:r w:rsidRPr="007C058A">
        <w:rPr>
          <w:lang w:val="en-US"/>
        </w:rPr>
        <w:t xml:space="preserve">Notes with satisfaction the high use rate of e-Curia in 2025, with 12,903 e-Curia accounts registered: 97% of procedural documents filed with the General Court were transmitted </w:t>
      </w:r>
      <w:r w:rsidRPr="007C058A">
        <w:rPr>
          <w:lang w:val="en-US"/>
        </w:rPr>
        <w:t>through e-Curia, compared to 96% and 94% in the 2 previous years, while the use rate of e-Curia at the Court of Justice went up to 92% compared to 91% in 2024 and 89% in 2023;</w:t>
      </w:r>
    </w:p>
    <w:p w:rsidR="003C4D04" w:rsidRPr="007C058A" w:rsidP="003B1A12" w14:paraId="5097E43D" w14:textId="2B0DF88E">
      <w:pPr>
        <w:pStyle w:val="NormalHanging12a"/>
        <w:ind w:left="425" w:hanging="425"/>
        <w:rPr>
          <w:lang w:val="en-US"/>
        </w:rPr>
      </w:pPr>
      <w:r w:rsidRPr="007C058A">
        <w:rPr>
          <w:lang w:val="en-US" w:eastAsia="en-US"/>
        </w:rPr>
        <w:t>19.</w:t>
      </w:r>
      <w:r w:rsidRPr="007C058A">
        <w:rPr>
          <w:lang w:val="en-US" w:eastAsia="en-US"/>
        </w:rPr>
        <w:tab/>
      </w:r>
      <w:r w:rsidRPr="007C058A">
        <w:rPr>
          <w:lang w:val="en-US"/>
        </w:rPr>
        <w:t xml:space="preserve">Welcomes the drawing up of an AI Ethics Charter aimed at ensuring that the Institution’s actions in the field of AI comply with the applicable legal framework and the highest ethical standards; </w:t>
      </w:r>
    </w:p>
    <w:p w:rsidR="003C4D04" w:rsidRPr="007C058A" w:rsidP="003B1A12" w14:paraId="6E1BE447" w14:textId="35F7AD11">
      <w:pPr>
        <w:pStyle w:val="NormalHanging12a"/>
        <w:ind w:left="425" w:hanging="425"/>
        <w:rPr>
          <w:lang w:val="en-US"/>
        </w:rPr>
      </w:pPr>
      <w:bookmarkStart w:id="0" w:name="_Hlk242621175"/>
      <w:r w:rsidRPr="007C058A">
        <w:rPr>
          <w:lang w:val="en-US" w:eastAsia="en-US"/>
        </w:rPr>
        <w:t>20.</w:t>
      </w:r>
      <w:r w:rsidRPr="007C058A">
        <w:rPr>
          <w:lang w:val="en-US" w:eastAsia="en-US"/>
        </w:rPr>
        <w:tab/>
      </w:r>
      <w:r w:rsidRPr="007C058A">
        <w:rPr>
          <w:lang w:val="en-US"/>
        </w:rPr>
        <w:t xml:space="preserve">Appreciates, as part of the promotion of Luxembourg as a workplace for the staff of the European Union institutions, the coordination by the CJEU of the very first EU Legal Summer School, welcoming more than 30 students and young professionals of 24 European nationalities; </w:t>
      </w:r>
    </w:p>
    <w:bookmarkEnd w:id="0"/>
    <w:p w:rsidR="003C4D04" w:rsidRPr="007C058A" w:rsidP="003B1A12" w14:paraId="3F117C1E" w14:textId="3801BE8B">
      <w:pPr>
        <w:pStyle w:val="NormalHanging12a"/>
        <w:ind w:left="425" w:hanging="425"/>
      </w:pPr>
      <w:r w:rsidRPr="007C058A">
        <w:rPr>
          <w:lang w:val="en-US" w:eastAsia="en-US"/>
        </w:rPr>
        <w:t>21.</w:t>
      </w:r>
      <w:r w:rsidRPr="007C058A">
        <w:rPr>
          <w:lang w:val="en-US" w:eastAsia="en-US"/>
        </w:rPr>
        <w:tab/>
      </w:r>
      <w:r w:rsidRPr="007C058A">
        <w:t>Notes with satisfaction that the housing allowance, introduced as part of the work carried out by the Meeting of Secretaries-General and Heads of Administration of the European Union institutions and bodies based in Luxembourg (CALux), benefited around 400 people within the CJEU in its first year of implementation, thus enabling staff in the lowest pay grade to cope with the high cost of housing in the Grand Duchy of Luxembourg;</w:t>
      </w:r>
    </w:p>
    <w:p w:rsidR="003C4D04" w:rsidRPr="007C058A" w:rsidP="003B1A12" w14:paraId="1CD35C59" w14:textId="23F98F78">
      <w:pPr>
        <w:pStyle w:val="NormalHanging12a"/>
        <w:ind w:left="425" w:hanging="425"/>
      </w:pPr>
      <w:r w:rsidRPr="007C058A">
        <w:rPr>
          <w:lang w:val="en-US" w:eastAsia="en-US"/>
        </w:rPr>
        <w:t>22.</w:t>
      </w:r>
      <w:r w:rsidRPr="007C058A">
        <w:rPr>
          <w:lang w:val="en-US" w:eastAsia="en-US"/>
        </w:rPr>
        <w:tab/>
      </w:r>
      <w:r w:rsidRPr="007C058A">
        <w:t>Welcomes the CJEU’s initiative to introduce a pilot traineeship programme for trainees with disabilities, thereby reinforcing the institution’s commitment to inclusion and equal opportunities;</w:t>
      </w:r>
    </w:p>
    <w:p w:rsidR="003C4D04" w:rsidRPr="007C058A" w:rsidP="003B1A12" w14:paraId="738A86D0" w14:textId="6CE839AD">
      <w:pPr>
        <w:pStyle w:val="NormalHanging12a"/>
        <w:ind w:left="425" w:hanging="425"/>
      </w:pPr>
      <w:r w:rsidRPr="007C058A">
        <w:rPr>
          <w:lang w:val="en-US" w:eastAsia="en-US"/>
        </w:rPr>
        <w:t>23.</w:t>
      </w:r>
      <w:r w:rsidRPr="007C058A">
        <w:rPr>
          <w:lang w:val="en-US" w:eastAsia="en-US"/>
        </w:rPr>
        <w:tab/>
      </w:r>
      <w:r w:rsidRPr="007C058A">
        <w:t xml:space="preserve">Welcomes the CJEU’s actions to promote employment opportunities and ensure a balanced geographical representation of staff through visits to Member States, contacts with national delegations and a strengthened cooperation with Permanent Representations, notably for the dissemination of seconded national experts and senior management vacancies and promotion of the traineeship program with particular attention to underrepresented Member States; </w:t>
      </w:r>
    </w:p>
    <w:p w:rsidR="003C4D04" w:rsidRPr="007C058A" w:rsidP="003B1A12" w14:paraId="2462DA84" w14:textId="6EB69111">
      <w:pPr>
        <w:pStyle w:val="NormalHanging12a"/>
        <w:ind w:left="425" w:hanging="425"/>
        <w:rPr>
          <w:lang w:val="en-US"/>
        </w:rPr>
      </w:pPr>
      <w:r w:rsidRPr="007C058A">
        <w:rPr>
          <w:lang w:val="en-US" w:eastAsia="en-US"/>
        </w:rPr>
        <w:t>24.</w:t>
      </w:r>
      <w:r w:rsidRPr="007C058A">
        <w:rPr>
          <w:lang w:val="en-US" w:eastAsia="en-US"/>
        </w:rPr>
        <w:tab/>
      </w:r>
      <w:r w:rsidRPr="007C058A">
        <w:rPr>
          <w:lang w:val="en-US"/>
        </w:rPr>
        <w:t xml:space="preserve">Notes that at the end of 2025 61% of the </w:t>
      </w:r>
      <w:bookmarkStart w:id="1" w:name="_Hlk216690801"/>
      <w:r w:rsidRPr="007C058A">
        <w:rPr>
          <w:lang w:val="en-US"/>
        </w:rPr>
        <w:t>2,</w:t>
      </w:r>
      <w:bookmarkEnd w:id="1"/>
      <w:r w:rsidRPr="007C058A">
        <w:rPr>
          <w:lang w:val="en-US"/>
        </w:rPr>
        <w:t>302 officials and agents of the CJEU were women and 54% of administrator posts were held by women; welcomes the increase in the proportion of women in management positions, which rose from 49% in 2024 to 50% in 2025, confirming the upward trend recorded since 2018 (43% in 2023, 40% in 2022 and 2021, 41% in 2020, 39% in 2019 and 37.5% in 2018);</w:t>
      </w:r>
    </w:p>
    <w:p w:rsidR="003B1A12" w:rsidRPr="007C058A" w:rsidP="003B1A12" w14:paraId="63B3CDBF" w14:textId="45F8A3F4">
      <w:pPr>
        <w:pStyle w:val="NormalHanging12a"/>
        <w:widowControl/>
        <w:ind w:left="425" w:hanging="425"/>
        <w:rPr>
          <w:lang w:val="en-US"/>
        </w:rPr>
      </w:pPr>
      <w:r w:rsidRPr="007C058A">
        <w:rPr>
          <w:lang w:val="en-US" w:eastAsia="en-US"/>
        </w:rPr>
        <w:t>25.</w:t>
      </w:r>
      <w:r w:rsidRPr="007C058A">
        <w:rPr>
          <w:lang w:val="en-US" w:eastAsia="en-US"/>
        </w:rPr>
        <w:tab/>
      </w:r>
      <w:r w:rsidRPr="007C058A">
        <w:rPr>
          <w:lang w:val="en-US"/>
        </w:rPr>
        <w:t>Congratulates the CJEU on having secured, for the third consecutive time, the renewal of its EMAS registration, which recognises its ongoing efforts in the field of environmental performance;</w:t>
      </w:r>
      <w:r w:rsidRPr="007C058A">
        <w:rPr>
          <w:lang w:val="en-US"/>
        </w:rPr>
        <w:br w:type="page"/>
      </w:r>
    </w:p>
    <w:p w:rsidR="00CF1A30" w:rsidRPr="007C058A" w:rsidP="00CF1A30" w14:paraId="446FA2FF" w14:textId="29D6B347">
      <w:pPr>
        <w:pStyle w:val="PageHeadingNotTOC"/>
      </w:pPr>
      <w:r w:rsidRPr="007C058A">
        <w:t>ANNEX: DECLARATION OF INPUT</w:t>
      </w:r>
    </w:p>
    <w:p w:rsidR="00A402AD" w:rsidRPr="007C058A" w:rsidP="00A402AD" w14:paraId="19BFF2D5" w14:textId="77777777">
      <w:r w:rsidRPr="007C058A">
        <w:t>Pursuant to Article 8 of Annex I to the Rules of Procedure, the rapporteur for opinion declares that he included in his opinion input on matters pertaining to the subject of the file that he received, in the preparation of the draft opinion, from the following interest representatives falling within the scope of the Interinstitutional Agreement on a mandatory transparency register</w:t>
      </w:r>
      <w:r>
        <w:rPr>
          <w:vertAlign w:val="superscript"/>
        </w:rPr>
        <w:footnoteReference w:id="3"/>
      </w:r>
      <w:r w:rsidRPr="007C058A">
        <w:t>, or from the following representatives of public authorities of third countries, including their diplomatic missions and embassies:</w:t>
      </w:r>
    </w:p>
    <w:p w:rsidR="00A402AD" w:rsidRPr="007C058A" w:rsidP="00A402AD" w14:paraId="73D38E52" w14:textId="77777777"/>
    <w:p w:rsidR="00A402AD" w:rsidRPr="007C058A" w:rsidP="00A402AD" w14:paraId="1607E1CB" w14:textId="77777777"/>
    <w:tbl>
      <w:tblPr>
        <w:tblW w:w="9067" w:type="dxa"/>
        <w:tblInd w:w="98" w:type="dxa"/>
        <w:tblLayout w:type="fixed"/>
        <w:tblCellMar>
          <w:left w:w="0" w:type="dxa"/>
          <w:right w:w="0" w:type="dxa"/>
        </w:tblCellMar>
        <w:tblLook w:val="01E0"/>
      </w:tblPr>
      <w:tblGrid>
        <w:gridCol w:w="9067"/>
      </w:tblGrid>
      <w:tr w14:paraId="5D80BE8C" w14:textId="77777777" w:rsidTr="00A402AD">
        <w:tblPrEx>
          <w:tblW w:w="9067" w:type="dxa"/>
          <w:tblInd w:w="98" w:type="dxa"/>
          <w:tblLayout w:type="fixed"/>
          <w:tblCellMar>
            <w:left w:w="0" w:type="dxa"/>
            <w:right w:w="0" w:type="dxa"/>
          </w:tblCellMar>
          <w:tblLook w:val="01E0"/>
        </w:tblPrEx>
        <w:trPr>
          <w:trHeight w:val="515"/>
        </w:trPr>
        <w:tc>
          <w:tcPr>
            <w:tcW w:w="9067" w:type="dxa"/>
            <w:tcBorders>
              <w:top w:val="single" w:sz="4" w:space="0" w:color="000000"/>
              <w:left w:val="single" w:sz="4" w:space="0" w:color="000000"/>
              <w:bottom w:val="single" w:sz="4" w:space="0" w:color="000000"/>
              <w:right w:val="single" w:sz="4" w:space="0" w:color="000000"/>
            </w:tcBorders>
            <w:hideMark/>
          </w:tcPr>
          <w:p w:rsidR="00A402AD" w:rsidRPr="007C058A" w:rsidP="00A402AD" w14:paraId="476DE1EB" w14:textId="77777777">
            <w:pPr>
              <w:rPr>
                <w:b/>
              </w:rPr>
            </w:pPr>
            <w:r w:rsidRPr="007C058A">
              <w:rPr>
                <w:b/>
              </w:rPr>
              <w:t>1. Interest representatives falling within the scope of the Interinstitutional Agreement on a mandatory transparency register</w:t>
            </w:r>
          </w:p>
        </w:tc>
      </w:tr>
      <w:tr w14:paraId="5D6B8F42" w14:textId="77777777" w:rsidTr="00A402AD">
        <w:tblPrEx>
          <w:tblW w:w="9067" w:type="dxa"/>
          <w:tblInd w:w="98" w:type="dxa"/>
          <w:tblLayout w:type="fixed"/>
          <w:tblCellMar>
            <w:left w:w="0" w:type="dxa"/>
            <w:right w:w="0" w:type="dxa"/>
          </w:tblCellMar>
          <w:tblLook w:val="01E0"/>
        </w:tblPrEx>
        <w:trPr>
          <w:trHeight w:val="278"/>
        </w:trPr>
        <w:tc>
          <w:tcPr>
            <w:tcW w:w="9067" w:type="dxa"/>
            <w:tcBorders>
              <w:top w:val="single" w:sz="4" w:space="0" w:color="000000"/>
              <w:left w:val="single" w:sz="4" w:space="0" w:color="000000"/>
              <w:bottom w:val="single" w:sz="4" w:space="0" w:color="000000"/>
              <w:right w:val="single" w:sz="4" w:space="0" w:color="000000"/>
            </w:tcBorders>
          </w:tcPr>
          <w:p w:rsidR="00A402AD" w:rsidRPr="00CA36FA" w:rsidP="00A402AD" w14:paraId="55F61AB6" w14:textId="012D7360">
            <w:r w:rsidRPr="007C058A">
              <w:t>Court of Justice</w:t>
            </w:r>
            <w:r w:rsidRPr="007C058A" w:rsidR="007C058A">
              <w:t xml:space="preserve"> of the European Union</w:t>
            </w:r>
          </w:p>
        </w:tc>
      </w:tr>
      <w:tr w14:paraId="46F0232C" w14:textId="77777777" w:rsidTr="00A402AD">
        <w:tblPrEx>
          <w:tblW w:w="9067" w:type="dxa"/>
          <w:tblInd w:w="98" w:type="dxa"/>
          <w:tblLayout w:type="fixed"/>
          <w:tblCellMar>
            <w:left w:w="0" w:type="dxa"/>
            <w:right w:w="0" w:type="dxa"/>
          </w:tblCellMar>
          <w:tblLook w:val="01E0"/>
        </w:tblPrEx>
        <w:trPr>
          <w:trHeight w:val="278"/>
        </w:trPr>
        <w:tc>
          <w:tcPr>
            <w:tcW w:w="9067" w:type="dxa"/>
            <w:tcBorders>
              <w:top w:val="single" w:sz="4" w:space="0" w:color="000000"/>
              <w:left w:val="single" w:sz="4" w:space="0" w:color="000000"/>
              <w:bottom w:val="single" w:sz="4" w:space="0" w:color="000000"/>
              <w:right w:val="single" w:sz="4" w:space="0" w:color="000000"/>
            </w:tcBorders>
          </w:tcPr>
          <w:p w:rsidR="00A402AD" w:rsidRPr="00CA36FA" w:rsidP="00A402AD" w14:paraId="0263BA56" w14:textId="77777777"/>
        </w:tc>
      </w:tr>
      <w:tr w14:paraId="6F61D86F" w14:textId="77777777" w:rsidTr="00A402AD">
        <w:tblPrEx>
          <w:tblW w:w="9067" w:type="dxa"/>
          <w:tblInd w:w="98" w:type="dxa"/>
          <w:tblLayout w:type="fixed"/>
          <w:tblCellMar>
            <w:left w:w="0" w:type="dxa"/>
            <w:right w:w="0" w:type="dxa"/>
          </w:tblCellMar>
          <w:tblLook w:val="01E0"/>
        </w:tblPrEx>
        <w:trPr>
          <w:trHeight w:val="533"/>
        </w:trPr>
        <w:tc>
          <w:tcPr>
            <w:tcW w:w="9067" w:type="dxa"/>
            <w:tcBorders>
              <w:top w:val="single" w:sz="4" w:space="0" w:color="000000"/>
              <w:left w:val="single" w:sz="4" w:space="0" w:color="000000"/>
              <w:bottom w:val="single" w:sz="4" w:space="0" w:color="000000"/>
              <w:right w:val="single" w:sz="4" w:space="0" w:color="000000"/>
            </w:tcBorders>
            <w:hideMark/>
          </w:tcPr>
          <w:p w:rsidR="00A402AD" w:rsidRPr="007C058A" w:rsidP="00A402AD" w14:paraId="05823618" w14:textId="77777777">
            <w:pPr>
              <w:rPr>
                <w:b/>
              </w:rPr>
            </w:pPr>
            <w:r w:rsidRPr="007C058A">
              <w:rPr>
                <w:b/>
              </w:rPr>
              <w:t>2. Representatives of public authorities of third countries, including their diplomatic missions and embassies</w:t>
            </w:r>
          </w:p>
        </w:tc>
      </w:tr>
      <w:tr w14:paraId="31BA501F" w14:textId="77777777" w:rsidTr="00A402AD">
        <w:tblPrEx>
          <w:tblW w:w="9067" w:type="dxa"/>
          <w:tblInd w:w="98" w:type="dxa"/>
          <w:tblLayout w:type="fixed"/>
          <w:tblCellMar>
            <w:left w:w="0" w:type="dxa"/>
            <w:right w:w="0" w:type="dxa"/>
          </w:tblCellMar>
          <w:tblLook w:val="01E0"/>
        </w:tblPrEx>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A402AD" w:rsidRPr="007C058A" w:rsidP="00A402AD" w14:paraId="17B9107D" w14:textId="15E70953"/>
        </w:tc>
      </w:tr>
      <w:tr w14:paraId="4F1DA6F5" w14:textId="77777777" w:rsidTr="00A402AD">
        <w:tblPrEx>
          <w:tblW w:w="9067" w:type="dxa"/>
          <w:tblInd w:w="98" w:type="dxa"/>
          <w:tblLayout w:type="fixed"/>
          <w:tblCellMar>
            <w:left w:w="0" w:type="dxa"/>
            <w:right w:w="0" w:type="dxa"/>
          </w:tblCellMar>
          <w:tblLook w:val="01E0"/>
        </w:tblPrEx>
        <w:trPr>
          <w:trHeight w:val="278"/>
        </w:trPr>
        <w:tc>
          <w:tcPr>
            <w:tcW w:w="9067" w:type="dxa"/>
            <w:tcBorders>
              <w:top w:val="single" w:sz="4" w:space="0" w:color="000000"/>
              <w:left w:val="single" w:sz="4" w:space="0" w:color="000000"/>
              <w:bottom w:val="single" w:sz="4" w:space="0" w:color="000000"/>
              <w:right w:val="single" w:sz="4" w:space="0" w:color="000000"/>
            </w:tcBorders>
          </w:tcPr>
          <w:p w:rsidR="00A402AD" w:rsidRPr="007C058A" w:rsidP="00A402AD" w14:paraId="53A07E64" w14:textId="77777777"/>
        </w:tc>
      </w:tr>
      <w:tr w14:paraId="331079E4" w14:textId="77777777" w:rsidTr="00A402AD">
        <w:tblPrEx>
          <w:tblW w:w="9067" w:type="dxa"/>
          <w:tblInd w:w="98" w:type="dxa"/>
          <w:tblLayout w:type="fixed"/>
          <w:tblCellMar>
            <w:left w:w="0" w:type="dxa"/>
            <w:right w:w="0" w:type="dxa"/>
          </w:tblCellMar>
          <w:tblLook w:val="01E0"/>
        </w:tblPrEx>
        <w:trPr>
          <w:trHeight w:val="278"/>
        </w:trPr>
        <w:tc>
          <w:tcPr>
            <w:tcW w:w="9067" w:type="dxa"/>
            <w:tcBorders>
              <w:top w:val="single" w:sz="4" w:space="0" w:color="000000"/>
              <w:left w:val="single" w:sz="4" w:space="0" w:color="000000"/>
              <w:bottom w:val="single" w:sz="4" w:space="0" w:color="000000"/>
              <w:right w:val="single" w:sz="4" w:space="0" w:color="000000"/>
            </w:tcBorders>
          </w:tcPr>
          <w:p w:rsidR="00A402AD" w:rsidRPr="007C058A" w:rsidP="00A402AD" w14:paraId="3F9ADCAC" w14:textId="77777777"/>
        </w:tc>
      </w:tr>
    </w:tbl>
    <w:p w:rsidR="00A402AD" w:rsidRPr="007C058A" w:rsidP="00A402AD" w14:paraId="1A20FDA4" w14:textId="77777777"/>
    <w:p w:rsidR="00A402AD" w:rsidRPr="007C058A" w:rsidP="00A402AD" w14:paraId="7EAF3FEF" w14:textId="77777777"/>
    <w:p w:rsidR="00A402AD" w:rsidRPr="007C058A" w:rsidP="00A402AD" w14:paraId="2434BF58" w14:textId="77777777">
      <w:r w:rsidRPr="007C058A">
        <w:t>The list above is drawn up under the exclusive responsibility of the rapporteur for opinion.</w:t>
      </w:r>
    </w:p>
    <w:p w:rsidR="00A402AD" w:rsidRPr="007C058A" w:rsidP="00A402AD" w14:paraId="169D4ED7" w14:textId="77777777"/>
    <w:p w:rsidR="00A402AD" w:rsidRPr="007C058A" w:rsidP="00A402AD" w14:paraId="2BE6469A" w14:textId="06A40940">
      <w:pPr>
        <w:rPr>
          <w:b/>
        </w:rPr>
      </w:pPr>
      <w:r w:rsidRPr="007C058A">
        <w:t>Where natural persons are identified in the list by their name, by their function or by both, the rapporteur for opinion declares that he has submitted to the natural persons concerned the European Parliament’s Data Protection Notice No 484 (</w:t>
      </w:r>
      <w:hyperlink r:id="rId6" w:history="1">
        <w:r w:rsidRPr="007C058A">
          <w:rPr>
            <w:rStyle w:val="Hyperlink"/>
          </w:rPr>
          <w:t>https://www.europarl.europa.eu/data-protect/index.do</w:t>
        </w:r>
      </w:hyperlink>
      <w:r w:rsidRPr="007C058A">
        <w:t>), which sets out the conditions applicable to the processing of their personal data and the rights linked to that processing.</w:t>
      </w:r>
    </w:p>
    <w:p w:rsidR="00CF1A30" w:rsidRPr="007C058A" w:rsidP="00CF1A30" w14:paraId="76AB6F38" w14:textId="77777777"/>
    <w:p w:rsidR="00CF1A30" w:rsidRPr="007C058A" w:rsidP="003E06CF" w14:paraId="7D373E64" w14:textId="77777777">
      <w:pPr>
        <w:pStyle w:val="NormalHanging12a"/>
      </w:pPr>
    </w:p>
    <w:sectPr w:rsidSect="00CF1A3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CA36FA" w:rsidP="009A33F4" w14:paraId="7337AC3A" w14:textId="03B01F2A">
    <w:pPr>
      <w:pStyle w:val="EPFooter"/>
      <w:rPr>
        <w:lang w:val="fr-BE"/>
      </w:rPr>
    </w:pPr>
    <w:r w:rsidRPr="00CA36FA">
      <w:rPr>
        <w:lang w:val="fr-BE"/>
      </w:rPr>
      <w:t>PE</w:t>
    </w:r>
    <w:r w:rsidRPr="00CA36FA">
      <w:rPr>
        <w:rStyle w:val="HideTWBExt"/>
        <w:lang w:val="fr-BE"/>
      </w:rPr>
      <w:t>&lt;NoPE&gt;</w:t>
    </w:r>
    <w:r w:rsidRPr="00CA36FA" w:rsidR="00CF1A30">
      <w:rPr>
        <w:lang w:val="fr-BE"/>
      </w:rPr>
      <w:t>796.349</w:t>
    </w:r>
    <w:r w:rsidRPr="00CA36FA">
      <w:rPr>
        <w:rStyle w:val="HideTWBExt"/>
        <w:lang w:val="fr-BE"/>
      </w:rPr>
      <w:t>&lt;/NoPE&gt;&lt;Version&gt;</w:t>
    </w:r>
    <w:r w:rsidRPr="00CA36FA" w:rsidR="004E53A7">
      <w:rPr>
        <w:lang w:val="fr-BE"/>
      </w:rPr>
      <w:t>v</w:t>
    </w:r>
    <w:r w:rsidRPr="00CA36FA" w:rsidR="00CF1A30">
      <w:rPr>
        <w:lang w:val="fr-BE"/>
      </w:rPr>
      <w:t>01-00</w:t>
    </w:r>
    <w:r w:rsidRPr="00CA36FA">
      <w:rPr>
        <w:rStyle w:val="HideTWBExt"/>
        <w:lang w:val="fr-BE"/>
      </w:rPr>
      <w:t>&lt;/Version&gt;</w:t>
    </w:r>
    <w:r w:rsidRPr="00CA36FA">
      <w:rPr>
        <w:lang w:val="fr-BE"/>
      </w:rPr>
      <w:tab/>
    </w:r>
    <w:r w:rsidRPr="004E53A7" w:rsidR="00AF77DA">
      <w:fldChar w:fldCharType="begin"/>
    </w:r>
    <w:r w:rsidRPr="00CA36FA" w:rsidR="00AF77DA">
      <w:rPr>
        <w:lang w:val="fr-BE"/>
      </w:rPr>
      <w:instrText xml:space="preserve"> PAGE </w:instrText>
    </w:r>
    <w:r w:rsidRPr="004E53A7" w:rsidR="00AF77DA">
      <w:fldChar w:fldCharType="separate"/>
    </w:r>
    <w:r w:rsidRPr="00CA36FA" w:rsidR="00385BAB">
      <w:rPr>
        <w:noProof/>
        <w:lang w:val="fr-BE"/>
      </w:rPr>
      <w:t>2</w:t>
    </w:r>
    <w:r w:rsidRPr="004E53A7" w:rsidR="00AF77DA">
      <w:fldChar w:fldCharType="end"/>
    </w:r>
    <w:r w:rsidRPr="00CA36FA" w:rsidR="00AF77DA">
      <w:rPr>
        <w:lang w:val="fr-BE"/>
      </w:rPr>
      <w:t>/</w:t>
    </w:r>
    <w:r w:rsidR="00385BAB">
      <w:fldChar w:fldCharType="begin"/>
    </w:r>
    <w:r w:rsidRPr="00CA36FA" w:rsidR="00385BAB">
      <w:rPr>
        <w:lang w:val="fr-BE"/>
      </w:rPr>
      <w:instrText xml:space="preserve"> NUMPAGES </w:instrText>
    </w:r>
    <w:r w:rsidR="00385BAB">
      <w:fldChar w:fldCharType="separate"/>
    </w:r>
    <w:r w:rsidRPr="00CA36FA" w:rsidR="00385BAB">
      <w:rPr>
        <w:noProof/>
        <w:lang w:val="fr-BE"/>
      </w:rPr>
      <w:t>3</w:t>
    </w:r>
    <w:r w:rsidR="00385BAB">
      <w:rPr>
        <w:noProof/>
      </w:rPr>
      <w:fldChar w:fldCharType="end"/>
    </w:r>
    <w:r w:rsidRPr="00CA36FA">
      <w:rPr>
        <w:lang w:val="fr-BE"/>
      </w:rPr>
      <w:tab/>
    </w:r>
    <w:r w:rsidRPr="00CA36FA">
      <w:rPr>
        <w:rStyle w:val="HideTWBExt"/>
        <w:lang w:val="fr-BE"/>
      </w:rPr>
      <w:t>&lt;PathFdR&gt;</w:t>
    </w:r>
    <w:r w:rsidRPr="00CA36FA" w:rsidR="00CF1A30">
      <w:rPr>
        <w:lang w:val="fr-BE"/>
      </w:rPr>
      <w:t>PA\1352087EN.docx</w:t>
    </w:r>
    <w:r w:rsidRPr="00CA36FA">
      <w:rPr>
        <w:rStyle w:val="HideTWBExt"/>
        <w:lang w:val="fr-BE"/>
      </w:rPr>
      <w:t>&lt;/PathFdR&gt;</w:t>
    </w:r>
  </w:p>
  <w:p w:rsidR="00C75378" w:rsidRPr="00CA36FA" w14:paraId="39D71239" w14:textId="1413028B">
    <w:pPr>
      <w:pStyle w:val="EPFooter2"/>
      <w:rPr>
        <w:lang w:val="fr-BE"/>
      </w:rPr>
    </w:pPr>
    <w:r>
      <w:fldChar w:fldCharType="begin"/>
    </w:r>
    <w:r w:rsidRPr="00CA36FA">
      <w:rPr>
        <w:lang w:val="fr-BE"/>
      </w:rPr>
      <w:instrText xml:space="preserve"> DOCPROPERTY "&lt;Extension&gt;" </w:instrText>
    </w:r>
    <w:r>
      <w:fldChar w:fldCharType="separate"/>
    </w:r>
    <w:r w:rsidRPr="00CA36FA">
      <w:rPr>
        <w:lang w:val="fr-BE"/>
      </w:rPr>
      <w:t>EN</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CA36FA" w:rsidP="009A33F4" w14:paraId="4028340C" w14:textId="6D01DBBE">
    <w:pPr>
      <w:pStyle w:val="EPFooter"/>
      <w:rPr>
        <w:lang w:val="es-ES"/>
      </w:rPr>
    </w:pPr>
    <w:r w:rsidRPr="00CA36FA">
      <w:rPr>
        <w:rStyle w:val="HideTWBExt"/>
        <w:lang w:val="es-ES"/>
      </w:rPr>
      <w:t>&lt;PathFdR&gt;</w:t>
    </w:r>
    <w:r w:rsidRPr="00CA36FA" w:rsidR="00CF1A30">
      <w:rPr>
        <w:lang w:val="es-ES"/>
      </w:rPr>
      <w:t>PA\1352087EN.docx</w:t>
    </w:r>
    <w:r w:rsidRPr="00CA36FA">
      <w:rPr>
        <w:rStyle w:val="HideTWBExt"/>
        <w:lang w:val="es-ES"/>
      </w:rPr>
      <w:t>&lt;/PathFdR&gt;</w:t>
    </w:r>
    <w:r w:rsidRPr="00CA36FA">
      <w:rPr>
        <w:lang w:val="es-ES"/>
      </w:rPr>
      <w:tab/>
    </w:r>
    <w:r w:rsidRPr="004E53A7" w:rsidR="00AF77DA">
      <w:fldChar w:fldCharType="begin"/>
    </w:r>
    <w:r w:rsidRPr="00CA36FA" w:rsidR="00AF77DA">
      <w:rPr>
        <w:lang w:val="es-ES"/>
      </w:rPr>
      <w:instrText xml:space="preserve"> PAGE </w:instrText>
    </w:r>
    <w:r w:rsidRPr="004E53A7" w:rsidR="00AF77DA">
      <w:fldChar w:fldCharType="separate"/>
    </w:r>
    <w:r w:rsidRPr="00CA36FA" w:rsidR="00385BAB">
      <w:rPr>
        <w:noProof/>
        <w:lang w:val="es-ES"/>
      </w:rPr>
      <w:t>3</w:t>
    </w:r>
    <w:r w:rsidRPr="004E53A7" w:rsidR="00AF77DA">
      <w:fldChar w:fldCharType="end"/>
    </w:r>
    <w:r w:rsidRPr="00CA36FA" w:rsidR="00AF77DA">
      <w:rPr>
        <w:lang w:val="es-ES"/>
      </w:rPr>
      <w:t>/</w:t>
    </w:r>
    <w:r w:rsidR="00385BAB">
      <w:fldChar w:fldCharType="begin"/>
    </w:r>
    <w:r w:rsidRPr="00CA36FA" w:rsidR="00385BAB">
      <w:rPr>
        <w:lang w:val="es-ES"/>
      </w:rPr>
      <w:instrText xml:space="preserve"> NUMPAGES </w:instrText>
    </w:r>
    <w:r w:rsidR="00385BAB">
      <w:fldChar w:fldCharType="separate"/>
    </w:r>
    <w:r w:rsidRPr="00CA36FA" w:rsidR="00385BAB">
      <w:rPr>
        <w:noProof/>
        <w:lang w:val="es-ES"/>
      </w:rPr>
      <w:t>3</w:t>
    </w:r>
    <w:r w:rsidR="00385BAB">
      <w:rPr>
        <w:noProof/>
      </w:rPr>
      <w:fldChar w:fldCharType="end"/>
    </w:r>
    <w:r w:rsidRPr="00CA36FA">
      <w:rPr>
        <w:lang w:val="es-ES"/>
      </w:rPr>
      <w:tab/>
    </w:r>
    <w:r w:rsidRPr="00CA36FA" w:rsidR="00212D35">
      <w:rPr>
        <w:lang w:val="es-ES"/>
      </w:rPr>
      <w:t>PE</w:t>
    </w:r>
    <w:r w:rsidRPr="00CA36FA">
      <w:rPr>
        <w:rStyle w:val="HideTWBExt"/>
        <w:lang w:val="es-ES"/>
      </w:rPr>
      <w:t>&lt;NoPE&gt;</w:t>
    </w:r>
    <w:r w:rsidRPr="00CA36FA" w:rsidR="00CF1A30">
      <w:rPr>
        <w:lang w:val="es-ES"/>
      </w:rPr>
      <w:t>796.349</w:t>
    </w:r>
    <w:r w:rsidRPr="00CA36FA">
      <w:rPr>
        <w:rStyle w:val="HideTWBExt"/>
        <w:lang w:val="es-ES"/>
      </w:rPr>
      <w:t>&lt;/NoPE&gt;&lt;Version&gt;</w:t>
    </w:r>
    <w:r w:rsidRPr="00CA36FA" w:rsidR="004E53A7">
      <w:rPr>
        <w:lang w:val="es-ES"/>
      </w:rPr>
      <w:t>v</w:t>
    </w:r>
    <w:r w:rsidRPr="00CA36FA" w:rsidR="00CF1A30">
      <w:rPr>
        <w:lang w:val="es-ES"/>
      </w:rPr>
      <w:t>01-00</w:t>
    </w:r>
    <w:r w:rsidRPr="00CA36FA">
      <w:rPr>
        <w:rStyle w:val="HideTWBExt"/>
        <w:lang w:val="es-ES"/>
      </w:rPr>
      <w:t>&lt;/Version&gt;</w:t>
    </w:r>
  </w:p>
  <w:p w:rsidR="00C75378" w:rsidRPr="00CA36FA" w14:paraId="6161888C" w14:textId="55237C9A">
    <w:pPr>
      <w:pStyle w:val="EPFooter2"/>
      <w:rPr>
        <w:lang w:val="es-ES"/>
      </w:rPr>
    </w:pPr>
    <w:r w:rsidRPr="00CA36FA">
      <w:rPr>
        <w:lang w:val="es-ES"/>
      </w:rPr>
      <w:tab/>
    </w:r>
    <w:r w:rsidRPr="00CA36FA">
      <w:rPr>
        <w:lang w:val="es-ES"/>
      </w:rPr>
      <w:tab/>
    </w:r>
    <w:r w:rsidR="007C058A">
      <w:fldChar w:fldCharType="begin"/>
    </w:r>
    <w:r w:rsidRPr="00CA36FA" w:rsidR="007C058A">
      <w:rPr>
        <w:lang w:val="es-ES"/>
      </w:rPr>
      <w:instrText xml:space="preserve"> DOCPROPERTY "&lt;Extension&gt;" </w:instrText>
    </w:r>
    <w:r w:rsidR="007C058A">
      <w:fldChar w:fldCharType="separate"/>
    </w:r>
    <w:r w:rsidRPr="00CA36FA" w:rsidR="007C058A">
      <w:rPr>
        <w:lang w:val="es-ES"/>
      </w:rPr>
      <w:t>EN</w:t>
    </w:r>
    <w:r w:rsidR="007C058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4E53A7" w:rsidP="009A33F4" w14:paraId="6F719C52" w14:textId="39986EE3">
    <w:pPr>
      <w:pStyle w:val="EPFooter"/>
    </w:pPr>
    <w:r w:rsidRPr="004E53A7">
      <w:rPr>
        <w:rStyle w:val="HideTWBExt"/>
      </w:rPr>
      <w:t>&lt;PathFdR&gt;</w:t>
    </w:r>
    <w:r w:rsidRPr="00CF1A30" w:rsidR="00CF1A30">
      <w:t>PA\1352087EN.docx</w:t>
    </w:r>
    <w:r w:rsidRPr="004E53A7">
      <w:rPr>
        <w:rStyle w:val="HideTWBExt"/>
      </w:rPr>
      <w:t>&lt;/PathFdR&gt;</w:t>
    </w:r>
    <w:r w:rsidRPr="004E53A7">
      <w:tab/>
    </w:r>
    <w:r w:rsidRPr="004E53A7">
      <w:tab/>
    </w:r>
    <w:r w:rsidRPr="004E53A7" w:rsidR="00212D35">
      <w:t>PE</w:t>
    </w:r>
    <w:r w:rsidRPr="004E53A7">
      <w:rPr>
        <w:rStyle w:val="HideTWBExt"/>
      </w:rPr>
      <w:t>&lt;NoPE&gt;</w:t>
    </w:r>
    <w:r w:rsidRPr="00CF1A30" w:rsidR="00CF1A30">
      <w:t>796.349</w:t>
    </w:r>
    <w:r w:rsidRPr="004E53A7">
      <w:rPr>
        <w:rStyle w:val="HideTWBExt"/>
      </w:rPr>
      <w:t>&lt;/NoPE&gt;&lt;Version&gt;</w:t>
    </w:r>
    <w:r w:rsidRPr="004E53A7" w:rsidR="004E53A7">
      <w:t>v</w:t>
    </w:r>
    <w:r w:rsidRPr="00CF1A30" w:rsidR="00CF1A30">
      <w:t>01-00</w:t>
    </w:r>
    <w:r w:rsidRPr="004E53A7">
      <w:rPr>
        <w:rStyle w:val="HideTWBExt"/>
      </w:rPr>
      <w:t>&lt;/Version&gt;</w:t>
    </w:r>
  </w:p>
  <w:p w:rsidR="00C75378" w:rsidRPr="004E53A7" w:rsidP="00E9601C" w14:paraId="7486E235" w14:textId="5D1BB746">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4E53A7" w:rsidR="00E9601C">
      <w:tab/>
    </w:r>
    <w:r w:rsidR="00CF1A30">
      <w:rPr>
        <w:b w:val="0"/>
        <w:i/>
        <w:color w:val="C0C0C0"/>
        <w:sz w:val="22"/>
        <w:szCs w:val="22"/>
      </w:rPr>
      <w:t>United in diversity</w:t>
    </w:r>
    <w:r w:rsidRPr="004E53A7" w:rsidR="00E9601C">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2625F" w:rsidRPr="004E53A7" w14:paraId="1FBF6418" w14:textId="77777777">
      <w:r w:rsidRPr="004E53A7">
        <w:separator/>
      </w:r>
    </w:p>
  </w:footnote>
  <w:footnote w:type="continuationSeparator" w:id="1">
    <w:p w:rsidR="0042625F" w:rsidRPr="004E53A7" w14:paraId="312DB22A" w14:textId="77777777">
      <w:r w:rsidRPr="004E53A7">
        <w:continuationSeparator/>
      </w:r>
    </w:p>
  </w:footnote>
  <w:footnote w:id="2">
    <w:p w:rsidR="003C4D04" w:rsidP="003C4D04" w14:paraId="7E363E8A" w14:textId="77777777">
      <w:pPr>
        <w:pStyle w:val="FootnoteText"/>
        <w:ind w:right="997"/>
        <w:jc w:val="both"/>
        <w:rPr>
          <w:lang w:val="en-US" w:eastAsia="en-US"/>
        </w:rPr>
      </w:pPr>
      <w:r>
        <w:rPr>
          <w:rStyle w:val="FootnoteReference"/>
        </w:rPr>
        <w:footnoteRef/>
      </w:r>
      <w:r>
        <w:t xml:space="preserve"> Regulation (EU, Euratom) 2024/2019 of the European Parliament and of the Council of 11 April 2024 amending Protocol No. 3 on the Statute of the Court of Justice of the European Union (OJ L,</w:t>
      </w:r>
      <w:r w:rsidRPr="00807CCE">
        <w:t xml:space="preserve"> </w:t>
      </w:r>
      <w:r>
        <w:t>l 2024/2019, 12.8.2024, ELI: https://eur-lex.europa.eu/eli/reg/2024/2019/oj)</w:t>
      </w:r>
    </w:p>
  </w:footnote>
  <w:footnote w:id="3">
    <w:p w:rsidR="00A402AD" w:rsidP="00A402AD" w14:paraId="3C2F5A23" w14:textId="7F378BEA">
      <w:pPr>
        <w:pStyle w:val="FootnoteText"/>
        <w:tabs>
          <w:tab w:val="left" w:pos="567"/>
        </w:tabs>
        <w:ind w:left="567" w:hanging="567"/>
        <w:rPr>
          <w:snapToGrid w:val="0"/>
          <w:lang w:bidi="en-GB"/>
        </w:rPr>
      </w:pPr>
      <w:r>
        <w:rPr>
          <w:rStyle w:val="FootnoteReference"/>
        </w:rPr>
        <w:footnoteRef/>
      </w:r>
      <w:r>
        <w:t xml:space="preserve"> </w:t>
      </w:r>
      <w:r>
        <w:tab/>
      </w:r>
      <w:r>
        <w:rPr>
          <w:snapToGrid w:val="0"/>
          <w:lang w:bidi="en-GB"/>
        </w:rPr>
        <w:t xml:space="preserve">Interinstitutional Agreement of 20 May 2021 between the European Parliament, the Council of the European Union and the European Commission on a mandatory transparency register (OJ L 207, 11.6.2021, p. 1, ELI: </w:t>
      </w:r>
      <w:hyperlink r:id="rId1" w:tooltip="Gives access to this document through its ELI URI." w:history="1">
        <w:r>
          <w:rPr>
            <w:rStyle w:val="Hyperlink"/>
            <w:snapToGrid w:val="0"/>
            <w:color w:val="0000FF"/>
            <w:lang w:bidi="en-GB"/>
          </w:rPr>
          <w:t>http://data.europa.eu/eli/agree_interinstit/2021/611/oj</w:t>
        </w:r>
      </w:hyperlink>
      <w:r>
        <w:rPr>
          <w:snapToGrid w:val="0"/>
          <w:lang w:bidi="en-GB"/>
        </w:rPr>
        <w:t>).</w:t>
      </w:r>
    </w:p>
    <w:p w:rsidR="00A402AD" w:rsidP="00A402AD" w14:paraId="7FA1C288"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02AD" w14:paraId="378F39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02AD" w14:paraId="3CC446B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02AD" w14:paraId="2383C5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F555F88"/>
    <w:multiLevelType w:val="hybridMultilevel"/>
    <w:tmpl w:val="612A10F2"/>
    <w:lvl w:ilvl="0">
      <w:start w:val="1"/>
      <w:numFmt w:val="decimal"/>
      <w:lvlText w:val="%1."/>
      <w:lvlJc w:val="left"/>
      <w:pPr>
        <w:ind w:left="426" w:hanging="426"/>
      </w:pPr>
      <w:rPr>
        <w:spacing w:val="0"/>
        <w:w w:val="100"/>
        <w:lang w:val="en-US" w:eastAsia="en-US" w:bidi="ar-SA"/>
      </w:rPr>
    </w:lvl>
    <w:lvl w:ilvl="1">
      <w:start w:val="0"/>
      <w:numFmt w:val="bullet"/>
      <w:lvlText w:val="•"/>
      <w:lvlJc w:val="left"/>
      <w:pPr>
        <w:ind w:left="1377" w:hanging="426"/>
      </w:pPr>
      <w:rPr>
        <w:lang w:val="en-US" w:eastAsia="en-US" w:bidi="ar-SA"/>
      </w:rPr>
    </w:lvl>
    <w:lvl w:ilvl="2">
      <w:start w:val="0"/>
      <w:numFmt w:val="bullet"/>
      <w:lvlText w:val="•"/>
      <w:lvlJc w:val="left"/>
      <w:pPr>
        <w:ind w:left="2326" w:hanging="426"/>
      </w:pPr>
      <w:rPr>
        <w:lang w:val="en-US" w:eastAsia="en-US" w:bidi="ar-SA"/>
      </w:rPr>
    </w:lvl>
    <w:lvl w:ilvl="3">
      <w:start w:val="0"/>
      <w:numFmt w:val="bullet"/>
      <w:lvlText w:val="•"/>
      <w:lvlJc w:val="left"/>
      <w:pPr>
        <w:ind w:left="3276" w:hanging="426"/>
      </w:pPr>
      <w:rPr>
        <w:lang w:val="en-US" w:eastAsia="en-US" w:bidi="ar-SA"/>
      </w:rPr>
    </w:lvl>
    <w:lvl w:ilvl="4">
      <w:start w:val="0"/>
      <w:numFmt w:val="bullet"/>
      <w:lvlText w:val="•"/>
      <w:lvlJc w:val="left"/>
      <w:pPr>
        <w:ind w:left="4225" w:hanging="426"/>
      </w:pPr>
      <w:rPr>
        <w:lang w:val="en-US" w:eastAsia="en-US" w:bidi="ar-SA"/>
      </w:rPr>
    </w:lvl>
    <w:lvl w:ilvl="5">
      <w:start w:val="0"/>
      <w:numFmt w:val="bullet"/>
      <w:lvlText w:val="•"/>
      <w:lvlJc w:val="left"/>
      <w:pPr>
        <w:ind w:left="5175" w:hanging="426"/>
      </w:pPr>
      <w:rPr>
        <w:lang w:val="en-US" w:eastAsia="en-US" w:bidi="ar-SA"/>
      </w:rPr>
    </w:lvl>
    <w:lvl w:ilvl="6">
      <w:start w:val="0"/>
      <w:numFmt w:val="bullet"/>
      <w:lvlText w:val="•"/>
      <w:lvlJc w:val="left"/>
      <w:pPr>
        <w:ind w:left="6124" w:hanging="426"/>
      </w:pPr>
      <w:rPr>
        <w:lang w:val="en-US" w:eastAsia="en-US" w:bidi="ar-SA"/>
      </w:rPr>
    </w:lvl>
    <w:lvl w:ilvl="7">
      <w:start w:val="0"/>
      <w:numFmt w:val="bullet"/>
      <w:lvlText w:val="•"/>
      <w:lvlJc w:val="left"/>
      <w:pPr>
        <w:ind w:left="7073" w:hanging="426"/>
      </w:pPr>
      <w:rPr>
        <w:lang w:val="en-US" w:eastAsia="en-US" w:bidi="ar-SA"/>
      </w:rPr>
    </w:lvl>
    <w:lvl w:ilvl="8">
      <w:start w:val="0"/>
      <w:numFmt w:val="bullet"/>
      <w:lvlText w:val="•"/>
      <w:lvlJc w:val="left"/>
      <w:pPr>
        <w:ind w:left="8023" w:hanging="426"/>
      </w:pPr>
      <w:rPr>
        <w:lang w:val="en-US" w:eastAsia="en-US" w:bidi="ar-SA"/>
      </w:rPr>
    </w:lvl>
  </w:abstractNum>
  <w:abstractNum w:abstractNumId="11">
    <w:nsid w:val="62B16D19"/>
    <w:multiLevelType w:val="hybridMultilevel"/>
    <w:tmpl w:val="6A04B9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C6B69F0"/>
    <w:multiLevelType w:val="hybridMultilevel"/>
    <w:tmpl w:val="CED0A7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lvlOverride w:ilvl="2"/>
    <w:lvlOverride w:ilvl="3"/>
    <w:lvlOverride w:ilvl="4"/>
    <w:lvlOverride w:ilvl="5"/>
    <w:lvlOverride w:ilvl="6"/>
    <w:lvlOverride w:ilvl="7"/>
    <w:lvlOverride w:ilvl="8"/>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3A7"/>
    <w:rsid w:val="000048A8"/>
    <w:rsid w:val="00007A18"/>
    <w:rsid w:val="00062634"/>
    <w:rsid w:val="000A05CA"/>
    <w:rsid w:val="000B6C4B"/>
    <w:rsid w:val="000D001F"/>
    <w:rsid w:val="000D099F"/>
    <w:rsid w:val="000E6813"/>
    <w:rsid w:val="000F07FE"/>
    <w:rsid w:val="001275F4"/>
    <w:rsid w:val="001A455F"/>
    <w:rsid w:val="001F2766"/>
    <w:rsid w:val="001F6ED8"/>
    <w:rsid w:val="00212D35"/>
    <w:rsid w:val="00245C7F"/>
    <w:rsid w:val="00271180"/>
    <w:rsid w:val="002A4AC9"/>
    <w:rsid w:val="002B2892"/>
    <w:rsid w:val="002C0EE6"/>
    <w:rsid w:val="002C34AE"/>
    <w:rsid w:val="002E2F2E"/>
    <w:rsid w:val="00307C14"/>
    <w:rsid w:val="003707A7"/>
    <w:rsid w:val="00385BAB"/>
    <w:rsid w:val="0039003E"/>
    <w:rsid w:val="00396FA9"/>
    <w:rsid w:val="003B1A12"/>
    <w:rsid w:val="003B72FC"/>
    <w:rsid w:val="003C4D04"/>
    <w:rsid w:val="003D684B"/>
    <w:rsid w:val="003E06CF"/>
    <w:rsid w:val="003E35FB"/>
    <w:rsid w:val="003F3B83"/>
    <w:rsid w:val="0042625F"/>
    <w:rsid w:val="00426BE9"/>
    <w:rsid w:val="00431E30"/>
    <w:rsid w:val="00487232"/>
    <w:rsid w:val="00495CA4"/>
    <w:rsid w:val="004A34E6"/>
    <w:rsid w:val="004C28FB"/>
    <w:rsid w:val="004E53A7"/>
    <w:rsid w:val="004E54DC"/>
    <w:rsid w:val="004F48ED"/>
    <w:rsid w:val="00514664"/>
    <w:rsid w:val="0055017A"/>
    <w:rsid w:val="00577018"/>
    <w:rsid w:val="005779E7"/>
    <w:rsid w:val="005D0786"/>
    <w:rsid w:val="005E3670"/>
    <w:rsid w:val="00600DC9"/>
    <w:rsid w:val="00643F39"/>
    <w:rsid w:val="0066728C"/>
    <w:rsid w:val="006819E0"/>
    <w:rsid w:val="006E728E"/>
    <w:rsid w:val="006F41F5"/>
    <w:rsid w:val="0071319E"/>
    <w:rsid w:val="00713EBE"/>
    <w:rsid w:val="00722749"/>
    <w:rsid w:val="00722F64"/>
    <w:rsid w:val="007C058A"/>
    <w:rsid w:val="00806587"/>
    <w:rsid w:val="00807CCE"/>
    <w:rsid w:val="008818A9"/>
    <w:rsid w:val="008C6240"/>
    <w:rsid w:val="008E7494"/>
    <w:rsid w:val="008F36CD"/>
    <w:rsid w:val="008F7002"/>
    <w:rsid w:val="0095301E"/>
    <w:rsid w:val="0095497D"/>
    <w:rsid w:val="009669A8"/>
    <w:rsid w:val="00972FD8"/>
    <w:rsid w:val="00977F76"/>
    <w:rsid w:val="0098140C"/>
    <w:rsid w:val="009A33F4"/>
    <w:rsid w:val="009A403C"/>
    <w:rsid w:val="009B5265"/>
    <w:rsid w:val="00A2041C"/>
    <w:rsid w:val="00A402AD"/>
    <w:rsid w:val="00A722B1"/>
    <w:rsid w:val="00A8267E"/>
    <w:rsid w:val="00A93570"/>
    <w:rsid w:val="00A9617A"/>
    <w:rsid w:val="00AA1A2C"/>
    <w:rsid w:val="00AA223C"/>
    <w:rsid w:val="00AF77DA"/>
    <w:rsid w:val="00B107A4"/>
    <w:rsid w:val="00B1441B"/>
    <w:rsid w:val="00B362F7"/>
    <w:rsid w:val="00BB2AC1"/>
    <w:rsid w:val="00C04938"/>
    <w:rsid w:val="00C175C0"/>
    <w:rsid w:val="00C47E30"/>
    <w:rsid w:val="00C54F53"/>
    <w:rsid w:val="00C75378"/>
    <w:rsid w:val="00C85D0F"/>
    <w:rsid w:val="00CA0D01"/>
    <w:rsid w:val="00CA36FA"/>
    <w:rsid w:val="00CF1A30"/>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C2C85"/>
    <w:rsid w:val="00F036E0"/>
    <w:rsid w:val="00F129D0"/>
    <w:rsid w:val="00F46E44"/>
    <w:rsid w:val="00F611FC"/>
    <w:rsid w:val="00F61E8C"/>
    <w:rsid w:val="00F707AB"/>
    <w:rsid w:val="00F96D53"/>
    <w:rsid w:val="00FB459D"/>
    <w:rsid w:val="00FF00D4"/>
    <w:rsid w:val="00FF158E"/>
  </w:rsids>
  <w:docVars>
    <w:docVar w:name="COMKEY" w:val="JURI"/>
    <w:docVar w:name="DOCDT" w:val="06/10/2026"/>
    <w:docVar w:name="LastEditedSection" w:val=" 1"/>
    <w:docVar w:name="OTHERHEADINGMNU" w:val=" 1"/>
    <w:docVar w:name="PARTCOUNT" w:val="1"/>
    <w:docVar w:name="strDocTypeID" w:val="PA_NonLegDec"/>
    <w:docVar w:name="strSubDir" w:val="1352"/>
    <w:docVar w:name="TITLEMNU" w:val=" 3"/>
    <w:docVar w:name="TXTAUTHOR" w:val="Ilhan Kyuchyuk"/>
    <w:docVar w:name="TXTLANGUE" w:val="EN"/>
    <w:docVar w:name="TXTLANGUEMIN" w:val="en"/>
    <w:docVar w:name="TXTNRPE" w:val="796.349"/>
    <w:docVar w:name="TXTNRPROC" w:val="2026/2082"/>
    <w:docVar w:name="TXTPEorAP" w:val="PE"/>
    <w:docVar w:name="TXTROUTE" w:val="PA\1352087EN.docx"/>
    <w:docVar w:name="TXTTITLE" w:val="on discharge in respect of the implementation of the general budget of the European Union for the financial 2025 – Court of Justice of the European Union"/>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E1E487F-4AA5-415F-9A7C-C761F3C3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A7632"/>
    <w:rPr>
      <w:rFonts w:ascii="Arial" w:hAnsi="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FF158E"/>
    <w:rPr>
      <w:sz w:val="24"/>
    </w:rPr>
  </w:style>
  <w:style w:type="character" w:styleId="Hyperlink">
    <w:name w:val="Hyperlink"/>
    <w:basedOn w:val="DefaultParagraphFont"/>
    <w:unhideWhenUsed/>
    <w:rsid w:val="00A402AD"/>
    <w:rPr>
      <w:color w:val="0563C1" w:themeColor="hyperlink"/>
      <w:u w:val="single"/>
    </w:rPr>
  </w:style>
  <w:style w:type="paragraph" w:styleId="FootnoteText">
    <w:name w:val="footnote text"/>
    <w:basedOn w:val="Normal"/>
    <w:link w:val="FootnoteTextChar"/>
    <w:unhideWhenUsed/>
    <w:rsid w:val="00A402AD"/>
    <w:rPr>
      <w:sz w:val="20"/>
    </w:rPr>
  </w:style>
  <w:style w:type="character" w:customStyle="1" w:styleId="FootnoteTextChar">
    <w:name w:val="Footnote Text Char"/>
    <w:basedOn w:val="DefaultParagraphFont"/>
    <w:link w:val="FootnoteText"/>
    <w:rsid w:val="00A402AD"/>
  </w:style>
  <w:style w:type="character" w:styleId="FootnoteReference">
    <w:name w:val="footnote reference"/>
    <w:basedOn w:val="DefaultParagraphFont"/>
    <w:uiPriority w:val="99"/>
    <w:unhideWhenUsed/>
    <w:rsid w:val="00A402AD"/>
    <w:rPr>
      <w:vertAlign w:val="superscript"/>
    </w:rPr>
  </w:style>
  <w:style w:type="character" w:customStyle="1" w:styleId="UnresolvedMention">
    <w:name w:val="Unresolved Mention"/>
    <w:basedOn w:val="DefaultParagraphFont"/>
    <w:uiPriority w:val="99"/>
    <w:semiHidden/>
    <w:unhideWhenUsed/>
    <w:rsid w:val="00A402AD"/>
    <w:rPr>
      <w:color w:val="605E5C"/>
      <w:shd w:val="clear" w:color="auto" w:fill="E1DFDD"/>
    </w:rPr>
  </w:style>
  <w:style w:type="paragraph" w:styleId="Footer">
    <w:name w:val="footer"/>
    <w:basedOn w:val="Normal"/>
    <w:link w:val="FooterChar"/>
    <w:semiHidden/>
    <w:rsid w:val="00A402AD"/>
    <w:pPr>
      <w:tabs>
        <w:tab w:val="center" w:pos="4513"/>
        <w:tab w:val="right" w:pos="9026"/>
      </w:tabs>
    </w:pPr>
  </w:style>
  <w:style w:type="character" w:customStyle="1" w:styleId="FooterChar">
    <w:name w:val="Footer Char"/>
    <w:basedOn w:val="DefaultParagraphFont"/>
    <w:link w:val="Footer"/>
    <w:semiHidden/>
    <w:rsid w:val="00A402A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www.europarl.europa.eu/data-protect/index.do"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3</cp:revision>
  <cp:lastPrinted>2004-10-28T10:33:00Z</cp:lastPrinted>
  <dcterms:created xsi:type="dcterms:W3CDTF">2026-10-14T15:44:00Z</dcterms:created>
  <dcterms:modified xsi:type="dcterms:W3CDTF">2026-10-15T07:58:00Z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1352087</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PA\1352087EN.docx</vt:lpwstr>
  </property>
  <property fmtid="{D5CDD505-2E9C-101B-9397-08002B2CF9AE}" pid="10" name="LastEdited with">
    <vt:lpwstr>10.3.1 Build [20260902]</vt:lpwstr>
  </property>
  <property fmtid="{D5CDD505-2E9C-101B-9397-08002B2CF9AE}" pid="11" name="PE number">
    <vt:lpwstr>796.349</vt:lpwstr>
  </property>
  <property fmtid="{D5CDD505-2E9C-101B-9397-08002B2CF9AE}" pid="12" name="RegistreCheck">
    <vt:lpwstr>OK</vt:lpwstr>
  </property>
  <property fmtid="{D5CDD505-2E9C-101B-9397-08002B2CF9AE}" pid="13" name="SendToEpades">
    <vt:lpwstr>OK - 2026/10/14 17:44</vt:lpwstr>
  </property>
</Properties>
</file>