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{LIBE}</w:t>
      </w:r>
      <w:r>
        <w:t>Committee on Civil Liberties, Justice and Home Affairs</w:t>
      </w:r>
      <w:r>
        <w:rPr>
          <w:rStyle w:val="HideTWBExt"/>
        </w:rPr>
        <w:t>&lt;/Commission&gt;</w:t>
      </w:r>
    </w:p>
    <w:p>
      <w:pPr>
        <w:pStyle w:val="LineBottom"/>
      </w:pPr>
      <w:r>
        <w:t xml:space="preserve"> </w:t>
      </w:r>
    </w:p>
    <w:p>
      <w:pPr>
        <w:pStyle w:val="CoverReference"/>
      </w:pPr>
      <w:r>
        <w:rPr>
          <w:rStyle w:val="HideTWBExt"/>
        </w:rPr>
        <w:t>&lt;RefProc&gt;</w:t>
      </w:r>
      <w:r>
        <w:t>2025/0227</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{04/03/2026}</w:t>
      </w:r>
      <w:r>
        <w:t>4.3.2026</w:t>
      </w:r>
      <w:r>
        <w:rPr>
          <w:rStyle w:val="HideTWBExt"/>
        </w:rPr>
        <w:t>&lt;/Date&gt;</w:t>
      </w:r>
    </w:p>
    <w:p>
      <w:pPr>
        <w:pStyle w:val="CoverDocType24a"/>
      </w:pPr>
      <w:r>
        <w:rPr>
          <w:rStyle w:val="HideTWBExt"/>
        </w:rPr>
        <w:t>&lt;TitreType&gt;</w:t>
      </w:r>
      <w:r>
        <w:t>DRAFT OPINION</w:t>
      </w:r>
      <w:r>
        <w:rPr>
          <w:rStyle w:val="HideTWBExt"/>
        </w:rPr>
        <w:t>&lt;/TitreType&gt;</w:t>
      </w:r>
    </w:p>
    <w:p>
      <w:pPr>
        <w:pStyle w:val="CoverNormal24a"/>
      </w:pPr>
      <w:r>
        <w:rPr>
          <w:rStyle w:val="HideTWBExt"/>
        </w:rPr>
        <w:t>&lt;CommissionResp&gt;</w:t>
      </w:r>
      <w:r>
        <w:t>of the Committee on Civil Liberties, Justice and Home Affairs</w:t>
      </w:r>
      <w:r>
        <w:rPr>
          <w:rStyle w:val="HideTWBExt"/>
        </w:rPr>
        <w:t>&lt;/CommissionResp&gt;</w:t>
      </w:r>
    </w:p>
    <w:p>
      <w:pPr>
        <w:pStyle w:val="CoverNormal24a"/>
      </w:pPr>
      <w:r>
        <w:rPr>
          <w:rStyle w:val="HideTWBExt"/>
        </w:rPr>
        <w:t>&lt;CommissionInt&gt;</w:t>
      </w:r>
      <w:r>
        <w:t>for the Committee on Foreign Affairs and the Committee on Development</w:t>
      </w:r>
      <w:r>
        <w:rPr>
          <w:rStyle w:val="HideTWBExt"/>
        </w:rPr>
        <w:t>&lt;/CommissionInt&gt;</w:t>
      </w:r>
    </w:p>
    <w:p>
      <w:pPr>
        <w:pStyle w:val="CoverNormal"/>
      </w:pPr>
      <w:r>
        <w:rPr>
          <w:rStyle w:val="HideTWBExt"/>
        </w:rPr>
        <w:t>&lt;Titre&gt;</w:t>
      </w:r>
      <w:r>
        <w:t>on the proposal for a Regulation of the European Parliament and of the Council establishing Global Europe</w:t>
      </w:r>
      <w:r>
        <w:rPr>
          <w:rStyle w:val="HideTWBExt"/>
        </w:rPr>
        <w:t>&lt;/Titre&gt;</w:t>
      </w:r>
    </w:p>
    <w:p>
      <w:pPr>
        <w:pStyle w:val="CoverNormal24a"/>
      </w:pPr>
      <w:r>
        <w:rPr>
          <w:rStyle w:val="HideTWBExt"/>
        </w:rPr>
        <w:t>&lt;DocRef&gt;</w:t>
      </w:r>
      <w:r>
        <w:t>(COM(2025)0551 – C10-0175/2025 – 2025/0227(COD))</w:t>
      </w:r>
      <w:r>
        <w:rPr>
          <w:rStyle w:val="HideTWBExt"/>
        </w:rPr>
        <w:t>&lt;/DocRef&gt;</w:t>
      </w:r>
    </w:p>
    <w:p>
      <w:pPr>
        <w:pStyle w:val="CoverNormal24a"/>
      </w:pPr>
      <w:r>
        <w:t>Rapporteur for opinion</w:t>
      </w:r>
      <w:r>
        <w:t xml:space="preserve">: </w:t>
      </w:r>
      <w:r>
        <w:rPr>
          <w:rStyle w:val="HideTWBExt"/>
        </w:rPr>
        <w:t>&lt;Depute&gt;</w:t>
      </w:r>
      <w:r>
        <w:t>Estrella Galán</w:t>
      </w:r>
      <w:r>
        <w:rPr>
          <w:rStyle w:val="HideTWBExt"/>
        </w:rPr>
        <w:t>&lt;/Depute&gt;</w:t>
      </w:r>
    </w:p>
    <w:p>
      <w:r>
        <w:br w:type="page"/>
      </w:r>
      <w:r>
        <w:t>PA_Legam</w:t>
      </w:r>
    </w:p>
    <w:p>
      <w:r>
        <w:br w:type="page"/>
      </w:r>
    </w:p>
    <w:p>
      <w:pPr>
        <w:pStyle w:val="PageHeadingNotTOC"/>
      </w:pPr>
      <w:r>
        <w:t>SHORT JUSTIFICATION</w:t>
      </w:r>
    </w:p>
    <w:p>
      <w:pPr>
        <w:pStyle w:val="Normal12a"/>
      </w:pPr>
      <w:r>
        <w:t>In a context of increasing global instability, major cuts to development assistance as well as deep degradation of human rights and fundamental freedoms, the Union shall play a key role in the eradication of poverty and reduction of inequalities. The Global Europe Programme has to remain fully aligned with Article 208 TFEU, which sets poverty reduction as the primary objective of EU development cooperation and frames it within the broader aim of sustainable development, while also reflecting the EU’s wider commitments to reducing inequalities under NDICI-GE and the Sustainable Development Goals (SDGs). The focus of the Regulation should ensure that aid remains aligned with partner countries’ development priorities, reinstating minimum spending targets for human development, gender equality, climate action as well as Civil Society Organisations (CSOs), advocating for people to be at the centre. Negative conditionalities on development spending such as migration management should be rejected as they are not embedded in international law, do not reflect the primary objective of international cooperation with a human rights approach, and are not allowed by OECD DAC rules.</w:t>
      </w:r>
    </w:p>
    <w:p>
      <w:pPr>
        <w:pStyle w:val="Normal12a"/>
      </w:pPr>
      <w:r>
        <w:t xml:space="preserve">With the adoption of binding legal acts and political commitments, such as the Charter of Fundamental Rights, the European Consensus on Development and the formal recognition of the European Convention on Human Rights, the Union has given itself a legal framework that has to be implemented throughout the EU law and policies. The case-law of the </w:t>
      </w:r>
      <w:r>
        <w:t>European Court of Human Rights</w:t>
      </w:r>
      <w:r>
        <w:t xml:space="preserve"> on Article 2 and Article 3 and the provision enshrined in Article 19 of the Charter of Fundamental Rights impose a human rights based approach in its agenda of development and cooperation policies. Hence, phenomena such as forced displacements should be addressed through structural and long-term policies, and in full respect of the European principles and commitments, especially as regards the right to access to international protection prescribed by international law.</w:t>
      </w:r>
    </w:p>
    <w:p>
      <w:pPr>
        <w:pStyle w:val="Normal12a"/>
      </w:pPr>
      <w:r>
        <w:t>In its external policy, it is crucial that the Union fosters an effective dialogue with Civil Society Organisations and NGOs as its key partners, considering the added value in the sphere of human rights and social development and to ensure that policies respond to the real needs of the population. The Regulation should enhance their role in the programming, implementation and monitoring of the programmes as well as ensuring a protection of the civic space, especially in contexts of fragility or repression.</w:t>
      </w:r>
    </w:p>
    <w:p>
      <w:pPr>
        <w:pStyle w:val="Normal12a"/>
      </w:pPr>
      <w:r>
        <w:t xml:space="preserve">Given the democratic vocation of the </w:t>
      </w:r>
      <w:r>
        <w:t>European Parliament</w:t>
      </w:r>
      <w:r>
        <w:t>, it is essential to enhance its key oversight role, including transparency in the implementation of budgetary flexibility.</w:t>
      </w:r>
    </w:p>
    <w:p>
      <w:pPr>
        <w:pStyle w:val="PageHeadingNotTOC"/>
      </w:pPr>
      <w:r>
        <w:t>AMENDMENTS</w:t>
      </w:r>
    </w:p>
    <w:p>
      <w:pPr>
        <w:pStyle w:val="Normal12a"/>
      </w:pPr>
      <w:r>
        <w:t>The Committee on Civil Liberties, Justice and Home Affairs</w:t>
      </w:r>
      <w:r>
        <w:t xml:space="preserve"> </w:t>
      </w:r>
      <w:r>
        <w:t>submits the following to the Committee on Foreign Affairs and the Committee on Development, as the committees responsible</w:t>
      </w:r>
      <w:r>
        <w:t xml:space="preserve"> </w:t>
      </w:r>
      <w:r>
        <w:t>:</w:t>
      </w:r>
    </w:p>
    <w:p>
      <w:pPr>
        <w:pStyle w:val="AmNumberTabs"/>
      </w:pP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This Regulation aims at establishing the programme Global Europe (the ‘Instrument’) with a view to upholding and promoting the Union’s values</w:t>
            </w:r>
            <w:r>
              <w:rPr>
                <w:b/>
                <w:i/>
              </w:rPr>
              <w:t>,</w:t>
            </w:r>
            <w:r>
              <w:t xml:space="preserve"> principles </w:t>
            </w:r>
            <w:r>
              <w:rPr>
                <w:b/>
                <w:i/>
              </w:rPr>
              <w:t>and interests</w:t>
            </w:r>
            <w:r>
              <w:t xml:space="preserve"> worldwide in order to pursue the objectives and principles of the Union’s external action, as laid down in Article 3(5) and Articles 8 and 21 of the Treaty on European Union (TEU).</w:t>
            </w:r>
          </w:p>
        </w:tc>
        <w:tc>
          <w:tcPr>
            <w:tcW w:w="4876" w:type="dxa"/>
            <w:tcBorders>
              <w:top w:val="nil"/>
              <w:left w:val="nil"/>
              <w:bottom w:val="nil"/>
              <w:right w:val="nil"/>
            </w:tcBorders>
          </w:tcPr>
          <w:p>
            <w:pPr>
              <w:pStyle w:val="Normal6a"/>
            </w:pPr>
            <w:r>
              <w:t>(1)</w:t>
            </w:r>
            <w:r>
              <w:tab/>
            </w:r>
            <w:r>
              <w:t xml:space="preserve">This Regulation aims at establishing the programme Global Europe (the ‘Instrument’) with a view to </w:t>
            </w:r>
            <w:r>
              <w:rPr>
                <w:b/>
                <w:i/>
              </w:rPr>
              <w:t>promoting sustainable development and contributing to the eradication of poverty and the fight against inequalities while</w:t>
            </w:r>
            <w:r>
              <w:t xml:space="preserve"> upholding and promoting the Union’s values </w:t>
            </w:r>
            <w:r>
              <w:rPr>
                <w:b/>
                <w:i/>
              </w:rPr>
              <w:t>and</w:t>
            </w:r>
            <w:r>
              <w:t xml:space="preserve"> principles worldwide in order to pursue the objectives and principles of the Union’s external action, as laid down in Article 3(5) and Articles 8 and 21 of the Treaty on European Union (TEU) </w:t>
            </w:r>
            <w:r>
              <w:rPr>
                <w:b/>
                <w:i/>
              </w:rPr>
              <w:t>and Article 208 of the Treaty on the functioning of the European Union (TFEU)</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implementation of the Instrument should be guided by the </w:t>
            </w:r>
            <w:r>
              <w:rPr>
                <w:b/>
                <w:i/>
              </w:rPr>
              <w:t>Strategic Agendas</w:t>
            </w:r>
            <w:r>
              <w:t xml:space="preserve"> of the European </w:t>
            </w:r>
            <w:r>
              <w:rPr>
                <w:b/>
                <w:i/>
              </w:rPr>
              <w:t>Council, relevant</w:t>
            </w:r>
            <w:r>
              <w:t xml:space="preserve"> European </w:t>
            </w:r>
            <w:r>
              <w:rPr>
                <w:b/>
                <w:i/>
              </w:rPr>
              <w:t>Parliament resolutions</w:t>
            </w:r>
            <w:r>
              <w:t xml:space="preserve"> and the </w:t>
            </w:r>
            <w:r>
              <w:rPr>
                <w:b/>
                <w:i/>
              </w:rPr>
              <w:t>Political Guidelines</w:t>
            </w:r>
            <w:r>
              <w:t xml:space="preserve"> of the </w:t>
            </w:r>
            <w:r>
              <w:rPr>
                <w:b/>
                <w:i/>
              </w:rPr>
              <w:t>Commission, which set the Union’s vision, strategic orientations and priorities</w:t>
            </w:r>
            <w:r>
              <w:t xml:space="preserve">. While </w:t>
            </w:r>
            <w:r>
              <w:rPr>
                <w:b/>
                <w:i/>
              </w:rPr>
              <w:t>leveraging</w:t>
            </w:r>
            <w:r>
              <w:t xml:space="preserve"> the Union’s </w:t>
            </w:r>
            <w:r>
              <w:rPr>
                <w:b/>
                <w:i/>
              </w:rPr>
              <w:t>power and</w:t>
            </w:r>
            <w:r>
              <w:t xml:space="preserve"> partnerships, the external action implemented under the Instrument should protect and promote Union values, </w:t>
            </w:r>
            <w:r>
              <w:rPr>
                <w:b/>
                <w:i/>
              </w:rPr>
              <w:t>strengthen</w:t>
            </w:r>
            <w:r>
              <w:t xml:space="preserve"> peace and </w:t>
            </w:r>
            <w:r>
              <w:rPr>
                <w:b/>
                <w:i/>
              </w:rPr>
              <w:t>security and bolster preparedness, prosperity and competitiveness of the Union</w:t>
            </w:r>
            <w:r>
              <w:t xml:space="preserve">. To advance </w:t>
            </w:r>
            <w:r>
              <w:rPr>
                <w:b/>
                <w:i/>
              </w:rPr>
              <w:t>the Union’s priorities and interests in its external action</w:t>
            </w:r>
            <w:r>
              <w:t>, the Union should work in partnership with partner countries and international organisations.</w:t>
            </w:r>
          </w:p>
        </w:tc>
        <w:tc>
          <w:tcPr>
            <w:tcW w:w="4876" w:type="dxa"/>
            <w:tcBorders>
              <w:top w:val="nil"/>
              <w:left w:val="nil"/>
              <w:bottom w:val="nil"/>
              <w:right w:val="nil"/>
            </w:tcBorders>
          </w:tcPr>
          <w:p>
            <w:pPr>
              <w:pStyle w:val="Normal6a"/>
            </w:pPr>
            <w:r>
              <w:t>(4)</w:t>
            </w:r>
            <w:r>
              <w:tab/>
            </w:r>
            <w:r>
              <w:t xml:space="preserve">The implementation of the Instrument should be guided by the </w:t>
            </w:r>
            <w:r>
              <w:rPr>
                <w:b/>
                <w:i/>
              </w:rPr>
              <w:t>policy framework for Union development cooperation as laid down in the United Nations 2030 Agenda for Sustainable Development, the Paris Agreement, the UN Global Compact for Safe, Orderly and Regular Migration, the UN Global Compact on Refugees, the European Consensus on Development, the EU Action Plan for Human Rights and Democracy, the Charter of Fundamental Rights</w:t>
            </w:r>
            <w:r>
              <w:t xml:space="preserve"> of the European </w:t>
            </w:r>
            <w:r>
              <w:rPr>
                <w:b/>
                <w:i/>
              </w:rPr>
              <w:t>Union, the</w:t>
            </w:r>
            <w:r>
              <w:t xml:space="preserve"> European </w:t>
            </w:r>
            <w:r>
              <w:rPr>
                <w:b/>
                <w:i/>
              </w:rPr>
              <w:t>Convention for the Protection of Human Rights and Fundamental Freedoms</w:t>
            </w:r>
            <w:r>
              <w:t xml:space="preserve"> and the </w:t>
            </w:r>
            <w:r>
              <w:rPr>
                <w:b/>
                <w:i/>
              </w:rPr>
              <w:t>United Nations Convention on the Rights</w:t>
            </w:r>
            <w:r>
              <w:t xml:space="preserve"> of the </w:t>
            </w:r>
            <w:r>
              <w:rPr>
                <w:b/>
                <w:i/>
              </w:rPr>
              <w:t>Child</w:t>
            </w:r>
            <w:r>
              <w:t xml:space="preserve">. While </w:t>
            </w:r>
            <w:r>
              <w:rPr>
                <w:b/>
                <w:i/>
              </w:rPr>
              <w:t>enhancing</w:t>
            </w:r>
            <w:r>
              <w:t xml:space="preserve"> the Union’s partnerships, the external action implemented under the Instrument should protect and promote Union values, </w:t>
            </w:r>
            <w:r>
              <w:rPr>
                <w:b/>
                <w:i/>
              </w:rPr>
              <w:t>uphold democracy and the rule of law, contribute to the eradication of poverty, combat inequalities in all their forms, promote sustainable development, preserve</w:t>
            </w:r>
            <w:r>
              <w:t xml:space="preserve"> peace and </w:t>
            </w:r>
            <w:r>
              <w:rPr>
                <w:b/>
                <w:i/>
              </w:rPr>
              <w:t>prevent conflict, fight root causes of forced displacement, assist populations and countries hosting refugee and migrant communities and address natural or man-made disasters</w:t>
            </w:r>
            <w:r>
              <w:t xml:space="preserve">. To advance </w:t>
            </w:r>
            <w:r>
              <w:rPr>
                <w:b/>
                <w:i/>
              </w:rPr>
              <w:t>collective responses to challenges of global concern</w:t>
            </w:r>
            <w:r>
              <w:t xml:space="preserve">, the Union should work in partnership with partner countries and international organisations </w:t>
            </w:r>
            <w:r>
              <w:rPr>
                <w:b/>
                <w:i/>
              </w:rPr>
              <w:t>and in dialogue with civil society and local authorities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Instrument should contribute to ensuring consistency, coherence, synergies and complementarity between the Union’s internal and external policies and between its external policies in order to </w:t>
            </w:r>
            <w:r>
              <w:rPr>
                <w:b/>
                <w:i/>
              </w:rPr>
              <w:t>simultaneously</w:t>
            </w:r>
            <w:r>
              <w:t xml:space="preserve"> promote </w:t>
            </w:r>
            <w:r>
              <w:rPr>
                <w:b/>
                <w:i/>
              </w:rPr>
              <w:t>the Union’s fundamental and strategic interests and</w:t>
            </w:r>
            <w:r>
              <w:t xml:space="preserve"> sustainable development in partner countries and support the achievement of </w:t>
            </w:r>
            <w:r>
              <w:rPr>
                <w:b/>
                <w:i/>
              </w:rPr>
              <w:t>its</w:t>
            </w:r>
            <w:r>
              <w:t xml:space="preserve"> global commitments.</w:t>
            </w:r>
          </w:p>
        </w:tc>
        <w:tc>
          <w:tcPr>
            <w:tcW w:w="4876" w:type="dxa"/>
            <w:tcBorders>
              <w:top w:val="nil"/>
              <w:left w:val="nil"/>
              <w:bottom w:val="nil"/>
              <w:right w:val="nil"/>
            </w:tcBorders>
          </w:tcPr>
          <w:p>
            <w:pPr>
              <w:pStyle w:val="Normal6a"/>
            </w:pPr>
            <w:r>
              <w:t>(5)</w:t>
            </w:r>
            <w:r>
              <w:tab/>
            </w:r>
            <w:r>
              <w:t xml:space="preserve">The Instrument should contribute to ensuring consistency, coherence, synergies and complementarity between the Union’s internal and external policies and between its external policies in order to promote sustainable development in partner countries and support the achievement of </w:t>
            </w:r>
            <w:r>
              <w:rPr>
                <w:b/>
                <w:i/>
              </w:rPr>
              <w:t>the Union's</w:t>
            </w:r>
            <w:r>
              <w:t xml:space="preserve"> global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main approach for actions financed under the Instrument should be through geographic programmable actions at country, multi-country, regional and trans-regional level, in order to maximise the impact of the Union’s assistance. That approach should be complemented, where relevant, by non-programmable geographic actions, including actions concerning </w:t>
            </w:r>
            <w:r>
              <w:rPr>
                <w:b/>
                <w:i/>
              </w:rPr>
              <w:t>humanitarian aid,</w:t>
            </w:r>
            <w:r>
              <w:t xml:space="preserve"> macro-financial assistance, addressing crisis, peace and foreign policy needs, and enhancing resilience </w:t>
            </w:r>
            <w:r>
              <w:rPr>
                <w:b/>
                <w:i/>
              </w:rPr>
              <w:t>and competitiveness</w:t>
            </w:r>
            <w:r>
              <w:t>, as well as global programmable and non-programmable actions.</w:t>
            </w:r>
          </w:p>
        </w:tc>
        <w:tc>
          <w:tcPr>
            <w:tcW w:w="4876" w:type="dxa"/>
            <w:tcBorders>
              <w:top w:val="nil"/>
              <w:left w:val="nil"/>
              <w:bottom w:val="nil"/>
              <w:right w:val="nil"/>
            </w:tcBorders>
          </w:tcPr>
          <w:p>
            <w:pPr>
              <w:pStyle w:val="Normal6a"/>
            </w:pPr>
            <w:r>
              <w:t>(6)</w:t>
            </w:r>
            <w:r>
              <w:tab/>
            </w:r>
            <w:r>
              <w:t xml:space="preserve">The main approach for actions financed under the Instrument should be through geographic programmable actions at country, multi-country, regional and trans-regional level, in order to maximise the impact of the Union’s assistance </w:t>
            </w:r>
            <w:r>
              <w:rPr>
                <w:b/>
                <w:i/>
              </w:rPr>
              <w:t>and ensure sufficient predictability</w:t>
            </w:r>
            <w:r>
              <w:t>. That approach should be complemented, where relevant, by non-programmable geographic actions, including actions concerning macro-financial assistance, addressing crisis, peace and foreign policy needs, and enhancing resilience, as well as global programmable and non-programmable actions.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Humanitarian aid should not be complementary to programmable actions as it should remain independent, principled and needs based.</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Geographic programmable actions should frame the Union’s cooperation with partner countries and regions in the medium and long-term to build mutually beneficial partnerships.</w:t>
            </w:r>
          </w:p>
        </w:tc>
        <w:tc>
          <w:tcPr>
            <w:tcW w:w="4876" w:type="dxa"/>
            <w:tcBorders>
              <w:top w:val="nil"/>
              <w:left w:val="nil"/>
              <w:bottom w:val="nil"/>
              <w:right w:val="nil"/>
            </w:tcBorders>
          </w:tcPr>
          <w:p>
            <w:pPr>
              <w:pStyle w:val="Normal6a"/>
            </w:pPr>
            <w:r>
              <w:t>(7)</w:t>
            </w:r>
            <w:r>
              <w:tab/>
            </w:r>
            <w:r>
              <w:t xml:space="preserve">Geographic programmable actions should </w:t>
            </w:r>
            <w:r>
              <w:rPr>
                <w:b/>
                <w:i/>
              </w:rPr>
              <w:t>be based on multiannual country, regional or trans-regional indicative programmes and</w:t>
            </w:r>
            <w:r>
              <w:t xml:space="preserve"> frame the Union’s cooperation with partner countries and regions in the medium and long-term to build mutually beneficial partnerships</w:t>
            </w:r>
            <w:r>
              <w:rPr>
                <w:b/>
                <w:i/>
              </w:rPr>
              <w:t>, based on a human rights-based approach including accountability mechanisms and meaningful participation of civil society, and in line with partner countries’ differentiated needs and priorities, with the objective to support sustainable development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Resilience actions should enable the Union to step up its cooperation where needed in light of </w:t>
            </w:r>
            <w:r>
              <w:rPr>
                <w:b/>
                <w:i/>
              </w:rPr>
              <w:t>the volatility of the</w:t>
            </w:r>
            <w:r>
              <w:t xml:space="preserve"> external </w:t>
            </w:r>
            <w:r>
              <w:rPr>
                <w:b/>
                <w:i/>
              </w:rPr>
              <w:t>context</w:t>
            </w:r>
            <w:r>
              <w:t xml:space="preserve">. They should be flexible </w:t>
            </w:r>
            <w:r>
              <w:rPr>
                <w:b/>
                <w:i/>
              </w:rPr>
              <w:t>including in responding to and reinforcing</w:t>
            </w:r>
            <w:r>
              <w:t xml:space="preserve"> actions addressing fragility, crisis and </w:t>
            </w:r>
            <w:r>
              <w:rPr>
                <w:b/>
                <w:i/>
              </w:rPr>
              <w:t>supporting the humanitarian-development-peace nexus, address</w:t>
            </w:r>
            <w:r>
              <w:t xml:space="preserve"> post-conflict </w:t>
            </w:r>
            <w:r>
              <w:rPr>
                <w:b/>
                <w:i/>
              </w:rPr>
              <w:t>recovery and reconstruction needs as well as balance of payment crises</w:t>
            </w:r>
            <w:r>
              <w:t>.</w:t>
            </w:r>
          </w:p>
        </w:tc>
        <w:tc>
          <w:tcPr>
            <w:tcW w:w="4876" w:type="dxa"/>
            <w:tcBorders>
              <w:top w:val="nil"/>
              <w:left w:val="nil"/>
              <w:bottom w:val="nil"/>
              <w:right w:val="nil"/>
            </w:tcBorders>
          </w:tcPr>
          <w:p>
            <w:pPr>
              <w:pStyle w:val="Normal6a"/>
            </w:pPr>
            <w:r>
              <w:t>(11)</w:t>
            </w:r>
            <w:r>
              <w:tab/>
            </w:r>
            <w:r>
              <w:t xml:space="preserve">Resilience actions should enable the Union to step up its cooperation where needed in light of external </w:t>
            </w:r>
            <w:r>
              <w:rPr>
                <w:b/>
                <w:i/>
              </w:rPr>
              <w:t>shocks and the enduring impact of situations of fragility and crisis on people's livelihoods and human security</w:t>
            </w:r>
            <w:r>
              <w:t xml:space="preserve">. They should be flexible </w:t>
            </w:r>
            <w:r>
              <w:rPr>
                <w:b/>
                <w:i/>
              </w:rPr>
              <w:t>and context-specific, based on a thorough analysis, and support the humanitarian-development-peace nexus. They should reinforce</w:t>
            </w:r>
            <w:r>
              <w:t xml:space="preserve"> actions addressing fragility, crisis and </w:t>
            </w:r>
            <w:r>
              <w:rPr>
                <w:b/>
                <w:i/>
              </w:rPr>
              <w:t>conflict prevention and resolution, civilian conflict resolution and</w:t>
            </w:r>
            <w:r>
              <w:t xml:space="preserve"> post-conflict.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Competitiveness actions should enable the Union to respond to economic challenges and swiftly seize opportunities to support Union competitiveness, including via the support to the external dimension of Union internal policies. Where relevant, they should contribute to building comprehensive mutually beneficial packages with partner countries.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Crisis, peace and foreign policy needs should include actions allowing the Union to respond to exceptional and unforeseen situations or imperative foreign policy interest, including where there is a threat to peace, democracy, law </w:t>
            </w:r>
            <w:r>
              <w:rPr>
                <w:b/>
                <w:i/>
              </w:rPr>
              <w:t>and order</w:t>
            </w:r>
            <w:r>
              <w:t xml:space="preserve">, the protection of human rights and fundamental freedoms. Those actions should be designed for an effective, efficient, integrated and conflict-sensitive Union response to achieve peace, stability and conflict-prevention in situations of urgency, crisis, fragility, </w:t>
            </w:r>
            <w:r>
              <w:rPr>
                <w:b/>
                <w:i/>
              </w:rPr>
              <w:t>hybrid threats,</w:t>
            </w:r>
            <w:r>
              <w:t xml:space="preserve"> emerging crisis or natural disasters including the security and safety of individuals, in particular those exposed to sexual and gender-based violence, in situations of instability</w:t>
            </w:r>
            <w:r>
              <w:rPr>
                <w:b/>
                <w:i/>
              </w:rPr>
              <w:t>;</w:t>
            </w:r>
            <w:r>
              <w:t xml:space="preserve"> or threatening to escalate into armed conflict or to severely destabilise the partner country or countries concerned. </w:t>
            </w:r>
            <w:r>
              <w:rPr>
                <w:b/>
                <w:i/>
              </w:rPr>
              <w:t>They should also support innovative initiatives to address foreign policy needs across political, economic and security issues and enable the Union to act where there is a window of opportunity to achieve its objectives, which are difficult to address by other means.</w:t>
            </w:r>
          </w:p>
        </w:tc>
        <w:tc>
          <w:tcPr>
            <w:tcW w:w="4876" w:type="dxa"/>
            <w:tcBorders>
              <w:top w:val="nil"/>
              <w:left w:val="nil"/>
              <w:bottom w:val="nil"/>
              <w:right w:val="nil"/>
            </w:tcBorders>
          </w:tcPr>
          <w:p>
            <w:pPr>
              <w:pStyle w:val="Normal6a"/>
            </w:pPr>
            <w:r>
              <w:t>(13)</w:t>
            </w:r>
            <w:r>
              <w:tab/>
            </w:r>
            <w:r>
              <w:t xml:space="preserve">Crisis, peace and foreign policy needs should include actions allowing the Union to respond to exceptional and unforeseen situations or imperative foreign policy interest, including where there is a threat to peace, democracy, </w:t>
            </w:r>
            <w:r>
              <w:rPr>
                <w:b/>
                <w:i/>
              </w:rPr>
              <w:t>rule of</w:t>
            </w:r>
            <w:r>
              <w:t xml:space="preserve"> law, the protection of human rights and fundamental freedoms. Those actions should be designed for an effective, efficient, integrated and conflict-sensitive Union response to achieve peace, stability and conflict-prevention in situations of urgency, crisis, fragility, emerging crisis or natural disasters including the security and safety of individuals, in particular those exposed to sexual and gender-based violence, </w:t>
            </w:r>
            <w:r>
              <w:rPr>
                <w:b/>
                <w:i/>
              </w:rPr>
              <w:t>forcibly displaced persons, persons with disabilities and other vulnerable groups,</w:t>
            </w:r>
            <w:r>
              <w:t xml:space="preserve"> in situations of instability</w:t>
            </w:r>
            <w:r>
              <w:rPr>
                <w:b/>
                <w:i/>
              </w:rPr>
              <w:t>,</w:t>
            </w:r>
            <w:r>
              <w:t xml:space="preserve"> or threatening to escalate into armed conflict or to severely destabilise the partner country or countries </w:t>
            </w:r>
            <w:r>
              <w:rPr>
                <w:b/>
                <w:i/>
              </w:rPr>
              <w:t>or regions</w:t>
            </w:r>
            <w:r>
              <w:t xml:space="preserve">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The Instrument should contribute to the objectives of the Union’s external action, by promoting </w:t>
            </w:r>
            <w:r>
              <w:rPr>
                <w:b/>
                <w:i/>
              </w:rPr>
              <w:t>mutually beneficial</w:t>
            </w:r>
            <w:r>
              <w:t xml:space="preserve"> partnerships </w:t>
            </w:r>
            <w:r>
              <w:rPr>
                <w:b/>
                <w:i/>
              </w:rPr>
              <w:t>with partner countries, contributing simultaneously to the sustainable</w:t>
            </w:r>
            <w:r>
              <w:t xml:space="preserve"> development of partner countries </w:t>
            </w:r>
            <w:r>
              <w:rPr>
                <w:b/>
                <w:i/>
              </w:rPr>
              <w:t>and to the Union’s strategic interests</w:t>
            </w:r>
            <w:r>
              <w:t xml:space="preserve">. It should allow the Union to be better positioned to address global challenges, including </w:t>
            </w:r>
            <w:r>
              <w:rPr>
                <w:b/>
                <w:i/>
              </w:rPr>
              <w:t>the fight against</w:t>
            </w:r>
            <w:r>
              <w:t xml:space="preserve"> climate change </w:t>
            </w:r>
            <w:r>
              <w:rPr>
                <w:b/>
                <w:i/>
              </w:rPr>
              <w:t>and</w:t>
            </w:r>
            <w:r>
              <w:t xml:space="preserve"> biodiversity </w:t>
            </w:r>
            <w:r>
              <w:rPr>
                <w:b/>
                <w:i/>
              </w:rPr>
              <w:t>protection</w:t>
            </w:r>
            <w:r>
              <w:t>. It should also provide increased economic and trade opportunities to the mutual benefit of the Union and partner countries.</w:t>
            </w:r>
          </w:p>
        </w:tc>
        <w:tc>
          <w:tcPr>
            <w:tcW w:w="4876" w:type="dxa"/>
            <w:tcBorders>
              <w:top w:val="nil"/>
              <w:left w:val="nil"/>
              <w:bottom w:val="nil"/>
              <w:right w:val="nil"/>
            </w:tcBorders>
          </w:tcPr>
          <w:p>
            <w:pPr>
              <w:pStyle w:val="Normal6a"/>
            </w:pPr>
            <w:r>
              <w:t>(15)</w:t>
            </w:r>
            <w:r>
              <w:tab/>
            </w:r>
            <w:r>
              <w:t xml:space="preserve">The Instrument should contribute to the objectives of the Union’s external action, by promoting </w:t>
            </w:r>
            <w:r>
              <w:rPr>
                <w:b/>
                <w:i/>
              </w:rPr>
              <w:t>international</w:t>
            </w:r>
            <w:r>
              <w:t xml:space="preserve"> partnerships </w:t>
            </w:r>
            <w:r>
              <w:rPr>
                <w:b/>
                <w:i/>
              </w:rPr>
              <w:t>to reduce and, in the long term, eradicate poverty in line with the primary objective of the Union's</w:t>
            </w:r>
            <w:r>
              <w:t xml:space="preserve"> development </w:t>
            </w:r>
            <w:r>
              <w:rPr>
                <w:b/>
                <w:i/>
              </w:rPr>
              <w:t>cooperation policy set out in Article 208 TFEU, while applying a differentiated approach that takes into account the needs and priorities</w:t>
            </w:r>
            <w:r>
              <w:t xml:space="preserve"> of partner countries </w:t>
            </w:r>
            <w:r>
              <w:rPr>
                <w:b/>
                <w:i/>
              </w:rPr>
              <w:t>based on a human rights-based approach</w:t>
            </w:r>
            <w:r>
              <w:t>. It should allow the Union to be better positioned to address global challenges, including climate change</w:t>
            </w:r>
            <w:r>
              <w:rPr>
                <w:b/>
                <w:i/>
              </w:rPr>
              <w:t>,</w:t>
            </w:r>
            <w:r>
              <w:t xml:space="preserve"> biodiversity </w:t>
            </w:r>
            <w:r>
              <w:rPr>
                <w:b/>
                <w:i/>
              </w:rPr>
              <w:t>loss, hunger and malnutrition, water scarcity, inequalities, forced displacement, and conflicts leading to humanitarian crises</w:t>
            </w:r>
            <w:r>
              <w:t xml:space="preserve">. It should also provide increased economic and </w:t>
            </w:r>
            <w:r>
              <w:rPr>
                <w:b/>
                <w:i/>
              </w:rPr>
              <w:t>fair</w:t>
            </w:r>
            <w:r>
              <w:t xml:space="preserve"> trade opportunities </w:t>
            </w:r>
            <w:r>
              <w:rPr>
                <w:b/>
                <w:i/>
              </w:rPr>
              <w:t>while promoting social inclusion, human well-being, and the resilience of communities,</w:t>
            </w:r>
            <w:r>
              <w:t xml:space="preserve"> to the mutual benefit of the Union and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Union action should promote respect for and be rooted in international human rights law, including the Universal Declaration of Human Rights adopted by the United Nations General Assembly on 10 December 1948, and in international humanitarian law, and should be guided by the universality and indivisibility of human rights.</w:t>
            </w:r>
          </w:p>
        </w:tc>
        <w:tc>
          <w:tcPr>
            <w:tcW w:w="4876" w:type="dxa"/>
            <w:tcBorders>
              <w:top w:val="nil"/>
              <w:left w:val="nil"/>
              <w:bottom w:val="nil"/>
              <w:right w:val="nil"/>
            </w:tcBorders>
          </w:tcPr>
          <w:p>
            <w:pPr>
              <w:pStyle w:val="Normal6a"/>
            </w:pPr>
            <w:r>
              <w:t>(16)</w:t>
            </w:r>
            <w:r>
              <w:tab/>
            </w:r>
            <w:r>
              <w:t xml:space="preserve">Union action should promote respect for and be rooted in international human rights law, including the Universal Declaration of Human Rights adopted by the United Nations General Assembly on 10 December 1948, </w:t>
            </w:r>
            <w:r>
              <w:rPr>
                <w:b/>
                <w:i/>
              </w:rPr>
              <w:t>as well as in </w:t>
            </w:r>
            <w:r>
              <w:rPr>
                <w:b/>
                <w:i/>
              </w:rPr>
              <w:t>international refugee law</w:t>
            </w:r>
            <w:r>
              <w:t xml:space="preserve"> and in international humanitarian law, and should be guided by the universality and indivisibility of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equality </w:t>
            </w:r>
            <w:r>
              <w:rPr>
                <w:b/>
                <w:i/>
              </w:rPr>
              <w:t>between women and men</w:t>
            </w:r>
            <w:r>
              <w:t>,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c>
          <w:tcPr>
            <w:tcW w:w="4876" w:type="dxa"/>
            <w:tcBorders>
              <w:top w:val="nil"/>
              <w:left w:val="nil"/>
              <w:bottom w:val="nil"/>
              <w:right w:val="nil"/>
            </w:tcBorders>
          </w:tcPr>
          <w:p>
            <w:pPr>
              <w:pStyle w:val="Normal6a"/>
            </w:pPr>
            <w:r>
              <w:t>(17)</w:t>
            </w:r>
            <w:r>
              <w:tab/>
            </w:r>
            <w:r>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w:t>
            </w:r>
            <w:r>
              <w:rPr>
                <w:b/>
                <w:i/>
              </w:rPr>
              <w:t>gender</w:t>
            </w:r>
            <w:r>
              <w:t xml:space="preserve"> equality,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The Union should engage in contexts experiencing </w:t>
            </w:r>
            <w:r>
              <w:rPr>
                <w:b/>
                <w:i/>
              </w:rPr>
              <w:t>extremely</w:t>
            </w:r>
            <w:r>
              <w:t xml:space="preserve"> high levels of fragility, conflict areas, and other complex settings, supporting them through a differentiated approach to address the root causes of fragility </w:t>
            </w:r>
            <w:r>
              <w:rPr>
                <w:b/>
                <w:i/>
              </w:rPr>
              <w:t>while providing access to basic services and promoting the</w:t>
            </w:r>
            <w:r>
              <w:t xml:space="preserve"> resilience of populations, </w:t>
            </w:r>
            <w:r>
              <w:rPr>
                <w:b/>
                <w:i/>
              </w:rPr>
              <w:t>along the</w:t>
            </w:r>
            <w:r>
              <w:t xml:space="preserve"> humanitarian-development-peace nexus.</w:t>
            </w:r>
          </w:p>
        </w:tc>
        <w:tc>
          <w:tcPr>
            <w:tcW w:w="4876" w:type="dxa"/>
            <w:tcBorders>
              <w:top w:val="nil"/>
              <w:left w:val="nil"/>
              <w:bottom w:val="nil"/>
              <w:right w:val="nil"/>
            </w:tcBorders>
          </w:tcPr>
          <w:p>
            <w:pPr>
              <w:pStyle w:val="Normal6a"/>
            </w:pPr>
            <w:r>
              <w:t>(25)</w:t>
            </w:r>
            <w:r>
              <w:tab/>
            </w:r>
            <w:r>
              <w:t xml:space="preserve">The Union should engage in contexts experiencing high levels of fragility, conflict areas, and other complex settings, supporting them through a differentiated approach to address the root causes of fragility </w:t>
            </w:r>
            <w:r>
              <w:rPr>
                <w:b/>
                <w:i/>
              </w:rPr>
              <w:t>and enhance the human security and</w:t>
            </w:r>
            <w:r>
              <w:t xml:space="preserve"> resilience of populations, </w:t>
            </w:r>
            <w:r>
              <w:rPr>
                <w:b/>
                <w:i/>
              </w:rPr>
              <w:t>including internally displaced populations and refugees. Such support should promote securing populations’ livelihoods and inclusive access to basic services through an integrated</w:t>
            </w:r>
            <w:r>
              <w:t xml:space="preserve"> humanitarian-development-peace nexus </w:t>
            </w:r>
            <w:r>
              <w:rPr>
                <w:b/>
                <w:i/>
              </w:rPr>
              <w:t>approach and support locally-led actions by civil society and communities at risk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The Instrument should contribute to preserving peace, preventing conflicts and strengthening international security. </w:t>
            </w:r>
            <w:r>
              <w:rPr>
                <w:b/>
                <w:i/>
              </w:rPr>
              <w:t>In line with the ProtectEU Strategy</w:t>
            </w:r>
            <w:r>
              <w:rPr>
                <w:b/>
                <w:i/>
                <w:vertAlign w:val="superscript"/>
              </w:rPr>
              <w:t>11</w:t>
            </w:r>
            <w:r>
              <w:t xml:space="preserve"> </w:t>
            </w:r>
            <w:r>
              <w:rPr>
                <w:b/>
                <w:i/>
              </w:rPr>
              <w:t>, the Instrument should contribute to a coherent and comprehensive approach to security to enhance the Union’s security.</w:t>
            </w:r>
          </w:p>
        </w:tc>
        <w:tc>
          <w:tcPr>
            <w:tcW w:w="4876" w:type="dxa"/>
            <w:tcBorders>
              <w:top w:val="nil"/>
              <w:left w:val="nil"/>
              <w:bottom w:val="nil"/>
              <w:right w:val="nil"/>
            </w:tcBorders>
          </w:tcPr>
          <w:p>
            <w:pPr>
              <w:pStyle w:val="Normal6a"/>
            </w:pPr>
            <w:r>
              <w:t>(26)</w:t>
            </w:r>
            <w:r>
              <w:tab/>
            </w:r>
            <w:r>
              <w:t xml:space="preserve">The Instrument should contribute to preserving peace, </w:t>
            </w:r>
            <w:r>
              <w:rPr>
                <w:b/>
                <w:i/>
              </w:rPr>
              <w:t>promoting conflict-resolution,</w:t>
            </w:r>
            <w:r>
              <w:t xml:space="preserve"> preventing conflicts</w:t>
            </w:r>
            <w:r>
              <w:rPr>
                <w:b/>
                <w:i/>
              </w:rPr>
              <w:t>, supporting post-conflict recovery</w:t>
            </w:r>
            <w:r>
              <w:t xml:space="preserve"> and strengthening international security.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Communication (COM/2025/148 final) from the Commission to the European Parliament, the Council, the European Economic and Social Committee and the Committee of the Regions on ProtectEU: a European Internal Security Strategy.</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The Instrument should strengthen democratic resilience in partner countries, including by countering foreign information manipulation and interference, empowering free and pluralistic media, promoting citizens’ engagement, ensuring the fairness and integrity of electoral and other democratic processes, and by engaging in public diplomacy activities.</w:t>
            </w:r>
          </w:p>
        </w:tc>
        <w:tc>
          <w:tcPr>
            <w:tcW w:w="4876" w:type="dxa"/>
            <w:tcBorders>
              <w:top w:val="nil"/>
              <w:left w:val="nil"/>
              <w:bottom w:val="nil"/>
              <w:right w:val="nil"/>
            </w:tcBorders>
          </w:tcPr>
          <w:p>
            <w:pPr>
              <w:pStyle w:val="Normal6a"/>
            </w:pPr>
            <w:r>
              <w:t>(27)</w:t>
            </w:r>
            <w:r>
              <w:tab/>
            </w:r>
            <w:r>
              <w:t xml:space="preserve">The Instrument should </w:t>
            </w:r>
            <w:r>
              <w:rPr>
                <w:b/>
                <w:i/>
              </w:rPr>
              <w:t>promote democracy and</w:t>
            </w:r>
            <w:r>
              <w:t xml:space="preserve"> strengthen democratic resilience in partner countries, including by countering foreign information manipulation and interference, empowering free and pluralistic media, </w:t>
            </w:r>
            <w:r>
              <w:rPr>
                <w:b/>
                <w:i/>
              </w:rPr>
              <w:t>protecting social, civil and political rights and human rights defenders,</w:t>
            </w:r>
            <w:r>
              <w:t xml:space="preserve"> promoting </w:t>
            </w:r>
            <w:r>
              <w:rPr>
                <w:b/>
                <w:i/>
              </w:rPr>
              <w:t>civic space and</w:t>
            </w:r>
            <w:r>
              <w:t xml:space="preserve"> citizens’ engagement</w:t>
            </w:r>
            <w:r>
              <w:rPr>
                <w:b/>
                <w:i/>
              </w:rPr>
              <w:t>, ensuring the fairness and independence of the judiciary, fighting impunity, supporting anti-corruption measures</w:t>
            </w:r>
            <w:r>
              <w:t>, ensuring the fairness and integrity of electoral and other democratic processes, and by engaging in public diplomacy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In accordance with the Sendai Framework for Disaster Risk Reduction 2015-2030 adopted at the Third UN World Conference on Disaster Risk Reduction on 18 March 2015</w:t>
            </w:r>
            <w:r>
              <w:rPr>
                <w:vertAlign w:val="superscript"/>
              </w:rPr>
              <w:t>12</w:t>
            </w:r>
            <w:r>
              <w:t xml:space="preserve"> , recognition should be given to the need to move away from crisis response and containment to a more structural, long-term approach that more effectively addresses situations of fragility, natural and man-made disasters, </w:t>
            </w:r>
            <w:r>
              <w:rPr>
                <w:b/>
                <w:i/>
              </w:rPr>
              <w:t>and</w:t>
            </w:r>
            <w:r>
              <w:t xml:space="preserve"> protracted crises. Greater emphasis and collective approaches are required on risk reduction, disaster risk management, early warning, prevention, mitigation and preparedness, and further efforts are required to enhance swift response and a durable recovery. This instrument should support reforms and investments that strengthen disaster risk and crisis management, invest in climate resilience, and enhance the resilience of vital societal functions. The Instrument should therefore contribute to strengthening the humanitarian-development-peace nexus.</w:t>
            </w:r>
          </w:p>
        </w:tc>
        <w:tc>
          <w:tcPr>
            <w:tcW w:w="4876" w:type="dxa"/>
            <w:tcBorders>
              <w:top w:val="nil"/>
              <w:left w:val="nil"/>
              <w:bottom w:val="nil"/>
              <w:right w:val="nil"/>
            </w:tcBorders>
          </w:tcPr>
          <w:p>
            <w:pPr>
              <w:pStyle w:val="Normal6a"/>
            </w:pPr>
            <w:r>
              <w:t>(28)</w:t>
            </w:r>
            <w:r>
              <w:tab/>
            </w:r>
            <w:r>
              <w:t>In accordance with the Sendai Framework for Disaster Risk Reduction 2015-2030 adopted at the Third UN World Conference on Disaster Risk Reduction on 18 March 2015</w:t>
            </w:r>
            <w:r>
              <w:rPr>
                <w:vertAlign w:val="superscript"/>
              </w:rPr>
              <w:t>12</w:t>
            </w:r>
            <w:r>
              <w:t xml:space="preserve"> , recognition should be given to the need to move away from crisis response and containment to a more structural, long-term approach that more effectively addresses situations of fragility, natural and man-made disasters, protracted crises </w:t>
            </w:r>
            <w:r>
              <w:rPr>
                <w:b/>
                <w:i/>
              </w:rPr>
              <w:t>and protection needs of persons displaced by climate change or environmental degradation</w:t>
            </w:r>
            <w:r>
              <w:t xml:space="preserve">. Greater emphasis and collective approaches are required on risk reduction, disaster risk management, early warning, prevention, mitigation and preparedness, and further efforts are required to enhance swift response and a durable recovery. This instrument should support reforms and investments that strengthen disaster risk and crisis management, invest in climate resilience, </w:t>
            </w:r>
            <w:r>
              <w:rPr>
                <w:b/>
                <w:i/>
              </w:rPr>
              <w:t>protect the rights and dignity of environmentally displaced populations, </w:t>
            </w:r>
            <w:r>
              <w:t>and enhance the resilience of vital societal functions. The Instrument should therefore contribute to strengthening the humanitarian-development-peace nexus.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“Sendai Framework for Disaster Risk Reduction”, adopted on 18 March 2015 and endorsed by the United Nations General Assembly on 3 June 2015 (A/RES/69/283).</w:t>
            </w:r>
          </w:p>
        </w:tc>
        <w:tc>
          <w:tcPr>
            <w:tcW w:w="4876" w:type="dxa"/>
            <w:tcBorders>
              <w:top w:val="nil"/>
              <w:left w:val="nil"/>
              <w:bottom w:val="nil"/>
              <w:right w:val="nil"/>
            </w:tcBorders>
          </w:tcPr>
          <w:p>
            <w:pPr>
              <w:pStyle w:val="Normal6a"/>
            </w:pPr>
            <w:r>
              <w:rPr>
                <w:vertAlign w:val="superscript"/>
              </w:rPr>
              <w:t>12</w:t>
            </w:r>
            <w:r>
              <w:t xml:space="preserve"> </w:t>
            </w:r>
            <w:r>
              <w:t>“Sendai Framework for Disaster Risk Reduction”, adopted on 18 March 2015 and endorsed by the United Nations General Assembly on 3 June 2015 (A/RES/69/283).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The Instrument should contribute to the collective Union objective of providing 0.7 % of gross national income as official development assistance (‘ODA’), established by the Development Assistance Committee of the OECD, within the timeframe of the 2030 Agenda adopted by the United Nations in September 2015</w:t>
            </w:r>
            <w:r>
              <w:rPr>
                <w:vertAlign w:val="superscript"/>
              </w:rPr>
              <w:t>13</w:t>
            </w:r>
            <w:r>
              <w:t xml:space="preserve"> (the ‘2030 Agenda’), by supporting realistic and verifiable actions to meet this commitment, on which progress should continue to be monitored and reported. It should also promote mutually beneficial partnerships for sustainable development, including through the mobilisation of private resources. The whole support of the Instrument to sustainable development – including the mobilised private finance - should be monitored through the Total Official Support for Sustainable Development.</w:t>
            </w:r>
          </w:p>
        </w:tc>
        <w:tc>
          <w:tcPr>
            <w:tcW w:w="4876" w:type="dxa"/>
            <w:tcBorders>
              <w:top w:val="nil"/>
              <w:left w:val="nil"/>
              <w:bottom w:val="nil"/>
              <w:right w:val="nil"/>
            </w:tcBorders>
          </w:tcPr>
          <w:p>
            <w:pPr>
              <w:pStyle w:val="Normal6a"/>
            </w:pPr>
            <w:r>
              <w:t>(30)</w:t>
            </w:r>
            <w:r>
              <w:tab/>
            </w:r>
            <w:r>
              <w:t>The Instrument should contribute to the collective Union objective of providing 0.7 % of gross national income as official development assistance (‘ODA’), established by the Development Assistance Committee of the OECD, within the timeframe of the 2030 Agenda adopted by the United Nations in September 2015</w:t>
            </w:r>
            <w:r>
              <w:rPr>
                <w:vertAlign w:val="superscript"/>
              </w:rPr>
              <w:t>13</w:t>
            </w:r>
            <w:r>
              <w:t xml:space="preserve"> (the ‘2030 Agenda’), by supporting realistic and verifiable actions to meet this commitment, on which progress should continue to be monitored and reported. It should also promote mutually beneficial partnerships for sustainable development, including through the mobilisation of private resources </w:t>
            </w:r>
            <w:r>
              <w:rPr>
                <w:b/>
                <w:i/>
              </w:rPr>
              <w:t>provided that such resources are subject to human rights, social and environmental due diligence</w:t>
            </w:r>
            <w:r>
              <w:t>. The whole support of the Instrument to sustainable development – including the mobilised private finance - should be monitored through the Total Official Support for Sustainable Development</w:t>
            </w:r>
            <w:r>
              <w:rPr>
                <w:b/>
                <w:i/>
              </w:rPr>
              <w:t>, ensuring transparency, accountability and regular reporting on human rights and social impact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"Transforming our world: the 2030 Agenda for Sustainable Development", adopted at the United Nations Sustainable Development Summit on 25 September 2015 (A/RES/70/1).</w:t>
            </w:r>
          </w:p>
        </w:tc>
        <w:tc>
          <w:tcPr>
            <w:tcW w:w="4876" w:type="dxa"/>
            <w:tcBorders>
              <w:top w:val="nil"/>
              <w:left w:val="nil"/>
              <w:bottom w:val="nil"/>
              <w:right w:val="nil"/>
            </w:tcBorders>
          </w:tcPr>
          <w:p>
            <w:pPr>
              <w:pStyle w:val="Normal6a"/>
            </w:pPr>
            <w:r>
              <w:rPr>
                <w:vertAlign w:val="superscript"/>
              </w:rPr>
              <w:t>13</w:t>
            </w:r>
            <w:r>
              <w:t xml:space="preserve"> </w:t>
            </w:r>
            <w:r>
              <w:t>"Transforming our world: the 2030 Agenda for Sustainable Development", adopted at the United Nations Sustainable Development Summit on 25 September 2015 (A/RES/70/1).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The Instrument should contribute to the Union collective target of reaching 0.2 % of gross national income as ODA to least developed countries within the timeframe of the 2030 Agenda, by supporting realistic, verifiable actions to meet this commitment, on which progress should continue to be monitored and reported.</w:t>
            </w:r>
          </w:p>
        </w:tc>
        <w:tc>
          <w:tcPr>
            <w:tcW w:w="4876" w:type="dxa"/>
            <w:tcBorders>
              <w:top w:val="nil"/>
              <w:left w:val="nil"/>
              <w:bottom w:val="nil"/>
              <w:right w:val="nil"/>
            </w:tcBorders>
          </w:tcPr>
          <w:p>
            <w:pPr>
              <w:pStyle w:val="Normal6a"/>
            </w:pPr>
            <w:r>
              <w:t>(31)</w:t>
            </w:r>
            <w:r>
              <w:tab/>
            </w:r>
            <w:r>
              <w:t>The Instrument should contribute to the Union collective target of reaching 0.2 % of gross national income as ODA to least developed countries within the timeframe of the 2030 Agenda, by supporting realistic, verifiable actions to meet this commitment, on which progress should continue to be monitored and reported.</w:t>
            </w:r>
            <w:r>
              <w:rPr>
                <w:b/>
                <w:i/>
              </w:rPr>
              <w:t> The EU should commit to increasing the share allocated to human development to at least 50% of ODA.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The Instrument should enhance the Union’s competitiveness, in particular by contributing to the sustainability, resilience and diversification of value and supply chains, reflecting high standards of responsible business practice, and by increasing economic opportunities. Consistency</w:t>
            </w:r>
            <w:r>
              <w:t xml:space="preserve"> between the implementation of the Union’s trade, economic security, and industrial policies and the Instrument should be ensured, including synergies with Clean Trade and Investment Partnerships. In particular, in order to harness the potential of mutually beneficial partnerships for sustainable development in the Union and partner countries, synergies should be fostered between the Instrument and the Union’s European Competitiveness Fund, established by Regulation (EU) [XXX] by the European Parliament and Council</w:t>
            </w:r>
            <w:r>
              <w:rPr>
                <w:vertAlign w:val="superscript"/>
              </w:rPr>
              <w:t>14</w:t>
            </w:r>
            <w:r>
              <w:t xml:space="preserve"> , as well as the Connecting Europe Facility, established by Regulation (EU) [XXX] by the European Parliament and Council</w:t>
            </w:r>
            <w:r>
              <w:rPr>
                <w:vertAlign w:val="superscript"/>
              </w:rPr>
              <w:t>15</w:t>
            </w:r>
            <w:r>
              <w:t xml:space="preserve"> , in supporting projects of common interest between Member States and partner countries, for the part of the project on the territory of the partner country.</w:t>
            </w:r>
          </w:p>
        </w:tc>
        <w:tc>
          <w:tcPr>
            <w:tcW w:w="4876" w:type="dxa"/>
            <w:tcBorders>
              <w:top w:val="nil"/>
              <w:left w:val="nil"/>
              <w:bottom w:val="nil"/>
              <w:right w:val="nil"/>
            </w:tcBorders>
          </w:tcPr>
          <w:p>
            <w:pPr>
              <w:pStyle w:val="Normal6a"/>
            </w:pPr>
            <w:r>
              <w:t>(32)</w:t>
            </w:r>
            <w:r>
              <w:tab/>
            </w:r>
            <w:r>
              <w:rPr>
                <w:b/>
                <w:i/>
              </w:rPr>
              <w:t>Policy coherence</w:t>
            </w:r>
            <w:r>
              <w:t xml:space="preserve"> between the implementation of the Union’s trade, economic security, and industrial policies and the Instrument should be ensured, including synergies with Clean Trade and Investment Partnerships </w:t>
            </w:r>
            <w:r>
              <w:rPr>
                <w:b/>
                <w:i/>
              </w:rPr>
              <w:t>so that they do not contribute to forced displacement and respect the rights of indigenous peoples and local communities</w:t>
            </w:r>
            <w:r>
              <w:t xml:space="preserve">. In particular, in order to harness the potential of mutually beneficial partnerships for sustainable development in the Union and partner countries, </w:t>
            </w:r>
            <w:r>
              <w:rPr>
                <w:b/>
                <w:i/>
              </w:rPr>
              <w:t>policy coherence and</w:t>
            </w:r>
            <w:r>
              <w:t xml:space="preserve"> synergies should be fostered between the Instrument and the Union’s European Competitiveness Fund, established by Regulation (EU) [XXX] by the European Parliament and Council</w:t>
            </w:r>
            <w:r>
              <w:rPr>
                <w:vertAlign w:val="superscript"/>
              </w:rPr>
              <w:t>14</w:t>
            </w:r>
            <w:r>
              <w:t xml:space="preserve"> , as well as the Connecting Europe Facility, established by Regulation (EU) [XXX] by the European Parliament and Council</w:t>
            </w:r>
            <w:r>
              <w:rPr>
                <w:vertAlign w:val="superscript"/>
              </w:rPr>
              <w:t>15</w:t>
            </w:r>
            <w:r>
              <w:t xml:space="preserve"> , in supporting projects of common interest between Member States and partner countries, for the part of the project on the territory of the partner country.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Regulation (EU) No [XXX] of the European Parliament and of the Council on establishing the European Competitiveness Fund (‘ECF’), including the specific programme for defence research and innovation activities, and repealing Regulations (EU) 2021/522, (EU) 2021/694, (EU) 2021/696, (EU) 2021/697, (EU) 2021/783, (EU) 2023/588, (EU) 2023/1525, (EU) 2023/2418, (EU) (EDIP) (OJ L.., p.)</w:t>
            </w:r>
          </w:p>
        </w:tc>
        <w:tc>
          <w:tcPr>
            <w:tcW w:w="4876" w:type="dxa"/>
            <w:tcBorders>
              <w:top w:val="nil"/>
              <w:left w:val="nil"/>
              <w:bottom w:val="nil"/>
              <w:right w:val="nil"/>
            </w:tcBorders>
          </w:tcPr>
          <w:p>
            <w:pPr>
              <w:pStyle w:val="Normal6a"/>
            </w:pPr>
            <w:r>
              <w:rPr>
                <w:vertAlign w:val="superscript"/>
              </w:rPr>
              <w:t>14</w:t>
            </w:r>
            <w:r>
              <w:t xml:space="preserve"> </w:t>
            </w:r>
            <w:r>
              <w:t>Regulation (EU) No [XXX] of the European Parliament and of the Council on establishing the European Competitiveness Fund (‘ECF’), including the specific programme for defence research and innovation activities, and repealing Regulations (EU) 2021/522, (EU) 2021/694, (EU) 2021/696, (EU) 2021/697, (EU) 2021/783, (EU) 2023/588, (EU) 2023/1525, (EU) 2023/2418, (EU) (EDIP) (OJ L.., 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Regulation (EU) No [XXX] of the European Parliament and of the Council on establishing the Connecting Europe Facility for the period 2028-2034, amending Regulation (EU) 2024/1679 and repealing Regulation (EU) 2021/1153 (OJ […], […], p. […]).</w:t>
            </w:r>
          </w:p>
        </w:tc>
        <w:tc>
          <w:tcPr>
            <w:tcW w:w="4876" w:type="dxa"/>
            <w:tcBorders>
              <w:top w:val="nil"/>
              <w:left w:val="nil"/>
              <w:bottom w:val="nil"/>
              <w:right w:val="nil"/>
            </w:tcBorders>
          </w:tcPr>
          <w:p>
            <w:pPr>
              <w:pStyle w:val="Normal6a"/>
            </w:pPr>
            <w:r>
              <w:rPr>
                <w:vertAlign w:val="superscript"/>
              </w:rPr>
              <w:t>15</w:t>
            </w:r>
            <w:r>
              <w:t xml:space="preserve"> </w:t>
            </w:r>
            <w:r>
              <w:t>Regulation (EU) No [XXX] of the European Parliament and of the Council on establishing the Connecting Europe Facility for the period 2028-2034, amending Regulation (EU) 2024/1679 and repealing Regulation (EU) 2021/1153 (OJ […], […], p.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The Union should seek the most efficient use of available resources among its financing instruments. In this respect, the Instrument should allow for both contributions to and from other Union programmes, as well as the combination of funding with them. This should contribute to the Union’s priorities and interests as well as to sustainable development in the Union’s partner countries. This includes coherence and complementarity with macro-financial assistance, where relevant.</w:t>
            </w:r>
          </w:p>
        </w:tc>
        <w:tc>
          <w:tcPr>
            <w:tcW w:w="4876" w:type="dxa"/>
            <w:tcBorders>
              <w:top w:val="nil"/>
              <w:left w:val="nil"/>
              <w:bottom w:val="nil"/>
              <w:right w:val="nil"/>
            </w:tcBorders>
          </w:tcPr>
          <w:p>
            <w:pPr>
              <w:pStyle w:val="Normal6a"/>
            </w:pPr>
            <w:r>
              <w:t>(34)</w:t>
            </w:r>
            <w:r>
              <w:tab/>
            </w:r>
            <w:r>
              <w:t xml:space="preserve">The Union should seek the most efficient use of available resources among its financing instruments. In this respect, the Instrument should allow for both contributions to and from other Union programmes, as well as the combination of funding with them. This should contribute to the Union’s </w:t>
            </w:r>
            <w:r>
              <w:rPr>
                <w:b/>
                <w:i/>
              </w:rPr>
              <w:t>values, commitments,</w:t>
            </w:r>
            <w:r>
              <w:t xml:space="preserve"> priorities and interests as well as to sustainable development in the Union’s partner countries. This includes coherence and complementarity with macro-financial assistance, where relevant.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p>
        </w:tc>
        <w:tc>
          <w:tcPr>
            <w:tcW w:w="4876" w:type="dxa"/>
            <w:tcBorders>
              <w:top w:val="nil"/>
              <w:left w:val="nil"/>
              <w:bottom w:val="nil"/>
              <w:right w:val="nil"/>
            </w:tcBorders>
          </w:tcPr>
          <w:p>
            <w:pPr>
              <w:pStyle w:val="Normal6a"/>
            </w:pPr>
            <w:r>
              <w:t>(36)</w:t>
            </w:r>
            <w:r>
              <w:tab/>
            </w:r>
            <w:r>
              <w:t>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r>
              <w:rPr>
                <w:b/>
                <w:i/>
              </w:rPr>
              <w:t>, without prejudice to the powers of the European Parliament under Article 312 TFEU to exercise its responsibilities in setting priorities and ensuring democratic scrutiny of Union spending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In a global context where the Union is confronted with high geopolitical and geoeconomic competition, marked by global challenges, ranging from climate change and biodiversity loss to tensions around scarce resources, technological dependencies, </w:t>
            </w:r>
            <w:r>
              <w:rPr>
                <w:b/>
                <w:i/>
              </w:rPr>
              <w:t>continuing migratory pressure</w:t>
            </w:r>
            <w:r>
              <w:t xml:space="preserve"> or economic and trade disruptions, in addition to security threats and fragility,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w:t>
            </w:r>
          </w:p>
        </w:tc>
        <w:tc>
          <w:tcPr>
            <w:tcW w:w="4876" w:type="dxa"/>
            <w:tcBorders>
              <w:top w:val="nil"/>
              <w:left w:val="nil"/>
              <w:bottom w:val="nil"/>
              <w:right w:val="nil"/>
            </w:tcBorders>
          </w:tcPr>
          <w:p>
            <w:pPr>
              <w:pStyle w:val="Normal6a"/>
            </w:pPr>
            <w:r>
              <w:t>(41)</w:t>
            </w:r>
            <w:r>
              <w:tab/>
            </w:r>
            <w:r>
              <w:t xml:space="preserve">In a global context where the Union is confronted with high geopolitical and geoeconomic competition, marked by global challenges, ranging from climate change and biodiversity loss to tensions around scarce resources, technological dependencies, </w:t>
            </w:r>
            <w:r>
              <w:rPr>
                <w:b/>
                <w:i/>
              </w:rPr>
              <w:t>protracted migration dynamics</w:t>
            </w:r>
            <w:r>
              <w:t xml:space="preserve"> or economic and trade disruptions, in addition to security threats and fragility,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 </w:t>
            </w:r>
            <w:r>
              <w:rPr>
                <w:b/>
                <w:i/>
              </w:rPr>
              <w:t>The European Parliament and the Council should decide on budgetary transfers in accordance with Article 31 of Regulation (EU, Euratom) 2024/2509.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 a)</w:t>
            </w:r>
            <w:r>
              <w:tab/>
            </w:r>
            <w:r>
              <w:rPr>
                <w:b/>
                <w:i/>
              </w:rPr>
              <w:t>The Instrument should support the implementation of the UN Global Compact for Refugees and the UN Global Compact for Safe, Orderly and Regular Migration, grounded in international human rights law and international refugee law, including the protection of stateless persons and of persons displaced by climate change or environmental degradation, and promote equitable and predictable responsibility-sharing with partner countries and regions. In this line, the Instrument should strengthen the Union’s solidarity with developing countries and regions hosting large numbers of refugees, displaced persons and migrants, ensure inclusive reception and protection systems. It should also promote the establishment of safe, legal and regular pathways for persons seeking protection, including access to asylum and labour mobility, in order to reduce the risks of human smuggling, trafficking in human beings and other forms of exploitation and abuse.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The Union should ensure policy coherence for development as required by Article 208 TFEU. The Union should take account of the objectives of development cooperation in the Union policies </w:t>
            </w:r>
            <w:r>
              <w:rPr>
                <w:b/>
                <w:i/>
              </w:rPr>
              <w:t>that</w:t>
            </w:r>
            <w:r>
              <w:t xml:space="preserve"> are likely to affect developing countries </w:t>
            </w:r>
            <w:r>
              <w:rPr>
                <w:b/>
                <w:i/>
              </w:rPr>
              <w:t>and territories.</w:t>
            </w:r>
            <w:r>
              <w:t xml:space="preserve"> Ensuring policy coherence for sustainable development requires taking into account the impact of all Union policies on sustainable development at all levels — nationally, within the Union, in other countries and at global level.</w:t>
            </w:r>
          </w:p>
        </w:tc>
        <w:tc>
          <w:tcPr>
            <w:tcW w:w="4876" w:type="dxa"/>
            <w:tcBorders>
              <w:top w:val="nil"/>
              <w:left w:val="nil"/>
              <w:bottom w:val="nil"/>
              <w:right w:val="nil"/>
            </w:tcBorders>
          </w:tcPr>
          <w:p>
            <w:pPr>
              <w:pStyle w:val="Normal6a"/>
            </w:pPr>
            <w:r>
              <w:t>(44)</w:t>
            </w:r>
            <w:r>
              <w:tab/>
            </w:r>
            <w:r>
              <w:t xml:space="preserve">The Union should ensure policy coherence for development as required by Article 208 TFEU. The Union should take account of the objectives of development cooperation in the Union policies </w:t>
            </w:r>
            <w:r>
              <w:rPr>
                <w:b/>
                <w:i/>
              </w:rPr>
              <w:t>— such as migration policies — that it implements, which</w:t>
            </w:r>
            <w:r>
              <w:t xml:space="preserve"> are likely to affect developing countries</w:t>
            </w:r>
            <w:r>
              <w:rPr>
                <w:b/>
                <w:i/>
              </w:rPr>
              <w:t>. In addition,</w:t>
            </w:r>
            <w:r>
              <w:t xml:space="preserve"> ensuring policy coherence for sustainable development</w:t>
            </w:r>
            <w:r>
              <w:rPr>
                <w:b/>
                <w:i/>
              </w:rPr>
              <w:t>, as embedded in the 2030 Agenda,</w:t>
            </w:r>
            <w:r>
              <w:t xml:space="preserve"> requires taking into account the impact of all Union policies on sustainable development at all levels — nationally, within the Union, in other countries and at global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 xml:space="preserve">The Union should foster close consultation with local authorities </w:t>
            </w:r>
            <w:r>
              <w:rPr>
                <w:b/>
                <w:i/>
              </w:rPr>
              <w:t>and</w:t>
            </w:r>
            <w:r>
              <w:t xml:space="preserve"> civil society, as well as support their participation in contributing to sustainable development and to the implementation of the sustainable development goals at local level. The Union should also </w:t>
            </w:r>
            <w:r>
              <w:rPr>
                <w:b/>
                <w:i/>
              </w:rPr>
              <w:t>support an enabling environment for</w:t>
            </w:r>
            <w:r>
              <w:t xml:space="preserve"> civil society</w:t>
            </w:r>
            <w:r>
              <w:rPr>
                <w:b/>
                <w:i/>
              </w:rPr>
              <w:t>, in which these</w:t>
            </w:r>
            <w:r>
              <w:t xml:space="preserve"> organisations </w:t>
            </w:r>
            <w:r>
              <w:rPr>
                <w:b/>
                <w:i/>
              </w:rPr>
              <w:t>can</w:t>
            </w:r>
            <w:r>
              <w:t xml:space="preserve"> carry out their work effectively. The Instrument should provide Union support to civil society organisations and local authorities in order to pursue the values, interests and objectives of the Union. Civil society organisations </w:t>
            </w:r>
            <w:r>
              <w:rPr>
                <w:b/>
                <w:i/>
              </w:rPr>
              <w:t>and</w:t>
            </w:r>
            <w:r>
              <w:t xml:space="preserve"> local authorities should be </w:t>
            </w:r>
            <w:r>
              <w:rPr>
                <w:b/>
                <w:i/>
              </w:rPr>
              <w:t>duly</w:t>
            </w:r>
            <w:r>
              <w:t xml:space="preserve"> consulted and have timely access to relevant information allowing them to be </w:t>
            </w:r>
            <w:r>
              <w:rPr>
                <w:b/>
                <w:i/>
              </w:rPr>
              <w:t>adequately</w:t>
            </w:r>
            <w:r>
              <w:t xml:space="preserve"> engaged.</w:t>
            </w:r>
          </w:p>
        </w:tc>
        <w:tc>
          <w:tcPr>
            <w:tcW w:w="4876" w:type="dxa"/>
            <w:tcBorders>
              <w:top w:val="nil"/>
              <w:left w:val="nil"/>
              <w:bottom w:val="nil"/>
              <w:right w:val="nil"/>
            </w:tcBorders>
          </w:tcPr>
          <w:p>
            <w:pPr>
              <w:pStyle w:val="Normal6a"/>
            </w:pPr>
            <w:r>
              <w:t>(46)</w:t>
            </w:r>
            <w:r>
              <w:tab/>
            </w:r>
            <w:r>
              <w:t xml:space="preserve">The Union should foster close </w:t>
            </w:r>
            <w:r>
              <w:rPr>
                <w:b/>
                <w:i/>
              </w:rPr>
              <w:t>and structured</w:t>
            </w:r>
            <w:r>
              <w:t xml:space="preserve"> consultation with local authorities</w:t>
            </w:r>
            <w:r>
              <w:rPr>
                <w:b/>
                <w:i/>
              </w:rPr>
              <w:t>,</w:t>
            </w:r>
            <w:r>
              <w:t xml:space="preserve"> civil society </w:t>
            </w:r>
            <w:r>
              <w:rPr>
                <w:b/>
                <w:i/>
              </w:rPr>
              <w:t>and trade unions</w:t>
            </w:r>
            <w:r>
              <w:t xml:space="preserve">, as well as support their </w:t>
            </w:r>
            <w:r>
              <w:rPr>
                <w:b/>
                <w:i/>
              </w:rPr>
              <w:t>meaningful</w:t>
            </w:r>
            <w:r>
              <w:t xml:space="preserve"> participation in contributing to sustainable development and to the implementation of the sustainable development goals at local</w:t>
            </w:r>
            <w:r>
              <w:rPr>
                <w:b/>
                <w:i/>
              </w:rPr>
              <w:t>, national and regional</w:t>
            </w:r>
            <w:r>
              <w:t xml:space="preserve"> level. The Union should also </w:t>
            </w:r>
            <w:r>
              <w:rPr>
                <w:b/>
                <w:i/>
              </w:rPr>
              <w:t>protect and promote a civic space that enables</w:t>
            </w:r>
            <w:r>
              <w:t xml:space="preserve"> civil society organisations </w:t>
            </w:r>
            <w:r>
              <w:rPr>
                <w:b/>
                <w:i/>
              </w:rPr>
              <w:t>to</w:t>
            </w:r>
            <w:r>
              <w:t xml:space="preserve"> carry out their work effectively </w:t>
            </w:r>
            <w:r>
              <w:rPr>
                <w:b/>
                <w:i/>
              </w:rPr>
              <w:t>and safely as independent actors</w:t>
            </w:r>
            <w:r>
              <w:t>. The Instrument should provide Union support to civil society organisations and local authorities</w:t>
            </w:r>
            <w:r>
              <w:rPr>
                <w:b/>
                <w:i/>
              </w:rPr>
              <w:t>, considering their multiple roles and specific needs</w:t>
            </w:r>
            <w:r>
              <w:t xml:space="preserve"> in order to pursue the values, interests and objectives of the Union. Civil society organisations</w:t>
            </w:r>
            <w:r>
              <w:rPr>
                <w:b/>
                <w:i/>
              </w:rPr>
              <w:t>,</w:t>
            </w:r>
            <w:r>
              <w:t xml:space="preserve"> local authorities </w:t>
            </w:r>
            <w:r>
              <w:rPr>
                <w:b/>
                <w:i/>
              </w:rPr>
              <w:t>and trade unions</w:t>
            </w:r>
            <w:r>
              <w:t xml:space="preserve"> should be </w:t>
            </w:r>
            <w:r>
              <w:rPr>
                <w:b/>
                <w:i/>
              </w:rPr>
              <w:t>actively</w:t>
            </w:r>
            <w:r>
              <w:t xml:space="preserve"> consulted and have timely access to relevant information allowing them to be </w:t>
            </w:r>
            <w:r>
              <w:rPr>
                <w:b/>
                <w:i/>
              </w:rPr>
              <w:t>meaningfully</w:t>
            </w:r>
            <w:r>
              <w:t xml:space="preserve"> engaged </w:t>
            </w:r>
            <w:r>
              <w:rPr>
                <w:b/>
                <w:i/>
              </w:rPr>
              <w:t>in programming, monitoring and policy dialogues</w:t>
            </w:r>
            <w:r>
              <w:t xml:space="preserve">. </w:t>
            </w:r>
            <w:r>
              <w:rPr>
                <w:b/>
                <w:i/>
              </w:rPr>
              <w:t>To this end, 15% of the total budget for programmable actions should be dedicated to civil society organisations with the aim of supporting them in their diversity and their own right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The implementation of the Instrument should be guided by the principles of gender equality, women and girls’ empowerment and of preventing and combating violence against women </w:t>
            </w:r>
            <w:r>
              <w:rPr>
                <w:b/>
                <w:i/>
              </w:rPr>
              <w:t>and domestic violence</w:t>
            </w:r>
            <w:r>
              <w:t xml:space="preserve"> and should seek to protect and promote women’s rights in line with the Roadmap on Women’s Rights</w:t>
            </w:r>
            <w:r>
              <w:rPr>
                <w:vertAlign w:val="superscript"/>
              </w:rPr>
              <w:t>26</w:t>
            </w:r>
            <w:r>
              <w:t xml:space="preserve"> , Gender Equality Strategy</w:t>
            </w:r>
            <w:r>
              <w:rPr>
                <w:vertAlign w:val="superscript"/>
              </w:rPr>
              <w:t>27</w:t>
            </w:r>
            <w:r>
              <w:t xml:space="preserve"> , EU Gender Action Plans, relevant Council conclusions and international conventions, including the Istanbul Convention on violence against women</w:t>
            </w:r>
            <w:r>
              <w:rPr>
                <w:vertAlign w:val="superscript"/>
              </w:rPr>
              <w:t>28</w:t>
            </w:r>
            <w:r>
              <w:t xml:space="preserve"> . Strengthening gender equality </w:t>
            </w:r>
            <w:r>
              <w:rPr>
                <w:b/>
                <w:i/>
              </w:rPr>
              <w:t>and</w:t>
            </w:r>
            <w:r>
              <w:t xml:space="preserve"> women’s empowerment in the Union’s external action and increasing efforts to reach the minimum standards of performance indicated by the EU Gender Action Plans should lead to a gender </w:t>
            </w:r>
            <w:r>
              <w:rPr>
                <w:b/>
                <w:i/>
              </w:rPr>
              <w:t>sensitive</w:t>
            </w:r>
            <w:r>
              <w:t xml:space="preserve"> and transformative approach in all Union external action and international cooperation. Gender equality and women’s and girls’ empowerment should be mainstreamed under the Instrument and adequately reflected across all the actions.</w:t>
            </w:r>
          </w:p>
        </w:tc>
        <w:tc>
          <w:tcPr>
            <w:tcW w:w="4876" w:type="dxa"/>
            <w:tcBorders>
              <w:top w:val="nil"/>
              <w:left w:val="nil"/>
              <w:bottom w:val="nil"/>
              <w:right w:val="nil"/>
            </w:tcBorders>
          </w:tcPr>
          <w:p>
            <w:pPr>
              <w:pStyle w:val="Normal6a"/>
            </w:pPr>
            <w:r>
              <w:t>(47)</w:t>
            </w:r>
            <w:r>
              <w:tab/>
            </w:r>
            <w:r>
              <w:t xml:space="preserve">The implementation of the Instrument should be guided by the principles of gender equality, women and girls’ </w:t>
            </w:r>
            <w:r>
              <w:rPr>
                <w:b/>
                <w:i/>
              </w:rPr>
              <w:t>rights and</w:t>
            </w:r>
            <w:r>
              <w:t xml:space="preserve"> empowerment and of preventing and combating </w:t>
            </w:r>
            <w:r>
              <w:rPr>
                <w:b/>
                <w:i/>
              </w:rPr>
              <w:t>all forms of</w:t>
            </w:r>
            <w:r>
              <w:t xml:space="preserve"> violence against women</w:t>
            </w:r>
            <w:r>
              <w:rPr>
                <w:b/>
                <w:i/>
              </w:rPr>
              <w:t>, including the eradication of female genital mutilation, human trafficking for the purpose of sexual exploitation,</w:t>
            </w:r>
            <w:r>
              <w:t xml:space="preserve"> and should seek to protect and promote women’s rights in line with the Roadmap on Women’s Rights</w:t>
            </w:r>
            <w:r>
              <w:rPr>
                <w:vertAlign w:val="superscript"/>
              </w:rPr>
              <w:t>26</w:t>
            </w:r>
            <w:r>
              <w:t xml:space="preserve"> , Gender Equality Strategy</w:t>
            </w:r>
            <w:r>
              <w:rPr>
                <w:vertAlign w:val="superscript"/>
              </w:rPr>
              <w:t>27</w:t>
            </w:r>
            <w:r>
              <w:t xml:space="preserve"> , EU Gender Action Plans, relevant Council conclusions and international conventions, including the Istanbul Convention on violence against women</w:t>
            </w:r>
            <w:r>
              <w:rPr>
                <w:vertAlign w:val="superscript"/>
              </w:rPr>
              <w:t>28</w:t>
            </w:r>
            <w:r>
              <w:t xml:space="preserve"> . Strengthening </w:t>
            </w:r>
            <w:r>
              <w:rPr>
                <w:b/>
                <w:i/>
              </w:rPr>
              <w:t>targeted and mainstreamed actions on</w:t>
            </w:r>
            <w:r>
              <w:t xml:space="preserve"> gender equality</w:t>
            </w:r>
            <w:r>
              <w:rPr>
                <w:b/>
                <w:i/>
              </w:rPr>
              <w:t>,</w:t>
            </w:r>
            <w:r>
              <w:t xml:space="preserve"> women’s empowerment </w:t>
            </w:r>
            <w:r>
              <w:rPr>
                <w:b/>
                <w:i/>
              </w:rPr>
              <w:t>and rights of all women and girls</w:t>
            </w:r>
            <w:r>
              <w:t xml:space="preserve"> in the Union’s external action and increasing efforts to reach the minimum standards of performance indicated by the EU Gender Action Plans</w:t>
            </w:r>
            <w:r>
              <w:rPr>
                <w:b/>
                <w:i/>
              </w:rPr>
              <w:t>, including spending targets,</w:t>
            </w:r>
            <w:r>
              <w:t xml:space="preserve"> should lead to a gender </w:t>
            </w:r>
            <w:r>
              <w:rPr>
                <w:b/>
                <w:i/>
              </w:rPr>
              <w:t>responsive</w:t>
            </w:r>
            <w:r>
              <w:t xml:space="preserve"> and transformative approach in all Union external action and international cooperation. Gender equality and women’s and girls’ </w:t>
            </w:r>
            <w:r>
              <w:rPr>
                <w:b/>
                <w:i/>
              </w:rPr>
              <w:t>rights and </w:t>
            </w:r>
            <w:r>
              <w:t xml:space="preserve">empowerment should be mainstreamed under the Instrument and adequately reflected across all the actions. </w:t>
            </w:r>
            <w:r>
              <w:rPr>
                <w:b/>
                <w:i/>
              </w:rPr>
              <w:t>The instrument should uphold and apply the EU Gender Action Plans </w:t>
            </w:r>
            <w:r>
              <w:rPr>
                <w:b/>
                <w:i/>
              </w:rPr>
              <w:t>including through ambitious spending targets and ensure that at least 85% of all EU ODA will be dedicated to programmes that have gender equality as one of their objectives, with 20% of ODA dedicated to gender-targeted projects and at least 5% of ODA to support women’s rights organisations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Communication (COM/2025/97 final) from the Commission to the European Parliament, the Council, the European Economic and Social Committee and the Committee of the Regions - A Roadmap for Women's Rights.</w:t>
            </w:r>
          </w:p>
        </w:tc>
        <w:tc>
          <w:tcPr>
            <w:tcW w:w="4876" w:type="dxa"/>
            <w:tcBorders>
              <w:top w:val="nil"/>
              <w:left w:val="nil"/>
              <w:bottom w:val="nil"/>
              <w:right w:val="nil"/>
            </w:tcBorders>
          </w:tcPr>
          <w:p>
            <w:pPr>
              <w:pStyle w:val="Normal6a"/>
            </w:pPr>
            <w:r>
              <w:rPr>
                <w:vertAlign w:val="superscript"/>
              </w:rPr>
              <w:t>26</w:t>
            </w:r>
            <w:r>
              <w:t xml:space="preserve"> </w:t>
            </w:r>
            <w:r>
              <w:t>Communication (COM/2025/97 final) from the Commission to the European Parliament, the Council, the European Economic and Social Committee and the Committee of the Regions - A Roadmap for Women's Rights.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Communication (COM/2020/152 final) from the Commission to the European Parliament, the Council, the European Economic and Social Committee and the Committee of the Regions – A Union of Equality: Gender Equality Strategy 2020-2025.</w:t>
            </w:r>
          </w:p>
        </w:tc>
        <w:tc>
          <w:tcPr>
            <w:tcW w:w="4876" w:type="dxa"/>
            <w:tcBorders>
              <w:top w:val="nil"/>
              <w:left w:val="nil"/>
              <w:bottom w:val="nil"/>
              <w:right w:val="nil"/>
            </w:tcBorders>
          </w:tcPr>
          <w:p>
            <w:pPr>
              <w:pStyle w:val="Normal6a"/>
            </w:pPr>
            <w:r>
              <w:rPr>
                <w:vertAlign w:val="superscript"/>
              </w:rPr>
              <w:t>27</w:t>
            </w:r>
            <w:r>
              <w:t xml:space="preserve"> </w:t>
            </w:r>
            <w:r>
              <w:t>Communication (COM/2020/152 final) from the Commission to the European Parliament, the Council, the European Economic and Social Committee and the Committee of the Regions – A Union of Equality: Gender Equality Strategy 2020-2025.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“Council of Europe Convention on preventing and combating violence against women and domestic violence”, (CETS No. 210) entered into force on 1 August 2014, https://www.coe.int/en/web/conventions/full-list?module=treaty-detail&amp;treatynum=210.</w:t>
            </w:r>
          </w:p>
        </w:tc>
        <w:tc>
          <w:tcPr>
            <w:tcW w:w="4876" w:type="dxa"/>
            <w:tcBorders>
              <w:top w:val="nil"/>
              <w:left w:val="nil"/>
              <w:bottom w:val="nil"/>
              <w:right w:val="nil"/>
            </w:tcBorders>
          </w:tcPr>
          <w:p>
            <w:pPr>
              <w:pStyle w:val="Normal6a"/>
            </w:pPr>
            <w:r>
              <w:rPr>
                <w:vertAlign w:val="superscript"/>
              </w:rPr>
              <w:t>28</w:t>
            </w:r>
            <w:r>
              <w:t xml:space="preserve"> </w:t>
            </w:r>
            <w:r>
              <w:t>“Council of Europe Convention on preventing and combating violence against women and domestic violence”, (CETS No. 210) entered into force on 1 August 2014, https://www.coe.int/en/web/conventions/full-list?module=treaty-detail&amp;treatynum=210.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The Instrument should support children and youth as key agents of change, giving particular attention to their needs and empowerment. It should seek to prevent and combat </w:t>
            </w:r>
            <w:r>
              <w:rPr>
                <w:b/>
                <w:i/>
              </w:rPr>
              <w:t>discrimination-based</w:t>
            </w:r>
            <w:r>
              <w:t xml:space="preserve"> on age, ethnic origin, religion and belief, disability or sexual orientation. It should promote the rights of persons with disabilities, in line with the UN Convention to the Rights of Persons with Disabilities</w:t>
            </w:r>
            <w:r>
              <w:rPr>
                <w:vertAlign w:val="superscript"/>
              </w:rPr>
              <w:t>29</w:t>
            </w:r>
            <w:r>
              <w:t xml:space="preserve"> .</w:t>
            </w:r>
          </w:p>
        </w:tc>
        <w:tc>
          <w:tcPr>
            <w:tcW w:w="4876" w:type="dxa"/>
            <w:tcBorders>
              <w:top w:val="nil"/>
              <w:left w:val="nil"/>
              <w:bottom w:val="nil"/>
              <w:right w:val="nil"/>
            </w:tcBorders>
          </w:tcPr>
          <w:p>
            <w:pPr>
              <w:pStyle w:val="Normal6a"/>
            </w:pPr>
            <w:r>
              <w:t>(48)</w:t>
            </w:r>
            <w:r>
              <w:tab/>
            </w:r>
            <w:r>
              <w:t xml:space="preserve">The Instrument should support children and youth as key agents of change, giving particular attention to their </w:t>
            </w:r>
            <w:r>
              <w:rPr>
                <w:b/>
                <w:i/>
              </w:rPr>
              <w:t>rights,</w:t>
            </w:r>
            <w:r>
              <w:t xml:space="preserve"> needs and empowerment</w:t>
            </w:r>
            <w:r>
              <w:rPr>
                <w:b/>
                <w:i/>
              </w:rPr>
              <w:t>, in line with the UN Convention on the Rights of the Child, and guided by the principle of the best interests of the child. It should ensure the protection of children and the prevention of all forms of violence, abuse, exploitation and child labour, and promote equal access to quality education, healthcare and social protection, in particular for the most marginalised children and young people</w:t>
            </w:r>
            <w:r>
              <w:t xml:space="preserve">. It should seek to prevent and combat </w:t>
            </w:r>
            <w:r>
              <w:rPr>
                <w:b/>
                <w:i/>
              </w:rPr>
              <w:t>multiple and intersecting forms of discrimination, including based</w:t>
            </w:r>
            <w:r>
              <w:t xml:space="preserve"> on age, ethnic origin, religion and belief, disability or sexual orientation </w:t>
            </w:r>
            <w:r>
              <w:rPr>
                <w:b/>
                <w:i/>
              </w:rPr>
              <w:t>and gender identity</w:t>
            </w:r>
            <w:r>
              <w:t xml:space="preserve">. It should promote </w:t>
            </w:r>
            <w:r>
              <w:rPr>
                <w:b/>
                <w:i/>
              </w:rPr>
              <w:t>and protect</w:t>
            </w:r>
            <w:r>
              <w:t xml:space="preserve"> the rights of persons with disabilities, in line with the UN Convention to the Rights of Persons with Disabilities</w:t>
            </w:r>
            <w:r>
              <w:rPr>
                <w:vertAlign w:val="superscript"/>
              </w:rPr>
              <w:t>29</w:t>
            </w:r>
            <w:r>
              <w:t xml:space="preserve"> </w:t>
            </w:r>
            <w:r>
              <w:rPr>
                <w:b/>
                <w:i/>
              </w:rPr>
              <w:t>and remove barriers to accessibility, autonomy and full participation in social, economic and political life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Convention on the Rights of Persons with Disabilities (CRPD), entered into force on 3 May 2008 https://social.desa.un.org/issues/disability/crpd/convention-on-the-rights-of-persons-with-disabilities-crpd#Fulltext.</w:t>
            </w:r>
          </w:p>
        </w:tc>
        <w:tc>
          <w:tcPr>
            <w:tcW w:w="4876" w:type="dxa"/>
            <w:tcBorders>
              <w:top w:val="nil"/>
              <w:left w:val="nil"/>
              <w:bottom w:val="nil"/>
              <w:right w:val="nil"/>
            </w:tcBorders>
          </w:tcPr>
          <w:p>
            <w:pPr>
              <w:pStyle w:val="Normal6a"/>
            </w:pPr>
            <w:r>
              <w:rPr>
                <w:vertAlign w:val="superscript"/>
              </w:rPr>
              <w:t>29</w:t>
            </w:r>
            <w:r>
              <w:t xml:space="preserve"> </w:t>
            </w:r>
            <w:r>
              <w:t>Convention on the Rights of Persons with Disabilities (CRPD), entered into force on 3 May 2008 https://social.desa.un.org/issues/disability/crpd/convention-on-the-rights-of-persons-with-disabilities-crpd#Fulltext.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Recognising that the triple planetary crisis of climate, biodiversity loss and pollution have worsened over the last decade and cannot be solved by the Union alone, by supporting international cooperation the Instrument should play an essential role to meet multilaterally agreed climate and environmental goals. In that regard, the Union should support the most vulnerable countries, in particular the small island developing states and the least developed countries.</w:t>
            </w:r>
          </w:p>
        </w:tc>
        <w:tc>
          <w:tcPr>
            <w:tcW w:w="4876" w:type="dxa"/>
            <w:tcBorders>
              <w:top w:val="nil"/>
              <w:left w:val="nil"/>
              <w:bottom w:val="nil"/>
              <w:right w:val="nil"/>
            </w:tcBorders>
          </w:tcPr>
          <w:p>
            <w:pPr>
              <w:pStyle w:val="Normal6a"/>
            </w:pPr>
            <w:r>
              <w:t>(49)</w:t>
            </w:r>
            <w:r>
              <w:tab/>
            </w:r>
            <w:r>
              <w:t>Recognising that the triple planetary crisis of climate, biodiversity loss and pollution have worsened over the last decade and cannot be solved by the Union alone, by supporting international cooperation the Instrument should play an essential role to meet multilaterally agreed climate and environmental goals. In that regard, the Union should support the most vulnerable countries, in particular the small island developing states and the least developed countries</w:t>
            </w:r>
            <w:r>
              <w:rPr>
                <w:b/>
                <w:i/>
              </w:rPr>
              <w:t>, while addressing the situation and rights of persons displaced by climate change and environmental degradation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Reflecting the importance of tackling climate change in line with the Union’s commitments to implement the Paris Agreement and the Kunming-Montreal Global Biodiversity Framework and to achieve the sustainable development goals, the Instrument should contribute to mainstreaming climate action in the Union policies. Relevant actions should be identified during the implementation of the Instrument, and the overall contribution from the Instrument should be part of relevant monitoring evaluations and review processes. The Instrument should contribute to halting and reversing the decline of biodiversity building on the interlinkages between climate and biodiversity goals.</w:t>
            </w:r>
          </w:p>
        </w:tc>
        <w:tc>
          <w:tcPr>
            <w:tcW w:w="4876" w:type="dxa"/>
            <w:tcBorders>
              <w:top w:val="nil"/>
              <w:left w:val="nil"/>
              <w:bottom w:val="nil"/>
              <w:right w:val="nil"/>
            </w:tcBorders>
          </w:tcPr>
          <w:p>
            <w:pPr>
              <w:pStyle w:val="Normal6a"/>
            </w:pPr>
            <w:r>
              <w:t>(50)</w:t>
            </w:r>
            <w:r>
              <w:tab/>
            </w:r>
            <w:r>
              <w:t>Reflecting the importance of tackling climate change in line with the Union’s commitments to implement the Paris Agreement and the Kunming-Montreal Global Biodiversity Framework and to achieve the sustainable development goals, the Instrument should contribute to mainstreaming climate action in the Union policies</w:t>
            </w:r>
            <w:r>
              <w:rPr>
                <w:b/>
                <w:i/>
              </w:rPr>
              <w:t>, including through an ambitious spending target of at least 35% of the Instrument budget to climate action and 15% to environmental protection</w:t>
            </w:r>
            <w:r>
              <w:t>. Relevant actions should be identified during the implementation of the Instrument, and the overall contribution from the Instrument should be part of relevant monitoring evaluations and review processes. The Instrument should contribute to halting and reversing the decline of biodiversity building on the interlinkages between climate and biodiversity goals.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Union action in the area of climate change and biodiversity should support a just transition to a climate-neutral, climate resilient, resource efficient and circular economy. It should notably favour the adherence to and implementation of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In line with the European Ocean Pact</w:t>
            </w:r>
            <w:r>
              <w:rPr>
                <w:vertAlign w:val="superscript"/>
              </w:rPr>
              <w:t>30</w:t>
            </w:r>
            <w:r>
              <w:t xml:space="preserve"> , the Instrument should promote the preservation of the ocean and strengthen international rules-based ocean governance. Particular attention should be given to actions that create co-benefits and meet multiple objectives, including for climate, biodiversity and the environment.</w:t>
            </w:r>
          </w:p>
        </w:tc>
        <w:tc>
          <w:tcPr>
            <w:tcW w:w="4876" w:type="dxa"/>
            <w:tcBorders>
              <w:top w:val="nil"/>
              <w:left w:val="nil"/>
              <w:bottom w:val="nil"/>
              <w:right w:val="nil"/>
            </w:tcBorders>
          </w:tcPr>
          <w:p>
            <w:pPr>
              <w:pStyle w:val="Normal6a"/>
            </w:pPr>
            <w:r>
              <w:t>(51)</w:t>
            </w:r>
            <w:r>
              <w:tab/>
            </w:r>
            <w:r>
              <w:t>Union action in the area of climate change and biodiversity should support a just transition to a climate-neutral, climate resilient, resource efficient and circular economy. It should notably favour the adherence to and implementation of the Paris Agreement, the UN Framework Convention on Climate Change, the UN Convention on Biological Diversity, the UN Convention to Combat Desertification and the Agreement on the Conservation and Sustainable Use of Marine Biological Diversity of Areas beyond National Jurisdiction. In particular, funding allocated in the context of the Instrument should be coherent with and support the long-term temperature goal of the Paris Agreement of limiting the increase in the global average temperature to well below 2°C above pre-industrial levels while pursuing efforts to limit the temperature increase to 1.5°C. The Instrument should be coherent with the objective to increase the ability to adapt to the adverse effects of climate change, reduce vulnerability, foster climate resilience and align with the objectives of the Kunming-Montreal Global Biodiversity Framework. In line with the European Ocean Pact</w:t>
            </w:r>
            <w:r>
              <w:rPr>
                <w:vertAlign w:val="superscript"/>
              </w:rPr>
              <w:t>30</w:t>
            </w:r>
            <w:r>
              <w:t xml:space="preserve"> , the Instrument should promote the preservation of the ocean and strengthen international rules-based ocean governance. Particular attention should be given to actions that create co-benefits and meet multiple objectives, including for climate, biodiversity and the environment</w:t>
            </w:r>
            <w:r>
              <w:rPr>
                <w:b/>
                <w:i/>
              </w:rPr>
              <w:t>, while applying robust environmental, social and human rights safeguards and ensuring meaningful participation of civil society and local communities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30</w:t>
            </w:r>
            <w:r>
              <w:t xml:space="preserve"> </w:t>
            </w:r>
            <w:r>
              <w:t>Communication (COM/2025/281 final) from the Commission to the European Parliament, the Council, the European Economic and Social Committee and the Committee of the Regions – The European Ocean Pact.</w:t>
            </w:r>
          </w:p>
        </w:tc>
        <w:tc>
          <w:tcPr>
            <w:tcW w:w="4876" w:type="dxa"/>
            <w:tcBorders>
              <w:top w:val="nil"/>
              <w:left w:val="nil"/>
              <w:bottom w:val="nil"/>
              <w:right w:val="nil"/>
            </w:tcBorders>
          </w:tcPr>
          <w:p>
            <w:pPr>
              <w:pStyle w:val="Normal6a"/>
            </w:pPr>
            <w:r>
              <w:rPr>
                <w:vertAlign w:val="superscript"/>
              </w:rPr>
              <w:t>30</w:t>
            </w:r>
            <w:r>
              <w:t xml:space="preserve"> </w:t>
            </w:r>
            <w:r>
              <w:t>Communication (COM/2025/281 final) from the Commission to the European Parliament, the Council, the European Economic and Social Committee and the Committee of the Regions – The European Ocean 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Article 33(2), point (d), of Regulation (EU, Euratom) 2024/2509 requires programmes and activities to be implemented</w:t>
            </w:r>
            <w:r>
              <w:rPr>
                <w:b/>
                <w:i/>
              </w:rPr>
              <w:t>, where feasible and appropriate,</w:t>
            </w:r>
            <w:r>
              <w:t xml:space="preserve"> without doing significant harm to the environmental objectives set out in Article 9 of Regulation (EU) 2020/852</w:t>
            </w:r>
            <w:r>
              <w:rPr>
                <w:vertAlign w:val="superscript"/>
              </w:rPr>
              <w:t>31</w:t>
            </w:r>
            <w:r>
              <w:t xml:space="preserve"> (the ‘do no significant harm principle’). To ensure a consistent implementation of that principle throughout the budget, the Instrument should apply the do no significant harm principle in line with the common rules established by Regulation (EU, Euratom) [XXX] of the European Parliament and Council [Performance Regulation] and following the single technical guidance ('do no significant harm guidance'),</w:t>
            </w:r>
          </w:p>
        </w:tc>
        <w:tc>
          <w:tcPr>
            <w:tcW w:w="4876" w:type="dxa"/>
            <w:tcBorders>
              <w:top w:val="nil"/>
              <w:left w:val="nil"/>
              <w:bottom w:val="nil"/>
              <w:right w:val="nil"/>
            </w:tcBorders>
          </w:tcPr>
          <w:p>
            <w:pPr>
              <w:pStyle w:val="Normal6a"/>
            </w:pPr>
            <w:r>
              <w:t>(52)</w:t>
            </w:r>
            <w:r>
              <w:tab/>
            </w:r>
            <w:r>
              <w:t>Article 33(2), point (d), of Regulation (EU, Euratom) 2024/2509 requires programmes and activities to be implemented without doing significant harm to the environmental objectives set out in Article 9 of Regulation (EU) 2020/852</w:t>
            </w:r>
            <w:r>
              <w:rPr>
                <w:vertAlign w:val="superscript"/>
              </w:rPr>
              <w:t>31</w:t>
            </w:r>
            <w:r>
              <w:t xml:space="preserve"> (the ‘do no significant harm principle’). To ensure a consistent</w:t>
            </w:r>
            <w:r>
              <w:rPr>
                <w:b/>
                <w:i/>
              </w:rPr>
              <w:t>, coherent and credible</w:t>
            </w:r>
            <w:r>
              <w:t xml:space="preserve"> implementation of that principle throughout the budget, the Instrument should apply the do no significant harm principle in line with the common rules established by Regulation (EU, Euratom) [XXX] of the European Parliament and Council [Performance Regulation] and following the single technical guidance ('do no significant harm guidance')</w:t>
            </w:r>
            <w:r>
              <w:rPr>
                <w:b/>
                <w:i/>
              </w:rPr>
              <w:t>. Compliance should be verified through independent environmental and social ex-ante and ex-post impact assessments</w:t>
            </w:r>
            <w:r>
              <w:t xml:space="preserve">, </w:t>
            </w:r>
            <w:r>
              <w:rPr>
                <w:b/>
                <w:i/>
              </w:rPr>
              <w:t>with results made publicly available, and systematically monitored and reported as part of the Instrument’s annual performance review.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31</w:t>
            </w:r>
            <w:r>
              <w:t xml:space="preserve"> </w:t>
            </w:r>
            <w:r>
              <w:t>Regulation (EU) 2020/852 of the European Parliament and of the Council of 18 June 2020 on the establishment of a framework to facilitate sustainable investment, and amending Regulation (EU) 2019/2088 (OJ L 198, 22.6.2020, p. 13–43, ELI: http://data.europa.eu/eli/reg/2020/852/oj).</w:t>
            </w:r>
          </w:p>
        </w:tc>
        <w:tc>
          <w:tcPr>
            <w:tcW w:w="4876" w:type="dxa"/>
            <w:tcBorders>
              <w:top w:val="nil"/>
              <w:left w:val="nil"/>
              <w:bottom w:val="nil"/>
              <w:right w:val="nil"/>
            </w:tcBorders>
          </w:tcPr>
          <w:p>
            <w:pPr>
              <w:pStyle w:val="Normal6a"/>
            </w:pPr>
            <w:r>
              <w:rPr>
                <w:vertAlign w:val="superscript"/>
              </w:rPr>
              <w:t>31</w:t>
            </w:r>
            <w:r>
              <w:t xml:space="preserve"> </w:t>
            </w:r>
            <w:r>
              <w:t>Regulation (EU) 2020/852 of the European Parliament and of the Council of 18 June 2020 on the establishment of a framework to facilitate sustainable investment, and amending Regulation (EU) 2019/2088 (OJ L 198, 22.6.2020, p. 13–43, ELI: http://data.europa.eu/eli/reg/2020/852/oj).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The Union’s and Member States’ international cooperation policies should operate in a Team Europe approach</w:t>
            </w:r>
            <w:r>
              <w:rPr>
                <w:vertAlign w:val="superscript"/>
              </w:rPr>
              <w:t>34</w:t>
            </w:r>
            <w:r>
              <w:t xml:space="preserve"> , thereby complementing and reinforcing each other to improve the effectiveness, impact and value added of their collective assistance.</w:t>
            </w:r>
          </w:p>
        </w:tc>
        <w:tc>
          <w:tcPr>
            <w:tcW w:w="4876" w:type="dxa"/>
            <w:tcBorders>
              <w:top w:val="nil"/>
              <w:left w:val="nil"/>
              <w:bottom w:val="nil"/>
              <w:right w:val="nil"/>
            </w:tcBorders>
          </w:tcPr>
          <w:p>
            <w:pPr>
              <w:pStyle w:val="Normal6a"/>
            </w:pPr>
            <w:r>
              <w:t>(55)</w:t>
            </w:r>
            <w:r>
              <w:tab/>
            </w:r>
            <w:r>
              <w:t>The Union’s and Member States’ international cooperation policies should operate in a Team Europe approach</w:t>
            </w:r>
            <w:r>
              <w:rPr>
                <w:vertAlign w:val="superscript"/>
              </w:rPr>
              <w:t>34</w:t>
            </w:r>
            <w:r>
              <w:t xml:space="preserve"> , thereby complementing and reinforcing each other to improve the effectiveness, impact and value added of their collective assistance. </w:t>
            </w:r>
            <w:r>
              <w:rPr>
                <w:b/>
                <w:i/>
              </w:rPr>
              <w:t>In order to uphold democratic scrutiny and transparency, the European Parliament should have full access to, and the ability to monitor, evaluate and follow up on all Team Europe Initiatives and joint programming processes, including through regular reporting and participation in strategic dialogue with the Commission and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34</w:t>
            </w:r>
            <w:r>
              <w:t xml:space="preserve"> </w:t>
            </w:r>
            <w:r>
              <w:t>Joint Communication (JOIN/2024/25 final) to the European Parliament, the Council, the European Economic and Social Committee, the Committee of the Regions and the European Investment Bank - Building sustainable international partnerships as a Team Europe.</w:t>
            </w:r>
          </w:p>
        </w:tc>
        <w:tc>
          <w:tcPr>
            <w:tcW w:w="4876" w:type="dxa"/>
            <w:tcBorders>
              <w:top w:val="nil"/>
              <w:left w:val="nil"/>
              <w:bottom w:val="nil"/>
              <w:right w:val="nil"/>
            </w:tcBorders>
          </w:tcPr>
          <w:p>
            <w:pPr>
              <w:pStyle w:val="Normal6a"/>
            </w:pPr>
            <w:r>
              <w:rPr>
                <w:vertAlign w:val="superscript"/>
              </w:rPr>
              <w:t>34</w:t>
            </w:r>
            <w:r>
              <w:t xml:space="preserve"> </w:t>
            </w:r>
            <w:r>
              <w:t>Joint Communication (JOIN/2024/25 final) to the European Parliament, the Council, the European Economic and Social Committee, the Committee of the Regions and the European Investment Bank - Building sustainable international partnerships as a Team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The Union, its Member States, Member States’ implementing agencies and financial institutions, including development finance institutions and Member States export credit agencies, the European Investment Bank (the ‘EIB’) and the European Bank for Reconstruction and Development (the ‘EBRD’) should seek to support partner countries and Union strategic interests outside the Union through jointly identified and implemented actions. This approach should be inclusive and open to like-minded partners and stakeholders to pool resources and jointly contribute to the achievement of common goals including through the use of the budgetary guarantee and blending.</w:t>
            </w:r>
          </w:p>
        </w:tc>
        <w:tc>
          <w:tcPr>
            <w:tcW w:w="4876" w:type="dxa"/>
            <w:tcBorders>
              <w:top w:val="nil"/>
              <w:left w:val="nil"/>
              <w:bottom w:val="nil"/>
              <w:right w:val="nil"/>
            </w:tcBorders>
          </w:tcPr>
          <w:p>
            <w:pPr>
              <w:pStyle w:val="Normal6a"/>
            </w:pPr>
            <w:r>
              <w:t>(56)</w:t>
            </w:r>
            <w:r>
              <w:tab/>
            </w:r>
            <w:r>
              <w:t>The Union, its Member States, Member States’ implementing agencies and financial institutions, including development finance institutions and Member States export credit agencies, the European Investment Bank (the ‘EIB’) and the European Bank for Reconstruction and Development (the ‘EBRD’) should seek to support partner countries and Union strategic interests outside the Union through jointly identified and implemented actions. This approach should be inclusive and open to like-minded partners and stakeholders</w:t>
            </w:r>
            <w:r>
              <w:rPr>
                <w:b/>
                <w:i/>
              </w:rPr>
              <w:t>, including civil society organisations and local authorities,</w:t>
            </w:r>
            <w:r>
              <w:t xml:space="preserve"> to pool resources and jointly contribute to the achievement of common goals </w:t>
            </w:r>
            <w:r>
              <w:rPr>
                <w:b/>
                <w:i/>
              </w:rPr>
              <w:t>in accordance with development effectiveness principles</w:t>
            </w:r>
            <w:r>
              <w:t xml:space="preserve"> including through the use of the budgetary guarantee and blending </w:t>
            </w:r>
            <w:r>
              <w:rPr>
                <w:b/>
                <w:i/>
              </w:rPr>
              <w:t>where justified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The Union should favour a constructive engagement on all aspects of migration and forced displacement, working to ensure that migration takes place in a safe and well-regulated manner and support is provided to forcibly displaced people and their host communities. It is essential to further step up cooperation on migration with partner countries while respecting competences of Member States, reaping the benefits of orderly, safe, regular and responsible migration </w:t>
            </w:r>
            <w:r>
              <w:rPr>
                <w:b/>
                <w:i/>
              </w:rPr>
              <w:t>and effectively addressing irregular migration</w:t>
            </w:r>
            <w:r>
              <w:t xml:space="preserve">. Such cooperation should contribute to mitigating the impact of forced displacement, ensuring access to international protection, addressing the root causes of irregular migration and of forced displacement, </w:t>
            </w:r>
            <w:r>
              <w:rPr>
                <w:b/>
                <w:i/>
              </w:rPr>
              <w:t>enhancing border management and pursuing efforts to prevent irregular</w:t>
            </w:r>
            <w:r>
              <w:t xml:space="preserve"> migration, fighting against trafficking in human beings and migrant smuggling, and working on dignified and sustainable returns, readmission and reintegration where relevant, on the basis of mutual accountability and full respect of humanitarian and human rights obligations under international and Union law, and by engaging with diasporas and supporting legal migration pathways</w:t>
            </w:r>
            <w:r>
              <w:rPr>
                <w:b/>
                <w:i/>
              </w:rPr>
              <w:t>. Therefore, partner countries’ effective cooperation with the Union in this area should be an integral element of the Instrument. Increased coherence between migration, asylum, return and external policies is important to ensure that the Union’s external assistance supports partner countries to manage migration more effectively towards sustainable development</w:t>
            </w:r>
            <w:r>
              <w:t xml:space="preserve">. The Instrument should contribute to a coordinated, holistic and structured approach to migration, </w:t>
            </w:r>
            <w:r>
              <w:rPr>
                <w:b/>
                <w:i/>
              </w:rPr>
              <w:t>maximising synergies and applying the necessary</w:t>
            </w:r>
            <w:r>
              <w:t xml:space="preserve"> leverage.</w:t>
            </w:r>
          </w:p>
        </w:tc>
        <w:tc>
          <w:tcPr>
            <w:tcW w:w="4876" w:type="dxa"/>
            <w:tcBorders>
              <w:top w:val="nil"/>
              <w:left w:val="nil"/>
              <w:bottom w:val="nil"/>
              <w:right w:val="nil"/>
            </w:tcBorders>
          </w:tcPr>
          <w:p>
            <w:pPr>
              <w:pStyle w:val="Normal6a"/>
            </w:pPr>
            <w:r>
              <w:t>(57)</w:t>
            </w:r>
            <w:r>
              <w:tab/>
            </w:r>
            <w:r>
              <w:t xml:space="preserve">The Union should favour a constructive engagement on </w:t>
            </w:r>
            <w:r>
              <w:rPr>
                <w:b/>
                <w:i/>
              </w:rPr>
              <w:t>mobility and</w:t>
            </w:r>
            <w:r>
              <w:t xml:space="preserve"> all aspects of migration and forced displacement, working to ensure that migration takes place in a safe and well-regulated manner and support is provided to forcibly displaced people and their host communities. It is essential to further step up cooperation on migration with partner countries while respecting competences of Member States, reaping the benefits of orderly, safe, regular and responsible migration. Such cooperation should contribute to mitigating the impact of forced displacement, ensuring access to international protection, addressing the root causes of irregular migration and of forced displacement, </w:t>
            </w:r>
            <w:r>
              <w:rPr>
                <w:b/>
                <w:i/>
              </w:rPr>
              <w:t>facilitate orderly, safe, regular</w:t>
            </w:r>
            <w:r>
              <w:t xml:space="preserve"> migration </w:t>
            </w:r>
            <w:r>
              <w:rPr>
                <w:b/>
                <w:i/>
              </w:rPr>
              <w:t>and mobility</w:t>
            </w:r>
            <w:r>
              <w:t xml:space="preserve">, fighting against trafficking in human beings and migrant smuggling </w:t>
            </w:r>
            <w:r>
              <w:rPr>
                <w:b/>
                <w:i/>
              </w:rPr>
              <w:t>with a focus on victims’ protection</w:t>
            </w:r>
            <w:r>
              <w:t xml:space="preserve">, and working on dignified and sustainable returns, readmission and reintegration where relevant, on the basis of mutual accountability and full respect of humanitarian and human rights obligations under international and Union law, and by engaging with diasporas and supporting </w:t>
            </w:r>
            <w:r>
              <w:rPr>
                <w:b/>
                <w:i/>
              </w:rPr>
              <w:t>and expanding</w:t>
            </w:r>
            <w:r>
              <w:t xml:space="preserve"> legal migration </w:t>
            </w:r>
            <w:r>
              <w:rPr>
                <w:b/>
                <w:i/>
              </w:rPr>
              <w:t>and protection</w:t>
            </w:r>
            <w:r>
              <w:t xml:space="preserve"> pathways</w:t>
            </w:r>
            <w:r>
              <w:rPr>
                <w:b/>
                <w:i/>
              </w:rPr>
              <w:t>, such as resettlement, family reunification and humanitarian visas</w:t>
            </w:r>
            <w:r>
              <w:t xml:space="preserve">. The Instrument should contribute to a coordinated, holistic and structured approach to migration, </w:t>
            </w:r>
            <w:r>
              <w:rPr>
                <w:b/>
                <w:i/>
              </w:rPr>
              <w:t>while explicitly rejecting the use of development cooperation as</w:t>
            </w:r>
            <w:r>
              <w:t xml:space="preserve"> leverage </w:t>
            </w:r>
            <w:r>
              <w:rPr>
                <w:b/>
                <w:i/>
              </w:rPr>
              <w:t>for migration control or the externalisation of EU borders, since such practices are counterproductive in addressing the root causes of migration, divert resources from genuine development objectives, undermine the effectiveness of development aid, and fail to reflect the priorities of partner countries for which migration and remittances are key drivers of inclusive growth and poverty reduction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The Instrument should enable the Union, in cooperation with Member States, to comprehensively </w:t>
            </w:r>
            <w:r>
              <w:rPr>
                <w:b/>
                <w:i/>
              </w:rPr>
              <w:t>respond to</w:t>
            </w:r>
            <w:r>
              <w:t xml:space="preserve"> challenges, needs and opportunities related to migration and forced displacement </w:t>
            </w:r>
            <w:r>
              <w:rPr>
                <w:b/>
                <w:i/>
              </w:rPr>
              <w:t>in a way that is coherent with and complementary to Union migration and asylum policy</w:t>
            </w:r>
            <w:r>
              <w:t xml:space="preserve">. Migration-related actions under the Instrument should contribute to the effective implementation of Union agreements and dialogues on migration with partner countries </w:t>
            </w:r>
            <w:r>
              <w:rPr>
                <w:b/>
                <w:i/>
              </w:rPr>
              <w:t>by encouraging cooperation relying on a flexible incitative approach and supported by a coordination mechanism under</w:t>
            </w:r>
            <w:r>
              <w:t xml:space="preserve"> the Instrument</w:t>
            </w:r>
            <w:r>
              <w:rPr>
                <w:b/>
                <w:i/>
              </w:rPr>
              <w:t>. The coordination mechanism</w:t>
            </w:r>
            <w:r>
              <w:t xml:space="preserve"> should enable ongoing and emerging </w:t>
            </w:r>
            <w:r>
              <w:rPr>
                <w:b/>
                <w:i/>
              </w:rPr>
              <w:t>migration and</w:t>
            </w:r>
            <w:r>
              <w:t xml:space="preserve"> forced displacement challenges </w:t>
            </w:r>
            <w:r>
              <w:rPr>
                <w:b/>
                <w:i/>
              </w:rPr>
              <w:t>to be addressed under the Instrument, using all appropriate components</w:t>
            </w:r>
            <w:r>
              <w:t xml:space="preserve"> through </w:t>
            </w:r>
            <w:r>
              <w:rPr>
                <w:b/>
                <w:i/>
              </w:rPr>
              <w:t>flexible funding, while respecting its financial envelopes and relying on their flexible implementation</w:t>
            </w:r>
            <w:r>
              <w:t>. Those actions should be implemented in full respect of international law, including international human rights, international humanitarian law and refugee law, and Union and national competences.</w:t>
            </w:r>
          </w:p>
        </w:tc>
        <w:tc>
          <w:tcPr>
            <w:tcW w:w="4876" w:type="dxa"/>
            <w:tcBorders>
              <w:top w:val="nil"/>
              <w:left w:val="nil"/>
              <w:bottom w:val="nil"/>
              <w:right w:val="nil"/>
            </w:tcBorders>
          </w:tcPr>
          <w:p>
            <w:pPr>
              <w:pStyle w:val="Normal6a"/>
            </w:pPr>
            <w:r>
              <w:t>(58)</w:t>
            </w:r>
            <w:r>
              <w:tab/>
            </w:r>
            <w:r>
              <w:t xml:space="preserve">The Instrument should enable the Union, in cooperation with Member States, to comprehensively </w:t>
            </w:r>
            <w:r>
              <w:rPr>
                <w:b/>
                <w:i/>
              </w:rPr>
              <w:t>address</w:t>
            </w:r>
            <w:r>
              <w:t xml:space="preserve"> challenges, needs and opportunities related to migration and forced displacement </w:t>
            </w:r>
            <w:r>
              <w:rPr>
                <w:b/>
                <w:i/>
              </w:rPr>
              <w:t>that reflect partner countries’ needs and priorities and may contribute to mutually beneficial partnerships</w:t>
            </w:r>
            <w:r>
              <w:t>. Migration-related actions under the Instrument</w:t>
            </w:r>
            <w:r>
              <w:rPr>
                <w:b/>
                <w:i/>
              </w:rPr>
              <w:t>, in alignment with the principles and criteria for ODA eligibility of migration actions,</w:t>
            </w:r>
            <w:r>
              <w:t xml:space="preserve"> should contribute to the effective implementation of Union agreements and dialogues on migration with partner countries</w:t>
            </w:r>
            <w:r>
              <w:rPr>
                <w:b/>
                <w:i/>
              </w:rPr>
              <w:t>.</w:t>
            </w:r>
            <w:r>
              <w:t xml:space="preserve"> The Instrument should enable </w:t>
            </w:r>
            <w:r>
              <w:rPr>
                <w:b/>
                <w:i/>
              </w:rPr>
              <w:t>the EU to address</w:t>
            </w:r>
            <w:r>
              <w:t xml:space="preserve"> ongoing and emerging forced displacement challenges</w:t>
            </w:r>
            <w:r>
              <w:rPr>
                <w:b/>
                <w:i/>
              </w:rPr>
              <w:t>, particularly by supporting developing countries hosting large numbers of refugees and displaced populations, while also harnessing migration opportunities, including</w:t>
            </w:r>
            <w:r>
              <w:t xml:space="preserve"> through </w:t>
            </w:r>
            <w:r>
              <w:rPr>
                <w:b/>
                <w:i/>
              </w:rPr>
              <w:t>the promotion of voluntary, safe and legal migration pathways to the EU</w:t>
            </w:r>
            <w:r>
              <w:t xml:space="preserve">. Those actions should be implemented in full respect of international law, including international human rights, international humanitarian law and refugee law, and Union and national competences. </w:t>
            </w:r>
            <w:r>
              <w:rPr>
                <w:b/>
                <w:i/>
              </w:rPr>
              <w:t>When implementing migration-related actions under the Instrument, the Commission should ensure transparent and systematic human rights risk-assessment, continuous monitoring and independent verification, and report regularly to the European Parliament particularly on their compliance with fundamental rights and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Under the Instrument, the Union should address human rights and democratic governance at all levels, including through election observation missions, in line with the EU Action Plan on Human Rights and Democracy</w:t>
            </w:r>
            <w:r>
              <w:rPr>
                <w:vertAlign w:val="superscript"/>
              </w:rPr>
              <w:t>35</w:t>
            </w:r>
            <w:r>
              <w:t xml:space="preserve"> . Where relevant, Union assistance in areas pertaining to the protection of human rights and democratic values and principles and support to civil society actors should be independent from the consent of the governments and public authorities of the partner countries concerned. As the respect for democracy, human rights and the rule of law is essential for sound financial management and effective Union funding as referred to in Regulation (EU, Euratom) 2024/2509, assistance </w:t>
            </w:r>
            <w:r>
              <w:rPr>
                <w:b/>
                <w:i/>
              </w:rPr>
              <w:t>could</w:t>
            </w:r>
            <w:r>
              <w:t xml:space="preserve"> be suspended in the event of degradation in democracy, human rights or the rule of law in third countries.</w:t>
            </w:r>
          </w:p>
        </w:tc>
        <w:tc>
          <w:tcPr>
            <w:tcW w:w="4876" w:type="dxa"/>
            <w:tcBorders>
              <w:top w:val="nil"/>
              <w:left w:val="nil"/>
              <w:bottom w:val="nil"/>
              <w:right w:val="nil"/>
            </w:tcBorders>
          </w:tcPr>
          <w:p>
            <w:pPr>
              <w:pStyle w:val="Normal6a"/>
            </w:pPr>
            <w:r>
              <w:t>(59)</w:t>
            </w:r>
            <w:r>
              <w:tab/>
            </w:r>
            <w:r>
              <w:t>Under the Instrument, the Union should address human rights and democratic governance at all levels, including through election observation missions, in line with the EU Action Plan on Human Rights and Democracy</w:t>
            </w:r>
            <w:r>
              <w:rPr>
                <w:vertAlign w:val="superscript"/>
              </w:rPr>
              <w:t>35</w:t>
            </w:r>
            <w:r>
              <w:rPr>
                <w:b/>
                <w:i/>
              </w:rPr>
              <w:t>across all geographic pillars and through dedicated resources in the Global pillar</w:t>
            </w:r>
            <w:r>
              <w:t>. Where relevant, Union assistance in areas pertaining to the protection of human rights</w:t>
            </w:r>
            <w:r>
              <w:rPr>
                <w:b/>
                <w:i/>
              </w:rPr>
              <w:t>, civic space</w:t>
            </w:r>
            <w:r>
              <w:t xml:space="preserve"> and democratic values and principles and support to civil society actors should be independent from the consent of the governments and public authorities of the partner countries concerned. As the respect for democracy, human rights and the rule of law is essential for </w:t>
            </w:r>
            <w:r>
              <w:rPr>
                <w:b/>
                <w:i/>
              </w:rPr>
              <w:t>development effectiveness,</w:t>
            </w:r>
            <w:r>
              <w:t xml:space="preserve"> sound financial management and effective Union funding as referred to in Regulation (EU, Euratom) 2024/2509, assistance </w:t>
            </w:r>
            <w:r>
              <w:rPr>
                <w:b/>
                <w:i/>
              </w:rPr>
              <w:t>to partner governments should</w:t>
            </w:r>
            <w:r>
              <w:t xml:space="preserve"> be suspended in the event of degradation in democracy, human rights or the rule of law in third countries. </w:t>
            </w:r>
            <w:r>
              <w:rPr>
                <w:b/>
                <w:i/>
              </w:rPr>
              <w:t>Such suspension should not affect assistance to civil society and other non-governmental actors and should be implemented in a manner that avoids negative consequences for the affected populations.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35</w:t>
            </w:r>
            <w:r>
              <w:t xml:space="preserve"> </w:t>
            </w:r>
            <w:r>
              <w:t>Joint Communication (JOIN/2020/5 final) to the European Parliament and the Council - EU Action Plan on Human Rights and Democracy 2020-2024.</w:t>
            </w:r>
          </w:p>
        </w:tc>
        <w:tc>
          <w:tcPr>
            <w:tcW w:w="4876" w:type="dxa"/>
            <w:tcBorders>
              <w:top w:val="nil"/>
              <w:left w:val="nil"/>
              <w:bottom w:val="nil"/>
              <w:right w:val="nil"/>
            </w:tcBorders>
          </w:tcPr>
          <w:p>
            <w:pPr>
              <w:pStyle w:val="Normal6a"/>
            </w:pPr>
            <w:r>
              <w:rPr>
                <w:vertAlign w:val="superscript"/>
              </w:rPr>
              <w:t>35</w:t>
            </w:r>
            <w:r>
              <w:t xml:space="preserve"> </w:t>
            </w:r>
            <w:r>
              <w:t>Joint Communication (JOIN/2020/5 final) to the European Parliament and the Council - EU Action Plan on Human Rights and Democracy 2020-2024.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While respecting the principle that the Union budget is set annually, external volatility requires to preserve the flexibilities already allowed under Regulation (EU) 2021/947 concerning carry-overs. By way of derogation from Article 12(4) of Regulation (EU, Euratom) 2024/2509, to ensure the efficient use of the Union funds both for Union citizens and the partner countries, thus maximising the Union funds available for the Union’s external action interventions, carry-overs stemming from the Instrument should be available to be reused under this Instrument. By way of derogation from Article 212(3) of Regulation (EU, Euratom) 2024/2509, revenue, repayments and recoveries from financial instruments established by external action programmes under this or preceding multiannual financial frameworks should be available to be reused under this Instrument. This will make available the necessary resources to fund the most pressing additional needs of the EU’s external relations of the moment.</w:t>
            </w:r>
          </w:p>
        </w:tc>
        <w:tc>
          <w:tcPr>
            <w:tcW w:w="4876" w:type="dxa"/>
            <w:tcBorders>
              <w:top w:val="nil"/>
              <w:left w:val="nil"/>
              <w:bottom w:val="nil"/>
              <w:right w:val="nil"/>
            </w:tcBorders>
          </w:tcPr>
          <w:p>
            <w:pPr>
              <w:pStyle w:val="Normal6a"/>
            </w:pPr>
            <w:r>
              <w:t>(65)</w:t>
            </w:r>
            <w:r>
              <w:tab/>
            </w:r>
            <w:r>
              <w:t>While respecting the principle that the Union budget is set annually, external volatility requires to preserve the flexibilities already allowed under Regulation (EU) 2021/947 concerning carry-overs. By way of derogation from Article 12(4) of Regulation (EU, Euratom) 2024/2509, to ensure the efficient use of the Union funds both for Union citizens and the partner countries, thus maximising the Union funds available for the Union’s external action interventions, carry-overs stemming from the Instrument should be available to be reused under </w:t>
            </w:r>
            <w:r>
              <w:rPr>
                <w:b/>
                <w:i/>
              </w:rPr>
              <w:t>the budget line of origin of</w:t>
            </w:r>
            <w:r>
              <w:t xml:space="preserve"> this Instrument. By way of derogation from Article 212(3) of Regulation (EU, Euratom) 2024/2509, revenue, repayments and recoveries from financial instruments established by external action programmes under this or preceding multiannual financial frameworks should be available to be reused under this Instrument. This will make available the necessary resources to fund the most pressing additional needs of the EU’s external relations of the moment.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c>
          <w:tcPr>
            <w:tcW w:w="4876" w:type="dxa"/>
            <w:tcBorders>
              <w:top w:val="nil"/>
              <w:left w:val="nil"/>
              <w:bottom w:val="nil"/>
              <w:right w:val="nil"/>
            </w:tcBorders>
          </w:tcPr>
          <w:p>
            <w:pPr>
              <w:pStyle w:val="Normal6a"/>
            </w:pPr>
            <w:r>
              <w:t>(68)</w:t>
            </w:r>
            <w:r>
              <w:tab/>
            </w:r>
            <w:r>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t>
            </w:r>
            <w:r>
              <w:rPr>
                <w:b/>
                <w:i/>
              </w:rPr>
              <w:t>and the obligation to fully respect fundamental rights, gender equality, gender mainstreaming, non-discrimination and sustainable development, in line with the horizontal principles laid down in Article 6(3) and Article 33(2)(e) and (f) of Regulation (EU, Euratom) 2024/2509 and with the Charter of Fundamental Rights of the European Union</w:t>
            </w:r>
            <w:r>
              <w:t>.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 xml:space="preserve">Without prejudice to the use of competitive procedures wherever appropriate in accordance with Article 192(1) of Regulation (EU, Euratom) 2024/2509, grants could be provided to entities governed by private law from a Member State </w:t>
            </w:r>
            <w:r>
              <w:rPr>
                <w:b/>
                <w:i/>
              </w:rPr>
              <w:t>without a call for proposals</w:t>
            </w:r>
            <w:r>
              <w:t xml:space="preserve"> where the relevant project </w:t>
            </w:r>
            <w:r>
              <w:rPr>
                <w:b/>
                <w:i/>
              </w:rPr>
              <w:t>is in the strategic interest of the Union and</w:t>
            </w:r>
            <w:r>
              <w:t xml:space="preserve"> supports the objectives of the Instrument. Such </w:t>
            </w:r>
            <w:r>
              <w:rPr>
                <w:b/>
                <w:i/>
              </w:rPr>
              <w:t>a direct</w:t>
            </w:r>
            <w:r>
              <w:t xml:space="preserve"> award could be justified, for example, to enable investments or finance feasibility studies in </w:t>
            </w:r>
            <w:r>
              <w:rPr>
                <w:b/>
                <w:i/>
              </w:rPr>
              <w:t>strategic areas such as critical raw materials,</w:t>
            </w:r>
            <w:r>
              <w:t xml:space="preserve"> climate change resilience or digital and other infrastructure</w:t>
            </w:r>
            <w:r>
              <w:rPr>
                <w:b/>
                <w:i/>
              </w:rPr>
              <w:t>, in particular as part of integrated packages, to enhance the Union’s strategic autonomy</w:t>
            </w:r>
            <w:r>
              <w:t>. In accordance with Regulation (EU, Euratom) 2024/2509, any such award should respect the general principles applicable to grants and be duly justified in the award decision.</w:t>
            </w:r>
          </w:p>
        </w:tc>
        <w:tc>
          <w:tcPr>
            <w:tcW w:w="4876" w:type="dxa"/>
            <w:tcBorders>
              <w:top w:val="nil"/>
              <w:left w:val="nil"/>
              <w:bottom w:val="nil"/>
              <w:right w:val="nil"/>
            </w:tcBorders>
          </w:tcPr>
          <w:p>
            <w:pPr>
              <w:pStyle w:val="Normal6a"/>
            </w:pPr>
            <w:r>
              <w:t>(70)</w:t>
            </w:r>
            <w:r>
              <w:tab/>
            </w:r>
            <w:r>
              <w:t xml:space="preserve">Without prejudice to the use of competitive procedures wherever appropriate in accordance with Article 192(1) of Regulation (EU, Euratom) 2024/2509, grants could be provided </w:t>
            </w:r>
            <w:r>
              <w:rPr>
                <w:b/>
                <w:i/>
              </w:rPr>
              <w:t>exceptionally</w:t>
            </w:r>
            <w:r>
              <w:t xml:space="preserve"> to entities governed by private law from a Member State where the relevant project supports the objectives of the Instrument. Such </w:t>
            </w:r>
            <w:r>
              <w:rPr>
                <w:b/>
                <w:i/>
              </w:rPr>
              <w:t>an</w:t>
            </w:r>
            <w:r>
              <w:t xml:space="preserve"> award could be justified, for example, to enable investments or finance feasibility studies in climate change resilience or digital and other infrastructure. In accordance with Regulation (EU, Euratom) 2024/2509, any such award should respect the general principles applicable to grants and be duly justified in the award decision </w:t>
            </w:r>
            <w:r>
              <w:rPr>
                <w:b/>
                <w:i/>
              </w:rPr>
              <w:t>and should be excluded from the assessment of the ODA target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In order to promote the participation of eligible implementing entities and counterparts from partner countries benefiting from the budgetary guarantee or financial instruments, by way of derogation from Article 211(5) of Regulation (EU, Euratom) 2024/2509, the partner country should not be required to contribute to the budgetary guarantee or the financial instruments. Moreover, in order to provide flexibility, increase the attractiveness for the private sector and maximise the impact of the investments, a derogation from Article 62(1), point (c) and Article 211(5) of Regulation (EU, Euratom) 2024/2509, should be provided allowing bodies subject to private law which provide adequate assurance of their financial capacity and which are neither entrusted with a public service mission nor with the implementation of a public-private partnership to be eligible implementing entities and counterparts.</w:t>
            </w:r>
          </w:p>
        </w:tc>
        <w:tc>
          <w:tcPr>
            <w:tcW w:w="4876" w:type="dxa"/>
            <w:tcBorders>
              <w:top w:val="nil"/>
              <w:left w:val="nil"/>
              <w:bottom w:val="nil"/>
              <w:right w:val="nil"/>
            </w:tcBorders>
          </w:tcPr>
          <w:p>
            <w:pPr>
              <w:pStyle w:val="Normal6a"/>
            </w:pPr>
            <w:r>
              <w:t>(82)</w:t>
            </w:r>
            <w:r>
              <w:tab/>
            </w:r>
            <w:r>
              <w:t xml:space="preserve">In order to promote the participation of eligible implementing entities and counterparts from partner countries benefiting from the budgetary guarantee or financial instruments, by way of derogation from Article 211(5) of Regulation (EU, Euratom) 2024/2509, the partner country should not be required to contribute to the budgetary guarantee or the financial instruments. Moreover, in order to provide flexibility, increase the attractiveness for the private sector and maximise the impact of the investments, a derogation from Article 62(1), point (c) and Article 211(5) of Regulation (EU, Euratom) 2024/2509, should be provided </w:t>
            </w:r>
            <w:r>
              <w:rPr>
                <w:b/>
                <w:i/>
              </w:rPr>
              <w:t>where necessary and duly justified</w:t>
            </w:r>
            <w:r>
              <w:t xml:space="preserve"> allowing bodies subject to private law which provide adequate assurance of their financial capacity and which are neither entrusted with a public service mission nor with the implementation of a public-private partnership to be eligible implementing entities and counterparts. </w:t>
            </w:r>
            <w:r>
              <w:rPr>
                <w:b/>
                <w:i/>
              </w:rPr>
              <w:t>Such derogation should be subject to clear eligibility criteria established in the Regulation ensuring that the private law entities are implementing high Human Rights and Environmental, Social and Governance standards and proper due diligence.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 xml:space="preserve">In order to amend non-essential elements of this Regulation, the power to adopt acts in accordance with Article 290 TFEU should be delegated to the Commission in respect of amending </w:t>
            </w:r>
            <w:r>
              <w:rPr>
                <w:b/>
                <w:i/>
              </w:rPr>
              <w:t>the specific objectives listed in Annex II, the percentage of expenditure fulfilling the criteria of ODA,</w:t>
            </w:r>
            <w:r>
              <w:t xml:space="preserve">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vertAlign w:val="superscript"/>
              </w:rPr>
              <w:t>39</w:t>
            </w:r>
            <w: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pPr>
              <w:pStyle w:val="Normal6a"/>
            </w:pPr>
            <w:r>
              <w:t>(86)</w:t>
            </w:r>
            <w:r>
              <w:tab/>
            </w:r>
            <w:r>
              <w:t>In order to amend non-essential elements of this Regulation, the power to adopt acts in accordance with Article 290 TFEU should be delegated to the Commission in respect of amending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vertAlign w:val="superscript"/>
              </w:rPr>
              <w:t>39</w:t>
            </w:r>
            <w:r>
              <w:t xml:space="preserve"> . In particular, to ensure equal participation in the preparation of delegated acts, </w:t>
            </w:r>
            <w:r>
              <w:rPr>
                <w:b/>
                <w:i/>
              </w:rPr>
              <w:t>at the beginning of the process</w:t>
            </w:r>
            <w:r>
              <w:t xml:space="preserve"> the European Parliament and the Council </w:t>
            </w:r>
            <w:r>
              <w:rPr>
                <w:b/>
                <w:i/>
              </w:rPr>
              <w:t>should</w:t>
            </w:r>
            <w:r>
              <w:t xml:space="preserve"> receive all documents at the same time as Member States' experts, and their experts systematically have access to meetings of Commission expert groups dealing with the preparation of delegated acts.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39</w:t>
            </w:r>
            <w:r>
              <w:t xml:space="preserve"> </w:t>
            </w:r>
            <w:r>
              <w:t>Interinstitutional Agreement between the European Parliament, the Council of the European Union and the European Commission on Better Law-Making (OJ L 123, 12.5.2016, p. 1–14, ELI: http://data.europa.eu/eli/agree_interinstit/2016/512/oj).</w:t>
            </w:r>
          </w:p>
        </w:tc>
        <w:tc>
          <w:tcPr>
            <w:tcW w:w="4876" w:type="dxa"/>
            <w:tcBorders>
              <w:top w:val="nil"/>
              <w:left w:val="nil"/>
              <w:bottom w:val="nil"/>
              <w:right w:val="nil"/>
            </w:tcBorders>
          </w:tcPr>
          <w:p>
            <w:pPr>
              <w:pStyle w:val="Normal6a"/>
            </w:pPr>
            <w:r>
              <w:rPr>
                <w:vertAlign w:val="superscript"/>
              </w:rPr>
              <w:t>39</w:t>
            </w:r>
            <w:r>
              <w:t xml:space="preserve"> </w:t>
            </w:r>
            <w:r>
              <w:t>Interinstitutional Agreement between the European Parliament, the Council of the European Union and the European Commission on Better Law-Making (OJ L 123, 12.5.2016, p. 1–14,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In the context of assistance provided to Enlargement and Neighbourhood East partners in the Europe pillar, cooperation should build on the lessons learned from the management and implementation of past assistance and performance-based facilities, including in relation to the relevant performance-based plans, conditionality linked to rule of law principles and human rights, performance, structures and control systems to be set up in preparation of accession. Where relevant, financial assistance in the form of a policy-based loan may be provided to partner countries implementing performance-based plans.</w:t>
            </w:r>
          </w:p>
        </w:tc>
        <w:tc>
          <w:tcPr>
            <w:tcW w:w="4876" w:type="dxa"/>
            <w:tcBorders>
              <w:top w:val="nil"/>
              <w:left w:val="nil"/>
              <w:bottom w:val="nil"/>
              <w:right w:val="nil"/>
            </w:tcBorders>
          </w:tcPr>
          <w:p>
            <w:pPr>
              <w:pStyle w:val="Normal6a"/>
            </w:pPr>
            <w:r>
              <w:t>(88)</w:t>
            </w:r>
            <w:r>
              <w:tab/>
            </w:r>
            <w:r>
              <w:t>In the context of assistance provided to Enlargement and Neighbourhood East partners in the Europe pillar, cooperation should build on the lessons learned from the management and implementation of past assistance and performance-based facilities, including in relation to the relevant performance-based plans, conditionality linked to rule of law principles</w:t>
            </w:r>
            <w:r>
              <w:rPr>
                <w:b/>
                <w:i/>
              </w:rPr>
              <w:t>, democracy, respect for fundamental freedoms</w:t>
            </w:r>
            <w:r>
              <w:t xml:space="preserve"> and human rights, performance, structures and control systems to be set up in preparation of accession. Where relevant, financial assistance in the form of a policy-based loan may be provided to partner countries implementing performance-based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3 – paragraph 2 – point b – point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competitiveness;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3 – paragraph 3 – point b – point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competitiveness; and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3 – paragraph 4 – subparagraph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Non-programmable actions shall be complementary to programmable actions, and shall be designed and implemented to enable, where relevant, continuity under programmable actions.</w:t>
            </w:r>
          </w:p>
        </w:tc>
        <w:tc>
          <w:tcPr>
            <w:tcW w:w="4876" w:type="dxa"/>
            <w:tcBorders>
              <w:top w:val="nil"/>
              <w:left w:val="nil"/>
              <w:bottom w:val="nil"/>
              <w:right w:val="nil"/>
            </w:tcBorders>
          </w:tcPr>
          <w:p>
            <w:pPr>
              <w:pStyle w:val="Normal6a"/>
            </w:pPr>
            <w:r>
              <w:t xml:space="preserve">Non-programmable actions </w:t>
            </w:r>
            <w:r>
              <w:rPr>
                <w:b/>
                <w:i/>
              </w:rPr>
              <w:t>with the exception of humanitarian aid</w:t>
            </w:r>
            <w:r>
              <w:t xml:space="preserve"> shall be complementary to programmable actions, and shall be designed and implemented to enable, where relevant, continuity under programmable actions.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 uphold and promote the Union’s values and interests worldwide, in order to pursue the objectives and principles of the Union’s external action, as laid down in Article 3(5) and Articles 8 and 21 TEU;</w:t>
            </w:r>
          </w:p>
        </w:tc>
        <w:tc>
          <w:tcPr>
            <w:tcW w:w="4876" w:type="dxa"/>
            <w:tcBorders>
              <w:top w:val="nil"/>
              <w:left w:val="nil"/>
              <w:bottom w:val="nil"/>
              <w:right w:val="nil"/>
            </w:tcBorders>
          </w:tcPr>
          <w:p>
            <w:pPr>
              <w:pStyle w:val="Normal6a"/>
            </w:pPr>
            <w:r>
              <w:t>(a)</w:t>
            </w:r>
            <w:r>
              <w:tab/>
            </w:r>
            <w:r>
              <w:t>to uphold and promote the Union’s values and interests worldwide, in order to pursue the objectives and principles of the Union’s external action, as laid down in Article 3(5) and Articles 8 and 21 TEU</w:t>
            </w:r>
            <w:r>
              <w:rPr>
                <w:b/>
                <w:i/>
              </w:rPr>
              <w:t>, and the European Consensus on Development of 8 June 2017 (the 'Consensus')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 contribute to the promotion of multilateralism and a rules-based international order, the achievement of the international commitments and objectives that the Union has agreed to, in particular the sustainable development goals, the 2030 Agenda, the Paris Agreement and the Kunming-Montreal Global Biodiversity Framework;</w:t>
            </w:r>
          </w:p>
        </w:tc>
        <w:tc>
          <w:tcPr>
            <w:tcW w:w="4876" w:type="dxa"/>
            <w:tcBorders>
              <w:top w:val="nil"/>
              <w:left w:val="nil"/>
              <w:bottom w:val="nil"/>
              <w:right w:val="nil"/>
            </w:tcBorders>
          </w:tcPr>
          <w:p>
            <w:pPr>
              <w:pStyle w:val="Normal6a"/>
            </w:pPr>
            <w:r>
              <w:t>(b)</w:t>
            </w:r>
            <w:r>
              <w:tab/>
            </w:r>
            <w:r>
              <w:t xml:space="preserve">to contribute to the promotion of multilateralism and a rules-based international order, </w:t>
            </w:r>
            <w:r>
              <w:rPr>
                <w:b/>
                <w:i/>
              </w:rPr>
              <w:t>the eradication of poverty, the reduction of inequalities and all forms of discrimination, the realisation of the principle of leaving no one behind, the protection of the environment and the fight against climate change, the promotion of democracy, the rule of law and full respect for human rights, sustainable development, and the addressing of the root causes of forced displacement, as well as to</w:t>
            </w:r>
            <w:r>
              <w:t xml:space="preserve"> the achievement of the international commitments and objectives that the Union has agreed to, in particular the sustainable development goals, the 2030 Agenda, the Paris Agreement and the Kunming-Montreal Global Biodiversity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to promote stronger mutually beneficial partnerships with partner countries, contributing </w:t>
            </w:r>
            <w:r>
              <w:rPr>
                <w:b/>
                <w:i/>
              </w:rPr>
              <w:t>simultaneously</w:t>
            </w:r>
            <w:r>
              <w:t xml:space="preserve"> to the sustainable development of partner countries </w:t>
            </w:r>
            <w:r>
              <w:rPr>
                <w:b/>
                <w:i/>
              </w:rPr>
              <w:t>and to the strategic interests of the Union</w:t>
            </w:r>
            <w:r>
              <w:t>.</w:t>
            </w:r>
          </w:p>
        </w:tc>
        <w:tc>
          <w:tcPr>
            <w:tcW w:w="4876" w:type="dxa"/>
            <w:tcBorders>
              <w:top w:val="nil"/>
              <w:left w:val="nil"/>
              <w:bottom w:val="nil"/>
              <w:right w:val="nil"/>
            </w:tcBorders>
          </w:tcPr>
          <w:p>
            <w:pPr>
              <w:pStyle w:val="Normal6a"/>
            </w:pPr>
            <w:r>
              <w:t>(c)</w:t>
            </w:r>
            <w:r>
              <w:tab/>
            </w:r>
            <w:r>
              <w:t xml:space="preserve">to promote stronger mutually beneficial partnerships with partner countries, </w:t>
            </w:r>
            <w:r>
              <w:rPr>
                <w:b/>
                <w:i/>
              </w:rPr>
              <w:t>based on a human-rights based approach and</w:t>
            </w:r>
            <w:r>
              <w:t xml:space="preserve"> contributing </w:t>
            </w:r>
            <w:r>
              <w:rPr>
                <w:b/>
                <w:i/>
              </w:rPr>
              <w:t>primarily</w:t>
            </w:r>
            <w:r>
              <w:t xml:space="preserve"> to the sustainable development of partner countries</w:t>
            </w:r>
            <w:r>
              <w:rPr>
                <w:b/>
                <w:i/>
              </w:rPr>
              <w:t>, in accordance with Article 208 TFEU and taking into account their differentiated needs and priorities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The Commission is empowered to adopt delegated acts in accordance with Article 30 to amend Annex II.</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5 – paragraph 1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Union shall </w:t>
            </w:r>
            <w:r>
              <w:rPr>
                <w:b/>
                <w:i/>
              </w:rPr>
              <w:t>strive to</w:t>
            </w:r>
            <w:r>
              <w:t xml:space="preserve"> ensure policy coherence for sustainable development. It shall take into account the impact of all internal and external policies on sustainable development and shall promote increased synergies and complementarities, in particular with trade and investment, economic cooperation and other sectoral cooperation.</w:t>
            </w:r>
          </w:p>
        </w:tc>
        <w:tc>
          <w:tcPr>
            <w:tcW w:w="4876" w:type="dxa"/>
            <w:tcBorders>
              <w:top w:val="nil"/>
              <w:left w:val="nil"/>
              <w:bottom w:val="nil"/>
              <w:right w:val="nil"/>
            </w:tcBorders>
          </w:tcPr>
          <w:p>
            <w:pPr>
              <w:pStyle w:val="Normal6a"/>
            </w:pPr>
            <w:r>
              <w:t>The Union shall ensure policy coherence for sustainable development. It shall take into account the impact of all internal and external policies on sustainable development and shall promote increased synergies and complementarities, in particular with trade and investment, economic cooperation</w:t>
            </w:r>
            <w:r>
              <w:rPr>
                <w:b/>
                <w:i/>
              </w:rPr>
              <w:t>, migration</w:t>
            </w:r>
            <w:r>
              <w:t xml:space="preserve"> and other sectoral cooperation. </w:t>
            </w:r>
            <w:r>
              <w:rPr>
                <w:b/>
                <w:i/>
              </w:rPr>
              <w:t>It shall ensure that actions funded under this Instrument remains primarily focused on sustainable development and poverty eradication and are not instrumentalised for migration control or border management objectives, in order to preserve the effectiveness, credibility and alignment of development aid with partner countries'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total indicative financial envelope for the implementation of the Instrument for the period from 1 January 2028 to 31 December 2034 shall be EUR 200 309 000 000 in current prices. It shall be composed of the following </w:t>
            </w:r>
            <w:r>
              <w:rPr>
                <w:b/>
                <w:i/>
              </w:rPr>
              <w:t>indicative</w:t>
            </w:r>
            <w:r>
              <w:t xml:space="preserve"> amounts:</w:t>
            </w:r>
          </w:p>
        </w:tc>
        <w:tc>
          <w:tcPr>
            <w:tcW w:w="4876" w:type="dxa"/>
            <w:tcBorders>
              <w:top w:val="nil"/>
              <w:left w:val="nil"/>
              <w:bottom w:val="nil"/>
              <w:right w:val="nil"/>
            </w:tcBorders>
          </w:tcPr>
          <w:p>
            <w:pPr>
              <w:pStyle w:val="Normal6a"/>
            </w:pPr>
            <w:r>
              <w:t>1.</w:t>
            </w:r>
            <w:r>
              <w:tab/>
            </w:r>
            <w:r>
              <w:t>The total indicative financial envelope for the implementation of the Instrument for the period from 1 January 2028 to 31 December 2034 shall be EUR 200 309 000 000 in current prices. It shall be composed of the following amounts: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At least </w:t>
            </w:r>
            <w:r>
              <w:rPr>
                <w:b/>
                <w:i/>
              </w:rPr>
              <w:t>90%</w:t>
            </w:r>
            <w:r>
              <w:t xml:space="preserve"> of the expenditure under this Instrument shall fulfil the criteria for ODA (the ‘ODA target’), thus contributing to ODA collective commitments, including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c>
          <w:tcPr>
            <w:tcW w:w="4876" w:type="dxa"/>
            <w:tcBorders>
              <w:top w:val="nil"/>
              <w:left w:val="nil"/>
              <w:bottom w:val="nil"/>
              <w:right w:val="nil"/>
            </w:tcBorders>
          </w:tcPr>
          <w:p>
            <w:pPr>
              <w:pStyle w:val="Normal6a"/>
            </w:pPr>
            <w:r>
              <w:t>5.</w:t>
            </w:r>
            <w:r>
              <w:tab/>
            </w:r>
            <w:r>
              <w:t xml:space="preserve">At least </w:t>
            </w:r>
            <w:r>
              <w:rPr>
                <w:b/>
                <w:i/>
              </w:rPr>
              <w:t>93%</w:t>
            </w:r>
            <w:r>
              <w:t xml:space="preserve"> of the expenditure under this Instrument shall fulfil the criteria for ODA (the ‘ODA target’), thus contributing to ODA collective commitments, including </w:t>
            </w:r>
            <w:r>
              <w:rPr>
                <w:b/>
                <w:i/>
              </w:rPr>
              <w:t>the collective target of reaching 0,2% of gross national income as ODA</w:t>
            </w:r>
            <w:r>
              <w:t xml:space="preserve">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 least 50% of the expenditure under this Instrument shall contribute to human development and social protection, including access to quality basic social services such as health, education, and sexual and reproductive health and rights. The Commission shall ensure that this target is reflected in the programming, implementation, monitoring and reporting of actions under this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The Commission is empowered to adopt delegated acts to amend the percentage set out in paragraph 5</w:t>
            </w:r>
            <w:r>
              <w:t>.</w:t>
            </w:r>
          </w:p>
        </w:tc>
        <w:tc>
          <w:tcPr>
            <w:tcW w:w="4876" w:type="dxa"/>
            <w:tcBorders>
              <w:top w:val="nil"/>
              <w:left w:val="nil"/>
              <w:bottom w:val="nil"/>
              <w:right w:val="nil"/>
            </w:tcBorders>
          </w:tcPr>
          <w:p>
            <w:pPr>
              <w:pStyle w:val="Normal6a"/>
            </w:pPr>
            <w:r>
              <w:t>6.</w:t>
            </w:r>
            <w:r>
              <w:tab/>
            </w:r>
            <w:r>
              <w:rPr>
                <w:b/>
                <w:i/>
              </w:rPr>
              <w:t>At least EUR 25 billion shall be dedicated to humanitarian aid actions. Such support shall be provided across the different pillars of the Instrument, in accordance with their respective objectives and modalities, and without prejudice to the emerging challenges and priorities cushion, which should remain available for exceptional and unforeseen circumstances and crises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7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 ensure an appropriate response of the Union in the event of unforeseen circumstances;</w:t>
            </w:r>
          </w:p>
        </w:tc>
        <w:tc>
          <w:tcPr>
            <w:tcW w:w="4876" w:type="dxa"/>
            <w:tcBorders>
              <w:top w:val="nil"/>
              <w:left w:val="nil"/>
              <w:bottom w:val="nil"/>
              <w:right w:val="nil"/>
            </w:tcBorders>
          </w:tcPr>
          <w:p>
            <w:pPr>
              <w:pStyle w:val="Normal6a"/>
            </w:pPr>
            <w:r>
              <w:t>(a)</w:t>
            </w:r>
            <w:r>
              <w:tab/>
            </w:r>
            <w:r>
              <w:t>to ensure an appropriate response of the Union in the event of unforeseen circumstances</w:t>
            </w:r>
            <w:r>
              <w:rPr>
                <w:b/>
                <w:i/>
              </w:rPr>
              <w:t>, including support to humanitarian actions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7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to address new needs or emerging challenges, such as those at the Union’s or its neighbours’ borders linked to crisis, whether natural or man-made, violent conflict and post-crisis situations, or </w:t>
            </w:r>
            <w:r>
              <w:rPr>
                <w:b/>
                <w:i/>
              </w:rPr>
              <w:t>migratory pressure and</w:t>
            </w:r>
            <w:r>
              <w:t xml:space="preserve"> forced displacement;</w:t>
            </w:r>
          </w:p>
        </w:tc>
        <w:tc>
          <w:tcPr>
            <w:tcW w:w="4876" w:type="dxa"/>
            <w:tcBorders>
              <w:top w:val="nil"/>
              <w:left w:val="nil"/>
              <w:bottom w:val="nil"/>
              <w:right w:val="nil"/>
            </w:tcBorders>
          </w:tcPr>
          <w:p>
            <w:pPr>
              <w:pStyle w:val="Normal6a"/>
            </w:pPr>
            <w:r>
              <w:t>(b)</w:t>
            </w:r>
            <w:r>
              <w:tab/>
            </w:r>
            <w:r>
              <w:t>to address new needs or emerging challenges, such as those at the Union’s or its neighbours’ borders linked to crisis, whether natural or man-made, violent conflict and post-crisis situations, or forced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Union’s policies, as set out in association agreements, partnership and cooperation agreements, multilateral agreements to which the Union is a party, and other agreements that establish a legally binding relationship between the Union and partner countries </w:t>
            </w:r>
            <w:r>
              <w:rPr>
                <w:b/>
                <w:i/>
              </w:rPr>
              <w:t>as well as</w:t>
            </w:r>
            <w:r>
              <w:t xml:space="preserve"> European </w:t>
            </w:r>
            <w:r>
              <w:rPr>
                <w:b/>
                <w:i/>
              </w:rPr>
              <w:t>Council conclusions, Council conclusions, summit declarations or conclusions of meetings with partner countries at the level of heads of state or government or ministers,</w:t>
            </w:r>
            <w:r>
              <w:t xml:space="preserve"> European </w:t>
            </w:r>
            <w:r>
              <w:rPr>
                <w:b/>
                <w:i/>
              </w:rPr>
              <w:t>Parliament resolutions, communications of the Commission and joint communications with the High Representative</w:t>
            </w:r>
            <w:r>
              <w:t xml:space="preserve"> shall constitute the overall policy framework for the implementation of the Instrument.</w:t>
            </w:r>
          </w:p>
        </w:tc>
        <w:tc>
          <w:tcPr>
            <w:tcW w:w="4876" w:type="dxa"/>
            <w:tcBorders>
              <w:top w:val="nil"/>
              <w:left w:val="nil"/>
              <w:bottom w:val="nil"/>
              <w:right w:val="nil"/>
            </w:tcBorders>
          </w:tcPr>
          <w:p>
            <w:pPr>
              <w:pStyle w:val="Normal6a"/>
            </w:pPr>
            <w:r>
              <w:t>1.</w:t>
            </w:r>
            <w:r>
              <w:tab/>
            </w:r>
            <w:r>
              <w:t>The Union’s policies, as set out in association agreements, partnership and cooperation agreements, multilateral agreements to which the Union is a party, and other agreements that establish a legally binding relationship between the Union and partner countries</w:t>
            </w:r>
            <w:r>
              <w:rPr>
                <w:b/>
                <w:i/>
              </w:rPr>
              <w:t>, the</w:t>
            </w:r>
            <w:r>
              <w:t xml:space="preserve"> European </w:t>
            </w:r>
            <w:r>
              <w:rPr>
                <w:b/>
                <w:i/>
              </w:rPr>
              <w:t>Consensus on Development, the 2030 Agenda for Sustainable Development Goals, the Charter of Fundamental Rights of the European Union, and the</w:t>
            </w:r>
            <w:r>
              <w:t xml:space="preserve"> European </w:t>
            </w:r>
            <w:r>
              <w:rPr>
                <w:b/>
                <w:i/>
              </w:rPr>
              <w:t>Convention for Human Rights,</w:t>
            </w:r>
            <w:r>
              <w:t xml:space="preserve"> shall constitute the overall policy framework for the implementation of the Instrument</w:t>
            </w:r>
            <w:r>
              <w:rPr>
                <w:b/>
                <w:i/>
              </w:rPr>
              <w:t>, guided by relevant international law, conventions and treaties to which the Union is a party, including those relating to human rights and fundamental freedoms, the rights of the child, the rights of persons with disabilities, non-discrimination, and the protection of migrants and refugees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8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Commission shall regularly inform the European Parliament and the Council and, at the initiative of any of those three institutions, have exchanges of views with them. The European Parliament may hold regular exchanges of views regarding its own assistance programmes with the Commission.</w:t>
            </w:r>
          </w:p>
        </w:tc>
        <w:tc>
          <w:tcPr>
            <w:tcW w:w="4876" w:type="dxa"/>
            <w:tcBorders>
              <w:top w:val="nil"/>
              <w:left w:val="nil"/>
              <w:bottom w:val="nil"/>
              <w:right w:val="nil"/>
            </w:tcBorders>
          </w:tcPr>
          <w:p>
            <w:pPr>
              <w:pStyle w:val="Normal6a"/>
            </w:pPr>
            <w:r>
              <w:t>2.</w:t>
            </w:r>
            <w:r>
              <w:tab/>
            </w:r>
            <w:r>
              <w:t xml:space="preserve">The Commission shall regularly inform the European Parliament and the Council and, at the initiative of any of those three institutions, have exchanges of views with them. The European Parliament </w:t>
            </w:r>
            <w:r>
              <w:rPr>
                <w:b/>
                <w:i/>
              </w:rPr>
              <w:t>shall be fully involved in the monitoring, assessment and oversight of actions financed under the Instrument and</w:t>
            </w:r>
            <w:r>
              <w:t xml:space="preserve"> may hold regular exchanges of views regarding its own assistance programmes with the Commission. </w:t>
            </w:r>
            <w:r>
              <w:rPr>
                <w:b/>
                <w:i/>
              </w:rPr>
              <w:t>For this purpose, the Commission shall provide the European Parliament with timely, comprehensive and accessible information on the implementation of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Union shall concentrate its means where they can make the most transformational impact with a view to supporting sustainable development </w:t>
            </w:r>
            <w:r>
              <w:rPr>
                <w:b/>
                <w:i/>
              </w:rPr>
              <w:t>and catering for the strategic interests of the Union</w:t>
            </w:r>
            <w:r>
              <w:t>.</w:t>
            </w:r>
          </w:p>
        </w:tc>
        <w:tc>
          <w:tcPr>
            <w:tcW w:w="4876" w:type="dxa"/>
            <w:tcBorders>
              <w:top w:val="nil"/>
              <w:left w:val="nil"/>
              <w:bottom w:val="nil"/>
              <w:right w:val="nil"/>
            </w:tcBorders>
          </w:tcPr>
          <w:p>
            <w:pPr>
              <w:pStyle w:val="Normal6a"/>
            </w:pPr>
            <w:r>
              <w:t>1.</w:t>
            </w:r>
            <w:r>
              <w:tab/>
            </w:r>
            <w:r>
              <w:t>The Union shall concentrate its means where they can make the most transformational impact with a view to supporting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 situations of crisis, post-crisis or </w:t>
            </w:r>
            <w:r>
              <w:rPr>
                <w:b/>
                <w:i/>
              </w:rPr>
              <w:t>in extreme</w:t>
            </w:r>
            <w:r>
              <w:t xml:space="preserve"> fragility, due account shall be taken of the special needs of the population of the partner countries or regions concerned. Where partner countries or regions are directly involved in, or affected by a situation of crisis, post-crisis or </w:t>
            </w:r>
            <w:r>
              <w:rPr>
                <w:b/>
                <w:i/>
              </w:rPr>
              <w:t>extreme</w:t>
            </w:r>
            <w:r>
              <w:t xml:space="preserve"> fragility, special emphasis shall be placed on stepping up support and coordination amongst all relevant actors to help with the transition from an emergency situation to sustainable development and stable peace, ensuring consistency between international cooperation </w:t>
            </w:r>
            <w:r>
              <w:rPr>
                <w:b/>
                <w:i/>
              </w:rPr>
              <w:t>and</w:t>
            </w:r>
            <w:r>
              <w:t xml:space="preserve"> humanitarian aid in accordance with the humanitarian-development-peace nexus.</w:t>
            </w:r>
          </w:p>
        </w:tc>
        <w:tc>
          <w:tcPr>
            <w:tcW w:w="4876" w:type="dxa"/>
            <w:tcBorders>
              <w:top w:val="nil"/>
              <w:left w:val="nil"/>
              <w:bottom w:val="nil"/>
              <w:right w:val="nil"/>
            </w:tcBorders>
          </w:tcPr>
          <w:p>
            <w:pPr>
              <w:pStyle w:val="Normal6a"/>
            </w:pPr>
            <w:r>
              <w:t xml:space="preserve">In situations of crisis, post-crisis or </w:t>
            </w:r>
            <w:r>
              <w:rPr>
                <w:b/>
                <w:i/>
              </w:rPr>
              <w:t>high levels of</w:t>
            </w:r>
            <w:r>
              <w:t xml:space="preserve"> fragility, due account shall be taken of the special needs of the population of the partner countries or regions concerned. Where partner countries or regions are directly involved in, or affected by a situation of crisis, post-crisis or </w:t>
            </w:r>
            <w:r>
              <w:rPr>
                <w:b/>
                <w:i/>
              </w:rPr>
              <w:t>high levels of</w:t>
            </w:r>
            <w:r>
              <w:t xml:space="preserve"> fragility, special emphasis shall be placed on stepping up support and coordination amongst all relevant actors to help with the transition from an emergency situation to sustainable development and stable peace, ensuring consistency between international </w:t>
            </w:r>
            <w:r>
              <w:rPr>
                <w:b/>
                <w:i/>
              </w:rPr>
              <w:t>development</w:t>
            </w:r>
            <w:r>
              <w:t xml:space="preserve"> cooperation</w:t>
            </w:r>
            <w:r>
              <w:rPr>
                <w:b/>
                <w:i/>
              </w:rPr>
              <w:t>,</w:t>
            </w:r>
            <w:r>
              <w:t xml:space="preserve"> humanitarian aid </w:t>
            </w:r>
            <w:r>
              <w:rPr>
                <w:b/>
                <w:i/>
              </w:rPr>
              <w:t>and peacebuilding</w:t>
            </w:r>
            <w:r>
              <w:t xml:space="preserve"> in accordance with the humanitarian-development-peace nexus.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Union shall seek to promote, develop and consolidate the principles of democracy, good governance, the rule of law and respect for human rights and fundamental freedoms on which it is founded, notably through dialogue and cooperation with partner countries and regions and with civil society, including through action in multilateral fora.</w:t>
            </w:r>
          </w:p>
        </w:tc>
        <w:tc>
          <w:tcPr>
            <w:tcW w:w="4876" w:type="dxa"/>
            <w:tcBorders>
              <w:top w:val="nil"/>
              <w:left w:val="nil"/>
              <w:bottom w:val="nil"/>
              <w:right w:val="nil"/>
            </w:tcBorders>
          </w:tcPr>
          <w:p>
            <w:pPr>
              <w:pStyle w:val="Normal6a"/>
            </w:pPr>
            <w:r>
              <w:t>3.</w:t>
            </w:r>
            <w:r>
              <w:tab/>
            </w:r>
            <w:r>
              <w:t xml:space="preserve">The Union shall seek to promote, develop and consolidate the principles of democracy, good governance, the rule of law and respect for human rights and fundamental freedoms on which it is founded, notably through </w:t>
            </w:r>
            <w:r>
              <w:rPr>
                <w:b/>
                <w:i/>
              </w:rPr>
              <w:t>inclusive</w:t>
            </w:r>
            <w:r>
              <w:t xml:space="preserve"> dialogue and cooperation with partner countries and regions and with civil society, </w:t>
            </w:r>
            <w:r>
              <w:rPr>
                <w:b/>
                <w:i/>
              </w:rPr>
              <w:t>and international organisations</w:t>
            </w:r>
            <w:r>
              <w:t xml:space="preserve"> including through action in multilateral fora.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Actions under this Instrument shall apply a human rights-based approach encompassing all human rights That approach shall be guided by the principles of ‘leaving no one behind’</w:t>
            </w:r>
            <w:r>
              <w:rPr>
                <w:b/>
                <w:i/>
              </w:rPr>
              <w:t>,</w:t>
            </w:r>
            <w:r>
              <w:t xml:space="preserve"> equality, </w:t>
            </w:r>
            <w:r>
              <w:rPr>
                <w:b/>
                <w:i/>
              </w:rPr>
              <w:t>non-discrimination</w:t>
            </w:r>
            <w:r>
              <w:t xml:space="preserve"> on any grounds, including towards persons with disabilities.</w:t>
            </w:r>
          </w:p>
        </w:tc>
        <w:tc>
          <w:tcPr>
            <w:tcW w:w="4876" w:type="dxa"/>
            <w:tcBorders>
              <w:top w:val="nil"/>
              <w:left w:val="nil"/>
              <w:bottom w:val="nil"/>
              <w:right w:val="nil"/>
            </w:tcBorders>
          </w:tcPr>
          <w:p>
            <w:pPr>
              <w:pStyle w:val="Normal6a"/>
            </w:pPr>
            <w:r>
              <w:t>4.</w:t>
            </w:r>
            <w:r>
              <w:tab/>
            </w:r>
            <w:r>
              <w:t>Actions under this Instrument shall apply a human rights-based approach encompassing all human rights</w:t>
            </w:r>
            <w:r>
              <w:rPr>
                <w:b/>
                <w:i/>
              </w:rPr>
              <w:t>, including civil, political, economic, social and cultural rights.</w:t>
            </w:r>
            <w:r>
              <w:t xml:space="preserve"> That approach shall be </w:t>
            </w:r>
            <w:r>
              <w:rPr>
                <w:b/>
                <w:i/>
              </w:rPr>
              <w:t>fully</w:t>
            </w:r>
            <w:r>
              <w:t xml:space="preserve"> guided by </w:t>
            </w:r>
            <w:r>
              <w:rPr>
                <w:b/>
                <w:i/>
              </w:rPr>
              <w:t>the horizontal principles of Article 6(3) and Article 33(2) (e) and (f) of Regulation 2024/2059 and by the Charter of Fundamental Rights of the European Union, ensuring that all actions respect Union values and fundamental rights, uphold</w:t>
            </w:r>
            <w:r>
              <w:t xml:space="preserve"> the principles of ‘leaving no one behind’ </w:t>
            </w:r>
            <w:r>
              <w:rPr>
                <w:b/>
                <w:i/>
              </w:rPr>
              <w:t>and</w:t>
            </w:r>
            <w:r>
              <w:t xml:space="preserve"> equality, </w:t>
            </w:r>
            <w:r>
              <w:rPr>
                <w:b/>
                <w:i/>
              </w:rPr>
              <w:t>and prohibit discrimination</w:t>
            </w:r>
            <w:r>
              <w:t xml:space="preserve"> on any grounds, including </w:t>
            </w:r>
            <w:r>
              <w:rPr>
                <w:b/>
                <w:i/>
              </w:rPr>
              <w:t>sex, racial or ethnic origin, disability, age, religion or belief, sexual orientation or gender identity. Actions shall also contribute to preventing and addressing racism, xenophobia and other forms of structural discrimination, taking an intersectionality approach and with particular attention</w:t>
            </w:r>
            <w:r>
              <w:t xml:space="preserve"> towards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Instrument shall promote gender equality and girls’ and women’s empowerment and prevent and fight violence </w:t>
            </w:r>
            <w:r>
              <w:rPr>
                <w:b/>
                <w:i/>
              </w:rPr>
              <w:t>against women and</w:t>
            </w:r>
            <w:r>
              <w:t xml:space="preserve"> domestic violence. It shall also give particular attention to the rights of the child and to the protection and empowerment of youth.</w:t>
            </w:r>
          </w:p>
        </w:tc>
        <w:tc>
          <w:tcPr>
            <w:tcW w:w="4876" w:type="dxa"/>
            <w:tcBorders>
              <w:top w:val="nil"/>
              <w:left w:val="nil"/>
              <w:bottom w:val="nil"/>
              <w:right w:val="nil"/>
            </w:tcBorders>
          </w:tcPr>
          <w:p>
            <w:pPr>
              <w:pStyle w:val="Normal6a"/>
            </w:pPr>
            <w:r>
              <w:t>5.</w:t>
            </w:r>
            <w:r>
              <w:tab/>
            </w:r>
            <w:r>
              <w:t>The Instrument shall promote gender equality</w:t>
            </w:r>
            <w:r>
              <w:rPr>
                <w:b/>
                <w:i/>
              </w:rPr>
              <w:t>, non-discrimination</w:t>
            </w:r>
            <w:r>
              <w:t xml:space="preserve"> and girls’ and women’s empowerment</w:t>
            </w:r>
            <w:r>
              <w:rPr>
                <w:b/>
                <w:i/>
              </w:rPr>
              <w:t>, their meaningful participation in social, economic and political life,</w:t>
            </w:r>
            <w:r>
              <w:t xml:space="preserve"> and prevent and fight </w:t>
            </w:r>
            <w:r>
              <w:rPr>
                <w:b/>
                <w:i/>
              </w:rPr>
              <w:t>all forms of sexual and gender-based</w:t>
            </w:r>
            <w:r>
              <w:t xml:space="preserve"> violence </w:t>
            </w:r>
            <w:r>
              <w:rPr>
                <w:b/>
                <w:i/>
              </w:rPr>
              <w:t>including</w:t>
            </w:r>
            <w:r>
              <w:t xml:space="preserve"> domestic violence</w:t>
            </w:r>
            <w:r>
              <w:rPr>
                <w:b/>
                <w:i/>
              </w:rPr>
              <w:t>, as well as the eradication of female genital mutilation and human trafficking for purposes of sexual exploitation</w:t>
            </w:r>
            <w:r>
              <w:t>. It shall also give particular attention to the rights of the child and to the protection and empowerment of youth.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The Instrument shall be implemented in full accordance with the Union commitment to the promotion, protection and fulfilment of all human rights and to the full and effective implementation of the Beijing Declaration and the Platform for Action</w:t>
            </w:r>
            <w:r>
              <w:rPr>
                <w:vertAlign w:val="superscript"/>
              </w:rPr>
              <w:t>49</w:t>
            </w:r>
            <w:r>
              <w:t xml:space="preserve"> of the International Conference on Population and Development and the outcomes of their review conferences and remains committed to sexual and reproductive health and rights, in this context. The Instrument shall also support the Union commitment to the promotion, protection and fulfilment of the right of every individual to have full control over and decide freely and responsibly on matters related to their sexuality and sexual and reproductive health, free from discrimination, coercion and violence. It shall also support the need for universal access to quality and affordable comprehensive sexual and reproductive health information, education, including comprehensive sexuality education, and health-care services.</w:t>
            </w:r>
          </w:p>
        </w:tc>
        <w:tc>
          <w:tcPr>
            <w:tcW w:w="4876" w:type="dxa"/>
            <w:tcBorders>
              <w:top w:val="nil"/>
              <w:left w:val="nil"/>
              <w:bottom w:val="nil"/>
              <w:right w:val="nil"/>
            </w:tcBorders>
          </w:tcPr>
          <w:p>
            <w:pPr>
              <w:pStyle w:val="Normal6a"/>
            </w:pPr>
            <w:r>
              <w:t>6.</w:t>
            </w:r>
            <w:r>
              <w:tab/>
            </w:r>
            <w:r>
              <w:t>The Instrument shall be implemented in full accordance with the Union commitment to the promotion, protection and fulfilment of all human rights and to the full and effective implementation of the Beijing Declaration and the Platform for Action</w:t>
            </w:r>
            <w:r>
              <w:rPr>
                <w:vertAlign w:val="superscript"/>
              </w:rPr>
              <w:t>49</w:t>
            </w:r>
            <w:r>
              <w:t xml:space="preserve"> of the International Conference on Population and Development and the outcomes of their review conferences and remains committed to sexual and reproductive health and rights, in this context. The Instrument shall also support the Union commitment to the promotion, protection and fulfilment of the right of every individual to have full control over and decide freely and responsibly on matters related to their sexuality and sexual and reproductive health, </w:t>
            </w:r>
            <w:r>
              <w:rPr>
                <w:b/>
                <w:i/>
              </w:rPr>
              <w:t>including access to safe and legal abortion,</w:t>
            </w:r>
            <w:r>
              <w:t xml:space="preserve"> free from discrimination, coercion and violence</w:t>
            </w:r>
            <w:r>
              <w:rPr>
                <w:b/>
                <w:i/>
              </w:rPr>
              <w:t>, applying an intersectionality approach</w:t>
            </w:r>
            <w:r>
              <w:t>. It shall also support the need for universal access to quality and affordable comprehensive sexual and reproductive health information, education, including comprehensive sexuality education, and health-care services.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49</w:t>
            </w:r>
            <w:r>
              <w:t xml:space="preserve"> </w:t>
            </w:r>
            <w:r>
              <w:t>Beijing Declaration and Platform for Action https://www.unwomen.org/sites/default/files/Headquarters/Attachments/Sections/CSW/PFA_E_Final_WEB.pdf.</w:t>
            </w:r>
          </w:p>
        </w:tc>
        <w:tc>
          <w:tcPr>
            <w:tcW w:w="4876" w:type="dxa"/>
            <w:tcBorders>
              <w:top w:val="nil"/>
              <w:left w:val="nil"/>
              <w:bottom w:val="nil"/>
              <w:right w:val="nil"/>
            </w:tcBorders>
          </w:tcPr>
          <w:p>
            <w:pPr>
              <w:pStyle w:val="Normal6a"/>
            </w:pPr>
            <w:r>
              <w:rPr>
                <w:vertAlign w:val="superscript"/>
              </w:rPr>
              <w:t>49</w:t>
            </w:r>
            <w:r>
              <w:t xml:space="preserve"> </w:t>
            </w:r>
            <w:r>
              <w:t>Beijing Declaration and Platform for Action https://www.unwomen.org/sites/default/files/Headquarters/Attachments/Sections/CSW/PFA_E_Final_WEB.pdf.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The Commission shall also ensure that an enhanced dialogue is pursued with the private sector.</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w:t>
            </w:r>
          </w:p>
        </w:tc>
        <w:tc>
          <w:tcPr>
            <w:tcW w:w="4876" w:type="dxa"/>
            <w:tcBorders>
              <w:top w:val="nil"/>
              <w:left w:val="nil"/>
              <w:bottom w:val="nil"/>
              <w:right w:val="nil"/>
            </w:tcBorders>
          </w:tcPr>
          <w:p>
            <w:pPr>
              <w:pStyle w:val="Normal6a"/>
            </w:pPr>
            <w:r>
              <w:t xml:space="preserve">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 </w:t>
            </w:r>
            <w:r>
              <w:rPr>
                <w:b/>
                <w:i/>
              </w:rPr>
              <w:t>To ensure a mainstreamed and targeted approach under this Instrument, specific and ambitious spending targets shall be set for each priority, including: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at least 85% of all EU ODA are to be dedicated to programmes that have gender equality as one of their objectives, with 20% of ODA dedicated to gender-targeted projects and at least 5% of ODA supporting women's rights organisations;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at least 35% of the Instrument budget are to contribute to climate action and at least 15% to environmental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w:t>
            </w:r>
            <w:r>
              <w:rPr>
                <w:b/>
                <w:i/>
              </w:rPr>
              <w:t>Commission</w:t>
            </w:r>
            <w:r>
              <w:t xml:space="preserve"> and the Member States shall aim to closely coordinate their actions to avoid duplication and to improve coherence and complementarity between assistance carried out under this Instrument and any other assistance provided by the Member States, their implementing agencies, development finance institutions and export credit agencies as well as by the EIB and the EBRD.</w:t>
            </w:r>
          </w:p>
        </w:tc>
        <w:tc>
          <w:tcPr>
            <w:tcW w:w="4876" w:type="dxa"/>
            <w:tcBorders>
              <w:top w:val="nil"/>
              <w:left w:val="nil"/>
              <w:bottom w:val="nil"/>
              <w:right w:val="nil"/>
            </w:tcBorders>
          </w:tcPr>
          <w:p>
            <w:pPr>
              <w:pStyle w:val="Normal6a"/>
            </w:pPr>
            <w:r>
              <w:t>1.</w:t>
            </w:r>
            <w:r>
              <w:tab/>
            </w:r>
            <w:r>
              <w:t xml:space="preserve">The </w:t>
            </w:r>
            <w:r>
              <w:rPr>
                <w:b/>
                <w:i/>
              </w:rPr>
              <w:t>Union</w:t>
            </w:r>
            <w:r>
              <w:t xml:space="preserve"> and the Member States shall aim to closely coordinate their actions to avoid duplication and to improve coherence and complementarity between assistance carried out under this Instrument and any other assistance provided by the Member States, their implementing agencies, development finance institutions and export credit agencies as well as by the EIB and the EBRD. </w:t>
            </w:r>
            <w:r>
              <w:rPr>
                <w:b/>
                <w:i/>
              </w:rPr>
              <w:t>In order to uphold democratic scrutiny and transparency, the European Parliament shall have full access to, and the ability to monitor, evaluate and follow up on all Team Europe Initiatives and joint programming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11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Commission and the Member States shall aim to ensure timely consultations and frequent exchanges of information with each other during the different phases of the implementation cycle, which shall endeavour to jointly identify, discuss and implement actions, including in terms of information, communication and visibility.</w:t>
            </w:r>
          </w:p>
        </w:tc>
        <w:tc>
          <w:tcPr>
            <w:tcW w:w="4876" w:type="dxa"/>
            <w:tcBorders>
              <w:top w:val="nil"/>
              <w:left w:val="nil"/>
              <w:bottom w:val="nil"/>
              <w:right w:val="nil"/>
            </w:tcBorders>
          </w:tcPr>
          <w:p>
            <w:pPr>
              <w:pStyle w:val="Normal6a"/>
            </w:pPr>
            <w:r>
              <w:t>2.</w:t>
            </w:r>
            <w:r>
              <w:tab/>
            </w:r>
            <w:r>
              <w:t xml:space="preserve">The Commission and the Member States shall aim to ensure timely consultations and frequent exchanges of information with each other </w:t>
            </w:r>
            <w:r>
              <w:rPr>
                <w:b/>
                <w:i/>
              </w:rPr>
              <w:t>and involving the European Parliament</w:t>
            </w:r>
            <w:r>
              <w:t xml:space="preserve"> during the different phases of the implementation cycle, which shall endeavour to jointly identify, discuss and implement actions, including in terms of information, communication and visibility.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11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w:t>
            </w:r>
            <w:r>
              <w:rPr>
                <w:b/>
                <w:i/>
              </w:rPr>
              <w:t>Commission</w:t>
            </w:r>
            <w:r>
              <w:t xml:space="preserve"> and the Member States, acting in a Team Europe approach, shall aim to cooperate with like-minded partners and stakeholders, including the pooling of resources, to jointly contribute to the achievement of common goals.</w:t>
            </w:r>
          </w:p>
        </w:tc>
        <w:tc>
          <w:tcPr>
            <w:tcW w:w="4876" w:type="dxa"/>
            <w:tcBorders>
              <w:top w:val="nil"/>
              <w:left w:val="nil"/>
              <w:bottom w:val="nil"/>
              <w:right w:val="nil"/>
            </w:tcBorders>
          </w:tcPr>
          <w:p>
            <w:pPr>
              <w:pStyle w:val="Normal6a"/>
            </w:pPr>
            <w:r>
              <w:t>3.</w:t>
            </w:r>
            <w:r>
              <w:tab/>
            </w:r>
            <w:r>
              <w:t xml:space="preserve">The </w:t>
            </w:r>
            <w:r>
              <w:rPr>
                <w:b/>
                <w:i/>
              </w:rPr>
              <w:t>Union</w:t>
            </w:r>
            <w:r>
              <w:t xml:space="preserve"> and the Member States, acting in a Team Europe approach, shall aim to cooperate with like-minded partners and stakeholders, including </w:t>
            </w:r>
            <w:r>
              <w:rPr>
                <w:b/>
                <w:i/>
              </w:rPr>
              <w:t>civil society and local authorities,</w:t>
            </w:r>
            <w:r>
              <w:t>the pooling of resources, to jointly contribute to the achievement of common goals</w:t>
            </w:r>
            <w:r>
              <w:rPr>
                <w:b/>
                <w:i/>
              </w:rPr>
              <w:t>, while ensuring that such cooperation and funding is fully transparent and subject to parliamentary oversight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Union </w:t>
            </w:r>
            <w:r>
              <w:rPr>
                <w:b/>
                <w:i/>
              </w:rPr>
              <w:t>shall</w:t>
            </w:r>
            <w:r>
              <w:t xml:space="preserve"> engage with partner countries on the basis of a comprehensive approach towards migration, </w:t>
            </w:r>
            <w:r>
              <w:rPr>
                <w:b/>
                <w:i/>
              </w:rPr>
              <w:t>in particular to prevent irregular migration</w:t>
            </w:r>
            <w:r>
              <w:t xml:space="preserve">, and forced displacement, including </w:t>
            </w:r>
            <w:r>
              <w:rPr>
                <w:b/>
                <w:i/>
              </w:rPr>
              <w:t>their</w:t>
            </w:r>
            <w:r>
              <w:t xml:space="preserve"> root causes.</w:t>
            </w:r>
          </w:p>
        </w:tc>
        <w:tc>
          <w:tcPr>
            <w:tcW w:w="4876" w:type="dxa"/>
            <w:tcBorders>
              <w:top w:val="nil"/>
              <w:left w:val="nil"/>
              <w:bottom w:val="nil"/>
              <w:right w:val="nil"/>
            </w:tcBorders>
          </w:tcPr>
          <w:p>
            <w:pPr>
              <w:pStyle w:val="Normal6a"/>
            </w:pPr>
            <w:r>
              <w:t>1.</w:t>
            </w:r>
            <w:r>
              <w:tab/>
            </w:r>
            <w:r>
              <w:t xml:space="preserve">The Union </w:t>
            </w:r>
            <w:r>
              <w:rPr>
                <w:b/>
                <w:i/>
              </w:rPr>
              <w:t>may</w:t>
            </w:r>
            <w:r>
              <w:t xml:space="preserve"> engage with partner countries on the basis of a comprehensive </w:t>
            </w:r>
            <w:r>
              <w:rPr>
                <w:b/>
                <w:i/>
              </w:rPr>
              <w:t>and mutually-beneficial</w:t>
            </w:r>
            <w:r>
              <w:t xml:space="preserve"> approach towards migration, </w:t>
            </w:r>
            <w:r>
              <w:rPr>
                <w:b/>
                <w:i/>
              </w:rPr>
              <w:t>mobility</w:t>
            </w:r>
            <w:r>
              <w:t xml:space="preserve">, and forced displacement, including </w:t>
            </w:r>
            <w:r>
              <w:rPr>
                <w:b/>
                <w:i/>
              </w:rPr>
              <w:t>by addressing its</w:t>
            </w:r>
            <w:r>
              <w:t xml:space="preserve"> root causes</w:t>
            </w:r>
            <w:r>
              <w:rPr>
                <w:b/>
                <w:i/>
              </w:rPr>
              <w:t>, providing safe, legal and regular pathways for protection and mobility, and ensuring support to forcibly displaced populations and their host communities, with a view to promoting inclusion, reducing vulnerabilities and preventing exploitation of migrants, refugees, stateless persons and asylum-seekers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12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This approach shall maximise synergies and build comprehensive partnerships, paying specific attention to countries of origin, transit and departure in a seamless whole-of-route </w:t>
            </w:r>
            <w:r>
              <w:rPr>
                <w:b/>
                <w:i/>
              </w:rPr>
              <w:t>approach. It shall combine all appropriate tools and the necessary leverage through a flexible</w:t>
            </w:r>
            <w:r>
              <w:t xml:space="preserve"> approach </w:t>
            </w:r>
            <w:r>
              <w:rPr>
                <w:b/>
                <w:i/>
              </w:rPr>
              <w:t>with, as appropriate within this context, possible changes in allocation of funding related to migration in accordance with the objectives and programming principles of the Instrument as set out in Articles 4 and 14</w:t>
            </w:r>
            <w:r>
              <w:t>. It shall take into account effective cooperation and implementation of Union agreements and arrangements and of dialogues on migration. Those actions shall be implemented in full respect of international law, including international human rights and refugee law, Union and national competences.</w:t>
            </w:r>
          </w:p>
        </w:tc>
        <w:tc>
          <w:tcPr>
            <w:tcW w:w="4876" w:type="dxa"/>
            <w:tcBorders>
              <w:top w:val="nil"/>
              <w:left w:val="nil"/>
              <w:bottom w:val="nil"/>
              <w:right w:val="nil"/>
            </w:tcBorders>
          </w:tcPr>
          <w:p>
            <w:pPr>
              <w:pStyle w:val="Normal6a"/>
            </w:pPr>
            <w:r>
              <w:t>2.</w:t>
            </w:r>
            <w:r>
              <w:tab/>
            </w:r>
            <w:r>
              <w:t xml:space="preserve">This approach shall maximise synergies and build </w:t>
            </w:r>
            <w:r>
              <w:rPr>
                <w:b/>
                <w:i/>
              </w:rPr>
              <w:t>mutually-beneficial</w:t>
            </w:r>
            <w:r>
              <w:t xml:space="preserve"> comprehensive partnerships, paying specific attention to countries of origin, transit and departure in a seamless whole-of-route </w:t>
            </w:r>
            <w:r>
              <w:rPr>
                <w:b/>
                <w:i/>
              </w:rPr>
              <w:t>and human-rights based</w:t>
            </w:r>
            <w:r>
              <w:t xml:space="preserve"> approach. It shall take into account effective cooperation and implementation of Union agreements and arrangements and of dialogues on migration </w:t>
            </w:r>
            <w:r>
              <w:rPr>
                <w:b/>
                <w:i/>
              </w:rPr>
              <w:t>and shall fulfil the principles and criteria for ODA of migration actions. In line with OECD/DAC guidance on development effectiveness, migration-related funding shall not be used for border management or externalisation of EU responsibilities, as this undermines partner countries' ownership and long-term development outcomes</w:t>
            </w:r>
            <w:r>
              <w:t>. Those actions shall be implemented in full respect of international law, including international human rights and refugee law, Union and national competences.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case the Commission services, in consultation with EEAS, identifies serious shortcomings in a partner country related in particular to the obligation to readmit its own nationals from the Member States, the Commission may suspend payments or the implementation of a programme. In no case the suspension shall affect humanitarian assistance.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12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To assess the existence of the serious shortcomings referred to in paragraph 3, and following consultations with the beneficiary country, the Commission shall rely on the assessments carried in accordance with Article 25a of Regulation (EC) No 810/2009</w:t>
            </w:r>
            <w:r>
              <w:rPr>
                <w:b/>
                <w:i/>
                <w:vertAlign w:val="superscript"/>
              </w:rPr>
              <w:t>50</w:t>
            </w:r>
            <w:r>
              <w:rPr>
                <w:b/>
                <w:i/>
              </w:rPr>
              <w:t xml:space="preserve"> and with Article 8 of Regulation (EU) 2018/1806</w:t>
            </w:r>
            <w:r>
              <w:rPr>
                <w:b/>
                <w:i/>
                <w:vertAlign w:val="superscript"/>
              </w:rPr>
              <w:t>51</w:t>
            </w:r>
            <w:r>
              <w:rPr>
                <w:b/>
                <w:i/>
              </w:rPr>
              <w:t xml:space="preserve"> , while taking into account the Union’s overall relations with the beneficiary country concerned, including in the field of migration, as well as the principle of proportionality.</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50</w:t>
            </w:r>
            <w:r>
              <w:t xml:space="preserve"> </w:t>
            </w:r>
            <w:r>
              <w:rPr>
                <w:b/>
                <w:i/>
              </w:rPr>
              <w:t>Regulation (EC) No 810/2009 of the European Parliament and of the Council of 13 July 2009 establishing a Community Code on Visas (Visa Code) (OJ L 243, 15.9.2009, p. 1–58, ELI: http://data.europa.eu/eli/reg/2009/810/2024-06-28).</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39–58, ELI: http://data.europa.eu/eli/reg/2018/1806/2025-02-03).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12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Where the Commission considers that the reasons justifying the measure taken in accordance with paragraph 3 no longer apply, the Commission shall lift the suspension.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13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The Commission shall consult other donors and actors, including local authorities</w:t>
            </w:r>
            <w:r>
              <w:rPr>
                <w:b/>
                <w:i/>
              </w:rPr>
              <w:t>,</w:t>
            </w:r>
            <w:r>
              <w:t xml:space="preserve"> representatives of civil society </w:t>
            </w:r>
            <w:r>
              <w:rPr>
                <w:b/>
                <w:i/>
              </w:rPr>
              <w:t>and the private sector, where relevant.</w:t>
            </w:r>
          </w:p>
        </w:tc>
        <w:tc>
          <w:tcPr>
            <w:tcW w:w="4876" w:type="dxa"/>
            <w:tcBorders>
              <w:top w:val="nil"/>
              <w:left w:val="nil"/>
              <w:bottom w:val="nil"/>
              <w:right w:val="nil"/>
            </w:tcBorders>
          </w:tcPr>
          <w:p>
            <w:pPr>
              <w:pStyle w:val="Normal6a"/>
            </w:pPr>
            <w:r>
              <w:t xml:space="preserve">The Commission shall consult other donors and actors, including local authorities </w:t>
            </w:r>
            <w:r>
              <w:rPr>
                <w:b/>
                <w:i/>
              </w:rPr>
              <w:t>and</w:t>
            </w:r>
            <w:r>
              <w:t xml:space="preserve"> representatives of civil society</w:t>
            </w:r>
            <w:r>
              <w:rPr>
                <w:b/>
                <w:i/>
              </w:rPr>
              <w:t>. Such consultation shall be carried out in an inclusive, timely and meaningful manner, ensuring transparency throughout the programming process.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Instrument shall contribute to actions established under Regulation (EU) [XXX] [Erasmus+]. A single programming document shall be drawn up under this Regulation for the duration of the multiannual financial framework. Regulation (EU) [XXX] [Erasmus+] shall apply to the use of those funds.</w:t>
            </w:r>
          </w:p>
        </w:tc>
        <w:tc>
          <w:tcPr>
            <w:tcW w:w="4876" w:type="dxa"/>
            <w:tcBorders>
              <w:top w:val="nil"/>
              <w:left w:val="nil"/>
              <w:bottom w:val="nil"/>
              <w:right w:val="nil"/>
            </w:tcBorders>
          </w:tcPr>
          <w:p>
            <w:pPr>
              <w:pStyle w:val="Normal6a"/>
            </w:pPr>
            <w:r>
              <w:t>3.</w:t>
            </w:r>
            <w:r>
              <w:tab/>
            </w:r>
            <w:r>
              <w:t xml:space="preserve">The Instrument shall contribute to actions established under Regulation (EU) [XXX] [Erasmus+]. A single programming document shall be drawn up under this Regulation for the duration of the multiannual financial framework. Regulation (EU) [XXX] [Erasmus+] shall apply to the use of those funds. </w:t>
            </w:r>
            <w:r>
              <w:rPr>
                <w:b/>
                <w:i/>
              </w:rPr>
              <w:t>Programming under this Regulation shall be results-based. The programming document shall include specific objectives, expected results, and indicators, and shall, where appropriate, establish baselines and measurable targets to assess progress in achieving the objectives set out in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actions shall be based</w:t>
            </w:r>
            <w:r>
              <w:rPr>
                <w:b/>
                <w:i/>
              </w:rPr>
              <w:t>, to the extent possible</w:t>
            </w:r>
            <w:r>
              <w:t xml:space="preserve">, on a dialogue between the Union, Member States and the partner countries concerned, including national, regional and local authorities, and </w:t>
            </w:r>
            <w:r>
              <w:rPr>
                <w:b/>
                <w:i/>
              </w:rPr>
              <w:t>involving</w:t>
            </w:r>
            <w:r>
              <w:t xml:space="preserve"> civil society;</w:t>
            </w:r>
          </w:p>
        </w:tc>
        <w:tc>
          <w:tcPr>
            <w:tcW w:w="4876" w:type="dxa"/>
            <w:tcBorders>
              <w:top w:val="nil"/>
              <w:left w:val="nil"/>
              <w:bottom w:val="nil"/>
              <w:right w:val="nil"/>
            </w:tcBorders>
          </w:tcPr>
          <w:p>
            <w:pPr>
              <w:pStyle w:val="Normal6a"/>
            </w:pPr>
            <w:r>
              <w:t>(a)</w:t>
            </w:r>
            <w:r>
              <w:tab/>
            </w:r>
            <w:r>
              <w:t xml:space="preserve">actions shall be based, on a dialogue between the Union, Member States and the partner countries concerned, including national, regional and local authorities, and </w:t>
            </w:r>
            <w:r>
              <w:rPr>
                <w:b/>
                <w:i/>
              </w:rPr>
              <w:t>shall ensure the inclusive and meaningful participation of</w:t>
            </w:r>
            <w:r>
              <w:t xml:space="preserve"> civil society </w:t>
            </w:r>
            <w:r>
              <w:rPr>
                <w:b/>
                <w:i/>
              </w:rPr>
              <w:t>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the partners' needs, established on the basis of specific criteria, taking into account poverty, human development indexes, inequality, in particular gender equality, human rights, preparedness and resilience to climate change, economic vulnerability, and the impact of protracted and recurrent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partner countries and regions’ level of development </w:t>
            </w:r>
            <w:r>
              <w:rPr>
                <w:b/>
                <w:i/>
              </w:rPr>
              <w:t>and</w:t>
            </w:r>
            <w:r>
              <w:t xml:space="preserve"> commitment to address the drivers of fragility </w:t>
            </w:r>
            <w:r>
              <w:rPr>
                <w:b/>
                <w:i/>
              </w:rPr>
              <w:t>and irregular migration</w:t>
            </w:r>
            <w:r>
              <w:t xml:space="preserve"> and forced displacement</w:t>
            </w:r>
            <w:r>
              <w:rPr>
                <w:b/>
                <w:i/>
              </w:rPr>
              <w:t>, including their root causes</w:t>
            </w:r>
            <w:r>
              <w:t>;</w:t>
            </w:r>
          </w:p>
        </w:tc>
        <w:tc>
          <w:tcPr>
            <w:tcW w:w="4876" w:type="dxa"/>
            <w:tcBorders>
              <w:top w:val="nil"/>
              <w:left w:val="nil"/>
              <w:bottom w:val="nil"/>
              <w:right w:val="nil"/>
            </w:tcBorders>
          </w:tcPr>
          <w:p>
            <w:pPr>
              <w:pStyle w:val="Normal6a"/>
            </w:pPr>
            <w:r>
              <w:t>(e)</w:t>
            </w:r>
            <w:r>
              <w:tab/>
            </w:r>
            <w:r>
              <w:t>partner countries and regions’ level of development</w:t>
            </w:r>
            <w:r>
              <w:rPr>
                <w:b/>
                <w:i/>
              </w:rPr>
              <w:t>, their needs, their situations of fragility</w:t>
            </w:r>
            <w:r>
              <w:t xml:space="preserve"> </w:t>
            </w:r>
            <w:r>
              <w:rPr>
                <w:b/>
                <w:i/>
              </w:rPr>
              <w:t>and their</w:t>
            </w:r>
            <w:r>
              <w:t xml:space="preserve"> commitment to address the drivers </w:t>
            </w:r>
            <w:r>
              <w:rPr>
                <w:b/>
                <w:i/>
              </w:rPr>
              <w:t>and</w:t>
            </w:r>
            <w:r>
              <w:t xml:space="preserve"> </w:t>
            </w:r>
            <w:r>
              <w:rPr>
                <w:b/>
                <w:i/>
              </w:rPr>
              <w:t>the root causes</w:t>
            </w:r>
            <w:r>
              <w:t xml:space="preserve"> of fragility and forced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multiannual indicative programmes referred to in paragraph 1 shall set out the priority areas selected for Union financing, the specific objectives and, where appropriate, the indicative financial allocations and the methods of implementation.</w:t>
            </w:r>
          </w:p>
        </w:tc>
        <w:tc>
          <w:tcPr>
            <w:tcW w:w="4876" w:type="dxa"/>
            <w:tcBorders>
              <w:top w:val="nil"/>
              <w:left w:val="nil"/>
              <w:bottom w:val="nil"/>
              <w:right w:val="nil"/>
            </w:tcBorders>
          </w:tcPr>
          <w:p>
            <w:pPr>
              <w:pStyle w:val="Normal6a"/>
            </w:pPr>
            <w:r>
              <w:t>2.</w:t>
            </w:r>
            <w:r>
              <w:tab/>
            </w:r>
            <w:r>
              <w:t>The multiannual indicative programmes referred to in paragraph 1 shall set out the priority areas selected for Union financing, the specific objectives</w:t>
            </w:r>
            <w:r>
              <w:rPr>
                <w:b/>
                <w:i/>
              </w:rPr>
              <w:t>, the expected results and indicators</w:t>
            </w:r>
            <w:r>
              <w:t xml:space="preserve"> and, where appropriate, the indicative financial allocations and the methods of implementation</w:t>
            </w:r>
            <w:r>
              <w:rPr>
                <w:b/>
                <w:i/>
              </w:rPr>
              <w:t>, including, where relevant, the proportion of funding dedicated to civil society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17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On duly justified imperative grounds of urgency, such as crises or immediate threats to peace, democracy, the rule of law, human rights or fundamental freedoms, the Commission may amend multiannual indicative programmes referred to in Articles 15 and 16 by means of immediately applicable implementing acts adopted in accordance with the procedure referred to in Article 32(5).</w:t>
            </w:r>
          </w:p>
        </w:tc>
        <w:tc>
          <w:tcPr>
            <w:tcW w:w="4876" w:type="dxa"/>
            <w:tcBorders>
              <w:top w:val="nil"/>
              <w:left w:val="nil"/>
              <w:bottom w:val="nil"/>
              <w:right w:val="nil"/>
            </w:tcBorders>
          </w:tcPr>
          <w:p>
            <w:pPr>
              <w:pStyle w:val="Normal6a"/>
            </w:pPr>
            <w:r>
              <w:t>3.</w:t>
            </w:r>
            <w:r>
              <w:tab/>
            </w:r>
            <w:r>
              <w:t xml:space="preserve">On duly justified imperative grounds of urgency, such as crises or immediate threats to peace, democracy, the rule of law, human rights or fundamental freedoms, the Commission may amend multiannual indicative programmes referred to in Articles 15 and 16 by means of immediately applicable implementing acts adopted in accordance with the procedure referred to in Article 32(5). </w:t>
            </w:r>
            <w:r>
              <w:rPr>
                <w:b/>
                <w:i/>
              </w:rPr>
              <w:t>Such amendments shall be limited to what is strictly necessary to address the situation concerned and shall not undermine the overall objectives of the programme. Where the situation persists, the Commission shall, where appropriate, propose a revision of the multiannual indicative programme in accordance with paragraph 2.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20 – paragraph 10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The eligibility rules laid down in this Article or the type of participants in award procedures, including with respect to their direct and indirect control by entities of a partner country, may be restricted where such restrictions are required on account of the specific nature or objectives of the activity or the application of Union restrictive measures, or where those restrictions are necessary for the effective implementation of the activity or where such restrictions are in the strategic interests of the Union. Eligibility restrictions shall apply to high-risk suppliers, for security reasons.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20 – paragraph 10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The eligibility rules laid down in this Article may also be restricted by Union response measures adopted under the Regulation on the protection of the Union and its Member States from economic coercion by third countries and Regulation (EU) 2022/1031 of the European Parliament and of the Council</w:t>
            </w:r>
            <w:r>
              <w:rPr>
                <w:b/>
                <w:i/>
                <w:vertAlign w:val="superscript"/>
              </w:rPr>
              <w:t>52</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52</w:t>
            </w:r>
            <w:r>
              <w:t xml:space="preserve"> </w:t>
            </w:r>
            <w:r>
              <w:rPr>
                <w:b/>
                <w:i/>
              </w:rPr>
              <w:t>Regulation (EU) 2022/1031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(OJ L 173, 30.6.2022, p. 1–16, ELI: http://data.europa.eu/eli/reg/2022/1031/oj).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20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The eligibility rules laid down in this Article may be extended in the case of urgency or the unavailability of eligible participants in the markets of the countries or territories concerned, or in other duly substantiated cases where application of the eligibility rules would make the realisation of an action impossible or exceedingly difficult or where such extension is in the strategic interests of the Union.</w:t>
            </w:r>
          </w:p>
        </w:tc>
        <w:tc>
          <w:tcPr>
            <w:tcW w:w="4876" w:type="dxa"/>
            <w:tcBorders>
              <w:top w:val="nil"/>
              <w:left w:val="nil"/>
              <w:bottom w:val="nil"/>
              <w:right w:val="nil"/>
            </w:tcBorders>
          </w:tcPr>
          <w:p>
            <w:pPr>
              <w:pStyle w:val="Normal6a"/>
            </w:pPr>
            <w:r>
              <w:t>11.</w:t>
            </w:r>
            <w:r>
              <w:tab/>
            </w:r>
            <w:r>
              <w:t xml:space="preserve">The eligibility rules laid down in this Article may be extended in the case of urgency or the unavailability of eligible participants in the markets of the countries or territories concerned, or in other duly substantiated cases where application of the eligibility rules would make the realisation of an action impossible or exceedingly difficult or where such extension is in the strategic interests of the Union. </w:t>
            </w:r>
            <w:r>
              <w:rPr>
                <w:b/>
                <w:i/>
              </w:rPr>
              <w:t>The Commission shall inform annually the European Parliament about decisions to extend eligibility.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21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Excluded activities</w:t>
            </w:r>
          </w:p>
        </w:tc>
        <w:tc>
          <w:tcPr>
            <w:tcW w:w="4876" w:type="dxa"/>
            <w:tcBorders>
              <w:top w:val="nil"/>
              <w:left w:val="nil"/>
              <w:bottom w:val="nil"/>
              <w:right w:val="nil"/>
            </w:tcBorders>
          </w:tcPr>
          <w:p>
            <w:pPr>
              <w:pStyle w:val="Normal6a"/>
            </w:pPr>
            <w:r>
              <w:t xml:space="preserve">Excluded activities </w:t>
            </w:r>
            <w:r>
              <w:rPr>
                <w:b/>
                <w:i/>
              </w:rPr>
              <w:t>and human-rights based approach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21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Funded actions shall be designed, implemented, and monitored in accordance with a human rights-based approach. This includes: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conducting regular human rights risks assessments and stakeholders analyses to identify potential or actual violations;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ensuring meaningful and inclusive participation of rights-holders and relevant stakeholders, particularly civil society organisations, in decision-making;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establishing clear accountability mechanisms and access to remedies for affected persons;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maintaining transparency and access to disaggregated information to enable independent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21 – 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When the independent monitoring identifies a risk or occurrence of human rights violations, funding may be suspended immediately until verified corrective measures are implemented and compliance with human rights obligation is ensured. The European Parliament shall have timely access to all relevant information regarding such suspensions, including the justification, corrective actions, and follow-up.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22 – paragraph 4 – subparagraph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Decommitted funds may be used to provide Union support under this Regulation and shall be assigned to the budget line of origin of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When working with civil society organisations and stakeholders </w:t>
            </w:r>
            <w:r>
              <w:rPr>
                <w:b/>
                <w:i/>
              </w:rPr>
              <w:t>of partner countries</w:t>
            </w:r>
            <w:r>
              <w:t xml:space="preserve"> such as local authorities, the Commission shall take into account their specificities, including their needs and the relevant context, when defining the financing modalities, the type of contribution, the participation, the evaluation and award modalities and the administrative provisions for the management of grants, with a view to reaching and best responding to the widest possible range of such stakeholders. Specific modalities shall be encouraged in accordance with Regulation (EU, Euratom) 2024/2509, such as financial framework partnership agreements, financial support to third parties, grants awarded without a call for proposals, or simplified forms of funding referred to in Article 125(1) of Regulation (EU, Euratom) 2024/2509.</w:t>
            </w:r>
          </w:p>
        </w:tc>
        <w:tc>
          <w:tcPr>
            <w:tcW w:w="4876" w:type="dxa"/>
            <w:tcBorders>
              <w:top w:val="nil"/>
              <w:left w:val="nil"/>
              <w:bottom w:val="nil"/>
              <w:right w:val="nil"/>
            </w:tcBorders>
          </w:tcPr>
          <w:p>
            <w:pPr>
              <w:pStyle w:val="Normal6a"/>
            </w:pPr>
            <w:r>
              <w:t>3.</w:t>
            </w:r>
            <w:r>
              <w:tab/>
            </w:r>
            <w:r>
              <w:t>When working with civil society organisations and stakeholders such as local authorities</w:t>
            </w:r>
            <w:r>
              <w:rPr>
                <w:b/>
                <w:i/>
              </w:rPr>
              <w:t>, especially of partner countries</w:t>
            </w:r>
            <w:r>
              <w:t>, the Commission shall take into account their specificities, including their needs and the relevant context, when defining the financing modalities, the type of contribution, the participation, the evaluation and award modalities and the administrative provisions for the management of grants, with a view to reaching and best responding to the widest possible range of such stakeholders. Specific modalities shall be encouraged in accordance with Regulation (EU, Euratom) 2024/2509, such as financial framework partnership agreements, financial support to third parties, grants awarded without a call for proposals, or simplified forms of funding referred to in Article 125(1) of Regulation (EU,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Supporting the fight against organised crime, </w:t>
            </w:r>
            <w:r>
              <w:rPr>
                <w:b/>
                <w:i/>
              </w:rPr>
              <w:t>effectively strenghtening</w:t>
            </w:r>
            <w:r>
              <w:t xml:space="preserve"> migration </w:t>
            </w:r>
            <w:r>
              <w:rPr>
                <w:b/>
                <w:i/>
              </w:rPr>
              <w:t>management, countering irregular migration</w:t>
            </w:r>
            <w:r>
              <w:t xml:space="preserve">, supporting visa policy </w:t>
            </w:r>
            <w:r>
              <w:rPr>
                <w:b/>
                <w:i/>
              </w:rPr>
              <w:t>alignment</w:t>
            </w:r>
            <w:r>
              <w:t xml:space="preserve"> as well as </w:t>
            </w:r>
            <w:r>
              <w:rPr>
                <w:b/>
                <w:i/>
              </w:rPr>
              <w:t>effective</w:t>
            </w:r>
            <w:r>
              <w:t xml:space="preserve"> border management and, where applicable, preparation for Schengen accession;</w:t>
            </w:r>
          </w:p>
        </w:tc>
        <w:tc>
          <w:tcPr>
            <w:tcW w:w="4876" w:type="dxa"/>
            <w:tcBorders>
              <w:top w:val="nil"/>
              <w:left w:val="nil"/>
              <w:bottom w:val="nil"/>
              <w:right w:val="nil"/>
            </w:tcBorders>
          </w:tcPr>
          <w:p>
            <w:pPr>
              <w:pStyle w:val="Normal6a"/>
            </w:pPr>
            <w:r>
              <w:t>c)</w:t>
            </w:r>
            <w:r>
              <w:tab/>
            </w:r>
            <w:r>
              <w:t xml:space="preserve">Supporting the fight against organised crime, </w:t>
            </w:r>
            <w:r>
              <w:rPr>
                <w:b/>
                <w:i/>
              </w:rPr>
              <w:t>promoting a human-rights based and protection-centred approach to</w:t>
            </w:r>
            <w:r>
              <w:t xml:space="preserve"> migration </w:t>
            </w:r>
            <w:r>
              <w:rPr>
                <w:b/>
                <w:i/>
              </w:rPr>
              <w:t>and mobility, ensuring access to international protection, preventing exploitation and trafficking in human beings</w:t>
            </w:r>
            <w:r>
              <w:t xml:space="preserve">, supporting </w:t>
            </w:r>
            <w:r>
              <w:rPr>
                <w:b/>
                <w:i/>
              </w:rPr>
              <w:t>a fair and efficient</w:t>
            </w:r>
            <w:r>
              <w:t xml:space="preserve"> visa policy as well as border management </w:t>
            </w:r>
            <w:r>
              <w:rPr>
                <w:b/>
                <w:i/>
              </w:rPr>
              <w:t>based on European and international human rights and refugee law,</w:t>
            </w:r>
            <w:r>
              <w:t xml:space="preserve"> and, where applicable, preparation for Schengen accession;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Building mutually beneficial partnerships with the Union’s partners, including candidate countries and potential candidates, </w:t>
            </w:r>
            <w:r>
              <w:rPr>
                <w:b/>
                <w:i/>
              </w:rPr>
              <w:t>contributing to the Union’s strategic interests and</w:t>
            </w:r>
            <w:r>
              <w:t xml:space="preserve"> promoting the Union’s values and a peaceful, stable, strong and united Europe.</w:t>
            </w:r>
          </w:p>
        </w:tc>
        <w:tc>
          <w:tcPr>
            <w:tcW w:w="4876" w:type="dxa"/>
            <w:tcBorders>
              <w:top w:val="nil"/>
              <w:left w:val="nil"/>
              <w:bottom w:val="nil"/>
              <w:right w:val="nil"/>
            </w:tcBorders>
          </w:tcPr>
          <w:p>
            <w:pPr>
              <w:pStyle w:val="Normal6a"/>
            </w:pPr>
            <w:r>
              <w:t>(2)</w:t>
            </w:r>
            <w:r>
              <w:tab/>
            </w:r>
            <w:r>
              <w:t>Building mutually beneficial partnerships with the Union’s partners, including candidate countries and potential candidates, promoting the Union’s values and a peaceful, stable, strong and united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Strengthening economic and social development and inclusion, with particular attention to women, children and youth, including through preventing brain drain, supporting vulnerable communities, promoting equality, cultural inclusion, quality education, training, reskilling and upskilling, and supporting employment policies, labour rights and effective social protection systems;</w:t>
            </w:r>
          </w:p>
        </w:tc>
        <w:tc>
          <w:tcPr>
            <w:tcW w:w="4876" w:type="dxa"/>
            <w:tcBorders>
              <w:top w:val="nil"/>
              <w:left w:val="nil"/>
              <w:bottom w:val="nil"/>
              <w:right w:val="nil"/>
            </w:tcBorders>
          </w:tcPr>
          <w:p>
            <w:pPr>
              <w:pStyle w:val="Normal6a"/>
            </w:pPr>
            <w:r>
              <w:t>p)</w:t>
            </w:r>
            <w:r>
              <w:tab/>
            </w:r>
            <w:r>
              <w:t>Strengthening economic and social development and inclusion, with particular attention to women, children and youth</w:t>
            </w:r>
            <w:r>
              <w:rPr>
                <w:b/>
                <w:i/>
              </w:rPr>
              <w:t>, Roma people, people with disabilities, LGBTIQ+ community, victims of trafficking, migrants, asylum-seekers and refugees, stateless persons</w:t>
            </w:r>
            <w:r>
              <w:t>, including through preventing brain drain, supporting vulnerable communities, promoting equality, cultural inclusion, quality education, training, reskilling and upskilling, and supporting employment policies, labour rights and effective social protection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Strengthening partnerships on well-managed and safe migration and mobility via structured migration discussions and, where applicable </w:t>
            </w:r>
            <w:r>
              <w:rPr>
                <w:b/>
                <w:i/>
              </w:rPr>
              <w:t>and provided that conditions for well-managed and secure mobility are in place</w:t>
            </w:r>
            <w:r>
              <w:t>, developing and support the implementation of existing visa-free regimes, visa liberalisation dialogues and bilateral or regional agreements and arrangements with partner countries;</w:t>
            </w:r>
          </w:p>
        </w:tc>
        <w:tc>
          <w:tcPr>
            <w:tcW w:w="4876" w:type="dxa"/>
            <w:tcBorders>
              <w:top w:val="nil"/>
              <w:left w:val="nil"/>
              <w:bottom w:val="nil"/>
              <w:right w:val="nil"/>
            </w:tcBorders>
          </w:tcPr>
          <w:p>
            <w:pPr>
              <w:pStyle w:val="Normal6a"/>
            </w:pPr>
            <w:r>
              <w:t>q)</w:t>
            </w:r>
            <w:r>
              <w:tab/>
            </w:r>
            <w:r>
              <w:t xml:space="preserve">Strengthening partnerships on well-managed and safe migration and mobility via structured migration discussions </w:t>
            </w:r>
            <w:r>
              <w:rPr>
                <w:b/>
                <w:i/>
              </w:rPr>
              <w:t>based on a human rights-based approach</w:t>
            </w:r>
            <w:r>
              <w:t xml:space="preserve"> and, where applicable, developing and support the implementation of existing visa-free regimes, visa liberalisation dialogues and bilateral or regional agreements and arrangements with partner countries</w:t>
            </w:r>
            <w:r>
              <w:rPr>
                <w:b/>
                <w:i/>
              </w:rPr>
              <w:t>, strengthening safe, legal and regular pathways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Supporting the needs related to socio-economic recovery, rehabilitation and post-conflict reconstruction;</w:t>
            </w:r>
          </w:p>
        </w:tc>
        <w:tc>
          <w:tcPr>
            <w:tcW w:w="4876" w:type="dxa"/>
            <w:tcBorders>
              <w:top w:val="nil"/>
              <w:left w:val="nil"/>
              <w:bottom w:val="nil"/>
              <w:right w:val="nil"/>
            </w:tcBorders>
          </w:tcPr>
          <w:p>
            <w:pPr>
              <w:pStyle w:val="Normal6a"/>
            </w:pPr>
            <w:r>
              <w:t>b)</w:t>
            </w:r>
            <w:r>
              <w:tab/>
            </w:r>
            <w:r>
              <w:t>Supporting the needs related to socio-economic recovery, rehabilitation and post-conflict reconstruction</w:t>
            </w:r>
            <w:r>
              <w:rPr>
                <w:b/>
                <w:i/>
              </w:rPr>
              <w:t>, including guaranteeing the right to return of Palestinian refugees under UNRWA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Stepping-up cooperation on terrorist and organised crime financing and anti-money laundering, judicial cooperation, the fight against radicalisation and violent extremism, </w:t>
            </w:r>
            <w:r>
              <w:rPr>
                <w:b/>
                <w:i/>
              </w:rPr>
              <w:t>hybrid and</w:t>
            </w:r>
            <w:r>
              <w:t xml:space="preserve"> cyber threats, the fight against impunity, corruption, organised crime and law enforcement;</w:t>
            </w:r>
          </w:p>
        </w:tc>
        <w:tc>
          <w:tcPr>
            <w:tcW w:w="4876" w:type="dxa"/>
            <w:tcBorders>
              <w:top w:val="nil"/>
              <w:left w:val="nil"/>
              <w:bottom w:val="nil"/>
              <w:right w:val="nil"/>
            </w:tcBorders>
          </w:tcPr>
          <w:p>
            <w:pPr>
              <w:pStyle w:val="Normal6a"/>
            </w:pPr>
            <w:r>
              <w:t>e)</w:t>
            </w:r>
            <w:r>
              <w:tab/>
            </w:r>
            <w:r>
              <w:t>Stepping-up cooperation on terrorist and organised crime financing and anti-money laundering, judicial cooperation, the fight against radicalisation and violent extremism, cyber threats, the fight against impunity, corruption, organised crime and law enforcement;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Protecting and promoting human rights, gender equality, children’s rights, the rights of persons with disabilities and fighting against child labour and discrimination on any ground;</w:t>
            </w:r>
          </w:p>
        </w:tc>
        <w:tc>
          <w:tcPr>
            <w:tcW w:w="4876" w:type="dxa"/>
            <w:tcBorders>
              <w:top w:val="nil"/>
              <w:left w:val="nil"/>
              <w:bottom w:val="nil"/>
              <w:right w:val="nil"/>
            </w:tcBorders>
          </w:tcPr>
          <w:p>
            <w:pPr>
              <w:pStyle w:val="Normal6a"/>
            </w:pPr>
            <w:r>
              <w:t>c)</w:t>
            </w:r>
            <w:r>
              <w:tab/>
            </w:r>
            <w:r>
              <w:t>Protecting and promoting human rights, gender equality, children’s rights, the rights of persons with disabilities</w:t>
            </w:r>
            <w:r>
              <w:rPr>
                <w:b/>
                <w:i/>
              </w:rPr>
              <w:t>, Roma persons, LGBTIQ+ persons, victims of trafficking, migrants, asylum seekers and refugees, stateless persons,</w:t>
            </w:r>
            <w:r>
              <w:t xml:space="preserve"> and fighting against child labour and discrimination on any ground;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6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Strengthening all aspects of migration and asylum governance</w:t>
            </w:r>
            <w:r>
              <w:rPr>
                <w:b/>
                <w:i/>
              </w:rPr>
              <w:t>; enhancing border management, including quality of travel documents and</w:t>
            </w:r>
            <w:r>
              <w:t xml:space="preserve"> visa systems; </w:t>
            </w:r>
            <w:r>
              <w:rPr>
                <w:b/>
                <w:i/>
              </w:rPr>
              <w:t>strengthening the fight</w:t>
            </w:r>
            <w:r>
              <w:t xml:space="preserve"> against smuggling of migrants and trafficking in human beings </w:t>
            </w:r>
            <w:r>
              <w:rPr>
                <w:b/>
                <w:i/>
              </w:rPr>
              <w:t>and fostering cooperation on safe, dignified and sustainable returns, readmission and reintegration of migrants</w:t>
            </w:r>
            <w:r>
              <w:t xml:space="preserve">; as well as addressing the root causes of </w:t>
            </w:r>
            <w:r>
              <w:rPr>
                <w:b/>
                <w:i/>
              </w:rPr>
              <w:t>irregular migration and</w:t>
            </w:r>
            <w:r>
              <w:t xml:space="preserve"> forced displacement;</w:t>
            </w:r>
          </w:p>
        </w:tc>
        <w:tc>
          <w:tcPr>
            <w:tcW w:w="4876" w:type="dxa"/>
            <w:tcBorders>
              <w:top w:val="nil"/>
              <w:left w:val="nil"/>
              <w:bottom w:val="nil"/>
              <w:right w:val="nil"/>
            </w:tcBorders>
          </w:tcPr>
          <w:p>
            <w:pPr>
              <w:pStyle w:val="Normal6a"/>
            </w:pPr>
            <w:r>
              <w:t>b)</w:t>
            </w:r>
            <w:r>
              <w:tab/>
            </w:r>
            <w:r>
              <w:t xml:space="preserve">Strengthening all aspects of migration and asylum governance </w:t>
            </w:r>
            <w:r>
              <w:rPr>
                <w:b/>
                <w:i/>
              </w:rPr>
              <w:t>based on a human rights-based approach, ensuring access to fair and efficient</w:t>
            </w:r>
            <w:r>
              <w:t xml:space="preserve"> visa systems; </w:t>
            </w:r>
            <w:r>
              <w:rPr>
                <w:b/>
                <w:i/>
              </w:rPr>
              <w:t>fighting</w:t>
            </w:r>
            <w:r>
              <w:t xml:space="preserve"> against smuggling of migrants and trafficking in human beings </w:t>
            </w:r>
            <w:r>
              <w:rPr>
                <w:b/>
                <w:i/>
              </w:rPr>
              <w:t>while protecting victims</w:t>
            </w:r>
            <w:r>
              <w:t>; as well as addressing the root causes of forced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6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Supporting a comprehensive approach to and implementation of legal migration and mobility, including through mutually beneficial Talent Partnerships and exchanges</w:t>
            </w:r>
            <w:r>
              <w:rPr>
                <w:b/>
                <w:i/>
              </w:rPr>
              <w:t>, respecting the competences of the Member States</w:t>
            </w:r>
            <w:r>
              <w:t>;</w:t>
            </w:r>
          </w:p>
        </w:tc>
        <w:tc>
          <w:tcPr>
            <w:tcW w:w="4876" w:type="dxa"/>
            <w:tcBorders>
              <w:top w:val="nil"/>
              <w:left w:val="nil"/>
              <w:bottom w:val="nil"/>
              <w:right w:val="nil"/>
            </w:tcBorders>
          </w:tcPr>
          <w:p>
            <w:pPr>
              <w:pStyle w:val="Normal6a"/>
            </w:pPr>
            <w:r>
              <w:t>c)</w:t>
            </w:r>
            <w:r>
              <w:tab/>
            </w:r>
            <w:r>
              <w:t>Supporting a comprehensive approach to and implementation of legal migration and mobility, including through mutually beneficial Talent Partnerships and exchanges;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6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Contributing to the provision of international protection, including access to resettlement and complementary pathways, and support to refugees, migrants, internally displaced persons, host communities, and to countries hosting significant refugee or displaced populations.</w:t>
            </w:r>
          </w:p>
        </w:tc>
        <w:tc>
          <w:tcPr>
            <w:tcW w:w="4876" w:type="dxa"/>
            <w:tcBorders>
              <w:top w:val="nil"/>
              <w:left w:val="nil"/>
              <w:bottom w:val="nil"/>
              <w:right w:val="nil"/>
            </w:tcBorders>
          </w:tcPr>
          <w:p>
            <w:pPr>
              <w:pStyle w:val="Normal6a"/>
            </w:pPr>
            <w:r>
              <w:t>d)</w:t>
            </w:r>
            <w:r>
              <w:tab/>
            </w:r>
            <w:r>
              <w:t xml:space="preserve">Contributing to the provision of international protection, including access to resettlement and complementary pathways, </w:t>
            </w:r>
            <w:r>
              <w:rPr>
                <w:b/>
                <w:i/>
              </w:rPr>
              <w:t>family reunification, humanitarian visas</w:t>
            </w:r>
            <w:r>
              <w:t xml:space="preserve"> and support to refugees, migrants, internally displaced persons, host communities, and to countries hosting significant refugee or displaced populations.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Enhancing cooperation on all aspects of migration, mobility and forced displacement</w:t>
            </w:r>
          </w:p>
        </w:tc>
        <w:tc>
          <w:tcPr>
            <w:tcW w:w="4876" w:type="dxa"/>
            <w:tcBorders>
              <w:top w:val="nil"/>
              <w:left w:val="nil"/>
              <w:bottom w:val="nil"/>
              <w:right w:val="nil"/>
            </w:tcBorders>
          </w:tcPr>
          <w:p>
            <w:pPr>
              <w:pStyle w:val="Normal6a"/>
            </w:pPr>
            <w:r>
              <w:t>(3)</w:t>
            </w:r>
            <w:r>
              <w:tab/>
            </w:r>
            <w:r>
              <w:t xml:space="preserve">Enhancing cooperation on all aspects of migration, mobility and forced displacement </w:t>
            </w:r>
            <w:r>
              <w:rPr>
                <w:b/>
                <w:i/>
              </w:rPr>
              <w:t>based on solidarity, shared responsibility and full respect for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Addressing the root causes of </w:t>
            </w:r>
            <w:r>
              <w:rPr>
                <w:b/>
                <w:i/>
              </w:rPr>
              <w:t>irregular migration and</w:t>
            </w:r>
            <w:r>
              <w:t xml:space="preserve"> forced displacement;</w:t>
            </w:r>
          </w:p>
        </w:tc>
        <w:tc>
          <w:tcPr>
            <w:tcW w:w="4876" w:type="dxa"/>
            <w:tcBorders>
              <w:top w:val="nil"/>
              <w:left w:val="nil"/>
              <w:bottom w:val="nil"/>
              <w:right w:val="nil"/>
            </w:tcBorders>
          </w:tcPr>
          <w:p>
            <w:pPr>
              <w:pStyle w:val="Normal6a"/>
            </w:pPr>
            <w:r>
              <w:t>a)</w:t>
            </w:r>
            <w:r>
              <w:tab/>
            </w:r>
            <w:r>
              <w:t>Addressing the root causes of forced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Strengthening migration governance and management</w:t>
            </w:r>
            <w:r>
              <w:rPr>
                <w:b/>
                <w:i/>
              </w:rPr>
              <w:t>, enhancing border management, the quality of travel documents and</w:t>
            </w:r>
            <w:r>
              <w:t xml:space="preserve"> visa systems, fighting against migrant smuggling and trafficking in human beings</w:t>
            </w:r>
            <w:r>
              <w:rPr>
                <w:b/>
                <w:i/>
              </w:rPr>
              <w:t>, and fostering cooperation on safe, dignified and sustainable returns, readmission and reintegration of irregular migrants</w:t>
            </w:r>
            <w:r>
              <w:t>;</w:t>
            </w:r>
          </w:p>
        </w:tc>
        <w:tc>
          <w:tcPr>
            <w:tcW w:w="4876" w:type="dxa"/>
            <w:tcBorders>
              <w:top w:val="nil"/>
              <w:left w:val="nil"/>
              <w:bottom w:val="nil"/>
              <w:right w:val="nil"/>
            </w:tcBorders>
          </w:tcPr>
          <w:p>
            <w:pPr>
              <w:pStyle w:val="Normal6a"/>
            </w:pPr>
            <w:r>
              <w:t>b)</w:t>
            </w:r>
            <w:r>
              <w:tab/>
            </w:r>
            <w:r>
              <w:t xml:space="preserve">Strengthening migration governance and management </w:t>
            </w:r>
            <w:r>
              <w:rPr>
                <w:b/>
                <w:i/>
              </w:rPr>
              <w:t>from a human-rights based perspective, ensuring access to fair and efficient</w:t>
            </w:r>
            <w:r>
              <w:t xml:space="preserve"> visa systems, fighting against migrant smuggling and trafficking in human beings </w:t>
            </w:r>
            <w:r>
              <w:rPr>
                <w:b/>
                <w:i/>
              </w:rPr>
              <w:t>while protecting victims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Supporting and promoting the use of legal channels of migration and mobility, and encouraging diasporas’ contributions to the development of the countries of origin;</w:t>
            </w:r>
          </w:p>
        </w:tc>
        <w:tc>
          <w:tcPr>
            <w:tcW w:w="4876" w:type="dxa"/>
            <w:tcBorders>
              <w:top w:val="nil"/>
              <w:left w:val="nil"/>
              <w:bottom w:val="nil"/>
              <w:right w:val="nil"/>
            </w:tcBorders>
          </w:tcPr>
          <w:p>
            <w:pPr>
              <w:pStyle w:val="Normal6a"/>
            </w:pPr>
            <w:r>
              <w:t>c)</w:t>
            </w:r>
            <w:r>
              <w:tab/>
            </w:r>
            <w:r>
              <w:t>Supporting</w:t>
            </w:r>
            <w:r>
              <w:rPr>
                <w:b/>
                <w:i/>
              </w:rPr>
              <w:t>, expanding</w:t>
            </w:r>
            <w:r>
              <w:t xml:space="preserve"> and promoting the use of legal channels of migration and mobility, and </w:t>
            </w:r>
            <w:r>
              <w:rPr>
                <w:b/>
                <w:i/>
              </w:rPr>
              <w:t>recognising and</w:t>
            </w:r>
            <w:r>
              <w:t xml:space="preserve"> encouraging diasporas’ </w:t>
            </w:r>
            <w:r>
              <w:rPr>
                <w:b/>
                <w:i/>
              </w:rPr>
              <w:t>social, cultural and economic</w:t>
            </w:r>
            <w:r>
              <w:t xml:space="preserve"> contributions to the development of the countries of origin;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Supporting asylum seekers, refugees, internally displaced and stateless people, as well as their host communities, and </w:t>
            </w:r>
            <w:r>
              <w:rPr>
                <w:b/>
                <w:i/>
              </w:rPr>
              <w:t>promoting</w:t>
            </w:r>
            <w:r>
              <w:t xml:space="preserve"> their access to protection and durable solutions, including </w:t>
            </w:r>
            <w:r>
              <w:rPr>
                <w:b/>
                <w:i/>
              </w:rPr>
              <w:t>voluntary repatriation,</w:t>
            </w:r>
            <w:r>
              <w:t xml:space="preserve"> local integration, and access to resettlement as well as complementary pathways.</w:t>
            </w:r>
          </w:p>
        </w:tc>
        <w:tc>
          <w:tcPr>
            <w:tcW w:w="4876" w:type="dxa"/>
            <w:tcBorders>
              <w:top w:val="nil"/>
              <w:left w:val="nil"/>
              <w:bottom w:val="nil"/>
              <w:right w:val="nil"/>
            </w:tcBorders>
          </w:tcPr>
          <w:p>
            <w:pPr>
              <w:pStyle w:val="Normal6a"/>
            </w:pPr>
            <w:r>
              <w:t>d)</w:t>
            </w:r>
            <w:r>
              <w:tab/>
            </w:r>
            <w:r>
              <w:rPr>
                <w:b/>
                <w:i/>
              </w:rPr>
              <w:t>Protecting and</w:t>
            </w:r>
            <w:r>
              <w:t xml:space="preserve"> supporting asylum seekers, refugees, internally displaced and stateless people, as well as their host communities, and </w:t>
            </w:r>
            <w:r>
              <w:rPr>
                <w:b/>
                <w:i/>
              </w:rPr>
              <w:t>ensuring</w:t>
            </w:r>
            <w:r>
              <w:t xml:space="preserve"> their access to </w:t>
            </w:r>
            <w:r>
              <w:rPr>
                <w:b/>
                <w:i/>
              </w:rPr>
              <w:t>international</w:t>
            </w:r>
            <w:r>
              <w:t xml:space="preserve"> protection and durable solutions, including local integration</w:t>
            </w:r>
            <w:r>
              <w:rPr>
                <w:b/>
                <w:i/>
              </w:rPr>
              <w:t>, family reunification</w:t>
            </w:r>
            <w:r>
              <w:t>, and access to resettlement as well as complementary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Enhancing cooperation on all aspects of migration, mobility and forced displacement</w:t>
            </w:r>
          </w:p>
        </w:tc>
        <w:tc>
          <w:tcPr>
            <w:tcW w:w="4876" w:type="dxa"/>
            <w:tcBorders>
              <w:top w:val="nil"/>
              <w:left w:val="nil"/>
              <w:bottom w:val="nil"/>
              <w:right w:val="nil"/>
            </w:tcBorders>
          </w:tcPr>
          <w:p>
            <w:pPr>
              <w:pStyle w:val="Normal6a"/>
            </w:pPr>
            <w:r>
              <w:t>(4)</w:t>
            </w:r>
            <w:r>
              <w:tab/>
            </w:r>
            <w:r>
              <w:t xml:space="preserve">Enhancing cooperation on all aspects of migration, mobility and forced displacement </w:t>
            </w:r>
            <w:r>
              <w:rPr>
                <w:b/>
                <w:i/>
              </w:rPr>
              <w:t>based on solidarity, shared responsibility and full respect for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Addressing the root causes of </w:t>
            </w:r>
            <w:r>
              <w:rPr>
                <w:b/>
                <w:i/>
              </w:rPr>
              <w:t>irregular migration and</w:t>
            </w:r>
            <w:r>
              <w:t xml:space="preserve"> forced displacement;</w:t>
            </w:r>
          </w:p>
        </w:tc>
        <w:tc>
          <w:tcPr>
            <w:tcW w:w="4876" w:type="dxa"/>
            <w:tcBorders>
              <w:top w:val="nil"/>
              <w:left w:val="nil"/>
              <w:bottom w:val="nil"/>
              <w:right w:val="nil"/>
            </w:tcBorders>
          </w:tcPr>
          <w:p>
            <w:pPr>
              <w:pStyle w:val="Normal6a"/>
            </w:pPr>
            <w:r>
              <w:t>a)</w:t>
            </w:r>
            <w:r>
              <w:tab/>
            </w:r>
            <w:r>
              <w:t xml:space="preserve">Addressing the </w:t>
            </w:r>
            <w:r>
              <w:rPr>
                <w:b/>
                <w:i/>
              </w:rPr>
              <w:t>structural</w:t>
            </w:r>
            <w:r>
              <w:t xml:space="preserve"> root causes of forced displacement;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Strengthening all aspects of migration governance and management, </w:t>
            </w:r>
            <w:r>
              <w:rPr>
                <w:b/>
                <w:i/>
              </w:rPr>
              <w:t>enhancing border management, including the quality of travel documents and</w:t>
            </w:r>
            <w:r>
              <w:t xml:space="preserve"> visa systems, fighting against migrant smuggling and trafficking in human beings </w:t>
            </w:r>
            <w:r>
              <w:rPr>
                <w:b/>
                <w:i/>
              </w:rPr>
              <w:t>and fostering cooperation in safe, dignified and sustainable returns, readmission and reintegration of irregular migrants</w:t>
            </w:r>
            <w:r>
              <w:t>;</w:t>
            </w:r>
          </w:p>
        </w:tc>
        <w:tc>
          <w:tcPr>
            <w:tcW w:w="4876" w:type="dxa"/>
            <w:tcBorders>
              <w:top w:val="nil"/>
              <w:left w:val="nil"/>
              <w:bottom w:val="nil"/>
              <w:right w:val="nil"/>
            </w:tcBorders>
          </w:tcPr>
          <w:p>
            <w:pPr>
              <w:pStyle w:val="Normal6a"/>
            </w:pPr>
            <w:r>
              <w:t>b)</w:t>
            </w:r>
            <w:r>
              <w:tab/>
            </w:r>
            <w:r>
              <w:t xml:space="preserve">Strengthening all aspects of migration governance and management, </w:t>
            </w:r>
            <w:r>
              <w:rPr>
                <w:b/>
                <w:i/>
              </w:rPr>
              <w:t>from a human rights-based approach, ensuring access to fair and efficient</w:t>
            </w:r>
            <w:r>
              <w:t xml:space="preserve"> visa systems, </w:t>
            </w:r>
            <w:r>
              <w:rPr>
                <w:b/>
                <w:i/>
              </w:rPr>
              <w:t>and</w:t>
            </w:r>
            <w:r>
              <w:t xml:space="preserve"> fighting against migrant smuggling and trafficking in human beings </w:t>
            </w:r>
            <w:r>
              <w:rPr>
                <w:b/>
                <w:i/>
              </w:rPr>
              <w:t>with a view to protect its victims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Supporting and promoting the use of legal channels of migration and mobility, and encouraging diasporas’ contributions to the development of the countries of origin;</w:t>
            </w:r>
          </w:p>
        </w:tc>
        <w:tc>
          <w:tcPr>
            <w:tcW w:w="4876" w:type="dxa"/>
            <w:tcBorders>
              <w:top w:val="nil"/>
              <w:left w:val="nil"/>
              <w:bottom w:val="nil"/>
              <w:right w:val="nil"/>
            </w:tcBorders>
          </w:tcPr>
          <w:p>
            <w:pPr>
              <w:pStyle w:val="Normal6a"/>
            </w:pPr>
            <w:r>
              <w:t>c)</w:t>
            </w:r>
            <w:r>
              <w:tab/>
            </w:r>
            <w:r>
              <w:t>Supporting</w:t>
            </w:r>
            <w:r>
              <w:rPr>
                <w:b/>
                <w:i/>
              </w:rPr>
              <w:t>, expanding</w:t>
            </w:r>
            <w:r>
              <w:t xml:space="preserve"> and promoting the use of legal channels of migration and mobility, and </w:t>
            </w:r>
            <w:r>
              <w:rPr>
                <w:b/>
                <w:i/>
              </w:rPr>
              <w:t>recognising and</w:t>
            </w:r>
            <w:r>
              <w:t xml:space="preserve"> encouraging diasporas’ </w:t>
            </w:r>
            <w:r>
              <w:rPr>
                <w:b/>
                <w:i/>
              </w:rPr>
              <w:t>social, cultural and economic</w:t>
            </w:r>
            <w:r>
              <w:t xml:space="preserve"> contributions to the development of the countries of origin </w:t>
            </w:r>
            <w:r>
              <w:rPr>
                <w:b/>
                <w:i/>
              </w:rPr>
              <w:t>and of host societies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Supporting asylum seekers, refugees, internally displaced and stateless people, notably the most vulnerable migrants including children, as well as their host communities, and promoting their access to protection and durable solutions, including </w:t>
            </w:r>
            <w:r>
              <w:rPr>
                <w:b/>
                <w:i/>
              </w:rPr>
              <w:t>voluntary repatriation,</w:t>
            </w:r>
            <w:r>
              <w:t xml:space="preserve"> local integration, and access to resettlement as well as complementary pathways.</w:t>
            </w:r>
          </w:p>
        </w:tc>
        <w:tc>
          <w:tcPr>
            <w:tcW w:w="4876" w:type="dxa"/>
            <w:tcBorders>
              <w:top w:val="nil"/>
              <w:left w:val="nil"/>
              <w:bottom w:val="nil"/>
              <w:right w:val="nil"/>
            </w:tcBorders>
          </w:tcPr>
          <w:p>
            <w:pPr>
              <w:pStyle w:val="Normal6a"/>
            </w:pPr>
            <w:r>
              <w:t>d)</w:t>
            </w:r>
            <w:r>
              <w:tab/>
            </w:r>
            <w:r>
              <w:rPr>
                <w:b/>
                <w:i/>
              </w:rPr>
              <w:t>Protecting and</w:t>
            </w:r>
            <w:r>
              <w:t xml:space="preserve"> supporting asylum seekers, refugees, internally displaced and stateless people, notably the most vulnerable migrants including children, </w:t>
            </w:r>
            <w:r>
              <w:rPr>
                <w:b/>
                <w:i/>
              </w:rPr>
              <w:t>victims of torture, victims of trafficking, persons with disabilities, LGBTIQ+ community,</w:t>
            </w:r>
            <w:r>
              <w:t xml:space="preserve"> as well as their host communities, and promoting their access to protection and durable solutions, including local integration, and access to resettlement as well as complementary pathways.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Enhancing cooperation on migration, </w:t>
            </w:r>
            <w:r>
              <w:rPr>
                <w:b/>
                <w:i/>
              </w:rPr>
              <w:t>including combatting migrant smuggling,</w:t>
            </w:r>
            <w:r>
              <w:t xml:space="preserve"> and human mobility;</w:t>
            </w:r>
          </w:p>
        </w:tc>
        <w:tc>
          <w:tcPr>
            <w:tcW w:w="4876" w:type="dxa"/>
            <w:tcBorders>
              <w:top w:val="nil"/>
              <w:left w:val="nil"/>
              <w:bottom w:val="nil"/>
              <w:right w:val="nil"/>
            </w:tcBorders>
          </w:tcPr>
          <w:p>
            <w:pPr>
              <w:pStyle w:val="Normal6a"/>
            </w:pPr>
            <w:r>
              <w:t>f)</w:t>
            </w:r>
            <w:r>
              <w:tab/>
            </w:r>
            <w:r>
              <w:t xml:space="preserve">Enhancing cooperation on migration, and human mobility </w:t>
            </w:r>
            <w:r>
              <w:rPr>
                <w:b/>
                <w:i/>
              </w:rPr>
              <w:t>through a comprehensive, rights-based and solidarity-driven approach, including addressing the structural root causes of forced displacement, expanding safe and regular migration pathways, ensuring protection for migrants, refugees and asylum-seekers and support for their host communities, strengthening international and regional cooperation, and promoting policies that guarantee dignity, inclusion and equal access to social and economic opportunities for all migrants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p>
      <w:pPr>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pPr>
    </w:p>
    <w:p>
      <w:pPr>
        <w:pStyle w:val="PageHeading"/>
      </w:pPr>
      <w:r>
        <w:t>ANNEX: DECLARATION OF INPUT</w:t>
      </w:r>
    </w:p>
    <w:p>
      <w:pPr>
        <w:pStyle w:val="Normal12a"/>
      </w:pPr>
      <w:r>
        <w:rPr>
          <w:rStyle w:val="HideTWBExt"/>
        </w:rPr>
        <w:t>&lt;FootprintIntro&gt;</w:t>
      </w:r>
      <w:r>
        <w:rPr>
          <w:rStyle w:val="HideTWBExt"/>
        </w:rPr>
        <w:t>&lt;/FootprintIntro&gt;</w:t>
      </w:r>
    </w:p>
    <w:p>
      <w:pPr>
        <w:pStyle w:val="Normal12a"/>
      </w:pPr>
      <w:r>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customMarkFollows="1" w:id="2"/>
        <w:t xml:space="preserve">1</w:t>
      </w:r>
      <w:r>
        <w:t>, or from representatives of public authorities of third countries, including their diplomatic missions and embassies, to be listed in this Annex pursuant to Article 8 of Annex I to the Rules of Procedure.</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785.291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PA\1338786EN.docx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PA\1338786EN.docx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785.291</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PA\1338786EN.docx</w:t>
    </w:r>
    <w:r>
      <w:rPr>
        <w:rStyle w:val="HideTWBExt"/>
      </w:rPr>
      <w:t>&lt;/PathFdR&gt;</w:t>
    </w:r>
    <w:r>
      <w:tab/>
    </w:r>
    <w:r>
      <w:tab/>
    </w:r>
    <w:r>
      <w:t>PE</w:t>
    </w:r>
    <w:r>
      <w:rPr>
        <w:rStyle w:val="HideTWBExt"/>
      </w:rPr>
      <w:t>&lt;NoPE&gt;</w:t>
    </w:r>
    <w:r>
      <w:t>785.291</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Interinstitutional Agreement of May 2021 between the European Parliament, the Council of the European Union and the European Commission on a mandatory transparency register (OJ L 207, 11.6.2021, p. 1, ELI: </w:t>
      </w:r>
      <w:hyperlink r:id="rId1" w:tgtFrame="http://data.europa.eu/eli/agree_interinstit/2021/611/oj" w:history="1">
        <w:r>
          <w:rPr>
            <w:rStyle w:val="Hyperlink"/>
          </w:rPr>
          <w:t>http://data.europa.eu/eli/agree_interinstit/2021/611/oj</w:t>
        </w:r>
      </w:hyperlink>
      <w: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character" w:customStyle="1" w:styleId="HideTWBExt">
    <w:name w:val="HideTWBExt"/>
    <w:rPr>
      <w:rFonts w:ascii="Arial" w:hAnsi="Arial"/>
      <w:vanish/>
      <w:color w:val="000080"/>
      <w:sz w:val="20"/>
    </w:rPr>
  </w:style>
  <w:style w:type="paragraph" w:customStyle="1" w:styleId="AmOrLang">
    <w:name w:val="AmOrLang"/>
    <w:basedOn w:val="Normal"/>
    <w:pPr>
      <w:widowControl/>
      <w:spacing w:before="240" w:after="240"/>
      <w:jc w:val="right"/>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NormalBold12b">
    <w:name w:val="NormalBold12b"/>
    <w:basedOn w:val="Normal"/>
    <w:pPr>
      <w:widowControl/>
      <w:spacing w:before="240"/>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line="240" w:lineRule="auto"/>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overflowPunct/>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overflowPunct/>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18599</Words>
  <Characters>110943</Characters>
  <Application>Microsoft Office Word</Application>
  <DocSecurity>0</DocSecurity>
  <Lines>1</Lines>
  <Paragraphs>946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1338786</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402411</vt:lpwstr>
  </property>
  <property fmtid="{D5CDD505-2E9C-101B-9397-08002B2CF9AE}" pid="7" name="dmxml.render.traceId">
    <vt:lpwstr>69aae2977fed25ed10b35e213c9678c5</vt:lpwstr>
  </property>
  <property fmtid="{D5CDD505-2E9C-101B-9397-08002B2CF9AE}" pid="8" name="FooterPath">
    <vt:lpwstr>PA\1338786EN.doc</vt:lpwstr>
  </property>
  <property fmtid="{D5CDD505-2E9C-101B-9397-08002B2CF9AE}" pid="9" name="PE Number">
    <vt:lpwstr>785.291</vt:lpwstr>
  </property>
  <property fmtid="{D5CDD505-2E9C-101B-9397-08002B2CF9AE}" pid="10" name="UID">
    <vt:lpwstr>eu.europa.europarl-DIN1-2026-0000052469_01.03-en-01.00_text-xml</vt:lpwstr>
  </property>
</Properties>
</file>