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A7B8155" w14:textId="77777777" w:rsidTr="00C85D0F">
        <w:tblPrEx>
          <w:tblW w:w="9072" w:type="dxa"/>
          <w:tblCellMar>
            <w:left w:w="0" w:type="dxa"/>
            <w:right w:w="0" w:type="dxa"/>
          </w:tblCellMar>
          <w:tblLook w:val="01E0"/>
        </w:tblPrEx>
        <w:trPr>
          <w:trHeight w:hRule="exact" w:val="1418"/>
        </w:trPr>
        <w:tc>
          <w:tcPr>
            <w:tcW w:w="6804" w:type="dxa"/>
            <w:vAlign w:val="center"/>
          </w:tcPr>
          <w:p w:rsidR="006D540C" w:rsidRPr="00D17788" w:rsidP="00C85D0F" w14:paraId="1E32187A" w14:textId="243FF99B">
            <w:pPr>
              <w:pStyle w:val="EPName"/>
            </w:pPr>
            <w:r w:rsidRPr="00D17788">
              <w:t>European Parliament</w:t>
            </w:r>
          </w:p>
          <w:p w:rsidR="006D540C" w:rsidRPr="00D17788" w:rsidP="00C85D0F" w14:paraId="02E1D272" w14:textId="6AF2F750">
            <w:pPr>
              <w:pStyle w:val="EPTerm"/>
            </w:pPr>
            <w:r w:rsidRPr="00D17788">
              <w:t>2024-2029</w:t>
            </w:r>
          </w:p>
        </w:tc>
        <w:tc>
          <w:tcPr>
            <w:tcW w:w="2268" w:type="dxa"/>
          </w:tcPr>
          <w:p w:rsidR="006D540C" w:rsidRPr="00D17788" w:rsidP="00C85D0F" w14:paraId="2C5315E3" w14:textId="77777777">
            <w:pPr>
              <w:pStyle w:val="EPLogo"/>
            </w:pPr>
            <w:r w:rsidRPr="00D1778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4254"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B06590" w:rsidRPr="00D17788" w:rsidP="00B06590" w14:paraId="3F1D5885" w14:textId="77777777">
      <w:pPr>
        <w:pStyle w:val="LineTop"/>
      </w:pPr>
    </w:p>
    <w:p w:rsidR="00B06590" w:rsidRPr="00D17788" w:rsidP="00B06590" w14:paraId="63D9BA76" w14:textId="7475A7AB">
      <w:pPr>
        <w:pStyle w:val="EPBody"/>
      </w:pPr>
      <w:r w:rsidRPr="00D17788">
        <w:rPr>
          <w:rStyle w:val="HideTWBExt"/>
        </w:rPr>
        <w:t>&lt;</w:t>
      </w:r>
      <w:r w:rsidRPr="00D17788">
        <w:rPr>
          <w:rStyle w:val="HideTWBExt"/>
          <w:i w:val="0"/>
        </w:rPr>
        <w:t>Commission</w:t>
      </w:r>
      <w:r w:rsidRPr="00D17788">
        <w:rPr>
          <w:rStyle w:val="HideTWBExt"/>
        </w:rPr>
        <w:t>&gt;</w:t>
      </w:r>
      <w:r w:rsidRPr="00D17788" w:rsidR="00134CFA">
        <w:rPr>
          <w:rStyle w:val="HideTWBInt"/>
        </w:rPr>
        <w:t>{LIBE}</w:t>
      </w:r>
      <w:r w:rsidRPr="00D17788" w:rsidR="00134CFA">
        <w:t>Committee on Civil Liberties, Justice and Home Affairs</w:t>
      </w:r>
      <w:r w:rsidRPr="00D17788">
        <w:rPr>
          <w:rStyle w:val="HideTWBExt"/>
        </w:rPr>
        <w:t>&lt;/</w:t>
      </w:r>
      <w:r w:rsidRPr="00D17788">
        <w:rPr>
          <w:rStyle w:val="HideTWBExt"/>
          <w:i w:val="0"/>
        </w:rPr>
        <w:t>Commission</w:t>
      </w:r>
      <w:r w:rsidRPr="00D17788">
        <w:rPr>
          <w:rStyle w:val="HideTWBExt"/>
        </w:rPr>
        <w:t>&gt;</w:t>
      </w:r>
    </w:p>
    <w:p w:rsidR="00B06590" w:rsidRPr="00D17788" w:rsidP="00B06590" w14:paraId="32D31A08" w14:textId="77777777">
      <w:pPr>
        <w:pStyle w:val="LineBottom"/>
      </w:pPr>
    </w:p>
    <w:p w:rsidR="005650E4" w:rsidRPr="00D17788" w14:paraId="679A8496" w14:textId="3FFC7A66">
      <w:pPr>
        <w:pStyle w:val="CoverReference"/>
      </w:pPr>
      <w:r w:rsidRPr="00D17788">
        <w:rPr>
          <w:rStyle w:val="HideTWBExt"/>
          <w:b w:val="0"/>
        </w:rPr>
        <w:t>&lt;RefProc&gt;</w:t>
      </w:r>
      <w:r w:rsidRPr="00D17788" w:rsidR="00134CFA">
        <w:t>2026/0058</w:t>
      </w:r>
      <w:r w:rsidRPr="00D17788">
        <w:rPr>
          <w:rStyle w:val="HideTWBExt"/>
          <w:b w:val="0"/>
        </w:rPr>
        <w:t>&lt;/RefProc&gt;</w:t>
      </w:r>
      <w:r w:rsidRPr="00D17788" w:rsidR="000735E0">
        <w:rPr>
          <w:rStyle w:val="HideTWBExt"/>
          <w:b w:val="0"/>
        </w:rPr>
        <w:t>&lt;RefTypeProc&gt;</w:t>
      </w:r>
      <w:r w:rsidRPr="00D17788" w:rsidR="00B85867">
        <w:t>(</w:t>
      </w:r>
      <w:r w:rsidRPr="00D17788" w:rsidR="00134CFA">
        <w:t>NLE</w:t>
      </w:r>
      <w:r w:rsidRPr="00D17788" w:rsidR="00B85867">
        <w:t>)</w:t>
      </w:r>
      <w:r w:rsidRPr="00D17788" w:rsidR="000735E0">
        <w:rPr>
          <w:rStyle w:val="HideTWBExt"/>
          <w:b w:val="0"/>
        </w:rPr>
        <w:t>&lt;/RefTypeProc&gt;</w:t>
      </w:r>
    </w:p>
    <w:p w:rsidR="005650E4" w:rsidRPr="00D17788" w14:paraId="2DDD6CF9" w14:textId="01A3A14E">
      <w:pPr>
        <w:pStyle w:val="CoverDate"/>
      </w:pPr>
      <w:r w:rsidRPr="00D17788">
        <w:rPr>
          <w:rStyle w:val="HideTWBExt"/>
        </w:rPr>
        <w:t>&lt;Date&gt;</w:t>
      </w:r>
      <w:r w:rsidRPr="00D17788" w:rsidR="00134CFA">
        <w:rPr>
          <w:rStyle w:val="HideTWBInt"/>
        </w:rPr>
        <w:t>{06/10/2026}</w:t>
      </w:r>
      <w:r w:rsidRPr="00D17788" w:rsidR="00134CFA">
        <w:t>6.10.2026</w:t>
      </w:r>
      <w:r w:rsidRPr="00D17788">
        <w:rPr>
          <w:rStyle w:val="HideTWBExt"/>
        </w:rPr>
        <w:t>&lt;/Date&gt;</w:t>
      </w:r>
    </w:p>
    <w:p w:rsidR="005650E4" w:rsidRPr="00D17788" w14:paraId="22AA5750" w14:textId="61E129DF">
      <w:pPr>
        <w:pStyle w:val="CoverDocType24a"/>
      </w:pPr>
      <w:r w:rsidRPr="00D17788">
        <w:rPr>
          <w:rStyle w:val="HideTWBExt"/>
          <w:b w:val="0"/>
        </w:rPr>
        <w:t>&lt;TitreType&gt;</w:t>
      </w:r>
      <w:r w:rsidRPr="00D17788" w:rsidR="00B85867">
        <w:t>DRAFT OPINION</w:t>
      </w:r>
      <w:r w:rsidRPr="00D17788">
        <w:rPr>
          <w:rStyle w:val="HideTWBExt"/>
          <w:b w:val="0"/>
        </w:rPr>
        <w:t>&lt;/TitreType&gt;</w:t>
      </w:r>
    </w:p>
    <w:p w:rsidR="005650E4" w:rsidRPr="00D17788" w14:paraId="7BE45D25" w14:textId="2BA98BEA">
      <w:pPr>
        <w:pStyle w:val="CoverNormal24a"/>
      </w:pPr>
      <w:r w:rsidRPr="00D17788">
        <w:rPr>
          <w:rStyle w:val="HideTWBExt"/>
        </w:rPr>
        <w:t>&lt;CommissionResp&gt;</w:t>
      </w:r>
      <w:r w:rsidRPr="00D17788" w:rsidR="00B85867">
        <w:t xml:space="preserve">of the </w:t>
      </w:r>
      <w:r w:rsidRPr="00D17788" w:rsidR="00134CFA">
        <w:t>Committee on Civil Liberties, Justice and Home Affairs</w:t>
      </w:r>
      <w:r w:rsidRPr="00D17788">
        <w:rPr>
          <w:rStyle w:val="HideTWBExt"/>
        </w:rPr>
        <w:t>&lt;/CommissionResp&gt;</w:t>
      </w:r>
    </w:p>
    <w:p w:rsidR="005650E4" w:rsidRPr="00D17788" w14:paraId="02D6406B" w14:textId="790D1295">
      <w:pPr>
        <w:pStyle w:val="CoverNormal24a"/>
      </w:pPr>
      <w:r w:rsidRPr="00D17788">
        <w:rPr>
          <w:rStyle w:val="HideTWBExt"/>
        </w:rPr>
        <w:t>&lt;CommissionInt&gt;</w:t>
      </w:r>
      <w:r w:rsidRPr="00D17788" w:rsidR="00B85867">
        <w:t xml:space="preserve">for the </w:t>
      </w:r>
      <w:r w:rsidRPr="00D17788" w:rsidR="00134CFA">
        <w:t>Committee on Foreign Affairs</w:t>
      </w:r>
      <w:r w:rsidRPr="00D17788" w:rsidR="001E1BA8">
        <w:t xml:space="preserve"> and the Committee on International Trade</w:t>
      </w:r>
      <w:r w:rsidRPr="00D17788">
        <w:rPr>
          <w:rStyle w:val="HideTWBExt"/>
        </w:rPr>
        <w:t>&lt;/CommissionInt&gt;</w:t>
      </w:r>
    </w:p>
    <w:p w:rsidR="00134CFA" w:rsidRPr="00D17788" w:rsidP="00134CFA" w14:paraId="39FEB3F6" w14:textId="3A1533BF">
      <w:pPr>
        <w:pStyle w:val="CoverNormal"/>
        <w:rPr>
          <w:b/>
          <w:bCs/>
        </w:rPr>
      </w:pPr>
      <w:r w:rsidRPr="00D17788">
        <w:rPr>
          <w:rStyle w:val="HideTWBExt"/>
        </w:rPr>
        <w:t>&lt;Titre&gt;</w:t>
      </w:r>
      <w:r w:rsidRPr="00D17788">
        <w:t>on the draft Council decision on the conclusion, on behalf of the Union, of the Agreement in respect of Gibraltar between the European Union and the European Atomic Energy Community, of the one part, and the United Kingdom of Great Britain and Northern Ireland, of the other part</w:t>
      </w:r>
    </w:p>
    <w:p w:rsidR="005650E4" w:rsidRPr="00D17788" w14:paraId="7071F29B" w14:textId="5A6EF8CE">
      <w:pPr>
        <w:pStyle w:val="CoverNormal"/>
      </w:pPr>
      <w:r w:rsidRPr="00D17788">
        <w:rPr>
          <w:rStyle w:val="HideTWBExt"/>
        </w:rPr>
        <w:t>&lt;/Titre&gt;</w:t>
      </w:r>
    </w:p>
    <w:p w:rsidR="005650E4" w:rsidRPr="00D17788" w14:paraId="5E7504D1" w14:textId="51F79707">
      <w:pPr>
        <w:pStyle w:val="CoverNormal24a"/>
        <w:rPr>
          <w:lang w:val="fr-BE"/>
        </w:rPr>
      </w:pPr>
      <w:r w:rsidRPr="00D17788">
        <w:rPr>
          <w:rStyle w:val="HideTWBExt"/>
          <w:lang w:val="fr-BE"/>
        </w:rPr>
        <w:t>&lt;DocRef&gt;</w:t>
      </w:r>
      <w:r w:rsidRPr="00D17788" w:rsidR="00B85867">
        <w:rPr>
          <w:lang w:val="fr-BE"/>
        </w:rPr>
        <w:t>(</w:t>
      </w:r>
      <w:r w:rsidRPr="00D17788" w:rsidR="00134CFA">
        <w:rPr>
          <w:lang w:val="fr-BE"/>
        </w:rPr>
        <w:t>06435/2026</w:t>
      </w:r>
      <w:r w:rsidRPr="00D17788" w:rsidR="00B85867">
        <w:rPr>
          <w:lang w:val="fr-BE"/>
        </w:rPr>
        <w:t xml:space="preserve"> </w:t>
      </w:r>
      <w:r w:rsidRPr="00D17788" w:rsidR="00134CFA">
        <w:rPr>
          <w:lang w:val="fr-BE"/>
        </w:rPr>
        <w:t>–</w:t>
      </w:r>
      <w:r w:rsidRPr="00D17788" w:rsidR="00B85867">
        <w:rPr>
          <w:lang w:val="fr-BE"/>
        </w:rPr>
        <w:t xml:space="preserve"> </w:t>
      </w:r>
      <w:r w:rsidRPr="00D17788" w:rsidR="00134CFA">
        <w:rPr>
          <w:lang w:val="fr-BE"/>
        </w:rPr>
        <w:t>C10</w:t>
      </w:r>
      <w:r w:rsidRPr="00D17788" w:rsidR="00134CFA">
        <w:rPr>
          <w:lang w:val="fr-BE"/>
        </w:rPr>
        <w:noBreakHyphen/>
        <w:t>0186/2026</w:t>
      </w:r>
      <w:r w:rsidRPr="00D17788" w:rsidR="00B85867">
        <w:rPr>
          <w:lang w:val="fr-BE"/>
        </w:rPr>
        <w:t xml:space="preserve"> </w:t>
      </w:r>
      <w:r w:rsidRPr="00D17788" w:rsidR="00134CFA">
        <w:rPr>
          <w:lang w:val="fr-BE"/>
        </w:rPr>
        <w:t>–</w:t>
      </w:r>
      <w:r w:rsidRPr="00D17788" w:rsidR="00B85867">
        <w:rPr>
          <w:lang w:val="fr-BE"/>
        </w:rPr>
        <w:t xml:space="preserve"> </w:t>
      </w:r>
      <w:r w:rsidRPr="00D17788" w:rsidR="00134CFA">
        <w:rPr>
          <w:lang w:val="fr-BE"/>
        </w:rPr>
        <w:t>2026/0058</w:t>
      </w:r>
      <w:r w:rsidRPr="00D17788" w:rsidR="00B85867">
        <w:rPr>
          <w:lang w:val="fr-BE"/>
        </w:rPr>
        <w:t>(</w:t>
      </w:r>
      <w:r w:rsidRPr="00D17788" w:rsidR="00134CFA">
        <w:rPr>
          <w:lang w:val="fr-BE"/>
        </w:rPr>
        <w:t>NLE</w:t>
      </w:r>
      <w:r w:rsidRPr="00D17788" w:rsidR="00B85867">
        <w:rPr>
          <w:lang w:val="fr-BE"/>
        </w:rPr>
        <w:t>))</w:t>
      </w:r>
      <w:r w:rsidRPr="00D17788">
        <w:rPr>
          <w:rStyle w:val="HideTWBExt"/>
          <w:lang w:val="fr-BE"/>
        </w:rPr>
        <w:t>&lt;/DocRef&gt;</w:t>
      </w:r>
    </w:p>
    <w:p w:rsidR="005650E4" w:rsidRPr="00D17788" w14:paraId="4A46B50B" w14:textId="49BA86E7">
      <w:pPr>
        <w:pStyle w:val="CoverNormal24a"/>
        <w:rPr>
          <w:lang w:val="fr-BE"/>
        </w:rPr>
      </w:pPr>
      <w:r w:rsidRPr="00D17788">
        <w:rPr>
          <w:lang w:val="fr-BE"/>
        </w:rPr>
        <w:t>Rapporteur for opinion:</w:t>
      </w:r>
      <w:r w:rsidRPr="00D17788">
        <w:rPr>
          <w:lang w:val="fr-BE"/>
        </w:rPr>
        <w:t xml:space="preserve"> </w:t>
      </w:r>
      <w:r w:rsidRPr="00D17788">
        <w:rPr>
          <w:rStyle w:val="HideTWBExt"/>
          <w:lang w:val="fr-BE"/>
        </w:rPr>
        <w:t>&lt;Depute&gt;</w:t>
      </w:r>
      <w:r w:rsidRPr="00D17788" w:rsidR="00134CFA">
        <w:rPr>
          <w:lang w:val="fr-BE"/>
        </w:rPr>
        <w:t>Loránt Vincze</w:t>
      </w:r>
      <w:r w:rsidRPr="00D17788">
        <w:rPr>
          <w:rStyle w:val="HideTWBExt"/>
          <w:lang w:val="fr-BE"/>
        </w:rPr>
        <w:t>&lt;/Depute&gt;</w:t>
      </w:r>
    </w:p>
    <w:p w:rsidR="00600761" w:rsidRPr="00D17788" w:rsidP="00600761" w14:paraId="159C4F26" w14:textId="77777777">
      <w:pPr>
        <w:pStyle w:val="CoverNormal"/>
        <w:rPr>
          <w:lang w:val="fr-BE"/>
        </w:rPr>
      </w:pPr>
    </w:p>
    <w:p w:rsidR="005650E4" w:rsidRPr="00D17788" w:rsidP="00EA3304" w14:paraId="28952AB7" w14:textId="330B15C9">
      <w:pPr>
        <w:widowControl/>
        <w:tabs>
          <w:tab w:val="center" w:pos="4677"/>
        </w:tabs>
      </w:pPr>
      <w:r w:rsidRPr="00BB5E53">
        <w:br w:type="page"/>
      </w:r>
      <w:r w:rsidRPr="00D17788" w:rsidR="00B85867">
        <w:t>PA_Leg_Consent</w:t>
      </w:r>
    </w:p>
    <w:p w:rsidR="00134CFA" w:rsidRPr="00D17788" w:rsidP="001E1BA8" w14:paraId="7EF2E5A8" w14:textId="06376DFA">
      <w:pPr>
        <w:pStyle w:val="PageHeadingNotTOC"/>
      </w:pPr>
      <w:r w:rsidRPr="00D17788">
        <w:br w:type="page"/>
      </w:r>
      <w:r w:rsidRPr="00D17788" w:rsidR="00B85867">
        <w:t>SHORT JUSTIFICATION</w:t>
      </w:r>
    </w:p>
    <w:p w:rsidR="00134CFA" w:rsidRPr="00D17788" w:rsidP="00134CFA" w14:paraId="47614E46" w14:textId="77777777">
      <w:r w:rsidRPr="00D17788">
        <w:t xml:space="preserve">The Committee on Civil Liberties, Justice and Home Affairs gives its consent and supports the Agreement with the United Kingdom of Great Britain and Northern Ireland in respect of Gibraltar. This Agreement is a consequence of the withdrawal of the United Kingdom from the Union and addresses the fact that Gibraltar is not included in the territorial scope of the EU-UK Trade and Cooperation Agreement. It has applied provisionally since 15 July 2026 and completes the legal framework governing the EU–UK relationship with regard to Gibraltar. The Committee considers that the Agreement manages to establish a balanced agreement in view of Gibraltar's particular geographical situation and in view of the specificities of Gibraltar and its special relationship with Spain. The Committee notes that the Agreement addresses practical arrangements concerning Gibraltar, without addressing broader territorial matters. In this context, the Committee takes note of the underlying issue of sovereignty in accordance with the relevant United Nations resolutions. The Committee also notes the legitimate concerns that have been raised regarding the legal nature of the Agreement, in particular in view of the nature and scope of the matters covered and their implications for Member State competences. </w:t>
      </w:r>
    </w:p>
    <w:p w:rsidR="00134CFA" w:rsidRPr="00D17788" w:rsidP="00134CFA" w14:paraId="7B04B129" w14:textId="77777777"/>
    <w:p w:rsidR="00134CFA" w:rsidRPr="00D17788" w:rsidP="00134CFA" w14:paraId="7E0D7B03" w14:textId="77777777">
      <w:r w:rsidRPr="00D17788">
        <w:t xml:space="preserve">The Agreement establishes the basis for the removal of all physical barriers between the Union and Gibraltar. At the same time, it provides for safeguards to protect the integrity of the Schengen area through the application of the Schengen rules at the external borders of Gibraltar, Spain’s right to object to the issuance or renewal of Gibraltar residence permits on certain grounds, including public health or internal security, and the responsibility of Spain for issuing short-stay visas for Gibraltar. The Committee notes the specific nature of these arrangements, which entail the application of important elements of the Schengen acquis to Gibraltar outside the ordinary accession procedure, and stresses the importance of ensuring the integrity and proper functioning of the Schengen area, including effective external border controls and appropriate coordination with relevant EU systems, including the European Entry/Exit System (EES). </w:t>
      </w:r>
    </w:p>
    <w:p w:rsidR="00134CFA" w:rsidRPr="00D17788" w:rsidP="00134CFA" w14:paraId="66350B83" w14:textId="77777777"/>
    <w:p w:rsidR="00134CFA" w:rsidRPr="00D17788" w:rsidP="00134CFA" w14:paraId="1C07904F" w14:textId="77777777">
      <w:r w:rsidRPr="00D17788">
        <w:t>The Agreement is welcome as it promotes shared prosperity and close and constructive relations in respect of Gibraltar and the adjacent area in Spain. It protects the EU Single Market and contains robust safeguards to enable the Union to take rapid and effective action against breaches of certain provisions of the Agreement or non-fulfilment of certain conditions, including in the areas of circulation of persons, anti-money laundering and counter-terrorist financing. Moreover, the Agreement regularises the status of frontier workers and provides for their non-discrimination, right to seek employment and equal treatment in employment in Spain and Gibraltar.</w:t>
      </w:r>
    </w:p>
    <w:p w:rsidR="00134CFA" w:rsidRPr="00D17788" w:rsidP="00134CFA" w14:paraId="6937F9DE" w14:textId="77777777"/>
    <w:p w:rsidR="00134CFA" w:rsidRPr="00D17788" w:rsidP="00134CFA" w14:paraId="2379AB51" w14:textId="77777777">
      <w:pPr>
        <w:spacing w:after="120"/>
      </w:pPr>
      <w:r w:rsidRPr="00D17788">
        <w:t xml:space="preserve">The Agreement provides for cooperation in the prevention, investigation and prosecution of crime, including organised crime and illegal trafficking, as well as in the areas of public safety, money laundering and terrorist financing. In addition, the Agreement contains provisions on the treatment of applications for international protection as well as on law enforcement and judicial cooperation, which lay down reciprocal rights and obligations. </w:t>
      </w:r>
    </w:p>
    <w:p w:rsidR="00134CFA" w:rsidRPr="00D17788" w:rsidP="00134CFA" w14:paraId="0DAE0AF6" w14:textId="77777777">
      <w:r w:rsidRPr="00D17788">
        <w:t xml:space="preserve">The Committee recalls that the European Parliament is to be immediately and fully informed at all stages where the Cooperation Council and Specialised Committees established under the Agreement are called upon to adopt acts having legal effects, as provided for in Article </w:t>
      </w:r>
      <w:r w:rsidRPr="00D17788">
        <w:t>218(10) TFEU, in order to allow it to exercise fully its prerogatives in accordance with the Treaties. The Parliament should also be fully informed at all stages, of other decisions to which Article 218(10) TFEU applies, such as the suspension of the Agreement, or of any part of it. The Committee underlines the importance of Parliament’s continued scrutiny of the implementation and application of the Agreement, including through information provided by the Commission on the work and decisions of the Cooperation Council and Specialised Committees.</w:t>
      </w:r>
    </w:p>
    <w:p w:rsidR="00134CFA" w:rsidRPr="00D17788" w:rsidP="00134CFA" w14:paraId="68E72C3F" w14:textId="77777777"/>
    <w:p w:rsidR="00134CFA" w:rsidRPr="00D17788" w:rsidP="00134CFA" w14:paraId="07996586" w14:textId="77777777">
      <w:r w:rsidRPr="00D17788">
        <w:t xml:space="preserve">Considering the above, the Committee on Civil Liberties, Justice and Home Affairs supports the Agreement, while taking note of the specific considerations outlined above, serving as the basis for our recommendation to give consent to the Agreement. </w:t>
      </w:r>
    </w:p>
    <w:p w:rsidR="005650E4" w:rsidRPr="00D17788" w14:paraId="43338682" w14:textId="55F9FB41">
      <w:pPr>
        <w:pStyle w:val="Normal12a"/>
      </w:pPr>
    </w:p>
    <w:p w:rsidR="00B24F48" w:rsidRPr="00D17788" w:rsidP="00B24F48" w14:paraId="2ABC06F7" w14:textId="1D8A4CBD">
      <w:pPr>
        <w:pStyle w:val="NormalCenter12a"/>
      </w:pPr>
      <w:r w:rsidRPr="00D17788">
        <w:t>*******</w:t>
      </w:r>
    </w:p>
    <w:p w:rsidR="005650E4" w:rsidRPr="00D17788" w:rsidP="00BB5E53" w14:paraId="0A63EE20" w14:textId="096557B6">
      <w:r w:rsidRPr="00D17788">
        <w:t>The Committee on Civil Liberties, Justice and Home Affairs calls on the Committee on Foreign Affairs and the Committee on International Trade, as the committees responsible, to recommend approval of the draft Council decision on the conclusion, on behalf of the Union, of the Agreement in respect of Gibraltar between the European Union and the European Atomic Energy Community, of the one part, and the United Kingdom of Great Britain and Northern Ireland, of the other part.</w:t>
      </w:r>
    </w:p>
    <w:p w:rsidR="00196065" w:rsidRPr="00D17788" w:rsidP="00196065" w14:paraId="36B30489" w14:textId="77777777"/>
    <w:sectPr w:rsidSect="00D17788">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788" w:rsidP="00D17788" w14:paraId="0865F553" w14:textId="77777777">
    <w:pPr>
      <w:pStyle w:val="EPFooter"/>
      <w:rPr>
        <w:lang w:val="fr-BE"/>
      </w:rPr>
    </w:pPr>
    <w:r>
      <w:rPr>
        <w:lang w:val="fr-BE"/>
      </w:rPr>
      <w:t>PE</w:t>
    </w:r>
    <w:r w:rsidRPr="00BB5E53">
      <w:rPr>
        <w:rStyle w:val="HideTWBExt"/>
        <w:lang w:val="fr-BE"/>
      </w:rPr>
      <w:t>&lt;NoPE&gt;</w:t>
    </w:r>
    <w:r>
      <w:rPr>
        <w:lang w:val="fr-BE"/>
      </w:rPr>
      <w:t>796.340</w:t>
    </w:r>
    <w:r w:rsidRPr="00BB5E53">
      <w:rPr>
        <w:rStyle w:val="HideTWBExt"/>
        <w:lang w:val="fr-BE"/>
      </w:rPr>
      <w:t>&lt;/NoPE&gt;&lt;Version&gt;</w:t>
    </w:r>
    <w:r>
      <w:rPr>
        <w:lang w:val="fr-BE"/>
      </w:rPr>
      <w:t>v01-00</w:t>
    </w:r>
    <w:r w:rsidRPr="00BB5E53">
      <w:rPr>
        <w:rStyle w:val="HideTWBExt"/>
        <w:lang w:val="fr-BE"/>
      </w:rPr>
      <w:t>&lt;/Version&gt;</w:t>
    </w:r>
    <w:r>
      <w:rPr>
        <w:lang w:val="fr-BE"/>
      </w:rPr>
      <w:tab/>
    </w:r>
    <w:r>
      <w:rPr>
        <w:lang w:val="fr-BE"/>
      </w:rPr>
      <w:fldChar w:fldCharType="begin"/>
    </w:r>
    <w:r>
      <w:rPr>
        <w:lang w:val="fr-BE"/>
      </w:rPr>
      <w:instrText xml:space="preserve"> PAGE  \* MERGEFORMAT </w:instrText>
    </w:r>
    <w:r>
      <w:rPr>
        <w:lang w:val="fr-BE"/>
      </w:rPr>
      <w:fldChar w:fldCharType="separate"/>
    </w:r>
    <w:r>
      <w:rPr>
        <w:noProof/>
        <w:lang w:val="fr-BE"/>
      </w:rPr>
      <w:t>2</w:t>
    </w:r>
    <w:r>
      <w:rPr>
        <w:lang w:val="fr-BE"/>
      </w:rPr>
      <w:fldChar w:fldCharType="end"/>
    </w:r>
    <w:r>
      <w:rPr>
        <w:lang w:val="fr-BE"/>
      </w:rPr>
      <w:t>/</w:t>
    </w:r>
    <w:r>
      <w:rPr>
        <w:lang w:val="fr-BE"/>
      </w:rPr>
      <w:fldChar w:fldCharType="begin"/>
    </w:r>
    <w:r>
      <w:rPr>
        <w:lang w:val="fr-BE"/>
      </w:rPr>
      <w:instrText xml:space="preserve"> NUMPAGES  \* MERGEFORMAT </w:instrText>
    </w:r>
    <w:r>
      <w:rPr>
        <w:lang w:val="fr-BE"/>
      </w:rPr>
      <w:fldChar w:fldCharType="separate"/>
    </w:r>
    <w:r>
      <w:rPr>
        <w:noProof/>
        <w:lang w:val="fr-BE"/>
      </w:rPr>
      <w:t>1</w:t>
    </w:r>
    <w:r>
      <w:rPr>
        <w:lang w:val="fr-BE"/>
      </w:rPr>
      <w:fldChar w:fldCharType="end"/>
    </w:r>
    <w:r>
      <w:rPr>
        <w:lang w:val="fr-BE"/>
      </w:rPr>
      <w:tab/>
    </w:r>
    <w:r w:rsidRPr="00BB5E53">
      <w:rPr>
        <w:rStyle w:val="HideTWBExt"/>
        <w:lang w:val="fr-BE"/>
      </w:rPr>
      <w:t>&lt;PathFdR&gt;</w:t>
    </w:r>
    <w:r>
      <w:rPr>
        <w:lang w:val="fr-BE"/>
      </w:rPr>
      <w:t>PA\1352282EN.docx</w:t>
    </w:r>
    <w:r w:rsidRPr="00BB5E53">
      <w:rPr>
        <w:rStyle w:val="HideTWBExt"/>
        <w:lang w:val="fr-BE"/>
      </w:rPr>
      <w:t>&lt;/PathFdR&gt;</w:t>
    </w:r>
  </w:p>
  <w:p w:rsidR="00DC7A5A" w:rsidRPr="00D17788" w:rsidP="00D17788" w14:paraId="62582135" w14:textId="3675188B">
    <w:pPr>
      <w:pStyle w:val="EPFooter2"/>
      <w:rPr>
        <w:lang w:val="fr-BE"/>
      </w:rPr>
    </w:pPr>
    <w:r>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788" w:rsidP="00D17788" w14:paraId="75C38949" w14:textId="77777777">
    <w:pPr>
      <w:pStyle w:val="EPFooter"/>
      <w:rPr>
        <w:lang w:val="es-ES"/>
      </w:rPr>
    </w:pPr>
    <w:r w:rsidRPr="00BB5E53">
      <w:rPr>
        <w:rStyle w:val="HideTWBExt"/>
        <w:lang w:val="es-ES"/>
      </w:rPr>
      <w:t>&lt;PathFdR&gt;</w:t>
    </w:r>
    <w:r>
      <w:rPr>
        <w:lang w:val="es-ES"/>
      </w:rPr>
      <w:t>PA\1352282EN.docx</w:t>
    </w:r>
    <w:r w:rsidRPr="00BB5E53">
      <w:rPr>
        <w:rStyle w:val="HideTWBExt"/>
        <w:lang w:val="es-ES"/>
      </w:rPr>
      <w:t>&lt;/PathFdR&gt;</w:t>
    </w:r>
    <w:r>
      <w:rPr>
        <w:lang w:val="es-ES"/>
      </w:rPr>
      <w:tab/>
    </w:r>
    <w:r>
      <w:rPr>
        <w:lang w:val="es-ES"/>
      </w:rPr>
      <w:fldChar w:fldCharType="begin"/>
    </w:r>
    <w:r>
      <w:rPr>
        <w:lang w:val="es-ES"/>
      </w:rPr>
      <w:instrText xml:space="preserve"> PAGE  \* MERGEFORMAT </w:instrText>
    </w:r>
    <w:r>
      <w:rPr>
        <w:lang w:val="es-ES"/>
      </w:rPr>
      <w:fldChar w:fldCharType="separate"/>
    </w:r>
    <w:r>
      <w:rPr>
        <w:noProof/>
        <w:lang w:val="es-ES"/>
      </w:rPr>
      <w:t>2</w:t>
    </w:r>
    <w:r>
      <w:rPr>
        <w:lang w:val="es-ES"/>
      </w:rPr>
      <w:fldChar w:fldCharType="end"/>
    </w:r>
    <w:r>
      <w:rPr>
        <w:lang w:val="es-ES"/>
      </w:rPr>
      <w:t>/</w:t>
    </w:r>
    <w:r>
      <w:rPr>
        <w:lang w:val="es-ES"/>
      </w:rPr>
      <w:fldChar w:fldCharType="begin"/>
    </w:r>
    <w:r>
      <w:rPr>
        <w:lang w:val="es-ES"/>
      </w:rPr>
      <w:instrText xml:space="preserve"> NUMPAGES  \* MERGEFORMAT </w:instrText>
    </w:r>
    <w:r>
      <w:rPr>
        <w:lang w:val="es-ES"/>
      </w:rPr>
      <w:fldChar w:fldCharType="separate"/>
    </w:r>
    <w:r>
      <w:rPr>
        <w:noProof/>
        <w:lang w:val="es-ES"/>
      </w:rPr>
      <w:t>1</w:t>
    </w:r>
    <w:r>
      <w:rPr>
        <w:lang w:val="es-ES"/>
      </w:rPr>
      <w:fldChar w:fldCharType="end"/>
    </w:r>
    <w:r>
      <w:rPr>
        <w:lang w:val="es-ES"/>
      </w:rPr>
      <w:tab/>
      <w:t>PE</w:t>
    </w:r>
    <w:r w:rsidRPr="00BB5E53">
      <w:rPr>
        <w:rStyle w:val="HideTWBExt"/>
        <w:lang w:val="es-ES"/>
      </w:rPr>
      <w:t>&lt;NoPE&gt;</w:t>
    </w:r>
    <w:r>
      <w:rPr>
        <w:lang w:val="es-ES"/>
      </w:rPr>
      <w:t>796.340</w:t>
    </w:r>
    <w:r w:rsidRPr="00BB5E53">
      <w:rPr>
        <w:rStyle w:val="HideTWBExt"/>
        <w:lang w:val="es-ES"/>
      </w:rPr>
      <w:t>&lt;/NoPE&gt;&lt;Version&gt;</w:t>
    </w:r>
    <w:r>
      <w:rPr>
        <w:lang w:val="es-ES"/>
      </w:rPr>
      <w:t>v01-00</w:t>
    </w:r>
    <w:r w:rsidRPr="00BB5E53">
      <w:rPr>
        <w:rStyle w:val="HideTWBExt"/>
        <w:lang w:val="es-ES"/>
      </w:rPr>
      <w:t>&lt;/Version&gt;</w:t>
    </w:r>
  </w:p>
  <w:p w:rsidR="00DC7A5A" w:rsidRPr="00D17788" w:rsidP="00D17788" w14:paraId="595A74FC" w14:textId="458F41F8">
    <w:pPr>
      <w:pStyle w:val="EPFooter2"/>
      <w:rPr>
        <w:lang w:val="es-ES"/>
      </w:rPr>
    </w:pPr>
    <w:r>
      <w:rPr>
        <w:lang w:val="es-ES"/>
      </w:rPr>
      <w:tab/>
    </w:r>
    <w:r>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788" w:rsidP="00D17788" w14:paraId="3F8AF432" w14:textId="77777777">
    <w:pPr>
      <w:pStyle w:val="EPFooter"/>
    </w:pPr>
    <w:r w:rsidRPr="00D17788">
      <w:rPr>
        <w:rStyle w:val="HideTWBExt"/>
      </w:rPr>
      <w:t>&lt;PathFdR&gt;</w:t>
    </w:r>
    <w:r>
      <w:t>PA\1352282EN.docx</w:t>
    </w:r>
    <w:r w:rsidRPr="00D17788">
      <w:rPr>
        <w:rStyle w:val="HideTWBExt"/>
      </w:rPr>
      <w:t>&lt;/PathFdR&gt;</w:t>
    </w:r>
    <w:r>
      <w:tab/>
    </w:r>
    <w:r>
      <w:tab/>
      <w:t>PE</w:t>
    </w:r>
    <w:r w:rsidRPr="00D17788">
      <w:rPr>
        <w:rStyle w:val="HideTWBExt"/>
      </w:rPr>
      <w:t>&lt;NoPE&gt;</w:t>
    </w:r>
    <w:r>
      <w:t>796.340</w:t>
    </w:r>
    <w:r w:rsidRPr="00D17788">
      <w:rPr>
        <w:rStyle w:val="HideTWBExt"/>
      </w:rPr>
      <w:t>&lt;/NoPE&gt;&lt;Version&gt;</w:t>
    </w:r>
    <w:r>
      <w:t>v01-00</w:t>
    </w:r>
    <w:r w:rsidRPr="00D17788">
      <w:rPr>
        <w:rStyle w:val="HideTWBExt"/>
      </w:rPr>
      <w:t>&lt;/Version&gt;</w:t>
    </w:r>
  </w:p>
  <w:p w:rsidR="00DC7A5A" w:rsidRPr="00D17788" w:rsidP="00D17788" w14:paraId="3C624505" w14:textId="356E7890">
    <w:pPr>
      <w:pStyle w:val="EPFooter2"/>
    </w:pPr>
    <w:r>
      <w:t>EN</w:t>
    </w:r>
    <w:r>
      <w:tab/>
    </w:r>
    <w:r w:rsidRPr="00D17788">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10C2" w:rsidRPr="00D17788" w14:paraId="4E88B95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10C2" w:rsidRPr="00D17788" w14:paraId="09FB277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10C2" w:rsidRPr="00D17788" w14:paraId="6173107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867"/>
    <w:rsid w:val="000313A3"/>
    <w:rsid w:val="000421B6"/>
    <w:rsid w:val="00061FAA"/>
    <w:rsid w:val="000735E0"/>
    <w:rsid w:val="000A3A63"/>
    <w:rsid w:val="000A5DDF"/>
    <w:rsid w:val="000C6DDD"/>
    <w:rsid w:val="000E0C28"/>
    <w:rsid w:val="000E613F"/>
    <w:rsid w:val="00100B9B"/>
    <w:rsid w:val="00134CFA"/>
    <w:rsid w:val="00137BB7"/>
    <w:rsid w:val="001531C0"/>
    <w:rsid w:val="00175705"/>
    <w:rsid w:val="00196065"/>
    <w:rsid w:val="0019778A"/>
    <w:rsid w:val="001B3551"/>
    <w:rsid w:val="001D7D61"/>
    <w:rsid w:val="001E1BA8"/>
    <w:rsid w:val="00282074"/>
    <w:rsid w:val="002942C0"/>
    <w:rsid w:val="002B7A21"/>
    <w:rsid w:val="002C723E"/>
    <w:rsid w:val="002D7622"/>
    <w:rsid w:val="002E31BC"/>
    <w:rsid w:val="0035163D"/>
    <w:rsid w:val="004176BF"/>
    <w:rsid w:val="00422F5E"/>
    <w:rsid w:val="00431EAA"/>
    <w:rsid w:val="00476DD9"/>
    <w:rsid w:val="00485C9B"/>
    <w:rsid w:val="00534774"/>
    <w:rsid w:val="005650E4"/>
    <w:rsid w:val="00590503"/>
    <w:rsid w:val="00595F56"/>
    <w:rsid w:val="005A6321"/>
    <w:rsid w:val="005D1145"/>
    <w:rsid w:val="005D4C00"/>
    <w:rsid w:val="00600761"/>
    <w:rsid w:val="00620687"/>
    <w:rsid w:val="00634476"/>
    <w:rsid w:val="006500E7"/>
    <w:rsid w:val="0066013A"/>
    <w:rsid w:val="006C0D34"/>
    <w:rsid w:val="006D2ABF"/>
    <w:rsid w:val="006D540C"/>
    <w:rsid w:val="006F35D3"/>
    <w:rsid w:val="0077340B"/>
    <w:rsid w:val="00773BC1"/>
    <w:rsid w:val="00796EBE"/>
    <w:rsid w:val="007A7F80"/>
    <w:rsid w:val="007C3AB1"/>
    <w:rsid w:val="007F120F"/>
    <w:rsid w:val="007F3C2D"/>
    <w:rsid w:val="00834319"/>
    <w:rsid w:val="00877853"/>
    <w:rsid w:val="009127FA"/>
    <w:rsid w:val="00957B5B"/>
    <w:rsid w:val="009948A2"/>
    <w:rsid w:val="009A45CF"/>
    <w:rsid w:val="00AD058B"/>
    <w:rsid w:val="00AD2419"/>
    <w:rsid w:val="00AD6494"/>
    <w:rsid w:val="00AE7E53"/>
    <w:rsid w:val="00AF1959"/>
    <w:rsid w:val="00B06590"/>
    <w:rsid w:val="00B24F48"/>
    <w:rsid w:val="00B30918"/>
    <w:rsid w:val="00B41ED4"/>
    <w:rsid w:val="00B70DAD"/>
    <w:rsid w:val="00B8322D"/>
    <w:rsid w:val="00B85867"/>
    <w:rsid w:val="00BA3031"/>
    <w:rsid w:val="00BB5E53"/>
    <w:rsid w:val="00BC0238"/>
    <w:rsid w:val="00BD13AF"/>
    <w:rsid w:val="00BE0A21"/>
    <w:rsid w:val="00BE442E"/>
    <w:rsid w:val="00BF4477"/>
    <w:rsid w:val="00C85D0F"/>
    <w:rsid w:val="00CC6D47"/>
    <w:rsid w:val="00D17788"/>
    <w:rsid w:val="00DC7A5A"/>
    <w:rsid w:val="00DE5F5F"/>
    <w:rsid w:val="00DF1A8C"/>
    <w:rsid w:val="00DF3666"/>
    <w:rsid w:val="00E72181"/>
    <w:rsid w:val="00E810C2"/>
    <w:rsid w:val="00E93409"/>
    <w:rsid w:val="00E97954"/>
    <w:rsid w:val="00EA3304"/>
    <w:rsid w:val="00EB695A"/>
    <w:rsid w:val="00EE4BC4"/>
    <w:rsid w:val="00F22AC0"/>
    <w:rsid w:val="00F55FFD"/>
    <w:rsid w:val="00FA041D"/>
    <w:rsid w:val="00FB18A9"/>
    <w:rsid w:val="00FD6518"/>
  </w:rsids>
  <w:docVars>
    <w:docVar w:name="CJMNU" w:val="1"/>
    <w:docVar w:name="CODEMNU" w:val=" 2"/>
    <w:docVar w:name="COM2KEY" w:val="AFET"/>
    <w:docVar w:name="COMKEY" w:val="LIBE"/>
    <w:docVar w:name="CopyToNetwork" w:val="-1"/>
    <w:docVar w:name="DDATE" w:val="06/10/2026"/>
    <w:docVar w:name="LastEditedSection" w:val=" 1"/>
    <w:docVar w:name="strDocTypeID" w:val="PA_Leg_Consent"/>
    <w:docVar w:name="strSubDir" w:val="1352"/>
    <w:docVar w:name="TEXTMNU" w:val=" 1"/>
    <w:docVar w:name="TITLENLEMNU" w:val=" 5"/>
    <w:docVar w:name="TXTAUTHOR" w:val="Loránt Vincze"/>
    <w:docVar w:name="TXTLANGUE" w:val="EN"/>
    <w:docVar w:name="TXTLANGUEMIN" w:val="en"/>
    <w:docVar w:name="TXTNRC" w:val=" 0186/2026"/>
    <w:docVar w:name="TXTNRCOUNC" w:val=" 06435/2026"/>
    <w:docVar w:name="TXTNRPE" w:val="796.340"/>
    <w:docVar w:name="TXTNRPROC" w:val="2026/0058"/>
    <w:docVar w:name="TXTPEorAP" w:val="PE"/>
    <w:docVar w:name="TXTROUTE" w:val="PA\1352282EN.docx"/>
    <w:docVar w:name="TXTTITLE" w:val="&#13;The Committee on Civil Liberties, Justice and Home Affairs calls on the Committee on Foreign Affairs and the Committee on International Trade, as the committees responsible, to recommend approval of the draft Council decision on the conclusion, on behalf of the Union, of the Agreement in respect of Gibraltar between the European Union and the European Atomic Energy Community, of the one part, and the United Kingdom of Great Britain and Northern Ireland, of the other part.&#13;"/>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68852E87-6CC8-4552-8F76-BF8B58B95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303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A3304"/>
    <w:pPr>
      <w:spacing w:before="80" w:after="80"/>
    </w:pPr>
    <w:rPr>
      <w:rFonts w:ascii="Arial Narrow" w:hAnsi="Arial Narrow" w:cs="Arial"/>
      <w:b/>
      <w:sz w:val="32"/>
      <w:szCs w:val="22"/>
    </w:rPr>
  </w:style>
  <w:style w:type="paragraph" w:customStyle="1" w:styleId="CoverNormal24a">
    <w:name w:val="CoverNormal24a"/>
    <w:basedOn w:val="Normal"/>
    <w:rsid w:val="00476DD9"/>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BE442E"/>
    <w:pPr>
      <w:spacing w:after="240"/>
      <w:jc w:val="center"/>
    </w:pPr>
  </w:style>
  <w:style w:type="paragraph" w:customStyle="1" w:styleId="CoverReference">
    <w:name w:val="CoverReference"/>
    <w:basedOn w:val="Normal"/>
    <w:rsid w:val="006C0D34"/>
    <w:pPr>
      <w:spacing w:before="1080"/>
      <w:jc w:val="right"/>
    </w:pPr>
    <w:rPr>
      <w:rFonts w:ascii="Arial" w:hAnsi="Arial" w:cs="Arial"/>
      <w:b/>
    </w:rPr>
  </w:style>
  <w:style w:type="paragraph" w:customStyle="1" w:styleId="CoverDocType24a">
    <w:name w:val="CoverDocType24a"/>
    <w:basedOn w:val="Normal"/>
    <w:rsid w:val="00476DD9"/>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B06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06590"/>
    <w:pPr>
      <w:jc w:val="center"/>
    </w:pPr>
    <w:rPr>
      <w:rFonts w:ascii="Arial" w:hAnsi="Arial" w:cs="Arial"/>
      <w:i/>
      <w:sz w:val="22"/>
      <w:szCs w:val="22"/>
    </w:rPr>
  </w:style>
  <w:style w:type="paragraph" w:customStyle="1" w:styleId="LineTop">
    <w:name w:val="LineTop"/>
    <w:basedOn w:val="Normal"/>
    <w:next w:val="Normal"/>
    <w:rsid w:val="00B0659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0659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A3304"/>
    <w:pPr>
      <w:spacing w:after="80"/>
    </w:pPr>
    <w:rPr>
      <w:rFonts w:ascii="Arial" w:hAnsi="Arial" w:cs="Arial"/>
      <w:sz w:val="20"/>
      <w:szCs w:val="22"/>
    </w:rPr>
  </w:style>
  <w:style w:type="paragraph" w:customStyle="1" w:styleId="EPLogo">
    <w:name w:val="EPLogo"/>
    <w:basedOn w:val="Normal"/>
    <w:qFormat/>
    <w:rsid w:val="00EA3304"/>
    <w:pPr>
      <w:jc w:val="right"/>
    </w:pPr>
  </w:style>
  <w:style w:type="paragraph" w:customStyle="1" w:styleId="EPFooter">
    <w:name w:val="EPFooter"/>
    <w:basedOn w:val="Normal"/>
    <w:rsid w:val="00476DD9"/>
    <w:pPr>
      <w:tabs>
        <w:tab w:val="center" w:pos="4535"/>
        <w:tab w:val="right" w:pos="9071"/>
      </w:tabs>
      <w:spacing w:before="240" w:after="240"/>
    </w:pPr>
    <w:rPr>
      <w:color w:val="010000"/>
      <w:sz w:val="22"/>
    </w:rPr>
  </w:style>
  <w:style w:type="paragraph" w:styleId="Header">
    <w:name w:val="header"/>
    <w:basedOn w:val="Normal"/>
    <w:link w:val="HeaderChar"/>
    <w:semiHidden/>
    <w:rsid w:val="00196065"/>
    <w:pPr>
      <w:tabs>
        <w:tab w:val="center" w:pos="4513"/>
        <w:tab w:val="right" w:pos="9026"/>
      </w:tabs>
    </w:pPr>
  </w:style>
  <w:style w:type="character" w:customStyle="1" w:styleId="HeaderChar">
    <w:name w:val="Header Char"/>
    <w:basedOn w:val="DefaultParagraphFont"/>
    <w:link w:val="Header"/>
    <w:semiHidden/>
    <w:rsid w:val="00196065"/>
    <w:rPr>
      <w:sz w:val="24"/>
    </w:rPr>
  </w:style>
  <w:style w:type="paragraph" w:styleId="Footer">
    <w:name w:val="footer"/>
    <w:basedOn w:val="Normal"/>
    <w:link w:val="FooterChar"/>
    <w:semiHidden/>
    <w:rsid w:val="00134CFA"/>
    <w:pPr>
      <w:tabs>
        <w:tab w:val="center" w:pos="4513"/>
        <w:tab w:val="right" w:pos="9026"/>
      </w:tabs>
    </w:pPr>
  </w:style>
  <w:style w:type="character" w:customStyle="1" w:styleId="FooterChar">
    <w:name w:val="Footer Char"/>
    <w:basedOn w:val="DefaultParagraphFont"/>
    <w:link w:val="Footer"/>
    <w:semiHidden/>
    <w:rsid w:val="00134CFA"/>
    <w:rPr>
      <w:sz w:val="24"/>
    </w:rPr>
  </w:style>
  <w:style w:type="paragraph" w:styleId="Revision">
    <w:name w:val="Revision"/>
    <w:hidden/>
    <w:uiPriority w:val="99"/>
    <w:semiHidden/>
    <w:rsid w:val="002B7A2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8F8F4-9C29-4F0A-8263-2F77612DF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872</Words>
  <Characters>4963</Characters>
  <Application>Microsoft Office Word</Application>
  <DocSecurity>0</DocSecurity>
  <Lines>93</Lines>
  <Paragraphs>27</Paragraphs>
  <ScaleCrop>false</ScaleCrop>
  <HeadingPairs>
    <vt:vector size="2" baseType="variant">
      <vt:variant>
        <vt:lpstr>Title</vt:lpstr>
      </vt:variant>
      <vt:variant>
        <vt:i4>1</vt:i4>
      </vt:variant>
    </vt:vector>
  </HeadingPairs>
  <TitlesOfParts>
    <vt:vector size="1" baseType="lpstr">
      <vt:lpstr>PA_Leg_Consent</vt:lpstr>
    </vt:vector>
  </TitlesOfParts>
  <Company/>
  <LinksUpToDate>false</LinksUpToDate>
  <CharactersWithSpaces>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PA_Leg_Consent</dc:title>
  <dc:creator>European Parliament</dc:creator>
  <cp:lastModifiedBy>European Parliament</cp:lastModifiedBy>
  <cp:revision>3</cp:revision>
  <cp:lastPrinted>2004-10-28T10:33:00Z</cp:lastPrinted>
  <dcterms:created xsi:type="dcterms:W3CDTF">2026-10-08T15:06:00Z</dcterms:created>
  <dcterms:modified xsi:type="dcterms:W3CDTF">2026-10-08T15:06:00Z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1352282</vt:lpwstr>
  </property>
  <property fmtid="{D5CDD505-2E9C-101B-9397-08002B2CF9AE}" pid="4" name="&lt;Model&gt;">
    <vt:lpwstr>PA_Leg_Consent</vt:lpwstr>
  </property>
  <property fmtid="{D5CDD505-2E9C-101B-9397-08002B2CF9AE}" pid="5" name="&lt;ModelCod&gt;">
    <vt:lpwstr>\\eiciBRUpr1\pdocep$\DocEP\DOCS\General\PA\PA_Leg\PA_Leg_Consent.dotx(19/12/2022 07:51:19)</vt:lpwstr>
  </property>
  <property fmtid="{D5CDD505-2E9C-101B-9397-08002B2CF9AE}" pid="6" name="&lt;ModelTra&gt;">
    <vt:lpwstr>\\eiciBRUpr1\pdocep$\DocEP\TRANSFIL\EN\PA_Leg_Consent.EN(03/03/2026 11:04:09)</vt:lpwstr>
  </property>
  <property fmtid="{D5CDD505-2E9C-101B-9397-08002B2CF9AE}" pid="7" name="&lt;Type&gt;">
    <vt:lpwstr>PA</vt:lpwstr>
  </property>
  <property fmtid="{D5CDD505-2E9C-101B-9397-08002B2CF9AE}" pid="8" name="Created with">
    <vt:lpwstr>10.3.1 Build [20260902]</vt:lpwstr>
  </property>
  <property fmtid="{D5CDD505-2E9C-101B-9397-08002B2CF9AE}" pid="9" name="FooterPath">
    <vt:lpwstr>PA\1352282EN.docx</vt:lpwstr>
  </property>
  <property fmtid="{D5CDD505-2E9C-101B-9397-08002B2CF9AE}" pid="10" name="LastEdited with">
    <vt:lpwstr>10.3.1 Build [20260902]</vt:lpwstr>
  </property>
  <property fmtid="{D5CDD505-2E9C-101B-9397-08002B2CF9AE}" pid="11" name="OriLang">
    <vt:lpwstr>EN</vt:lpwstr>
  </property>
  <property fmtid="{D5CDD505-2E9C-101B-9397-08002B2CF9AE}" pid="12" name="PE number">
    <vt:lpwstr>796.340</vt:lpwstr>
  </property>
  <property fmtid="{D5CDD505-2E9C-101B-9397-08002B2CF9AE}" pid="13" name="RegistreCheck">
    <vt:lpwstr>OK</vt:lpwstr>
  </property>
  <property fmtid="{D5CDD505-2E9C-101B-9397-08002B2CF9AE}" pid="14" name="SendToEpades">
    <vt:lpwstr>OK - 2026/10/07 16:28</vt:lpwstr>
  </property>
</Properties>
</file>