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9E7D89E"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A8495D" w:rsidP="00C85D0F" w14:paraId="5C1527AC" w14:textId="51A5846F">
            <w:pPr>
              <w:pStyle w:val="EPName"/>
            </w:pPr>
            <w:r w:rsidRPr="00A8495D">
              <w:t>European Parliament</w:t>
            </w:r>
          </w:p>
          <w:p w:rsidR="00BA3E40" w:rsidRPr="00A8495D" w:rsidP="00C85D0F" w14:paraId="329FCC4C" w14:textId="45E987DC">
            <w:pPr>
              <w:pStyle w:val="EPTerm"/>
            </w:pPr>
            <w:r w:rsidRPr="00A8495D">
              <w:t>2024-2029</w:t>
            </w:r>
          </w:p>
        </w:tc>
        <w:tc>
          <w:tcPr>
            <w:tcW w:w="2268" w:type="dxa"/>
          </w:tcPr>
          <w:p w:rsidR="00BA3E40" w:rsidRPr="00A8495D" w:rsidP="00C85D0F" w14:paraId="376D5F25" w14:textId="77777777">
            <w:pPr>
              <w:pStyle w:val="EPLogo"/>
            </w:pPr>
            <w:r w:rsidRPr="00A8495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19955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8495D" w:rsidP="00F24D40" w14:paraId="4E6E1EDB" w14:textId="77777777">
      <w:pPr>
        <w:pStyle w:val="LineTop"/>
      </w:pPr>
    </w:p>
    <w:p w:rsidR="00F24D40" w:rsidRPr="00A8495D" w:rsidP="00F24D40" w14:paraId="71A2A254" w14:textId="4E9B8DD9">
      <w:pPr>
        <w:pStyle w:val="EPBody"/>
      </w:pPr>
      <w:r w:rsidRPr="00A8495D">
        <w:rPr>
          <w:rStyle w:val="HideTWBExt"/>
        </w:rPr>
        <w:t>&lt;</w:t>
      </w:r>
      <w:r w:rsidRPr="00A8495D">
        <w:rPr>
          <w:rStyle w:val="HideTWBExt"/>
          <w:i w:val="0"/>
        </w:rPr>
        <w:t>Commission</w:t>
      </w:r>
      <w:r w:rsidRPr="00A8495D">
        <w:rPr>
          <w:rStyle w:val="HideTWBExt"/>
        </w:rPr>
        <w:t>&gt;</w:t>
      </w:r>
      <w:r w:rsidRPr="00A8495D" w:rsidR="00124575">
        <w:rPr>
          <w:rStyle w:val="HideTWBInt"/>
        </w:rPr>
        <w:t>{TRAN}</w:t>
      </w:r>
      <w:r w:rsidRPr="00A8495D" w:rsidR="00124575">
        <w:t>Committee on Transport and Tourism</w:t>
      </w:r>
      <w:r w:rsidRPr="00A8495D">
        <w:rPr>
          <w:rStyle w:val="HideTWBExt"/>
        </w:rPr>
        <w:t>&lt;/</w:t>
      </w:r>
      <w:r w:rsidRPr="00A8495D">
        <w:rPr>
          <w:rStyle w:val="HideTWBExt"/>
          <w:i w:val="0"/>
        </w:rPr>
        <w:t>Commission</w:t>
      </w:r>
      <w:r w:rsidRPr="00A8495D">
        <w:rPr>
          <w:rStyle w:val="HideTWBExt"/>
        </w:rPr>
        <w:t>&gt;</w:t>
      </w:r>
    </w:p>
    <w:p w:rsidR="00F24D40" w:rsidRPr="00A8495D" w:rsidP="00F24D40" w14:paraId="073A6A81" w14:textId="77777777">
      <w:pPr>
        <w:pStyle w:val="LineBottom"/>
      </w:pPr>
    </w:p>
    <w:p w:rsidR="00DB56E4" w:rsidRPr="00A8495D" w:rsidP="00DB56E4" w14:paraId="67147F3F" w14:textId="61FB74D7">
      <w:pPr>
        <w:pStyle w:val="CoverReference"/>
      </w:pPr>
      <w:r w:rsidRPr="00A8495D">
        <w:rPr>
          <w:rStyle w:val="HideTWBExt"/>
          <w:b w:val="0"/>
        </w:rPr>
        <w:t>&lt;RefProc&gt;</w:t>
      </w:r>
      <w:r w:rsidRPr="00A8495D" w:rsidR="00124575">
        <w:t>2026/0210</w:t>
      </w:r>
      <w:r w:rsidRPr="00A8495D">
        <w:rPr>
          <w:rStyle w:val="HideTWBExt"/>
          <w:b w:val="0"/>
        </w:rPr>
        <w:t>&lt;/RefProc&gt;&lt;RefTypeProc&gt;</w:t>
      </w:r>
      <w:r w:rsidRPr="00A8495D" w:rsidR="006D6DEB">
        <w:t>(</w:t>
      </w:r>
      <w:r w:rsidRPr="00A8495D" w:rsidR="00124575">
        <w:t>COD</w:t>
      </w:r>
      <w:r w:rsidRPr="00A8495D" w:rsidR="006D6DEB">
        <w:t>)</w:t>
      </w:r>
      <w:r w:rsidRPr="00A8495D">
        <w:rPr>
          <w:rStyle w:val="HideTWBExt"/>
          <w:b w:val="0"/>
        </w:rPr>
        <w:t>&lt;/RefTypeProc&gt;</w:t>
      </w:r>
    </w:p>
    <w:p w:rsidR="00DB56E4" w:rsidRPr="00A8495D" w:rsidP="00DB56E4" w14:paraId="1862906C" w14:textId="4C5F06C8">
      <w:pPr>
        <w:pStyle w:val="CoverDate"/>
      </w:pPr>
      <w:r w:rsidRPr="00A8495D">
        <w:rPr>
          <w:rStyle w:val="HideTWBExt"/>
        </w:rPr>
        <w:t>&lt;Date&gt;</w:t>
      </w:r>
      <w:r w:rsidRPr="00A8495D" w:rsidR="00124575">
        <w:rPr>
          <w:rStyle w:val="HideTWBInt"/>
        </w:rPr>
        <w:t>{30/09/2026}</w:t>
      </w:r>
      <w:r w:rsidRPr="00A8495D" w:rsidR="00124575">
        <w:t>30.9.2026</w:t>
      </w:r>
      <w:r w:rsidRPr="00A8495D">
        <w:rPr>
          <w:rStyle w:val="HideTWBExt"/>
        </w:rPr>
        <w:t>&lt;/Date&gt;</w:t>
      </w:r>
    </w:p>
    <w:p w:rsidR="00DB56E4" w:rsidRPr="00A8495D" w:rsidP="00DB56E4" w14:paraId="184B2E5E" w14:textId="64D3A9A4">
      <w:pPr>
        <w:pStyle w:val="CoverDocType24a"/>
      </w:pPr>
      <w:r w:rsidRPr="00A8495D">
        <w:rPr>
          <w:rStyle w:val="HideTWBExt"/>
          <w:b w:val="0"/>
        </w:rPr>
        <w:t>&lt;TitreType&gt;</w:t>
      </w:r>
      <w:r w:rsidRPr="00A8495D" w:rsidR="006D6DEB">
        <w:t>DRAFT OPINION</w:t>
      </w:r>
      <w:r w:rsidRPr="00A8495D">
        <w:rPr>
          <w:rStyle w:val="HideTWBExt"/>
          <w:b w:val="0"/>
        </w:rPr>
        <w:t>&lt;/TitreType&gt;</w:t>
      </w:r>
    </w:p>
    <w:p w:rsidR="00DB56E4" w:rsidRPr="00A8495D" w:rsidP="00DB56E4" w14:paraId="173E894B" w14:textId="7025744D">
      <w:pPr>
        <w:pStyle w:val="CoverNormal24a"/>
      </w:pPr>
      <w:r w:rsidRPr="00A8495D">
        <w:rPr>
          <w:rStyle w:val="HideTWBExt"/>
        </w:rPr>
        <w:t>&lt;CommissionResp&gt;</w:t>
      </w:r>
      <w:r w:rsidRPr="00A8495D" w:rsidR="006D6DEB">
        <w:t xml:space="preserve">of the </w:t>
      </w:r>
      <w:r w:rsidRPr="00A8495D" w:rsidR="00124575">
        <w:t>Committee on Transport and Tourism</w:t>
      </w:r>
      <w:r w:rsidRPr="00A8495D">
        <w:rPr>
          <w:rStyle w:val="HideTWBExt"/>
        </w:rPr>
        <w:t>&lt;/CommissionResp&gt;</w:t>
      </w:r>
    </w:p>
    <w:p w:rsidR="00DB56E4" w:rsidRPr="00A8495D" w:rsidP="00DB56E4" w14:paraId="5525BE1D" w14:textId="569450F5">
      <w:pPr>
        <w:pStyle w:val="CoverNormal24a"/>
      </w:pPr>
      <w:r w:rsidRPr="00A8495D">
        <w:rPr>
          <w:rStyle w:val="HideTWBExt"/>
        </w:rPr>
        <w:t>&lt;CommissionInt&gt;</w:t>
      </w:r>
      <w:r w:rsidRPr="00A8495D" w:rsidR="006D6DEB">
        <w:t xml:space="preserve">for the </w:t>
      </w:r>
      <w:r w:rsidRPr="00A8495D" w:rsidR="00124575">
        <w:t>Committee on the Environment, Climate and Food Safety</w:t>
      </w:r>
      <w:r w:rsidRPr="00A8495D">
        <w:rPr>
          <w:rStyle w:val="HideTWBExt"/>
        </w:rPr>
        <w:t>&lt;/CommissionInt&gt;</w:t>
      </w:r>
    </w:p>
    <w:p w:rsidR="00DB56E4" w:rsidRPr="00A8495D" w:rsidP="00DB56E4" w14:paraId="23FB3D65" w14:textId="5011003C">
      <w:pPr>
        <w:pStyle w:val="CoverNormal"/>
      </w:pPr>
      <w:r w:rsidRPr="00A8495D">
        <w:rPr>
          <w:rStyle w:val="HideTWBExt"/>
        </w:rPr>
        <w:t>&lt;Titre&gt;</w:t>
      </w:r>
      <w:r w:rsidRPr="00A8495D" w:rsidR="00124575">
        <w:t xml:space="preserve">on the proposal for a regulation of the European Parliament and of the Council amending </w:t>
      </w:r>
      <w:r w:rsidRPr="00A8495D" w:rsidR="00F137FA">
        <w:t>Regulations (EU) 2015/757 and (EU) 2023/1805 to simplify and streamline monitoring, reporting and verification and to align with revisions of the EU Emissions Trading System</w:t>
      </w:r>
      <w:r w:rsidRPr="00A8495D">
        <w:rPr>
          <w:rStyle w:val="HideTWBExt"/>
        </w:rPr>
        <w:t>&lt;/Titre&gt;</w:t>
      </w:r>
    </w:p>
    <w:p w:rsidR="00DB56E4" w:rsidRPr="00A8495D" w:rsidP="00DB56E4" w14:paraId="786F23E1" w14:textId="65597E9D">
      <w:pPr>
        <w:pStyle w:val="CoverNormal24a"/>
        <w:rPr>
          <w:lang w:val="fr-BE"/>
        </w:rPr>
      </w:pPr>
      <w:r w:rsidRPr="00A8495D">
        <w:rPr>
          <w:rStyle w:val="HideTWBExt"/>
          <w:lang w:val="fr-BE"/>
        </w:rPr>
        <w:t>&lt;DocRef&gt;</w:t>
      </w:r>
      <w:r w:rsidRPr="00A8495D" w:rsidR="006D6DEB">
        <w:rPr>
          <w:lang w:val="fr-BE"/>
        </w:rPr>
        <w:t>(</w:t>
      </w:r>
      <w:r w:rsidRPr="00A8495D" w:rsidR="00124575">
        <w:rPr>
          <w:lang w:val="fr-BE"/>
        </w:rPr>
        <w:t>COM(2026)0620 – C10</w:t>
      </w:r>
      <w:r w:rsidRPr="00A8495D" w:rsidR="00124575">
        <w:rPr>
          <w:lang w:val="fr-BE"/>
        </w:rPr>
        <w:noBreakHyphen/>
        <w:t>0190/2026 – 2026/0210</w:t>
      </w:r>
      <w:r w:rsidRPr="00A8495D" w:rsidR="006D6DEB">
        <w:rPr>
          <w:lang w:val="fr-BE"/>
        </w:rPr>
        <w:t>(</w:t>
      </w:r>
      <w:r w:rsidRPr="00A8495D" w:rsidR="00124575">
        <w:rPr>
          <w:lang w:val="fr-BE"/>
        </w:rPr>
        <w:t>COD</w:t>
      </w:r>
      <w:r w:rsidRPr="00A8495D" w:rsidR="006D6DEB">
        <w:rPr>
          <w:lang w:val="fr-BE"/>
        </w:rPr>
        <w:t>))</w:t>
      </w:r>
      <w:r w:rsidRPr="00A8495D">
        <w:rPr>
          <w:rStyle w:val="HideTWBExt"/>
          <w:lang w:val="fr-BE"/>
        </w:rPr>
        <w:t>&lt;/DocRef&gt;</w:t>
      </w:r>
    </w:p>
    <w:p w:rsidR="00DB56E4" w:rsidRPr="00A8495D" w:rsidP="00DB56E4" w14:paraId="5AC066EC" w14:textId="1F1CAD05">
      <w:pPr>
        <w:pStyle w:val="CoverNormal24a"/>
        <w:rPr>
          <w:lang w:val="fr-BE"/>
        </w:rPr>
      </w:pPr>
      <w:r w:rsidRPr="00A8495D">
        <w:rPr>
          <w:lang w:val="fr-BE"/>
        </w:rPr>
        <w:t>Rapporteur for opinion:</w:t>
      </w:r>
      <w:r w:rsidRPr="00A8495D">
        <w:rPr>
          <w:lang w:val="fr-BE"/>
        </w:rPr>
        <w:t xml:space="preserve"> </w:t>
      </w:r>
      <w:r w:rsidRPr="00A8495D">
        <w:rPr>
          <w:rStyle w:val="HideTWBExt"/>
          <w:lang w:val="fr-BE"/>
        </w:rPr>
        <w:t>&lt;Depute&gt;</w:t>
      </w:r>
      <w:r w:rsidRPr="00A8495D" w:rsidR="00124575">
        <w:rPr>
          <w:lang w:val="fr-BE"/>
        </w:rPr>
        <w:t>Isabelle Le Callennec</w:t>
      </w:r>
      <w:r w:rsidRPr="00A8495D">
        <w:rPr>
          <w:rStyle w:val="HideTWBExt"/>
          <w:lang w:val="fr-BE"/>
        </w:rPr>
        <w:t>&lt;/Depute&gt;</w:t>
      </w:r>
    </w:p>
    <w:p w:rsidR="00487596" w:rsidRPr="00A8495D" w:rsidP="00487596" w14:paraId="22395310" w14:textId="77777777">
      <w:pPr>
        <w:pStyle w:val="CoverNormal"/>
        <w:rPr>
          <w:lang w:val="fr-BE"/>
        </w:rPr>
      </w:pPr>
    </w:p>
    <w:p w:rsidR="00DB56E4" w:rsidRPr="00A8495D" w:rsidP="0004474F" w14:paraId="0C3452CD" w14:textId="0D158004">
      <w:pPr>
        <w:tabs>
          <w:tab w:val="center" w:pos="4677"/>
        </w:tabs>
      </w:pPr>
      <w:r w:rsidRPr="00A8495D">
        <w:br w:type="page"/>
      </w:r>
      <w:r w:rsidRPr="00A8495D" w:rsidR="006D6DEB">
        <w:t>PA_Legam</w:t>
      </w:r>
    </w:p>
    <w:p w:rsidR="00DB56E4" w:rsidRPr="00A8495D" w:rsidP="00DB56E4" w14:paraId="4E59289C" w14:textId="0E806EB2">
      <w:pPr>
        <w:pStyle w:val="PageHeadingNotTOC"/>
      </w:pPr>
      <w:r w:rsidRPr="00A8495D">
        <w:br w:type="page"/>
      </w:r>
      <w:r w:rsidRPr="00A8495D" w:rsidR="006D6DEB">
        <w:t>SHORT JUSTIFICATION</w:t>
      </w:r>
    </w:p>
    <w:p w:rsidR="00F137FA" w:rsidRPr="00A8495D" w:rsidP="00F137FA" w14:paraId="08F7A107" w14:textId="790E18F0">
      <w:pPr>
        <w:pStyle w:val="Normal12a"/>
      </w:pPr>
      <w:r w:rsidRPr="00A8495D">
        <w:t>This opinion supports the simplification resulting from the creation of a single monitoring, reporting and verification system for the EU ETS and FuelEU Maritime. However, this streamlining must not lead to an insufficiently assessed extension of the scope of the MRV Regulation or disregard the specific characteristics of certain maritime activities.</w:t>
      </w:r>
    </w:p>
    <w:p w:rsidR="00F137FA" w:rsidRPr="00A8495D" w:rsidP="00F137FA" w14:paraId="72E290FD" w14:textId="77777777">
      <w:pPr>
        <w:pStyle w:val="Normal12a"/>
      </w:pPr>
      <w:r w:rsidRPr="00A8495D">
        <w:t>The proposal to revise the maritime EU ETS provides for its extension to several categories of ships between 400 and 5 000 gross tonnage. In preparation for their inclusion, the Commission also proposes to extend the MRV framework from 2029, notably to oil tankers, chemical tankers, gas carriers, LNG carriers, ro-pax ships and passenger ships. However, the extension of the EU ETS is not supported by a sufficiently detailed impact assessment. It could impose disproportionate costs on small operators and SMEs, encourage carbon leakage to third-country ports and lead to a modal shift from maritime to road transport. No new category of ships below 5 000 gross tonnage should therefore be added before the current system has been comprehensively evaluated.</w:t>
      </w:r>
    </w:p>
    <w:p w:rsidR="00F137FA" w:rsidRPr="00A8495D" w:rsidP="00F137FA" w14:paraId="71A7D17D" w14:textId="77777777">
      <w:pPr>
        <w:pStyle w:val="Normal12a"/>
      </w:pPr>
      <w:r w:rsidRPr="00A8495D">
        <w:t>The framework applicable to offshore ships must also better reflect the diversity of their operational profiles. Their inclusion in the EU ETS from 2027 would precede the application, planned for 2029, of the revised activity-based MRV framework. The current parameters, particularly those relating to distance travelled, cargo carried and transport work, are not suited to operations characterised by dynamic positioning, standby periods, anchoring or the use of specialised equipment. The inclusion of offshore ships in the EU ETS should therefore be suspended, at the very least, until the new activity-based MRV framework and the corresponding rules are fully operational.</w:t>
      </w:r>
    </w:p>
    <w:p w:rsidR="00F137FA" w:rsidRPr="00A8495D" w:rsidP="00F137FA" w14:paraId="3B46EEC0" w14:textId="77777777">
      <w:pPr>
        <w:pStyle w:val="Normal12a"/>
      </w:pPr>
      <w:r w:rsidRPr="00A8495D">
        <w:t>Finally, maritime decarbonisation must contribute to strengthening Europe’s industrial base. As large a share as possible of the EU ETS revenues generated by the maritime sector should be reinvested across its entire value chain, notably in sustainable fuels, ports, shipyards, maritime equipment, clean shipbuilding and fleet conversion. Wherever possible, support financed by those revenues should comply with European preference criteria (“Made in Europe”), as well as resilience and sustainability criteria, in order to support the Union’s industrial capacity, skilled jobs and security of supply.</w:t>
      </w:r>
    </w:p>
    <w:p w:rsidR="00F137FA" w:rsidRPr="00A8495D" w:rsidP="00F137FA" w14:paraId="2B420CD3" w14:textId="77777777">
      <w:pPr>
        <w:pStyle w:val="Normal12a"/>
      </w:pPr>
      <w:r w:rsidRPr="00A8495D">
        <w:t xml:space="preserve">Europe’s maritime transition must be based on rules that reflect operational realities and turn decarbonisation investment into industrial capacity, technologies and high-quality jobs in Europe. </w:t>
      </w:r>
    </w:p>
    <w:p w:rsidR="00DB56E4" w:rsidRPr="00A8495D" w:rsidP="00F137FA" w14:paraId="4D77D3F8" w14:textId="2CDFA86C">
      <w:pPr>
        <w:pStyle w:val="Normal12a"/>
      </w:pPr>
      <w:r w:rsidRPr="00A8495D">
        <w:t>Our sovereignty depends on it.</w:t>
      </w:r>
    </w:p>
    <w:p w:rsidR="00DB56E4" w:rsidRPr="00A8495D" w:rsidP="00DB56E4" w14:paraId="090BAF22" w14:textId="5F753A1F">
      <w:pPr>
        <w:pStyle w:val="AmHeadingPA"/>
      </w:pPr>
      <w:r w:rsidRPr="00A8495D">
        <w:t>AMENDMENTS</w:t>
      </w:r>
    </w:p>
    <w:p w:rsidR="00DB56E4" w:rsidRPr="00A8495D" w:rsidP="001E3AC4" w14:paraId="204A5D42" w14:textId="36141ED3">
      <w:pPr>
        <w:pStyle w:val="Normal12a"/>
      </w:pPr>
      <w:bookmarkStart w:id="0" w:name="IntroA"/>
      <w:r w:rsidRPr="00A8495D">
        <w:t xml:space="preserve">The </w:t>
      </w:r>
      <w:r w:rsidRPr="00A8495D" w:rsidR="00124575">
        <w:t>Committee on Transport and Tourism</w:t>
      </w:r>
      <w:r w:rsidRPr="00A8495D">
        <w:t xml:space="preserve"> submits the following to the </w:t>
      </w:r>
      <w:r w:rsidRPr="00A8495D" w:rsidR="00124575">
        <w:t>Committee on the Environment, Climate and Food Safety</w:t>
      </w:r>
      <w:r w:rsidRPr="00A8495D">
        <w:t xml:space="preserve">, </w:t>
      </w:r>
      <w:r w:rsidRPr="00A8495D" w:rsidR="00124575">
        <w:t>as the committee responsible:</w:t>
      </w:r>
    </w:p>
    <w:bookmarkEnd w:id="0"/>
    <w:p w:rsidR="00F137FA" w:rsidRPr="00A8495D" w:rsidP="00F137FA" w14:paraId="0823BDDA" w14:textId="77777777">
      <w:pPr>
        <w:pStyle w:val="AMNumberTabs0"/>
        <w:keepNext/>
        <w:rPr>
          <w:lang w:val="en-GB"/>
        </w:rPr>
      </w:pPr>
      <w:r w:rsidRPr="00A8495D">
        <w:rPr>
          <w:rStyle w:val="HideTWBExt"/>
          <w:b w:val="0"/>
          <w:lang w:val="en-GB"/>
        </w:rPr>
        <w:t>&lt;RepeatBlock-Amend&gt;&lt;Amend&gt;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1</w:t>
      </w:r>
      <w:r w:rsidRPr="00A8495D">
        <w:rPr>
          <w:rStyle w:val="HideTWBExt"/>
          <w:b w:val="0"/>
          <w:lang w:val="en-GB"/>
        </w:rPr>
        <w:t>&lt;/NumAm&gt;</w:t>
      </w:r>
    </w:p>
    <w:p w:rsidR="00F137FA" w:rsidRPr="00A8495D" w:rsidP="00F137FA" w14:paraId="5E370AF7"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00AC9D78" w14:textId="77777777">
      <w:pPr>
        <w:pStyle w:val="NormalBold"/>
      </w:pPr>
      <w:r w:rsidRPr="00A8495D">
        <w:rPr>
          <w:rStyle w:val="HideTWBExt"/>
          <w:b w:val="0"/>
        </w:rPr>
        <w:t>&lt;Article&gt;</w:t>
      </w:r>
      <w:r w:rsidRPr="00A8495D">
        <w:t>Recital 12</w:t>
      </w:r>
      <w:r w:rsidRPr="00A8495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208AE2"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7921C21B" w14:textId="77777777">
            <w:pPr>
              <w:keepNext/>
            </w:pPr>
          </w:p>
        </w:tc>
      </w:tr>
      <w:tr w14:paraId="1FB74201"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3E7CD5E5" w14:textId="77777777">
            <w:pPr>
              <w:pStyle w:val="ColumnHeading"/>
              <w:keepNext/>
              <w:rPr>
                <w:lang w:val="en-GB"/>
              </w:rPr>
            </w:pPr>
            <w:r w:rsidRPr="00A8495D">
              <w:rPr>
                <w:lang w:val="en-GB"/>
              </w:rPr>
              <w:t>Text proposed by the Commission</w:t>
            </w:r>
          </w:p>
        </w:tc>
        <w:tc>
          <w:tcPr>
            <w:tcW w:w="4876" w:type="dxa"/>
          </w:tcPr>
          <w:p w:rsidR="00F137FA" w:rsidRPr="00A8495D" w:rsidP="00284B7D" w14:paraId="56268B35" w14:textId="77777777">
            <w:pPr>
              <w:pStyle w:val="ColumnHeading"/>
              <w:keepNext/>
              <w:rPr>
                <w:lang w:val="en-GB"/>
              </w:rPr>
            </w:pPr>
            <w:r w:rsidRPr="00A8495D">
              <w:rPr>
                <w:lang w:val="en-GB"/>
              </w:rPr>
              <w:t>Amendment</w:t>
            </w:r>
          </w:p>
        </w:tc>
      </w:tr>
      <w:tr w14:paraId="743A982B"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546BDA5B" w14:textId="77777777">
            <w:pPr>
              <w:pStyle w:val="Normal6"/>
              <w:rPr>
                <w:lang w:val="en-GB"/>
              </w:rPr>
            </w:pPr>
            <w:r w:rsidRPr="00A8495D">
              <w:rPr>
                <w:b/>
                <w:i/>
                <w:lang w:val="en-GB"/>
              </w:rPr>
              <w:t>(12)</w:t>
            </w:r>
            <w:r w:rsidRPr="00A8495D">
              <w:rPr>
                <w:b/>
                <w:i/>
                <w:lang w:val="en-GB"/>
              </w:rPr>
              <w:tab/>
              <w:t>To increase the environmental effectiveness of the MRV system, and to ensure a level playing field and reduce the risk of circumvention, oil tankers, chemical tankers, gas carriers, LNG carriers, Ro-Pax ships, and passenger ships below 5 000 gross tonnage but not below 400 gross tonnage should be included in Regulation (EU) 2015/757 from 2029.</w:t>
            </w:r>
          </w:p>
        </w:tc>
        <w:tc>
          <w:tcPr>
            <w:tcW w:w="4876" w:type="dxa"/>
          </w:tcPr>
          <w:p w:rsidR="00F137FA" w:rsidRPr="00A8495D" w:rsidP="00284B7D" w14:paraId="48A4C587" w14:textId="77777777">
            <w:pPr>
              <w:pStyle w:val="Normal6"/>
              <w:rPr>
                <w:szCs w:val="24"/>
                <w:lang w:val="en-GB"/>
              </w:rPr>
            </w:pPr>
            <w:r w:rsidRPr="00A8495D">
              <w:rPr>
                <w:b/>
                <w:i/>
              </w:rPr>
              <w:t>deleted</w:t>
            </w:r>
          </w:p>
        </w:tc>
      </w:tr>
    </w:tbl>
    <w:p w:rsidR="00F137FA" w:rsidRPr="00A8495D" w:rsidP="00F137FA" w14:paraId="06EC9872"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3DA0F367" w14:textId="77777777">
      <w:r w:rsidRPr="00A8495D">
        <w:rPr>
          <w:rStyle w:val="HideTWBExt"/>
        </w:rPr>
        <w:t>&lt;/Amend&gt;</w:t>
      </w:r>
    </w:p>
    <w:p w:rsidR="00F137FA" w:rsidRPr="00A8495D" w:rsidP="00F137FA" w14:paraId="62A693C7"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2</w:t>
      </w:r>
      <w:r w:rsidRPr="00A8495D">
        <w:rPr>
          <w:rStyle w:val="HideTWBExt"/>
          <w:b w:val="0"/>
          <w:lang w:val="en-GB"/>
        </w:rPr>
        <w:t>&lt;/NumAm&gt;</w:t>
      </w:r>
    </w:p>
    <w:p w:rsidR="00F137FA" w:rsidRPr="00A8495D" w:rsidP="00F137FA" w14:paraId="2B801F92"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6D47FB8E" w14:textId="77777777">
      <w:pPr>
        <w:pStyle w:val="NormalBold"/>
      </w:pPr>
      <w:r w:rsidRPr="00A8495D">
        <w:rPr>
          <w:rStyle w:val="HideTWBExt"/>
          <w:b w:val="0"/>
        </w:rPr>
        <w:t>&lt;Article&gt;</w:t>
      </w:r>
      <w:r w:rsidRPr="00A8495D">
        <w:t>Recital 13 a (new)</w:t>
      </w:r>
      <w:r w:rsidRPr="00A8495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22D00"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7D8A566A" w14:textId="77777777">
            <w:pPr>
              <w:keepNext/>
            </w:pPr>
          </w:p>
        </w:tc>
      </w:tr>
      <w:tr w14:paraId="4491DA4D"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1D2522A8" w14:textId="77777777">
            <w:pPr>
              <w:pStyle w:val="ColumnHeading"/>
              <w:keepNext/>
              <w:rPr>
                <w:lang w:val="en-GB"/>
              </w:rPr>
            </w:pPr>
            <w:r w:rsidRPr="00A8495D">
              <w:rPr>
                <w:lang w:val="en-GB"/>
              </w:rPr>
              <w:t>Text proposed by the Commission</w:t>
            </w:r>
          </w:p>
        </w:tc>
        <w:tc>
          <w:tcPr>
            <w:tcW w:w="4876" w:type="dxa"/>
          </w:tcPr>
          <w:p w:rsidR="00F137FA" w:rsidRPr="00A8495D" w:rsidP="00284B7D" w14:paraId="34AF4FB6" w14:textId="77777777">
            <w:pPr>
              <w:pStyle w:val="ColumnHeading"/>
              <w:keepNext/>
              <w:rPr>
                <w:lang w:val="en-GB"/>
              </w:rPr>
            </w:pPr>
            <w:r w:rsidRPr="00A8495D">
              <w:rPr>
                <w:lang w:val="en-GB"/>
              </w:rPr>
              <w:t>Amendment</w:t>
            </w:r>
          </w:p>
        </w:tc>
      </w:tr>
      <w:tr w14:paraId="38FB7642"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2A708601" w14:textId="77777777">
            <w:pPr>
              <w:pStyle w:val="Normal6"/>
              <w:rPr>
                <w:lang w:val="en-GB"/>
              </w:rPr>
            </w:pPr>
          </w:p>
        </w:tc>
        <w:tc>
          <w:tcPr>
            <w:tcW w:w="4876" w:type="dxa"/>
          </w:tcPr>
          <w:p w:rsidR="00F137FA" w:rsidRPr="00A8495D" w:rsidP="00284B7D" w14:paraId="39D19986" w14:textId="77777777">
            <w:pPr>
              <w:pStyle w:val="Normal6"/>
              <w:rPr>
                <w:szCs w:val="24"/>
                <w:lang w:val="en-GB"/>
              </w:rPr>
            </w:pPr>
            <w:r w:rsidRPr="00A8495D">
              <w:rPr>
                <w:b/>
                <w:i/>
                <w:lang w:val="en-GB"/>
              </w:rPr>
              <w:t>(13a)</w:t>
            </w:r>
            <w:r w:rsidRPr="00A8495D">
              <w:rPr>
                <w:b/>
                <w:i/>
                <w:lang w:val="en-GB"/>
              </w:rPr>
              <w:tab/>
              <w:t>The extension of the monitoring, reporting and verification obligations to additional categories of ships between 400 and 5 000 gross tonnage, as a preliminary step towards their possible inclusion in the EU ETS, has not been supported by a sufficiently detailed impact assessment. Such an extension risks imposing disproportionate administrative and compliance costs on small operators and SMEs, while the effects of the maritime EU ETS, which has applied only since 2024, cannot yet be fully assessed. Any extension of the MRV scope should therefore be considered only after the existing system has been thoroughly evaluated and its monitoring and reporting parameters appropriately revised.</w:t>
            </w:r>
          </w:p>
        </w:tc>
      </w:tr>
    </w:tbl>
    <w:p w:rsidR="00F137FA" w:rsidRPr="00A8495D" w:rsidP="00F137FA" w14:paraId="21F48DE2"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3DF3CAA7" w14:textId="77777777">
      <w:r w:rsidRPr="00A8495D">
        <w:rPr>
          <w:rStyle w:val="HideTWBExt"/>
        </w:rPr>
        <w:t>&lt;/Amend&gt;</w:t>
      </w:r>
    </w:p>
    <w:p w:rsidR="00F137FA" w:rsidRPr="00A8495D" w:rsidP="00F137FA" w14:paraId="4CB2414F"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3</w:t>
      </w:r>
      <w:r w:rsidRPr="00A8495D">
        <w:rPr>
          <w:rStyle w:val="HideTWBExt"/>
          <w:b w:val="0"/>
          <w:lang w:val="en-GB"/>
        </w:rPr>
        <w:t>&lt;/NumAm&gt;</w:t>
      </w:r>
    </w:p>
    <w:p w:rsidR="00F137FA" w:rsidRPr="00A8495D" w:rsidP="00F137FA" w14:paraId="6D8048F7"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6D7C20B1" w14:textId="77777777">
      <w:pPr>
        <w:pStyle w:val="NormalBold"/>
      </w:pPr>
      <w:r w:rsidRPr="00A8495D">
        <w:rPr>
          <w:rStyle w:val="HideTWBExt"/>
          <w:b w:val="0"/>
        </w:rPr>
        <w:t>&lt;Article&gt;</w:t>
      </w:r>
      <w:r w:rsidRPr="00A8495D">
        <w:t>Recital 13 b (new)</w:t>
      </w:r>
      <w:r w:rsidRPr="00A8495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D452DF"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4DFF14F8" w14:textId="77777777">
            <w:pPr>
              <w:keepNext/>
            </w:pPr>
          </w:p>
        </w:tc>
      </w:tr>
      <w:tr w14:paraId="130818E0"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657C1A9D" w14:textId="77777777">
            <w:pPr>
              <w:pStyle w:val="ColumnHeading"/>
              <w:keepNext/>
              <w:rPr>
                <w:lang w:val="en-GB"/>
              </w:rPr>
            </w:pPr>
            <w:r w:rsidRPr="00A8495D">
              <w:rPr>
                <w:lang w:val="en-GB"/>
              </w:rPr>
              <w:t>Text proposed by the Commission</w:t>
            </w:r>
          </w:p>
        </w:tc>
        <w:tc>
          <w:tcPr>
            <w:tcW w:w="4876" w:type="dxa"/>
          </w:tcPr>
          <w:p w:rsidR="00F137FA" w:rsidRPr="00A8495D" w:rsidP="00284B7D" w14:paraId="6515DE90" w14:textId="77777777">
            <w:pPr>
              <w:pStyle w:val="ColumnHeading"/>
              <w:keepNext/>
              <w:rPr>
                <w:lang w:val="en-GB"/>
              </w:rPr>
            </w:pPr>
            <w:r w:rsidRPr="00A8495D">
              <w:rPr>
                <w:lang w:val="en-GB"/>
              </w:rPr>
              <w:t>Amendment</w:t>
            </w:r>
          </w:p>
        </w:tc>
      </w:tr>
      <w:tr w14:paraId="4500D523"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38AF05B1" w14:textId="77777777">
            <w:pPr>
              <w:pStyle w:val="Normal6"/>
              <w:rPr>
                <w:lang w:val="en-GB"/>
              </w:rPr>
            </w:pPr>
          </w:p>
        </w:tc>
        <w:tc>
          <w:tcPr>
            <w:tcW w:w="4876" w:type="dxa"/>
          </w:tcPr>
          <w:p w:rsidR="00F137FA" w:rsidRPr="00A8495D" w:rsidP="00284B7D" w14:paraId="2D7A399C" w14:textId="77777777">
            <w:pPr>
              <w:pStyle w:val="Normal6"/>
              <w:rPr>
                <w:szCs w:val="24"/>
                <w:lang w:val="en-GB"/>
              </w:rPr>
            </w:pPr>
            <w:r w:rsidRPr="00A8495D">
              <w:rPr>
                <w:b/>
                <w:i/>
                <w:lang w:val="en-GB"/>
              </w:rPr>
              <w:t>(13b)</w:t>
            </w:r>
            <w:r w:rsidRPr="00A8495D">
              <w:rPr>
                <w:b/>
                <w:i/>
                <w:lang w:val="en-GB"/>
              </w:rPr>
              <w:tab/>
              <w:t>The specific and diverse operational profiles of offshore ships should be duly taken into account. Certain specialised technical and industrial activities should be excluded from the offshore scope, as their emissions arise primarily from dynamic positioning and the operation of specialised equipment rather than from the distance travelled. In the absence of an appropriate methodology allowing those emissions to be measured in a reliable and comparable manner, their inclusion would be disproportionate. The relevant MRV parameters should therefore be revised before emissions from such activities are included in the aggregated emissions reported for the purposes of Directive 2003/87/EC.</w:t>
            </w:r>
          </w:p>
        </w:tc>
      </w:tr>
    </w:tbl>
    <w:p w:rsidR="00F137FA" w:rsidRPr="00A8495D" w:rsidP="00F137FA" w14:paraId="4BFD73C9"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554FB837" w14:textId="77777777">
      <w:r w:rsidRPr="00A8495D">
        <w:rPr>
          <w:rStyle w:val="HideTWBExt"/>
        </w:rPr>
        <w:t>&lt;/Amend&gt;</w:t>
      </w:r>
    </w:p>
    <w:p w:rsidR="00F137FA" w:rsidRPr="00A8495D" w:rsidP="00F137FA" w14:paraId="6E5AF9C8"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4</w:t>
      </w:r>
      <w:r w:rsidRPr="00A8495D">
        <w:rPr>
          <w:rStyle w:val="HideTWBExt"/>
          <w:b w:val="0"/>
          <w:lang w:val="en-GB"/>
        </w:rPr>
        <w:t>&lt;/NumAm&gt;</w:t>
      </w:r>
    </w:p>
    <w:p w:rsidR="00F137FA" w:rsidRPr="00A8495D" w:rsidP="00F137FA" w14:paraId="332D6BC3"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708BE64A" w14:textId="77777777">
      <w:pPr>
        <w:pStyle w:val="NormalBold"/>
      </w:pPr>
      <w:r w:rsidRPr="00A8495D">
        <w:rPr>
          <w:rStyle w:val="HideTWBExt"/>
          <w:b w:val="0"/>
        </w:rPr>
        <w:t>&lt;Article&gt;</w:t>
      </w:r>
      <w:r w:rsidRPr="00A8495D">
        <w:t>Recital 16</w:t>
      </w:r>
      <w:r w:rsidRPr="00A8495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25E543"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420E858A" w14:textId="77777777">
            <w:pPr>
              <w:keepNext/>
            </w:pPr>
          </w:p>
        </w:tc>
      </w:tr>
      <w:tr w14:paraId="508B61B7"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42D904EB" w14:textId="77777777">
            <w:pPr>
              <w:pStyle w:val="ColumnHeading"/>
              <w:keepNext/>
              <w:rPr>
                <w:lang w:val="en-GB"/>
              </w:rPr>
            </w:pPr>
            <w:r w:rsidRPr="00A8495D">
              <w:rPr>
                <w:lang w:val="en-GB"/>
              </w:rPr>
              <w:t>Text proposed by the Commission</w:t>
            </w:r>
          </w:p>
        </w:tc>
        <w:tc>
          <w:tcPr>
            <w:tcW w:w="4876" w:type="dxa"/>
          </w:tcPr>
          <w:p w:rsidR="00F137FA" w:rsidRPr="00A8495D" w:rsidP="00284B7D" w14:paraId="1A9E9373" w14:textId="77777777">
            <w:pPr>
              <w:pStyle w:val="ColumnHeading"/>
              <w:keepNext/>
              <w:rPr>
                <w:lang w:val="en-GB"/>
              </w:rPr>
            </w:pPr>
            <w:r w:rsidRPr="00A8495D">
              <w:rPr>
                <w:lang w:val="en-GB"/>
              </w:rPr>
              <w:t>Amendment</w:t>
            </w:r>
          </w:p>
        </w:tc>
      </w:tr>
      <w:tr w14:paraId="6077A1E4"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0E309980" w14:textId="77777777">
            <w:pPr>
              <w:pStyle w:val="Normal6"/>
              <w:rPr>
                <w:lang w:val="en-GB"/>
              </w:rPr>
            </w:pPr>
            <w:r w:rsidRPr="00A8495D">
              <w:rPr>
                <w:lang w:val="en-GB"/>
              </w:rPr>
              <w:t>(16)</w:t>
            </w:r>
            <w:r w:rsidRPr="00A8495D">
              <w:rPr>
                <w:lang w:val="en-GB"/>
              </w:rPr>
              <w:tab/>
              <w:t xml:space="preserve">It is necessary to ensure the effective functioning of the single monitoring, reporting and verification system for EU ETS and FuelEU Maritime and to take into account the inclusion of greenhouse gas emissions from, and the energy used by </w:t>
            </w:r>
            <w:r w:rsidRPr="00A8495D">
              <w:rPr>
                <w:b/>
                <w:i/>
                <w:lang w:val="en-GB"/>
              </w:rPr>
              <w:t>specific categories of</w:t>
            </w:r>
            <w:r w:rsidRPr="00A8495D">
              <w:rPr>
                <w:lang w:val="en-GB"/>
              </w:rPr>
              <w:t xml:space="preserve"> ships below 5 000 gross tonnage but not below 400 gross tonnage and of ships performing or supporting offshore operations, within the scope of Regulation (EU) 2015/757. In this regard, the power to adopt acts in accordance with Article 290 TFEU should </w:t>
            </w:r>
            <w:r w:rsidRPr="00A8495D">
              <w:rPr>
                <w:lang w:val="en-GB"/>
              </w:rPr>
              <w:t xml:space="preserve">be delegated to the Commission in respect of the monitoring methods and rules and the reporting rules for emissions covered by Regulation (EU) 2015/757, as well as for any other relevant information set out in that Regulation. Moreover, to take into account the establishment of a single MRV system for FuelEU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w:t>
            </w:r>
            <w:r w:rsidRPr="00A8495D">
              <w:rPr>
                <w:b/>
                <w:i/>
                <w:lang w:val="en-GB"/>
              </w:rPr>
              <w:t>specific categories of</w:t>
            </w:r>
            <w:r w:rsidRPr="00A8495D">
              <w:rPr>
                <w:lang w:val="en-GB"/>
              </w:rPr>
              <w:t xml:space="preserve">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A8495D">
              <w:rPr>
                <w:vertAlign w:val="superscript"/>
                <w:lang w:val="en-GB"/>
              </w:rPr>
              <w:t>5</w:t>
            </w:r>
            <w:r w:rsidRPr="00A8495D">
              <w:rPr>
                <w:lang w:val="en-GB"/>
              </w:rP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rsidR="00F137FA" w:rsidRPr="00A8495D" w:rsidP="00284B7D" w14:paraId="797D8C2D" w14:textId="77777777">
            <w:pPr>
              <w:pStyle w:val="Normal6"/>
              <w:rPr>
                <w:szCs w:val="24"/>
                <w:lang w:val="en-GB"/>
              </w:rPr>
            </w:pPr>
            <w:r w:rsidRPr="00A8495D">
              <w:rPr>
                <w:lang w:val="en-GB"/>
              </w:rPr>
              <w:t>(16)</w:t>
            </w:r>
            <w:r w:rsidRPr="00A8495D">
              <w:rPr>
                <w:lang w:val="en-GB"/>
              </w:rPr>
              <w:tab/>
              <w:t xml:space="preserve">It is necessary to ensure the effective functioning of the single monitoring, reporting and verification system for EU ETS and FuelEU Maritime and to take into account the inclusion of greenhouse gas emissions from, and the energy used by </w:t>
            </w:r>
            <w:r w:rsidRPr="00A8495D">
              <w:rPr>
                <w:b/>
                <w:i/>
                <w:lang w:val="en-GB"/>
              </w:rPr>
              <w:t>general cargo</w:t>
            </w:r>
            <w:r w:rsidRPr="00A8495D">
              <w:rPr>
                <w:lang w:val="en-GB"/>
              </w:rPr>
              <w:t xml:space="preserve"> ships below 5 000 gross tonnage but not below 400 gross tonnage and of ships performing or supporting offshore operations, within the scope of Regulation (EU) 2015/757. In this regard, the power to adopt acts in accordance with Article 290 TFEU should </w:t>
            </w:r>
            <w:r w:rsidRPr="00A8495D">
              <w:rPr>
                <w:lang w:val="en-GB"/>
              </w:rPr>
              <w:t xml:space="preserve">be delegated to the Commission in respect of the monitoring methods and rules and the reporting rules for emissions covered by Regulation (EU) 2015/757, as well as for any other relevant information set out in that Regulation. Moreover, to take into account the establishment of a single MRV system for FuelEU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w:t>
            </w:r>
            <w:r w:rsidRPr="00A8495D">
              <w:rPr>
                <w:b/>
                <w:i/>
                <w:lang w:val="en-GB"/>
              </w:rPr>
              <w:t>general cargo</w:t>
            </w:r>
            <w:r w:rsidRPr="00A8495D">
              <w:rPr>
                <w:lang w:val="en-GB"/>
              </w:rPr>
              <w:t xml:space="preserve">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A8495D">
              <w:rPr>
                <w:vertAlign w:val="superscript"/>
                <w:lang w:val="en-GB"/>
              </w:rPr>
              <w:t>5</w:t>
            </w:r>
            <w:r w:rsidRPr="00A8495D">
              <w:rPr>
                <w:lang w:val="en-GB"/>
              </w:rP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58F5861D"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688A984B" w14:textId="77777777">
            <w:pPr>
              <w:pStyle w:val="Normal6"/>
              <w:rPr>
                <w:lang w:val="en-GB"/>
              </w:rPr>
            </w:pPr>
            <w:r w:rsidRPr="00A8495D">
              <w:rPr>
                <w:lang w:val="en-GB"/>
              </w:rPr>
              <w:t>__________________</w:t>
            </w:r>
          </w:p>
        </w:tc>
        <w:tc>
          <w:tcPr>
            <w:tcW w:w="4876" w:type="dxa"/>
          </w:tcPr>
          <w:p w:rsidR="00F137FA" w:rsidRPr="00A8495D" w:rsidP="00284B7D" w14:paraId="280167BD" w14:textId="77777777">
            <w:pPr>
              <w:pStyle w:val="Normal6"/>
              <w:rPr>
                <w:szCs w:val="24"/>
                <w:lang w:val="en-GB"/>
              </w:rPr>
            </w:pPr>
            <w:r w:rsidRPr="00A8495D">
              <w:rPr>
                <w:lang w:val="en-GB"/>
              </w:rPr>
              <w:t>__________________</w:t>
            </w:r>
          </w:p>
        </w:tc>
      </w:tr>
      <w:tr w14:paraId="52AC820F"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5E26F92D" w14:textId="77777777">
            <w:pPr>
              <w:pStyle w:val="Normal6"/>
              <w:rPr>
                <w:lang w:val="fi-FI"/>
              </w:rPr>
            </w:pPr>
            <w:r w:rsidRPr="00A8495D">
              <w:rPr>
                <w:vertAlign w:val="superscript"/>
                <w:lang w:val="fi-FI"/>
              </w:rPr>
              <w:t>5</w:t>
            </w:r>
            <w:r w:rsidRPr="00A8495D">
              <w:rPr>
                <w:lang w:val="fi-FI"/>
              </w:rPr>
              <w:t xml:space="preserve"> OJ L 123, 12.5.2016, p. 1, ELI: http://data.europa.eu/eli/agree_interinstit/2016/512/oj.</w:t>
            </w:r>
          </w:p>
        </w:tc>
        <w:tc>
          <w:tcPr>
            <w:tcW w:w="4876" w:type="dxa"/>
          </w:tcPr>
          <w:p w:rsidR="00F137FA" w:rsidRPr="00A8495D" w:rsidP="00284B7D" w14:paraId="183209BE" w14:textId="77777777">
            <w:pPr>
              <w:pStyle w:val="Normal6"/>
              <w:rPr>
                <w:szCs w:val="24"/>
                <w:lang w:val="fi-FI"/>
              </w:rPr>
            </w:pPr>
            <w:r w:rsidRPr="00A8495D">
              <w:rPr>
                <w:vertAlign w:val="superscript"/>
                <w:lang w:val="fi-FI"/>
              </w:rPr>
              <w:t>5</w:t>
            </w:r>
            <w:r w:rsidRPr="00A8495D">
              <w:rPr>
                <w:lang w:val="fi-FI"/>
              </w:rPr>
              <w:t xml:space="preserve"> OJ L 123, 12.5.2016, p. 1, ELI: http://data.europa.eu/eli/agree_interinstit/2016/512/oj.</w:t>
            </w:r>
          </w:p>
        </w:tc>
      </w:tr>
    </w:tbl>
    <w:p w:rsidR="00F137FA" w:rsidRPr="00A8495D" w:rsidP="00F137FA" w14:paraId="3F065097"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704E9435" w14:textId="77777777">
      <w:r w:rsidRPr="00A8495D">
        <w:rPr>
          <w:rStyle w:val="HideTWBExt"/>
        </w:rPr>
        <w:t>&lt;/Amend&gt;</w:t>
      </w:r>
    </w:p>
    <w:p w:rsidR="00F137FA" w:rsidRPr="00A8495D" w:rsidP="00F137FA" w14:paraId="1198AFEA"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5</w:t>
      </w:r>
      <w:r w:rsidRPr="00A8495D">
        <w:rPr>
          <w:rStyle w:val="HideTWBExt"/>
          <w:b w:val="0"/>
          <w:lang w:val="en-GB"/>
        </w:rPr>
        <w:t>&lt;/NumAm&gt;</w:t>
      </w:r>
    </w:p>
    <w:p w:rsidR="00F137FA" w:rsidRPr="00A8495D" w:rsidP="00F137FA" w14:paraId="29A164D3"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2FA5AAB3" w14:textId="77777777">
      <w:pPr>
        <w:pStyle w:val="NormalBold"/>
      </w:pPr>
      <w:r w:rsidRPr="00A8495D">
        <w:rPr>
          <w:rStyle w:val="HideTWBExt"/>
          <w:b w:val="0"/>
        </w:rPr>
        <w:t>&lt;Article&gt;</w:t>
      </w:r>
      <w:r w:rsidRPr="00A8495D">
        <w:t>Recital 16 a (new)</w:t>
      </w:r>
      <w:r w:rsidRPr="00A8495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F0951D"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019269C6" w14:textId="77777777">
            <w:pPr>
              <w:keepNext/>
            </w:pPr>
          </w:p>
        </w:tc>
      </w:tr>
      <w:tr w14:paraId="2D3ABB23"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70955E9D" w14:textId="77777777">
            <w:pPr>
              <w:pStyle w:val="ColumnHeading"/>
              <w:keepNext/>
              <w:rPr>
                <w:lang w:val="en-GB"/>
              </w:rPr>
            </w:pPr>
            <w:r w:rsidRPr="00A8495D">
              <w:rPr>
                <w:lang w:val="en-GB"/>
              </w:rPr>
              <w:t>Text proposed by the Commission</w:t>
            </w:r>
          </w:p>
        </w:tc>
        <w:tc>
          <w:tcPr>
            <w:tcW w:w="4876" w:type="dxa"/>
          </w:tcPr>
          <w:p w:rsidR="00F137FA" w:rsidRPr="00A8495D" w:rsidP="00284B7D" w14:paraId="2D5B939D" w14:textId="77777777">
            <w:pPr>
              <w:pStyle w:val="ColumnHeading"/>
              <w:keepNext/>
              <w:rPr>
                <w:lang w:val="en-GB"/>
              </w:rPr>
            </w:pPr>
            <w:r w:rsidRPr="00A8495D">
              <w:rPr>
                <w:lang w:val="en-GB"/>
              </w:rPr>
              <w:t>Amendment</w:t>
            </w:r>
          </w:p>
        </w:tc>
      </w:tr>
      <w:tr w14:paraId="316CE082"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412A0408" w14:textId="77777777">
            <w:pPr>
              <w:pStyle w:val="Normal6"/>
              <w:rPr>
                <w:lang w:val="en-GB"/>
              </w:rPr>
            </w:pPr>
          </w:p>
        </w:tc>
        <w:tc>
          <w:tcPr>
            <w:tcW w:w="4876" w:type="dxa"/>
          </w:tcPr>
          <w:p w:rsidR="00F137FA" w:rsidRPr="00A8495D" w:rsidP="00284B7D" w14:paraId="03E98A57" w14:textId="77777777">
            <w:pPr>
              <w:pStyle w:val="Normal6"/>
              <w:rPr>
                <w:szCs w:val="24"/>
                <w:lang w:val="en-GB"/>
              </w:rPr>
            </w:pPr>
            <w:r w:rsidRPr="00A8495D">
              <w:rPr>
                <w:b/>
                <w:i/>
                <w:lang w:val="en-GB"/>
              </w:rPr>
              <w:t>(16a)</w:t>
            </w:r>
            <w:r w:rsidRPr="00A8495D">
              <w:rPr>
                <w:b/>
                <w:i/>
                <w:lang w:val="en-GB"/>
              </w:rPr>
              <w:tab/>
              <w:t>Revenues generated from the auctioning of allowances in respect of maritime transport activities should be reinvested in the decarbonisation, competitiveness and resilience of the maritime sector within the EU. Public support financed from those revenues should cover the maritime value chain as a whole, including shipping companies, ports, shipyards, maritime equipment manufacturers and producers and suppliers of renewable and low-carbon maritime fuels. Such support should, where applicable, comply with the “Made in Europe” and low-carbon preference conditions established under Regulation (EU) …/… [Industrial Accelerator Act], with a view to strengthening industrial capacity, skilled employment, technological leadership and security of supply in the Union.</w:t>
            </w:r>
          </w:p>
        </w:tc>
      </w:tr>
    </w:tbl>
    <w:p w:rsidR="00F137FA" w:rsidRPr="00A8495D" w:rsidP="00F137FA" w14:paraId="38ED97D8"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0DE7114A" w14:textId="77777777">
      <w:r w:rsidRPr="00A8495D">
        <w:rPr>
          <w:rStyle w:val="HideTWBExt"/>
        </w:rPr>
        <w:t>&lt;/Amend&gt;</w:t>
      </w:r>
    </w:p>
    <w:p w:rsidR="00F137FA" w:rsidRPr="00A8495D" w:rsidP="00F137FA" w14:paraId="748EF2DC"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6</w:t>
      </w:r>
      <w:r w:rsidRPr="00A8495D">
        <w:rPr>
          <w:rStyle w:val="HideTWBExt"/>
          <w:b w:val="0"/>
          <w:lang w:val="en-GB"/>
        </w:rPr>
        <w:t>&lt;/NumAm&gt;</w:t>
      </w:r>
    </w:p>
    <w:p w:rsidR="00F137FA" w:rsidRPr="00A8495D" w:rsidP="00F137FA" w14:paraId="2B07DDDB"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67D6DED1" w14:textId="77777777">
      <w:pPr>
        <w:pStyle w:val="NormalBold"/>
        <w:rPr>
          <w:lang w:val="fr-BE"/>
        </w:rPr>
      </w:pPr>
      <w:r w:rsidRPr="00A8495D">
        <w:rPr>
          <w:rStyle w:val="HideTWBExt"/>
          <w:b w:val="0"/>
          <w:lang w:val="fr-BE"/>
        </w:rPr>
        <w:t>&lt;Article&gt;</w:t>
      </w:r>
      <w:r w:rsidRPr="00A8495D">
        <w:rPr>
          <w:lang w:val="fr-BE"/>
        </w:rPr>
        <w:t>Article 1 – paragraph 1 – point 3 – point e</w:t>
      </w:r>
      <w:r w:rsidRPr="00A8495D">
        <w:rPr>
          <w:rStyle w:val="HideTWBExt"/>
          <w:b w:val="0"/>
          <w:lang w:val="fr-BE"/>
        </w:rPr>
        <w:t>&lt;/Article&gt;</w:t>
      </w:r>
    </w:p>
    <w:p w:rsidR="00F137FA" w:rsidRPr="00A8495D" w:rsidP="00F137FA" w14:paraId="392EE3F9" w14:textId="77777777">
      <w:pPr>
        <w:keepNext/>
        <w:rPr>
          <w:lang w:val="fr-BE"/>
        </w:rPr>
      </w:pPr>
      <w:r w:rsidRPr="00A8495D">
        <w:rPr>
          <w:rStyle w:val="HideTWBExt"/>
          <w:lang w:val="fr-BE"/>
        </w:rPr>
        <w:t>&lt;DocAmend2&gt;</w:t>
      </w:r>
      <w:r w:rsidRPr="00A8495D">
        <w:rPr>
          <w:lang w:val="fr-BE"/>
        </w:rPr>
        <w:t>Regulation (EU) 2015/757</w:t>
      </w:r>
      <w:r w:rsidRPr="00A8495D">
        <w:rPr>
          <w:rStyle w:val="HideTWBExt"/>
          <w:lang w:val="fr-BE"/>
        </w:rPr>
        <w:t>&lt;/DocAmend2&gt;</w:t>
      </w:r>
    </w:p>
    <w:p w:rsidR="00F137FA" w:rsidRPr="00A8495D" w:rsidP="00F137FA" w14:paraId="56EC9E73" w14:textId="77777777">
      <w:pPr>
        <w:rPr>
          <w:lang w:val="fr-BE"/>
        </w:rPr>
      </w:pPr>
      <w:r w:rsidRPr="00A8495D">
        <w:rPr>
          <w:rStyle w:val="HideTWBExt"/>
          <w:lang w:val="fr-BE"/>
        </w:rPr>
        <w:t>&lt;Article2&gt;</w:t>
      </w:r>
      <w:r w:rsidRPr="00A8495D">
        <w:rPr>
          <w:lang w:val="fr-BE"/>
        </w:rPr>
        <w:t>Article 2 – paragraph 1d</w:t>
      </w:r>
      <w:r w:rsidRPr="00A8495D">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3DF495B3" w14:textId="77777777" w:rsidTr="00A8495D">
        <w:tblPrEx>
          <w:tblW w:w="9752" w:type="dxa"/>
          <w:jc w:val="center"/>
          <w:tblLayout w:type="fixed"/>
          <w:tblCellMar>
            <w:left w:w="340" w:type="dxa"/>
            <w:right w:w="340" w:type="dxa"/>
          </w:tblCellMar>
          <w:tblLook w:val="0000"/>
        </w:tblPrEx>
        <w:trPr>
          <w:jc w:val="center"/>
        </w:trPr>
        <w:tc>
          <w:tcPr>
            <w:tcW w:w="9752" w:type="dxa"/>
            <w:gridSpan w:val="2"/>
          </w:tcPr>
          <w:p w:rsidR="00F137FA" w:rsidRPr="00A8495D" w:rsidP="00284B7D" w14:paraId="4E877732" w14:textId="77777777">
            <w:pPr>
              <w:keepNext/>
              <w:rPr>
                <w:lang w:val="fr-BE"/>
              </w:rPr>
            </w:pPr>
          </w:p>
        </w:tc>
      </w:tr>
      <w:tr w14:paraId="4B5B29FE"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6B1FDA61" w14:textId="77777777">
            <w:pPr>
              <w:pStyle w:val="ColumnHeading"/>
              <w:keepNext/>
              <w:rPr>
                <w:lang w:val="en-GB"/>
              </w:rPr>
            </w:pPr>
            <w:r w:rsidRPr="00A8495D">
              <w:rPr>
                <w:lang w:val="en-GB"/>
              </w:rPr>
              <w:t>Text proposed by the Commission</w:t>
            </w:r>
          </w:p>
        </w:tc>
        <w:tc>
          <w:tcPr>
            <w:tcW w:w="4876" w:type="dxa"/>
          </w:tcPr>
          <w:p w:rsidR="00F137FA" w:rsidRPr="00A8495D" w:rsidP="00284B7D" w14:paraId="400999B9" w14:textId="77777777">
            <w:pPr>
              <w:pStyle w:val="ColumnHeading"/>
              <w:keepNext/>
              <w:rPr>
                <w:lang w:val="en-GB"/>
              </w:rPr>
            </w:pPr>
            <w:r w:rsidRPr="00A8495D">
              <w:rPr>
                <w:lang w:val="en-GB"/>
              </w:rPr>
              <w:t>Amendment</w:t>
            </w:r>
          </w:p>
        </w:tc>
      </w:tr>
      <w:tr w14:paraId="6DE2891B"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0366E2AC" w14:textId="77777777">
            <w:pPr>
              <w:pStyle w:val="Normal6"/>
              <w:rPr>
                <w:lang w:val="en-GB"/>
              </w:rPr>
            </w:pPr>
            <w:r w:rsidRPr="00A8495D">
              <w:rPr>
                <w:b/>
                <w:i/>
                <w:lang w:val="en-GB"/>
              </w:rPr>
              <w:t>(e)</w:t>
            </w:r>
            <w:r w:rsidRPr="00A8495D">
              <w:rPr>
                <w:b/>
                <w:i/>
                <w:lang w:val="en-GB"/>
              </w:rPr>
              <w:tab/>
              <w:t>the following paragraph 1d is inserted:</w:t>
            </w:r>
          </w:p>
        </w:tc>
        <w:tc>
          <w:tcPr>
            <w:tcW w:w="4876" w:type="dxa"/>
          </w:tcPr>
          <w:p w:rsidR="00F137FA" w:rsidRPr="00A8495D" w:rsidP="00284B7D" w14:paraId="1D129B75" w14:textId="77777777">
            <w:pPr>
              <w:pStyle w:val="Normal6"/>
              <w:rPr>
                <w:szCs w:val="24"/>
                <w:lang w:val="en-GB"/>
              </w:rPr>
            </w:pPr>
            <w:r w:rsidRPr="00A8495D">
              <w:rPr>
                <w:b/>
                <w:i/>
              </w:rPr>
              <w:t>deleted</w:t>
            </w:r>
          </w:p>
        </w:tc>
      </w:tr>
      <w:tr w14:paraId="4183C5A4"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590DD2B7" w14:textId="51E8FA8F">
            <w:pPr>
              <w:pStyle w:val="Normal6"/>
              <w:rPr>
                <w:lang w:val="en-GB"/>
              </w:rPr>
            </w:pPr>
            <w:r w:rsidRPr="00A8495D">
              <w:rPr>
                <w:b/>
                <w:i/>
                <w:lang w:val="en-GB"/>
              </w:rPr>
              <w:t>‘1d.</w:t>
            </w:r>
            <w:r w:rsidRPr="00A8495D">
              <w:rPr>
                <w:b/>
                <w:i/>
                <w:lang w:val="en-GB"/>
              </w:rPr>
              <w:tab/>
            </w:r>
            <w:r w:rsidRPr="00A8495D">
              <w:rPr>
                <w:b/>
                <w:i/>
                <w:lang w:val="en-GB"/>
              </w:rPr>
              <w:t xml:space="preserve">This Regulation shall also apply to ships below 5 000 gross tonnage but not below 400 gross tonnage that belong to </w:t>
            </w:r>
            <w:r w:rsidRPr="00A8495D">
              <w:rPr>
                <w:b/>
                <w:i/>
                <w:lang w:val="en-GB"/>
              </w:rPr>
              <w:t>the following categories of ships:</w:t>
            </w:r>
          </w:p>
        </w:tc>
        <w:tc>
          <w:tcPr>
            <w:tcW w:w="4876" w:type="dxa"/>
          </w:tcPr>
          <w:p w:rsidR="00F137FA" w:rsidRPr="00A8495D" w:rsidP="00284B7D" w14:paraId="025993B2" w14:textId="77777777">
            <w:pPr>
              <w:pStyle w:val="Normal6"/>
              <w:rPr>
                <w:szCs w:val="24"/>
                <w:lang w:val="en-GB"/>
              </w:rPr>
            </w:pPr>
          </w:p>
        </w:tc>
      </w:tr>
      <w:tr w14:paraId="257C738C"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77420456" w14:textId="77777777">
            <w:pPr>
              <w:pStyle w:val="Normal6"/>
              <w:rPr>
                <w:lang w:val="en-GB"/>
              </w:rPr>
            </w:pPr>
            <w:r w:rsidRPr="00A8495D">
              <w:rPr>
                <w:b/>
                <w:i/>
              </w:rPr>
              <w:t>(a)</w:t>
            </w:r>
            <w:r w:rsidRPr="00A8495D">
              <w:rPr>
                <w:b/>
                <w:i/>
              </w:rPr>
              <w:tab/>
              <w:t>oil tankers;</w:t>
            </w:r>
          </w:p>
        </w:tc>
        <w:tc>
          <w:tcPr>
            <w:tcW w:w="4876" w:type="dxa"/>
          </w:tcPr>
          <w:p w:rsidR="00F137FA" w:rsidRPr="00A8495D" w:rsidP="00284B7D" w14:paraId="3AAD4D54" w14:textId="77777777">
            <w:pPr>
              <w:pStyle w:val="Normal6"/>
              <w:rPr>
                <w:szCs w:val="24"/>
                <w:lang w:val="en-GB"/>
              </w:rPr>
            </w:pPr>
          </w:p>
        </w:tc>
      </w:tr>
      <w:tr w14:paraId="1E75FDF5"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32698825" w14:textId="77777777">
            <w:pPr>
              <w:pStyle w:val="Normal6"/>
              <w:rPr>
                <w:lang w:val="en-GB"/>
              </w:rPr>
            </w:pPr>
            <w:r w:rsidRPr="00A8495D">
              <w:rPr>
                <w:b/>
                <w:i/>
              </w:rPr>
              <w:t>(b)</w:t>
            </w:r>
            <w:r w:rsidRPr="00A8495D">
              <w:rPr>
                <w:b/>
                <w:i/>
              </w:rPr>
              <w:tab/>
              <w:t>chemical tankers;</w:t>
            </w:r>
          </w:p>
        </w:tc>
        <w:tc>
          <w:tcPr>
            <w:tcW w:w="4876" w:type="dxa"/>
          </w:tcPr>
          <w:p w:rsidR="00F137FA" w:rsidRPr="00A8495D" w:rsidP="00284B7D" w14:paraId="1598B575" w14:textId="77777777">
            <w:pPr>
              <w:pStyle w:val="Normal6"/>
              <w:rPr>
                <w:szCs w:val="24"/>
                <w:lang w:val="en-GB"/>
              </w:rPr>
            </w:pPr>
          </w:p>
        </w:tc>
      </w:tr>
      <w:tr w14:paraId="0DE05724"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2F9C592D" w14:textId="77777777">
            <w:pPr>
              <w:pStyle w:val="Normal6"/>
              <w:rPr>
                <w:lang w:val="en-GB"/>
              </w:rPr>
            </w:pPr>
            <w:r w:rsidRPr="00A8495D">
              <w:rPr>
                <w:b/>
                <w:i/>
              </w:rPr>
              <w:t>(c)</w:t>
            </w:r>
            <w:r w:rsidRPr="00A8495D">
              <w:rPr>
                <w:b/>
                <w:i/>
              </w:rPr>
              <w:tab/>
              <w:t>gas carriers;</w:t>
            </w:r>
          </w:p>
        </w:tc>
        <w:tc>
          <w:tcPr>
            <w:tcW w:w="4876" w:type="dxa"/>
          </w:tcPr>
          <w:p w:rsidR="00F137FA" w:rsidRPr="00A8495D" w:rsidP="00284B7D" w14:paraId="1C15DD87" w14:textId="77777777">
            <w:pPr>
              <w:pStyle w:val="Normal6"/>
              <w:rPr>
                <w:szCs w:val="24"/>
                <w:lang w:val="en-GB"/>
              </w:rPr>
            </w:pPr>
          </w:p>
        </w:tc>
      </w:tr>
      <w:tr w14:paraId="35596ED7"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727BC469" w14:textId="77777777">
            <w:pPr>
              <w:pStyle w:val="Normal6"/>
              <w:rPr>
                <w:lang w:val="en-GB"/>
              </w:rPr>
            </w:pPr>
            <w:r w:rsidRPr="00A8495D">
              <w:rPr>
                <w:b/>
                <w:i/>
              </w:rPr>
              <w:t>(d)</w:t>
            </w:r>
            <w:r w:rsidRPr="00A8495D">
              <w:rPr>
                <w:b/>
                <w:i/>
              </w:rPr>
              <w:tab/>
              <w:t>LNG carriers;</w:t>
            </w:r>
          </w:p>
        </w:tc>
        <w:tc>
          <w:tcPr>
            <w:tcW w:w="4876" w:type="dxa"/>
          </w:tcPr>
          <w:p w:rsidR="00F137FA" w:rsidRPr="00A8495D" w:rsidP="00284B7D" w14:paraId="112AE32A" w14:textId="77777777">
            <w:pPr>
              <w:pStyle w:val="Normal6"/>
              <w:rPr>
                <w:szCs w:val="24"/>
                <w:lang w:val="en-GB"/>
              </w:rPr>
            </w:pPr>
          </w:p>
        </w:tc>
      </w:tr>
      <w:tr w14:paraId="6F6E959D"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42FE0ADE" w14:textId="77777777">
            <w:pPr>
              <w:pStyle w:val="Normal6"/>
              <w:rPr>
                <w:lang w:val="en-GB"/>
              </w:rPr>
            </w:pPr>
            <w:r w:rsidRPr="00A8495D">
              <w:rPr>
                <w:b/>
                <w:i/>
              </w:rPr>
              <w:t>(e)</w:t>
            </w:r>
            <w:r w:rsidRPr="00A8495D">
              <w:rPr>
                <w:b/>
                <w:i/>
              </w:rPr>
              <w:tab/>
              <w:t>ro-pax ships;</w:t>
            </w:r>
          </w:p>
        </w:tc>
        <w:tc>
          <w:tcPr>
            <w:tcW w:w="4876" w:type="dxa"/>
          </w:tcPr>
          <w:p w:rsidR="00F137FA" w:rsidRPr="00A8495D" w:rsidP="00284B7D" w14:paraId="26F3BB8B" w14:textId="77777777">
            <w:pPr>
              <w:pStyle w:val="Normal6"/>
              <w:rPr>
                <w:szCs w:val="24"/>
                <w:lang w:val="en-GB"/>
              </w:rPr>
            </w:pPr>
          </w:p>
        </w:tc>
      </w:tr>
      <w:tr w14:paraId="50721944"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006EAB3D" w14:textId="77777777">
            <w:pPr>
              <w:pStyle w:val="Normal6"/>
              <w:rPr>
                <w:lang w:val="en-GB"/>
              </w:rPr>
            </w:pPr>
            <w:r w:rsidRPr="00A8495D">
              <w:rPr>
                <w:b/>
                <w:i/>
              </w:rPr>
              <w:t>(f)</w:t>
            </w:r>
            <w:r w:rsidRPr="00A8495D">
              <w:rPr>
                <w:b/>
                <w:i/>
              </w:rPr>
              <w:tab/>
              <w:t>passenger ships.</w:t>
            </w:r>
          </w:p>
        </w:tc>
        <w:tc>
          <w:tcPr>
            <w:tcW w:w="4876" w:type="dxa"/>
          </w:tcPr>
          <w:p w:rsidR="00F137FA" w:rsidRPr="00A8495D" w:rsidP="00284B7D" w14:paraId="30ABF8BC" w14:textId="77777777">
            <w:pPr>
              <w:pStyle w:val="Normal6"/>
              <w:rPr>
                <w:szCs w:val="24"/>
                <w:lang w:val="en-GB"/>
              </w:rPr>
            </w:pPr>
          </w:p>
        </w:tc>
      </w:tr>
      <w:tr w14:paraId="53A5BB41"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44402A4B" w14:textId="6A12D42E">
            <w:pPr>
              <w:pStyle w:val="Normal6"/>
              <w:rPr>
                <w:lang w:val="en-GB"/>
              </w:rPr>
            </w:pPr>
            <w:r w:rsidRPr="00A8495D">
              <w:rPr>
                <w:b/>
                <w:i/>
                <w:lang w:val="en-GB"/>
              </w:rPr>
              <w:t>This paragraph shall apply in respect of the greenhouse gas emissions released and the energy used during these ships’ voyages for transporting passengers and cargo for commercial purposes from their last port of call to a port of call under the jurisdiction of a Member State and from a port of call under the jurisdiction of a Member State to their next port of call, as well as within ports of call under the jurisdiction of a Member State.;</w:t>
            </w:r>
            <w:r w:rsidRPr="00A8495D" w:rsidR="00E34921">
              <w:rPr>
                <w:b/>
                <w:i/>
                <w:lang w:val="en-GB"/>
              </w:rPr>
              <w:t xml:space="preserve"> ’</w:t>
            </w:r>
          </w:p>
        </w:tc>
        <w:tc>
          <w:tcPr>
            <w:tcW w:w="4876" w:type="dxa"/>
          </w:tcPr>
          <w:p w:rsidR="00F137FA" w:rsidRPr="00A8495D" w:rsidP="00284B7D" w14:paraId="6CA366A5" w14:textId="77777777">
            <w:pPr>
              <w:pStyle w:val="Normal6"/>
              <w:rPr>
                <w:szCs w:val="24"/>
                <w:lang w:val="en-GB"/>
              </w:rPr>
            </w:pPr>
          </w:p>
        </w:tc>
      </w:tr>
    </w:tbl>
    <w:p w:rsidR="00F137FA" w:rsidRPr="00A8495D" w:rsidP="00F137FA" w14:paraId="3C8F34A4"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5CE34EB8" w14:textId="77777777">
      <w:r w:rsidRPr="00A8495D">
        <w:rPr>
          <w:rStyle w:val="HideTWBExt"/>
        </w:rPr>
        <w:t>&lt;/Amend&gt;</w:t>
      </w:r>
    </w:p>
    <w:p w:rsidR="00F137FA" w:rsidRPr="00A8495D" w:rsidP="00F137FA" w14:paraId="174FCC34"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7</w:t>
      </w:r>
      <w:r w:rsidRPr="00A8495D">
        <w:rPr>
          <w:rStyle w:val="HideTWBExt"/>
          <w:b w:val="0"/>
          <w:lang w:val="en-GB"/>
        </w:rPr>
        <w:t>&lt;/NumAm&gt;</w:t>
      </w:r>
    </w:p>
    <w:p w:rsidR="00F137FA" w:rsidRPr="00A8495D" w:rsidP="00F137FA" w14:paraId="6B5994D2"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66AF2363" w14:textId="77777777">
      <w:pPr>
        <w:pStyle w:val="NormalBold"/>
        <w:rPr>
          <w:lang w:val="fr-BE"/>
        </w:rPr>
      </w:pPr>
      <w:r w:rsidRPr="00A8495D">
        <w:rPr>
          <w:rStyle w:val="HideTWBExt"/>
          <w:b w:val="0"/>
          <w:lang w:val="fr-BE"/>
        </w:rPr>
        <w:t>&lt;Article&gt;</w:t>
      </w:r>
      <w:r w:rsidRPr="00A8495D">
        <w:rPr>
          <w:lang w:val="fr-BE"/>
        </w:rPr>
        <w:t>Article 1 – paragraph 1 – point 7 – point b</w:t>
      </w:r>
      <w:r w:rsidRPr="00A8495D">
        <w:rPr>
          <w:rStyle w:val="HideTWBExt"/>
          <w:b w:val="0"/>
          <w:lang w:val="fr-BE"/>
        </w:rPr>
        <w:t>&lt;/Article&gt;</w:t>
      </w:r>
    </w:p>
    <w:p w:rsidR="00F137FA" w:rsidRPr="00A8495D" w:rsidP="00F137FA" w14:paraId="67ED8AC4" w14:textId="77777777">
      <w:pPr>
        <w:keepNext/>
      </w:pPr>
      <w:r w:rsidRPr="00A8495D">
        <w:rPr>
          <w:rStyle w:val="HideTWBExt"/>
        </w:rPr>
        <w:t>&lt;DocAmend2&gt;</w:t>
      </w:r>
      <w:r w:rsidRPr="00A8495D">
        <w:t>Regulation (EU) 2015/757</w:t>
      </w:r>
      <w:r w:rsidRPr="00A8495D">
        <w:rPr>
          <w:rStyle w:val="HideTWBExt"/>
        </w:rPr>
        <w:t>&lt;/DocAmend2&gt;</w:t>
      </w:r>
    </w:p>
    <w:p w:rsidR="00F137FA" w:rsidRPr="00A8495D" w:rsidP="00F137FA" w14:paraId="1EF1806F" w14:textId="77777777">
      <w:pPr>
        <w:rPr>
          <w:lang w:val="fr-BE"/>
        </w:rPr>
      </w:pPr>
      <w:r w:rsidRPr="00A8495D">
        <w:rPr>
          <w:rStyle w:val="HideTWBExt"/>
          <w:lang w:val="fr-BE"/>
        </w:rPr>
        <w:t>&lt;Article2&gt;</w:t>
      </w:r>
      <w:r w:rsidRPr="00A8495D">
        <w:rPr>
          <w:lang w:val="fr-BE"/>
        </w:rPr>
        <w:t>Article 5 – paragraph 2</w:t>
      </w:r>
      <w:r w:rsidRPr="00A8495D">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9018EF3"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31D8E623" w14:textId="77777777">
            <w:pPr>
              <w:keepNext/>
              <w:rPr>
                <w:lang w:val="fr-BE"/>
              </w:rPr>
            </w:pPr>
          </w:p>
        </w:tc>
      </w:tr>
      <w:tr w14:paraId="0D77BCA8"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7BD5EFFE" w14:textId="77777777">
            <w:pPr>
              <w:pStyle w:val="ColumnHeading"/>
              <w:keepNext/>
              <w:rPr>
                <w:lang w:val="en-GB"/>
              </w:rPr>
            </w:pPr>
            <w:r w:rsidRPr="00A8495D">
              <w:rPr>
                <w:lang w:val="en-GB"/>
              </w:rPr>
              <w:t>Text proposed by the Commission</w:t>
            </w:r>
          </w:p>
        </w:tc>
        <w:tc>
          <w:tcPr>
            <w:tcW w:w="4876" w:type="dxa"/>
          </w:tcPr>
          <w:p w:rsidR="00F137FA" w:rsidRPr="00A8495D" w:rsidP="00284B7D" w14:paraId="5964DCCE" w14:textId="77777777">
            <w:pPr>
              <w:pStyle w:val="ColumnHeading"/>
              <w:keepNext/>
              <w:rPr>
                <w:lang w:val="en-GB"/>
              </w:rPr>
            </w:pPr>
            <w:r w:rsidRPr="00A8495D">
              <w:rPr>
                <w:lang w:val="en-GB"/>
              </w:rPr>
              <w:t>Amendment</w:t>
            </w:r>
          </w:p>
        </w:tc>
      </w:tr>
      <w:tr w14:paraId="0825DBDE"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458D2923" w14:textId="77777777">
            <w:pPr>
              <w:pStyle w:val="Normal6"/>
              <w:rPr>
                <w:lang w:val="en-GB"/>
              </w:rPr>
            </w:pPr>
            <w:r w:rsidRPr="00A8495D">
              <w:rPr>
                <w:lang w:val="en-GB"/>
              </w:rPr>
              <w:t>2.</w:t>
            </w:r>
            <w:r w:rsidRPr="00A8495D">
              <w:rPr>
                <w:lang w:val="en-GB"/>
              </w:rPr>
              <w:tab/>
              <w:t>The Commission is empowered to adopt delegated acts in accordance with Article 23 of this Regulation to amend Annexes I and II to this Regulation, in order to take into account the inclusion of CH</w:t>
            </w:r>
            <w:r w:rsidRPr="00A8495D">
              <w:rPr>
                <w:vertAlign w:val="subscript"/>
                <w:lang w:val="en-GB"/>
              </w:rPr>
              <w:t>4</w:t>
            </w:r>
            <w:r w:rsidRPr="00A8495D">
              <w:rPr>
                <w:lang w:val="en-GB"/>
              </w:rPr>
              <w:t xml:space="preserve"> and N</w:t>
            </w:r>
            <w:r w:rsidRPr="00A8495D">
              <w:rPr>
                <w:vertAlign w:val="subscript"/>
                <w:lang w:val="en-GB"/>
              </w:rPr>
              <w:t>2</w:t>
            </w:r>
            <w:r w:rsidRPr="00A8495D">
              <w:rPr>
                <w:lang w:val="en-GB"/>
              </w:rPr>
              <w:t xml:space="preserve">O emissions, as well as the inclusion of greenhouse gas emissions from ships performing or supporting offshore operations, within the scope of this Regulation, in accordance with Article 2(1aa) </w:t>
            </w:r>
            <w:r w:rsidRPr="00A8495D">
              <w:rPr>
                <w:b/>
                <w:bCs/>
                <w:i/>
                <w:iCs/>
                <w:lang w:val="en-GB"/>
              </w:rPr>
              <w:t>and</w:t>
            </w:r>
            <w:r w:rsidRPr="00A8495D">
              <w:rPr>
                <w:lang w:val="en-GB"/>
              </w:rPr>
              <w:t xml:space="preserve"> Article 2(</w:t>
            </w:r>
            <w:r w:rsidRPr="00A8495D">
              <w:rPr>
                <w:bCs/>
                <w:iCs/>
                <w:lang w:val="en-GB"/>
              </w:rPr>
              <w:t>1b</w:t>
            </w:r>
            <w:r w:rsidRPr="00A8495D">
              <w:rPr>
                <w:lang w:val="en-GB"/>
              </w:rPr>
              <w:t>)</w:t>
            </w:r>
            <w:r w:rsidRPr="00A8495D">
              <w:rPr>
                <w:b/>
                <w:i/>
                <w:lang w:val="en-GB"/>
              </w:rPr>
              <w:t>,</w:t>
            </w:r>
            <w:r w:rsidRPr="00A8495D">
              <w:rPr>
                <w:lang w:val="en-GB"/>
              </w:rPr>
              <w:t xml:space="preserve"> of this Regulation, and amendments to Directive 2003/87/EC, as well as to align Annexes I and II to this Regulation with the implementing acts adopted under Article 14(1) of Directive 2003/87/EC, with </w:t>
            </w:r>
            <w:r w:rsidRPr="00A8495D">
              <w:rPr>
                <w:lang w:val="en-GB"/>
              </w:rPr>
              <w:t>relevant international rules and with international and European standards. The Commission is also empowered to adopt delegated acts in accordance with Article 23 of this Regulation to amend Annexes I and II to this Regulation in order to further develop the elements of the monitoring methods set out therein, including the emission factors, in the light of technological and scientific developments and in order to ensure the effective operation of the EU Emissions Trading System (EU ETS) established pursuant to Directive 2003/87/EC and FuelEU Maritime established pursuant to Regulation (EU) 2023/1805 and consistency with future international standards or Union legal acts in the field of energy, in accordance with the best available scientific and technical knowledge.</w:t>
            </w:r>
          </w:p>
        </w:tc>
        <w:tc>
          <w:tcPr>
            <w:tcW w:w="4876" w:type="dxa"/>
          </w:tcPr>
          <w:p w:rsidR="00F137FA" w:rsidRPr="00A8495D" w:rsidP="00284B7D" w14:paraId="536FEEB8" w14:textId="77777777">
            <w:pPr>
              <w:pStyle w:val="Normal6"/>
              <w:rPr>
                <w:szCs w:val="24"/>
                <w:lang w:val="en-GB"/>
              </w:rPr>
            </w:pPr>
            <w:r w:rsidRPr="00A8495D">
              <w:rPr>
                <w:lang w:val="en-GB"/>
              </w:rPr>
              <w:t>2.</w:t>
            </w:r>
            <w:r w:rsidRPr="00A8495D">
              <w:rPr>
                <w:lang w:val="en-GB"/>
              </w:rPr>
              <w:tab/>
              <w:t>The Commission is empowered to adopt delegated acts in accordance with Article 23 of this Regulation to amend Annexes I and II to this Regulation, in order to take into account the inclusion of CH</w:t>
            </w:r>
            <w:r w:rsidRPr="00A8495D">
              <w:rPr>
                <w:vertAlign w:val="subscript"/>
                <w:lang w:val="en-GB"/>
              </w:rPr>
              <w:t>4</w:t>
            </w:r>
            <w:r w:rsidRPr="00A8495D">
              <w:rPr>
                <w:lang w:val="en-GB"/>
              </w:rPr>
              <w:t xml:space="preserve"> and N</w:t>
            </w:r>
            <w:r w:rsidRPr="00A8495D">
              <w:rPr>
                <w:vertAlign w:val="subscript"/>
                <w:lang w:val="en-GB"/>
              </w:rPr>
              <w:t>2</w:t>
            </w:r>
            <w:r w:rsidRPr="00A8495D">
              <w:rPr>
                <w:lang w:val="en-GB"/>
              </w:rPr>
              <w:t>O emissions, as well as the inclusion of greenhouse gas emissions from ships performing or supporting offshore operations, within the scope of this Regulation, in accordance with Article 2(1aa)</w:t>
            </w:r>
            <w:r w:rsidRPr="00A8495D">
              <w:rPr>
                <w:b/>
                <w:i/>
                <w:lang w:val="en-GB"/>
              </w:rPr>
              <w:t xml:space="preserve">, </w:t>
            </w:r>
            <w:r w:rsidRPr="00A8495D">
              <w:rPr>
                <w:bCs/>
                <w:iCs/>
                <w:lang w:val="en-GB"/>
              </w:rPr>
              <w:t>Article 2(1b)</w:t>
            </w:r>
            <w:r w:rsidRPr="00A8495D">
              <w:rPr>
                <w:lang w:val="en-GB"/>
              </w:rPr>
              <w:t xml:space="preserve"> </w:t>
            </w:r>
            <w:r w:rsidRPr="00A8495D">
              <w:rPr>
                <w:b/>
                <w:bCs/>
                <w:i/>
                <w:iCs/>
                <w:lang w:val="en-GB"/>
              </w:rPr>
              <w:t>and Article 2(1ba)</w:t>
            </w:r>
            <w:r w:rsidRPr="00A8495D">
              <w:rPr>
                <w:lang w:val="en-GB"/>
              </w:rPr>
              <w:t xml:space="preserve"> of this Regulation, and amendments to Directive 2003/87/EC, as well as to align Annexes I and II to this Regulation with the implementing acts adopted under Article 14(1) of Directive 2003/87/EC, </w:t>
            </w:r>
            <w:r w:rsidRPr="00A8495D">
              <w:rPr>
                <w:lang w:val="en-GB"/>
              </w:rPr>
              <w:t>with relevant international rules and with international and European standards. The Commission is also empowered to adopt delegated acts in accordance with Article 23 of this Regulation to amend Annexes I and II to this Regulation in order to further develop the elements of the monitoring methods set out therein, including the emission factors, in the light of technological and scientific developments and in order to ensure the effective operation of the EU Emissions Trading System (EU ETS) established pursuant to Directive 2003/87/EC and FuelEU Maritime established pursuant to Regulation (EU) 2023/1805 and consistency with future international standards or Union legal acts in the field of energy, in accordance with the best available scientific and technical knowledge.</w:t>
            </w:r>
          </w:p>
        </w:tc>
      </w:tr>
    </w:tbl>
    <w:p w:rsidR="00F137FA" w:rsidRPr="00A8495D" w:rsidP="00F137FA" w14:paraId="2F709104"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0C78173B" w14:textId="77777777">
      <w:r w:rsidRPr="00A8495D">
        <w:rPr>
          <w:rStyle w:val="HideTWBExt"/>
        </w:rPr>
        <w:t>&lt;/Amend&gt;</w:t>
      </w:r>
    </w:p>
    <w:p w:rsidR="00F137FA" w:rsidRPr="00A8495D" w:rsidP="00F137FA" w14:paraId="761FDE90"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8</w:t>
      </w:r>
      <w:r w:rsidRPr="00A8495D">
        <w:rPr>
          <w:rStyle w:val="HideTWBExt"/>
          <w:b w:val="0"/>
          <w:lang w:val="en-GB"/>
        </w:rPr>
        <w:t>&lt;/NumAm&gt;</w:t>
      </w:r>
    </w:p>
    <w:p w:rsidR="00F137FA" w:rsidRPr="00A8495D" w:rsidP="00F137FA" w14:paraId="3FAA39FE"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007F8C89" w14:textId="77777777">
      <w:pPr>
        <w:pStyle w:val="NormalBold"/>
        <w:rPr>
          <w:lang w:val="fr-BE"/>
        </w:rPr>
      </w:pPr>
      <w:r w:rsidRPr="00A8495D">
        <w:rPr>
          <w:rStyle w:val="HideTWBExt"/>
          <w:b w:val="0"/>
          <w:lang w:val="fr-BE"/>
        </w:rPr>
        <w:t>&lt;Article&gt;</w:t>
      </w:r>
      <w:r w:rsidRPr="00A8495D">
        <w:rPr>
          <w:lang w:val="fr-BE"/>
        </w:rPr>
        <w:t>Article 1 – paragraph 1 – point 7 – point b</w:t>
      </w:r>
      <w:r w:rsidRPr="00A8495D">
        <w:rPr>
          <w:rStyle w:val="HideTWBExt"/>
          <w:b w:val="0"/>
          <w:lang w:val="fr-BE"/>
        </w:rPr>
        <w:t>&lt;/Article&gt;</w:t>
      </w:r>
    </w:p>
    <w:p w:rsidR="00F137FA" w:rsidRPr="00A8495D" w:rsidP="00F137FA" w14:paraId="383F0D48" w14:textId="77777777">
      <w:pPr>
        <w:keepNext/>
      </w:pPr>
      <w:r w:rsidRPr="00A8495D">
        <w:rPr>
          <w:rStyle w:val="HideTWBExt"/>
        </w:rPr>
        <w:t>&lt;DocAmend2&gt;</w:t>
      </w:r>
      <w:r w:rsidRPr="00A8495D">
        <w:t>Regulation (EU) 2015/757</w:t>
      </w:r>
      <w:r w:rsidRPr="00A8495D">
        <w:rPr>
          <w:rStyle w:val="HideTWBExt"/>
        </w:rPr>
        <w:t>&lt;/DocAmend2&gt;</w:t>
      </w:r>
    </w:p>
    <w:p w:rsidR="00F137FA" w:rsidRPr="00A8495D" w:rsidP="00F137FA" w14:paraId="65ED4EC2" w14:textId="77777777">
      <w:r w:rsidRPr="00A8495D">
        <w:rPr>
          <w:rStyle w:val="HideTWBExt"/>
        </w:rPr>
        <w:t>&lt;Article2&gt;</w:t>
      </w:r>
      <w:r w:rsidRPr="00A8495D">
        <w:t>Article 5 – paragraph 3</w:t>
      </w:r>
      <w:r w:rsidRPr="00A8495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910914"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5BF35858" w14:textId="77777777">
            <w:pPr>
              <w:keepNext/>
            </w:pPr>
          </w:p>
        </w:tc>
      </w:tr>
      <w:tr w14:paraId="38F36050"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54160753" w14:textId="77777777">
            <w:pPr>
              <w:pStyle w:val="ColumnHeading"/>
              <w:keepNext/>
              <w:rPr>
                <w:lang w:val="en-GB"/>
              </w:rPr>
            </w:pPr>
            <w:r w:rsidRPr="00A8495D">
              <w:rPr>
                <w:lang w:val="en-GB"/>
              </w:rPr>
              <w:t>Text proposed by the Commission</w:t>
            </w:r>
          </w:p>
        </w:tc>
        <w:tc>
          <w:tcPr>
            <w:tcW w:w="4876" w:type="dxa"/>
          </w:tcPr>
          <w:p w:rsidR="00F137FA" w:rsidRPr="00A8495D" w:rsidP="00284B7D" w14:paraId="6C23EACB" w14:textId="77777777">
            <w:pPr>
              <w:pStyle w:val="ColumnHeading"/>
              <w:keepNext/>
              <w:rPr>
                <w:lang w:val="en-GB"/>
              </w:rPr>
            </w:pPr>
            <w:r w:rsidRPr="00A8495D">
              <w:rPr>
                <w:lang w:val="en-GB"/>
              </w:rPr>
              <w:t>Amendment</w:t>
            </w:r>
          </w:p>
        </w:tc>
      </w:tr>
      <w:tr w14:paraId="3A229E56"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6BC2AC8F" w14:textId="77777777">
            <w:pPr>
              <w:pStyle w:val="Normal6"/>
              <w:rPr>
                <w:lang w:val="en-GB"/>
              </w:rPr>
            </w:pPr>
            <w:r w:rsidRPr="00A8495D">
              <w:rPr>
                <w:lang w:val="en-GB"/>
              </w:rPr>
              <w:t>3.</w:t>
            </w:r>
            <w:r w:rsidRPr="00A8495D">
              <w:rPr>
                <w:lang w:val="en-GB"/>
              </w:rPr>
              <w:tab/>
              <w:t xml:space="preserve">The Commission is empowered to adopt delegated acts in accordance with Article 23 to amend Annexes I and II in order to take into account the inclusion of greenhouse gas emissions from </w:t>
            </w:r>
            <w:r w:rsidRPr="00A8495D">
              <w:rPr>
                <w:b/>
                <w:i/>
                <w:lang w:val="en-GB"/>
              </w:rPr>
              <w:t>categories of</w:t>
            </w:r>
            <w:r w:rsidRPr="00A8495D">
              <w:rPr>
                <w:lang w:val="en-GB"/>
              </w:rPr>
              <w:t xml:space="preserve"> ships below 5 000 gross tonnage within the scope of this Regulation, in accordance with </w:t>
            </w:r>
            <w:r w:rsidRPr="00A8495D">
              <w:rPr>
                <w:b/>
                <w:i/>
                <w:lang w:val="en-GB"/>
              </w:rPr>
              <w:t xml:space="preserve">Articles </w:t>
            </w:r>
            <w:r w:rsidRPr="00A8495D">
              <w:rPr>
                <w:bCs/>
                <w:iCs/>
                <w:lang w:val="en-GB"/>
              </w:rPr>
              <w:t>2(1a)</w:t>
            </w:r>
            <w:r w:rsidRPr="00A8495D">
              <w:rPr>
                <w:b/>
                <w:i/>
                <w:lang w:val="en-GB"/>
              </w:rPr>
              <w:t xml:space="preserve"> and 2(1d</w:t>
            </w:r>
            <w:r w:rsidRPr="00A8495D">
              <w:rPr>
                <w:lang w:val="en-GB"/>
              </w:rPr>
              <w:t>), including to provide for simplified monitoring requirements.</w:t>
            </w:r>
          </w:p>
        </w:tc>
        <w:tc>
          <w:tcPr>
            <w:tcW w:w="4876" w:type="dxa"/>
          </w:tcPr>
          <w:p w:rsidR="00F137FA" w:rsidRPr="00A8495D" w:rsidP="00284B7D" w14:paraId="2662DF70" w14:textId="77777777">
            <w:pPr>
              <w:pStyle w:val="Normal6"/>
              <w:rPr>
                <w:szCs w:val="24"/>
                <w:lang w:val="en-GB"/>
              </w:rPr>
            </w:pPr>
            <w:r w:rsidRPr="00A8495D">
              <w:rPr>
                <w:lang w:val="en-GB"/>
              </w:rPr>
              <w:t>3.</w:t>
            </w:r>
            <w:r w:rsidRPr="00A8495D">
              <w:rPr>
                <w:lang w:val="en-GB"/>
              </w:rPr>
              <w:tab/>
              <w:t xml:space="preserve">The Commission is empowered to adopt delegated acts in accordance with Article 23 to amend Annexes I and II in order to take into account the inclusion of greenhouse gas emissions from </w:t>
            </w:r>
            <w:r w:rsidRPr="00A8495D">
              <w:rPr>
                <w:b/>
                <w:i/>
                <w:lang w:val="en-GB"/>
              </w:rPr>
              <w:t>general cargo</w:t>
            </w:r>
            <w:r w:rsidRPr="00A8495D">
              <w:rPr>
                <w:lang w:val="en-GB"/>
              </w:rPr>
              <w:t xml:space="preserve"> ships below 5 000 </w:t>
            </w:r>
            <w:r w:rsidRPr="00A8495D">
              <w:rPr>
                <w:b/>
                <w:i/>
                <w:lang w:val="en-GB"/>
              </w:rPr>
              <w:t>gross tonnage but not below 400</w:t>
            </w:r>
            <w:r w:rsidRPr="00A8495D">
              <w:rPr>
                <w:lang w:val="en-GB"/>
              </w:rPr>
              <w:t xml:space="preserve"> gross tonnage within the scope of this Regulation, in accordance with </w:t>
            </w:r>
            <w:r w:rsidRPr="00A8495D">
              <w:rPr>
                <w:b/>
                <w:i/>
                <w:lang w:val="en-GB"/>
              </w:rPr>
              <w:t xml:space="preserve">Article </w:t>
            </w:r>
            <w:r w:rsidRPr="00A8495D">
              <w:rPr>
                <w:bCs/>
                <w:iCs/>
                <w:lang w:val="en-GB"/>
              </w:rPr>
              <w:t>2(1a)</w:t>
            </w:r>
            <w:r w:rsidRPr="00A8495D">
              <w:rPr>
                <w:lang w:val="en-GB"/>
              </w:rPr>
              <w:t>, including to provide for simplified monitoring requirements.</w:t>
            </w:r>
          </w:p>
        </w:tc>
      </w:tr>
    </w:tbl>
    <w:p w:rsidR="00F137FA" w:rsidRPr="00A8495D" w:rsidP="00F137FA" w14:paraId="5D210A21"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578E795D" w14:textId="77777777">
      <w:r w:rsidRPr="00A8495D">
        <w:rPr>
          <w:rStyle w:val="HideTWBExt"/>
        </w:rPr>
        <w:t>&lt;/Amend&gt;</w:t>
      </w:r>
    </w:p>
    <w:p w:rsidR="00F137FA" w:rsidRPr="00A8495D" w:rsidP="00F137FA" w14:paraId="0FD2DBC6"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9</w:t>
      </w:r>
      <w:r w:rsidRPr="00A8495D">
        <w:rPr>
          <w:rStyle w:val="HideTWBExt"/>
          <w:b w:val="0"/>
          <w:lang w:val="en-GB"/>
        </w:rPr>
        <w:t>&lt;/NumAm&gt;</w:t>
      </w:r>
    </w:p>
    <w:p w:rsidR="00F137FA" w:rsidRPr="00A8495D" w:rsidP="00F137FA" w14:paraId="2745FF7E"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43673FF8" w14:textId="77777777">
      <w:pPr>
        <w:pStyle w:val="NormalBold"/>
        <w:rPr>
          <w:lang w:val="fr-BE"/>
        </w:rPr>
      </w:pPr>
      <w:r w:rsidRPr="00A8495D">
        <w:rPr>
          <w:rStyle w:val="HideTWBExt"/>
          <w:b w:val="0"/>
          <w:lang w:val="fr-BE"/>
        </w:rPr>
        <w:t>&lt;Article&gt;</w:t>
      </w:r>
      <w:r w:rsidRPr="00A8495D">
        <w:rPr>
          <w:lang w:val="fr-BE"/>
        </w:rPr>
        <w:t>Article 1 – paragraph 1 – point 8 – point g</w:t>
      </w:r>
      <w:r w:rsidRPr="00A8495D">
        <w:rPr>
          <w:rStyle w:val="HideTWBExt"/>
          <w:b w:val="0"/>
          <w:lang w:val="fr-BE"/>
        </w:rPr>
        <w:t>&lt;/Article&gt;</w:t>
      </w:r>
    </w:p>
    <w:p w:rsidR="00F137FA" w:rsidRPr="00A8495D" w:rsidP="00F137FA" w14:paraId="6B0DD399" w14:textId="77777777">
      <w:pPr>
        <w:keepNext/>
      </w:pPr>
      <w:r w:rsidRPr="00A8495D">
        <w:rPr>
          <w:rStyle w:val="HideTWBExt"/>
        </w:rPr>
        <w:t>&lt;DocAmend2&gt;</w:t>
      </w:r>
      <w:r w:rsidRPr="00A8495D">
        <w:t>Regulation (EU) 2015/757</w:t>
      </w:r>
      <w:r w:rsidRPr="00A8495D">
        <w:rPr>
          <w:rStyle w:val="HideTWBExt"/>
        </w:rPr>
        <w:t>&lt;/DocAmend2&gt;</w:t>
      </w:r>
    </w:p>
    <w:p w:rsidR="00F137FA" w:rsidRPr="00A8495D" w:rsidP="00F137FA" w14:paraId="0C7B91DE" w14:textId="77777777">
      <w:r w:rsidRPr="00A8495D">
        <w:rPr>
          <w:rStyle w:val="HideTWBExt"/>
        </w:rPr>
        <w:t>&lt;Article2&gt;</w:t>
      </w:r>
      <w:r w:rsidRPr="00A8495D">
        <w:t>Article 6 – paragraph 9</w:t>
      </w:r>
      <w:r w:rsidRPr="00A8495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F1A1F5"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7B9799BB" w14:textId="77777777">
            <w:pPr>
              <w:keepNext/>
            </w:pPr>
          </w:p>
        </w:tc>
      </w:tr>
      <w:tr w14:paraId="2B9F0885"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2DDEF3C5" w14:textId="77777777">
            <w:pPr>
              <w:pStyle w:val="ColumnHeading"/>
              <w:keepNext/>
              <w:rPr>
                <w:lang w:val="en-GB"/>
              </w:rPr>
            </w:pPr>
            <w:r w:rsidRPr="00A8495D">
              <w:rPr>
                <w:lang w:val="en-GB"/>
              </w:rPr>
              <w:t>Text proposed by the Commission</w:t>
            </w:r>
          </w:p>
        </w:tc>
        <w:tc>
          <w:tcPr>
            <w:tcW w:w="4876" w:type="dxa"/>
          </w:tcPr>
          <w:p w:rsidR="00F137FA" w:rsidRPr="00A8495D" w:rsidP="00284B7D" w14:paraId="5D3A9626" w14:textId="77777777">
            <w:pPr>
              <w:pStyle w:val="ColumnHeading"/>
              <w:keepNext/>
              <w:rPr>
                <w:lang w:val="en-GB"/>
              </w:rPr>
            </w:pPr>
            <w:r w:rsidRPr="00A8495D">
              <w:rPr>
                <w:lang w:val="en-GB"/>
              </w:rPr>
              <w:t>Amendment</w:t>
            </w:r>
          </w:p>
        </w:tc>
      </w:tr>
      <w:tr w14:paraId="6D57A0C7"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0F16B28E" w14:textId="77777777">
            <w:pPr>
              <w:pStyle w:val="Normal6"/>
              <w:rPr>
                <w:lang w:val="en-GB"/>
              </w:rPr>
            </w:pPr>
            <w:r w:rsidRPr="00A8495D">
              <w:rPr>
                <w:lang w:val="en-GB"/>
              </w:rPr>
              <w:t>9.</w:t>
            </w:r>
            <w:r w:rsidRPr="00A8495D">
              <w:rPr>
                <w:lang w:val="en-GB"/>
              </w:rPr>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w:t>
            </w:r>
            <w:r w:rsidRPr="00A8495D">
              <w:rPr>
                <w:b/>
                <w:i/>
                <w:lang w:val="en-GB"/>
              </w:rPr>
              <w:t>categories of</w:t>
            </w:r>
            <w:r w:rsidRPr="00A8495D">
              <w:rPr>
                <w:lang w:val="en-GB"/>
              </w:rPr>
              <w:t xml:space="preserve"> ships below 5 000 gross tonnage within the scope of this Regulation, in accordance with Article 2(1a</w:t>
            </w:r>
            <w:r w:rsidRPr="00A8495D">
              <w:rPr>
                <w:bCs/>
                <w:iCs/>
                <w:lang w:val="en-GB"/>
              </w:rPr>
              <w:t>)</w:t>
            </w:r>
            <w:r w:rsidRPr="00A8495D">
              <w:rPr>
                <w:b/>
                <w:i/>
                <w:lang w:val="en-GB"/>
              </w:rPr>
              <w:t xml:space="preserve"> and Article 2(1d</w:t>
            </w:r>
            <w:r w:rsidRPr="00A8495D">
              <w:rPr>
                <w:lang w:val="en-GB"/>
              </w:rPr>
              <w:t xml:space="preserve">), including to provide for simplified monitoring requirements, and to take into account the inclusion of greenhouse gas emissions and energy used from ships performing or supporting offshore operations, within the scope of this Regulation, in accordance with Article 2(1aa) </w:t>
            </w:r>
            <w:r w:rsidRPr="00A8495D">
              <w:rPr>
                <w:b/>
                <w:bCs/>
                <w:i/>
                <w:iCs/>
                <w:lang w:val="en-GB"/>
              </w:rPr>
              <w:t>and</w:t>
            </w:r>
            <w:r w:rsidRPr="00A8495D">
              <w:rPr>
                <w:lang w:val="en-GB"/>
              </w:rPr>
              <w:t xml:space="preserve"> Article 2(</w:t>
            </w:r>
            <w:r w:rsidRPr="00A8495D">
              <w:rPr>
                <w:bCs/>
                <w:iCs/>
                <w:lang w:val="en-GB"/>
              </w:rPr>
              <w:t>1b</w:t>
            </w:r>
            <w:r w:rsidRPr="00A8495D">
              <w:rPr>
                <w:lang w:val="en-GB"/>
              </w:rPr>
              <w:t>).</w:t>
            </w:r>
            <w:r w:rsidRPr="00A8495D">
              <w:rPr>
                <w:b/>
                <w:i/>
                <w:lang w:val="en-GB"/>
              </w:rPr>
              <w:t>;</w:t>
            </w:r>
          </w:p>
        </w:tc>
        <w:tc>
          <w:tcPr>
            <w:tcW w:w="4876" w:type="dxa"/>
          </w:tcPr>
          <w:p w:rsidR="00F137FA" w:rsidRPr="00A8495D" w:rsidP="00284B7D" w14:paraId="74CCBC10" w14:textId="77777777">
            <w:pPr>
              <w:pStyle w:val="Normal6"/>
              <w:rPr>
                <w:szCs w:val="24"/>
                <w:lang w:val="en-GB"/>
              </w:rPr>
            </w:pPr>
            <w:r w:rsidRPr="00A8495D">
              <w:rPr>
                <w:lang w:val="en-GB"/>
              </w:rPr>
              <w:t>9.</w:t>
            </w:r>
            <w:r w:rsidRPr="00A8495D">
              <w:rPr>
                <w:lang w:val="en-GB"/>
              </w:rPr>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w:t>
            </w:r>
            <w:r w:rsidRPr="00A8495D">
              <w:rPr>
                <w:b/>
                <w:i/>
                <w:lang w:val="en-GB"/>
              </w:rPr>
              <w:t>general cargo</w:t>
            </w:r>
            <w:r w:rsidRPr="00A8495D">
              <w:rPr>
                <w:lang w:val="en-GB"/>
              </w:rPr>
              <w:t xml:space="preserve"> ships below 5 000 </w:t>
            </w:r>
            <w:r w:rsidRPr="00A8495D">
              <w:rPr>
                <w:b/>
                <w:i/>
                <w:lang w:val="en-GB"/>
              </w:rPr>
              <w:t>gross tonnage but not below 400</w:t>
            </w:r>
            <w:r w:rsidRPr="00A8495D">
              <w:rPr>
                <w:lang w:val="en-GB"/>
              </w:rPr>
              <w:t xml:space="preserve"> gross tonnage within the scope of this Regulation, in accordance with Article 2(1a), including to provide for simplified monitoring requirements, and to take into account the inclusion of greenhouse gas emissions and energy used from ships performing or supporting offshore operations, within the scope of this Regulation, in accordance with Article 2(1aa)</w:t>
            </w:r>
            <w:r w:rsidRPr="00A8495D">
              <w:rPr>
                <w:b/>
                <w:i/>
                <w:lang w:val="en-GB"/>
              </w:rPr>
              <w:t xml:space="preserve">, </w:t>
            </w:r>
            <w:r w:rsidRPr="00A8495D">
              <w:rPr>
                <w:bCs/>
                <w:iCs/>
                <w:lang w:val="en-GB"/>
              </w:rPr>
              <w:t>Article 2(1b)</w:t>
            </w:r>
            <w:r w:rsidRPr="00A8495D">
              <w:rPr>
                <w:lang w:val="en-GB"/>
              </w:rPr>
              <w:t xml:space="preserve"> </w:t>
            </w:r>
            <w:r w:rsidRPr="00A8495D">
              <w:rPr>
                <w:b/>
                <w:bCs/>
                <w:i/>
                <w:iCs/>
                <w:lang w:val="en-GB"/>
              </w:rPr>
              <w:t>and Article 2(1ba)</w:t>
            </w:r>
            <w:r w:rsidRPr="00A8495D">
              <w:rPr>
                <w:lang w:val="en-GB"/>
              </w:rPr>
              <w:t>.</w:t>
            </w:r>
          </w:p>
        </w:tc>
      </w:tr>
    </w:tbl>
    <w:p w:rsidR="00F137FA" w:rsidRPr="00A8495D" w:rsidP="00F137FA" w14:paraId="55BFF2F2"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3FD8031C" w14:textId="77777777">
      <w:r w:rsidRPr="00A8495D">
        <w:rPr>
          <w:rStyle w:val="HideTWBExt"/>
        </w:rPr>
        <w:t>&lt;/Amend&gt;</w:t>
      </w:r>
    </w:p>
    <w:p w:rsidR="00F137FA" w:rsidRPr="00A8495D" w:rsidP="00F137FA" w14:paraId="5CFC10CD"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10</w:t>
      </w:r>
      <w:r w:rsidRPr="00A8495D">
        <w:rPr>
          <w:rStyle w:val="HideTWBExt"/>
          <w:b w:val="0"/>
          <w:lang w:val="en-GB"/>
        </w:rPr>
        <w:t>&lt;/NumAm&gt;</w:t>
      </w:r>
    </w:p>
    <w:p w:rsidR="00F137FA" w:rsidRPr="00A8495D" w:rsidP="00F137FA" w14:paraId="4D1D7B30"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7F0BBDCB" w14:textId="77777777">
      <w:pPr>
        <w:pStyle w:val="NormalBold"/>
        <w:rPr>
          <w:lang w:val="fr-BE"/>
        </w:rPr>
      </w:pPr>
      <w:r w:rsidRPr="00A8495D">
        <w:rPr>
          <w:rStyle w:val="HideTWBExt"/>
          <w:b w:val="0"/>
          <w:lang w:val="fr-BE"/>
        </w:rPr>
        <w:t>&lt;Article&gt;</w:t>
      </w:r>
      <w:r w:rsidRPr="00A8495D">
        <w:rPr>
          <w:lang w:val="fr-BE"/>
        </w:rPr>
        <w:t>Article 1 – paragraph 1 – point 14 – point d</w:t>
      </w:r>
      <w:r w:rsidRPr="00A8495D">
        <w:rPr>
          <w:rStyle w:val="HideTWBExt"/>
          <w:b w:val="0"/>
          <w:lang w:val="fr-BE"/>
        </w:rPr>
        <w:t>&lt;/Article&gt;</w:t>
      </w:r>
    </w:p>
    <w:p w:rsidR="00F137FA" w:rsidRPr="00A8495D" w:rsidP="00F137FA" w14:paraId="007D2164" w14:textId="77777777">
      <w:pPr>
        <w:keepNext/>
      </w:pPr>
      <w:r w:rsidRPr="00A8495D">
        <w:rPr>
          <w:rStyle w:val="HideTWBExt"/>
        </w:rPr>
        <w:t>&lt;DocAmend2&gt;</w:t>
      </w:r>
      <w:r w:rsidRPr="00A8495D">
        <w:t>Regulation (EU) 2015/757</w:t>
      </w:r>
      <w:r w:rsidRPr="00A8495D">
        <w:rPr>
          <w:rStyle w:val="HideTWBExt"/>
        </w:rPr>
        <w:t>&lt;/DocAmend2&gt;</w:t>
      </w:r>
    </w:p>
    <w:p w:rsidR="00F137FA" w:rsidRPr="00A8495D" w:rsidP="00F137FA" w14:paraId="5B76AA8E" w14:textId="77777777">
      <w:r w:rsidRPr="00A8495D">
        <w:rPr>
          <w:rStyle w:val="HideTWBExt"/>
        </w:rPr>
        <w:t>&lt;Article2&gt;</w:t>
      </w:r>
      <w:r w:rsidRPr="00A8495D">
        <w:t>Article 11 – paragraph 4</w:t>
      </w:r>
      <w:r w:rsidRPr="00A8495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07F35C"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7279F063" w14:textId="77777777">
            <w:pPr>
              <w:keepNext/>
            </w:pPr>
          </w:p>
        </w:tc>
      </w:tr>
      <w:tr w14:paraId="6FC54F8B"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0B0FF1C2" w14:textId="77777777">
            <w:pPr>
              <w:pStyle w:val="ColumnHeading"/>
              <w:keepNext/>
              <w:rPr>
                <w:lang w:val="en-GB"/>
              </w:rPr>
            </w:pPr>
            <w:r w:rsidRPr="00A8495D">
              <w:rPr>
                <w:lang w:val="en-GB"/>
              </w:rPr>
              <w:t>Text proposed by the Commission</w:t>
            </w:r>
          </w:p>
        </w:tc>
        <w:tc>
          <w:tcPr>
            <w:tcW w:w="4876" w:type="dxa"/>
          </w:tcPr>
          <w:p w:rsidR="00F137FA" w:rsidRPr="00A8495D" w:rsidP="00284B7D" w14:paraId="7DBA5113" w14:textId="77777777">
            <w:pPr>
              <w:pStyle w:val="ColumnHeading"/>
              <w:keepNext/>
              <w:rPr>
                <w:lang w:val="en-GB"/>
              </w:rPr>
            </w:pPr>
            <w:r w:rsidRPr="00A8495D">
              <w:rPr>
                <w:lang w:val="en-GB"/>
              </w:rPr>
              <w:t>Amendment</w:t>
            </w:r>
          </w:p>
        </w:tc>
      </w:tr>
      <w:tr w14:paraId="3DE67583"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7F897B42" w14:textId="77777777">
            <w:pPr>
              <w:pStyle w:val="Normal6"/>
              <w:rPr>
                <w:lang w:val="en-GB"/>
              </w:rPr>
            </w:pPr>
            <w:r w:rsidRPr="00A8495D">
              <w:rPr>
                <w:lang w:val="en-GB"/>
              </w:rPr>
              <w:t>4.</w:t>
            </w:r>
            <w:r w:rsidRPr="00A8495D">
              <w:rPr>
                <w:lang w:val="en-GB"/>
              </w:rPr>
              <w:tab/>
              <w:t xml:space="preserve">The Commission is empowered to adopt delegated acts in accordance with Article 23 to amend Articles 11, 11a and 12 concerning the rules for reporting to take into account the inclusion of greenhouse gas emissions and energy used from </w:t>
            </w:r>
            <w:r w:rsidRPr="00A8495D">
              <w:rPr>
                <w:b/>
                <w:i/>
                <w:lang w:val="en-GB"/>
              </w:rPr>
              <w:t>categories of</w:t>
            </w:r>
            <w:r w:rsidRPr="00A8495D">
              <w:rPr>
                <w:lang w:val="en-GB"/>
              </w:rPr>
              <w:t xml:space="preserve"> ships below 5 000 gross tonnage, within the scope of this Regulation, in accordance with Article 2(1a</w:t>
            </w:r>
            <w:r w:rsidRPr="00A8495D">
              <w:rPr>
                <w:b/>
                <w:i/>
                <w:lang w:val="en-GB"/>
              </w:rPr>
              <w:t>) and Article 2(1d</w:t>
            </w:r>
            <w:r w:rsidRPr="00A8495D">
              <w:rPr>
                <w:lang w:val="en-GB"/>
              </w:rPr>
              <w:t xml:space="preserve">), including to </w:t>
            </w:r>
            <w:r w:rsidRPr="00A8495D">
              <w:rPr>
                <w:lang w:val="en-GB"/>
              </w:rPr>
              <w:t xml:space="preserve">provide for simplified reporting requirements, and to take into account the inclusion of greenhouse gas emissions and energy used from ships performing or supporting offshore operations, within the scope of this Regulation, in accordance with Article 2(1aa) </w:t>
            </w:r>
            <w:r w:rsidRPr="00A8495D">
              <w:rPr>
                <w:b/>
                <w:bCs/>
                <w:i/>
                <w:iCs/>
                <w:lang w:val="en-GB"/>
              </w:rPr>
              <w:t>and</w:t>
            </w:r>
            <w:r w:rsidRPr="00A8495D">
              <w:rPr>
                <w:lang w:val="en-GB"/>
              </w:rPr>
              <w:t xml:space="preserve"> Article 2(</w:t>
            </w:r>
            <w:r w:rsidRPr="00A8495D">
              <w:rPr>
                <w:bCs/>
                <w:iCs/>
                <w:lang w:val="en-GB"/>
              </w:rPr>
              <w:t>1b</w:t>
            </w:r>
            <w:r w:rsidRPr="00A8495D">
              <w:rPr>
                <w:lang w:val="en-GB"/>
              </w:rPr>
              <w:t>).</w:t>
            </w:r>
            <w:r w:rsidRPr="00A8495D">
              <w:rPr>
                <w:b/>
                <w:i/>
                <w:lang w:val="en-GB"/>
              </w:rPr>
              <w:t>;</w:t>
            </w:r>
          </w:p>
        </w:tc>
        <w:tc>
          <w:tcPr>
            <w:tcW w:w="4876" w:type="dxa"/>
          </w:tcPr>
          <w:p w:rsidR="00F137FA" w:rsidRPr="00A8495D" w:rsidP="00284B7D" w14:paraId="584A853E" w14:textId="77777777">
            <w:pPr>
              <w:pStyle w:val="Normal6"/>
              <w:rPr>
                <w:szCs w:val="24"/>
                <w:lang w:val="en-GB"/>
              </w:rPr>
            </w:pPr>
            <w:r w:rsidRPr="00A8495D">
              <w:rPr>
                <w:lang w:val="en-GB"/>
              </w:rPr>
              <w:t>4.</w:t>
            </w:r>
            <w:r w:rsidRPr="00A8495D">
              <w:rPr>
                <w:lang w:val="en-GB"/>
              </w:rPr>
              <w:tab/>
              <w:t xml:space="preserve">The Commission is empowered to adopt delegated acts in accordance with Article 23 to amend Articles 11, 11a and 12 concerning the rules for reporting to take into account the inclusion of greenhouse gas emissions and energy used from </w:t>
            </w:r>
            <w:r w:rsidRPr="00A8495D">
              <w:rPr>
                <w:b/>
                <w:i/>
                <w:lang w:val="en-GB"/>
              </w:rPr>
              <w:t>general cargo</w:t>
            </w:r>
            <w:r w:rsidRPr="00A8495D">
              <w:rPr>
                <w:lang w:val="en-GB"/>
              </w:rPr>
              <w:t xml:space="preserve"> ships below 5 000 </w:t>
            </w:r>
            <w:r w:rsidRPr="00A8495D">
              <w:rPr>
                <w:b/>
                <w:i/>
                <w:lang w:val="en-GB"/>
              </w:rPr>
              <w:t>gross tonnage but not below 400</w:t>
            </w:r>
            <w:r w:rsidRPr="00A8495D">
              <w:rPr>
                <w:lang w:val="en-GB"/>
              </w:rPr>
              <w:t xml:space="preserve"> gross tonnage, within the scope of this Regulation, in accordance with Article </w:t>
            </w:r>
            <w:r w:rsidRPr="00A8495D">
              <w:rPr>
                <w:lang w:val="en-GB"/>
              </w:rPr>
              <w:t>2(1a), including to provide for simplified reporting requirements, and to take into account the inclusion of greenhouse gas emissions and energy used from ships performing or supporting offshore operations, within the scope of this Regulation, in accordance with Article 2(1aa)</w:t>
            </w:r>
            <w:r w:rsidRPr="00A8495D">
              <w:rPr>
                <w:b/>
                <w:i/>
                <w:lang w:val="en-GB"/>
              </w:rPr>
              <w:t xml:space="preserve">, </w:t>
            </w:r>
            <w:r w:rsidRPr="00A8495D">
              <w:rPr>
                <w:bCs/>
                <w:iCs/>
                <w:lang w:val="en-GB"/>
              </w:rPr>
              <w:t>Article 2(1b)</w:t>
            </w:r>
            <w:r w:rsidRPr="00A8495D">
              <w:rPr>
                <w:lang w:val="en-GB"/>
              </w:rPr>
              <w:t xml:space="preserve"> </w:t>
            </w:r>
            <w:r w:rsidRPr="00A8495D">
              <w:rPr>
                <w:b/>
                <w:bCs/>
                <w:i/>
                <w:iCs/>
                <w:lang w:val="en-GB"/>
              </w:rPr>
              <w:t>and Article 2(1ba)</w:t>
            </w:r>
            <w:r w:rsidRPr="00A8495D">
              <w:rPr>
                <w:lang w:val="en-GB"/>
              </w:rPr>
              <w:t>.</w:t>
            </w:r>
          </w:p>
        </w:tc>
      </w:tr>
    </w:tbl>
    <w:p w:rsidR="00F137FA" w:rsidRPr="00A8495D" w:rsidP="00F137FA" w14:paraId="4D370233"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525C2FAD" w14:textId="77777777">
      <w:r w:rsidRPr="00A8495D">
        <w:rPr>
          <w:rStyle w:val="HideTWBExt"/>
        </w:rPr>
        <w:t>&lt;/Amend&gt;</w:t>
      </w:r>
    </w:p>
    <w:p w:rsidR="00F137FA" w:rsidRPr="00A8495D" w:rsidP="00F137FA" w14:paraId="359DCED3"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11</w:t>
      </w:r>
      <w:r w:rsidRPr="00A8495D">
        <w:rPr>
          <w:rStyle w:val="HideTWBExt"/>
          <w:b w:val="0"/>
          <w:lang w:val="en-GB"/>
        </w:rPr>
        <w:t>&lt;/NumAm&gt;</w:t>
      </w:r>
    </w:p>
    <w:p w:rsidR="00F137FA" w:rsidRPr="00A8495D" w:rsidP="00F137FA" w14:paraId="0214395E"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5CE96DEA" w14:textId="77777777">
      <w:pPr>
        <w:pStyle w:val="NormalBold"/>
        <w:rPr>
          <w:lang w:val="fr-BE"/>
        </w:rPr>
      </w:pPr>
      <w:r w:rsidRPr="00A8495D">
        <w:rPr>
          <w:rStyle w:val="HideTWBExt"/>
          <w:b w:val="0"/>
          <w:lang w:val="fr-BE"/>
        </w:rPr>
        <w:t>&lt;Article&gt;</w:t>
      </w:r>
      <w:r w:rsidRPr="00A8495D">
        <w:rPr>
          <w:lang w:val="fr-BE"/>
        </w:rPr>
        <w:t>Article 1 – paragraph 1 – point 27 – point c</w:t>
      </w:r>
      <w:r w:rsidRPr="00A8495D">
        <w:rPr>
          <w:rStyle w:val="HideTWBExt"/>
          <w:b w:val="0"/>
          <w:lang w:val="fr-BE"/>
        </w:rPr>
        <w:t>&lt;/Article&gt;</w:t>
      </w:r>
    </w:p>
    <w:p w:rsidR="00F137FA" w:rsidRPr="00A8495D" w:rsidP="00F137FA" w14:paraId="022A8EA5" w14:textId="77777777">
      <w:pPr>
        <w:keepNext/>
        <w:rPr>
          <w:lang w:val="fr-BE"/>
        </w:rPr>
      </w:pPr>
      <w:r w:rsidRPr="00A8495D">
        <w:rPr>
          <w:rStyle w:val="HideTWBExt"/>
          <w:lang w:val="fr-BE"/>
        </w:rPr>
        <w:t>&lt;DocAmend2&gt;</w:t>
      </w:r>
      <w:r w:rsidRPr="00A8495D">
        <w:rPr>
          <w:lang w:val="fr-BE"/>
        </w:rPr>
        <w:t>Regulation (EU) 2015/757</w:t>
      </w:r>
      <w:r w:rsidRPr="00A8495D">
        <w:rPr>
          <w:rStyle w:val="HideTWBExt"/>
          <w:lang w:val="fr-BE"/>
        </w:rPr>
        <w:t>&lt;/DocAmend2&gt;</w:t>
      </w:r>
    </w:p>
    <w:p w:rsidR="00F137FA" w:rsidRPr="00A8495D" w:rsidP="00F137FA" w14:paraId="35AEF1E3" w14:textId="1BFAFF48">
      <w:pPr>
        <w:rPr>
          <w:lang w:val="fr-BE"/>
        </w:rPr>
      </w:pPr>
      <w:r w:rsidRPr="00A8495D">
        <w:rPr>
          <w:rStyle w:val="HideTWBExt"/>
          <w:lang w:val="fr-BE"/>
        </w:rPr>
        <w:t>&lt;Article2&gt;</w:t>
      </w:r>
      <w:r w:rsidRPr="00A8495D">
        <w:rPr>
          <w:lang w:val="fr-BE"/>
        </w:rPr>
        <w:t>Annex II – Part C – point 1.1</w:t>
      </w:r>
      <w:r w:rsidRPr="00A8495D" w:rsidR="00E34921">
        <w:rPr>
          <w:lang w:val="fr-BE"/>
        </w:rPr>
        <w:t xml:space="preserve"> – paragraph 1 a (new)</w:t>
      </w:r>
      <w:r w:rsidRPr="00A8495D">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093C877A" w14:textId="77777777" w:rsidTr="00A8495D">
        <w:tblPrEx>
          <w:tblW w:w="9752" w:type="dxa"/>
          <w:jc w:val="center"/>
          <w:tblLayout w:type="fixed"/>
          <w:tblCellMar>
            <w:left w:w="340" w:type="dxa"/>
            <w:right w:w="340" w:type="dxa"/>
          </w:tblCellMar>
          <w:tblLook w:val="0000"/>
        </w:tblPrEx>
        <w:trPr>
          <w:jc w:val="center"/>
        </w:trPr>
        <w:tc>
          <w:tcPr>
            <w:tcW w:w="9752" w:type="dxa"/>
            <w:gridSpan w:val="2"/>
          </w:tcPr>
          <w:p w:rsidR="00F137FA" w:rsidRPr="00A8495D" w:rsidP="00284B7D" w14:paraId="13824FD0" w14:textId="77777777">
            <w:pPr>
              <w:keepNext/>
              <w:rPr>
                <w:lang w:val="fr-BE"/>
              </w:rPr>
            </w:pPr>
          </w:p>
        </w:tc>
      </w:tr>
      <w:tr w14:paraId="5BA9B934"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72260D89" w14:textId="77777777">
            <w:pPr>
              <w:pStyle w:val="ColumnHeading"/>
              <w:keepNext/>
              <w:rPr>
                <w:lang w:val="en-GB"/>
              </w:rPr>
            </w:pPr>
            <w:r w:rsidRPr="00A8495D">
              <w:rPr>
                <w:lang w:val="en-GB"/>
              </w:rPr>
              <w:t>Text proposed by the Commission</w:t>
            </w:r>
          </w:p>
        </w:tc>
        <w:tc>
          <w:tcPr>
            <w:tcW w:w="4876" w:type="dxa"/>
          </w:tcPr>
          <w:p w:rsidR="00F137FA" w:rsidRPr="00A8495D" w:rsidP="00284B7D" w14:paraId="38E24625" w14:textId="77777777">
            <w:pPr>
              <w:pStyle w:val="ColumnHeading"/>
              <w:keepNext/>
              <w:rPr>
                <w:lang w:val="en-GB"/>
              </w:rPr>
            </w:pPr>
            <w:r w:rsidRPr="00A8495D">
              <w:rPr>
                <w:lang w:val="en-GB"/>
              </w:rPr>
              <w:t>Amendment</w:t>
            </w:r>
          </w:p>
        </w:tc>
      </w:tr>
      <w:tr w14:paraId="6F45F486" w14:textId="77777777" w:rsidTr="00A8495D">
        <w:tblPrEx>
          <w:tblW w:w="9752" w:type="dxa"/>
          <w:jc w:val="center"/>
          <w:tblLayout w:type="fixed"/>
          <w:tblCellMar>
            <w:left w:w="340" w:type="dxa"/>
            <w:right w:w="340" w:type="dxa"/>
          </w:tblCellMar>
          <w:tblLook w:val="0000"/>
        </w:tblPrEx>
        <w:trPr>
          <w:jc w:val="center"/>
        </w:trPr>
        <w:tc>
          <w:tcPr>
            <w:tcW w:w="4876" w:type="dxa"/>
          </w:tcPr>
          <w:p w:rsidR="00F137FA" w:rsidRPr="00A8495D" w:rsidP="00284B7D" w14:paraId="14570012" w14:textId="77777777">
            <w:pPr>
              <w:pStyle w:val="Normal6"/>
              <w:rPr>
                <w:lang w:val="en-GB"/>
              </w:rPr>
            </w:pPr>
          </w:p>
        </w:tc>
        <w:tc>
          <w:tcPr>
            <w:tcW w:w="4876" w:type="dxa"/>
          </w:tcPr>
          <w:p w:rsidR="00F137FA" w:rsidRPr="00A8495D" w:rsidP="00284B7D" w14:paraId="68AA7B38" w14:textId="06B684D5">
            <w:pPr>
              <w:pStyle w:val="Normal6"/>
              <w:rPr>
                <w:szCs w:val="24"/>
                <w:lang w:val="en-GB"/>
              </w:rPr>
            </w:pPr>
            <w:r w:rsidRPr="00A8495D">
              <w:rPr>
                <w:b/>
                <w:i/>
                <w:lang w:val="en-GB"/>
              </w:rPr>
              <w:t>By way of derogation from the first paragraph, greenhouse gas emissions from ships below 5 000 gross tonnage referred to in Article 2(1a) and Article 2(1aa) shall not be included in the ship’s total aggregated emissions of greenhouse gases reported under Directive 2003/87/EC.</w:t>
            </w:r>
            <w:r w:rsidRPr="00A8495D" w:rsidR="00D53B6A">
              <w:rPr>
                <w:b/>
                <w:i/>
                <w:lang w:val="en-GB"/>
              </w:rPr>
              <w:t xml:space="preserve"> </w:t>
            </w:r>
            <w:r w:rsidRPr="00A8495D">
              <w:rPr>
                <w:b/>
                <w:i/>
                <w:lang w:val="en-GB"/>
              </w:rPr>
              <w:t>Until Article 2(1ba) and the delegated acts adopted pursuant to Articles 5(2), 6(9) and 11(4), insofar as they concern ships performing or supporting offshore operations, have become applicable, greenhouse gas emissions from offshore ships referred to in Article 2(1b) shall not be included in the ship’s total aggregated emissions of greenhouse gases reported under Directive 2003/87/EC.</w:t>
            </w:r>
            <w:r w:rsidRPr="00A8495D" w:rsidR="00D53B6A">
              <w:rPr>
                <w:b/>
                <w:i/>
                <w:lang w:val="en-GB"/>
              </w:rPr>
              <w:t xml:space="preserve"> </w:t>
            </w:r>
            <w:r w:rsidRPr="00A8495D">
              <w:rPr>
                <w:b/>
                <w:i/>
                <w:lang w:val="en-GB"/>
              </w:rPr>
              <w:t>From that date, the inclusion of greenhouse gas emissions attributable to the performance or support of offshore operations by ships of 5 000 gross tonnage and above shall be determined in accordance with Article 2(1ba).</w:t>
            </w:r>
            <w:r w:rsidRPr="00A8495D" w:rsidR="00D53B6A">
              <w:rPr>
                <w:b/>
                <w:i/>
                <w:lang w:val="en-GB"/>
              </w:rPr>
              <w:t xml:space="preserve"> </w:t>
            </w:r>
            <w:r w:rsidRPr="00A8495D">
              <w:rPr>
                <w:b/>
                <w:i/>
                <w:lang w:val="en-GB"/>
              </w:rPr>
              <w:t>This shall be without prejudice to the monitoring, reporting and verification of those emissions in accordance with this Regulation.</w:t>
            </w:r>
          </w:p>
        </w:tc>
      </w:tr>
    </w:tbl>
    <w:p w:rsidR="00F137FA" w:rsidRPr="00A8495D" w:rsidP="00F137FA" w14:paraId="69C2A912"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6BDD030F" w14:textId="77777777">
      <w:pPr>
        <w:pStyle w:val="JustificationTitle"/>
        <w:rPr>
          <w:noProof w:val="0"/>
          <w:lang w:val="en-GB"/>
        </w:rPr>
      </w:pPr>
      <w:r w:rsidRPr="00A8495D">
        <w:rPr>
          <w:rStyle w:val="HideTWBExt"/>
          <w:i w:val="0"/>
          <w:noProof w:val="0"/>
          <w:lang w:val="en-GB"/>
        </w:rPr>
        <w:t>&lt;TitreJust&gt;</w:t>
      </w:r>
      <w:r w:rsidRPr="00A8495D">
        <w:rPr>
          <w:noProof w:val="0"/>
          <w:lang w:val="en-GB"/>
        </w:rPr>
        <w:t>Justification</w:t>
      </w:r>
      <w:r w:rsidRPr="00A8495D">
        <w:rPr>
          <w:rStyle w:val="HideTWBExt"/>
          <w:i w:val="0"/>
          <w:noProof w:val="0"/>
          <w:lang w:val="en-GB"/>
        </w:rPr>
        <w:t>&lt;/TitreJust&gt;</w:t>
      </w:r>
    </w:p>
    <w:p w:rsidR="00F137FA" w:rsidRPr="00A8495D" w:rsidP="00F137FA" w14:paraId="18CB4964" w14:textId="77777777">
      <w:pPr>
        <w:pStyle w:val="Normal12Italic"/>
        <w:rPr>
          <w:noProof w:val="0"/>
          <w:lang w:val="en-GB"/>
        </w:rPr>
      </w:pPr>
      <w:r w:rsidRPr="00A8495D">
        <w:rPr>
          <w:noProof w:val="0"/>
          <w:lang w:val="en-GB"/>
        </w:rPr>
        <w:t>Ships below 5 000 gross tonnage should remain subject to MRV obligations, but their emissions should not be aggregated for EU ETS purposes. Offshore ships of 5 000 gross tonnage and above should also remain subject to MRV, but their inclusion in the EU ETS should be suspended until the revised activity-based MRV scope and the corresponding monitoring and reporting rules are operational, since the current parameters are not adapted to offshore activities.</w:t>
      </w:r>
    </w:p>
    <w:p w:rsidR="00F137FA" w:rsidRPr="00A8495D" w:rsidP="00F137FA" w14:paraId="49CB4D61" w14:textId="77777777">
      <w:r w:rsidRPr="00A8495D">
        <w:rPr>
          <w:rStyle w:val="HideTWBExt"/>
        </w:rPr>
        <w:t>&lt;/Amend&gt;</w:t>
      </w:r>
    </w:p>
    <w:p w:rsidR="00F137FA" w:rsidRPr="00A8495D" w:rsidP="00F137FA" w14:paraId="17646A17" w14:textId="77777777">
      <w:pPr>
        <w:pStyle w:val="AMNumberTabs0"/>
        <w:keepNext/>
        <w:rPr>
          <w:lang w:val="en-GB"/>
        </w:rPr>
      </w:pPr>
      <w:r w:rsidRPr="00A8495D">
        <w:rPr>
          <w:rStyle w:val="HideTWBExt"/>
          <w:b w:val="0"/>
          <w:lang w:val="en-GB"/>
        </w:rPr>
        <w:t>&lt;Amend&gt;</w:t>
      </w:r>
      <w:r w:rsidRPr="00A8495D">
        <w:rPr>
          <w:lang w:val="en-GB"/>
        </w:rPr>
        <w:t>Amendment</w:t>
      </w:r>
      <w:r w:rsidRPr="00A8495D">
        <w:rPr>
          <w:lang w:val="en-GB"/>
        </w:rPr>
        <w:tab/>
      </w:r>
      <w:r w:rsidRPr="00A8495D">
        <w:rPr>
          <w:lang w:val="en-GB"/>
        </w:rPr>
        <w:tab/>
      </w:r>
      <w:r w:rsidRPr="00A8495D">
        <w:rPr>
          <w:rStyle w:val="HideTWBExt"/>
          <w:b w:val="0"/>
          <w:lang w:val="en-GB"/>
        </w:rPr>
        <w:t>&lt;NumAm&gt;</w:t>
      </w:r>
      <w:r w:rsidRPr="00A8495D">
        <w:rPr>
          <w:color w:val="000000"/>
          <w:lang w:val="en-GB"/>
        </w:rPr>
        <w:t>12</w:t>
      </w:r>
      <w:r w:rsidRPr="00A8495D">
        <w:rPr>
          <w:rStyle w:val="HideTWBExt"/>
          <w:b w:val="0"/>
          <w:lang w:val="en-GB"/>
        </w:rPr>
        <w:t>&lt;/NumAm&gt;</w:t>
      </w:r>
    </w:p>
    <w:p w:rsidR="00F137FA" w:rsidRPr="00A8495D" w:rsidP="00F137FA" w14:paraId="0246C4C2" w14:textId="77777777">
      <w:pPr>
        <w:pStyle w:val="NormalBold12b"/>
        <w:keepNext/>
      </w:pPr>
      <w:r w:rsidRPr="00A8495D">
        <w:rPr>
          <w:rStyle w:val="HideTWBExt"/>
          <w:b w:val="0"/>
        </w:rPr>
        <w:t>&lt;DocAmend&gt;</w:t>
      </w:r>
      <w:r w:rsidRPr="00A8495D">
        <w:t>Proposal for a regulation</w:t>
      </w:r>
      <w:r w:rsidRPr="00A8495D">
        <w:rPr>
          <w:rStyle w:val="HideTWBExt"/>
          <w:b w:val="0"/>
        </w:rPr>
        <w:t>&lt;/DocAmend&gt;</w:t>
      </w:r>
    </w:p>
    <w:p w:rsidR="00F137FA" w:rsidRPr="00A8495D" w:rsidP="00F137FA" w14:paraId="6FF6F621" w14:textId="140B5933">
      <w:pPr>
        <w:pStyle w:val="NormalBold"/>
        <w:rPr>
          <w:lang w:val="fr-BE"/>
        </w:rPr>
      </w:pPr>
      <w:r w:rsidRPr="00A8495D">
        <w:rPr>
          <w:rStyle w:val="HideTWBExt"/>
          <w:b w:val="0"/>
          <w:lang w:val="fr-BE"/>
        </w:rPr>
        <w:t>&lt;Article&gt;</w:t>
      </w:r>
      <w:r w:rsidRPr="00A8495D">
        <w:rPr>
          <w:lang w:val="fr-BE"/>
        </w:rPr>
        <w:t>Article 3 – paragraph 2</w:t>
      </w:r>
      <w:r w:rsidRPr="00A8495D" w:rsidR="00D53B6A">
        <w:rPr>
          <w:lang w:val="fr-BE"/>
        </w:rPr>
        <w:t xml:space="preserve"> –</w:t>
      </w:r>
      <w:r w:rsidRPr="00A8495D" w:rsidR="009701C7">
        <w:rPr>
          <w:lang w:val="fr-BE"/>
        </w:rPr>
        <w:t xml:space="preserve"> </w:t>
      </w:r>
      <w:r w:rsidRPr="00A8495D" w:rsidR="00D53B6A">
        <w:rPr>
          <w:lang w:val="fr-BE"/>
        </w:rPr>
        <w:t xml:space="preserve">paragraph </w:t>
      </w:r>
      <w:r w:rsidRPr="00A8495D" w:rsidR="00A42B86">
        <w:rPr>
          <w:lang w:val="fr-BE"/>
        </w:rPr>
        <w:t>2</w:t>
      </w:r>
      <w:r w:rsidRPr="00A8495D" w:rsidR="009701C7">
        <w:rPr>
          <w:lang w:val="fr-BE"/>
        </w:rPr>
        <w:t xml:space="preserve"> </w:t>
      </w:r>
      <w:r w:rsidRPr="00A8495D" w:rsidR="00A42B86">
        <w:rPr>
          <w:lang w:val="fr-BE"/>
        </w:rPr>
        <w:t xml:space="preserve">a </w:t>
      </w:r>
      <w:r w:rsidRPr="00A8495D" w:rsidR="00D53B6A">
        <w:rPr>
          <w:lang w:val="fr-BE"/>
        </w:rPr>
        <w:t xml:space="preserve">(new) </w:t>
      </w:r>
      <w:r w:rsidRPr="00A8495D">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E4CF008" w14:textId="77777777" w:rsidTr="00284B7D">
        <w:tblPrEx>
          <w:tblW w:w="0" w:type="auto"/>
          <w:jc w:val="center"/>
          <w:tblLayout w:type="fixed"/>
          <w:tblCellMar>
            <w:left w:w="340" w:type="dxa"/>
            <w:right w:w="340" w:type="dxa"/>
          </w:tblCellMar>
          <w:tblLook w:val="0000"/>
        </w:tblPrEx>
        <w:trPr>
          <w:jc w:val="center"/>
        </w:trPr>
        <w:tc>
          <w:tcPr>
            <w:tcW w:w="9752" w:type="dxa"/>
            <w:gridSpan w:val="2"/>
          </w:tcPr>
          <w:p w:rsidR="00F137FA" w:rsidRPr="00A8495D" w:rsidP="00284B7D" w14:paraId="704D3DE8" w14:textId="77777777">
            <w:pPr>
              <w:keepNext/>
              <w:rPr>
                <w:lang w:val="fr-BE"/>
              </w:rPr>
            </w:pPr>
          </w:p>
        </w:tc>
      </w:tr>
      <w:tr w14:paraId="32D3CFCF"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48A13B65" w14:textId="77777777">
            <w:pPr>
              <w:pStyle w:val="ColumnHeading"/>
              <w:keepNext/>
              <w:rPr>
                <w:lang w:val="en-GB"/>
              </w:rPr>
            </w:pPr>
            <w:r w:rsidRPr="00A8495D">
              <w:rPr>
                <w:lang w:val="en-GB"/>
              </w:rPr>
              <w:t>Text proposed by the Commission</w:t>
            </w:r>
          </w:p>
        </w:tc>
        <w:tc>
          <w:tcPr>
            <w:tcW w:w="4876" w:type="dxa"/>
          </w:tcPr>
          <w:p w:rsidR="00F137FA" w:rsidRPr="00A8495D" w:rsidP="00284B7D" w14:paraId="6C707F62" w14:textId="77777777">
            <w:pPr>
              <w:pStyle w:val="ColumnHeading"/>
              <w:keepNext/>
              <w:rPr>
                <w:lang w:val="en-GB"/>
              </w:rPr>
            </w:pPr>
            <w:r w:rsidRPr="00A8495D">
              <w:rPr>
                <w:lang w:val="en-GB"/>
              </w:rPr>
              <w:t>Amendment</w:t>
            </w:r>
          </w:p>
        </w:tc>
      </w:tr>
      <w:tr w14:paraId="23252B68" w14:textId="77777777" w:rsidTr="00284B7D">
        <w:tblPrEx>
          <w:tblW w:w="0" w:type="auto"/>
          <w:jc w:val="center"/>
          <w:tblLayout w:type="fixed"/>
          <w:tblCellMar>
            <w:left w:w="340" w:type="dxa"/>
            <w:right w:w="340" w:type="dxa"/>
          </w:tblCellMar>
          <w:tblLook w:val="0000"/>
        </w:tblPrEx>
        <w:trPr>
          <w:jc w:val="center"/>
        </w:trPr>
        <w:tc>
          <w:tcPr>
            <w:tcW w:w="4876" w:type="dxa"/>
          </w:tcPr>
          <w:p w:rsidR="00F137FA" w:rsidRPr="00A8495D" w:rsidP="00284B7D" w14:paraId="02D7FFC3" w14:textId="3CDB8FA0">
            <w:pPr>
              <w:pStyle w:val="Normal6"/>
              <w:rPr>
                <w:lang w:val="en-GB"/>
              </w:rPr>
            </w:pPr>
          </w:p>
        </w:tc>
        <w:tc>
          <w:tcPr>
            <w:tcW w:w="4876" w:type="dxa"/>
          </w:tcPr>
          <w:p w:rsidR="008A6A95" w:rsidRPr="00A8495D" w:rsidP="00284B7D" w14:paraId="1612D3DE" w14:textId="1B3657BD">
            <w:pPr>
              <w:pStyle w:val="Normal6"/>
              <w:rPr>
                <w:lang w:val="en-GB"/>
              </w:rPr>
            </w:pPr>
          </w:p>
          <w:p w:rsidR="00F137FA" w:rsidRPr="00A8495D" w:rsidP="00284B7D" w14:paraId="337B7ADC" w14:textId="502427AC">
            <w:pPr>
              <w:pStyle w:val="Normal6"/>
              <w:rPr>
                <w:szCs w:val="24"/>
                <w:lang w:val="en-GB"/>
              </w:rPr>
            </w:pPr>
            <w:r w:rsidRPr="00A8495D">
              <w:rPr>
                <w:b/>
                <w:i/>
                <w:lang w:val="en-GB"/>
              </w:rPr>
              <w:t>By way of derogation from the second paragraph, Article 1, point (27)(c), as regards the second to fifth paragraphs of point 1.1 of Part C of Annex II to Regulation (EU) 2015/757, shall apply from the date of entry into force of this Regulation. .</w:t>
            </w:r>
          </w:p>
        </w:tc>
      </w:tr>
    </w:tbl>
    <w:p w:rsidR="00F137FA" w:rsidRPr="00A8495D" w:rsidP="00F137FA" w14:paraId="63FF0B52" w14:textId="77777777">
      <w:pPr>
        <w:pStyle w:val="Olang"/>
        <w:rPr>
          <w:sz w:val="24"/>
          <w:szCs w:val="24"/>
        </w:rPr>
      </w:pPr>
      <w:r w:rsidRPr="00A8495D">
        <w:rPr>
          <w:sz w:val="24"/>
          <w:szCs w:val="24"/>
        </w:rPr>
        <w:t xml:space="preserve">Or. </w:t>
      </w:r>
      <w:r w:rsidRPr="00A8495D">
        <w:rPr>
          <w:rStyle w:val="HideTWBExt"/>
          <w:noProof w:val="0"/>
        </w:rPr>
        <w:t>&lt;Original&gt;</w:t>
      </w:r>
      <w:r w:rsidRPr="00A8495D">
        <w:rPr>
          <w:rStyle w:val="HideTWBInt"/>
          <w:sz w:val="24"/>
          <w:szCs w:val="24"/>
        </w:rPr>
        <w:t>{EN}</w:t>
      </w:r>
      <w:r w:rsidRPr="00A8495D">
        <w:rPr>
          <w:sz w:val="24"/>
          <w:szCs w:val="24"/>
        </w:rPr>
        <w:t>en</w:t>
      </w:r>
      <w:r w:rsidRPr="00A8495D">
        <w:rPr>
          <w:rStyle w:val="HideTWBExt"/>
          <w:noProof w:val="0"/>
        </w:rPr>
        <w:t>&lt;/Original&gt;</w:t>
      </w:r>
    </w:p>
    <w:p w:rsidR="00F137FA" w:rsidRPr="00A8495D" w:rsidP="00F137FA" w14:paraId="4A624120" w14:textId="77777777">
      <w:pPr>
        <w:pStyle w:val="JustificationTitle"/>
        <w:rPr>
          <w:noProof w:val="0"/>
          <w:lang w:val="en-GB"/>
        </w:rPr>
      </w:pPr>
      <w:r w:rsidRPr="00A8495D">
        <w:rPr>
          <w:rStyle w:val="HideTWBExt"/>
          <w:i w:val="0"/>
          <w:noProof w:val="0"/>
          <w:lang w:val="en-GB"/>
        </w:rPr>
        <w:t>&lt;TitreJust&gt;</w:t>
      </w:r>
      <w:r w:rsidRPr="00A8495D">
        <w:rPr>
          <w:noProof w:val="0"/>
          <w:lang w:val="en-GB"/>
        </w:rPr>
        <w:t>Justification</w:t>
      </w:r>
      <w:r w:rsidRPr="00A8495D">
        <w:rPr>
          <w:rStyle w:val="HideTWBExt"/>
          <w:i w:val="0"/>
          <w:noProof w:val="0"/>
          <w:lang w:val="en-GB"/>
        </w:rPr>
        <w:t>&lt;/TitreJust&gt;</w:t>
      </w:r>
    </w:p>
    <w:p w:rsidR="00F137FA" w:rsidRPr="00A8495D" w:rsidP="00F137FA" w14:paraId="36693787" w14:textId="77777777">
      <w:pPr>
        <w:pStyle w:val="Normal12Italic"/>
        <w:rPr>
          <w:noProof w:val="0"/>
          <w:lang w:val="en-GB"/>
        </w:rPr>
      </w:pPr>
      <w:r w:rsidRPr="00A8495D">
        <w:rPr>
          <w:noProof w:val="0"/>
          <w:lang w:val="en-GB"/>
        </w:rPr>
        <w:t>The provisions distinguishing the scope of MRV obligations from the emissions aggregated for EU ETS purposes should apply from the date of entry into force of this Regulation. This is necessary to prevent offshore ships from being subject to EU ETS obligations on the basis of monitoring and reporting parameters that are not adapted to their operational profiles.</w:t>
      </w:r>
    </w:p>
    <w:p w:rsidR="00F137FA" w:rsidRPr="00A8495D" w:rsidP="00F137FA" w14:paraId="7D83F3C8" w14:textId="77777777">
      <w:r w:rsidRPr="00A8495D">
        <w:rPr>
          <w:rStyle w:val="HideTWBExt"/>
        </w:rPr>
        <w:t>&lt;/Amend&gt;</w:t>
      </w:r>
      <w:r w:rsidRPr="00A8495D">
        <w:rPr>
          <w:rStyle w:val="HideTWBExt"/>
          <w:szCs w:val="20"/>
        </w:rPr>
        <w:t>&lt;/RepeatBlock-Amend&gt;</w:t>
      </w:r>
    </w:p>
    <w:p w:rsidR="00DB56E4" w:rsidRPr="00A8495D" w:rsidP="00DB56E4" w14:paraId="2D6E2E83" w14:textId="77777777"/>
    <w:sectPr w:rsidSect="00A8495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5D" w:rsidP="00A8495D" w14:paraId="69C888D5" w14:textId="77777777">
    <w:pPr>
      <w:pStyle w:val="EPFooter"/>
      <w:rPr>
        <w:lang w:val="fr-BE"/>
      </w:rPr>
    </w:pPr>
    <w:r>
      <w:rPr>
        <w:lang w:val="fr-BE"/>
      </w:rPr>
      <w:t>PE</w:t>
    </w:r>
    <w:r w:rsidRPr="00A8495D">
      <w:rPr>
        <w:rStyle w:val="HideTWBExt"/>
      </w:rPr>
      <w:t>&lt;NoPE&gt;</w:t>
    </w:r>
    <w:r>
      <w:rPr>
        <w:lang w:val="fr-BE"/>
      </w:rPr>
      <w:t>796.227</w:t>
    </w:r>
    <w:r w:rsidRPr="00A8495D">
      <w:rPr>
        <w:rStyle w:val="HideTWBExt"/>
      </w:rPr>
      <w:t>&lt;/NoPE&gt;&lt;Version&gt;</w:t>
    </w:r>
    <w:r>
      <w:rPr>
        <w:lang w:val="fr-BE"/>
      </w:rPr>
      <w:t>v01-00</w:t>
    </w:r>
    <w:r w:rsidRPr="00A8495D">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A8495D">
      <w:rPr>
        <w:rStyle w:val="HideTWBExt"/>
      </w:rPr>
      <w:t>&lt;PathFdR&gt;</w:t>
    </w:r>
    <w:r>
      <w:rPr>
        <w:lang w:val="fr-BE"/>
      </w:rPr>
      <w:t>PA\1351459EN.docx</w:t>
    </w:r>
    <w:r w:rsidRPr="00A8495D">
      <w:rPr>
        <w:rStyle w:val="HideTWBExt"/>
      </w:rPr>
      <w:t>&lt;/PathFdR&gt;</w:t>
    </w:r>
  </w:p>
  <w:p w:rsidR="007F187F" w:rsidRPr="00A8495D" w:rsidP="00A8495D" w14:paraId="3BCF3329" w14:textId="7E1996A2">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5D" w:rsidP="00A8495D" w14:paraId="0BA2870A" w14:textId="77777777">
    <w:pPr>
      <w:pStyle w:val="EPFooter"/>
      <w:rPr>
        <w:lang w:val="es-ES"/>
      </w:rPr>
    </w:pPr>
    <w:r w:rsidRPr="00A8495D">
      <w:rPr>
        <w:rStyle w:val="HideTWBExt"/>
      </w:rPr>
      <w:t>&lt;PathFdR&gt;</w:t>
    </w:r>
    <w:r>
      <w:rPr>
        <w:lang w:val="es-ES"/>
      </w:rPr>
      <w:t>PA\1351459EN.docx</w:t>
    </w:r>
    <w:r w:rsidRPr="00A8495D">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2</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A8495D">
      <w:rPr>
        <w:rStyle w:val="HideTWBExt"/>
      </w:rPr>
      <w:t>&lt;NoPE&gt;</w:t>
    </w:r>
    <w:r>
      <w:rPr>
        <w:lang w:val="es-ES"/>
      </w:rPr>
      <w:t>796.227</w:t>
    </w:r>
    <w:r w:rsidRPr="00A8495D">
      <w:rPr>
        <w:rStyle w:val="HideTWBExt"/>
      </w:rPr>
      <w:t>&lt;/NoPE&gt;&lt;Version&gt;</w:t>
    </w:r>
    <w:r>
      <w:rPr>
        <w:lang w:val="es-ES"/>
      </w:rPr>
      <w:t>v01-00</w:t>
    </w:r>
    <w:r w:rsidRPr="00A8495D">
      <w:rPr>
        <w:rStyle w:val="HideTWBExt"/>
      </w:rPr>
      <w:t>&lt;/Version&gt;</w:t>
    </w:r>
  </w:p>
  <w:p w:rsidR="007F187F" w:rsidRPr="00A8495D" w:rsidP="00A8495D" w14:paraId="501FBD85" w14:textId="734589BA">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5D" w:rsidP="00A8495D" w14:paraId="3F47F8D2" w14:textId="77777777">
    <w:pPr>
      <w:pStyle w:val="EPFooter"/>
    </w:pPr>
    <w:r w:rsidRPr="00A8495D">
      <w:rPr>
        <w:rStyle w:val="HideTWBExt"/>
      </w:rPr>
      <w:t>&lt;PathFdR&gt;</w:t>
    </w:r>
    <w:r>
      <w:t>PA\1351459EN.docx</w:t>
    </w:r>
    <w:r w:rsidRPr="00A8495D">
      <w:rPr>
        <w:rStyle w:val="HideTWBExt"/>
      </w:rPr>
      <w:t>&lt;/PathFdR&gt;</w:t>
    </w:r>
    <w:r>
      <w:tab/>
    </w:r>
    <w:r>
      <w:tab/>
      <w:t>PE</w:t>
    </w:r>
    <w:r w:rsidRPr="00A8495D">
      <w:rPr>
        <w:rStyle w:val="HideTWBExt"/>
      </w:rPr>
      <w:t>&lt;NoPE&gt;</w:t>
    </w:r>
    <w:r>
      <w:t>796.227</w:t>
    </w:r>
    <w:r w:rsidRPr="00A8495D">
      <w:rPr>
        <w:rStyle w:val="HideTWBExt"/>
      </w:rPr>
      <w:t>&lt;/NoPE&gt;&lt;Version&gt;</w:t>
    </w:r>
    <w:r>
      <w:t>v01-00</w:t>
    </w:r>
    <w:r w:rsidRPr="00A8495D">
      <w:rPr>
        <w:rStyle w:val="HideTWBExt"/>
      </w:rPr>
      <w:t>&lt;/Version&gt;</w:t>
    </w:r>
  </w:p>
  <w:p w:rsidR="007F187F" w:rsidRPr="00A8495D" w:rsidP="00A8495D" w14:paraId="3AC9FC78" w14:textId="045C29A4">
    <w:pPr>
      <w:pStyle w:val="EPFooter2"/>
    </w:pPr>
    <w:r>
      <w:t>EN</w:t>
    </w:r>
    <w:r>
      <w:tab/>
    </w:r>
    <w:r w:rsidRPr="00A8495D">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7FA" w:rsidRPr="00A8495D" w14:paraId="66068F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7FA" w:rsidRPr="00A8495D" w14:paraId="6F31F9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7FA" w:rsidRPr="00A8495D" w14:paraId="73CA2E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EB"/>
    <w:rsid w:val="00026559"/>
    <w:rsid w:val="00027FA8"/>
    <w:rsid w:val="0004474F"/>
    <w:rsid w:val="00082EC4"/>
    <w:rsid w:val="000D44A6"/>
    <w:rsid w:val="00122C05"/>
    <w:rsid w:val="00124575"/>
    <w:rsid w:val="00134974"/>
    <w:rsid w:val="00141CD7"/>
    <w:rsid w:val="001616BD"/>
    <w:rsid w:val="001820A9"/>
    <w:rsid w:val="001A0556"/>
    <w:rsid w:val="001B0A1E"/>
    <w:rsid w:val="001C0886"/>
    <w:rsid w:val="001D5154"/>
    <w:rsid w:val="001E3AC4"/>
    <w:rsid w:val="0020077A"/>
    <w:rsid w:val="0023131B"/>
    <w:rsid w:val="00284B7D"/>
    <w:rsid w:val="002A67EE"/>
    <w:rsid w:val="002C2ABA"/>
    <w:rsid w:val="00304EA8"/>
    <w:rsid w:val="00341A99"/>
    <w:rsid w:val="00360FAA"/>
    <w:rsid w:val="00362C97"/>
    <w:rsid w:val="0038294E"/>
    <w:rsid w:val="003904F2"/>
    <w:rsid w:val="003A2F84"/>
    <w:rsid w:val="003C7390"/>
    <w:rsid w:val="003E1280"/>
    <w:rsid w:val="003F128E"/>
    <w:rsid w:val="0040055C"/>
    <w:rsid w:val="00434438"/>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6D6DEB"/>
    <w:rsid w:val="00712462"/>
    <w:rsid w:val="00716BAA"/>
    <w:rsid w:val="0078548A"/>
    <w:rsid w:val="007B7CE3"/>
    <w:rsid w:val="007F187F"/>
    <w:rsid w:val="00817D13"/>
    <w:rsid w:val="00820C7D"/>
    <w:rsid w:val="00833D11"/>
    <w:rsid w:val="00836FD3"/>
    <w:rsid w:val="008375A8"/>
    <w:rsid w:val="00872A52"/>
    <w:rsid w:val="00876A73"/>
    <w:rsid w:val="00890ABA"/>
    <w:rsid w:val="0089388A"/>
    <w:rsid w:val="008A6A95"/>
    <w:rsid w:val="008F3DB0"/>
    <w:rsid w:val="00904864"/>
    <w:rsid w:val="009052FE"/>
    <w:rsid w:val="009215FC"/>
    <w:rsid w:val="009222F0"/>
    <w:rsid w:val="00924555"/>
    <w:rsid w:val="009368B3"/>
    <w:rsid w:val="00963C0C"/>
    <w:rsid w:val="009701C7"/>
    <w:rsid w:val="00982B83"/>
    <w:rsid w:val="009857B4"/>
    <w:rsid w:val="009E7319"/>
    <w:rsid w:val="00A400A6"/>
    <w:rsid w:val="00A42B86"/>
    <w:rsid w:val="00A71228"/>
    <w:rsid w:val="00A74E25"/>
    <w:rsid w:val="00A8495D"/>
    <w:rsid w:val="00AC2A60"/>
    <w:rsid w:val="00AC527D"/>
    <w:rsid w:val="00AD49D0"/>
    <w:rsid w:val="00B00EE6"/>
    <w:rsid w:val="00B476DC"/>
    <w:rsid w:val="00B556CD"/>
    <w:rsid w:val="00B62D4B"/>
    <w:rsid w:val="00B904FA"/>
    <w:rsid w:val="00BA3E40"/>
    <w:rsid w:val="00BD1F76"/>
    <w:rsid w:val="00BE20CF"/>
    <w:rsid w:val="00C22327"/>
    <w:rsid w:val="00C335C6"/>
    <w:rsid w:val="00C3592E"/>
    <w:rsid w:val="00C4219C"/>
    <w:rsid w:val="00C52A28"/>
    <w:rsid w:val="00C709B7"/>
    <w:rsid w:val="00C75E98"/>
    <w:rsid w:val="00C81C5B"/>
    <w:rsid w:val="00C83B35"/>
    <w:rsid w:val="00C85D0F"/>
    <w:rsid w:val="00D25CF2"/>
    <w:rsid w:val="00D413CA"/>
    <w:rsid w:val="00D53B6A"/>
    <w:rsid w:val="00D56CE0"/>
    <w:rsid w:val="00D6254D"/>
    <w:rsid w:val="00D67D0A"/>
    <w:rsid w:val="00D74FD1"/>
    <w:rsid w:val="00D943A5"/>
    <w:rsid w:val="00D9581F"/>
    <w:rsid w:val="00DB56E4"/>
    <w:rsid w:val="00E27F01"/>
    <w:rsid w:val="00E34921"/>
    <w:rsid w:val="00E77FF5"/>
    <w:rsid w:val="00E94D64"/>
    <w:rsid w:val="00EA3802"/>
    <w:rsid w:val="00EF1432"/>
    <w:rsid w:val="00EF33D5"/>
    <w:rsid w:val="00F137FA"/>
    <w:rsid w:val="00F15744"/>
    <w:rsid w:val="00F24D40"/>
    <w:rsid w:val="00F6044A"/>
    <w:rsid w:val="00F80745"/>
    <w:rsid w:val="00FA2093"/>
    <w:rsid w:val="00FE5B6F"/>
  </w:rsids>
  <w:docVars>
    <w:docVar w:name="AMPLURMNU" w:val=" 1"/>
    <w:docVar w:name="CJMNU" w:val="1"/>
    <w:docVar w:name="CODEMNU" w:val=" 1"/>
    <w:docVar w:name="COM2KEY" w:val="ENVI"/>
    <w:docVar w:name="COMKEY" w:val="TRAN"/>
    <w:docVar w:name="CopyToNetwork" w:val="-1"/>
    <w:docVar w:name="DDATE" w:val="30/09/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882431 HideTWBExt;}{&#13;_x000a_\s18\ql \li0\ri0\sa120\nowidctlpar\wrapdefault\aspalpha\aspnum\faauto\adjustright\rin0\lin0\itap0 \rtlch\fcs1 \af0\afs20\alang1025 \ltrch\fcs0 \fs24\lang2057\langfe2057\cgrid\langnp2057\langfenp2057 \sbasedon0 \snext18 \spriority0 \styrsid14882431 &#13;_x000a_Normal6a;}{\s19\ql \li0\ri0\nowidctlpar\wrapdefault\aspalpha\aspnum\faauto\adjustright\rin0\lin0\itap0 \rtlch\fcs1 \af0\afs20\alang1025 \ltrch\fcs0 \b\fs24\lang2057\langfe2057\cgrid\langnp2057\langfenp2057 \sbasedon0 \snext19 \spriority0 \styrsid14882431 &#13;_x000a_NormalBold;}{\*\cs20 \additive \v\f1\fs20\cf15 \spriority0 \styrsid14882431 HideTWBInt;}{\s21\qr \li0\ri0\sb240\sa240\nowidctlpar\wrapdefault\aspalpha\aspnum\faauto\adjustright\rin0\lin0\itap0 \rtlch\fcs1 \af0\afs20\alang1025 \ltrch\fcs0 &#13;_x000a_\fs24\lang2057\langfe2057\cgrid\langnp2057\langfenp2057 \sbasedon0 \snext21 \spriority0 \styrsid14882431 AmOrLang;}{\s22\qc \li0\ri0\sa240\nowidctlpar\wrapdefault\aspalpha\aspnum\faauto\adjustright\rin0\lin0\itap0 \rtlch\fcs1 \af0\afs20\alang1025 &#13;_x000a_\ltrch\fcs0 \i\fs24\lang2057\langfe2057\cgrid\langnp2057\langfenp2057 \sbasedon0 \snext22 \spriority0 \styrsid1488243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4882431 AmNumberTabs;}{\s24\ql \li0\ri0\sb240\nowidctlpar\wrapdefault\aspalpha\aspnum\faauto\adjustright\rin0\lin0\itap0 \rtlch\fcs1 &#13;_x000a_\af0\afs20\alang1025 \ltrch\fcs0 \b\fs24\lang2057\langfe2057\cgrid\langnp2057\langfenp2057 \sbasedon0 \snext24 \spriority0 \styrsid14882431 NormalBold12b;}}{\*\rsidtbl \rsid24658\rsid223860\rsid735077\rsid1718133\rsid2892074\rsid3106273\rsid3565327&#13;_x000a_\rsid4666813\rsid6641733\rsid7823322\rsid9636012\rsid10377208\rsid11215221\rsid11549030\rsid12154954\rsid12787967\rsid14382809\rsid14424199\rsid14882431\rsid15204470\rsid15285974\rsid15950462\rsid16324206\rsid16662270}{\mmathPr\mmathFont34\mbrkBin0&#13;_x000a_\mbrkBinSub0\msmallFrac0\mdispDef1\mlMargin0\mrMargin0\mdefJc1\mwrapIndent1440\mintLim0\mnaryLim1}{\info{\author MARCHIO Elisabetta}{\operator MARCHIO Elisabetta}{\creatim\yr2026\mo9\dy28\hr11\min15}{\revtim\yr2026\mo9\dy28\hr11\min15}{\version1}&#13;_x000a_{\edmins0}{\nofpages1}{\nofwords41}{\nofchars235}{\nofcharsws27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882431\newtblstyruls\nogrowautofit\usenormstyforlist\noindnmbrts\felnbrelev\nocxsptable\indrlsweleven\noafcnsttbl\afelev\utinl\hwelev\spltpgpar\notcvasp\notbrkcnstfrctbl\notvatxbx\krnprsnet\cachedcolbal &#13;_x000a_\nouicompat \fet0{\*\wgrffmtfilter 013f}\nofeaturethrottle1\ilfomacatclnup0{\*\template C:\\Users\\emarchio\\AppData\\Local\\Temp\\Blank1.dotx}{\*\ftnsep \ltrpar \pard\plain \ltrpar&#13;_x000a_\ql \li0\ri0\widctlpar\wrapdefault\aspalpha\aspnum\faauto\adjustright\rin0\lin0\itap0 \rtlch\fcs1 \af0\afs20\alang1025 \ltrch\fcs0 \fs24\lang2057\langfe2057\cgrid\langnp2057\langfenp2057 {\rtlch\fcs1 \af0 \ltrch\fcs0 \insrsid12787967 \chftnsep &#13;_x000a_\par }}{\*\ftnsepc \ltrpar \pard\plain \ltrpar\ql \li0\ri0\widctlpar\wrapdefault\aspalpha\aspnum\faauto\adjustright\rin0\lin0\itap0 \rtlch\fcs1 \af0\afs20\alang1025 \ltrch\fcs0 \fs24\lang2057\langfe2057\cgrid\langnp2057\langfenp2057 {\rtlch\fcs1 \af0 &#13;_x000a_\ltrch\fcs0 \insrsid12787967 \chftnsepc &#13;_x000a_\par }}{\*\aftnsep \ltrpar \pard\plain \ltrpar\ql \li0\ri0\widctlpar\wrapdefault\aspalpha\aspnum\faauto\adjustright\rin0\lin0\itap0 \rtlch\fcs1 \af0\afs20\alang1025 \ltrch\fcs0 \fs24\lang2057\langfe2057\cgrid\langnp2057\langfenp2057 {\rtlch\fcs1 \af0 &#13;_x000a_\ltrch\fcs0 \insrsid12787967 \chftnsep &#13;_x000a_\par }}{\*\aftnsepc \ltrpar \pard\plain \ltrpar\ql \li0\ri0\widctlpar\wrapdefault\aspalpha\aspnum\faauto\adjustright\rin0\lin0\itap0 \rtlch\fcs1 \af0\afs20\alang1025 \ltrch\fcs0 \fs24\lang2057\langfe2057\cgrid\langnp2057\langfenp2057 {\rtlch\fcs1 \af0 &#13;_x000a_\ltrch\fcs0 \insrsid1278796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14882431\charrsid7421434 {\*\bkmkstart restartA}&lt;AmendA&gt;}{\rtlch\fcs1 \af0 \ltrch\fcs0 &#13;_x000a_\insrsid14882431\charrsid7421434 Amendment\tab \tab }{\rtlch\fcs1 \af0 \ltrch\fcs0 \cs17\b0\v\f1\fs20\cf9\insrsid14882431\charrsid7421434 &lt;NumAmA&gt;}{\rtlch\fcs1 \af0 \ltrch\fcs0 \insrsid14882431\charrsid7421434 #}{\rtlch\fcs1 \af1 \ltrch\fcs0 &#13;_x000a_\cs20\v\f1\fs20\cf15\insrsid14882431\charrsid7421434 ENMIENDA@NRAM@}{\rtlch\fcs1 \af0 \ltrch\fcs0 \insrsid14882431\charrsid7421434 #}{\rtlch\fcs1 \af0 \ltrch\fcs0 \cs17\b0\v\f1\fs20\cf9\insrsid14882431\charrsid7421434 &lt;/NumAmA&gt;}{\rtlch\fcs1 \af0 &#13;_x000a_\ltrch\fcs0 \insrsid14882431\charrsid7421434 &#13;_x000a_\par }\pard\plain \ltrpar\s24\ql \li0\ri0\sb240\keepn\nowidctlpar\wrapdefault\aspalpha\aspnum\faauto\adjustright\rin0\lin0\itap0\pararsid14374628 \rtlch\fcs1 \af0\afs20\alang1025 \ltrch\fcs0 \b\fs24\lang2057\langfe2057\cgrid\langnp2057\langfenp2057 {&#13;_x000a_\rtlch\fcs1 \af0 \ltrch\fcs0 \cs17\b0\v\f1\fs20\cf9\insrsid14882431\charrsid7421434 &lt;DocAmend&gt;}{\rtlch\fcs1 \af0 \ltrch\fcs0 \insrsid14882431\charrsid7421434 Draft legislative resolution}{\rtlch\fcs1 \af0 \ltrch\fcs0 &#13;_x000a_\cs17\b0\v\f1\fs20\cf9\insrsid14882431\charrsid7421434 &lt;/DocAmend&gt;}{\rtlch\fcs1 \af0 \ltrch\fcs0 \insrsid14882431\charrsid7421434 &#13;_x000a_\par }\pard\plain \ltrpar\s19\ql \li0\ri0\nowidctlpar\wrapdefault\aspalpha\aspnum\faauto\adjustright\rin0\lin0\itap0\pararsid14374628 \rtlch\fcs1 \af0\afs20\alang1025 \ltrch\fcs0 \b\fs24\lang2057\langfe2057\cgrid\langnp2057\langfenp2057 {\rtlch\fcs1 \af0 &#13;_x000a_\ltrch\fcs0 \cs17\b0\v\f1\fs20\cf9\insrsid14882431\charrsid7421434 &lt;Article&gt;}{\rtlch\fcs1 \af0 \ltrch\fcs0 \cf10\insrsid14882431\charrsid7421434 \u9668\'3f}{\rtlch\fcs1 \af0 \ltrch\fcs0 \insrsid14882431\charrsid7421434 #}{\rtlch\fcs1 \af1 \ltrch\fcs0 &#13;_x000a_\cs20\v\f1\fs20\cf15\insrsid14882431\charrsid7421434 TVTRESPART@RESPART@}{\rtlch\fcs1 \af0 \ltrch\fcs0 \insrsid14882431\charrsid7421434 #}{\rtlch\fcs1 \af0 \ltrch\fcs0 \cf10\insrsid14882431\charrsid7421434 \u9658\'3f}{\rtlch\fcs1 \af0 \ltrch\fcs0 &#13;_x000a_\cs17\b0\v\f1\fs20\cf9\insrsid14882431\charrsid7421434 &lt;/Article&gt;}{\rtlch\fcs1 \af0 \ltrch\fcs0 \insrsid14882431\charrsid7421434 &#13;_x000a_\par \ltrrow}\trowd \ltrrow\ts11\trqc\trgaph340\trleft0\trftsWidth1\trftsWidthB3\trpaddl340\trpaddr340\trpaddfl3\trpaddft3\trpaddfb3\trpaddfr3\tblrsid14374628\tblind0\tblindtype3 \clvertalt\clbrdrt\brdrtbl \clbrdrl\brdrtbl \clbrdrb\brdrtbl \clbrdrr\brdrtbl &#13;_x000a_\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14882431\charrsid7421434 \cell }\pard\plain \ltrpar\ql \li0\ri0\widctlpar\intbl\wrapdefault\aspalpha\aspnum\faauto\adjustright\rin0\lin0 \rtlch\fcs1 &#13;_x000a_\af0\afs20\alang1025 \ltrch\fcs0 \fs24\lang2057\langfe2057\cgrid\langnp2057\langfenp2057 {\rtlch\fcs1 \af0 \ltrch\fcs0 \insrsid14882431\charrsid7421434 \trowd \ltrrow&#13;_x000a_\ts11\trqc\trgaph340\trleft0\trftsWidth1\trftsWidthB3\trpaddl340\trpaddr340\trpaddfl3\trpaddft3\trpaddfb3\trpaddfr3\tblrsid14374628\tblind0\tblindtype3 \clvertalt\clbrdrt\brdrtbl \clbrdrl\brdrtbl \clbrdrb\brdrtbl \clbrdrr\brdrtbl &#13;_x000a_\cltxlrtb\clftsWidth3\clwWidth9752 \cellx9752\row \ltrrow}\trowd \ltrrow\ts11\trqc\trgaph340\trleft0\trftsWidth1\trftsWidthB3\trpaddl340\trpaddr340\trpaddfl3\trpaddft3\trpaddfb3\trpaddfr3\tblrsid14374628\tblind0\tblindtype3 \clvertalt\clbrdrt\brdrtbl &#13;_x000a_\clbrdrl\brdrtbl \clbrdrb\brdrtbl \clbrdrr\brdrtbl \cltxlrtb\clftsWidth3\clwWidth4876 \cellx4876\clvertalt\clbrdrt\brdrtbl \clbrdrl\brdrtbl \clbrdrb\brdrtbl \clbrdrr\brdrtbl \cltxlrtb\clftsWidth3\clwWidth4876 \cellx9752\pard\plain \ltrpar&#13;_x000a_\s22\qc \li0\ri0\sa240\keepn\nowidctlpar\intbl\wrapdefault\aspalpha\aspnum\faauto\adjustright\rin0\lin0\pararsid14374628 \rtlch\fcs1 \af0\afs20\alang1025 \ltrch\fcs0 \i\fs24\lang2057\langfe2057\cgrid\langnp2057\langfenp2057 {\rtlch\fcs1 \af0 \ltrch\fcs0 &#13;_x000a_\insrsid14882431\charrsid7421434 Draft legislative resolution\cell Amendment\cell }\pard\plain \ltrpar\ql \li0\ri0\widctlpar\intbl\wrapdefault\aspalpha\aspnum\faauto\adjustright\rin0\lin0 \rtlch\fcs1 \af0\afs20\alang1025 \ltrch\fcs0 &#13;_x000a_\fs24\lang2057\langfe2057\cgrid\langnp2057\langfenp2057 {\rtlch\fcs1 \af0 \ltrch\fcs0 \insrsid14882431\charrsid7421434 \trowd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14882431\charrsid7421434 ##\cell ##}{\rtlch\fcs1 \af0\afs24 \ltrch\fcs0 \insrsid14882431\charrsid7421434 \cell }\pard\plain \ltrpar\ql \li0\ri0\widctlpar\intbl\wrapdefault\aspalpha\aspnum\faauto\adjustright\rin0\lin0 \rtlch\fcs1 &#13;_x000a_\af0\afs20\alang1025 \ltrch\fcs0 \fs24\lang2057\langfe2057\cgrid\langnp2057\langfenp2057 {\rtlch\fcs1 \af0 \ltrch\fcs0 \insrsid14882431\charrsid7421434 \trowd \lastrow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1\qr \li0\ri0\sb240\sa240\nowidctlpar\wrapdefault\aspalpha\aspnum\faauto\adjustright\rin0\lin0\itap0\pararsid14374628 \rtlch\fcs1 \af0\afs20\alang1025 \ltrch\fcs0 \fs24\lang2057\langfe2057\cgrid\langnp2057\langfenp2057 {\rtlch\fcs1 \af0 \ltrch\fcs0 &#13;_x000a_\insrsid14882431\charrsid7421434 Or. }{\rtlch\fcs1 \af0 \ltrch\fcs0 \cs17\v\f1\fs20\cf9\insrsid14882431\charrsid7421434 &lt;Original&gt;}{\rtlch\fcs1 \af0 \ltrch\fcs0 \insrsid14882431\charrsid7421434 #}{\rtlch\fcs1 \af1 \ltrch\fcs0 &#13;_x000a_\cs20\v\f1\fs20\cf15\insrsid14882431\charrsid7421434 MNU[OPTORLANG][ORLANGMORE]@CHOICE@AMPLURMNU}{\rtlch\fcs1 \af0 \ltrch\fcs0 \insrsid14882431\charrsid7421434 #}{\rtlch\fcs1 \af0 \ltrch\fcs0 \cs17\v\f1\fs20\cf9\insrsid14882431\charrsid7421434 &lt;/Original&gt;&#13;_x000a_}{\rtlch\fcs1 \af0 \ltrch\fcs0 \insrsid14882431\charrsid7421434 &#13;_x000a_\par }\pard\plain \ltrpar\ql \li0\ri0\widctlpar\wrapdefault\aspalpha\aspnum\faauto\adjustright\rin0\lin0\itap0\pararsid16324206 \rtlch\fcs1 \af0\afs20\alang1025 \ltrch\fcs0 \fs24\lang2057\langfe2057\cgrid\langnp2057\langfenp2057 {\rtlch\fcs1 \af0 \ltrch\fcs0 &#13;_x000a_\cs17\v\f1\fs20\cf9\insrsid14882431\charrsid74214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32&#13;_x000a_3fde29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405493 HideTWBExt;}{&#13;_x000a_\s18\ql \li0\ri0\sa120\nowidctlpar\wrapdefault\aspalpha\aspnum\faauto\adjustright\rin0\lin0\itap0 \rtlch\fcs1 \af0\afs20\alang1025 \ltrch\fcs0 \fs24\lang2057\langfe2057\cgrid\langnp2057\langfenp2057 \sbasedon0 \snext18 \spriority0 \styrsid11405493 &#13;_x000a_Normal6a;}{\s19\ql \li0\ri0\nowidctlpar\wrapdefault\aspalpha\aspnum\faauto\adjustright\rin0\lin0\itap0 \rtlch\fcs1 \af0\afs20\alang1025 \ltrch\fcs0 \b\fs24\lang2057\langfe2057\cgrid\langnp2057\langfenp2057 \sbasedon0 \snext19 \spriority0 \styrsid11405493 &#13;_x000a_NormalBold;}{\s20\ql \li0\ri0\sa240\nowidctlpar\wrapdefault\aspalpha\aspnum\faauto\adjustright\rin0\lin0\itap0 \rtlch\fcs1 \af0\afs20\alang1025 \ltrch\fcs0 \i\fs24\lang2057\langfe2057\cgrid\langnp2057\langfenp2057 &#13;_x000a_\sbasedon0 \snext20 \spriority0 \styrsid11405493 AmJustText;}{\s21\qc \li0\ri0\sb240\sa240\nowidctlpar\wrapdefault\aspalpha\aspnum\faauto\adjustright\rin0\lin0\itap0 \rtlch\fcs1 \af0\afs20\alang1025 \ltrch\fcs0 &#13;_x000a_\i\fs24\lang2057\langfe2057\cgrid\langnp2057\langfenp2057 \sbasedon0 \snext21 \spriority0 \styrsid11405493 AmCrossRef;}{\*\cs22 \additive \v\f1\fs20\cf15 \spriority0 \styrsid11405493 HideTWBInt;}{&#13;_x000a_\s23\qc \li0\ri0\sb240\sa240\keepn\nowidctlpar\wrapdefault\aspalpha\aspnum\faauto\adjustright\rin0\lin0\itap0 \rtlch\fcs1 \af0\afs20\alang1025 \ltrch\fcs0 \i\fs24\lang2057\langfe2057\cgrid\langnp2057\langfenp2057 &#13;_x000a_\sbasedon0 \snext20 \spriority0 \styrsid11405493 AmJustTitle;}{\s24\qr \li0\ri0\sb240\sa240\nowidctlpar\wrapdefault\aspalpha\aspnum\faauto\adjustright\rin0\lin0\itap0 \rtlch\fcs1 \af0\afs20\alang1025 \ltrch\fcs0 &#13;_x000a_\fs24\lang2057\langfe2057\cgrid\langnp2057\langfenp2057 \sbasedon0 \snext24 \spriority0 \styrsid11405493 AmOrLang;}{\s25\qc \li0\ri0\sa240\nowidctlpar\wrapdefault\aspalpha\aspnum\faauto\adjustright\rin0\lin0\itap0 \rtlch\fcs1 \af0\afs20\alang1025 &#13;_x000a_\ltrch\fcs0 \i\fs24\lang2057\langfe2057\cgrid\langnp2057\langfenp2057 \sbasedon0 \snext25 \spriority0 \styrsid1140549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405493 AmNumberTabs;}{\s27\ql \li0\ri0\sb240\nowidctlpar\wrapdefault\aspalpha\aspnum\faauto\adjustright\rin0\lin0\itap0 \rtlch\fcs1 &#13;_x000a_\af0\afs20\alang1025 \ltrch\fcs0 \b\fs24\lang2057\langfe2057\cgrid\langnp2057\langfenp2057 \sbasedon0 \snext27 \spriority0 \styrsid11405493 NormalBold12b;}}{\*\rsidtbl \rsid24658\rsid223860\rsid735077\rsid878031\rsid1718133\rsid2892074\rsid3106273&#13;_x000a_\rsid3565327\rsid4666813\rsid6641733\rsid7823322\rsid9636012\rsid10377208\rsid11215221\rsid11405493\rsid11549030\rsid12154954\rsid14382809\rsid14424199\rsid15204470\rsid15285974\rsid15950462\rsid16324206\rsid16662270}{\mmathPr\mmathFont34\mbrkBin0&#13;_x000a_\mbrkBinSub0\msmallFrac0\mdispDef1\mlMargin0\mrMargin0\mdefJc1\mwrapIndent1440\mintLim0\mnaryLim1}{\info{\author MARCHIO Elisabetta}{\operator MARCHIO Elisabetta}{\creatim\yr2026\mo9\dy28\hr11\min15}{\revtim\yr2026\mo9\dy28\hr11\min15}{\version1}&#13;_x000a_{\edmins0}{\nofpages1}{\nofwords109}{\nofchars627}{\nofcharsws73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405493\newtblstyruls\nogrowautofit\usenormstyforlist\noindnmbrts\felnbrelev\nocxsptable\indrlsweleven\noafcnsttbl\afelev\utinl\hwelev\spltpgpar\notcvasp\notbrkcnstfrctbl\notvatxbx\krnprsnet\cachedcolbal &#13;_x000a_\nouicompat \fet0{\*\wgrffmtfilter 013f}\nofeaturethrottle1\ilfomacatclnup0{\*\template C:\\Users\\emarchio\\AppData\\Local\\Temp\\Blank1.dotx}{\*\ftnsep \ltrpar \pard\plain \ltrpar&#13;_x000a_\ql \li0\ri0\widctlpar\wrapdefault\aspalpha\aspnum\faauto\adjustright\rin0\lin0\itap0 \rtlch\fcs1 \af0\afs20\alang1025 \ltrch\fcs0 \fs24\lang2057\langfe2057\cgrid\langnp2057\langfenp2057 {\rtlch\fcs1 \af0 \ltrch\fcs0 \insrsid878031 \chftnsep &#13;_x000a_\par }}{\*\ftnsepc \ltrpar \pard\plain \ltrpar\ql \li0\ri0\widctlpar\wrapdefault\aspalpha\aspnum\faauto\adjustright\rin0\lin0\itap0 \rtlch\fcs1 \af0\afs20\alang1025 \ltrch\fcs0 \fs24\lang2057\langfe2057\cgrid\langnp2057\langfenp2057 {\rtlch\fcs1 \af0 &#13;_x000a_\ltrch\fcs0 \insrsid878031 \chftnsepc &#13;_x000a_\par }}{\*\aftnsep \ltrpar \pard\plain \ltrpar\ql \li0\ri0\widctlpar\wrapdefault\aspalpha\aspnum\faauto\adjustright\rin0\lin0\itap0 \rtlch\fcs1 \af0\afs20\alang1025 \ltrch\fcs0 \fs24\lang2057\langfe2057\cgrid\langnp2057\langfenp2057 {\rtlch\fcs1 \af0 &#13;_x000a_\ltrch\fcs0 \insrsid878031 \chftnsep &#13;_x000a_\par }}{\*\aftnsepc \ltrpar \pard\plain \ltrpar\ql \li0\ri0\widctlpar\wrapdefault\aspalpha\aspnum\faauto\adjustright\rin0\lin0\itap0 \rtlch\fcs1 \af0\afs20\alang1025 \ltrch\fcs0 \fs24\lang2057\langfe2057\cgrid\langnp2057\langfenp2057 {\rtlch\fcs1 \af0 &#13;_x000a_\ltrch\fcs0 \insrsid87803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11405493\charrsid7421434 {\*\bkmkstart restartB}&lt;AmendB&gt;}{\rtlch\fcs1 \af0 \ltrch\fcs0 &#13;_x000a_\insrsid11405493\charrsid7421434 Amendment\tab \tab }{\rtlch\fcs1 \af0 \ltrch\fcs0 \cs17\b0\v\f1\fs20\cf9\insrsid11405493\charrsid7421434 &lt;NumAmB&gt;}{\rtlch\fcs1 \af0 \ltrch\fcs0 \insrsid11405493\charrsid7421434 #}{\rtlch\fcs1 \af1 \ltrch\fcs0 &#13;_x000a_\cs22\v\f1\fs20\cf15\insrsid11405493\charrsid7421434 ENMIENDA@NRAM@}{\rtlch\fcs1 \af0 \ltrch\fcs0 \insrsid11405493\charrsid7421434 #}{\rtlch\fcs1 \af0 \ltrch\fcs0 \cs17\b0\v\f1\fs20\cf9\insrsid11405493\charrsid7421434 &lt;/NumAmB&gt;}{\rtlch\fcs1 \af0 &#13;_x000a_\ltrch\fcs0 \insrsid11405493\charrsid7421434 &#13;_x000a_\par }\pard\plain \ltrpar\s27\ql \li0\ri0\sb240\keepn\nowidctlpar\wrapdefault\aspalpha\aspnum\faauto\adjustright\rin0\lin0\itap0\pararsid14374628 \rtlch\fcs1 \af0\afs20\alang1025 \ltrch\fcs0 \b\fs24\lang2057\langfe2057\cgrid\langnp2057\langfenp2057 {&#13;_x000a_\rtlch\fcs1 \af0 \ltrch\fcs0 \cs17\b0\v\f1\fs20\cf9\insrsid11405493\charrsid7421434 &lt;DocAmend&gt;}{\rtlch\fcs1 \af0 \ltrch\fcs0 \insrsid11405493\charrsid7421434 #}{\rtlch\fcs1 \af1 \ltrch\fcs0 \cs22\v\f1\fs20\cf15\insrsid11405493\charrsid7421434 &#13;_x000a_MNU[OPTPROPOSALCOD][OPTPROPOSALCNS][OPTPROPOSALNLE][OPTPROPOSALINL]@CHOICE@CODEMNU}{\rtlch\fcs1 \af0 \ltrch\fcs0 \insrsid11405493\charrsid7421434 ##}{\rtlch\fcs1 \af1 \ltrch\fcs0 \cs22\v\f1\fs20\cf15\insrsid11405493\charrsid7421434 &#13;_x000a_MNU[AMACTYES][NOTAPP]@CHOICE@AMACTMNU}{\rtlch\fcs1 \af0 \ltrch\fcs0 \insrsid11405493\charrsid7421434 #}{\rtlch\fcs1 \af0 \ltrch\fcs0 \cs17\b0\v\f1\fs20\cf9\insrsid11405493\charrsid7421434 &lt;/DocAmend&gt;}{\rtlch\fcs1 \af0 \ltrch\fcs0 &#13;_x000a_\insrsid11405493\charrsid7421434 &#13;_x000a_\par }\pard\plain \ltrpar\s19\ql \li0\ri0\keepn\nowidctlpar\wrapdefault\aspalpha\aspnum\faauto\adjustright\rin0\lin0\itap0\pararsid14374628 \rtlch\fcs1 \af0\afs20\alang1025 \ltrch\fcs0 \b\fs24\lang2057\langfe2057\cgrid\langnp2057\langfenp2057 {\rtlch\fcs1 &#13;_x000a_\af0 \ltrch\fcs0 \cs17\b0\v\f1\fs20\cf9\insrsid11405493\charrsid7421434 &lt;Article&gt;}{\rtlch\fcs1 \af0 \ltrch\fcs0 \insrsid11405493\charrsid7421434 #}{\rtlch\fcs1 \af1 \ltrch\fcs0 \cs22\v\f1\fs20\cf15\insrsid11405493\charrsid7421434 &#13;_x000a_MNU[AMACTPARTYES][AMACTPARTNO]@CHOICE@AMACTMNU}{\rtlch\fcs1 \af0 \ltrch\fcs0 \insrsid11405493\charrsid7421434 #}{\rtlch\fcs1 \af0 \ltrch\fcs0 \cs17\b0\v\f1\fs20\cf9\insrsid11405493\charrsid7421434 &lt;/Article&gt;}{\rtlch\fcs1 \af0 \ltrch\fcs0 &#13;_x000a_\insrsid11405493\charrsid7421434 &#13;_x000a_\par }\pard\plain \ltrpar\ql \li0\ri0\keepn\widctlpar\wrapdefault\aspalpha\aspnum\faauto\adjustright\rin0\lin0\itap0\pararsid14374628 \rtlch\fcs1 \af0\afs20\alang1025 \ltrch\fcs0 \fs24\lang2057\langfe2057\cgrid\langnp2057\langfenp2057 {\rtlch\fcs1 \af0 &#13;_x000a_\ltrch\fcs0 \cs17\v\f1\fs20\cf9\insrsid11405493\charrsid7421434 &lt;DocAmend2&gt;&lt;OptDel&gt;}{\rtlch\fcs1 \af0 \ltrch\fcs0 \insrsid11405493\charrsid7421434 #}{\rtlch\fcs1 \af1 \ltrch\fcs0 \cs22\v\f1\fs20\cf15\insrsid11405493\charrsid7421434 &#13;_x000a_MNU[OPTNRACTYES][NOTAPP]@CHOICE@AMACTMNU}{\rtlch\fcs1 \af0 \ltrch\fcs0 \insrsid11405493\charrsid7421434 #}{\rtlch\fcs1 \af0 \ltrch\fcs0 \cs17\v\f1\fs20\cf9\insrsid11405493\charrsid7421434 &lt;/OptDel&gt;&lt;/DocAmend2&gt;}{\rtlch\fcs1 \af0 \ltrch\fcs0 &#13;_x000a_\insrsid11405493\charrsid7421434 &#13;_x000a_\par }\pard \ltrpar\ql \li0\ri0\widctlpar\wrapdefault\aspalpha\aspnum\faauto\adjustright\rin0\lin0\itap0\pararsid14374628 {\rtlch\fcs1 \af0 \ltrch\fcs0 \cs17\v\f1\fs20\cf9\insrsid11405493\charrsid7421434 &lt;Article2&gt;&lt;OptDel&gt;}{\rtlch\fcs1 \af0 \ltrch\fcs0 &#13;_x000a_\insrsid11405493\charrsid7421434 #}{\rtlch\fcs1 \af1 \ltrch\fcs0 \cs22\v\f1\fs20\cf15\insrsid11405493\charrsid7421434 MNU[OPTACTPARTYES][NOTAPP]@CHOICE@AMACTMNU}{\rtlch\fcs1 \af0 \ltrch\fcs0 \insrsid11405493\charrsid7421434 #}{\rtlch\fcs1 \af0 &#13;_x000a_\ltrch\fcs0 \cs17\v\f1\fs20\cf9\insrsid11405493\charrsid7421434 &lt;/OptDel&gt;&lt;/Article2&gt;}{\rtlch\fcs1 \af0 \ltrch\fcs0 \insrsid11405493\charrsid7421434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11405493\charrsid7421434 \cell }\pard\plain \ltrpar\ql \li0\ri0\widctlpar\intbl\wrapdefault\aspalpha\aspnum\faauto\adjustright\rin0\lin0 \rtlch\fcs1 &#13;_x000a_\af0\afs20\alang1025 \ltrch\fcs0 \fs24\lang2057\langfe2057\cgrid\langnp2057\langfenp2057 {\rtlch\fcs1 \af0 \ltrch\fcs0 \insrsid11405493\charrsid7421434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4374628\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74628 \rtlch\fcs1 \af0\afs20\alang1025 \ltrch\fcs0 \i\fs24\lang2057\langfe2057\cgrid\langnp2057\langfenp2057 {\rtlch\fcs1 \af0 \ltrch\fcs0 &#13;_x000a_\insrsid11405493\charrsid7421434 #}{\rtlch\fcs1 \af1 \ltrch\fcs0 \cs22\v\f1\fs20\cf15\insrsid11405493\charrsid7421434 MNU[OPTLEFTAMACT][LEFTPROP]@CHOICE@AMACTMNU}{\rtlch\fcs1 \af0 \ltrch\fcs0 \insrsid11405493\charrsid7421434 #\cell Amendment\cell &#13;_x000a_}\pard\plain \ltrpar\ql \li0\ri0\widctlpar\intbl\wrapdefault\aspalpha\aspnum\faauto\adjustright\rin0\lin0 \rtlch\fcs1 \af0\afs20\alang1025 \ltrch\fcs0 \fs24\lang2057\langfe2057\cgrid\langnp2057\langfenp2057 {\rtlch\fcs1 \af0 \ltrch\fcs0 &#13;_x000a_\insrsid11405493\charrsid7421434 \trowd \ltrrow\ts11\trqc\trgaph340\trleft0\trftsWidth3\trwWidth9752\trftsWidthB3\trpaddl340\trpaddr340\trpaddfl3\trpaddft3\trpaddfb3\trpaddfr3\tblrsid14374628\tblind0\tblindtype3 \clvertalt\clbrdrt\brdrtbl \clbrdrl&#13;_x000a_\brdrtbl \clbrdrb\brdrtbl \clbrdrr\brdrtbl \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11405493\charrsid7421434 ##\cell ##}{\rtlch\fcs1 \af0\afs24 \ltrch\fcs0 \insrsid11405493\charrsid7421434 \cell }\pard\plain \ltrpar\ql \li0\ri0\widctlpar\intbl\wrapdefault\aspalpha\aspnum\faauto\adjustright\rin0\lin0 \rtlch\fcs1 &#13;_x000a_\af0\afs20\alang1025 \ltrch\fcs0 \fs24\lang2057\langfe2057\cgrid\langnp2057\langfenp2057 {\rtlch\fcs1 \af0 \ltrch\fcs0 \insrsid11405493\charrsid7421434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4374628 \rtlch\fcs1 \af0\afs20\alang1025 \ltrch\fcs0 \fs24\lang2057\langfe2057\cgrid\langnp2057\langfenp2057 {\rtlch\fcs1 \af0 \ltrch\fcs0 &#13;_x000a_\insrsid11405493\charrsid7421434 Or. }{\rtlch\fcs1 \af0 \ltrch\fcs0 \cs17\v\f1\fs20\cf9\insrsid11405493\charrsid7421434 &lt;Original&gt;}{\rtlch\fcs1 \af0 \ltrch\fcs0 \insrsid11405493\charrsid7421434 #}{\rtlch\fcs1 \af1 \ltrch\fcs0 &#13;_x000a_\cs22\v\f1\fs20\cf15\insrsid11405493\charrsid7421434 MNU[OPTORLANG][ORLANGMORE]@CHOICE@AMPLURMNU}{\rtlch\fcs1 \af0 \ltrch\fcs0 \insrsid11405493\charrsid7421434 #}{\rtlch\fcs1 \af0 \ltrch\fcs0 \cs17\v\f1\fs20\cf9\insrsid11405493\charrsid7421434 &lt;/Original&gt;&#13;_x000a_}{\rtlch\fcs1 \af0 \ltrch\fcs0 \insrsid11405493\charrsid7421434 &#13;_x000a_\par }\pard\plain \ltrpar\s21\qc \li0\ri0\sb240\sa240\nowidctlpar\wrapdefault\aspalpha\aspnum\faauto\adjustright\rin0\lin0\itap0\pararsid14374628 \rtlch\fcs1 \af0\afs20\alang1025 \ltrch\fcs0 \i\fs24\lang2057\langfe2057\cgrid\langnp2057\langfenp2057 {&#13;_x000a_\rtlch\fcs1 \af0 \ltrch\fcs0 \cs17\i0\v\f1\fs20\cf9\insrsid11405493\charrsid7421434 &lt;OptDel&gt;}{\rtlch\fcs1 \af0 \ltrch\fcs0 \insrsid11405493\charrsid7421434 #}{\rtlch\fcs1 \af1 \ltrch\fcs0 \cs22\v\f1\fs20\cf15\insrsid11405493\charrsid7421434 &#13;_x000a_MNU[CROSSREFNO][CROSSREFYES]@CHOICE@}{\rtlch\fcs1 \af0 \ltrch\fcs0 \insrsid11405493\charrsid7421434 #}{\rtlch\fcs1 \af0 \ltrch\fcs0 \cs17\i0\v\f1\fs20\cf9\insrsid11405493\charrsid7421434 &lt;/OptDel&gt;}{\rtlch\fcs1 \af0 \ltrch\fcs0 &#13;_x000a_\insrsid11405493\charrsid7421434 &#13;_x000a_\par }\pard\plain \ltrpar\s23\qc \li0\ri0\sb240\sa240\keepn\nowidctlpar\wrapdefault\aspalpha\aspnum\faauto\adjustright\rin0\lin0\itap0\pararsid14374628 \rtlch\fcs1 \af0\afs20\alang1025 \ltrch\fcs0 \i\fs24\lang2057\langfe2057\cgrid\langnp2057\langfenp2057 {&#13;_x000a_\rtlch\fcs1 \af0 \ltrch\fcs0 \cs17\i0\v\f1\fs20\cf9\insrsid11405493\charrsid7421434 &lt;TitreJust&gt;}{\rtlch\fcs1 \af0 \ltrch\fcs0 \insrsid11405493\charrsid7421434 Justification}{\rtlch\fcs1 \af0 \ltrch\fcs0 &#13;_x000a_\cs17\i0\v\f1\fs20\cf9\insrsid11405493\charrsid7421434 &lt;/TitreJust&gt;}{\rtlch\fcs1 \af0 \ltrch\fcs0 \insrsid11405493\charrsid7421434 &#13;_x000a_\par }\pard\plain \ltrpar\s20\ql \li0\ri0\sa240\nowidctlpar\wrapdefault\aspalpha\aspnum\faauto\adjustright\rin0\lin0\itap0\pararsid14374628 \rtlch\fcs1 \af0\afs20\alang1025 \ltrch\fcs0 \i\fs24\lang2057\langfe2057\cgrid\langnp2057\langfenp2057 {\rtlch\fcs1 &#13;_x000a_\af0 \ltrch\fcs0 \cs17\i0\v\f1\fs20\cf9\insrsid11405493\charrsid7421434 &lt;OptDelPrev&gt;}{\rtlch\fcs1 \af0 \ltrch\fcs0 \insrsid11405493\charrsid7421434 #}{\rtlch\fcs1 \af1 \ltrch\fcs0 \cs22\v\f1\fs20\cf15\insrsid11405493\charrsid7421434 &#13;_x000a_MNU[TEXTJUSTYES][TEXTJUSTNO]@CHOICE@}{\rtlch\fcs1 \af0 \ltrch\fcs0 \insrsid11405493\charrsid7421434 #}{\rtlch\fcs1 \af0 \ltrch\fcs0 \cs17\i0\v\f1\fs20\cf9\insrsid11405493\charrsid7421434 &lt;/OptDelPrev&gt;}{\rtlch\fcs1 \af0 \ltrch\fcs0 &#13;_x000a_\insrsid11405493\charrsid7421434 &#13;_x000a_\par }\pard\plain \ltrpar\ql \li0\ri0\widctlpar\wrapdefault\aspalpha\aspnum\faauto\adjustright\rin0\lin0\itap0\pararsid16324206 \rtlch\fcs1 \af0\afs20\alang1025 \ltrch\fcs0 \fs24\lang2057\langfe2057\cgrid\langnp2057\langfenp2057 {\rtlch\fcs1 \af0 \ltrch\fcs0 &#13;_x000a_\cs17\v\f1\fs20\cf9\insrsid11405493\charrsid74214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2f&#13;_x000a_c3de29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1"/>
    <w:docVar w:name="TEXTMNU" w:val=" 1"/>
    <w:docVar w:name="TITLECODMNU" w:val=" 1"/>
    <w:docVar w:name="TXTAUTHOR" w:val="Isabelle Le Callennec"/>
    <w:docVar w:name="TXTLANGUE" w:val="EN"/>
    <w:docVar w:name="TXTLANGUEMIN" w:val="en"/>
    <w:docVar w:name="TXTNRC" w:val="0190/2026"/>
    <w:docVar w:name="TXTNRCOM" w:val="(2026)0620"/>
    <w:docVar w:name="TXTNRPE" w:val="796.227"/>
    <w:docVar w:name="TXTNRPROC" w:val="2026/0210"/>
    <w:docVar w:name="TXTPEorAP" w:val="PE"/>
    <w:docVar w:name="TXTROUTE" w:val="PA\1351459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AD4AA1E-839F-43B6-89B2-351E60CA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F137FA"/>
    <w:pPr>
      <w:spacing w:after="120"/>
    </w:pPr>
    <w:rPr>
      <w:szCs w:val="20"/>
      <w:lang w:val="fr-FR"/>
    </w:rPr>
  </w:style>
  <w:style w:type="paragraph" w:customStyle="1" w:styleId="Normal12Italic">
    <w:name w:val="Normal12Italic"/>
    <w:basedOn w:val="Normal"/>
    <w:rsid w:val="00F137FA"/>
    <w:pPr>
      <w:spacing w:after="240"/>
    </w:pPr>
    <w:rPr>
      <w:i/>
      <w:noProof/>
      <w:szCs w:val="20"/>
      <w:lang w:val="fr-FR"/>
    </w:rPr>
  </w:style>
  <w:style w:type="character" w:customStyle="1" w:styleId="NormalBoldChar">
    <w:name w:val="NormalBold Char"/>
    <w:basedOn w:val="DefaultParagraphFont"/>
    <w:link w:val="NormalBold"/>
    <w:rsid w:val="00F137FA"/>
    <w:rPr>
      <w:b/>
      <w:sz w:val="24"/>
    </w:rPr>
  </w:style>
  <w:style w:type="paragraph" w:customStyle="1" w:styleId="JustificationTitle">
    <w:name w:val="JustificationTitle"/>
    <w:basedOn w:val="Normal"/>
    <w:next w:val="Normal"/>
    <w:rsid w:val="00F137FA"/>
    <w:pPr>
      <w:keepNext/>
      <w:spacing w:before="240" w:after="240"/>
      <w:jc w:val="center"/>
    </w:pPr>
    <w:rPr>
      <w:i/>
      <w:noProof/>
      <w:szCs w:val="20"/>
      <w:lang w:val="fr-FR"/>
    </w:rPr>
  </w:style>
  <w:style w:type="character" w:customStyle="1" w:styleId="Normal6Char">
    <w:name w:val="Normal6 Char"/>
    <w:basedOn w:val="DefaultParagraphFont"/>
    <w:link w:val="Normal6"/>
    <w:rsid w:val="00F137FA"/>
    <w:rPr>
      <w:sz w:val="24"/>
      <w:lang w:val="fr-FR"/>
    </w:rPr>
  </w:style>
  <w:style w:type="paragraph" w:customStyle="1" w:styleId="ColumnHeading">
    <w:name w:val="ColumnHeading"/>
    <w:basedOn w:val="Normal"/>
    <w:rsid w:val="00F137FA"/>
    <w:pPr>
      <w:spacing w:after="240"/>
      <w:jc w:val="center"/>
    </w:pPr>
    <w:rPr>
      <w:i/>
      <w:szCs w:val="20"/>
      <w:lang w:val="fr-FR"/>
    </w:rPr>
  </w:style>
  <w:style w:type="paragraph" w:customStyle="1" w:styleId="AMNumberTabs0">
    <w:name w:val="AMNumberTabs"/>
    <w:basedOn w:val="Normal"/>
    <w:rsid w:val="00F137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F137FA"/>
    <w:pPr>
      <w:jc w:val="right"/>
    </w:pPr>
  </w:style>
  <w:style w:type="paragraph" w:styleId="Footer">
    <w:name w:val="footer"/>
    <w:basedOn w:val="Normal"/>
    <w:link w:val="FooterChar"/>
    <w:rsid w:val="00F137FA"/>
    <w:pPr>
      <w:tabs>
        <w:tab w:val="center" w:pos="4513"/>
        <w:tab w:val="right" w:pos="9026"/>
      </w:tabs>
    </w:pPr>
  </w:style>
  <w:style w:type="character" w:customStyle="1" w:styleId="FooterChar">
    <w:name w:val="Footer Char"/>
    <w:basedOn w:val="DefaultParagraphFont"/>
    <w:link w:val="Footer"/>
    <w:rsid w:val="00F137FA"/>
    <w:rPr>
      <w:sz w:val="24"/>
      <w:szCs w:val="24"/>
    </w:rPr>
  </w:style>
  <w:style w:type="paragraph" w:styleId="Revision">
    <w:name w:val="Revision"/>
    <w:hidden/>
    <w:uiPriority w:val="99"/>
    <w:semiHidden/>
    <w:rsid w:val="00E34921"/>
    <w:rPr>
      <w:sz w:val="24"/>
      <w:szCs w:val="24"/>
    </w:rPr>
  </w:style>
  <w:style w:type="character" w:styleId="CommentReference">
    <w:name w:val="annotation reference"/>
    <w:basedOn w:val="DefaultParagraphFont"/>
    <w:rsid w:val="00E34921"/>
    <w:rPr>
      <w:sz w:val="16"/>
      <w:szCs w:val="16"/>
    </w:rPr>
  </w:style>
  <w:style w:type="paragraph" w:styleId="CommentText">
    <w:name w:val="annotation text"/>
    <w:basedOn w:val="Normal"/>
    <w:link w:val="CommentTextChar"/>
    <w:rsid w:val="00E34921"/>
    <w:rPr>
      <w:sz w:val="20"/>
      <w:szCs w:val="20"/>
    </w:rPr>
  </w:style>
  <w:style w:type="character" w:customStyle="1" w:styleId="CommentTextChar">
    <w:name w:val="Comment Text Char"/>
    <w:basedOn w:val="DefaultParagraphFont"/>
    <w:link w:val="CommentText"/>
    <w:rsid w:val="00E34921"/>
  </w:style>
  <w:style w:type="paragraph" w:styleId="CommentSubject">
    <w:name w:val="annotation subject"/>
    <w:basedOn w:val="CommentText"/>
    <w:next w:val="CommentText"/>
    <w:link w:val="CommentSubjectChar"/>
    <w:semiHidden/>
    <w:unhideWhenUsed/>
    <w:rsid w:val="00E34921"/>
    <w:rPr>
      <w:b/>
      <w:bCs/>
    </w:rPr>
  </w:style>
  <w:style w:type="character" w:customStyle="1" w:styleId="CommentSubjectChar">
    <w:name w:val="Comment Subject Char"/>
    <w:basedOn w:val="CommentTextChar"/>
    <w:link w:val="CommentSubject"/>
    <w:semiHidden/>
    <w:rsid w:val="00E349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3613</Words>
  <Characters>19805</Characters>
  <Application>Microsoft Office Word</Application>
  <DocSecurity>0</DocSecurity>
  <Lines>660</Lines>
  <Paragraphs>178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2026-10-05T14:26:00Z</dcterms:created>
  <dcterms:modified xsi:type="dcterms:W3CDTF">2026-10-05T14:26:00Z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1351459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PA\1351459EN.docx</vt:lpwstr>
  </property>
  <property fmtid="{D5CDD505-2E9C-101B-9397-08002B2CF9AE}" pid="10" name="LastEdited with">
    <vt:lpwstr>10.3.1 Build [20260902]</vt:lpwstr>
  </property>
  <property fmtid="{D5CDD505-2E9C-101B-9397-08002B2CF9AE}" pid="11" name="PE number">
    <vt:lpwstr>796.227</vt:lpwstr>
  </property>
  <property fmtid="{D5CDD505-2E9C-101B-9397-08002B2CF9AE}" pid="12" name="RegistreCheck">
    <vt:lpwstr>OK</vt:lpwstr>
  </property>
  <property fmtid="{D5CDD505-2E9C-101B-9397-08002B2CF9AE}" pid="13" name="SendToEpades">
    <vt:lpwstr>OK - 2026/09/30 16:35</vt:lpwstr>
  </property>
</Properties>
</file>