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E0DF2" w:rsidRPr="00087478" w:rsidTr="0004333E">
        <w:trPr>
          <w:trHeight w:hRule="exact" w:val="1418"/>
        </w:trPr>
        <w:tc>
          <w:tcPr>
            <w:tcW w:w="6804" w:type="dxa"/>
            <w:shd w:val="clear" w:color="auto" w:fill="auto"/>
            <w:vAlign w:val="center"/>
          </w:tcPr>
          <w:p w:rsidR="00BA3E40" w:rsidRPr="00087478" w:rsidRDefault="00087478" w:rsidP="0004333E">
            <w:pPr>
              <w:pStyle w:val="EPName"/>
            </w:pPr>
            <w:r w:rsidRPr="00087478">
              <w:t>Europa-Parlamentet</w:t>
            </w:r>
          </w:p>
          <w:p w:rsidR="00BA3E40" w:rsidRPr="00087478" w:rsidRDefault="00087478" w:rsidP="00E35335">
            <w:pPr>
              <w:pStyle w:val="EPTerm"/>
            </w:pPr>
            <w:r w:rsidRPr="00087478">
              <w:t>2019-2024</w:t>
            </w:r>
          </w:p>
        </w:tc>
        <w:tc>
          <w:tcPr>
            <w:tcW w:w="2268" w:type="dxa"/>
            <w:shd w:val="clear" w:color="auto" w:fill="auto"/>
          </w:tcPr>
          <w:p w:rsidR="00BA3E40" w:rsidRPr="00087478" w:rsidRDefault="00087478" w:rsidP="0004333E">
            <w:pPr>
              <w:pStyle w:val="EPLogo"/>
            </w:pPr>
            <w:r w:rsidRPr="0008747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87478" w:rsidRDefault="00F24D40" w:rsidP="00F24D40">
      <w:pPr>
        <w:pStyle w:val="LineTop"/>
      </w:pPr>
    </w:p>
    <w:p w:rsidR="00F24D40" w:rsidRPr="00087478" w:rsidRDefault="00087478" w:rsidP="00F24D40">
      <w:pPr>
        <w:pStyle w:val="EPBody"/>
      </w:pPr>
      <w:r w:rsidRPr="00087478">
        <w:rPr>
          <w:rStyle w:val="HideTWBExt"/>
          <w:noProof w:val="0"/>
        </w:rPr>
        <w:t>&lt;</w:t>
      </w:r>
      <w:r w:rsidRPr="00087478">
        <w:rPr>
          <w:rStyle w:val="HideTWBExt"/>
          <w:i w:val="0"/>
          <w:noProof w:val="0"/>
        </w:rPr>
        <w:t>Commission</w:t>
      </w:r>
      <w:r w:rsidRPr="00087478">
        <w:rPr>
          <w:rStyle w:val="HideTWBExt"/>
          <w:noProof w:val="0"/>
        </w:rPr>
        <w:t>&gt;</w:t>
      </w:r>
      <w:r w:rsidRPr="00087478">
        <w:rPr>
          <w:rStyle w:val="HideTWBInt"/>
          <w:color w:val="auto"/>
        </w:rPr>
        <w:t>{AFET}</w:t>
      </w:r>
      <w:r w:rsidRPr="00087478">
        <w:t>Udenrigsudvalget</w:t>
      </w:r>
      <w:r w:rsidRPr="00087478">
        <w:rPr>
          <w:rStyle w:val="HideTWBExt"/>
          <w:noProof w:val="0"/>
        </w:rPr>
        <w:t>&lt;/</w:t>
      </w:r>
      <w:r w:rsidRPr="00087478">
        <w:rPr>
          <w:rStyle w:val="HideTWBExt"/>
          <w:i w:val="0"/>
          <w:noProof w:val="0"/>
        </w:rPr>
        <w:t>Commission</w:t>
      </w:r>
      <w:r w:rsidRPr="00087478">
        <w:rPr>
          <w:rStyle w:val="HideTWBExt"/>
          <w:noProof w:val="0"/>
        </w:rPr>
        <w:t>&gt;</w:t>
      </w:r>
    </w:p>
    <w:p w:rsidR="00F24D40" w:rsidRPr="00087478" w:rsidRDefault="00F24D40" w:rsidP="00F24D40">
      <w:pPr>
        <w:pStyle w:val="LineBottom"/>
      </w:pPr>
    </w:p>
    <w:p w:rsidR="00DB56E4" w:rsidRPr="00087478" w:rsidRDefault="00087478" w:rsidP="00DB56E4">
      <w:pPr>
        <w:pStyle w:val="CoverReference"/>
      </w:pPr>
      <w:r w:rsidRPr="00087478">
        <w:rPr>
          <w:rStyle w:val="HideTWBExt"/>
          <w:b w:val="0"/>
          <w:noProof w:val="0"/>
        </w:rPr>
        <w:t>&lt;RefProc&gt;</w:t>
      </w:r>
      <w:r w:rsidRPr="00087478">
        <w:t>2023/0441</w:t>
      </w:r>
      <w:r w:rsidRPr="00087478">
        <w:rPr>
          <w:rStyle w:val="HideTWBExt"/>
          <w:b w:val="0"/>
          <w:noProof w:val="0"/>
        </w:rPr>
        <w:t>&lt;/RefProc&gt;&lt;RefTypeProc&gt;</w:t>
      </w:r>
      <w:r w:rsidRPr="00087478">
        <w:t>(CNS)</w:t>
      </w:r>
      <w:r w:rsidRPr="00087478">
        <w:rPr>
          <w:rStyle w:val="HideTWBExt"/>
          <w:b w:val="0"/>
          <w:noProof w:val="0"/>
        </w:rPr>
        <w:t>&lt;/RefTypeProc&gt;</w:t>
      </w:r>
    </w:p>
    <w:p w:rsidR="00DB56E4" w:rsidRPr="00087478" w:rsidRDefault="00087478" w:rsidP="00DB56E4">
      <w:pPr>
        <w:pStyle w:val="CoverDate"/>
      </w:pPr>
      <w:r w:rsidRPr="00087478">
        <w:rPr>
          <w:rStyle w:val="HideTWBExt"/>
          <w:noProof w:val="0"/>
        </w:rPr>
        <w:t>&lt;Date&gt;</w:t>
      </w:r>
      <w:r w:rsidRPr="00087478">
        <w:rPr>
          <w:rStyle w:val="HideTWBInt"/>
          <w:color w:val="auto"/>
        </w:rPr>
        <w:t>{21/03/2024}</w:t>
      </w:r>
      <w:r w:rsidRPr="00087478">
        <w:t>21.3.2024</w:t>
      </w:r>
      <w:r w:rsidRPr="00087478">
        <w:rPr>
          <w:rStyle w:val="HideTWBExt"/>
          <w:noProof w:val="0"/>
        </w:rPr>
        <w:t>&lt;/Date&gt;</w:t>
      </w:r>
    </w:p>
    <w:p w:rsidR="00DB56E4" w:rsidRPr="00087478" w:rsidRDefault="00087478" w:rsidP="00DB56E4">
      <w:pPr>
        <w:pStyle w:val="CoverDocType24a"/>
      </w:pPr>
      <w:r w:rsidRPr="00087478">
        <w:rPr>
          <w:rStyle w:val="HideTWBExt"/>
          <w:b w:val="0"/>
          <w:noProof w:val="0"/>
        </w:rPr>
        <w:t>&lt;TitreType&gt;</w:t>
      </w:r>
      <w:r w:rsidRPr="00087478">
        <w:t>UDTALELSE</w:t>
      </w:r>
      <w:r w:rsidRPr="00087478">
        <w:rPr>
          <w:rStyle w:val="HideTWBExt"/>
          <w:b w:val="0"/>
          <w:noProof w:val="0"/>
        </w:rPr>
        <w:t>&lt;/TitreType&gt;</w:t>
      </w:r>
    </w:p>
    <w:p w:rsidR="00DB56E4" w:rsidRPr="00087478" w:rsidRDefault="00087478" w:rsidP="00DB56E4">
      <w:pPr>
        <w:pStyle w:val="CoverNormal24a"/>
      </w:pPr>
      <w:r w:rsidRPr="00087478">
        <w:rPr>
          <w:rStyle w:val="HideTWBExt"/>
          <w:noProof w:val="0"/>
        </w:rPr>
        <w:t>&lt;CommissionResp&gt;</w:t>
      </w:r>
      <w:r w:rsidRPr="00087478">
        <w:t>fra Udenrigsudvalget</w:t>
      </w:r>
      <w:r w:rsidRPr="00087478">
        <w:rPr>
          <w:rStyle w:val="HideTWBExt"/>
          <w:noProof w:val="0"/>
        </w:rPr>
        <w:t>&lt;/CommissionResp&gt;</w:t>
      </w:r>
    </w:p>
    <w:p w:rsidR="00DB56E4" w:rsidRPr="00087478" w:rsidRDefault="00087478" w:rsidP="00DB56E4">
      <w:pPr>
        <w:pStyle w:val="CoverNormal24a"/>
      </w:pPr>
      <w:r w:rsidRPr="00087478">
        <w:rPr>
          <w:rStyle w:val="HideTWBExt"/>
          <w:noProof w:val="0"/>
        </w:rPr>
        <w:t>&lt;CommissionInt&gt;</w:t>
      </w:r>
      <w:r w:rsidRPr="00087478">
        <w:t>til Udvalget om Borgernes Rettigheder og Retlige og Indre Anliggender</w:t>
      </w:r>
      <w:r w:rsidRPr="00087478">
        <w:rPr>
          <w:rStyle w:val="HideTWBExt"/>
          <w:noProof w:val="0"/>
        </w:rPr>
        <w:t>&lt;/CommissionInt&gt;</w:t>
      </w:r>
    </w:p>
    <w:p w:rsidR="00DB56E4" w:rsidRPr="00087478" w:rsidRDefault="00087478" w:rsidP="00DB56E4">
      <w:pPr>
        <w:pStyle w:val="CoverNormal"/>
      </w:pPr>
      <w:r w:rsidRPr="00087478">
        <w:rPr>
          <w:rStyle w:val="HideTWBExt"/>
          <w:noProof w:val="0"/>
        </w:rPr>
        <w:t>&lt;Titre&gt;</w:t>
      </w:r>
      <w:r w:rsidRPr="00087478">
        <w:t>om forslag til Rådets direktiv om ændring af direktiv (EU) 2015/637 om koordinerings- og samarbejdsforanstaltninger for at lette k</w:t>
      </w:r>
      <w:r w:rsidRPr="00087478">
        <w:t>onsulær beskyttelse af ikkerepræsenterede unionsborgere i tredjelande og direktiv (EU) 2019/997 om indførelse af et EU-nødpas</w:t>
      </w:r>
      <w:r w:rsidRPr="00087478">
        <w:rPr>
          <w:rStyle w:val="HideTWBExt"/>
          <w:noProof w:val="0"/>
        </w:rPr>
        <w:t>&lt;/Titre&gt;</w:t>
      </w:r>
    </w:p>
    <w:p w:rsidR="00DB56E4" w:rsidRPr="00087478" w:rsidRDefault="00087478" w:rsidP="00DB56E4">
      <w:pPr>
        <w:pStyle w:val="CoverNormal24a"/>
      </w:pPr>
      <w:r w:rsidRPr="00087478">
        <w:rPr>
          <w:rStyle w:val="HideTWBExt"/>
          <w:noProof w:val="0"/>
        </w:rPr>
        <w:t>&lt;DocRef&gt;</w:t>
      </w:r>
      <w:r w:rsidRPr="00087478">
        <w:t>(COM(2023)0930 – C9</w:t>
      </w:r>
      <w:r w:rsidRPr="00087478">
        <w:noBreakHyphen/>
        <w:t>0015/2024 – 2023/0441(CNS))</w:t>
      </w:r>
      <w:r w:rsidRPr="00087478">
        <w:rPr>
          <w:rStyle w:val="HideTWBExt"/>
          <w:noProof w:val="0"/>
        </w:rPr>
        <w:t>&lt;/DocRef&gt;</w:t>
      </w:r>
    </w:p>
    <w:p w:rsidR="00DB56E4" w:rsidRPr="00087478" w:rsidRDefault="00087478" w:rsidP="00DB56E4">
      <w:pPr>
        <w:pStyle w:val="CoverNormal24a"/>
      </w:pPr>
      <w:r w:rsidRPr="00087478">
        <w:t xml:space="preserve">Ordfører for udtalelse (*): </w:t>
      </w:r>
      <w:r w:rsidRPr="00087478">
        <w:rPr>
          <w:rStyle w:val="HideTWBExt"/>
          <w:noProof w:val="0"/>
        </w:rPr>
        <w:t>&lt;Depute&gt;</w:t>
      </w:r>
      <w:r w:rsidRPr="00087478">
        <w:t>Nacho Sánchez Amor</w:t>
      </w:r>
      <w:r w:rsidRPr="00087478">
        <w:rPr>
          <w:rStyle w:val="HideTWBExt"/>
          <w:noProof w:val="0"/>
        </w:rPr>
        <w:t>&lt;/Depute&gt;</w:t>
      </w:r>
    </w:p>
    <w:p w:rsidR="00487596" w:rsidRPr="00087478" w:rsidRDefault="00087478" w:rsidP="00487596">
      <w:pPr>
        <w:pStyle w:val="CoverNormal"/>
      </w:pPr>
      <w:r w:rsidRPr="00087478">
        <w:t>(*)</w:t>
      </w:r>
      <w:r w:rsidRPr="00087478">
        <w:tab/>
        <w:t>Associeret udvalg - forretningsordenens artikel 57</w:t>
      </w:r>
    </w:p>
    <w:p w:rsidR="00DB56E4" w:rsidRPr="00087478" w:rsidRDefault="00087478" w:rsidP="0004474F">
      <w:pPr>
        <w:tabs>
          <w:tab w:val="center" w:pos="4677"/>
        </w:tabs>
      </w:pPr>
      <w:r w:rsidRPr="00087478">
        <w:br w:type="page"/>
      </w:r>
      <w:r w:rsidRPr="00087478">
        <w:lastRenderedPageBreak/>
        <w:t>PA_Legam</w:t>
      </w:r>
    </w:p>
    <w:p w:rsidR="00DB56E4" w:rsidRPr="00087478" w:rsidRDefault="00087478" w:rsidP="00DB56E4">
      <w:pPr>
        <w:pStyle w:val="PageHeadingNotTOC"/>
      </w:pPr>
      <w:r w:rsidRPr="00087478">
        <w:br w:type="page"/>
      </w:r>
      <w:r w:rsidRPr="00087478">
        <w:lastRenderedPageBreak/>
        <w:t>KORT BEGRUNDELSE</w:t>
      </w:r>
    </w:p>
    <w:p w:rsidR="00BE5A6F" w:rsidRPr="00087478" w:rsidRDefault="00087478" w:rsidP="00BE5A6F">
      <w:pPr>
        <w:pStyle w:val="Normal12a"/>
        <w:rPr>
          <w:bCs/>
        </w:rPr>
      </w:pPr>
      <w:r w:rsidRPr="00087478">
        <w:t>Kommissionens forslag indebærer en væsentlig udvidelse af EU-Udenrigstjenestens og EU-delegationernes rolle og aktiviteter, herunder nye og ændrede bestemmelser om</w:t>
      </w:r>
      <w:r w:rsidRPr="00087478">
        <w:t xml:space="preserve"> beredskab og reaktion på kriser uden for Den Europæiske Union.</w:t>
      </w:r>
    </w:p>
    <w:p w:rsidR="00BE5A6F" w:rsidRPr="00087478" w:rsidRDefault="00087478" w:rsidP="00BE5A6F">
      <w:pPr>
        <w:pStyle w:val="Normal12a"/>
        <w:rPr>
          <w:bCs/>
        </w:rPr>
      </w:pPr>
      <w:r w:rsidRPr="00087478">
        <w:t>I overensstemmelse med punkt I.3 i bilag VI til forretningsordenen (FO) henhører tilsynet med EU-Udenrigstjenesten og dens forskellige tjenestegrene, herunder tilrettelæggelsen og driften af E</w:t>
      </w:r>
      <w:r w:rsidRPr="00087478">
        <w:t xml:space="preserve">U-delegationerne og EU-Udenrigstjenestens kriseresponscenter, under Udenrigsudvalgets (AFET's) enekompetence. EU-delegationernes arbejde omfatter også gennemførelsen af EU-borgernes ret til beskyttelse på tredjelandes område, jf. artikel 35 i traktaten om </w:t>
      </w:r>
      <w:r w:rsidRPr="00087478">
        <w:t>Den Europæiske Union.</w:t>
      </w:r>
    </w:p>
    <w:p w:rsidR="00BE5A6F" w:rsidRPr="00087478" w:rsidRDefault="00087478" w:rsidP="00BE5A6F">
      <w:pPr>
        <w:pStyle w:val="Normal12a"/>
        <w:rPr>
          <w:bCs/>
        </w:rPr>
      </w:pPr>
      <w:r w:rsidRPr="00087478">
        <w:t>Tilrettelæggelsen og funktionen af EU-Udenrigstjenesten, EU-delegationerne og EU-Udenrigstjenestens kriseberedskabscenter er fastsat i Rådets afgørelse 2010/427/EU af 26. juli 2010 – et område, som falder inden for AFET's kompetenceom</w:t>
      </w:r>
      <w:r w:rsidRPr="00087478">
        <w:t>råde. Inden for rammerne af det strategiske kompas for sikkerhed og forsvar fra 2022, der også er omfattet af AFET's kompetenceområde, blev der iværksat en gennemgang af EU-Udenrigstjenestens kriseresponsmekanismer, herunder bl.a. vedrørende konsulær støtt</w:t>
      </w:r>
      <w:r w:rsidRPr="00087478">
        <w:t>e og feltsikkerhed.</w:t>
      </w:r>
    </w:p>
    <w:p w:rsidR="00BE5A6F" w:rsidRPr="00087478" w:rsidRDefault="00087478" w:rsidP="00BE5A6F">
      <w:pPr>
        <w:pStyle w:val="Normal12a"/>
        <w:rPr>
          <w:bCs/>
        </w:rPr>
      </w:pPr>
      <w:r w:rsidRPr="00087478">
        <w:t>Den 15. marts 2023 vedtog Parlamentet under ledelse af AFET en FUSP-henstilling om status over EU-Udenrigstjenestens funktionsmåde og om et stærkere EU (2021/2065 (INI)). Den omfatter en lang række emner inden for rammerne af EU-Udenrig</w:t>
      </w:r>
      <w:r w:rsidRPr="00087478">
        <w:t>stjenesten, herunder støtten til EU's kriseresponscenter (CRC) i forbindelse med koordineringen af EU's og medlemsstaternes ambassaders og delegationers indsats og de tjenester, de tilbyder EU-borgerne i krisetider.</w:t>
      </w:r>
    </w:p>
    <w:p w:rsidR="00BE5A6F" w:rsidRPr="00087478" w:rsidRDefault="00087478" w:rsidP="00BE5A6F">
      <w:pPr>
        <w:pStyle w:val="Normal12a"/>
      </w:pPr>
      <w:r w:rsidRPr="00087478">
        <w:t xml:space="preserve">Kommissionens forslag løfter </w:t>
      </w:r>
      <w:r w:rsidRPr="00087478">
        <w:t xml:space="preserve">EU-Udenrigstjenestens rolle (og dens krisestyringsstrukturer og EU-delegationer) til et nyt niveau af inddragelse på en sådan måde, at konsulær beskyttelse flettes sammen med EU-Udenrigstjenestens udenrigs-, sikkerheds- og forsvarspolitiske rolle, når der </w:t>
      </w:r>
      <w:r w:rsidRPr="00087478">
        <w:t>skal træffes beslutninger på grundlag af vurderinger, kontakter med tredjelande, anvendelse af militære aktiver og andre typiske FUSP/FSFP-elementer.</w:t>
      </w:r>
    </w:p>
    <w:p w:rsidR="00DB56E4" w:rsidRPr="00087478" w:rsidRDefault="00DB56E4" w:rsidP="00221197">
      <w:pPr>
        <w:pStyle w:val="Normal12a"/>
      </w:pPr>
    </w:p>
    <w:p w:rsidR="00DB56E4" w:rsidRPr="00087478" w:rsidRDefault="00087478" w:rsidP="00DB56E4">
      <w:pPr>
        <w:pStyle w:val="AmHeadingPA"/>
      </w:pPr>
      <w:r w:rsidRPr="00087478">
        <w:t>ÆNDRINGSFORSLAG</w:t>
      </w:r>
    </w:p>
    <w:p w:rsidR="00DB56E4" w:rsidRPr="00087478" w:rsidRDefault="00087478" w:rsidP="001E3AC4">
      <w:pPr>
        <w:pStyle w:val="Normal12a"/>
      </w:pPr>
      <w:bookmarkStart w:id="0" w:name="IntroA"/>
      <w:r w:rsidRPr="00087478">
        <w:t>Udenrigsudvalget opfordrer Udvalget om Borgernes Rettigheder og Retlige og Indre Anliggen</w:t>
      </w:r>
      <w:r w:rsidRPr="00087478">
        <w:t>der, som er korresponderende udvalg, til at tage hensyn til følgende:</w:t>
      </w:r>
    </w:p>
    <w:p w:rsidR="00BE5A6F" w:rsidRPr="00087478" w:rsidRDefault="00087478" w:rsidP="00BE5A6F">
      <w:pPr>
        <w:pStyle w:val="AmNumberTabs"/>
        <w:keepNext/>
      </w:pPr>
      <w:bookmarkStart w:id="1" w:name="IntroB"/>
      <w:bookmarkEnd w:id="0"/>
      <w:r w:rsidRPr="00087478">
        <w:rPr>
          <w:rStyle w:val="HideTWBExt"/>
          <w:b w:val="0"/>
          <w:noProof w:val="0"/>
        </w:rPr>
        <w:t>&lt;RepeatBlock-Amend&gt;</w:t>
      </w:r>
      <w:bookmarkEnd w:id="1"/>
    </w:p>
    <w:p w:rsidR="00BE5A6F" w:rsidRPr="00087478" w:rsidRDefault="00087478" w:rsidP="00BE5A6F">
      <w:pPr>
        <w:pStyle w:val="AmNumberTabs"/>
      </w:pPr>
      <w:bookmarkStart w:id="2" w:name="EndB"/>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1</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1 a (ny)</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lastRenderedPageBreak/>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BE5A6F" w:rsidP="00686E5A">
            <w:pPr>
              <w:pStyle w:val="Normal6a"/>
            </w:pPr>
          </w:p>
        </w:tc>
        <w:tc>
          <w:tcPr>
            <w:tcW w:w="4876" w:type="dxa"/>
          </w:tcPr>
          <w:p w:rsidR="00BE5A6F" w:rsidRPr="00087478" w:rsidRDefault="00087478" w:rsidP="00686E5A">
            <w:pPr>
              <w:pStyle w:val="Normal6a"/>
            </w:pPr>
            <w:r w:rsidRPr="00087478">
              <w:rPr>
                <w:b/>
                <w:i/>
              </w:rPr>
              <w:t>(1a)</w:t>
            </w:r>
            <w:r w:rsidRPr="00087478">
              <w:tab/>
            </w:r>
            <w:r w:rsidRPr="00087478">
              <w:rPr>
                <w:b/>
                <w:i/>
              </w:rPr>
              <w:t>Anvendelsesområdet for direktiv (EU) 2015/637 bør også udvides til ikke kun at omfatte EU-borgere. I denne henseende bør anerkendte flygtninge og statsløse samt andre, der ikke er statsborgere i en medlemsstat, men som har bopæl i en medlemsstat og er</w:t>
            </w:r>
            <w:r w:rsidRPr="00087478">
              <w:rPr>
                <w:b/>
                <w:i/>
              </w:rPr>
              <w:t xml:space="preserve"> i besiddelse af et rejsedokument udstedt af bopælsmedlemsstaten, have ret til konsulær beskyttelse på samme vilkår som borgere, hvis medlemsstat ikke er repræsenteret, hvis bopælsmedlemsstaten ikke er repræsenteret af en diplomatisk eller konsulær myndigh</w:t>
            </w:r>
            <w:r w:rsidRPr="00087478">
              <w:rPr>
                <w:b/>
                <w:i/>
              </w:rPr>
              <w:t>ed.</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2</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2</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(2)</w:t>
            </w:r>
            <w:r w:rsidRPr="00087478">
              <w:tab/>
              <w:t xml:space="preserve">Der opstår flere og større kriser, der resulterer i anmodninger om konsulær </w:t>
            </w:r>
            <w:r w:rsidRPr="00087478">
              <w:t>beskyttelse. Covid-19-pandemien, krisen i Afghanistan, Ruslands angrebskrig mod Ukraine, konflikten i Sudan, hjemtransport fra Israel og Gaza og andre lignende kriser har synliggjort mangler og givet anledning til at overveje, hvordan det kan gøres lettere</w:t>
            </w:r>
            <w:r w:rsidRPr="00087478">
              <w:t xml:space="preserve"> at udøve retten til konsulær beskyttelse. På baggrund af disse erfaringer og for at forenkle procedurerne for borgere og konsulære myndigheder bør reglerne og procedurerne i direktiv (EU) 2015/637 præciseres og strømlines, så den konsulære beskyttelse til</w:t>
            </w:r>
            <w:r w:rsidRPr="00087478">
              <w:t xml:space="preserve"> ikkerepræsenterede unionsborgere, navnlig i krisesituationer, kan ydes mere effektivt. De til rådighed værende ressourcer på medlemsstats- og EU-plan bør anvendes bedst muligt, både lokalt i tredjelande og i hovedstæderne.</w:t>
            </w:r>
          </w:p>
        </w:tc>
        <w:tc>
          <w:tcPr>
            <w:tcW w:w="4876" w:type="dxa"/>
          </w:tcPr>
          <w:p w:rsidR="00BE5A6F" w:rsidRPr="00087478" w:rsidRDefault="00087478" w:rsidP="00686E5A">
            <w:pPr>
              <w:pStyle w:val="AmColumnHeading"/>
              <w:spacing w:after="120"/>
              <w:jc w:val="left"/>
            </w:pPr>
            <w:r w:rsidRPr="00087478">
              <w:rPr>
                <w:i w:val="0"/>
              </w:rPr>
              <w:t>(2)</w:t>
            </w:r>
            <w:r w:rsidRPr="00087478">
              <w:rPr>
                <w:i w:val="0"/>
              </w:rPr>
              <w:tab/>
              <w:t>Der opstår flere og større k</w:t>
            </w:r>
            <w:r w:rsidRPr="00087478">
              <w:rPr>
                <w:i w:val="0"/>
              </w:rPr>
              <w:t xml:space="preserve">riser, der resulterer i anmodninger om konsulær beskyttelse. Covid-19-pandemien, krisen i Afghanistan </w:t>
            </w:r>
            <w:r w:rsidRPr="00087478">
              <w:rPr>
                <w:b/>
                <w:bCs/>
                <w:iCs/>
              </w:rPr>
              <w:t>i 2021</w:t>
            </w:r>
            <w:r w:rsidRPr="00087478">
              <w:rPr>
                <w:i w:val="0"/>
              </w:rPr>
              <w:t xml:space="preserve">, Ruslands angrebskrig mod Ukraine, konflikten i Sudan, hjemtransport fra Israel og Gaza, </w:t>
            </w:r>
            <w:r w:rsidRPr="00087478">
              <w:rPr>
                <w:b/>
                <w:bCs/>
                <w:iCs/>
              </w:rPr>
              <w:t>det øgede antal humanitære kriser, naturkatastrofer og men</w:t>
            </w:r>
            <w:r w:rsidRPr="00087478">
              <w:rPr>
                <w:b/>
                <w:bCs/>
                <w:iCs/>
              </w:rPr>
              <w:t>neskeskabte katastrofer samt</w:t>
            </w:r>
            <w:r w:rsidRPr="00087478">
              <w:rPr>
                <w:i w:val="0"/>
              </w:rPr>
              <w:t xml:space="preserve"> andre lignende kriser har synliggjort mangler og givet anledning til at overveje, hvordan det kan gøres lettere at udøve retten til konsulær beskyttelse.</w:t>
            </w:r>
            <w:r w:rsidRPr="00087478">
              <w:rPr>
                <w:b/>
              </w:rPr>
              <w:t xml:space="preserve"> EU's kapacitet til at reagere på disse kriser, hvis antal til stadighed f</w:t>
            </w:r>
            <w:r w:rsidRPr="00087478">
              <w:rPr>
                <w:b/>
              </w:rPr>
              <w:t>orøges, bør styrkes ved at afhjælpe eventuelle mangler og styrke vores beredskab, informationsindsamlings- og beslutningskapacitet forud for og under kriser.</w:t>
            </w:r>
            <w:r w:rsidRPr="00087478">
              <w:t xml:space="preserve"> </w:t>
            </w:r>
            <w:r w:rsidRPr="00087478">
              <w:rPr>
                <w:i w:val="0"/>
              </w:rPr>
              <w:t>På baggrund af disse erfaringer og for at forenkle procedurerne for borgere og konsulære myndighed</w:t>
            </w:r>
            <w:r w:rsidRPr="00087478">
              <w:rPr>
                <w:i w:val="0"/>
              </w:rPr>
              <w:t xml:space="preserve">er bør reglerne og procedurerne i direktiv (EU) 2015/637 præciseres og strømlines, så den konsulære </w:t>
            </w:r>
            <w:r w:rsidRPr="00087478">
              <w:rPr>
                <w:i w:val="0"/>
              </w:rPr>
              <w:lastRenderedPageBreak/>
              <w:t>beskyttelse til ikkerepræsenterede unionsborgere, navnlig i krisesituationer, kan ydes mere effektivt. De til rådighed værende ressourcer på medlemsstats- o</w:t>
            </w:r>
            <w:r w:rsidRPr="00087478">
              <w:rPr>
                <w:i w:val="0"/>
              </w:rPr>
              <w:t>g EU-plan bør anvendes bedst muligt, både lokalt i tredjelande og i hovedstæderne.</w:t>
            </w:r>
          </w:p>
        </w:tc>
      </w:tr>
    </w:tbl>
    <w:p w:rsidR="00BE5A6F" w:rsidRPr="00087478" w:rsidRDefault="00087478" w:rsidP="00BE5A6F">
      <w:r w:rsidRPr="00087478">
        <w:rPr>
          <w:rStyle w:val="HideTWBExt"/>
          <w:noProof w:val="0"/>
        </w:rPr>
        <w:lastRenderedPageBreak/>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3</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4</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(4)</w:t>
            </w:r>
            <w:r w:rsidRPr="00087478">
              <w:tab/>
            </w:r>
            <w:r w:rsidRPr="00087478">
              <w:t>For at skabe større retssikkerhed for de konsulære myndigheder og borgere bør der fastlægges mere detaljerede kriterier, der gør det lettere at vurdere, om en unionsborger kan betragtes som ikkerepræsenteret og dermed berettiget til at modtage konsulær bes</w:t>
            </w:r>
            <w:r w:rsidRPr="00087478">
              <w:t>kyttelse fra den medlemsstat, hvis konsulære myndigheder er blevet kontaktet. Disse kriterier bør være tilstrækkeligt fleksible og anvendes under hensyntagen til de lokale forhold såsom rejsemuligheder eller sikkerhedssituationen i det pågældende tredjelan</w:t>
            </w:r>
            <w:r w:rsidRPr="00087478">
              <w:t>d. Tilgængelighed og nærhed bør i den forbindelse forblive vigtige hensyn.</w:t>
            </w:r>
          </w:p>
        </w:tc>
        <w:tc>
          <w:tcPr>
            <w:tcW w:w="4876" w:type="dxa"/>
          </w:tcPr>
          <w:p w:rsidR="00BE5A6F" w:rsidRPr="00087478" w:rsidRDefault="00087478" w:rsidP="00686E5A">
            <w:pPr>
              <w:pStyle w:val="AmColumnHeading"/>
              <w:spacing w:after="120"/>
              <w:jc w:val="left"/>
            </w:pPr>
            <w:r w:rsidRPr="00087478">
              <w:rPr>
                <w:i w:val="0"/>
              </w:rPr>
              <w:t>(4)</w:t>
            </w:r>
            <w:r w:rsidRPr="00087478">
              <w:rPr>
                <w:i w:val="0"/>
              </w:rPr>
              <w:tab/>
              <w:t>For at skabe større retssikkerhed for de konsulære myndigheder og borgere bør der fastlægges mere detaljerede kriterier, der gør det lettere at vurdere, om en unionsborger kan b</w:t>
            </w:r>
            <w:r w:rsidRPr="00087478">
              <w:rPr>
                <w:i w:val="0"/>
              </w:rPr>
              <w:t xml:space="preserve">etragtes som ikkerepræsenteret og dermed berettiget til at modtage konsulær beskyttelse fra den medlemsstat, hvis konsulære myndigheder er blevet kontaktet. </w:t>
            </w:r>
            <w:r w:rsidRPr="00087478">
              <w:t xml:space="preserve">Disse kriterier bør være tilstrækkeligt </w:t>
            </w:r>
            <w:r w:rsidRPr="00087478">
              <w:rPr>
                <w:b/>
                <w:bCs/>
              </w:rPr>
              <w:t>pragmatiske og</w:t>
            </w:r>
            <w:r w:rsidRPr="00087478">
              <w:rPr>
                <w:b/>
              </w:rPr>
              <w:t xml:space="preserve"> </w:t>
            </w:r>
            <w:r w:rsidRPr="00087478">
              <w:t xml:space="preserve">fleksible og anvendes under hensyntagen til </w:t>
            </w:r>
            <w:r w:rsidRPr="00087478">
              <w:t>de lokale forhold såsom rejsemuligheder eller sikkerhedssituationen i det pågældende tredjeland.</w:t>
            </w:r>
            <w:r w:rsidRPr="00087478">
              <w:rPr>
                <w:i w:val="0"/>
              </w:rPr>
              <w:t xml:space="preserve"> Tilgængelighed og nærhed bør i den forbindelse forblive vigtige hensyn.</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4</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w:t>
      </w:r>
      <w:r w:rsidRPr="00087478">
        <w:rPr>
          <w:rStyle w:val="HideTWBExt"/>
          <w:noProof w:val="0"/>
        </w:rPr>
        <w:t>mend&gt;</w:t>
      </w:r>
    </w:p>
    <w:p w:rsidR="00BE5A6F" w:rsidRPr="00087478" w:rsidRDefault="00087478" w:rsidP="00BE5A6F">
      <w:pPr>
        <w:pStyle w:val="NormalBold"/>
      </w:pPr>
      <w:r w:rsidRPr="00087478">
        <w:rPr>
          <w:rStyle w:val="HideTWBExt"/>
          <w:noProof w:val="0"/>
        </w:rPr>
        <w:t>&lt;Article&gt;</w:t>
      </w:r>
      <w:r w:rsidRPr="00087478">
        <w:t>Betragtning 10</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(10)</w:t>
            </w:r>
            <w:r w:rsidRPr="00087478">
              <w:tab/>
              <w:t xml:space="preserve">Hvis en krisesituation resulterer i et stort antal ansøgninger om konsulær beskyttelse, bør ambassaderne og konsulaterne for de medlemsstater, der er repræsenteret i det </w:t>
            </w:r>
            <w:r w:rsidRPr="00087478">
              <w:t xml:space="preserve">pågældende tredjeland, have mulighed for at aftale, hvordan ansøgningerne skal fordeles, på grundlag af den til rådighed værende kapacitet, så </w:t>
            </w:r>
            <w:r w:rsidRPr="00087478">
              <w:lastRenderedPageBreak/>
              <w:t xml:space="preserve">denne udnyttes bedst muligt. De </w:t>
            </w:r>
            <w:r w:rsidRPr="00087478">
              <w:rPr>
                <w:b/>
                <w:bCs/>
                <w:i/>
                <w:iCs/>
              </w:rPr>
              <w:t>kan</w:t>
            </w:r>
            <w:r w:rsidRPr="00087478">
              <w:t xml:space="preserve"> til det formål få hjælp fra EU's delegationer.</w:t>
            </w:r>
          </w:p>
        </w:tc>
        <w:tc>
          <w:tcPr>
            <w:tcW w:w="4876" w:type="dxa"/>
          </w:tcPr>
          <w:p w:rsidR="00BE5A6F" w:rsidRPr="00087478" w:rsidRDefault="00087478" w:rsidP="00686E5A">
            <w:pPr>
              <w:pStyle w:val="Normal6a"/>
            </w:pPr>
            <w:r w:rsidRPr="00087478">
              <w:lastRenderedPageBreak/>
              <w:t>(10)</w:t>
            </w:r>
            <w:r w:rsidRPr="00087478">
              <w:tab/>
              <w:t>Hvis en krisesituation re</w:t>
            </w:r>
            <w:r w:rsidRPr="00087478">
              <w:t>sulterer i et stort antal ansøgninger om konsulær beskyttelse, bør ambassaderne og konsulaterne for de medlemsstater, der er repræsenteret i det pågældende tredjeland, have mulighed for at aftale, hvordan ansøgningerne skal fordeles, på grundlag af den til</w:t>
            </w:r>
            <w:r w:rsidRPr="00087478">
              <w:t xml:space="preserve"> rådighed værende kapacitet, så </w:t>
            </w:r>
            <w:r w:rsidRPr="00087478">
              <w:lastRenderedPageBreak/>
              <w:t xml:space="preserve">denne udnyttes bedst muligt. De </w:t>
            </w:r>
            <w:r w:rsidRPr="00087478">
              <w:rPr>
                <w:b/>
                <w:bCs/>
                <w:i/>
                <w:iCs/>
              </w:rPr>
              <w:t>bør</w:t>
            </w:r>
            <w:r w:rsidRPr="00087478">
              <w:t xml:space="preserve"> til det formål få hjælp fra EU's delegationer.</w:t>
            </w:r>
          </w:p>
        </w:tc>
      </w:tr>
    </w:tbl>
    <w:p w:rsidR="00BE5A6F" w:rsidRPr="00087478" w:rsidRDefault="00087478" w:rsidP="00BE5A6F">
      <w:r w:rsidRPr="00087478">
        <w:rPr>
          <w:rStyle w:val="HideTWBExt"/>
          <w:noProof w:val="0"/>
        </w:rPr>
        <w:lastRenderedPageBreak/>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5</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19</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(19)</w:t>
            </w:r>
            <w:r w:rsidRPr="00087478">
              <w:tab/>
              <w:t xml:space="preserve">For at sikre at beredskabet fungerer i tilfælde af konsulære kriser, der kræver bistand til ikkerepræsenterede borgere, bør det lokale konsulære samarbejde mellem medlemsstaterne og EU-delegationerne i </w:t>
            </w:r>
            <w:r w:rsidRPr="00087478">
              <w:t>tredjelande omfatte udveksling af oplysninger om anliggender, der er relevante for sådanne borgere, bl.a. deres sikkerhed, udarbejdelse af fælles konsulære beredskabsplaner og tilrettelæggelse af konsulære øvelser. Et sådant lokalt konsulært samarbejde kan</w:t>
            </w:r>
            <w:r w:rsidRPr="00087478">
              <w:t xml:space="preserve"> i den sammenhæng vise sig særlig relevant for konsulære myndigheder, hvis medlemsstater ikke er repræsenteret, når kriseberedskabet og -responsen på konsulært plan skal koordineres.</w:t>
            </w:r>
          </w:p>
        </w:tc>
        <w:tc>
          <w:tcPr>
            <w:tcW w:w="4876" w:type="dxa"/>
          </w:tcPr>
          <w:p w:rsidR="00BE5A6F" w:rsidRPr="00087478" w:rsidRDefault="00087478" w:rsidP="00686E5A">
            <w:pPr>
              <w:pStyle w:val="Normal6a"/>
            </w:pPr>
            <w:r w:rsidRPr="00087478">
              <w:t>(19)</w:t>
            </w:r>
            <w:r w:rsidRPr="00087478">
              <w:tab/>
              <w:t>For at sikre at beredskabet fungerer i tilfælde af konsulære kriser,</w:t>
            </w:r>
            <w:r w:rsidRPr="00087478">
              <w:t xml:space="preserve"> der kræver bistand til ikkerepræsenterede borgere </w:t>
            </w:r>
            <w:r w:rsidRPr="00087478">
              <w:rPr>
                <w:b/>
                <w:bCs/>
                <w:i/>
                <w:iCs/>
              </w:rPr>
              <w:t>– herunder naturkatastrofer, politisk uro eller terrorangreb –</w:t>
            </w:r>
            <w:r w:rsidRPr="00087478">
              <w:t xml:space="preserve"> bør det lokale konsulære samarbejde mellem medlemsstaterne og EU-delegationerne i tredjelande omfatte udveksling af oplysninger om anliggender</w:t>
            </w:r>
            <w:r w:rsidRPr="00087478">
              <w:t>, der er relevante for sådanne borgere, bl.a. deres sikkerhed, udarbejdelse af fælles konsulære beredskabsplaner</w:t>
            </w:r>
            <w:r w:rsidRPr="00087478">
              <w:rPr>
                <w:b/>
                <w:bCs/>
              </w:rPr>
              <w:t xml:space="preserve">, </w:t>
            </w:r>
            <w:r w:rsidRPr="00087478">
              <w:rPr>
                <w:b/>
                <w:bCs/>
                <w:i/>
                <w:iCs/>
              </w:rPr>
              <w:t xml:space="preserve">mekanismer for at sikre en hurtig indsats </w:t>
            </w:r>
            <w:r w:rsidRPr="00087478">
              <w:t>og tilrettelæggelse af konsulære øvelser. Et sådant lokalt konsulært samarbejde kan i den sammenhæng</w:t>
            </w:r>
            <w:r w:rsidRPr="00087478">
              <w:t xml:space="preserve"> vise sig særlig relevant for konsulære myndigheder, hvis medlemsstater ikke er repræsenteret, når kriseberedskabet og -responsen på konsulært plan skal koordineres.</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6</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23</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(23)</w:t>
            </w:r>
            <w:r w:rsidRPr="00087478">
              <w:tab/>
              <w:t>Med henblik på at sikre en effektiv koordinering af den konsulære bistand bør der også i de fælles konsulære beredskabsplaner i det omfang, det er relevant, tages h</w:t>
            </w:r>
            <w:r w:rsidRPr="00087478">
              <w:t xml:space="preserve">øjde for den rolle og det ansvar, som ledende stater har, dvs. de medlemsstater, der er repræsenteret i et givet tredjeland, og som har ansvaret for at </w:t>
            </w:r>
            <w:r w:rsidRPr="00087478">
              <w:lastRenderedPageBreak/>
              <w:t>koordinere og lede bistanden til ikkerepræsenterede borgere i tilfælde af kriser. Derudover bør de fælle</w:t>
            </w:r>
            <w:r w:rsidRPr="00087478">
              <w:t xml:space="preserve">s konsulære beredskabsplaner som led i konsulære øvelser evalueres årligt for at sikre, at de fortsat er egnede. Samtidig bør de fælles konsulære beredskabsplaner ikke forstås som planer, der træder i stedet for medlemsstaternes nationale beredskabsplaner </w:t>
            </w:r>
            <w:r w:rsidRPr="00087478">
              <w:t>eller påvirker deres ansvar for at yde konsulær bistand til deres egne statsborgere.</w:t>
            </w:r>
          </w:p>
        </w:tc>
        <w:tc>
          <w:tcPr>
            <w:tcW w:w="4876" w:type="dxa"/>
          </w:tcPr>
          <w:p w:rsidR="00BE5A6F" w:rsidRPr="00087478" w:rsidRDefault="00087478" w:rsidP="00686E5A">
            <w:pPr>
              <w:pStyle w:val="Normal6a"/>
            </w:pPr>
            <w:r w:rsidRPr="00087478">
              <w:lastRenderedPageBreak/>
              <w:t>(23)</w:t>
            </w:r>
            <w:r w:rsidRPr="00087478">
              <w:tab/>
              <w:t>Med henblik på at sikre en effektiv koordinering af den konsulære bistand bør der også i de fælles konsulære beredskabsplaner i det omfang, det er relevant, tages høj</w:t>
            </w:r>
            <w:r w:rsidRPr="00087478">
              <w:t xml:space="preserve">de for den rolle og det ansvar, som ledende stater har, dvs. de medlemsstater, der er repræsenteret i et givet tredjeland, og som har ansvaret for at </w:t>
            </w:r>
            <w:r w:rsidRPr="00087478">
              <w:lastRenderedPageBreak/>
              <w:t xml:space="preserve">koordinere og lede bistanden til ikkerepræsenterede borgere i tilfælde af kriser. Derudover bør de fælles </w:t>
            </w:r>
            <w:r w:rsidRPr="00087478">
              <w:t xml:space="preserve">konsulære beredskabsplaner som led i konsulære øvelser evalueres årligt </w:t>
            </w:r>
            <w:r w:rsidRPr="00087478">
              <w:rPr>
                <w:b/>
                <w:bCs/>
                <w:i/>
                <w:iCs/>
              </w:rPr>
              <w:t>eller oftere, hvis ekstraordinære omstændigheder kræver det,</w:t>
            </w:r>
            <w:r w:rsidRPr="00087478">
              <w:t xml:space="preserve"> for at sikre, at de fortsat er egnede. Samtidig bør de fælles konsulære beredskabsplaner ikke forstås som planer, der træde</w:t>
            </w:r>
            <w:r w:rsidRPr="00087478">
              <w:t>r i stedet for medlemsstaternes nationale beredskabsplaner eller påvirker deres ansvar for at yde konsulær bistand til deres egne statsborgere</w:t>
            </w:r>
            <w:r w:rsidRPr="00087478">
              <w:rPr>
                <w:b/>
                <w:bCs/>
                <w:i/>
                <w:iCs/>
              </w:rPr>
              <w:t>, men som en sammenhængende tilgang, der yderligere kan bidrage til at koordinere indsatsen i de repræsenterede me</w:t>
            </w:r>
            <w:r w:rsidRPr="00087478">
              <w:rPr>
                <w:b/>
                <w:bCs/>
                <w:i/>
                <w:iCs/>
              </w:rPr>
              <w:t>dlemsstater</w:t>
            </w:r>
            <w:r w:rsidRPr="00087478">
              <w:t>.</w:t>
            </w:r>
          </w:p>
        </w:tc>
      </w:tr>
    </w:tbl>
    <w:p w:rsidR="00BE5A6F" w:rsidRPr="00087478" w:rsidRDefault="00087478" w:rsidP="00BE5A6F">
      <w:r w:rsidRPr="00087478">
        <w:rPr>
          <w:rStyle w:val="HideTWBExt"/>
          <w:noProof w:val="0"/>
        </w:rPr>
        <w:lastRenderedPageBreak/>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7</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25</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(25)</w:t>
            </w:r>
            <w:r w:rsidRPr="00087478">
              <w:tab/>
              <w:t xml:space="preserve">Rejsevejledninger, dvs. oplysninger fra medlemsstaterne om den </w:t>
            </w:r>
            <w:r w:rsidRPr="00087478">
              <w:t>relative sikkerhed, der er forbundet med at rejse til bestemte tredjelande, gør det muligt for rejsende at træffe en informeret beslutning om en bestemt rejsedestination, herunder tredjelande, hvor deres medlemsstat ikke er repræsenteret. Selv om det er me</w:t>
            </w:r>
            <w:r w:rsidRPr="00087478">
              <w:t xml:space="preserve">dlemsstaternes ansvar at udstede rejsevejledninger, bør de koordinere indholdet, navnlig i </w:t>
            </w:r>
            <w:r w:rsidRPr="00087478">
              <w:rPr>
                <w:b/>
                <w:bCs/>
                <w:i/>
                <w:iCs/>
              </w:rPr>
              <w:t>krisesituationer</w:t>
            </w:r>
            <w:r w:rsidRPr="00087478">
              <w:t xml:space="preserve">, så det sikres, at der </w:t>
            </w:r>
            <w:r w:rsidRPr="00087478">
              <w:rPr>
                <w:b/>
                <w:bCs/>
                <w:i/>
                <w:iCs/>
              </w:rPr>
              <w:t>så vidt muligt</w:t>
            </w:r>
            <w:r w:rsidRPr="00087478">
              <w:t xml:space="preserve"> ydes et ensartet niveau af vejledning. Dette kunne f.eks. bestå i at fastlægge en fælles struktur for de risik</w:t>
            </w:r>
            <w:r w:rsidRPr="00087478">
              <w:t xml:space="preserve">oniveauer, der angives i rejsevejledningen, og gøre brug af EU-Udenrigstjenestens sikre platform. En sådan koordinering bør </w:t>
            </w:r>
            <w:r w:rsidRPr="00087478">
              <w:rPr>
                <w:b/>
                <w:bCs/>
                <w:i/>
                <w:iCs/>
              </w:rPr>
              <w:t>om muligt</w:t>
            </w:r>
            <w:r w:rsidRPr="00087478">
              <w:t xml:space="preserve"> ske på et tidligt tidspunkt, når medlemsstaterne planlægger at ændre niveauet i en rejsevejledning.</w:t>
            </w:r>
          </w:p>
        </w:tc>
        <w:tc>
          <w:tcPr>
            <w:tcW w:w="4876" w:type="dxa"/>
          </w:tcPr>
          <w:p w:rsidR="00BE5A6F" w:rsidRPr="00087478" w:rsidRDefault="00087478" w:rsidP="00686E5A">
            <w:pPr>
              <w:pStyle w:val="AmColumnHeading"/>
              <w:spacing w:after="120"/>
              <w:jc w:val="left"/>
            </w:pPr>
            <w:r w:rsidRPr="00087478">
              <w:rPr>
                <w:i w:val="0"/>
              </w:rPr>
              <w:t>(25)</w:t>
            </w:r>
            <w:r w:rsidRPr="00087478">
              <w:rPr>
                <w:i w:val="0"/>
              </w:rPr>
              <w:tab/>
              <w:t>Rejsevejledninger</w:t>
            </w:r>
            <w:r w:rsidRPr="00087478">
              <w:rPr>
                <w:i w:val="0"/>
              </w:rPr>
              <w:t xml:space="preserve">, dvs. oplysninger fra medlemsstaterne om den relative sikkerhed, der er forbundet med at rejse til bestemte tredjelande, </w:t>
            </w:r>
            <w:r w:rsidRPr="00087478">
              <w:rPr>
                <w:b/>
                <w:bCs/>
                <w:iCs/>
              </w:rPr>
              <w:t>bør ajourføres løbende for at gøre</w:t>
            </w:r>
            <w:r w:rsidRPr="00087478">
              <w:rPr>
                <w:i w:val="0"/>
              </w:rPr>
              <w:t xml:space="preserve"> det muligt for rejsende at træffe en informeret beslutning om en bestemt rejsedestination, herunder</w:t>
            </w:r>
            <w:r w:rsidRPr="00087478">
              <w:rPr>
                <w:i w:val="0"/>
              </w:rPr>
              <w:t xml:space="preserve"> tredjelande, hvor deres medlemsstat ikke er repræsenteret. Selv om det er medlemsstaternes ansvar at udstede rejsevejledninger, bør de koordinere indholdet, navnlig i </w:t>
            </w:r>
            <w:r w:rsidRPr="00087478">
              <w:rPr>
                <w:b/>
                <w:bCs/>
                <w:iCs/>
              </w:rPr>
              <w:t>forbindelse med kriser</w:t>
            </w:r>
            <w:r w:rsidRPr="00087478">
              <w:rPr>
                <w:i w:val="0"/>
              </w:rPr>
              <w:t>, så det sikres, at der ydes et ensartet niveau af vejledning. Det</w:t>
            </w:r>
            <w:r w:rsidRPr="00087478">
              <w:rPr>
                <w:i w:val="0"/>
              </w:rPr>
              <w:t>te kunne f.eks. bestå i at fastlægge en fælles struktur for de risikoniveauer, der angives i rejsevejledningen, og gøre brug af EU-Udenrigstjenestens sikre platform.</w:t>
            </w:r>
            <w:r w:rsidRPr="00087478">
              <w:t xml:space="preserve"> </w:t>
            </w:r>
            <w:r w:rsidRPr="00087478">
              <w:rPr>
                <w:i w:val="0"/>
              </w:rPr>
              <w:t>En sådan koordinering bør ske på et tidligt tidspunkt, når medlemsstaterne planlægger at æ</w:t>
            </w:r>
            <w:r w:rsidRPr="00087478">
              <w:rPr>
                <w:i w:val="0"/>
              </w:rPr>
              <w:t>ndre niveauet i en rejsevejledning.</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lastRenderedPageBreak/>
        <w:t>&lt;Amend&gt;</w:t>
      </w:r>
      <w:r w:rsidRPr="00087478">
        <w:t>Ændringsforslag</w:t>
      </w:r>
      <w:r w:rsidRPr="00087478">
        <w:tab/>
      </w:r>
      <w:r w:rsidRPr="00087478">
        <w:tab/>
      </w:r>
      <w:r w:rsidRPr="00087478">
        <w:rPr>
          <w:rStyle w:val="HideTWBExt"/>
          <w:b w:val="0"/>
          <w:noProof w:val="0"/>
        </w:rPr>
        <w:t>&lt;NumAm&gt;</w:t>
      </w:r>
      <w:r w:rsidRPr="00087478">
        <w:t>8</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Betragtning 26</w:t>
      </w:r>
      <w:r w:rsidRPr="0008747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(26) Effektiv koordinering er afgørende for at sikre</w:t>
            </w:r>
            <w:r w:rsidRPr="00087478">
              <w:t xml:space="preserve"> en effektiv kriserespons. For at sikre en sådan koordinering </w:t>
            </w:r>
            <w:r w:rsidRPr="00087478">
              <w:rPr>
                <w:b/>
                <w:i/>
              </w:rPr>
              <w:t>bør</w:t>
            </w:r>
            <w:r w:rsidRPr="00087478">
              <w:t xml:space="preserve"> medlemsstaterne bistås af EU-Udenrigstjenestens kriseresponscenter og Kommissionens Katastrofeberedskabskoordinationscenter. En koordineret EU-kriserespons er særlig vigtig i tilfælde af eva</w:t>
            </w:r>
            <w:r w:rsidRPr="00087478">
              <w:t xml:space="preserve">kueringer for at sikre, at støtten ydes effektivt, og at den til rådighed værende evakueringskapacitet udnyttes bedst muligt. </w:t>
            </w:r>
            <w:r w:rsidRPr="00087478">
              <w:rPr>
                <w:b/>
                <w:i/>
              </w:rPr>
              <w:t>Oplysninger om</w:t>
            </w:r>
            <w:r w:rsidRPr="00087478">
              <w:t xml:space="preserve">, </w:t>
            </w:r>
            <w:r w:rsidRPr="00087478">
              <w:rPr>
                <w:b/>
                <w:i/>
              </w:rPr>
              <w:t>hvilken evakueringskapacitet</w:t>
            </w:r>
            <w:r w:rsidRPr="00087478">
              <w:t xml:space="preserve"> der </w:t>
            </w:r>
            <w:r w:rsidRPr="00087478">
              <w:rPr>
                <w:b/>
                <w:i/>
              </w:rPr>
              <w:t>er</w:t>
            </w:r>
            <w:r w:rsidRPr="00087478">
              <w:t xml:space="preserve"> til </w:t>
            </w:r>
            <w:r w:rsidRPr="00087478">
              <w:rPr>
                <w:b/>
                <w:i/>
              </w:rPr>
              <w:t>rådighed</w:t>
            </w:r>
            <w:r w:rsidRPr="00087478">
              <w:t xml:space="preserve">, bør derfor udveksles </w:t>
            </w:r>
            <w:r w:rsidRPr="00087478">
              <w:rPr>
                <w:b/>
                <w:i/>
              </w:rPr>
              <w:t>hurtigt</w:t>
            </w:r>
            <w:r w:rsidRPr="00087478">
              <w:t xml:space="preserve">, </w:t>
            </w:r>
            <w:r w:rsidRPr="00087478">
              <w:rPr>
                <w:b/>
                <w:i/>
              </w:rPr>
              <w:t>bl</w:t>
            </w:r>
            <w:r w:rsidRPr="00087478">
              <w:t>.</w:t>
            </w:r>
            <w:r w:rsidRPr="00087478">
              <w:rPr>
                <w:b/>
                <w:i/>
              </w:rPr>
              <w:t>a</w:t>
            </w:r>
            <w:r w:rsidRPr="00087478">
              <w:t xml:space="preserve">. i </w:t>
            </w:r>
            <w:r w:rsidRPr="00087478">
              <w:rPr>
                <w:b/>
                <w:i/>
              </w:rPr>
              <w:t>tilfælde hvor der anvendes</w:t>
            </w:r>
            <w:r w:rsidRPr="00087478">
              <w:rPr>
                <w:b/>
                <w:i/>
              </w:rPr>
              <w:t xml:space="preserve"> militære aktiver til rednings- og evakueringsoperationer</w:t>
            </w:r>
            <w:r w:rsidRPr="00087478">
              <w:t>.</w:t>
            </w:r>
          </w:p>
        </w:tc>
        <w:tc>
          <w:tcPr>
            <w:tcW w:w="4876" w:type="dxa"/>
          </w:tcPr>
          <w:p w:rsidR="00BE5A6F" w:rsidRPr="00087478" w:rsidRDefault="00087478" w:rsidP="00686E5A">
            <w:pPr>
              <w:pStyle w:val="Normal6a"/>
              <w:rPr>
                <w:szCs w:val="24"/>
              </w:rPr>
            </w:pPr>
            <w:r w:rsidRPr="00087478">
              <w:t xml:space="preserve">(26) Effektiv koordinering er afgørende for at sikre en effektiv kriserespons. For at sikre en sådan koordinering </w:t>
            </w:r>
            <w:r w:rsidRPr="00087478">
              <w:rPr>
                <w:b/>
                <w:i/>
              </w:rPr>
              <w:t>skal</w:t>
            </w:r>
            <w:r w:rsidRPr="00087478">
              <w:t xml:space="preserve"> medlemsstaterne bistås af</w:t>
            </w:r>
            <w:r w:rsidRPr="00087478">
              <w:rPr>
                <w:b/>
                <w:i/>
              </w:rPr>
              <w:t xml:space="preserve"> og modtage rettidige oplysninger fra</w:t>
            </w:r>
            <w:r w:rsidRPr="00087478">
              <w:t xml:space="preserve"> EU-Udenrigstjen</w:t>
            </w:r>
            <w:r w:rsidRPr="00087478">
              <w:t>estens kriseresponscenter og Kommissionens Katastrofeberedskabskoordinationscenter. En koordineret EU-kriserespons er særlig vigtig i tilfælde af evakueringer for at sikre, at støtten ydes</w:t>
            </w:r>
            <w:r w:rsidRPr="00087478">
              <w:rPr>
                <w:b/>
                <w:i/>
              </w:rPr>
              <w:t xml:space="preserve"> hurtigt og</w:t>
            </w:r>
            <w:r w:rsidRPr="00087478">
              <w:t xml:space="preserve"> effektivt, og at den til rådighed værende evakueringskap</w:t>
            </w:r>
            <w:r w:rsidRPr="00087478">
              <w:t>acitet udnyttes bedst muligt. For</w:t>
            </w:r>
            <w:r w:rsidRPr="00087478">
              <w:rPr>
                <w:b/>
                <w:i/>
              </w:rPr>
              <w:t xml:space="preserve"> at sikre en hurtig og effektiv reaktion</w:t>
            </w:r>
            <w:r w:rsidRPr="00087478">
              <w:t xml:space="preserve">, </w:t>
            </w:r>
            <w:r w:rsidRPr="00087478">
              <w:rPr>
                <w:b/>
                <w:i/>
              </w:rPr>
              <w:t>herunder i tilfælde, hvor</w:t>
            </w:r>
            <w:r w:rsidRPr="00087478">
              <w:t xml:space="preserve"> der </w:t>
            </w:r>
            <w:r w:rsidRPr="00087478">
              <w:rPr>
                <w:b/>
                <w:i/>
              </w:rPr>
              <w:t>anvendes militære aktiver</w:t>
            </w:r>
            <w:r w:rsidRPr="00087478">
              <w:t xml:space="preserve"> til </w:t>
            </w:r>
            <w:r w:rsidRPr="00087478">
              <w:rPr>
                <w:b/>
                <w:i/>
              </w:rPr>
              <w:t>rednings- og evakueringsoperationer</w:t>
            </w:r>
            <w:r w:rsidRPr="00087478">
              <w:t xml:space="preserve">, bør </w:t>
            </w:r>
            <w:r w:rsidRPr="00087478">
              <w:rPr>
                <w:b/>
                <w:i/>
              </w:rPr>
              <w:t xml:space="preserve">der </w:t>
            </w:r>
            <w:r w:rsidRPr="00087478">
              <w:t xml:space="preserve">derfor </w:t>
            </w:r>
            <w:r w:rsidRPr="00087478">
              <w:rPr>
                <w:b/>
                <w:i/>
              </w:rPr>
              <w:t xml:space="preserve">på en rettidig måde </w:t>
            </w:r>
            <w:r w:rsidRPr="00087478">
              <w:t xml:space="preserve">udveksles </w:t>
            </w:r>
            <w:r w:rsidRPr="00087478">
              <w:rPr>
                <w:b/>
                <w:i/>
              </w:rPr>
              <w:t>førstehåndsoplysninger samt relevant in</w:t>
            </w:r>
            <w:r w:rsidRPr="00087478">
              <w:rPr>
                <w:b/>
                <w:i/>
              </w:rPr>
              <w:t>formation om</w:t>
            </w:r>
            <w:r w:rsidRPr="00087478">
              <w:t xml:space="preserve">, </w:t>
            </w:r>
            <w:r w:rsidRPr="00087478">
              <w:rPr>
                <w:b/>
                <w:i/>
              </w:rPr>
              <w:t>hvilken evakueringskapacitet der f</w:t>
            </w:r>
            <w:r w:rsidRPr="00087478">
              <w:t>.</w:t>
            </w:r>
            <w:r w:rsidRPr="00087478">
              <w:rPr>
                <w:b/>
                <w:i/>
              </w:rPr>
              <w:t>eks. er til rådighed</w:t>
            </w:r>
            <w:r w:rsidRPr="00087478">
              <w:t xml:space="preserve">. </w:t>
            </w:r>
            <w:r w:rsidRPr="00087478">
              <w:rPr>
                <w:b/>
                <w:i/>
              </w:rPr>
              <w:t>I den forbindelse bør EU-Udenrigstjenesten kunne modtage automatisk og løbende information fra medlemsstaterne om situationen i tredjelande.</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9</w:t>
      </w:r>
      <w:r w:rsidRPr="00087478">
        <w:rPr>
          <w:rStyle w:val="HideTWBExt"/>
          <w:noProof w:val="0"/>
        </w:rPr>
        <w:t>&lt;/</w:t>
      </w:r>
      <w:r w:rsidRPr="00087478">
        <w:rPr>
          <w:rStyle w:val="HideTWBExt"/>
          <w:noProof w:val="0"/>
        </w:rPr>
        <w: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28</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(28)</w:t>
            </w:r>
            <w:r w:rsidRPr="00087478">
              <w:tab/>
              <w:t xml:space="preserve">Fælles konsulære hold bør bygge på </w:t>
            </w:r>
            <w:r w:rsidRPr="00087478">
              <w:rPr>
                <w:b/>
                <w:bCs/>
                <w:i/>
                <w:iCs/>
              </w:rPr>
              <w:t>principperne</w:t>
            </w:r>
            <w:r w:rsidRPr="00087478">
              <w:t xml:space="preserve"> om </w:t>
            </w:r>
            <w:r w:rsidRPr="00087478">
              <w:rPr>
                <w:b/>
                <w:bCs/>
                <w:i/>
                <w:iCs/>
              </w:rPr>
              <w:t>frivillig deltagelse,</w:t>
            </w:r>
            <w:r w:rsidRPr="00087478">
              <w:t xml:space="preserve"> solidaritet med repræsenterede medlemsstater, ligestilling med hensyn til beslutninger om interne arbejdsstrukturer, enkelthed for så vidt angår </w:t>
            </w:r>
            <w:r w:rsidRPr="00087478">
              <w:lastRenderedPageBreak/>
              <w:t>sammensætningen af hold, omkostningsdeling – hver medlemsstat, hver EU-institution eller hvert EU-organ afhold</w:t>
            </w:r>
            <w:r w:rsidRPr="00087478">
              <w:t>er selv sine driftsomkostninger – fleksibilitet, synliggørelse af den koordinerede EU-indsats og åbenhed over for relevante tredjelande.</w:t>
            </w:r>
          </w:p>
        </w:tc>
        <w:tc>
          <w:tcPr>
            <w:tcW w:w="4876" w:type="dxa"/>
          </w:tcPr>
          <w:p w:rsidR="00BE5A6F" w:rsidRPr="00087478" w:rsidRDefault="00087478" w:rsidP="00686E5A">
            <w:pPr>
              <w:pStyle w:val="AmColumnHeading"/>
              <w:spacing w:after="120"/>
              <w:jc w:val="left"/>
            </w:pPr>
            <w:r w:rsidRPr="00087478">
              <w:rPr>
                <w:i w:val="0"/>
              </w:rPr>
              <w:lastRenderedPageBreak/>
              <w:t>(28)</w:t>
            </w:r>
            <w:r w:rsidRPr="00087478">
              <w:rPr>
                <w:i w:val="0"/>
              </w:rPr>
              <w:tab/>
              <w:t xml:space="preserve">Fælles konsulære hold bør bygge på </w:t>
            </w:r>
            <w:r w:rsidRPr="00087478">
              <w:rPr>
                <w:b/>
                <w:bCs/>
                <w:iCs/>
              </w:rPr>
              <w:t>princippet om</w:t>
            </w:r>
            <w:r w:rsidRPr="00087478">
              <w:rPr>
                <w:i w:val="0"/>
              </w:rPr>
              <w:t xml:space="preserve"> solidaritet med repræsenterede medlemsstater, ligestilling med he</w:t>
            </w:r>
            <w:r w:rsidRPr="00087478">
              <w:rPr>
                <w:i w:val="0"/>
              </w:rPr>
              <w:t xml:space="preserve">nsyn til beslutninger om interne arbejdsstrukturer, enkelthed for så vidt angår sammensætningen af hold, </w:t>
            </w:r>
            <w:r w:rsidRPr="00087478">
              <w:rPr>
                <w:i w:val="0"/>
              </w:rPr>
              <w:lastRenderedPageBreak/>
              <w:t xml:space="preserve">omkostningsdeling – hver medlemsstat, hver EU-institution eller hvert EU-organ afholder selv sine driftsomkostninger – fleksibilitet, synliggørelse af </w:t>
            </w:r>
            <w:r w:rsidRPr="00087478">
              <w:rPr>
                <w:i w:val="0"/>
              </w:rPr>
              <w:t>den koordinerede EU-indsats og åbenhed over for relevante tredjelande.</w:t>
            </w:r>
          </w:p>
        </w:tc>
      </w:tr>
    </w:tbl>
    <w:p w:rsidR="00BE5A6F" w:rsidRPr="00087478" w:rsidRDefault="00087478" w:rsidP="00BE5A6F">
      <w:pPr>
        <w:rPr>
          <w:rStyle w:val="HideTWBExt"/>
          <w:noProof w:val="0"/>
        </w:rPr>
      </w:pPr>
      <w:r w:rsidRPr="00087478">
        <w:rPr>
          <w:rStyle w:val="HideTWBExt"/>
          <w:noProof w:val="0"/>
        </w:rPr>
        <w:lastRenderedPageBreak/>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10</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30</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(30)</w:t>
            </w:r>
            <w:r w:rsidRPr="00087478">
              <w:tab/>
              <w:t xml:space="preserve">Hvis </w:t>
            </w:r>
            <w:r w:rsidRPr="00087478">
              <w:t xml:space="preserve">unionsborgere skal hjælpes, er det vigtigt at give dem pålidelige oplysninger om, hvordan de kan få konsulær bistand i tredjelande. Kommissionens tjenestegrene og EU-Udenrigstjenesten bør </w:t>
            </w:r>
            <w:r w:rsidRPr="00087478">
              <w:rPr>
                <w:b/>
                <w:i/>
              </w:rPr>
              <w:t>bidrage til målet ved at</w:t>
            </w:r>
            <w:r w:rsidRPr="00087478">
              <w:t xml:space="preserve"> udbrede relevante oplysninger, herunder opl</w:t>
            </w:r>
            <w:r w:rsidRPr="00087478">
              <w:t xml:space="preserve">ysninger fra medlemsstaterne om deres konsulære netværk og tredjelande, med hvem de har indgået praktiske ordninger om deling af ansvaret for at yde konsulær beskyttelse til ikkerepræsenterede borgere. For at fremme behandlingen af sådanne oplysninger bør </w:t>
            </w:r>
            <w:r w:rsidRPr="00087478">
              <w:t>de gives i et maskinlæsbart format.</w:t>
            </w:r>
          </w:p>
        </w:tc>
        <w:tc>
          <w:tcPr>
            <w:tcW w:w="4876" w:type="dxa"/>
          </w:tcPr>
          <w:p w:rsidR="00BE5A6F" w:rsidRPr="00087478" w:rsidRDefault="00087478" w:rsidP="00686E5A">
            <w:pPr>
              <w:pStyle w:val="AmColumnHeading"/>
              <w:spacing w:after="120"/>
              <w:jc w:val="left"/>
            </w:pPr>
            <w:r w:rsidRPr="00087478">
              <w:rPr>
                <w:i w:val="0"/>
              </w:rPr>
              <w:t>(30)</w:t>
            </w:r>
            <w:r w:rsidRPr="00087478">
              <w:rPr>
                <w:i w:val="0"/>
              </w:rPr>
              <w:tab/>
              <w:t xml:space="preserve">Hvis unionsborgere skal hjælpes, er det vigtigt at give dem pålidelige </w:t>
            </w:r>
            <w:r w:rsidRPr="00087478">
              <w:rPr>
                <w:b/>
              </w:rPr>
              <w:t xml:space="preserve">og let tilgængelige </w:t>
            </w:r>
            <w:r w:rsidRPr="00087478">
              <w:rPr>
                <w:i w:val="0"/>
              </w:rPr>
              <w:t>oplysninger om, hvordan de kan få konsulær bistand i tredjelande</w:t>
            </w:r>
            <w:r w:rsidRPr="00087478">
              <w:rPr>
                <w:b/>
              </w:rPr>
              <w:t>, herunder muligheder for digital kontakt</w:t>
            </w:r>
            <w:r w:rsidRPr="00087478">
              <w:rPr>
                <w:i w:val="0"/>
              </w:rPr>
              <w:t>.</w:t>
            </w:r>
            <w:r w:rsidRPr="00087478">
              <w:t xml:space="preserve"> </w:t>
            </w:r>
            <w:r w:rsidRPr="00087478">
              <w:rPr>
                <w:i w:val="0"/>
              </w:rPr>
              <w:t>Kommissionens tje</w:t>
            </w:r>
            <w:r w:rsidRPr="00087478">
              <w:rPr>
                <w:i w:val="0"/>
              </w:rPr>
              <w:t xml:space="preserve">nestegrene og EU-Udenrigstjenesten bør </w:t>
            </w:r>
            <w:r w:rsidRPr="00087478">
              <w:rPr>
                <w:b/>
              </w:rPr>
              <w:t>i tæt samarbejde med medlemsstaterne</w:t>
            </w:r>
            <w:r w:rsidRPr="00087478">
              <w:rPr>
                <w:i w:val="0"/>
              </w:rPr>
              <w:t xml:space="preserve"> udbrede relevante oplysninger, herunder oplysninger fra medlemsstaterne om deres konsulære netværk og tredjelande, med hvem de har indgået praktiske ordninger om deling af ansvaret</w:t>
            </w:r>
            <w:r w:rsidRPr="00087478">
              <w:rPr>
                <w:i w:val="0"/>
              </w:rPr>
              <w:t xml:space="preserve"> for at yde konsulær beskyttelse til ikkerepræsenterede borgere. For at fremme behandlingen af sådanne oplysninger bør de gives i et maskinlæsbart format.</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bookmarkStart w:id="3" w:name="restart"/>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11</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Betragtning 30 a (ny)</w:t>
      </w:r>
      <w:r w:rsidRPr="0008747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 </w:t>
            </w:r>
          </w:p>
        </w:tc>
        <w:tc>
          <w:tcPr>
            <w:tcW w:w="4876" w:type="dxa"/>
          </w:tcPr>
          <w:p w:rsidR="00BE5A6F" w:rsidRPr="00087478" w:rsidRDefault="00087478" w:rsidP="00686E5A">
            <w:pPr>
              <w:pStyle w:val="Normal6a"/>
              <w:rPr>
                <w:szCs w:val="24"/>
              </w:rPr>
            </w:pPr>
            <w:r w:rsidRPr="00087478">
              <w:rPr>
                <w:b/>
                <w:i/>
              </w:rPr>
              <w:t>(30a)</w:t>
            </w:r>
            <w:r w:rsidRPr="00087478">
              <w:tab/>
            </w:r>
            <w:r w:rsidRPr="00087478">
              <w:rPr>
                <w:b/>
                <w:i/>
              </w:rPr>
              <w:t xml:space="preserve">Medlemsstaterne og de relevante EU-organer skal sikre, at oplysningerne til borgerne om konsulær beskyttelse er ajourførte og lettilgængelige på digitale platforme, </w:t>
            </w:r>
            <w:r w:rsidRPr="00087478">
              <w:rPr>
                <w:b/>
                <w:i/>
              </w:rPr>
              <w:t xml:space="preserve">herunder mobilapplikationer, således at EU-borgerne til enhver tid har hurtig og let adgang til oplysninger og </w:t>
            </w:r>
            <w:r w:rsidRPr="00087478">
              <w:rPr>
                <w:b/>
                <w:i/>
              </w:rPr>
              <w:lastRenderedPageBreak/>
              <w:t>kontaktkanaler. I denne henseende bør der etableres en tjeneste for EU-borgere, som sikrer, at de, når de ankommer til tredjelande, modtager kont</w:t>
            </w:r>
            <w:r w:rsidRPr="00087478">
              <w:rPr>
                <w:b/>
                <w:i/>
              </w:rPr>
              <w:t xml:space="preserve">ekstualiseret information i form af en øjeblikkelig notifikation om deres rettigheder og om, hvordan disse kan udøves, samt advarselsmeddelelser, i tilfælde af at der opstår en krise. Derudover bør oprettelsen af en revideret og forbedret fælles EU-portal </w:t>
            </w:r>
            <w:r w:rsidRPr="00087478">
              <w:rPr>
                <w:b/>
                <w:i/>
              </w:rPr>
              <w:t>for konsulær beskyttelse, som indeholder alle relevante informationer og instrukser i forbindelse med nødsituationer samt kontaktoplysninger, der er relevante for EU-delegationer og konsulære lande i tredjelande, overvejes.</w:t>
            </w:r>
          </w:p>
        </w:tc>
      </w:tr>
    </w:tbl>
    <w:p w:rsidR="00BE5A6F" w:rsidRPr="00087478" w:rsidRDefault="00087478" w:rsidP="00BE5A6F">
      <w:r w:rsidRPr="00087478">
        <w:rPr>
          <w:rStyle w:val="HideTWBExt"/>
          <w:noProof w:val="0"/>
        </w:rPr>
        <w:lastRenderedPageBreak/>
        <w:t>&lt;/Amend&gt;</w:t>
      </w:r>
      <w:bookmarkEnd w:id="3"/>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12</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31</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(31)</w:t>
            </w:r>
            <w:r w:rsidRPr="00087478">
              <w:tab/>
              <w:t xml:space="preserve">Medlemsstaterne bør træffe yderligere foranstaltninger, der kan bidrage at gøre unionsborgerne mere bevidste om </w:t>
            </w:r>
            <w:r w:rsidRPr="00087478">
              <w:t>deres ret til konsulær beskyttelse, idet der også bør tages hensyn til de særlige behov, som personer med handicap har. I betragtning af de begrænsede omkostninger, det ville medføre</w:t>
            </w:r>
            <w:r w:rsidRPr="00087478">
              <w:rPr>
                <w:b/>
                <w:i/>
              </w:rPr>
              <w:t xml:space="preserve"> for medlemsstaterne</w:t>
            </w:r>
            <w:r w:rsidRPr="00087478">
              <w:t xml:space="preserve">, </w:t>
            </w:r>
            <w:r w:rsidRPr="00087478">
              <w:rPr>
                <w:b/>
                <w:i/>
              </w:rPr>
              <w:t>kunne en løsning også være at</w:t>
            </w:r>
            <w:r w:rsidRPr="00087478">
              <w:t xml:space="preserve"> gengive ordlyden af ar</w:t>
            </w:r>
            <w:r w:rsidRPr="00087478">
              <w:t>tikel 23 i TEUF i pas, som udstedes af medlemsstaterne, for derved at gøre borgerne mere opmærksomme på retten til diplomatiske og konsulære myndigheders beskyttelse, hvilket Kommissionen allerede foreslog i henstilling C(2007) 5841</w:t>
            </w:r>
            <w:r w:rsidRPr="00087478">
              <w:rPr>
                <w:vertAlign w:val="superscript"/>
              </w:rPr>
              <w:t>5</w:t>
            </w:r>
            <w:r w:rsidRPr="00087478">
              <w:t>. Medlemsstaterne kunne</w:t>
            </w:r>
            <w:r w:rsidRPr="00087478">
              <w:t xml:space="preserve"> også oplyse om ikkerepræsenterede borgeres ret til konsulær beskyttelse i rejsevejledninger og kampagner vedrørende konsulær bistand. De kunne også samarbejde med udbydere af passagertransport og transportknudepunkter, der tilbyder rejser </w:t>
            </w:r>
            <w:r w:rsidRPr="00087478">
              <w:lastRenderedPageBreak/>
              <w:t>til tredjelande,</w:t>
            </w:r>
            <w:r w:rsidRPr="00087478">
              <w:t xml:space="preserve"> f.eks. ved at opfordre dem til at tilføje relevante oplysninger om retten til konsulær beskyttelse i deres informationsmateriale til kunderne.</w:t>
            </w:r>
          </w:p>
        </w:tc>
        <w:tc>
          <w:tcPr>
            <w:tcW w:w="4876" w:type="dxa"/>
          </w:tcPr>
          <w:p w:rsidR="00BE5A6F" w:rsidRPr="00087478" w:rsidRDefault="00087478" w:rsidP="00686E5A">
            <w:pPr>
              <w:pStyle w:val="Normal6a"/>
            </w:pPr>
            <w:r w:rsidRPr="00087478">
              <w:lastRenderedPageBreak/>
              <w:t>(31)</w:t>
            </w:r>
            <w:r w:rsidRPr="00087478">
              <w:tab/>
              <w:t>Medlemsstaterne bør træffe yderligere foranstaltninger, der kan bidrage at gøre unionsborgerne mere bevidst</w:t>
            </w:r>
            <w:r w:rsidRPr="00087478">
              <w:t xml:space="preserve">e om deres ret til konsulær beskyttelse, idet der også bør tages hensyn til de særlige behov, som personer med handicap har. I betragtning af de begrænsede omkostninger, det ville medføre, </w:t>
            </w:r>
            <w:r w:rsidRPr="00087478">
              <w:rPr>
                <w:b/>
                <w:i/>
              </w:rPr>
              <w:t>bør medlemsstaterne</w:t>
            </w:r>
            <w:r w:rsidRPr="00087478">
              <w:t xml:space="preserve"> gengive ordlyden af artikel 23 i TEUF i pas, so</w:t>
            </w:r>
            <w:r w:rsidRPr="00087478">
              <w:t>m udstedes af medlemsstaterne, for derved at gøre borgerne mere opmærksomme på retten til diplomatiske og konsulære myndigheders beskyttelse, hvilket Kommissionen allerede foreslog i henstilling C(2007)5841</w:t>
            </w:r>
            <w:r w:rsidRPr="00087478">
              <w:rPr>
                <w:vertAlign w:val="superscript"/>
              </w:rPr>
              <w:t>5</w:t>
            </w:r>
            <w:r w:rsidRPr="00087478">
              <w:t>. Medlemsstaterne kunne også oplyse om ikkerepræs</w:t>
            </w:r>
            <w:r w:rsidRPr="00087478">
              <w:t>enterede borgeres ret til konsulær beskyttelse i rejsevejledninger og kampagner vedrørende konsulær bistand. De kunne også samarbejde med udbydere af passagertransport og transportknudepunkter, der tilbyder rejser til tredjelande, f.eks. ved at opfordre de</w:t>
            </w:r>
            <w:r w:rsidRPr="00087478">
              <w:t xml:space="preserve">m </w:t>
            </w:r>
            <w:r w:rsidRPr="00087478">
              <w:lastRenderedPageBreak/>
              <w:t>til at tilføje relevante oplysninger om retten til konsulær beskyttelse i deres informationsmateriale til kunderne.</w:t>
            </w:r>
          </w:p>
        </w:tc>
      </w:tr>
      <w:tr w:rsidR="00AE0DF2" w:rsidRPr="00087478" w:rsidTr="00686E5A">
        <w:trPr>
          <w:jc w:val="center"/>
        </w:trPr>
        <w:tc>
          <w:tcPr>
            <w:tcW w:w="4876" w:type="dxa"/>
          </w:tcPr>
          <w:p w:rsidR="00BE5A6F" w:rsidRPr="00087478" w:rsidRDefault="00087478" w:rsidP="00686E5A">
            <w:pPr>
              <w:pStyle w:val="Normal6a"/>
            </w:pPr>
            <w:r w:rsidRPr="00087478">
              <w:rPr>
                <w:b/>
                <w:i/>
              </w:rPr>
              <w:lastRenderedPageBreak/>
              <w:t>_________________</w:t>
            </w:r>
          </w:p>
        </w:tc>
        <w:tc>
          <w:tcPr>
            <w:tcW w:w="4876" w:type="dxa"/>
          </w:tcPr>
          <w:p w:rsidR="00BE5A6F" w:rsidRPr="00087478" w:rsidRDefault="00087478" w:rsidP="00686E5A">
            <w:pPr>
              <w:pStyle w:val="Normal6a"/>
            </w:pPr>
            <w:r w:rsidRPr="00087478">
              <w:rPr>
                <w:b/>
                <w:i/>
              </w:rPr>
              <w:t>_________________</w:t>
            </w:r>
          </w:p>
        </w:tc>
      </w:tr>
      <w:tr w:rsidR="00AE0DF2" w:rsidRPr="00087478" w:rsidTr="00686E5A">
        <w:trPr>
          <w:jc w:val="center"/>
        </w:trPr>
        <w:tc>
          <w:tcPr>
            <w:tcW w:w="4876" w:type="dxa"/>
          </w:tcPr>
          <w:p w:rsidR="00BE5A6F" w:rsidRPr="00087478" w:rsidRDefault="00087478" w:rsidP="00686E5A">
            <w:pPr>
              <w:pStyle w:val="Normal6a"/>
            </w:pPr>
            <w:r w:rsidRPr="00087478">
              <w:rPr>
                <w:vertAlign w:val="superscript"/>
              </w:rPr>
              <w:t>5</w:t>
            </w:r>
            <w:r w:rsidRPr="00087478">
              <w:t xml:space="preserve"> Kommissionens henstilling C(2007) 5841 af 5. december 2007 om gengivelse af teksten i EF-traktaten</w:t>
            </w:r>
            <w:r w:rsidRPr="00087478">
              <w:t>s artikel 20 i pas (EUT L 118 af 6.5.2008, s. 30, ELI: http://data.europa.eu/eli/reco/2008/355/oj).</w:t>
            </w:r>
          </w:p>
        </w:tc>
        <w:tc>
          <w:tcPr>
            <w:tcW w:w="4876" w:type="dxa"/>
          </w:tcPr>
          <w:p w:rsidR="00BE5A6F" w:rsidRPr="00087478" w:rsidRDefault="00087478" w:rsidP="00686E5A">
            <w:pPr>
              <w:pStyle w:val="Normal6a"/>
            </w:pPr>
            <w:r w:rsidRPr="00087478">
              <w:rPr>
                <w:vertAlign w:val="superscript"/>
              </w:rPr>
              <w:t>5</w:t>
            </w:r>
            <w:r w:rsidRPr="00087478">
              <w:t xml:space="preserve"> Kommissionens henstilling C(2007)5841 af 5. december 2007 om gengivelse af teksten i EF-traktatens artikel 20 i pas (EUT L 118 af 6.5.2008, s. 30, ELI: ht</w:t>
            </w:r>
            <w:r w:rsidRPr="00087478">
              <w:t>tp://data.europa.eu/eli/reco/2008/355/oj).</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13</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32</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(32)</w:t>
            </w:r>
            <w:r w:rsidRPr="00087478">
              <w:tab/>
              <w:t xml:space="preserve">De finansielle bestemmelser i direktiv </w:t>
            </w:r>
            <w:r w:rsidRPr="00087478">
              <w:t>(EU) 2015/637 bør tilpasses for at forenkle godtgørelser og fortsat sikre økonomisk byrdefordeling. Navnlig bør ikkerepræsenterede borgere kunne godtgøre udgifter til den ydelse, som den bistående medlemsstat har ydet, direkte på samme vilkår som statsborg</w:t>
            </w:r>
            <w:r w:rsidRPr="00087478">
              <w:t>ere i den bistående medlemsstat, således at den administrative byrde, der følger af at skulle anmode om godtgørelse i den medlemsstat, hvor borgeren er statsborger, undgås. Medlemsstaterne bør også kunne frasige sig at opkræve sådanne omkostninger. Da ikke</w:t>
            </w:r>
            <w:r w:rsidRPr="00087478">
              <w:t>repræsenterede borgere i visse situationer måske ikke vil kunne betale, når de anmoder om bistand, f.eks. hvis deres kontanter og midler til at få adgang til penge er blevet stjålet, er det nødvendigt at præcisere, at de kan blive bedt om at underskrive en</w:t>
            </w:r>
            <w:r w:rsidRPr="00087478">
              <w:t xml:space="preserve"> tilbagebetalingsforpligtelse af de konsulære myndigheder i den bistående medlemsstat. Myndighederne i den bistående medlemsstat kan på grundlag af en sådan forpligtelse anmode om godtgørelse af omkostningerne </w:t>
            </w:r>
            <w:r w:rsidRPr="00087478">
              <w:rPr>
                <w:b/>
                <w:i/>
              </w:rPr>
              <w:t>fire uger</w:t>
            </w:r>
            <w:r w:rsidRPr="00087478">
              <w:t xml:space="preserve"> efter, at bistanden blev ydet.</w:t>
            </w:r>
          </w:p>
        </w:tc>
        <w:tc>
          <w:tcPr>
            <w:tcW w:w="4876" w:type="dxa"/>
          </w:tcPr>
          <w:p w:rsidR="00BE5A6F" w:rsidRPr="00087478" w:rsidRDefault="00087478" w:rsidP="00686E5A">
            <w:pPr>
              <w:pStyle w:val="Normal6a"/>
            </w:pPr>
            <w:r w:rsidRPr="00087478">
              <w:t>(32)</w:t>
            </w:r>
            <w:r w:rsidRPr="00087478">
              <w:tab/>
            </w:r>
            <w:r w:rsidRPr="00087478">
              <w:t>De finansielle bestemmelser i direktiv (EU) 2015/637 bør tilpasses for at forenkle godtgørelser og fortsat sikre økonomisk byrdefordeling. Navnlig bør ikkerepræsenterede borgere kunne godtgøre udgifter til den ydelse, som den bistående medlemsstat har ydet</w:t>
            </w:r>
            <w:r w:rsidRPr="00087478">
              <w:t>, direkte på samme vilkår som statsborgere i den bistående medlemsstat, således at den administrative byrde, der følger af at skulle anmode om godtgørelse i den medlemsstat, hvor borgeren er statsborger, undgås. Medlemsstaterne bør også kunne frasige sig a</w:t>
            </w:r>
            <w:r w:rsidRPr="00087478">
              <w:t>t opkræve sådanne omkostninger. Da ikkerepræsenterede borgere i visse situationer måske ikke vil kunne betale, når de anmoder om bistand, f.eks. hvis deres kontanter og midler til at få adgang til penge er blevet stjålet, er det nødvendigt at præcisere, at</w:t>
            </w:r>
            <w:r w:rsidRPr="00087478">
              <w:t xml:space="preserve"> de kan blive bedt om at underskrive en tilbagebetalingsforpligtelse af de konsulære myndigheder i den bistående medlemsstat. Myndighederne i den bistående medlemsstat kan på grundlag af en sådan forpligtelse anmode om godtgørelse af omkostningerne </w:t>
            </w:r>
            <w:r w:rsidRPr="00087478">
              <w:rPr>
                <w:b/>
                <w:i/>
              </w:rPr>
              <w:t>tre mån</w:t>
            </w:r>
            <w:r w:rsidRPr="00087478">
              <w:rPr>
                <w:b/>
                <w:i/>
              </w:rPr>
              <w:t>eder</w:t>
            </w:r>
            <w:r w:rsidRPr="00087478">
              <w:t xml:space="preserve"> efter, at bistanden blev ydet.</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lastRenderedPageBreak/>
        <w:t>&lt;Amend&gt;</w:t>
      </w:r>
      <w:r w:rsidRPr="00087478">
        <w:t>Ændringsforslag</w:t>
      </w:r>
      <w:r w:rsidRPr="00087478">
        <w:tab/>
      </w:r>
      <w:r w:rsidRPr="00087478">
        <w:tab/>
      </w:r>
      <w:r w:rsidRPr="00087478">
        <w:rPr>
          <w:rStyle w:val="HideTWBExt"/>
          <w:b w:val="0"/>
          <w:noProof w:val="0"/>
        </w:rPr>
        <w:t>&lt;NumAm&gt;</w:t>
      </w:r>
      <w:r w:rsidRPr="00087478">
        <w:t>14</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Betragtning 34 a (ny)</w:t>
      </w:r>
      <w:r w:rsidRPr="0008747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 </w:t>
            </w:r>
          </w:p>
        </w:tc>
        <w:tc>
          <w:tcPr>
            <w:tcW w:w="4876" w:type="dxa"/>
          </w:tcPr>
          <w:p w:rsidR="00BE5A6F" w:rsidRPr="00087478" w:rsidRDefault="00087478" w:rsidP="00686E5A">
            <w:pPr>
              <w:pStyle w:val="Normal6a"/>
              <w:rPr>
                <w:szCs w:val="24"/>
              </w:rPr>
            </w:pPr>
            <w:r w:rsidRPr="00087478">
              <w:rPr>
                <w:b/>
                <w:i/>
              </w:rPr>
              <w:t>(34a)</w:t>
            </w:r>
            <w:r w:rsidRPr="00087478">
              <w:tab/>
            </w:r>
            <w:r w:rsidRPr="00087478">
              <w:rPr>
                <w:b/>
                <w:i/>
              </w:rPr>
              <w:t xml:space="preserve">Der bør bevilges en passende </w:t>
            </w:r>
            <w:r w:rsidRPr="00087478">
              <w:rPr>
                <w:b/>
                <w:i/>
              </w:rPr>
              <w:t>forhøjelse af EU-Udenrigstjenestens budget og menneskelige ressourcer i tillæg til indtægterne fra medlemsstaternes godtgørelser for at sikre en korrekt gennemførelse af ansvaret for at yde bistand og/eller beskyttelse til EU-borgere. Virkningerne af vedva</w:t>
            </w:r>
            <w:r w:rsidRPr="00087478">
              <w:rPr>
                <w:b/>
                <w:i/>
              </w:rPr>
              <w:t>rende kriser og konflikter på verdensplan kan indebære en risiko for overbelastning af medlemsstaternes konsulære beskyttelse og/eller bistand, navnlig i krisetider. EU-Udenrigstjenesten og EU-delegationerne, som har påtaget sig en stadig større rolle i de</w:t>
            </w:r>
            <w:r w:rsidRPr="00087478">
              <w:rPr>
                <w:b/>
                <w:i/>
              </w:rPr>
              <w:t>nne henseende, har spillet en central koordinerende rolle på stedet.</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15</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Betragtning 37 a (ny)</w:t>
      </w:r>
      <w:r w:rsidRPr="00087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BE5A6F" w:rsidP="00686E5A">
            <w:pPr>
              <w:pStyle w:val="Normal6a"/>
            </w:pPr>
          </w:p>
        </w:tc>
        <w:tc>
          <w:tcPr>
            <w:tcW w:w="4876" w:type="dxa"/>
          </w:tcPr>
          <w:p w:rsidR="00BE5A6F" w:rsidRPr="00087478" w:rsidRDefault="00087478" w:rsidP="00686E5A">
            <w:pPr>
              <w:pStyle w:val="AmColumnHeading"/>
              <w:spacing w:after="120"/>
              <w:jc w:val="left"/>
            </w:pPr>
            <w:r w:rsidRPr="00087478">
              <w:rPr>
                <w:b/>
              </w:rPr>
              <w:t>(37a)</w:t>
            </w:r>
            <w:r w:rsidRPr="00087478">
              <w:tab/>
            </w:r>
            <w:r w:rsidRPr="00087478">
              <w:rPr>
                <w:b/>
              </w:rPr>
              <w:t xml:space="preserve">I </w:t>
            </w:r>
            <w:r w:rsidRPr="00087478">
              <w:rPr>
                <w:b/>
              </w:rPr>
              <w:t>relation til EU's kriseberedskab er det vigtigt at minde om, at det i forbindelse med "det strategiske kompas for sikkerhed og forsvar", som blev godkendt af Det Europæiske Råd den 24. marts 2022, blev vedtaget, at der skulle udvikles en EU-kapacitet til h</w:t>
            </w:r>
            <w:r w:rsidRPr="00087478">
              <w:rPr>
                <w:b/>
              </w:rPr>
              <w:t>urtig deployering med en forventet styrke på 5 000 tropper, der skal anvendes i forskellige faser af en operation i et ufremkommeligt miljø, og som indledningsvis vil fokusere på rednings- og evakueringsoperationer som led i en koordineret kriseindsats.</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lastRenderedPageBreak/>
        <w:t>&lt;Amend&gt;</w:t>
      </w:r>
      <w:r w:rsidRPr="00087478">
        <w:t>Ændringsforslag</w:t>
      </w:r>
      <w:r w:rsidRPr="00087478">
        <w:tab/>
      </w:r>
      <w:r w:rsidRPr="00087478">
        <w:tab/>
      </w:r>
      <w:r w:rsidRPr="00087478">
        <w:rPr>
          <w:rStyle w:val="HideTWBExt"/>
          <w:noProof w:val="0"/>
        </w:rPr>
        <w:t>&lt;NumAm&gt;</w:t>
      </w:r>
      <w:r w:rsidRPr="00087478">
        <w:t>16</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Artikel 1 – stk. 1 – nr. -1 a (nyt)</w:t>
      </w:r>
      <w:r w:rsidRPr="00087478">
        <w:rPr>
          <w:rStyle w:val="HideTWBExt"/>
          <w:noProof w:val="0"/>
        </w:rPr>
        <w:t>&lt;/Article&gt;</w:t>
      </w:r>
    </w:p>
    <w:p w:rsidR="00BE5A6F" w:rsidRPr="00087478" w:rsidRDefault="00087478" w:rsidP="00BE5A6F">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4 – afsnit 1 a (nyt)</w:t>
      </w:r>
      <w:r w:rsidRPr="0008747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BE5A6F" w:rsidP="00686E5A">
            <w:pPr>
              <w:pStyle w:val="Normal6a"/>
            </w:pPr>
          </w:p>
        </w:tc>
        <w:tc>
          <w:tcPr>
            <w:tcW w:w="4876" w:type="dxa"/>
          </w:tcPr>
          <w:p w:rsidR="00BE5A6F" w:rsidRPr="00087478" w:rsidRDefault="00087478" w:rsidP="00686E5A">
            <w:pPr>
              <w:pStyle w:val="Normal6a"/>
            </w:pPr>
            <w:r w:rsidRPr="00087478">
              <w:rPr>
                <w:b/>
                <w:i/>
              </w:rPr>
              <w:t>-1a)</w:t>
            </w:r>
            <w:r w:rsidRPr="00087478">
              <w:tab/>
            </w:r>
            <w:r w:rsidRPr="00087478">
              <w:rPr>
                <w:b/>
                <w:i/>
              </w:rPr>
              <w:t>I artikel 4 indsættes følgende afsnit 1a:</w:t>
            </w:r>
          </w:p>
        </w:tc>
      </w:tr>
      <w:tr w:rsidR="00AE0DF2" w:rsidRPr="00087478" w:rsidTr="00686E5A">
        <w:trPr>
          <w:jc w:val="center"/>
        </w:trPr>
        <w:tc>
          <w:tcPr>
            <w:tcW w:w="4876" w:type="dxa"/>
          </w:tcPr>
          <w:p w:rsidR="00BE5A6F" w:rsidRPr="00087478" w:rsidRDefault="00BE5A6F" w:rsidP="00686E5A">
            <w:pPr>
              <w:pStyle w:val="Normal6a"/>
            </w:pPr>
          </w:p>
        </w:tc>
        <w:tc>
          <w:tcPr>
            <w:tcW w:w="4876" w:type="dxa"/>
          </w:tcPr>
          <w:p w:rsidR="00BE5A6F" w:rsidRPr="00087478" w:rsidRDefault="00087478" w:rsidP="00686E5A">
            <w:pPr>
              <w:pStyle w:val="Normal6a"/>
            </w:pPr>
            <w:r w:rsidRPr="00087478">
              <w:rPr>
                <w:b/>
                <w:i/>
              </w:rPr>
              <w:t xml:space="preserve">"Anerkendte flygtninge og statsløse samt andre, der ikke er statsborgere i en medlemsstat, men som har bopæl i en medlemsstat og er i besiddelse af et rejsedokument </w:t>
            </w:r>
            <w:r w:rsidRPr="00087478">
              <w:rPr>
                <w:b/>
                <w:i/>
              </w:rPr>
              <w:t>udstedt af bopælsmedlemsstaten, har ret til konsulær beskyttelse på samme vilkår som ikkerepræsenterede borgere, hvis bopælsmedlemsstaten ikke er repræsenteret af en diplomatisk eller konsulær myndighed."</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17</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Artikel 1 – stk. 1 – nr. 1</w:t>
      </w:r>
      <w:r w:rsidRPr="00087478">
        <w:rPr>
          <w:rStyle w:val="HideTWBExt"/>
          <w:noProof w:val="0"/>
        </w:rPr>
        <w:t>&lt;/Article&gt;</w:t>
      </w:r>
    </w:p>
    <w:p w:rsidR="00BE5A6F" w:rsidRPr="00087478" w:rsidRDefault="00087478" w:rsidP="00BE5A6F">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7 – stk. 4 a (nyt)</w:t>
      </w:r>
      <w:r w:rsidRPr="00087478">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BE5A6F" w:rsidP="00686E5A">
            <w:pPr>
              <w:pStyle w:val="Normal6a"/>
            </w:pPr>
          </w:p>
        </w:tc>
        <w:tc>
          <w:tcPr>
            <w:tcW w:w="4876" w:type="dxa"/>
          </w:tcPr>
          <w:p w:rsidR="00BE5A6F" w:rsidRPr="00087478" w:rsidRDefault="00087478" w:rsidP="00686E5A">
            <w:pPr>
              <w:pStyle w:val="Normal6a"/>
            </w:pPr>
            <w:r w:rsidRPr="00087478">
              <w:rPr>
                <w:b/>
                <w:i/>
              </w:rPr>
              <w:t>4a.</w:t>
            </w:r>
            <w:r w:rsidRPr="00087478">
              <w:rPr>
                <w:b/>
                <w:i/>
              </w:rPr>
              <w:tab/>
              <w:t xml:space="preserve">Når medlemsstaterne yder </w:t>
            </w:r>
            <w:r w:rsidRPr="00087478">
              <w:rPr>
                <w:b/>
                <w:i/>
              </w:rPr>
              <w:t xml:space="preserve">konsulær beskyttelse til ikkerepræsenterede borgere, tager de hensyn til de specifikke behov hos sårbare grupper og enkeltpersoner, der risikerer at blive udsat for forskelsbehandling på ethvert grundlag såsom dem, der er omhandlet i chartrets artikel 21, </w:t>
            </w:r>
            <w:r w:rsidRPr="00087478">
              <w:rPr>
                <w:b/>
                <w:i/>
              </w:rPr>
              <w:t>nemlig køn, race, farve, etnisk eller social oprindelse, genetiske anlæg, sprog, religion eller tro, politiske eller andre anskuelser, tilhørsforhold til et nationalt mindretal, formueforhold, fødsel, handicap, alder eller seksuel orientering.</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lastRenderedPageBreak/>
        <w:t>&lt;A</w:t>
      </w:r>
      <w:r w:rsidRPr="00087478">
        <w:rPr>
          <w:rStyle w:val="HideTWBExt"/>
          <w:b w:val="0"/>
          <w:noProof w:val="0"/>
        </w:rPr>
        <w:t>mend&gt;</w:t>
      </w:r>
      <w:r w:rsidRPr="00087478">
        <w:t>Ændringsforslag</w:t>
      </w:r>
      <w:r w:rsidRPr="00087478">
        <w:tab/>
      </w:r>
      <w:r w:rsidRPr="00087478">
        <w:tab/>
      </w:r>
      <w:r w:rsidRPr="00087478">
        <w:rPr>
          <w:rStyle w:val="HideTWBExt"/>
          <w:b w:val="0"/>
          <w:noProof w:val="0"/>
        </w:rPr>
        <w:t>&lt;NumAm&gt;</w:t>
      </w:r>
      <w:r w:rsidRPr="00087478">
        <w:t>18</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4</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11 – stk. 2 a (nyt)</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 </w:t>
            </w:r>
          </w:p>
        </w:tc>
        <w:tc>
          <w:tcPr>
            <w:tcW w:w="4876" w:type="dxa"/>
          </w:tcPr>
          <w:p w:rsidR="00BE5A6F" w:rsidRPr="00087478" w:rsidRDefault="00087478" w:rsidP="00686E5A">
            <w:pPr>
              <w:pStyle w:val="Normal6a"/>
              <w:rPr>
                <w:szCs w:val="24"/>
              </w:rPr>
            </w:pPr>
            <w:r w:rsidRPr="00087478">
              <w:rPr>
                <w:b/>
                <w:i/>
              </w:rPr>
              <w:t>2a.</w:t>
            </w:r>
            <w:r w:rsidRPr="00087478">
              <w:tab/>
            </w:r>
            <w:r w:rsidRPr="00087478">
              <w:rPr>
                <w:b/>
                <w:i/>
              </w:rPr>
              <w:t>EU-Udenrigstjenesten og EU-delegationerne tildeles de nødvendige finansielle og menneskelige ressourcer til dækning af generalomkostningerne og den yderligere horisontale administrative arbejdsbyrde.</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19</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Artikel 1 – stk. 1 – nr. 4</w:t>
      </w:r>
      <w:r w:rsidRPr="00087478">
        <w:rPr>
          <w:rStyle w:val="HideTWBExt"/>
          <w:noProof w:val="0"/>
        </w:rPr>
        <w:t>&lt;/Article&gt;</w:t>
      </w:r>
    </w:p>
    <w:p w:rsidR="00BE5A6F" w:rsidRPr="00087478" w:rsidRDefault="00087478" w:rsidP="00BE5A6F">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13 – stk. 1 – indledning</w:t>
      </w:r>
      <w:r w:rsidRPr="0008747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1.</w:t>
            </w:r>
            <w:r w:rsidRPr="00087478">
              <w:tab/>
              <w:t xml:space="preserve">I </w:t>
            </w:r>
            <w:r w:rsidRPr="00087478">
              <w:t>forbindelse med det lokale konsulære samarbejde, der er omhandlet i artikel 12, udarbejder og fastlægger medlemsstaterne og EU-Udenrigstjenesten en fælles konsulær beredskabsplan for hvert tredjeland. Den fælles konsulære beredskabsplan ajourføres årligt o</w:t>
            </w:r>
            <w:r w:rsidRPr="00087478">
              <w:t>g omfatter:</w:t>
            </w:r>
          </w:p>
        </w:tc>
        <w:tc>
          <w:tcPr>
            <w:tcW w:w="4876" w:type="dxa"/>
          </w:tcPr>
          <w:p w:rsidR="00BE5A6F" w:rsidRPr="00087478" w:rsidRDefault="00087478" w:rsidP="00686E5A">
            <w:pPr>
              <w:pStyle w:val="AmColumnHeading"/>
              <w:spacing w:after="120"/>
              <w:jc w:val="left"/>
            </w:pPr>
            <w:r w:rsidRPr="00087478">
              <w:rPr>
                <w:i w:val="0"/>
              </w:rPr>
              <w:t>1.</w:t>
            </w:r>
            <w:r w:rsidRPr="00087478">
              <w:rPr>
                <w:i w:val="0"/>
              </w:rPr>
              <w:tab/>
              <w:t>I forbindelse med det lokale konsulære samarbejde, der er omhandlet i artikel 12, udarbejder og fastlægger medlemsstaterne og EU-Udenrigstjenesten en fælles konsulær beredskabsplan for hvert tredjeland. Den fælles konsulære beredskabsplan aj</w:t>
            </w:r>
            <w:r w:rsidRPr="00087478">
              <w:rPr>
                <w:i w:val="0"/>
              </w:rPr>
              <w:t xml:space="preserve">ourføres årligt </w:t>
            </w:r>
            <w:r w:rsidRPr="00087478">
              <w:rPr>
                <w:b/>
                <w:bCs/>
                <w:iCs/>
              </w:rPr>
              <w:t>eller oftere, i tilfælde af at der foreligger ekstraordinære omstændigheder,</w:t>
            </w:r>
            <w:r w:rsidRPr="00087478">
              <w:rPr>
                <w:i w:val="0"/>
              </w:rPr>
              <w:t xml:space="preserve"> og omfatter:</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20</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Artikel 1 – stk. 1 – nr. 4</w:t>
      </w:r>
      <w:r w:rsidRPr="00087478">
        <w:rPr>
          <w:rStyle w:val="HideTWBExt"/>
          <w:noProof w:val="0"/>
        </w:rPr>
        <w:t>&lt;/Article&gt;</w:t>
      </w:r>
    </w:p>
    <w:p w:rsidR="00BE5A6F" w:rsidRPr="00087478" w:rsidRDefault="00087478" w:rsidP="00BE5A6F">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13 – stk. 1 – litra a</w:t>
      </w:r>
      <w:r w:rsidRPr="0008747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a)</w:t>
            </w:r>
            <w:r w:rsidRPr="00087478">
              <w:tab/>
              <w:t xml:space="preserve">en analyse af den konsulære situation i det pågældende tredjeland, bl.a. </w:t>
            </w:r>
            <w:r w:rsidRPr="00087478">
              <w:lastRenderedPageBreak/>
              <w:t xml:space="preserve">en oversigt over medlemsstaternes </w:t>
            </w:r>
            <w:r w:rsidRPr="00087478">
              <w:t>ambassader eller konsulater, et skøn over, hvor mange unionsborgere der er, og hvor de befinder sig, samt en risikovurdering af de mest sandsynlige scenarier, der vil kunne påvirke unionsborgere</w:t>
            </w:r>
          </w:p>
        </w:tc>
        <w:tc>
          <w:tcPr>
            <w:tcW w:w="4876" w:type="dxa"/>
          </w:tcPr>
          <w:p w:rsidR="00BE5A6F" w:rsidRPr="00087478" w:rsidRDefault="00087478" w:rsidP="00686E5A">
            <w:pPr>
              <w:pStyle w:val="AmColumnHeading"/>
              <w:spacing w:after="120"/>
              <w:jc w:val="left"/>
            </w:pPr>
            <w:r w:rsidRPr="00087478">
              <w:rPr>
                <w:i w:val="0"/>
              </w:rPr>
              <w:lastRenderedPageBreak/>
              <w:t>a)</w:t>
            </w:r>
            <w:r w:rsidRPr="00087478">
              <w:rPr>
                <w:i w:val="0"/>
              </w:rPr>
              <w:tab/>
              <w:t>en analyse af den konsulære situation i det pågældende tre</w:t>
            </w:r>
            <w:r w:rsidRPr="00087478">
              <w:rPr>
                <w:i w:val="0"/>
              </w:rPr>
              <w:t xml:space="preserve">djeland, bl.a. </w:t>
            </w:r>
            <w:r w:rsidRPr="00087478">
              <w:rPr>
                <w:i w:val="0"/>
              </w:rPr>
              <w:lastRenderedPageBreak/>
              <w:t>en oversigt over medlemsstaternes ambassader eller konsulater, et skøn over, hvor mange unionsborgere der er, og hvor de befinder sig, samt en risikovurdering af de mest sandsynlige scenarier, der vil kunne påvirke unionsborgere</w:t>
            </w:r>
            <w:r w:rsidRPr="00087478">
              <w:rPr>
                <w:b/>
                <w:bCs/>
                <w:iCs/>
              </w:rPr>
              <w:t xml:space="preserve">, såsom, men </w:t>
            </w:r>
            <w:r w:rsidRPr="00087478">
              <w:rPr>
                <w:b/>
                <w:bCs/>
                <w:iCs/>
              </w:rPr>
              <w:t>ikke begrænset til, militære, politiske og strafferetlige risici samt naturkatastrofe- og sundhedsrisici</w:t>
            </w:r>
            <w:r w:rsidRPr="00087478">
              <w:rPr>
                <w:i w:val="0"/>
              </w:rPr>
              <w:t xml:space="preserve"> </w:t>
            </w:r>
          </w:p>
        </w:tc>
      </w:tr>
    </w:tbl>
    <w:p w:rsidR="00BE5A6F" w:rsidRPr="00087478" w:rsidRDefault="00087478" w:rsidP="00BE5A6F">
      <w:r w:rsidRPr="00087478">
        <w:rPr>
          <w:rStyle w:val="HideTWBExt"/>
          <w:noProof w:val="0"/>
        </w:rPr>
        <w:lastRenderedPageBreak/>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21</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Artikel 1 – stk. 1 – nr. 4</w:t>
      </w:r>
      <w:r w:rsidRPr="00087478">
        <w:rPr>
          <w:rStyle w:val="HideTWBExt"/>
          <w:noProof w:val="0"/>
        </w:rPr>
        <w:t>&lt;/Article&gt;</w:t>
      </w:r>
    </w:p>
    <w:p w:rsidR="00BE5A6F" w:rsidRPr="00087478" w:rsidRDefault="00087478" w:rsidP="00BE5A6F">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13 – stk. 2 – afsnit 1</w:t>
      </w:r>
      <w:r w:rsidRPr="0008747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(2) Hvis der er EU-delegationer til stede, koordinerer disse udarbejdelsen og fastlæggelsen af de fælles konsulære </w:t>
            </w:r>
            <w:r w:rsidRPr="00087478">
              <w:t>beredskabsplaner på grundlag af bidrag fra ambassaderne eller konsulaterne for de medlemsstater, der er repræsenteret i det pågældende tredjeland, og de konsulære myndigheder for de medlemsstater, der ikke er repræsenteret. De fælles konsulære beredskabspl</w:t>
            </w:r>
            <w:r w:rsidRPr="00087478">
              <w:t xml:space="preserve">aner stilles til rådighed for alle medlemsstater, EU-Udenrigstjenesten og Kommissionens tjenestegrene. </w:t>
            </w:r>
          </w:p>
        </w:tc>
        <w:tc>
          <w:tcPr>
            <w:tcW w:w="4876" w:type="dxa"/>
          </w:tcPr>
          <w:p w:rsidR="00BE5A6F" w:rsidRPr="00087478" w:rsidRDefault="00087478" w:rsidP="00686E5A">
            <w:pPr>
              <w:pStyle w:val="AmColumnHeading"/>
              <w:spacing w:after="120"/>
              <w:jc w:val="left"/>
            </w:pPr>
            <w:r w:rsidRPr="00087478">
              <w:rPr>
                <w:i w:val="0"/>
              </w:rPr>
              <w:t>(2) Hvis der er EU-delegationer til stede, koordinerer disse udarbejdelsen og fastlæggelsen af de fælles konsulære beredskabsplaner på grundlag af bidra</w:t>
            </w:r>
            <w:r w:rsidRPr="00087478">
              <w:rPr>
                <w:i w:val="0"/>
              </w:rPr>
              <w:t>g fra ambassaderne eller konsulaterne for de medlemsstater, der er repræsenteret i det pågældende tredjeland, og de konsulære myndigheder for de medlemsstater, der ikke er repræsenteret.</w:t>
            </w:r>
            <w:r w:rsidRPr="00087478">
              <w:rPr>
                <w:b/>
              </w:rPr>
              <w:t xml:space="preserve"> Dette kan om nødvendigt omfatte samarbejde med tredjelande og interna</w:t>
            </w:r>
            <w:r w:rsidRPr="00087478">
              <w:rPr>
                <w:b/>
              </w:rPr>
              <w:t xml:space="preserve">tionale organisationer. </w:t>
            </w:r>
            <w:r w:rsidRPr="00087478">
              <w:rPr>
                <w:i w:val="0"/>
              </w:rPr>
              <w:t>De fælles konsulære beredskabsplaner stilles til rådighed for alle medlemsstater, EU-Udenrigstjenesten og Kommissionens tjenestegrene.</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22</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4</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13 – stk. 5 a (nyt)</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 </w:t>
            </w:r>
          </w:p>
        </w:tc>
        <w:tc>
          <w:tcPr>
            <w:tcW w:w="4876" w:type="dxa"/>
          </w:tcPr>
          <w:p w:rsidR="00BE5A6F" w:rsidRPr="00087478" w:rsidRDefault="00087478" w:rsidP="00686E5A">
            <w:pPr>
              <w:pStyle w:val="Normal6a"/>
              <w:rPr>
                <w:szCs w:val="24"/>
              </w:rPr>
            </w:pPr>
            <w:r w:rsidRPr="00087478">
              <w:rPr>
                <w:b/>
                <w:i/>
              </w:rPr>
              <w:t>5a)</w:t>
            </w:r>
            <w:r w:rsidRPr="00087478">
              <w:rPr>
                <w:b/>
                <w:i/>
              </w:rPr>
              <w:tab/>
              <w:t>Medlemsstaterne øger situationsbevidstheden hos EU-</w:t>
            </w:r>
            <w:r w:rsidRPr="00087478">
              <w:rPr>
                <w:b/>
                <w:i/>
              </w:rPr>
              <w:lastRenderedPageBreak/>
              <w:t>delegationer i tr</w:t>
            </w:r>
            <w:r w:rsidRPr="00087478">
              <w:rPr>
                <w:b/>
                <w:i/>
              </w:rPr>
              <w:t>edjelande, herunder ved regelmæssigt at dele ajourføringer af risikovurderinger og mulige trusler mod EU-borgeres sikkerhed samt ved at udveksle information om deres rejsevejledninger.</w:t>
            </w:r>
          </w:p>
        </w:tc>
      </w:tr>
    </w:tbl>
    <w:p w:rsidR="00BE5A6F" w:rsidRPr="00087478" w:rsidRDefault="00087478" w:rsidP="00BE5A6F">
      <w:r w:rsidRPr="00087478">
        <w:rPr>
          <w:rStyle w:val="HideTWBExt"/>
          <w:noProof w:val="0"/>
        </w:rPr>
        <w:lastRenderedPageBreak/>
        <w:t>&lt;/Amend&gt;</w:t>
      </w:r>
    </w:p>
    <w:p w:rsidR="00BE5A6F" w:rsidRPr="00087478" w:rsidRDefault="00087478" w:rsidP="00BE5A6F">
      <w:pPr>
        <w:pStyle w:val="AmNumberTabs"/>
        <w:keepNext/>
      </w:pPr>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23</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 xml:space="preserve">Forslag </w:t>
      </w:r>
      <w:r w:rsidRPr="00087478">
        <w:t>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4</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13 - stk. 5 b (nyt)</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 </w:t>
            </w:r>
          </w:p>
        </w:tc>
        <w:tc>
          <w:tcPr>
            <w:tcW w:w="4876" w:type="dxa"/>
          </w:tcPr>
          <w:p w:rsidR="00BE5A6F" w:rsidRPr="00087478" w:rsidRDefault="00087478" w:rsidP="00686E5A">
            <w:pPr>
              <w:pStyle w:val="Normal6a"/>
              <w:rPr>
                <w:szCs w:val="24"/>
              </w:rPr>
            </w:pPr>
            <w:r w:rsidRPr="00087478">
              <w:rPr>
                <w:b/>
                <w:i/>
              </w:rPr>
              <w:t>5b)</w:t>
            </w:r>
            <w:r w:rsidRPr="00087478">
              <w:tab/>
            </w:r>
            <w:r w:rsidRPr="00087478">
              <w:rPr>
                <w:b/>
                <w:i/>
              </w:rPr>
              <w:t xml:space="preserve">EU-Udenrigstjenesten yder i tæt samarbejde </w:t>
            </w:r>
            <w:r w:rsidRPr="00087478">
              <w:rPr>
                <w:b/>
                <w:i/>
              </w:rPr>
              <w:t>med medlemsstaterne konsulær kriseberedskabs-, simulations- og indsatsuddannelse til EU-tjenestemænd og til medlemsstaternes diplomatiske og konsulære personale med henblik på at forbedre deres evne til at håndtere krisesituationer og yde bistand til EU-bo</w:t>
            </w:r>
            <w:r w:rsidRPr="00087478">
              <w:rPr>
                <w:b/>
                <w:i/>
              </w:rPr>
              <w:t>rgere, der befinder sig i udlandet.</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24</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5</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13 a – stk. 2</w:t>
      </w:r>
      <w:r w:rsidRPr="00087478">
        <w:rPr>
          <w:rStyle w:val="HideTWBExt"/>
          <w:noProof w:val="0"/>
        </w:rPr>
        <w:t>&lt;/A</w:t>
      </w:r>
      <w:r w:rsidRPr="00087478">
        <w:rPr>
          <w:rStyle w:val="HideTWBExt"/>
          <w:noProof w:val="0"/>
        </w:rPr>
        <w:t>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2.</w:t>
            </w:r>
            <w:r w:rsidRPr="00087478">
              <w:tab/>
              <w:t xml:space="preserve">Medlemsstaterne kan om nødvendigt få hjælp af fælles konsulære hold bestående af eksperter fra medlemsstaterne, især fra de medlemsstater, der ikke er repræsenteret i det tredjeland, der er ramt af </w:t>
            </w:r>
            <w:r w:rsidRPr="00087478">
              <w:t xml:space="preserve">krisen, fra EU-Udenrigstjenesten og Kommissionens tjenestegrene. Fælles konsulære hold stilles til rådighed til hurtig udsendelse til tredjelande, der er ramt af en konsulær </w:t>
            </w:r>
            <w:r w:rsidRPr="00087478">
              <w:lastRenderedPageBreak/>
              <w:t>krise.</w:t>
            </w:r>
          </w:p>
        </w:tc>
        <w:tc>
          <w:tcPr>
            <w:tcW w:w="4876" w:type="dxa"/>
          </w:tcPr>
          <w:p w:rsidR="00BE5A6F" w:rsidRPr="00087478" w:rsidRDefault="00087478" w:rsidP="00686E5A">
            <w:pPr>
              <w:pStyle w:val="Normal6a"/>
              <w:rPr>
                <w:szCs w:val="24"/>
              </w:rPr>
            </w:pPr>
            <w:r w:rsidRPr="00087478">
              <w:lastRenderedPageBreak/>
              <w:t>2.</w:t>
            </w:r>
            <w:r w:rsidRPr="00087478">
              <w:tab/>
              <w:t>Medlemsstaterne kan om nødvendigt få hjælp af fælles konsulære hold best</w:t>
            </w:r>
            <w:r w:rsidRPr="00087478">
              <w:t xml:space="preserve">ående af eksperter fra medlemsstaterne, især fra de medlemsstater, der ikke er repræsenteret i det tredjeland, der er ramt af krisen, fra EU-Udenrigstjenesten og Kommissionens tjenestegrene. Fælles konsulære hold stilles til rådighed til hurtig udsendelse </w:t>
            </w:r>
            <w:r w:rsidRPr="00087478">
              <w:t xml:space="preserve">til tredjelande, der er ramt af en konsulær </w:t>
            </w:r>
            <w:r w:rsidRPr="00087478">
              <w:lastRenderedPageBreak/>
              <w:t xml:space="preserve">krise. </w:t>
            </w:r>
            <w:r w:rsidRPr="00087478">
              <w:rPr>
                <w:b/>
                <w:i/>
              </w:rPr>
              <w:t>EU-Udenrigstjenesten og Kommissionen støtter disse eksperters og de fælles konsulære holds beredskab.</w:t>
            </w:r>
          </w:p>
        </w:tc>
      </w:tr>
    </w:tbl>
    <w:p w:rsidR="00BE5A6F" w:rsidRPr="00087478" w:rsidRDefault="00087478" w:rsidP="00BE5A6F">
      <w:r w:rsidRPr="00087478">
        <w:rPr>
          <w:rStyle w:val="HideTWBExt"/>
          <w:noProof w:val="0"/>
        </w:rPr>
        <w:lastRenderedPageBreak/>
        <w:t>&lt;/Amend&gt;</w:t>
      </w:r>
    </w:p>
    <w:p w:rsidR="00BE5A6F" w:rsidRPr="00087478" w:rsidRDefault="00087478" w:rsidP="00BE5A6F">
      <w:pPr>
        <w:pStyle w:val="AmNumberTabs"/>
        <w:keepNext/>
      </w:pPr>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25</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5</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13 a – stk. 4</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4.</w:t>
            </w:r>
            <w:r w:rsidRPr="00087478">
              <w:tab/>
              <w:t>Når medlemsstaterne yder bistand, kan de</w:t>
            </w:r>
            <w:r w:rsidRPr="00087478">
              <w:rPr>
                <w:b/>
                <w:i/>
              </w:rPr>
              <w:t>, hvis det er relevant, søge</w:t>
            </w:r>
            <w:r w:rsidRPr="00087478">
              <w:t xml:space="preserve"> støtte fra EU-instrumenter</w:t>
            </w:r>
            <w:r w:rsidRPr="00087478">
              <w:rPr>
                <w:b/>
                <w:i/>
              </w:rPr>
              <w:t>, f.eks.</w:t>
            </w:r>
            <w:r w:rsidRPr="00087478">
              <w:t xml:space="preserve"> EU-Udenrigstjenestens krisestyringsstrukturer og </w:t>
            </w:r>
            <w:r w:rsidRPr="00087478">
              <w:rPr>
                <w:b/>
                <w:i/>
              </w:rPr>
              <w:t>kriseberedskabscenter, og fra Katastrofeberedskabskoordinationscentret</w:t>
            </w:r>
            <w:r w:rsidRPr="00087478">
              <w:t xml:space="preserve">, som blev oprettet ved artikel 7 i afgørelse </w:t>
            </w:r>
            <w:r w:rsidRPr="00087478">
              <w:rPr>
                <w:b/>
                <w:i/>
              </w:rPr>
              <w:t xml:space="preserve">nr. </w:t>
            </w:r>
            <w:r w:rsidRPr="00087478">
              <w:t>1313/2013/EU</w:t>
            </w:r>
            <w:r w:rsidRPr="00087478">
              <w:rPr>
                <w:b/>
                <w:i/>
              </w:rPr>
              <w:t xml:space="preserve"> om en EU-civilbeskyttelsesmekanisme</w:t>
            </w:r>
            <w:r w:rsidRPr="00087478">
              <w:t>.</w:t>
            </w:r>
            <w:r w:rsidRPr="00087478">
              <w:rPr>
                <w:b/>
                <w:i/>
              </w:rPr>
              <w:t>"</w:t>
            </w:r>
          </w:p>
        </w:tc>
        <w:tc>
          <w:tcPr>
            <w:tcW w:w="4876" w:type="dxa"/>
          </w:tcPr>
          <w:p w:rsidR="00BE5A6F" w:rsidRPr="00087478" w:rsidRDefault="00087478" w:rsidP="00686E5A">
            <w:pPr>
              <w:pStyle w:val="Normal6a"/>
              <w:rPr>
                <w:szCs w:val="24"/>
              </w:rPr>
            </w:pPr>
            <w:r w:rsidRPr="00087478">
              <w:t>4.</w:t>
            </w:r>
            <w:r w:rsidRPr="00087478">
              <w:tab/>
              <w:t>Når medlemsstaterne yder bistand, kan de</w:t>
            </w:r>
            <w:r w:rsidRPr="00087478">
              <w:rPr>
                <w:b/>
                <w:i/>
              </w:rPr>
              <w:t xml:space="preserve"> modtage</w:t>
            </w:r>
            <w:r w:rsidRPr="00087478">
              <w:t xml:space="preserve"> støtte fra EU-instrumenter</w:t>
            </w:r>
            <w:r w:rsidRPr="00087478">
              <w:rPr>
                <w:b/>
                <w:i/>
              </w:rPr>
              <w:t xml:space="preserve"> såsom</w:t>
            </w:r>
            <w:r w:rsidRPr="00087478">
              <w:t xml:space="preserve"> EU-Udenrigstjenestens krisestyringsstrukturer og </w:t>
            </w:r>
            <w:r w:rsidRPr="00087478">
              <w:rPr>
                <w:b/>
                <w:i/>
              </w:rPr>
              <w:t>dens kriseresponscenter. Medlemsstaterne kan også inddrage det katastrofeberedskabskoordinationscenter</w:t>
            </w:r>
            <w:r w:rsidRPr="00087478">
              <w:t xml:space="preserve">, som blev oprettet </w:t>
            </w:r>
            <w:r w:rsidRPr="00087478">
              <w:t>ved artikel 7 i afgørelse 1313/2013/EU</w:t>
            </w:r>
            <w:r w:rsidRPr="00087478">
              <w:rPr>
                <w:b/>
                <w:i/>
              </w:rPr>
              <w:t>, EU-civilbeskyttelsesmekanismen og, hvis det er relevant, EU-missioner og -operationer inden for rammerne af den fælles sikkerheds- og forsvarspolitik samt EU-kapaciteten til hurtig deployering, som er indeholdt i "de</w:t>
            </w:r>
            <w:r w:rsidRPr="00087478">
              <w:rPr>
                <w:b/>
                <w:i/>
              </w:rPr>
              <w:t>t strategiske kompas for sikkerhed og forsvar"</w:t>
            </w:r>
            <w:r w:rsidRPr="00087478">
              <w:t>.</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26</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6</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Kapitel 2a –</w:t>
      </w:r>
      <w:r w:rsidRPr="00087478">
        <w:t xml:space="preserve"> artikel 13b – stk. 1 – indledning</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1.</w:t>
            </w:r>
            <w:r w:rsidRPr="00087478">
              <w:tab/>
              <w:t xml:space="preserve">Mindst én gang om året meddeler medlemsstaterne </w:t>
            </w:r>
            <w:r w:rsidRPr="00087478">
              <w:rPr>
                <w:b/>
                <w:i/>
              </w:rPr>
              <w:t>Kommissionen og Unionens højtstående repræsentant for udenrigsanliggender</w:t>
            </w:r>
            <w:r w:rsidRPr="00087478">
              <w:t xml:space="preserve"> og </w:t>
            </w:r>
            <w:r w:rsidRPr="00087478">
              <w:rPr>
                <w:b/>
                <w:i/>
              </w:rPr>
              <w:t>sikkerhedspolitik</w:t>
            </w:r>
            <w:r w:rsidRPr="00087478">
              <w:t xml:space="preserve"> følgende oplysninger:</w:t>
            </w:r>
          </w:p>
        </w:tc>
        <w:tc>
          <w:tcPr>
            <w:tcW w:w="4876" w:type="dxa"/>
          </w:tcPr>
          <w:p w:rsidR="00BE5A6F" w:rsidRPr="00087478" w:rsidRDefault="00087478" w:rsidP="00686E5A">
            <w:pPr>
              <w:pStyle w:val="Normal6a"/>
              <w:rPr>
                <w:szCs w:val="24"/>
              </w:rPr>
            </w:pPr>
            <w:r w:rsidRPr="00087478">
              <w:t>1.</w:t>
            </w:r>
            <w:r w:rsidRPr="00087478">
              <w:tab/>
              <w:t xml:space="preserve">Mindst én gang om året meddeler medlemsstaterne </w:t>
            </w:r>
            <w:r w:rsidRPr="00087478">
              <w:rPr>
                <w:b/>
                <w:i/>
              </w:rPr>
              <w:t>EU-Udenrigstjenesten</w:t>
            </w:r>
            <w:r w:rsidRPr="00087478">
              <w:t xml:space="preserve"> og </w:t>
            </w:r>
            <w:r w:rsidRPr="00087478">
              <w:rPr>
                <w:b/>
                <w:i/>
              </w:rPr>
              <w:t>Kommissionen</w:t>
            </w:r>
            <w:r w:rsidRPr="00087478">
              <w:t xml:space="preserve"> følgende oplysninger:</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lastRenderedPageBreak/>
        <w:t>&lt;Amend&gt;</w:t>
      </w:r>
      <w:r w:rsidRPr="00087478">
        <w:t>Ændringsforslag</w:t>
      </w:r>
      <w:r w:rsidRPr="00087478">
        <w:tab/>
      </w:r>
      <w:r w:rsidRPr="00087478">
        <w:tab/>
      </w:r>
      <w:r w:rsidRPr="00087478">
        <w:rPr>
          <w:rStyle w:val="HideTWBExt"/>
          <w:noProof w:val="0"/>
        </w:rPr>
        <w:t>&lt;NumAm&gt;</w:t>
      </w:r>
      <w:r w:rsidRPr="00087478">
        <w:t>27</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Artikel 1 – stk. 1 – nr. 6</w:t>
      </w:r>
      <w:r w:rsidRPr="00087478">
        <w:rPr>
          <w:rStyle w:val="HideTWBExt"/>
          <w:noProof w:val="0"/>
        </w:rPr>
        <w:t>&lt;/Article&gt;</w:t>
      </w:r>
    </w:p>
    <w:p w:rsidR="00BE5A6F" w:rsidRPr="00087478" w:rsidRDefault="00087478" w:rsidP="00BE5A6F">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Kapitel 2a – artikel 13b – stk. 2</w:t>
      </w:r>
      <w:r w:rsidRPr="0008747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2.</w:t>
            </w:r>
            <w:r w:rsidRPr="00087478">
              <w:tab/>
            </w:r>
            <w:r w:rsidRPr="00087478">
              <w:t xml:space="preserve">Medlemsstaterne, Kommissionens tjenestegrene og EU-Udenrigstjenesten stiller de oplysninger, der er omhandlet i stk. 1, litra a), b) og </w:t>
            </w:r>
            <w:r w:rsidRPr="00087478">
              <w:rPr>
                <w:b/>
                <w:i/>
              </w:rPr>
              <w:t>c</w:t>
            </w:r>
            <w:r w:rsidRPr="00087478">
              <w:t>), offentligt til rådighed på en måde, der sikrer sammenhæng i de offentliggjorte oplysninger.</w:t>
            </w:r>
          </w:p>
        </w:tc>
        <w:tc>
          <w:tcPr>
            <w:tcW w:w="4876" w:type="dxa"/>
          </w:tcPr>
          <w:p w:rsidR="00BE5A6F" w:rsidRPr="00087478" w:rsidRDefault="00087478" w:rsidP="00686E5A">
            <w:pPr>
              <w:pStyle w:val="AmColumnHeading"/>
              <w:spacing w:after="120"/>
              <w:jc w:val="left"/>
            </w:pPr>
            <w:r w:rsidRPr="00087478">
              <w:rPr>
                <w:i w:val="0"/>
              </w:rPr>
              <w:t>2.</w:t>
            </w:r>
            <w:r w:rsidRPr="00087478">
              <w:rPr>
                <w:i w:val="0"/>
              </w:rPr>
              <w:tab/>
              <w:t>Medlemsstaterne, Komm</w:t>
            </w:r>
            <w:r w:rsidRPr="00087478">
              <w:rPr>
                <w:i w:val="0"/>
              </w:rPr>
              <w:t>issionens tjenestegrene og EU-Udenrigstjenesten stiller de oplysninger, der er omhandlet i stk. 1, litra a), b)</w:t>
            </w:r>
            <w:r w:rsidRPr="00087478">
              <w:rPr>
                <w:b/>
              </w:rPr>
              <w:t>, c)</w:t>
            </w:r>
            <w:r w:rsidRPr="00087478">
              <w:rPr>
                <w:i w:val="0"/>
              </w:rPr>
              <w:t xml:space="preserve"> og </w:t>
            </w:r>
            <w:r w:rsidRPr="00087478">
              <w:rPr>
                <w:b/>
              </w:rPr>
              <w:t>d</w:t>
            </w:r>
            <w:r w:rsidRPr="00087478">
              <w:rPr>
                <w:i w:val="0"/>
              </w:rPr>
              <w:t>), offentligt til rådighed på en måde, der sikrer sammenhæng i de offentliggjorte oplysninger.</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28</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6</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Kapitel 2a – artikel 13c – stk. 1 – indledning</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1.</w:t>
            </w:r>
            <w:r w:rsidRPr="00087478">
              <w:tab/>
              <w:t>Medlemsstaterne træffer foranstaltninger til at oplyse deres borgere om den ret, de har i henhold til artikel 20, stk. 2, litra c), i TEUF</w:t>
            </w:r>
            <w:r w:rsidRPr="00087478">
              <w:rPr>
                <w:b/>
                <w:i/>
              </w:rPr>
              <w:t>.</w:t>
            </w:r>
            <w:r w:rsidRPr="00087478">
              <w:t xml:space="preserve"> </w:t>
            </w:r>
            <w:r w:rsidRPr="00087478">
              <w:rPr>
                <w:b/>
                <w:i/>
              </w:rPr>
              <w:t>Dette kan</w:t>
            </w:r>
            <w:r w:rsidRPr="00087478">
              <w:t xml:space="preserve"> navnlig </w:t>
            </w:r>
            <w:r w:rsidRPr="00087478">
              <w:rPr>
                <w:b/>
                <w:i/>
              </w:rPr>
              <w:t>omfatte følgende foranstaltninger</w:t>
            </w:r>
            <w:r w:rsidRPr="00087478">
              <w:t>:</w:t>
            </w:r>
          </w:p>
          <w:p w:rsidR="00BE5A6F" w:rsidRPr="00087478" w:rsidRDefault="00BE5A6F" w:rsidP="00686E5A">
            <w:pPr>
              <w:pStyle w:val="Normal6a"/>
            </w:pPr>
          </w:p>
        </w:tc>
        <w:tc>
          <w:tcPr>
            <w:tcW w:w="4876" w:type="dxa"/>
          </w:tcPr>
          <w:p w:rsidR="00BE5A6F" w:rsidRPr="00087478" w:rsidRDefault="00087478" w:rsidP="00686E5A">
            <w:pPr>
              <w:pStyle w:val="Normal6a"/>
            </w:pPr>
            <w:r w:rsidRPr="00087478">
              <w:t>1.</w:t>
            </w:r>
            <w:r w:rsidRPr="00087478">
              <w:tab/>
              <w:t xml:space="preserve">Medlemsstaterne træffer foranstaltninger til at oplyse </w:t>
            </w:r>
            <w:r w:rsidRPr="00087478">
              <w:t>deres borgere om den ret, de har i henhold til artikel 20, stk. 2, litra c), i TEUF</w:t>
            </w:r>
            <w:r w:rsidRPr="00087478">
              <w:rPr>
                <w:b/>
                <w:i/>
              </w:rPr>
              <w:t>,</w:t>
            </w:r>
            <w:r w:rsidRPr="00087478">
              <w:t xml:space="preserve"> navnlig </w:t>
            </w:r>
            <w:r w:rsidRPr="00087478">
              <w:rPr>
                <w:b/>
                <w:i/>
              </w:rPr>
              <w:t>gennem</w:t>
            </w:r>
            <w:r w:rsidRPr="00087478">
              <w:t>:</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29</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6</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w:t>
      </w:r>
      <w:r w:rsidRPr="00087478">
        <w:t>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Kapitel 2a – artikel 13c – stk. 1 – indledning – litra a</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rPr>
                <w:b/>
                <w:i/>
              </w:rPr>
              <w:t>a)</w:t>
            </w:r>
            <w:r w:rsidRPr="00087478">
              <w:rPr>
                <w:b/>
                <w:i/>
              </w:rPr>
              <w:tab/>
              <w:t>gengivelse i det nationale pas af første punktum i artikel 23 i TEUF</w:t>
            </w:r>
          </w:p>
        </w:tc>
        <w:tc>
          <w:tcPr>
            <w:tcW w:w="4876" w:type="dxa"/>
          </w:tcPr>
          <w:p w:rsidR="00BE5A6F" w:rsidRPr="00087478" w:rsidRDefault="00087478" w:rsidP="00686E5A">
            <w:pPr>
              <w:pStyle w:val="Normal6a"/>
              <w:rPr>
                <w:b/>
                <w:i/>
                <w:szCs w:val="24"/>
              </w:rPr>
            </w:pPr>
            <w:r w:rsidRPr="00087478">
              <w:rPr>
                <w:b/>
                <w:i/>
              </w:rPr>
              <w:t>udgår</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lastRenderedPageBreak/>
        <w:t>&lt;Amend&gt;</w:t>
      </w:r>
      <w:r w:rsidRPr="00087478">
        <w:t>Ændringsforslag</w:t>
      </w:r>
      <w:r w:rsidRPr="00087478">
        <w:tab/>
      </w:r>
      <w:r w:rsidRPr="00087478">
        <w:tab/>
      </w:r>
      <w:r w:rsidRPr="00087478">
        <w:rPr>
          <w:rStyle w:val="HideTWBExt"/>
          <w:b w:val="0"/>
          <w:noProof w:val="0"/>
        </w:rPr>
        <w:t>&lt;NumAm&gt;</w:t>
      </w:r>
      <w:r w:rsidRPr="00087478">
        <w:t>30</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6</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Kapitel 2a – artikel 13c – stk. 1 – indledning – litra c a (nyt)</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 </w:t>
            </w:r>
          </w:p>
        </w:tc>
        <w:tc>
          <w:tcPr>
            <w:tcW w:w="4876" w:type="dxa"/>
          </w:tcPr>
          <w:p w:rsidR="00BE5A6F" w:rsidRPr="00087478" w:rsidRDefault="00087478" w:rsidP="00686E5A">
            <w:pPr>
              <w:pStyle w:val="Normal6a"/>
              <w:rPr>
                <w:szCs w:val="24"/>
              </w:rPr>
            </w:pPr>
            <w:r w:rsidRPr="00087478">
              <w:rPr>
                <w:b/>
                <w:i/>
              </w:rPr>
              <w:t>ca)</w:t>
            </w:r>
            <w:r w:rsidRPr="00087478">
              <w:rPr>
                <w:b/>
                <w:i/>
              </w:rPr>
              <w:tab/>
              <w:t>udvikling af automatiske notifikationssystemer, såsom SMS-systemer via telefonnet, med henblik på at forsyne alle EU-borgere med de vigtigste kontaktoplysninger for så vidt angår konsulær beskyttelse ved ankoms</w:t>
            </w:r>
            <w:r w:rsidRPr="00087478">
              <w:rPr>
                <w:b/>
                <w:i/>
              </w:rPr>
              <w:t>ten til et tredjeland samt med advarselsmeddelelser, i tilfælde af at der opstår en krise.</w:t>
            </w:r>
          </w:p>
        </w:tc>
      </w:tr>
      <w:tr w:rsidR="00AE0DF2" w:rsidRPr="00087478" w:rsidTr="00686E5A">
        <w:trPr>
          <w:jc w:val="center"/>
        </w:trPr>
        <w:tc>
          <w:tcPr>
            <w:tcW w:w="4876" w:type="dxa"/>
          </w:tcPr>
          <w:p w:rsidR="00BE5A6F" w:rsidRPr="00087478" w:rsidRDefault="00BE5A6F" w:rsidP="00686E5A">
            <w:pPr>
              <w:pStyle w:val="Normal6a"/>
            </w:pPr>
          </w:p>
        </w:tc>
        <w:tc>
          <w:tcPr>
            <w:tcW w:w="4876" w:type="dxa"/>
          </w:tcPr>
          <w:p w:rsidR="00BE5A6F" w:rsidRPr="00087478" w:rsidRDefault="00BE5A6F" w:rsidP="00686E5A">
            <w:pPr>
              <w:pStyle w:val="Normal6a"/>
              <w:rPr>
                <w:b/>
                <w:i/>
              </w:rPr>
            </w:pP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31</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6</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 xml:space="preserve">Direktiv </w:t>
      </w:r>
      <w:r w:rsidRPr="00087478">
        <w:t>(EU)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Kapitel 2a – artikel 13c – stk. 1 – indledning – litra c b (nyt)</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BE5A6F" w:rsidP="00686E5A">
            <w:pPr>
              <w:pStyle w:val="Normal6a"/>
            </w:pPr>
          </w:p>
        </w:tc>
        <w:tc>
          <w:tcPr>
            <w:tcW w:w="4876" w:type="dxa"/>
          </w:tcPr>
          <w:p w:rsidR="00BE5A6F" w:rsidRPr="00087478" w:rsidRDefault="00087478" w:rsidP="00686E5A">
            <w:pPr>
              <w:pStyle w:val="Normal6a"/>
              <w:rPr>
                <w:b/>
                <w:i/>
              </w:rPr>
            </w:pPr>
            <w:r w:rsidRPr="00087478">
              <w:rPr>
                <w:b/>
                <w:i/>
              </w:rPr>
              <w:t>cb)</w:t>
            </w:r>
            <w:r w:rsidRPr="00087478">
              <w:rPr>
                <w:b/>
                <w:i/>
              </w:rPr>
              <w:tab/>
              <w:t>Medlemsstaterne gengiver endvidere første punktum i artikel 23 i TEUF i det nationale pas.</w:t>
            </w:r>
          </w:p>
        </w:tc>
      </w:tr>
    </w:tbl>
    <w:p w:rsidR="00BE5A6F" w:rsidRPr="00087478" w:rsidRDefault="00087478" w:rsidP="00BE5A6F">
      <w:r w:rsidRPr="00087478">
        <w:rPr>
          <w:rStyle w:val="HideTWBExt"/>
          <w:noProof w:val="0"/>
        </w:rPr>
        <w:t>&lt;/Amen</w:t>
      </w:r>
      <w:r w:rsidRPr="00087478">
        <w:rPr>
          <w:rStyle w:val="HideTWBExt"/>
          <w:noProof w:val="0"/>
        </w:rPr>
        <w:t>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32</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Artikel 1 – stk. 1 – nr. 7</w:t>
      </w:r>
      <w:r w:rsidRPr="00087478">
        <w:rPr>
          <w:rStyle w:val="HideTWBExt"/>
          <w:noProof w:val="0"/>
        </w:rPr>
        <w:t>&lt;/Article&gt;</w:t>
      </w:r>
    </w:p>
    <w:p w:rsidR="00BE5A6F" w:rsidRPr="00087478" w:rsidRDefault="00087478" w:rsidP="00BE5A6F">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14 – stk. 2 – afsnit 1</w:t>
      </w:r>
      <w:r w:rsidRPr="0008747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Hvis en ikkerepræsenteret borger ikke kan betale de i stk. 1 omhandlede omkostninger til den bistående medlemsstat, når vedkommende anmoder om bistand, kan </w:t>
            </w:r>
            <w:r w:rsidRPr="00087478">
              <w:lastRenderedPageBreak/>
              <w:t>den bistående medlemsstat kræve, at den ikkerepræsenterede borger underskriver en t</w:t>
            </w:r>
            <w:r w:rsidRPr="00087478">
              <w:t xml:space="preserve">ilbagebetalingsforpligtelse. Den bistående medlemsstat kan på det grundlag anmode den ikkerepræsenterede borger om at betale sådanne omkostninger </w:t>
            </w:r>
            <w:r w:rsidRPr="00087478">
              <w:rPr>
                <w:b/>
                <w:i/>
              </w:rPr>
              <w:t>fire uger</w:t>
            </w:r>
            <w:r w:rsidRPr="00087478">
              <w:t xml:space="preserve"> efter, at bistanden blev ydet.</w:t>
            </w:r>
          </w:p>
        </w:tc>
        <w:tc>
          <w:tcPr>
            <w:tcW w:w="4876" w:type="dxa"/>
          </w:tcPr>
          <w:p w:rsidR="00BE5A6F" w:rsidRPr="00087478" w:rsidRDefault="00087478" w:rsidP="00686E5A">
            <w:pPr>
              <w:pStyle w:val="Normal6a"/>
            </w:pPr>
            <w:r w:rsidRPr="00087478">
              <w:lastRenderedPageBreak/>
              <w:t>Hvis en ikkerepræsenteret borger ikke kan betale de i stk. 1 omhandle</w:t>
            </w:r>
            <w:r w:rsidRPr="00087478">
              <w:t xml:space="preserve">de omkostninger til den bistående medlemsstat, når vedkommende anmoder om bistand, kan </w:t>
            </w:r>
            <w:r w:rsidRPr="00087478">
              <w:lastRenderedPageBreak/>
              <w:t xml:space="preserve">den bistående medlemsstat kræve, at den ikkerepræsenterede borger underskriver en tilbagebetalingsforpligtelse. Den bistående medlemsstat kan på det grundlag anmode den </w:t>
            </w:r>
            <w:r w:rsidRPr="00087478">
              <w:t xml:space="preserve">ikkerepræsenterede borger om at betale sådanne omkostninger </w:t>
            </w:r>
            <w:r w:rsidRPr="00087478">
              <w:rPr>
                <w:b/>
                <w:i/>
              </w:rPr>
              <w:t>tre måneder</w:t>
            </w:r>
            <w:r w:rsidRPr="00087478">
              <w:t xml:space="preserve"> efter, at bistanden blev ydet.</w:t>
            </w:r>
          </w:p>
        </w:tc>
      </w:tr>
    </w:tbl>
    <w:p w:rsidR="00BE5A6F" w:rsidRPr="00087478" w:rsidRDefault="00087478" w:rsidP="00BE5A6F">
      <w:r w:rsidRPr="00087478">
        <w:rPr>
          <w:rStyle w:val="HideTWBExt"/>
          <w:noProof w:val="0"/>
        </w:rPr>
        <w:lastRenderedPageBreak/>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33</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Artikel 1 – stk. 1 – nr. 7</w:t>
      </w:r>
      <w:r w:rsidRPr="00087478">
        <w:rPr>
          <w:rStyle w:val="HideTWBExt"/>
          <w:noProof w:val="0"/>
        </w:rPr>
        <w:t>&lt;/Article&gt;</w:t>
      </w:r>
    </w:p>
    <w:p w:rsidR="00BE5A6F" w:rsidRPr="00087478" w:rsidRDefault="00087478" w:rsidP="00BE5A6F">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14 – stk. 6</w:t>
      </w:r>
      <w:r w:rsidRPr="0008747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6.</w:t>
            </w:r>
            <w:r w:rsidRPr="00087478">
              <w:tab/>
              <w:t>Kommissionen kan vedtage gennemførelsesretsakter om standardformularer, der skal anvendes til tilbagebetalingsforpligtelsen, jf. stk. 2,</w:t>
            </w:r>
            <w:r w:rsidRPr="00087478">
              <w:t xml:space="preserve"> og til godtgørelsen af omkostninger fra den medlemsstat, hvor den ikkerepræsenterede borger er statsborger, jf. stk. 3. Disse gennemførelsesretsakter vedtages efter undersøgelsesproceduren i artikel 15a, stk. 2.</w:t>
            </w:r>
          </w:p>
        </w:tc>
        <w:tc>
          <w:tcPr>
            <w:tcW w:w="4876" w:type="dxa"/>
          </w:tcPr>
          <w:p w:rsidR="00BE5A6F" w:rsidRPr="00087478" w:rsidRDefault="00087478" w:rsidP="00686E5A">
            <w:pPr>
              <w:pStyle w:val="AmColumnHeading"/>
              <w:spacing w:after="120"/>
              <w:jc w:val="left"/>
            </w:pPr>
            <w:r w:rsidRPr="00087478">
              <w:rPr>
                <w:i w:val="0"/>
              </w:rPr>
              <w:t>6.</w:t>
            </w:r>
            <w:r w:rsidRPr="00087478">
              <w:rPr>
                <w:i w:val="0"/>
              </w:rPr>
              <w:tab/>
              <w:t>Kommissionen kan vedtage gennemførelsesr</w:t>
            </w:r>
            <w:r w:rsidRPr="00087478">
              <w:rPr>
                <w:i w:val="0"/>
              </w:rPr>
              <w:t xml:space="preserve">etsakter om standardformularer, </w:t>
            </w:r>
            <w:r w:rsidRPr="00087478">
              <w:rPr>
                <w:b/>
              </w:rPr>
              <w:t xml:space="preserve">som er tilgængelige på alle medlemsstaternes sprog, </w:t>
            </w:r>
            <w:r w:rsidRPr="00087478">
              <w:rPr>
                <w:i w:val="0"/>
              </w:rPr>
              <w:t>der skal anvendes til tilbagebetalingsforpligtelsen, jf. stk. 2, og til godtgørelsen af omkostninger fra den medlemsstat, hvor den ikkerepræsenterede borger er statsborger,</w:t>
            </w:r>
            <w:r w:rsidRPr="00087478">
              <w:rPr>
                <w:i w:val="0"/>
              </w:rPr>
              <w:t xml:space="preserve"> jf. stk. 3. Disse gennemførelsesretsakter vedtages efter undersøgelsesproceduren i artikel 15a, stk. 2.</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34</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Artikel 1 – stk. 1 – nr. 9</w:t>
      </w:r>
      <w:r w:rsidRPr="00087478">
        <w:rPr>
          <w:rStyle w:val="HideTWBExt"/>
          <w:noProof w:val="0"/>
        </w:rPr>
        <w:t>&lt;/Article&gt;</w:t>
      </w:r>
    </w:p>
    <w:p w:rsidR="00BE5A6F" w:rsidRPr="00087478" w:rsidRDefault="00087478" w:rsidP="00BE5A6F">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16 a – stk. 6</w:t>
      </w:r>
      <w:r w:rsidRPr="0008747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6.</w:t>
            </w:r>
            <w:r w:rsidRPr="00087478">
              <w:tab/>
              <w:t xml:space="preserve">Når medlemsstaternes kompetente myndigheder og EU-institutionerne og -organerne behandler de personoplysninger, der er omhandlet i </w:t>
            </w:r>
            <w:r w:rsidRPr="00087478">
              <w:t xml:space="preserve">stk. 5, sikrer de, at der træffes passende og særlige foranstaltninger til at beskytte de registreredes interesser. De indfører også </w:t>
            </w:r>
            <w:r w:rsidRPr="00087478">
              <w:lastRenderedPageBreak/>
              <w:t>interne politikker og træffer de nødvendige tekniske og organisatoriske foranstaltninger til at forhindre uautoriseret adga</w:t>
            </w:r>
            <w:r w:rsidRPr="00087478">
              <w:t>ng til og videregivelse af sådanne personoplysninger.</w:t>
            </w:r>
          </w:p>
        </w:tc>
        <w:tc>
          <w:tcPr>
            <w:tcW w:w="4876" w:type="dxa"/>
          </w:tcPr>
          <w:p w:rsidR="00BE5A6F" w:rsidRPr="00087478" w:rsidRDefault="00087478" w:rsidP="00686E5A">
            <w:pPr>
              <w:pStyle w:val="Normal6a"/>
            </w:pPr>
            <w:r w:rsidRPr="00087478">
              <w:lastRenderedPageBreak/>
              <w:t>6.</w:t>
            </w:r>
            <w:r w:rsidRPr="00087478">
              <w:tab/>
              <w:t>Når medlemsstaternes kompetente myndigheder og EU-institutionerne og -organerne behandler de personoplysninger, der er omhandlet i stk. 5, sikrer de, at der træffes passende og særlige foranstaltning</w:t>
            </w:r>
            <w:r w:rsidRPr="00087478">
              <w:t xml:space="preserve">er til at beskytte de registreredes interesser. De indfører også </w:t>
            </w:r>
            <w:r w:rsidRPr="00087478">
              <w:lastRenderedPageBreak/>
              <w:t xml:space="preserve">interne politikker og træffer de nødvendige tekniske og organisatoriske foranstaltninger til at forhindre uautoriseret adgang til og videregivelse af sådanne personoplysninger. </w:t>
            </w:r>
            <w:r w:rsidRPr="00087478">
              <w:rPr>
                <w:b/>
                <w:i/>
              </w:rPr>
              <w:t>Adgangsrettigh</w:t>
            </w:r>
            <w:r w:rsidRPr="00087478">
              <w:rPr>
                <w:b/>
                <w:i/>
              </w:rPr>
              <w:t>eder til de personoplysninger, der er omhandlet i stk. 5, gives kun til personale, der er i besiddelse af et pas fra en EU-medlemsstat.</w:t>
            </w:r>
          </w:p>
        </w:tc>
      </w:tr>
    </w:tbl>
    <w:p w:rsidR="00BE5A6F" w:rsidRPr="00087478" w:rsidRDefault="00087478" w:rsidP="00BE5A6F">
      <w:r w:rsidRPr="00087478">
        <w:rPr>
          <w:rStyle w:val="HideTWBExt"/>
          <w:noProof w:val="0"/>
        </w:rPr>
        <w:lastRenderedPageBreak/>
        <w:t>&lt;/Amend&gt;</w:t>
      </w:r>
    </w:p>
    <w:p w:rsidR="00BE5A6F" w:rsidRPr="00087478" w:rsidRDefault="00087478" w:rsidP="00BE5A6F">
      <w:pPr>
        <w:pStyle w:val="AmNumberTabs"/>
      </w:pPr>
      <w:r w:rsidRPr="00087478">
        <w:rPr>
          <w:rStyle w:val="HideTWBExt"/>
          <w:noProof w:val="0"/>
        </w:rPr>
        <w:t>&lt;Amend&gt;</w:t>
      </w:r>
      <w:r w:rsidRPr="00087478">
        <w:t>Ændringsforslag</w:t>
      </w:r>
      <w:r w:rsidRPr="00087478">
        <w:tab/>
      </w:r>
      <w:r w:rsidRPr="00087478">
        <w:tab/>
      </w:r>
      <w:r w:rsidRPr="00087478">
        <w:rPr>
          <w:rStyle w:val="HideTWBExt"/>
          <w:noProof w:val="0"/>
        </w:rPr>
        <w:t>&lt;NumAm&gt;</w:t>
      </w:r>
      <w:r w:rsidRPr="00087478">
        <w:t>35</w:t>
      </w:r>
      <w:r w:rsidRPr="00087478">
        <w:rPr>
          <w:rStyle w:val="HideTWBExt"/>
          <w:noProof w:val="0"/>
        </w:rPr>
        <w:t>&lt;/NumAm&gt;</w:t>
      </w:r>
    </w:p>
    <w:p w:rsidR="00BE5A6F" w:rsidRPr="00087478" w:rsidRDefault="00087478" w:rsidP="00BE5A6F">
      <w:pPr>
        <w:pStyle w:val="NormalBold12b"/>
      </w:pPr>
      <w:r w:rsidRPr="00087478">
        <w:rPr>
          <w:rStyle w:val="HideTWBExt"/>
          <w:noProof w:val="0"/>
        </w:rPr>
        <w:t>&lt;DocAmend&gt;</w:t>
      </w:r>
      <w:r w:rsidRPr="00087478">
        <w:t>Forslag til direktiv</w:t>
      </w:r>
      <w:r w:rsidRPr="00087478">
        <w:rPr>
          <w:rStyle w:val="HideTWBExt"/>
          <w:noProof w:val="0"/>
        </w:rPr>
        <w:t>&lt;/DocAmend&gt;</w:t>
      </w:r>
    </w:p>
    <w:p w:rsidR="00BE5A6F" w:rsidRPr="00087478" w:rsidRDefault="00087478" w:rsidP="00BE5A6F">
      <w:pPr>
        <w:pStyle w:val="NormalBold"/>
      </w:pPr>
      <w:r w:rsidRPr="00087478">
        <w:rPr>
          <w:rStyle w:val="HideTWBExt"/>
          <w:noProof w:val="0"/>
        </w:rPr>
        <w:t>&lt;Article&gt;</w:t>
      </w:r>
      <w:r w:rsidRPr="00087478">
        <w:t xml:space="preserve">Artikel 1 – stk. </w:t>
      </w:r>
      <w:r w:rsidRPr="00087478">
        <w:t>1 – nr. 9</w:t>
      </w:r>
      <w:r w:rsidRPr="00087478">
        <w:rPr>
          <w:rStyle w:val="HideTWBExt"/>
          <w:noProof w:val="0"/>
        </w:rPr>
        <w:t>&lt;/Article&gt;</w:t>
      </w:r>
    </w:p>
    <w:p w:rsidR="00BE5A6F" w:rsidRPr="00087478" w:rsidRDefault="00087478" w:rsidP="00BE5A6F">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16a – stk. 7 – afsnit 1</w:t>
      </w:r>
      <w:r w:rsidRPr="0008747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F2" w:rsidRPr="00087478" w:rsidTr="00686E5A">
        <w:trPr>
          <w:trHeight w:hRule="exact" w:val="240"/>
          <w:jc w:val="center"/>
        </w:trPr>
        <w:tc>
          <w:tcPr>
            <w:tcW w:w="9752" w:type="dxa"/>
            <w:gridSpan w:val="2"/>
          </w:tcPr>
          <w:p w:rsidR="00BE5A6F" w:rsidRPr="00087478" w:rsidRDefault="00BE5A6F" w:rsidP="00686E5A"/>
        </w:tc>
      </w:tr>
      <w:tr w:rsidR="00AE0DF2" w:rsidRPr="00087478" w:rsidTr="00686E5A">
        <w:trPr>
          <w:trHeight w:val="240"/>
          <w:jc w:val="center"/>
        </w:trPr>
        <w:tc>
          <w:tcPr>
            <w:tcW w:w="4876" w:type="dxa"/>
          </w:tcPr>
          <w:p w:rsidR="00BE5A6F" w:rsidRPr="00087478" w:rsidRDefault="00087478" w:rsidP="00686E5A">
            <w:pPr>
              <w:pStyle w:val="AmColumnHeading"/>
            </w:pPr>
            <w:r w:rsidRPr="00087478">
              <w:t>Kommissionens forslag</w:t>
            </w:r>
          </w:p>
        </w:tc>
        <w:tc>
          <w:tcPr>
            <w:tcW w:w="4876" w:type="dxa"/>
          </w:tcPr>
          <w:p w:rsidR="00BE5A6F" w:rsidRPr="00087478" w:rsidRDefault="00087478" w:rsidP="00686E5A">
            <w:pPr>
              <w:pStyle w:val="AmColumnHeading"/>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Med henblik på dette direktiv overdrager medlemsstaternes kompetente myndigheder kun </w:t>
            </w:r>
            <w:r w:rsidRPr="00087478">
              <w:t>personoplysninger til et tredjeland eller en international organisation, hvis det er nødvendigt for at kunne udføre de opgaver, der er omhandlet i artikel 9, 10 og 13a, og i overensstemmelse med kapitel V i forordning (EU) 2016/679.</w:t>
            </w:r>
          </w:p>
        </w:tc>
        <w:tc>
          <w:tcPr>
            <w:tcW w:w="4876" w:type="dxa"/>
          </w:tcPr>
          <w:p w:rsidR="00BE5A6F" w:rsidRPr="00087478" w:rsidRDefault="00087478" w:rsidP="00686E5A">
            <w:pPr>
              <w:pStyle w:val="Normal6a"/>
            </w:pPr>
            <w:r w:rsidRPr="00087478">
              <w:t>Med henblik på dette di</w:t>
            </w:r>
            <w:r w:rsidRPr="00087478">
              <w:t>rektiv overdrager medlemsstaternes kompetente myndigheder kun personoplysninger til et tredjeland eller en international organisation, hvis det er nødvendigt for at kunne udføre de opgaver, der er omhandlet i artikel 9, 10 og 13a, og i overensstemmelse med</w:t>
            </w:r>
            <w:r w:rsidRPr="00087478">
              <w:t xml:space="preserve"> kapitel V i forordning (EU) 2016/679. </w:t>
            </w:r>
            <w:r w:rsidRPr="00087478">
              <w:rPr>
                <w:b/>
                <w:i/>
              </w:rPr>
              <w:t>Personoplysninger, der er omhandlet i stk. 5, udelukkes fra en sådan overdragelse, medmindre den pågældende unionsborgers udtrykkelige forudgående samtykke er indhentet.</w:t>
            </w:r>
          </w:p>
        </w:tc>
      </w:tr>
    </w:tbl>
    <w:p w:rsidR="00BE5A6F" w:rsidRPr="00087478" w:rsidRDefault="00087478" w:rsidP="00BE5A6F">
      <w:r w:rsidRPr="00087478">
        <w:rPr>
          <w:rStyle w:val="HideTWBExt"/>
          <w:noProof w:val="0"/>
        </w:rPr>
        <w:t>&lt;/Amend&gt;</w:t>
      </w:r>
    </w:p>
    <w:p w:rsidR="00BE5A6F" w:rsidRPr="00087478" w:rsidRDefault="00087478" w:rsidP="00BE5A6F">
      <w:pPr>
        <w:pStyle w:val="AmNumberTabs"/>
        <w:keepNext/>
      </w:pPr>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36</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Artikel 1 – stk. 1 – nr. 9</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16b – stk. 1 – indledning</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Medlemsstaterne </w:t>
            </w:r>
            <w:r w:rsidRPr="00087478">
              <w:t xml:space="preserve">sikrer, at ikkerepræsenterede borgere har adgang til effektive retsmidler i henhold til national </w:t>
            </w:r>
            <w:r w:rsidRPr="00087478">
              <w:lastRenderedPageBreak/>
              <w:t>ret i tilfælde af, at deres rettigheder i henhold til dette direktiv krænkes.</w:t>
            </w:r>
          </w:p>
        </w:tc>
        <w:tc>
          <w:tcPr>
            <w:tcW w:w="4876" w:type="dxa"/>
          </w:tcPr>
          <w:p w:rsidR="00BE5A6F" w:rsidRPr="00087478" w:rsidRDefault="00087478" w:rsidP="00686E5A">
            <w:pPr>
              <w:pStyle w:val="Normal6a"/>
              <w:rPr>
                <w:szCs w:val="24"/>
              </w:rPr>
            </w:pPr>
            <w:r w:rsidRPr="00087478">
              <w:lastRenderedPageBreak/>
              <w:t xml:space="preserve">Medlemsstaterne sikrer, at ikkerepræsenterede borgere har </w:t>
            </w:r>
            <w:r w:rsidRPr="00087478">
              <w:rPr>
                <w:b/>
                <w:i/>
              </w:rPr>
              <w:t>effektiv klageadgang sa</w:t>
            </w:r>
            <w:r w:rsidRPr="00087478">
              <w:rPr>
                <w:b/>
                <w:i/>
              </w:rPr>
              <w:t xml:space="preserve">mt </w:t>
            </w:r>
            <w:r w:rsidRPr="00087478">
              <w:t xml:space="preserve">adgang til effektive </w:t>
            </w:r>
            <w:r w:rsidRPr="00087478">
              <w:lastRenderedPageBreak/>
              <w:t>retsmidler i henhold til national ret i tilfælde af, at deres rettigheder i henhold til dette direktiv krænkes.</w:t>
            </w:r>
          </w:p>
        </w:tc>
      </w:tr>
    </w:tbl>
    <w:p w:rsidR="00BE5A6F" w:rsidRPr="00087478" w:rsidRDefault="00087478" w:rsidP="00BE5A6F">
      <w:r w:rsidRPr="00087478">
        <w:rPr>
          <w:rStyle w:val="HideTWBExt"/>
          <w:noProof w:val="0"/>
        </w:rPr>
        <w:lastRenderedPageBreak/>
        <w:t>&lt;/Amend&gt;</w:t>
      </w:r>
    </w:p>
    <w:p w:rsidR="00BE5A6F" w:rsidRPr="00087478" w:rsidRDefault="00087478" w:rsidP="00BE5A6F">
      <w:pPr>
        <w:pStyle w:val="AmNumberTabs"/>
        <w:keepNext/>
      </w:pPr>
      <w:r w:rsidRPr="00087478">
        <w:rPr>
          <w:rStyle w:val="HideTWBExt"/>
          <w:b w:val="0"/>
          <w:noProof w:val="0"/>
        </w:rPr>
        <w:t>&lt;Amend&gt;</w:t>
      </w:r>
      <w:r w:rsidRPr="00087478">
        <w:t>Ændringsforslag</w:t>
      </w:r>
      <w:r w:rsidRPr="00087478">
        <w:tab/>
      </w:r>
      <w:r w:rsidRPr="00087478">
        <w:tab/>
      </w:r>
      <w:r w:rsidRPr="00087478">
        <w:rPr>
          <w:rStyle w:val="HideTWBExt"/>
          <w:b w:val="0"/>
          <w:noProof w:val="0"/>
        </w:rPr>
        <w:t>&lt;NumAm&gt;</w:t>
      </w:r>
      <w:r w:rsidRPr="00087478">
        <w:t>37</w:t>
      </w:r>
      <w:r w:rsidRPr="00087478">
        <w:rPr>
          <w:rStyle w:val="HideTWBExt"/>
          <w:b w:val="0"/>
          <w:noProof w:val="0"/>
        </w:rPr>
        <w:t>&lt;/NumAm&gt;</w:t>
      </w:r>
    </w:p>
    <w:p w:rsidR="00BE5A6F" w:rsidRPr="00087478" w:rsidRDefault="00087478" w:rsidP="00BE5A6F">
      <w:pPr>
        <w:pStyle w:val="NormalBold12b"/>
        <w:keepNext/>
      </w:pPr>
      <w:r w:rsidRPr="00087478">
        <w:rPr>
          <w:rStyle w:val="HideTWBExt"/>
          <w:b w:val="0"/>
          <w:noProof w:val="0"/>
        </w:rPr>
        <w:t>&lt;DocAmend&gt;</w:t>
      </w:r>
      <w:r w:rsidRPr="00087478">
        <w:t>Forslag til direktiv</w:t>
      </w:r>
      <w:r w:rsidRPr="00087478">
        <w:rPr>
          <w:rStyle w:val="HideTWBExt"/>
          <w:b w:val="0"/>
          <w:noProof w:val="0"/>
        </w:rPr>
        <w:t>&lt;/DocAmend&gt;</w:t>
      </w:r>
    </w:p>
    <w:p w:rsidR="00BE5A6F" w:rsidRPr="00087478" w:rsidRDefault="00087478" w:rsidP="00BE5A6F">
      <w:pPr>
        <w:pStyle w:val="NormalBold"/>
        <w:keepNext/>
      </w:pPr>
      <w:r w:rsidRPr="00087478">
        <w:rPr>
          <w:rStyle w:val="HideTWBExt"/>
          <w:b w:val="0"/>
          <w:noProof w:val="0"/>
        </w:rPr>
        <w:t>&lt;Article&gt;</w:t>
      </w:r>
      <w:r w:rsidRPr="00087478">
        <w:t xml:space="preserve">Artikel 1 – stk. </w:t>
      </w:r>
      <w:r w:rsidRPr="00087478">
        <w:t>1 – nr. 10</w:t>
      </w:r>
      <w:r w:rsidRPr="00087478">
        <w:rPr>
          <w:rStyle w:val="HideTWBExt"/>
          <w:b w:val="0"/>
          <w:noProof w:val="0"/>
        </w:rPr>
        <w:t>&lt;/Article&gt;</w:t>
      </w:r>
    </w:p>
    <w:p w:rsidR="00BE5A6F" w:rsidRPr="00087478" w:rsidRDefault="00087478" w:rsidP="00BE5A6F">
      <w:pPr>
        <w:keepNext/>
      </w:pPr>
      <w:r w:rsidRPr="00087478">
        <w:rPr>
          <w:rStyle w:val="HideTWBExt"/>
          <w:noProof w:val="0"/>
        </w:rPr>
        <w:t>&lt;DocAmend2&gt;</w:t>
      </w:r>
      <w:r w:rsidRPr="00087478">
        <w:t>Direktiv (EU) 2015/637</w:t>
      </w:r>
      <w:r w:rsidRPr="00087478">
        <w:rPr>
          <w:rStyle w:val="HideTWBExt"/>
          <w:noProof w:val="0"/>
        </w:rPr>
        <w:t>&lt;/DocAmend2&gt;</w:t>
      </w:r>
    </w:p>
    <w:p w:rsidR="00BE5A6F" w:rsidRPr="00087478" w:rsidRDefault="00087478" w:rsidP="00BE5A6F">
      <w:r w:rsidRPr="00087478">
        <w:rPr>
          <w:rStyle w:val="HideTWBExt"/>
          <w:noProof w:val="0"/>
        </w:rPr>
        <w:t>&lt;Article2&gt;</w:t>
      </w:r>
      <w:r w:rsidRPr="00087478">
        <w:t>Artikel 19 – stk. 3 – afsnit 1</w:t>
      </w:r>
      <w:r w:rsidRPr="00087478">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0DF2" w:rsidRPr="00087478" w:rsidTr="00686E5A">
        <w:trPr>
          <w:jc w:val="center"/>
        </w:trPr>
        <w:tc>
          <w:tcPr>
            <w:tcW w:w="9752" w:type="dxa"/>
            <w:gridSpan w:val="2"/>
          </w:tcPr>
          <w:p w:rsidR="00BE5A6F" w:rsidRPr="00087478" w:rsidRDefault="00BE5A6F" w:rsidP="00686E5A">
            <w:pPr>
              <w:keepNext/>
            </w:pPr>
          </w:p>
        </w:tc>
      </w:tr>
      <w:tr w:rsidR="00AE0DF2" w:rsidRPr="00087478" w:rsidTr="00686E5A">
        <w:trPr>
          <w:jc w:val="center"/>
        </w:trPr>
        <w:tc>
          <w:tcPr>
            <w:tcW w:w="4876" w:type="dxa"/>
          </w:tcPr>
          <w:p w:rsidR="00BE5A6F" w:rsidRPr="00087478" w:rsidRDefault="00087478" w:rsidP="00686E5A">
            <w:pPr>
              <w:pStyle w:val="AmColumnHeading"/>
              <w:keepNext/>
            </w:pPr>
            <w:r w:rsidRPr="00087478">
              <w:t>Kommissionens forslag</w:t>
            </w:r>
          </w:p>
        </w:tc>
        <w:tc>
          <w:tcPr>
            <w:tcW w:w="4876" w:type="dxa"/>
          </w:tcPr>
          <w:p w:rsidR="00BE5A6F" w:rsidRPr="00087478" w:rsidRDefault="00087478" w:rsidP="00686E5A">
            <w:pPr>
              <w:pStyle w:val="AmColumnHeading"/>
              <w:keepNext/>
            </w:pPr>
            <w:r w:rsidRPr="00087478">
              <w:t>Ændringsforslag</w:t>
            </w:r>
          </w:p>
        </w:tc>
      </w:tr>
      <w:tr w:rsidR="00AE0DF2" w:rsidRPr="00087478" w:rsidTr="00686E5A">
        <w:trPr>
          <w:jc w:val="center"/>
        </w:trPr>
        <w:tc>
          <w:tcPr>
            <w:tcW w:w="4876" w:type="dxa"/>
          </w:tcPr>
          <w:p w:rsidR="00BE5A6F" w:rsidRPr="00087478" w:rsidRDefault="00087478" w:rsidP="00686E5A">
            <w:pPr>
              <w:pStyle w:val="Normal6a"/>
            </w:pPr>
            <w:r w:rsidRPr="00087478">
              <w:t xml:space="preserve">3. </w:t>
            </w:r>
            <w:r w:rsidRPr="00087478">
              <w:rPr>
                <w:b/>
                <w:i/>
              </w:rPr>
              <w:t>Tidligst [otte</w:t>
            </w:r>
            <w:r w:rsidRPr="00087478">
              <w:t xml:space="preserve"> år efter fristen for gennemførelsen af dette ændringsdirektiv] foretager Kommissionen en evaluering af dette direktiv og forelægger Europa-Parlamentet og Rådet en rapport om de vigtigste resultater.</w:t>
            </w:r>
          </w:p>
        </w:tc>
        <w:tc>
          <w:tcPr>
            <w:tcW w:w="4876" w:type="dxa"/>
          </w:tcPr>
          <w:p w:rsidR="00BE5A6F" w:rsidRPr="00087478" w:rsidRDefault="00087478" w:rsidP="00686E5A">
            <w:pPr>
              <w:pStyle w:val="Normal6a"/>
              <w:rPr>
                <w:szCs w:val="24"/>
              </w:rPr>
            </w:pPr>
            <w:r w:rsidRPr="00087478">
              <w:t xml:space="preserve">3. </w:t>
            </w:r>
            <w:r w:rsidRPr="00087478">
              <w:rPr>
                <w:b/>
                <w:i/>
              </w:rPr>
              <w:t>Senest [fire</w:t>
            </w:r>
            <w:r w:rsidRPr="00087478">
              <w:t xml:space="preserve"> år efter fristen for gennemførelsen af d</w:t>
            </w:r>
            <w:r w:rsidRPr="00087478">
              <w:t xml:space="preserve">ette ændringsdirektiv] </w:t>
            </w:r>
            <w:r w:rsidRPr="00087478">
              <w:rPr>
                <w:b/>
                <w:i/>
              </w:rPr>
              <w:t xml:space="preserve">og derefter hvert fjerde år </w:t>
            </w:r>
            <w:r w:rsidRPr="00087478">
              <w:t>foretager Kommissionen en evaluering</w:t>
            </w:r>
            <w:r w:rsidRPr="00087478">
              <w:rPr>
                <w:b/>
                <w:i/>
              </w:rPr>
              <w:t xml:space="preserve"> af gennemførelsen og anvendelsen</w:t>
            </w:r>
            <w:r w:rsidRPr="00087478">
              <w:t xml:space="preserve"> af dette direktiv og forelægger Europa-Parlamentet og Rådet en rapport om de vigtigste resultater</w:t>
            </w:r>
            <w:r w:rsidRPr="00087478">
              <w:rPr>
                <w:b/>
                <w:i/>
              </w:rPr>
              <w:t>, herunder eventuelle tilsidesættelser</w:t>
            </w:r>
            <w:r w:rsidRPr="00087478">
              <w:rPr>
                <w:b/>
                <w:i/>
              </w:rPr>
              <w:t xml:space="preserve"> af de rettigheder, der følger i medfør af dette direktiv</w:t>
            </w:r>
            <w:r w:rsidRPr="00087478">
              <w:t>.</w:t>
            </w:r>
          </w:p>
        </w:tc>
      </w:tr>
    </w:tbl>
    <w:p w:rsidR="00BE5A6F" w:rsidRPr="00087478" w:rsidRDefault="00087478" w:rsidP="00BE5A6F">
      <w:r w:rsidRPr="00087478">
        <w:rPr>
          <w:rStyle w:val="HideTWBExt"/>
          <w:noProof w:val="0"/>
        </w:rPr>
        <w:t>&lt;/Amend&gt;</w:t>
      </w:r>
    </w:p>
    <w:p w:rsidR="00BE5A6F" w:rsidRPr="00087478" w:rsidRDefault="00087478" w:rsidP="00BE5A6F">
      <w:r w:rsidRPr="00087478">
        <w:rPr>
          <w:rStyle w:val="HideTWBExt"/>
          <w:noProof w:val="0"/>
        </w:rPr>
        <w:t>&lt;/RepeatBlock-Amend&gt;</w:t>
      </w:r>
      <w:bookmarkEnd w:id="2"/>
    </w:p>
    <w:p w:rsidR="00BE5A6F" w:rsidRPr="00087478" w:rsidRDefault="00BE5A6F">
      <w:pPr>
        <w:widowControl/>
        <w:sectPr w:rsidR="00BE5A6F" w:rsidRPr="00087478" w:rsidSect="00BE5A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BE5A6F" w:rsidRPr="00087478" w:rsidRDefault="00BE5A6F">
      <w:pPr>
        <w:widowControl/>
      </w:pPr>
    </w:p>
    <w:p w:rsidR="00BE5A6F" w:rsidRPr="00087478" w:rsidRDefault="00087478" w:rsidP="002B2C72">
      <w:pPr>
        <w:pStyle w:val="PageHeadingNotTOC"/>
      </w:pPr>
      <w:bookmarkStart w:id="4" w:name="FootprintPageAD"/>
      <w:r w:rsidRPr="00087478">
        <w:t>BILAG: ENHEDER ELLER PERSONER</w:t>
      </w:r>
      <w:r w:rsidRPr="00087478">
        <w:br/>
        <w:t>SOM ORDFØREREN FOR UDTALELSEN HAR MODTAGET INPUT FRA</w:t>
      </w:r>
    </w:p>
    <w:p w:rsidR="00BE5A6F" w:rsidRPr="00087478" w:rsidRDefault="00087478" w:rsidP="00037518">
      <w:pPr>
        <w:pStyle w:val="Normal24a"/>
      </w:pPr>
      <w:r w:rsidRPr="00087478">
        <w:rPr>
          <w:rStyle w:val="HideTWBExt"/>
          <w:noProof w:val="0"/>
        </w:rPr>
        <w:t>&lt;FootprintIntro&gt;</w:t>
      </w:r>
      <w:r w:rsidRPr="00087478">
        <w:t>I henhold til artikel 8 i bilag I til forretningsordenen</w:t>
      </w:r>
      <w:r w:rsidRPr="00087478">
        <w:t xml:space="preserve"> erklærer ordføreren at have modtaget input fra følgende enheder eller personer som led i udarbejdelsen af udtalelse inden vedtagelsen i udvalget:</w:t>
      </w:r>
      <w:r w:rsidRPr="00087478">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E0DF2" w:rsidRPr="00087478" w:rsidTr="00BE5A6F">
        <w:tc>
          <w:tcPr>
            <w:tcW w:w="9060" w:type="dxa"/>
            <w:shd w:val="clear" w:color="auto" w:fill="auto"/>
          </w:tcPr>
          <w:p w:rsidR="00BE5A6F" w:rsidRPr="00087478" w:rsidRDefault="00087478" w:rsidP="00BE5A6F">
            <w:pPr>
              <w:pStyle w:val="NormalBoldCenter"/>
            </w:pPr>
            <w:r w:rsidRPr="00087478">
              <w:t>Enhed og/eller person</w:t>
            </w:r>
          </w:p>
        </w:tc>
      </w:tr>
      <w:tr w:rsidR="00AE0DF2" w:rsidRPr="00087478" w:rsidTr="00BE5A6F">
        <w:tc>
          <w:tcPr>
            <w:tcW w:w="9060" w:type="dxa"/>
            <w:shd w:val="clear" w:color="auto" w:fill="auto"/>
          </w:tcPr>
          <w:p w:rsidR="00BE5A6F" w:rsidRPr="00087478" w:rsidRDefault="00087478" w:rsidP="00686E5A">
            <w:r w:rsidRPr="00087478">
              <w:t>European External Action Service</w:t>
            </w:r>
          </w:p>
        </w:tc>
      </w:tr>
      <w:tr w:rsidR="00AE0DF2" w:rsidRPr="00087478" w:rsidTr="00BE5A6F">
        <w:tc>
          <w:tcPr>
            <w:tcW w:w="9060" w:type="dxa"/>
            <w:shd w:val="clear" w:color="auto" w:fill="auto"/>
          </w:tcPr>
          <w:p w:rsidR="00BE5A6F" w:rsidRPr="00087478" w:rsidRDefault="00087478" w:rsidP="00686E5A">
            <w:r w:rsidRPr="00087478">
              <w:t>European Commission</w:t>
            </w:r>
          </w:p>
        </w:tc>
      </w:tr>
    </w:tbl>
    <w:p w:rsidR="00BE5A6F" w:rsidRPr="00087478" w:rsidRDefault="00BE5A6F" w:rsidP="00AD5932"/>
    <w:p w:rsidR="00BE5A6F" w:rsidRPr="00087478" w:rsidRDefault="00087478" w:rsidP="004E1B62">
      <w:r w:rsidRPr="00087478">
        <w:t xml:space="preserve">Ordføreren </w:t>
      </w:r>
      <w:r w:rsidRPr="00087478">
        <w:t>har udarbejdet ovenstående liste på eget ansvar.</w:t>
      </w:r>
    </w:p>
    <w:p w:rsidR="00BE5A6F" w:rsidRPr="00087478" w:rsidRDefault="00BE5A6F" w:rsidP="00BE5A6F"/>
    <w:bookmarkEnd w:id="4"/>
    <w:p w:rsidR="00BE5A6F" w:rsidRPr="00087478" w:rsidRDefault="00BE5A6F" w:rsidP="00BC431E">
      <w:pPr>
        <w:sectPr w:rsidR="00BE5A6F" w:rsidRPr="00087478" w:rsidSect="00BE5A6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C431E" w:rsidRPr="00087478" w:rsidRDefault="00BC431E" w:rsidP="00BC431E"/>
    <w:p w:rsidR="00BC431E" w:rsidRPr="00087478" w:rsidRDefault="00087478" w:rsidP="00BC431E">
      <w:pPr>
        <w:pStyle w:val="PageHeadingNotTOC"/>
      </w:pPr>
      <w:bookmarkStart w:id="5" w:name="ProcPageAD"/>
      <w:r w:rsidRPr="00087478">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E0DF2" w:rsidRPr="000874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Foranstaltninger for at lette konsulær beskyttelse af ikkerepræsenterede unionsborgere i tredjelande</w:t>
            </w:r>
          </w:p>
        </w:tc>
      </w:tr>
      <w:tr w:rsidR="00AE0DF2" w:rsidRPr="000874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 xml:space="preserve">COM(2023)0930 – </w:t>
            </w:r>
            <w:r w:rsidRPr="00087478">
              <w:rPr>
                <w:color w:val="000000"/>
                <w:sz w:val="20"/>
              </w:rPr>
              <w:t>C9-0015/2024 – 2023/0441(CNS)</w:t>
            </w:r>
          </w:p>
        </w:tc>
      </w:tr>
      <w:tr w:rsidR="00AE0DF2" w:rsidRPr="000874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Korresponderende udvalg</w:t>
            </w:r>
          </w:p>
          <w:p w:rsidR="00BC431E" w:rsidRPr="00087478" w:rsidRDefault="00087478">
            <w:pPr>
              <w:autoSpaceDE w:val="0"/>
              <w:autoSpaceDN w:val="0"/>
              <w:adjustRightInd w:val="0"/>
              <w:rPr>
                <w:color w:val="000000"/>
                <w:sz w:val="20"/>
                <w:szCs w:val="20"/>
              </w:rPr>
            </w:pPr>
            <w:r w:rsidRPr="00087478">
              <w:rPr>
                <w:color w:val="000000"/>
                <w:sz w:val="20"/>
              </w:rPr>
              <w:t>       Dato for meddelelse på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LIBE</w:t>
            </w:r>
          </w:p>
          <w:p w:rsidR="00BC431E" w:rsidRPr="00087478" w:rsidRDefault="00087478">
            <w:pPr>
              <w:autoSpaceDE w:val="0"/>
              <w:autoSpaceDN w:val="0"/>
              <w:adjustRightInd w:val="0"/>
              <w:rPr>
                <w:color w:val="000000"/>
                <w:sz w:val="20"/>
                <w:szCs w:val="20"/>
              </w:rPr>
            </w:pPr>
            <w:r w:rsidRPr="00087478">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431E" w:rsidRPr="00087478" w:rsidRDefault="00BC431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431E" w:rsidRPr="00087478" w:rsidRDefault="00BC431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31E" w:rsidRPr="00087478" w:rsidRDefault="00BC431E">
            <w:pPr>
              <w:autoSpaceDE w:val="0"/>
              <w:autoSpaceDN w:val="0"/>
              <w:adjustRightInd w:val="0"/>
              <w:rPr>
                <w:rFonts w:ascii="sans-serif" w:hAnsi="sans-serif" w:cs="sans-serif"/>
                <w:color w:val="000000"/>
              </w:rPr>
            </w:pPr>
          </w:p>
        </w:tc>
      </w:tr>
      <w:tr w:rsidR="00AE0DF2" w:rsidRPr="000874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Udtalelse fra</w:t>
            </w:r>
          </w:p>
          <w:p w:rsidR="00BC431E" w:rsidRPr="00087478" w:rsidRDefault="00087478">
            <w:pPr>
              <w:autoSpaceDE w:val="0"/>
              <w:autoSpaceDN w:val="0"/>
              <w:adjustRightInd w:val="0"/>
              <w:rPr>
                <w:color w:val="000000"/>
                <w:sz w:val="20"/>
                <w:szCs w:val="20"/>
              </w:rPr>
            </w:pPr>
            <w:r w:rsidRPr="00087478">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AFET</w:t>
            </w:r>
          </w:p>
          <w:p w:rsidR="00BC431E" w:rsidRPr="00087478" w:rsidRDefault="00087478">
            <w:pPr>
              <w:autoSpaceDE w:val="0"/>
              <w:autoSpaceDN w:val="0"/>
              <w:adjustRightInd w:val="0"/>
              <w:rPr>
                <w:color w:val="000000"/>
                <w:sz w:val="20"/>
                <w:szCs w:val="20"/>
              </w:rPr>
            </w:pPr>
            <w:r w:rsidRPr="00087478">
              <w:rPr>
                <w:color w:val="000000"/>
                <w:sz w:val="20"/>
              </w:rPr>
              <w:t>14.3.2024</w:t>
            </w:r>
          </w:p>
        </w:tc>
      </w:tr>
      <w:tr w:rsidR="00AE0DF2" w:rsidRPr="000874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Ordfører for udtalelse</w:t>
            </w:r>
          </w:p>
          <w:p w:rsidR="00BC431E" w:rsidRPr="00087478" w:rsidRDefault="00087478">
            <w:pPr>
              <w:autoSpaceDE w:val="0"/>
              <w:autoSpaceDN w:val="0"/>
              <w:adjustRightInd w:val="0"/>
              <w:rPr>
                <w:color w:val="000000"/>
                <w:sz w:val="20"/>
                <w:szCs w:val="20"/>
              </w:rPr>
            </w:pPr>
            <w:r w:rsidRPr="00087478">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Nacho Sánchez Amor</w:t>
            </w:r>
          </w:p>
          <w:p w:rsidR="00BC431E" w:rsidRPr="00087478" w:rsidRDefault="00087478">
            <w:pPr>
              <w:autoSpaceDE w:val="0"/>
              <w:autoSpaceDN w:val="0"/>
              <w:adjustRightInd w:val="0"/>
              <w:rPr>
                <w:color w:val="000000"/>
                <w:sz w:val="20"/>
                <w:szCs w:val="20"/>
              </w:rPr>
            </w:pPr>
            <w:r w:rsidRPr="00087478">
              <w:rPr>
                <w:color w:val="000000"/>
                <w:sz w:val="20"/>
              </w:rPr>
              <w:t>20.2.2024</w:t>
            </w:r>
          </w:p>
        </w:tc>
      </w:tr>
      <w:tr w:rsidR="00AE0DF2" w:rsidRPr="000874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431E" w:rsidRPr="00087478" w:rsidRDefault="00BC431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431E" w:rsidRPr="00087478" w:rsidRDefault="00BC431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31E" w:rsidRPr="00087478" w:rsidRDefault="00BC431E">
            <w:pPr>
              <w:autoSpaceDE w:val="0"/>
              <w:autoSpaceDN w:val="0"/>
              <w:adjustRightInd w:val="0"/>
              <w:rPr>
                <w:rFonts w:ascii="sans-serif" w:hAnsi="sans-serif" w:cs="sans-serif"/>
                <w:color w:val="000000"/>
              </w:rPr>
            </w:pPr>
          </w:p>
        </w:tc>
      </w:tr>
      <w:tr w:rsidR="00AE0DF2" w:rsidRPr="000874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BC431E" w:rsidRPr="00087478" w:rsidRDefault="00BC431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C431E" w:rsidRPr="00087478" w:rsidRDefault="00BC431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C431E" w:rsidRPr="00087478" w:rsidRDefault="00BC431E">
            <w:pPr>
              <w:autoSpaceDE w:val="0"/>
              <w:autoSpaceDN w:val="0"/>
              <w:adjustRightInd w:val="0"/>
              <w:rPr>
                <w:rFonts w:ascii="sans-serif" w:hAnsi="sans-serif" w:cs="sans-serif"/>
                <w:color w:val="000000"/>
              </w:rPr>
            </w:pPr>
          </w:p>
        </w:tc>
      </w:tr>
      <w:tr w:rsidR="00AE0DF2" w:rsidRPr="000874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w:t>
            </w:r>
          </w:p>
          <w:p w:rsidR="00BC431E" w:rsidRPr="00087478" w:rsidRDefault="00087478">
            <w:pPr>
              <w:autoSpaceDE w:val="0"/>
              <w:autoSpaceDN w:val="0"/>
              <w:adjustRightInd w:val="0"/>
              <w:rPr>
                <w:color w:val="000000"/>
                <w:sz w:val="20"/>
                <w:szCs w:val="20"/>
              </w:rPr>
            </w:pPr>
            <w:r w:rsidRPr="00087478">
              <w:rPr>
                <w:color w:val="000000"/>
                <w:sz w:val="20"/>
              </w:rPr>
              <w:t>–:</w:t>
            </w:r>
          </w:p>
          <w:p w:rsidR="00BC431E" w:rsidRPr="00087478" w:rsidRDefault="00087478">
            <w:pPr>
              <w:autoSpaceDE w:val="0"/>
              <w:autoSpaceDN w:val="0"/>
              <w:adjustRightInd w:val="0"/>
              <w:rPr>
                <w:color w:val="000000"/>
                <w:sz w:val="20"/>
                <w:szCs w:val="20"/>
              </w:rPr>
            </w:pPr>
            <w:r w:rsidRPr="0008747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43</w:t>
            </w:r>
          </w:p>
          <w:p w:rsidR="00BC431E" w:rsidRPr="00087478" w:rsidRDefault="00087478">
            <w:pPr>
              <w:autoSpaceDE w:val="0"/>
              <w:autoSpaceDN w:val="0"/>
              <w:adjustRightInd w:val="0"/>
              <w:rPr>
                <w:color w:val="000000"/>
                <w:sz w:val="20"/>
                <w:szCs w:val="20"/>
              </w:rPr>
            </w:pPr>
            <w:r w:rsidRPr="00087478">
              <w:rPr>
                <w:color w:val="000000"/>
                <w:sz w:val="20"/>
              </w:rPr>
              <w:t>3</w:t>
            </w:r>
          </w:p>
          <w:p w:rsidR="00BC431E" w:rsidRPr="00087478" w:rsidRDefault="00087478">
            <w:pPr>
              <w:autoSpaceDE w:val="0"/>
              <w:autoSpaceDN w:val="0"/>
              <w:adjustRightInd w:val="0"/>
              <w:rPr>
                <w:color w:val="000000"/>
                <w:sz w:val="20"/>
                <w:szCs w:val="20"/>
              </w:rPr>
            </w:pPr>
            <w:r w:rsidRPr="00087478">
              <w:rPr>
                <w:color w:val="000000"/>
                <w:sz w:val="20"/>
              </w:rPr>
              <w:t>4</w:t>
            </w:r>
          </w:p>
        </w:tc>
      </w:tr>
      <w:tr w:rsidR="00AE0DF2" w:rsidRPr="000874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 xml:space="preserve">Alviina Alametsä, Alexander Alexandrov Yordanov, Maria Arena, Traian </w:t>
            </w:r>
            <w:r w:rsidRPr="00087478">
              <w:rPr>
                <w:color w:val="000000"/>
                <w:sz w:val="20"/>
              </w:rPr>
              <w:t>Băsescu, Krzysztof Brejza, Reinhard Bütikofer, Susanna Ceccardi, Włodzimierz Cimoszewicz, Katalin Cseh, Michael Gahler, Kinga Gál, Bernard Guetta, Andrius Kubilius, David Lega, Nathalie Loiseau, Leopoldo López Gil, Lukas Mandl, Thierry Mariani, David McAll</w:t>
            </w:r>
            <w:r w:rsidRPr="00087478">
              <w:rPr>
                <w:color w:val="000000"/>
                <w:sz w:val="20"/>
              </w:rPr>
              <w:t>ister, Vangelis Meimarakis, Sven Mikser, Alessandra Moretti, Matjaž Nemec, Demetris Papadakis, Tonino Picula, Thijs Reuten, Nacho Sánchez Amor, Isabel Santos, Jordi Solé, Tineke Strik, Dominik Tarczyński, Hermann Tertsch, Idoia Villanueva Ruiz, Thomas Wait</w:t>
            </w:r>
            <w:r w:rsidRPr="00087478">
              <w:rPr>
                <w:color w:val="000000"/>
                <w:sz w:val="20"/>
              </w:rPr>
              <w:t>z, Isabel Wiseler-Lima, Tomáš Zdechovský, Željana Zovko</w:t>
            </w:r>
          </w:p>
        </w:tc>
      </w:tr>
      <w:tr w:rsidR="00AE0DF2" w:rsidRPr="000874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Udo Bullmann, Michael Kauch, Andrey Kovatchev, Georgios Kyrtsos, Juozas Olekas, Nikos Papandreou, María Soraya Rodríguez Ramos, Mick Wallace, Ja</w:t>
            </w:r>
            <w:r w:rsidRPr="00087478">
              <w:rPr>
                <w:color w:val="000000"/>
                <w:sz w:val="20"/>
              </w:rPr>
              <w:t>vier Zarzalejos</w:t>
            </w:r>
          </w:p>
        </w:tc>
      </w:tr>
      <w:tr w:rsidR="00AE0DF2" w:rsidRPr="000874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b/>
                <w:bCs/>
                <w:color w:val="000000"/>
                <w:sz w:val="20"/>
                <w:szCs w:val="20"/>
              </w:rPr>
            </w:pPr>
            <w:r w:rsidRPr="00087478">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C431E" w:rsidRPr="00087478" w:rsidRDefault="00087478">
            <w:pPr>
              <w:autoSpaceDE w:val="0"/>
              <w:autoSpaceDN w:val="0"/>
              <w:adjustRightInd w:val="0"/>
              <w:rPr>
                <w:color w:val="000000"/>
                <w:sz w:val="20"/>
                <w:szCs w:val="20"/>
              </w:rPr>
            </w:pPr>
            <w:r w:rsidRPr="00087478">
              <w:rPr>
                <w:color w:val="000000"/>
                <w:sz w:val="20"/>
              </w:rPr>
              <w:t>Theresa Bielowski, Sylvie Guillaume, Andrey Novakov, Juan Ignacio Zoido Álvarez</w:t>
            </w:r>
          </w:p>
        </w:tc>
      </w:tr>
    </w:tbl>
    <w:p w:rsidR="00BC431E" w:rsidRPr="00087478" w:rsidRDefault="00BC431E"/>
    <w:bookmarkEnd w:id="5"/>
    <w:p w:rsidR="00BE5A6F" w:rsidRPr="00087478" w:rsidRDefault="00BE5A6F" w:rsidP="00BE5A6F">
      <w:pPr>
        <w:sectPr w:rsidR="00BE5A6F" w:rsidRPr="00087478" w:rsidSect="00BE5A6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E5A6F" w:rsidRPr="00087478" w:rsidRDefault="00BE5A6F" w:rsidP="00BE5A6F"/>
    <w:p w:rsidR="00BE5A6F" w:rsidRPr="00087478" w:rsidRDefault="00087478" w:rsidP="00C36610">
      <w:pPr>
        <w:pStyle w:val="PageHeadingNotTOC"/>
      </w:pPr>
      <w:bookmarkStart w:id="6" w:name="RollCallPageAD"/>
      <w:r w:rsidRPr="00087478">
        <w:t xml:space="preserve">ENDELIG AFSTEMNING VED </w:t>
      </w:r>
      <w:r w:rsidRPr="00087478">
        <w:t>NAVNEOPRÅB</w:t>
      </w:r>
      <w:r w:rsidRPr="00087478">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0DF2" w:rsidRPr="00087478" w:rsidTr="00686E5A">
        <w:trPr>
          <w:cantSplit/>
        </w:trPr>
        <w:tc>
          <w:tcPr>
            <w:tcW w:w="1701" w:type="dxa"/>
            <w:shd w:val="pct10" w:color="000000" w:fill="FFFFFF"/>
            <w:vAlign w:val="center"/>
          </w:tcPr>
          <w:p w:rsidR="00BE5A6F" w:rsidRPr="00087478" w:rsidRDefault="00087478" w:rsidP="00686E5A">
            <w:pPr>
              <w:pStyle w:val="RollCallVotes"/>
            </w:pPr>
            <w:r w:rsidRPr="00087478">
              <w:t>43</w:t>
            </w:r>
          </w:p>
        </w:tc>
        <w:tc>
          <w:tcPr>
            <w:tcW w:w="7371" w:type="dxa"/>
            <w:shd w:val="pct10" w:color="000000" w:fill="FFFFFF"/>
          </w:tcPr>
          <w:p w:rsidR="00BE5A6F" w:rsidRPr="00087478" w:rsidRDefault="00087478" w:rsidP="00686E5A">
            <w:pPr>
              <w:pStyle w:val="RollCallSymbols14pt"/>
            </w:pPr>
            <w:r w:rsidRPr="00087478">
              <w:t>+</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PPE</w:t>
            </w:r>
          </w:p>
        </w:tc>
        <w:tc>
          <w:tcPr>
            <w:tcW w:w="7371" w:type="dxa"/>
            <w:shd w:val="clear" w:color="auto" w:fill="FFFFFF"/>
          </w:tcPr>
          <w:p w:rsidR="00BE5A6F" w:rsidRPr="00087478" w:rsidRDefault="00087478" w:rsidP="00686E5A">
            <w:pPr>
              <w:pStyle w:val="RollCallTable"/>
            </w:pPr>
            <w:r w:rsidRPr="00087478">
              <w:t xml:space="preserve">Alexander Alexandrov Yordanov, Traian Băsescu, Krzysztof Brejza, Michael Gahler, Andrey Kovatchev, Andrius Kubilius, Leopoldo López Gil, David McAllister, Lukas Mandl, Vangelis Meimarakis, Andrey Novakov, Isabel </w:t>
            </w:r>
            <w:r w:rsidRPr="00087478">
              <w:t>Wiseler-Lima, Javier Zarzalejos, Tomáš Zdechovský, Juan Ignacio Zoido Álvarez, Željana Zovko</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Renew</w:t>
            </w:r>
          </w:p>
        </w:tc>
        <w:tc>
          <w:tcPr>
            <w:tcW w:w="7371" w:type="dxa"/>
            <w:shd w:val="clear" w:color="auto" w:fill="FFFFFF"/>
          </w:tcPr>
          <w:p w:rsidR="00BE5A6F" w:rsidRPr="00087478" w:rsidRDefault="00087478" w:rsidP="00686E5A">
            <w:pPr>
              <w:pStyle w:val="RollCallTable"/>
            </w:pPr>
            <w:r w:rsidRPr="00087478">
              <w:t>Katalin Cseh, Bernard Guetta, Michael Kauch, Georgios Kyrtsos, Nathalie Loiseau, María Soraya Rodríguez Ramos</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S&amp;D</w:t>
            </w:r>
          </w:p>
        </w:tc>
        <w:tc>
          <w:tcPr>
            <w:tcW w:w="7371" w:type="dxa"/>
            <w:shd w:val="clear" w:color="auto" w:fill="FFFFFF"/>
          </w:tcPr>
          <w:p w:rsidR="00BE5A6F" w:rsidRPr="00087478" w:rsidRDefault="00087478" w:rsidP="00686E5A">
            <w:pPr>
              <w:pStyle w:val="RollCallTable"/>
            </w:pPr>
            <w:r w:rsidRPr="00087478">
              <w:t xml:space="preserve">Maria Arena, Theresa Bielowski, Udo </w:t>
            </w:r>
            <w:r w:rsidRPr="00087478">
              <w:t>Bullmann, Włodzimierz Cimoszewicz, Sylvie Guillaume, Sven Mikser, Alessandra Moretti, Matjaž Nemec, Juozas Olekas, Demetris Papadakis, Nikos Papandreou, Tonino Picula, Thijs Reuten, Nacho Sánchez Amor, Isabel Santos</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The Left</w:t>
            </w:r>
          </w:p>
        </w:tc>
        <w:tc>
          <w:tcPr>
            <w:tcW w:w="7371" w:type="dxa"/>
            <w:shd w:val="clear" w:color="auto" w:fill="FFFFFF"/>
          </w:tcPr>
          <w:p w:rsidR="00BE5A6F" w:rsidRPr="00087478" w:rsidRDefault="00087478" w:rsidP="00686E5A">
            <w:pPr>
              <w:pStyle w:val="RollCallTable"/>
            </w:pPr>
            <w:r w:rsidRPr="00087478">
              <w:t>Idoia Villanueva Ruiz</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Verts/A</w:t>
            </w:r>
            <w:r w:rsidRPr="00087478">
              <w:t>LE</w:t>
            </w:r>
          </w:p>
        </w:tc>
        <w:tc>
          <w:tcPr>
            <w:tcW w:w="7371" w:type="dxa"/>
            <w:shd w:val="clear" w:color="auto" w:fill="FFFFFF"/>
          </w:tcPr>
          <w:p w:rsidR="00BE5A6F" w:rsidRPr="00087478" w:rsidRDefault="00087478" w:rsidP="00686E5A">
            <w:pPr>
              <w:pStyle w:val="RollCallTable"/>
            </w:pPr>
            <w:r w:rsidRPr="00087478">
              <w:t>Alviina Alametsä, Reinhard Bütikofer, Jordi Solé, Tineke Strik, Thomas Waitz</w:t>
            </w:r>
          </w:p>
        </w:tc>
      </w:tr>
    </w:tbl>
    <w:p w:rsidR="00BE5A6F" w:rsidRPr="00087478" w:rsidRDefault="00BE5A6F" w:rsidP="00BE5A6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0DF2" w:rsidRPr="00087478" w:rsidTr="00686E5A">
        <w:trPr>
          <w:cantSplit/>
        </w:trPr>
        <w:tc>
          <w:tcPr>
            <w:tcW w:w="1701" w:type="dxa"/>
            <w:shd w:val="pct10" w:color="000000" w:fill="FFFFFF"/>
            <w:vAlign w:val="center"/>
          </w:tcPr>
          <w:p w:rsidR="00BE5A6F" w:rsidRPr="00087478" w:rsidRDefault="00087478" w:rsidP="00686E5A">
            <w:pPr>
              <w:pStyle w:val="RollCallVotes"/>
            </w:pPr>
            <w:r w:rsidRPr="00087478">
              <w:t>3</w:t>
            </w:r>
          </w:p>
        </w:tc>
        <w:tc>
          <w:tcPr>
            <w:tcW w:w="7371" w:type="dxa"/>
            <w:shd w:val="pct10" w:color="000000" w:fill="FFFFFF"/>
          </w:tcPr>
          <w:p w:rsidR="00BE5A6F" w:rsidRPr="00087478" w:rsidRDefault="00087478" w:rsidP="00686E5A">
            <w:pPr>
              <w:pStyle w:val="RollCallSymbols14pt"/>
            </w:pPr>
            <w:r w:rsidRPr="00087478">
              <w:t>-</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ECR</w:t>
            </w:r>
          </w:p>
        </w:tc>
        <w:tc>
          <w:tcPr>
            <w:tcW w:w="7371" w:type="dxa"/>
            <w:shd w:val="clear" w:color="auto" w:fill="FFFFFF"/>
          </w:tcPr>
          <w:p w:rsidR="00BE5A6F" w:rsidRPr="00087478" w:rsidRDefault="00087478" w:rsidP="00686E5A">
            <w:pPr>
              <w:pStyle w:val="RollCallTable"/>
            </w:pPr>
            <w:r w:rsidRPr="00087478">
              <w:t>Dominik Tarczyński, Hermann Tertsch</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ID</w:t>
            </w:r>
          </w:p>
        </w:tc>
        <w:tc>
          <w:tcPr>
            <w:tcW w:w="7371" w:type="dxa"/>
            <w:shd w:val="clear" w:color="auto" w:fill="FFFFFF"/>
          </w:tcPr>
          <w:p w:rsidR="00BE5A6F" w:rsidRPr="00087478" w:rsidRDefault="00087478" w:rsidP="00686E5A">
            <w:pPr>
              <w:pStyle w:val="RollCallTable"/>
            </w:pPr>
            <w:r w:rsidRPr="00087478">
              <w:t>Thierry Mariani</w:t>
            </w:r>
          </w:p>
        </w:tc>
      </w:tr>
    </w:tbl>
    <w:p w:rsidR="00BE5A6F" w:rsidRPr="00087478" w:rsidRDefault="00BE5A6F" w:rsidP="00BE5A6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0DF2" w:rsidRPr="00087478" w:rsidTr="00686E5A">
        <w:trPr>
          <w:cantSplit/>
        </w:trPr>
        <w:tc>
          <w:tcPr>
            <w:tcW w:w="1701" w:type="dxa"/>
            <w:shd w:val="pct10" w:color="000000" w:fill="FFFFFF"/>
            <w:vAlign w:val="center"/>
          </w:tcPr>
          <w:p w:rsidR="00BE5A6F" w:rsidRPr="00087478" w:rsidRDefault="00087478" w:rsidP="00686E5A">
            <w:pPr>
              <w:pStyle w:val="RollCallVotes"/>
            </w:pPr>
            <w:r w:rsidRPr="00087478">
              <w:t>4</w:t>
            </w:r>
          </w:p>
        </w:tc>
        <w:tc>
          <w:tcPr>
            <w:tcW w:w="7371" w:type="dxa"/>
            <w:shd w:val="pct10" w:color="000000" w:fill="FFFFFF"/>
          </w:tcPr>
          <w:p w:rsidR="00BE5A6F" w:rsidRPr="00087478" w:rsidRDefault="00087478" w:rsidP="00686E5A">
            <w:pPr>
              <w:pStyle w:val="RollCallSymbols14pt"/>
            </w:pPr>
            <w:r w:rsidRPr="00087478">
              <w:t>0</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ID</w:t>
            </w:r>
          </w:p>
        </w:tc>
        <w:tc>
          <w:tcPr>
            <w:tcW w:w="7371" w:type="dxa"/>
            <w:shd w:val="clear" w:color="auto" w:fill="FFFFFF"/>
          </w:tcPr>
          <w:p w:rsidR="00BE5A6F" w:rsidRPr="00087478" w:rsidRDefault="00087478" w:rsidP="00686E5A">
            <w:pPr>
              <w:pStyle w:val="RollCallTable"/>
            </w:pPr>
            <w:r w:rsidRPr="00087478">
              <w:t>Susanna Ceccardi</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NI</w:t>
            </w:r>
          </w:p>
        </w:tc>
        <w:tc>
          <w:tcPr>
            <w:tcW w:w="7371" w:type="dxa"/>
            <w:shd w:val="clear" w:color="auto" w:fill="FFFFFF"/>
          </w:tcPr>
          <w:p w:rsidR="00BE5A6F" w:rsidRPr="00087478" w:rsidRDefault="00087478" w:rsidP="00686E5A">
            <w:pPr>
              <w:pStyle w:val="RollCallTable"/>
            </w:pPr>
            <w:r w:rsidRPr="00087478">
              <w:t>Kinga Gál</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PPE</w:t>
            </w:r>
          </w:p>
        </w:tc>
        <w:tc>
          <w:tcPr>
            <w:tcW w:w="7371" w:type="dxa"/>
            <w:shd w:val="clear" w:color="auto" w:fill="FFFFFF"/>
          </w:tcPr>
          <w:p w:rsidR="00BE5A6F" w:rsidRPr="00087478" w:rsidRDefault="00087478" w:rsidP="00686E5A">
            <w:pPr>
              <w:pStyle w:val="RollCallTable"/>
            </w:pPr>
            <w:r w:rsidRPr="00087478">
              <w:t>David Lega</w:t>
            </w:r>
          </w:p>
        </w:tc>
      </w:tr>
      <w:tr w:rsidR="00AE0DF2" w:rsidRPr="00087478" w:rsidTr="00686E5A">
        <w:trPr>
          <w:cantSplit/>
        </w:trPr>
        <w:tc>
          <w:tcPr>
            <w:tcW w:w="1701" w:type="dxa"/>
            <w:shd w:val="clear" w:color="auto" w:fill="FFFFFF"/>
          </w:tcPr>
          <w:p w:rsidR="00BE5A6F" w:rsidRPr="00087478" w:rsidRDefault="00087478" w:rsidP="00686E5A">
            <w:pPr>
              <w:pStyle w:val="RollCallTable"/>
            </w:pPr>
            <w:r w:rsidRPr="00087478">
              <w:t>The Left</w:t>
            </w:r>
          </w:p>
        </w:tc>
        <w:tc>
          <w:tcPr>
            <w:tcW w:w="7371" w:type="dxa"/>
            <w:shd w:val="clear" w:color="auto" w:fill="FFFFFF"/>
          </w:tcPr>
          <w:p w:rsidR="00BE5A6F" w:rsidRPr="00087478" w:rsidRDefault="00087478" w:rsidP="00686E5A">
            <w:pPr>
              <w:pStyle w:val="RollCallTable"/>
            </w:pPr>
            <w:r w:rsidRPr="00087478">
              <w:t>Mick Wallace</w:t>
            </w:r>
          </w:p>
        </w:tc>
      </w:tr>
    </w:tbl>
    <w:p w:rsidR="00BE5A6F" w:rsidRPr="00087478" w:rsidRDefault="00BE5A6F" w:rsidP="00147FBF">
      <w:pPr>
        <w:pStyle w:val="Normal12a"/>
      </w:pPr>
    </w:p>
    <w:p w:rsidR="00BE5A6F" w:rsidRPr="00087478" w:rsidRDefault="00087478" w:rsidP="00B735E3">
      <w:r w:rsidRPr="00087478">
        <w:t>Tegnforklaring:</w:t>
      </w:r>
    </w:p>
    <w:p w:rsidR="00BE5A6F" w:rsidRPr="00087478" w:rsidRDefault="00087478" w:rsidP="003858C5">
      <w:pPr>
        <w:pStyle w:val="RollCallTabs"/>
      </w:pPr>
      <w:r w:rsidRPr="00087478">
        <w:t>+</w:t>
      </w:r>
      <w:r w:rsidRPr="00087478">
        <w:tab/>
        <w:t>:</w:t>
      </w:r>
      <w:r w:rsidRPr="00087478">
        <w:tab/>
        <w:t>for</w:t>
      </w:r>
    </w:p>
    <w:p w:rsidR="00BE5A6F" w:rsidRPr="00087478" w:rsidRDefault="00087478" w:rsidP="003858C5">
      <w:pPr>
        <w:pStyle w:val="RollCallTabs"/>
      </w:pPr>
      <w:r w:rsidRPr="00087478">
        <w:t>-</w:t>
      </w:r>
      <w:r w:rsidRPr="00087478">
        <w:tab/>
        <w:t>:</w:t>
      </w:r>
      <w:r w:rsidRPr="00087478">
        <w:tab/>
        <w:t>imod</w:t>
      </w:r>
    </w:p>
    <w:p w:rsidR="00BE5A6F" w:rsidRPr="00087478" w:rsidRDefault="00087478" w:rsidP="003858C5">
      <w:pPr>
        <w:pStyle w:val="RollCallTabs"/>
      </w:pPr>
      <w:r w:rsidRPr="00087478">
        <w:t>0</w:t>
      </w:r>
      <w:r w:rsidRPr="00087478">
        <w:tab/>
        <w:t>:</w:t>
      </w:r>
      <w:r w:rsidRPr="00087478">
        <w:tab/>
        <w:t>hverken/eller</w:t>
      </w:r>
    </w:p>
    <w:p w:rsidR="00BE5A6F" w:rsidRPr="00087478" w:rsidRDefault="00BE5A6F" w:rsidP="00207509"/>
    <w:p w:rsidR="00DB56E4" w:rsidRPr="00087478" w:rsidRDefault="00DB56E4" w:rsidP="00BE5A6F">
      <w:bookmarkStart w:id="7" w:name="_GoBack"/>
      <w:bookmarkEnd w:id="6"/>
      <w:bookmarkEnd w:id="7"/>
    </w:p>
    <w:sectPr w:rsidR="00DB56E4" w:rsidRPr="00087478" w:rsidSect="00BE5A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87478">
      <w:r>
        <w:separator/>
      </w:r>
    </w:p>
  </w:endnote>
  <w:endnote w:type="continuationSeparator" w:id="0">
    <w:p w:rsidR="00000000" w:rsidRDefault="00087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31E" w:rsidRPr="00087478" w:rsidRDefault="00087478" w:rsidP="00BC431E">
    <w:pPr>
      <w:pStyle w:val="EPFooter"/>
      <w:rPr>
        <w:lang w:val="it-IT"/>
      </w:rPr>
    </w:pPr>
    <w:r w:rsidRPr="00087478">
      <w:rPr>
        <w:lang w:val="it-IT"/>
      </w:rPr>
      <w:t>PE</w:t>
    </w:r>
    <w:r w:rsidRPr="00087478">
      <w:rPr>
        <w:rStyle w:val="HideTWBExt"/>
        <w:lang w:val="it-IT"/>
      </w:rPr>
      <w:t>&lt;NoPE&gt;</w:t>
    </w:r>
    <w:r w:rsidRPr="00087478">
      <w:rPr>
        <w:lang w:val="it-IT"/>
      </w:rPr>
      <w:t>758.853</w:t>
    </w:r>
    <w:r w:rsidRPr="00087478">
      <w:rPr>
        <w:rStyle w:val="HideTWBExt"/>
        <w:lang w:val="it-IT"/>
      </w:rPr>
      <w:t>&lt;/NoPE&gt;&lt;Version&gt;</w:t>
    </w:r>
    <w:r w:rsidRPr="00087478">
      <w:rPr>
        <w:lang w:val="it-IT"/>
      </w:rPr>
      <w:t>v02-00</w:t>
    </w:r>
    <w:r w:rsidRPr="00087478">
      <w:rPr>
        <w:rStyle w:val="HideTWBExt"/>
        <w:lang w:val="it-IT"/>
      </w:rPr>
      <w:t>&lt;/Version&gt;</w:t>
    </w:r>
    <w:r w:rsidRPr="00087478">
      <w:rPr>
        <w:lang w:val="it-IT"/>
      </w:rPr>
      <w:tab/>
    </w:r>
    <w:r>
      <w:fldChar w:fldCharType="begin"/>
    </w:r>
    <w:r w:rsidRPr="00087478">
      <w:rPr>
        <w:lang w:val="it-IT"/>
      </w:rPr>
      <w:instrText xml:space="preserve"> PAGE  \* MERGEFORMAT </w:instrText>
    </w:r>
    <w:r>
      <w:fldChar w:fldCharType="separate"/>
    </w:r>
    <w:r>
      <w:rPr>
        <w:noProof/>
        <w:lang w:val="it-IT"/>
      </w:rPr>
      <w:t>22</w:t>
    </w:r>
    <w:r>
      <w:fldChar w:fldCharType="end"/>
    </w:r>
    <w:r w:rsidRPr="00087478">
      <w:rPr>
        <w:lang w:val="it-IT"/>
      </w:rPr>
      <w:t>/</w:t>
    </w:r>
    <w:r w:rsidR="00BE5A6F">
      <w:fldChar w:fldCharType="begin"/>
    </w:r>
    <w:r w:rsidRPr="00087478">
      <w:rPr>
        <w:lang w:val="it-IT"/>
      </w:rPr>
      <w:instrText xml:space="preserve"> NUMPAGES  \* MERG</w:instrText>
    </w:r>
    <w:r w:rsidRPr="00087478">
      <w:rPr>
        <w:lang w:val="it-IT"/>
      </w:rPr>
      <w:instrText xml:space="preserve">EFORMAT </w:instrText>
    </w:r>
    <w:r w:rsidR="00BE5A6F">
      <w:fldChar w:fldCharType="separate"/>
    </w:r>
    <w:r>
      <w:rPr>
        <w:noProof/>
        <w:lang w:val="it-IT"/>
      </w:rPr>
      <w:t>25</w:t>
    </w:r>
    <w:r w:rsidR="00BE5A6F">
      <w:rPr>
        <w:noProof/>
      </w:rPr>
      <w:fldChar w:fldCharType="end"/>
    </w:r>
    <w:r w:rsidRPr="00087478">
      <w:rPr>
        <w:lang w:val="it-IT"/>
      </w:rPr>
      <w:tab/>
    </w:r>
    <w:r w:rsidRPr="00087478">
      <w:rPr>
        <w:rStyle w:val="HideTWBExt"/>
        <w:lang w:val="it-IT"/>
      </w:rPr>
      <w:t>&lt;PathFdR&gt;</w:t>
    </w:r>
    <w:r w:rsidRPr="00087478">
      <w:rPr>
        <w:lang w:val="it-IT"/>
      </w:rPr>
      <w:t>AD\1299352DA.docx</w:t>
    </w:r>
    <w:r w:rsidRPr="00087478">
      <w:rPr>
        <w:rStyle w:val="HideTWBExt"/>
        <w:lang w:val="it-IT"/>
      </w:rPr>
      <w:t>&lt;/PathFdR&gt;</w:t>
    </w:r>
  </w:p>
  <w:p w:rsidR="0004333E" w:rsidRPr="00D76706" w:rsidRDefault="00087478" w:rsidP="00BC431E">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31E" w:rsidRPr="00087478" w:rsidRDefault="00087478" w:rsidP="00BC431E">
    <w:pPr>
      <w:pStyle w:val="EPFooter"/>
      <w:rPr>
        <w:lang w:val="it-IT"/>
      </w:rPr>
    </w:pPr>
    <w:r w:rsidRPr="00087478">
      <w:rPr>
        <w:rStyle w:val="HideTWBExt"/>
        <w:lang w:val="it-IT"/>
      </w:rPr>
      <w:t>&lt;PathFdR&gt;</w:t>
    </w:r>
    <w:r w:rsidRPr="00087478">
      <w:rPr>
        <w:lang w:val="it-IT"/>
      </w:rPr>
      <w:t>AD\1299352DA.docx</w:t>
    </w:r>
    <w:r w:rsidRPr="00087478">
      <w:rPr>
        <w:rStyle w:val="HideTWBExt"/>
        <w:lang w:val="it-IT"/>
      </w:rPr>
      <w:t>&lt;/PathFdR&gt;</w:t>
    </w:r>
    <w:r w:rsidRPr="00087478">
      <w:rPr>
        <w:lang w:val="it-IT"/>
      </w:rPr>
      <w:tab/>
    </w:r>
    <w:r>
      <w:fldChar w:fldCharType="begin"/>
    </w:r>
    <w:r w:rsidRPr="00087478">
      <w:rPr>
        <w:lang w:val="it-IT"/>
      </w:rPr>
      <w:instrText xml:space="preserve"> PAGE  \* MERGEFORMAT </w:instrText>
    </w:r>
    <w:r>
      <w:fldChar w:fldCharType="separate"/>
    </w:r>
    <w:r>
      <w:rPr>
        <w:noProof/>
        <w:lang w:val="it-IT"/>
      </w:rPr>
      <w:t>21</w:t>
    </w:r>
    <w:r>
      <w:fldChar w:fldCharType="end"/>
    </w:r>
    <w:r w:rsidRPr="00087478">
      <w:rPr>
        <w:lang w:val="it-IT"/>
      </w:rPr>
      <w:t>/</w:t>
    </w:r>
    <w:r w:rsidR="00BE5A6F">
      <w:fldChar w:fldCharType="begin"/>
    </w:r>
    <w:r w:rsidRPr="00087478">
      <w:rPr>
        <w:lang w:val="it-IT"/>
      </w:rPr>
      <w:instrText xml:space="preserve"> NUMPAGES  \* MERGEFORMAT </w:instrText>
    </w:r>
    <w:r w:rsidR="00BE5A6F">
      <w:fldChar w:fldCharType="separate"/>
    </w:r>
    <w:r>
      <w:rPr>
        <w:noProof/>
        <w:lang w:val="it-IT"/>
      </w:rPr>
      <w:t>25</w:t>
    </w:r>
    <w:r w:rsidR="00BE5A6F">
      <w:rPr>
        <w:noProof/>
      </w:rPr>
      <w:fldChar w:fldCharType="end"/>
    </w:r>
    <w:r w:rsidRPr="00087478">
      <w:rPr>
        <w:lang w:val="it-IT"/>
      </w:rPr>
      <w:tab/>
      <w:t>PE</w:t>
    </w:r>
    <w:r w:rsidRPr="00087478">
      <w:rPr>
        <w:rStyle w:val="HideTWBExt"/>
        <w:lang w:val="it-IT"/>
      </w:rPr>
      <w:t>&lt;NoPE&gt;</w:t>
    </w:r>
    <w:r w:rsidRPr="00087478">
      <w:rPr>
        <w:lang w:val="it-IT"/>
      </w:rPr>
      <w:t>758.853</w:t>
    </w:r>
    <w:r w:rsidRPr="00087478">
      <w:rPr>
        <w:rStyle w:val="HideTWBExt"/>
        <w:lang w:val="it-IT"/>
      </w:rPr>
      <w:t>&lt;/NoPE&gt;&lt;Version&gt;</w:t>
    </w:r>
    <w:r w:rsidRPr="00087478">
      <w:rPr>
        <w:lang w:val="it-IT"/>
      </w:rPr>
      <w:t>v02-00</w:t>
    </w:r>
    <w:r w:rsidRPr="00087478">
      <w:rPr>
        <w:rStyle w:val="HideTWBExt"/>
        <w:lang w:val="it-IT"/>
      </w:rPr>
      <w:t>&lt;/Version&gt;</w:t>
    </w:r>
  </w:p>
  <w:p w:rsidR="0004333E" w:rsidRPr="00D76706" w:rsidRDefault="00087478" w:rsidP="00BC431E">
    <w:pPr>
      <w:pStyle w:val="EPFooter2"/>
    </w:pPr>
    <w:r w:rsidRPr="00087478">
      <w:rPr>
        <w:lang w:val="it-IT"/>
      </w:rPr>
      <w:tab/>
    </w:r>
    <w:r w:rsidRPr="00087478">
      <w:rPr>
        <w:lang w:val="it-IT"/>
      </w:rPr>
      <w:tab/>
    </w:r>
    <w: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31E" w:rsidRPr="00087478" w:rsidRDefault="00087478" w:rsidP="00BC431E">
    <w:pPr>
      <w:pStyle w:val="EPFooter"/>
      <w:rPr>
        <w:lang w:val="it-IT"/>
      </w:rPr>
    </w:pPr>
    <w:r w:rsidRPr="00087478">
      <w:rPr>
        <w:rStyle w:val="HideTWBExt"/>
        <w:lang w:val="it-IT"/>
      </w:rPr>
      <w:t>&lt;PathFdR&gt;</w:t>
    </w:r>
    <w:r w:rsidRPr="00087478">
      <w:rPr>
        <w:lang w:val="it-IT"/>
      </w:rPr>
      <w:t>AD\1299352DA.docx</w:t>
    </w:r>
    <w:r w:rsidRPr="00087478">
      <w:rPr>
        <w:rStyle w:val="HideTWBExt"/>
        <w:lang w:val="it-IT"/>
      </w:rPr>
      <w:t>&lt;/PathFdR&gt;</w:t>
    </w:r>
    <w:r w:rsidRPr="00087478">
      <w:rPr>
        <w:lang w:val="it-IT"/>
      </w:rPr>
      <w:tab/>
    </w:r>
    <w:r w:rsidRPr="00087478">
      <w:rPr>
        <w:lang w:val="it-IT"/>
      </w:rPr>
      <w:tab/>
      <w:t>PE</w:t>
    </w:r>
    <w:r w:rsidRPr="00087478">
      <w:rPr>
        <w:rStyle w:val="HideTWBExt"/>
        <w:lang w:val="it-IT"/>
      </w:rPr>
      <w:t>&lt;NoPE&gt;</w:t>
    </w:r>
    <w:r w:rsidRPr="00087478">
      <w:rPr>
        <w:lang w:val="it-IT"/>
      </w:rPr>
      <w:t>758.853</w:t>
    </w:r>
    <w:r w:rsidRPr="00087478">
      <w:rPr>
        <w:rStyle w:val="HideTWBExt"/>
        <w:lang w:val="it-IT"/>
      </w:rPr>
      <w:t>&lt;/NoPE&gt;&lt;Version&gt;</w:t>
    </w:r>
    <w:r w:rsidRPr="00087478">
      <w:rPr>
        <w:lang w:val="it-IT"/>
      </w:rPr>
      <w:t>v02-00</w:t>
    </w:r>
    <w:r w:rsidRPr="00087478">
      <w:rPr>
        <w:rStyle w:val="HideTWBExt"/>
        <w:lang w:val="it-IT"/>
      </w:rPr>
      <w:t>&lt;/Version&gt;</w:t>
    </w:r>
  </w:p>
  <w:p w:rsidR="0004333E" w:rsidRPr="00D76706" w:rsidRDefault="00087478" w:rsidP="00BC431E">
    <w:pPr>
      <w:pStyle w:val="EPFooter2"/>
    </w:pPr>
    <w:r>
      <w:t>DA</w:t>
    </w:r>
    <w:r>
      <w:tab/>
    </w:r>
    <w:r w:rsidRPr="00BC431E">
      <w:rPr>
        <w:b w:val="0"/>
        <w:i/>
        <w:color w:val="C0C0C0"/>
        <w:sz w:val="22"/>
      </w:rPr>
      <w:t>Forenet i mangfoldighed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87478">
      <w:r>
        <w:separator/>
      </w:r>
    </w:p>
  </w:footnote>
  <w:footnote w:type="continuationSeparator" w:id="0">
    <w:p w:rsidR="00000000" w:rsidRDefault="00087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6F" w:rsidRDefault="00BE5A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6F" w:rsidRDefault="00BE5A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6F" w:rsidRDefault="00BE5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228167\rsid735077\rsid1718133\rsid2892074\rsid3565327\rsid4666813\rsid6641733\rsid7823322\rsid9636012\rsid10377208_x000d__x000a_\rsid11215221\rsid11549030\rsid12154954\rsid13845739\rsid14382809\rsid14424199\rsid15204470\rsid15285974\rsid15950462\rsid16324206\rsid16662270}{\mmathPr\mmathFont34\mbrkBin0\mbrkBinSub0\msmallFrac0\mdispDef1\mlMargin0\mrMargin0\mdefJc1\mwrapIndent1440_x000d__x000a_\mintLim0\mnaryLim1}{\info{\author JENSEN Pia Gunnersen}{\operator JENSEN Pia Gunnersen}{\creatim\yr2024\mo3\dy22\hr11\min1}{\revtim\yr2024\mo3\dy22\hr11\min1}{\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8167\newtblstyruls\nogrowautofit\usenormstyforlist\noindnmbrts\felnbrelev\nocxsptable\indrlsweleven\noafcnsttbl\afelev\utinl\hwelev\spltpgpar\notcvasp\notbrkcnstfrctbl\notvatxbx\krnprsnet\cachedcolbal \nouicompat \fet0_x000d__x000a_{\*\wgrffmtfilter 013f}\nofeaturethrottle1\ilfomacatclnup0{\*\template C:\\Users\\pjensen\\AppData\\Local\\Temp\\Blank1.dotx}{\*\ftnsep \ltrpar \pard\plain \ltrpar\ql \li0\ri0\widctlpar\wrapdefault\aspalpha\aspnum\faauto\adjustright\rin0\lin0\itap0 _x000d__x000a_\rtlch\fcs1 \af0\afs20\alang1025 \ltrch\fcs0 \fs24\lang2057\langfe2057\cgrid\langnp2057\langfenp2057 {\rtlch\fcs1 \af0 \ltrch\fcs0 \insrsid13845739 \chftnsep _x000d__x000a_\par }}{\*\ftnsepc \ltrpar \pard\plain \ltrpar\ql \li0\ri0\widctlpar\wrapdefault\aspalpha\aspnum\faauto\adjustright\rin0\lin0\itap0 \rtlch\fcs1 \af0\afs20\alang1025 \ltrch\fcs0 \fs24\lang2057\langfe2057\cgrid\langnp2057\langfenp2057 {\rtlch\fcs1 \af0 _x000d__x000a_\ltrch\fcs0 \insrsid13845739 \chftnsepc _x000d__x000a_\par }}{\*\aftnsep \ltrpar \pard\plain \ltrpar\ql \li0\ri0\widctlpar\wrapdefault\aspalpha\aspnum\faauto\adjustright\rin0\lin0\itap0 \rtlch\fcs1 \af0\afs20\alang1025 \ltrch\fcs0 \fs24\lang2057\langfe2057\cgrid\langnp2057\langfenp2057 {\rtlch\fcs1 \af0 _x000d__x000a_\ltrch\fcs0 \insrsid13845739 \chftnsep _x000d__x000a_\par }}{\*\aftnsepc \ltrpar \pard\plain \ltrpar\ql \li0\ri0\widctlpar\wrapdefault\aspalpha\aspnum\faauto\adjustright\rin0\lin0\itap0 \rtlch\fcs1 \af0\afs20\alang1025 \ltrch\fcs0 \fs24\lang2057\langfe2057\cgrid\langnp2057\langfenp2057 {\rtlch\fcs1 \af0 _x000d__x000a_\ltrch\fcs0 \insrsid138457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228167 _x000d__x000a_\rtlch\fcs1 \af0\afs20\alang1025 \ltrch\fcs0 \fs24\lang2057\langfe2057\cgrid\langnp2057\langfenp2057 {\rtlch\fcs1 \af0 \ltrch\fcs0 \insrsid228167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26_x000d__x000a_e3ea3f7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02254 HideTWBExt;}{_x000d__x000a_\s18\ql \li0\ri0\sa120\nowidctlpar\wrapdefault\aspalpha\aspnum\faauto\adjustright\rin0\lin0\itap0 \rtlch\fcs1 \af0\afs20\alang1025 \ltrch\fcs0 \fs24\lang2057\langfe2057\cgrid\langnp2057\langfenp2057 \sbasedon0 \snext18 \spriority0 \styrsid14302254 _x000d__x000a_Normal6a;}{\s19\ql \li0\ri0\nowidctlpar\wrapdefault\aspalpha\aspnum\faauto\adjustright\rin0\lin0\itap0 \rtlch\fcs1 \af0\afs20\alang1025 \ltrch\fcs0 \b\fs24\lang2057\langfe2057\cgrid\langnp2057\langfenp2057 \sbasedon0 \snext19 \spriority0 \styrsid14302254 _x000d__x000a_NormalBold;}{\s20\qc \li0\ri0\sa240\nowidctlpar\wrapdefault\aspalpha\aspnum\faauto\adjustright\rin0\lin0\itap0 \rtlch\fcs1 \af0\afs20\alang1025 \ltrch\fcs0 \i\fs24\lang2057\langfe2057\cgrid\langnp2057\langfenp2057 _x000d__x000a_\sbasedon0 \snext20 \spriority0 \styrsid1430225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302254 AmNumberTabs;}{\s22\ql \li0\ri0\sb240\nowidctlpar\wrapdefault\aspalpha\aspnum\faauto\adjustright\rin0\lin0\itap0 \rtlch\fcs1 _x000d__x000a_\af0\afs20\alang1025 \ltrch\fcs0 \b\fs24\lang2057\langfe2057\cgrid\langnp2057\langfenp2057 \sbasedon0 \snext22 \spriority0 \styrsid14302254 NormalBold12b;}}{\*\rsidtbl \rsid24658\rsid223860\rsid735077\rsid1718133\rsid2892074\rsid3565327\rsid4612613_x000d__x000a_\rsid4666813\rsid6641733\rsid7823322\rsid9636012\rsid10377208\rsid11215221\rsid11549030\rsid12154954\rsid14302254\rsid14382809\rsid14424199\rsid15204470\rsid15285974\rsid15950462\rsid16324206\rsid16662270}{\mmathPr\mmathFont34\mbrkBin0\mbrkBinSub0_x000d__x000a_\msmallFrac0\mdispDef1\mlMargin0\mrMargin0\mdefJc1\mwrapIndent1440\mintLim0\mnaryLim1}{\info{\author JENSEN Pia Gunnersen}{\operator JENSEN Pia Gunnersen}{\creatim\yr2024\mo3\dy22\hr11\min1}{\revtim\yr2024\mo3\dy22\hr11\min1}{\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02254\newtblstyruls\nogrowautofit\usenormstyforlist\noindnmbrts\felnbrelev\nocxsptable\indrlsweleven\noafcnsttbl\afelev\utinl\hwelev\spltpgpar\notcvasp\notbrkcnstfrctbl\notvatxbx\krnprsnet\cachedcolbal _x000d__x000a_\nouicompat \fet0{\*\wgrffmtfilter 013f}\nofeaturethrottle1\ilfomacatclnup0{\*\template C:\\Users\\pjensen\\AppData\\Local\\Temp\\Blank1.dotx}{\*\ftnsep \ltrpar \pard\plain \ltrpar_x000d__x000a_\ql \li0\ri0\widctlpar\wrapdefault\aspalpha\aspnum\faauto\adjustright\rin0\lin0\itap0 \rtlch\fcs1 \af0\afs20\alang1025 \ltrch\fcs0 \fs24\lang2057\langfe2057\cgrid\langnp2057\langfenp2057 {\rtlch\fcs1 \af0 \ltrch\fcs0 \insrsid4612613 \chftnsep _x000d__x000a_\par }}{\*\ftnsepc \ltrpar \pard\plain \ltrpar\ql \li0\ri0\widctlpar\wrapdefault\aspalpha\aspnum\faauto\adjustright\rin0\lin0\itap0 \rtlch\fcs1 \af0\afs20\alang1025 \ltrch\fcs0 \fs24\lang2057\langfe2057\cgrid\langnp2057\langfenp2057 {\rtlch\fcs1 \af0 _x000d__x000a_\ltrch\fcs0 \insrsid4612613 \chftnsepc _x000d__x000a_\par }}{\*\aftnsep \ltrpar \pard\plain \ltrpar\ql \li0\ri0\widctlpar\wrapdefault\aspalpha\aspnum\faauto\adjustright\rin0\lin0\itap0 \rtlch\fcs1 \af0\afs20\alang1025 \ltrch\fcs0 \fs24\lang2057\langfe2057\cgrid\langnp2057\langfenp2057 {\rtlch\fcs1 \af0 _x000d__x000a_\ltrch\fcs0 \insrsid4612613 \chftnsep _x000d__x000a_\par }}{\*\aftnsepc \ltrpar \pard\plain \ltrpar\ql \li0\ri0\widctlpar\wrapdefault\aspalpha\aspnum\faauto\adjustright\rin0\lin0\itap0 \rtlch\fcs1 \af0\afs20\alang1025 \ltrch\fcs0 \fs24\lang2057\langfe2057\cgrid\langnp2057\langfenp2057 {\rtlch\fcs1 \af0 _x000d__x000a_\ltrch\fcs0 \insrsid46126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4302254 \rtlch\fcs1 _x000d__x000a_\af0\afs20\alang1025 \ltrch\fcs0 \b\fs24\lang2057\langfe2057\cgrid\langnp2057\langfenp2057 {\rtlch\fcs1 \af0 \ltrch\fcs0 \cs17\b0\v\fs20\cf9\lang1024\langfe1024\loch\af1\hich\af1\dbch\af31501\noproof\insrsid14302254\charrsid15879488 {\*\bkmkstart restartA_x000d__x000a_}\hich\af1\dbch\af31501\loch\f1 &lt;AmendA&gt;}{\rtlch\fcs1 \af0 \ltrch\fcs0 \insrsid14302254\charrsid15879488 [ZAMENDMENT]\tab \tab }{\rtlch\fcs1 \af0 \ltrch\fcs0 _x000d__x000a_\cs17\b0\v\fs20\cf9\lang1024\langfe1024\loch\af1\hich\af1\dbch\af31501\noproof\insrsid14302254\charrsid15879488 \hich\af1\dbch\af31501\loch\f1 &lt;NumAmA&gt;}{\rtlch\fcs1 \af0 \ltrch\fcs0 \insrsid14302254\charrsid15879488 [ZNRAM]}{\rtlch\fcs1 \af0 \ltrch\fcs0 _x000d__x000a_\cs17\b0\v\fs20\cf9\lang1024\langfe1024\loch\af1\hich\af1\dbch\af31501\noproof\insrsid14302254\charrsid15879488 \hich\af1\dbch\af31501\loch\f1 &lt;/NumAmA&gt;}{\rtlch\fcs1 \af0 \ltrch\fcs0 \insrsid14302254\charrsid15879488 _x000d__x000a_\par }\pard\plain \ltrpar\s22\ql \li0\ri0\sb240\keepn\nowidctlpar\wrapdefault\aspalpha\aspnum\faauto\adjustright\rin0\lin0\itap0\pararsid14302254 \rtlch\fcs1 \af0\afs20\alang1025 \ltrch\fcs0 \b\fs24\lang2057\langfe2057\cgrid\langnp2057\langfenp2057 {_x000d__x000a_\rtlch\fcs1 \af0 \ltrch\fcs0 \cs17\b0\v\fs20\cf9\lang1024\langfe1024\loch\af1\hich\af1\dbch\af31501\noproof\langnp1036\insrsid14302254\charrsid11356624 \hich\af1\dbch\af31501\loch\f1 &lt;DocAmend&gt;}{\rtlch\fcs1 \af0 \ltrch\fcs0 _x000d__x000a_\lang1036\langfe2057\langnp1036\insrsid14302254\charrsid11356624 [ZRESOLUTION]}{\rtlch\fcs1 \af0 \ltrch\fcs0 \cs17\b0\v\fs20\cf9\lang1024\langfe1024\loch\af1\hich\af1\dbch\af31501\noproof\langnp1036\insrsid14302254\charrsid11356624 _x000d__x000a_\hich\af1\dbch\af31501\loch\f1 &lt;/DocAmend&gt;}{\rtlch\fcs1 \af0 \ltrch\fcs0 \lang1036\langfe2057\langnp1036\insrsid14302254\charrsid11356624 _x000d__x000a_\par }\pard\plain \ltrpar\s19\ql \li0\ri0\nowidctlpar\wrapdefault\aspalpha\aspnum\faauto\adjustright\rin0\lin0\itap0\pararsid14302254 \rtlch\fcs1 \af0\afs20\alang1025 \ltrch\fcs0 \b\fs24\lang2057\langfe2057\cgrid\langnp2057\langfenp2057 {\rtlch\fcs1 \af0 _x000d__x000a_\ltrch\fcs0 \cs17\b0\v\fs20\cf9\lang1024\langfe1024\loch\af1\hich\af1\dbch\af31501\noproof\langnp1036\insrsid14302254\charrsid11356624 \hich\af1\dbch\af31501\loch\f1 &lt;Article&gt;}{\rtlch\fcs1 \af0 \ltrch\fcs0 _x000d__x000a_\lang1036\langfe2057\langnp1036\insrsid14302254\charrsid11356624 [ZRESPART]}{\rtlch\fcs1 \af0 \ltrch\fcs0 \cs17\b0\v\fs20\cf9\lang1024\langfe1024\loch\af1\hich\af1\dbch\af31501\noproof\langnp1036\insrsid14302254\charrsid11356624 _x000d__x000a_\hich\af1\dbch\af31501\loch\f1 &lt;/Article&gt;}{\rtlch\fcs1 \af0 \ltrch\fcs0 \lang1036\langfe2057\langnp1036\insrsid14302254\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4302254\charrsid11356624 \cell }\pard \ltrpar_x000d__x000a_\ql \li0\ri0\widctlpar\intbl\wrapdefault\aspalpha\aspnum\faauto\adjustright\rin0\lin0 {\rtlch\fcs1 \af0 \ltrch\fcs0 \insrsid14302254\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4302254\charrsid15879488 [ZLEFTA]\cell [ZRIGHT]\cell }\pard\plain \ltrpar_x000d__x000a_\ql \li0\ri0\widctlpar\intbl\wrapdefault\aspalpha\aspnum\faauto\adjustright\rin0\lin0 \rtlch\fcs1 \af0\afs20\alang1025 \ltrch\fcs0 \fs24\lang2057\langfe2057\cgrid\langnp2057\langfenp2057 {\rtlch\fcs1 \af0 \ltrch\fcs0 \insrsid14302254\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302254\charrsid15879488 [ZTEXTL]\cell [ZTEXTR]}{\rtlch\fcs1 \af0\afs24 \ltrch\fcs0 \insrsid14302254\charrsid15879488 \cell }\pard\plain \ltrpar\ql \li0\ri0\widctlpar\intbl\wrapdefault\aspalpha\aspnum\faauto\adjustright\rin0\lin0 \rtlch\fcs1 _x000d__x000a_\af0\afs20\alang1025 \ltrch\fcs0 \fs24\lang2057\langfe2057\cgrid\langnp2057\langfenp2057 {\rtlch\fcs1 \af0 \ltrch\fcs0 \insrsid14302254\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302254 {\rtlch\fcs1 \af0 \ltrch\fcs0 \cs17\v\fs20\cf9\lang1024\langfe1024\loch\af1\hich\af1\dbch\af31501\noproof\insrsid14302254\charrsid15879488 _x000d__x000a_\hich\af1\dbch\af31501\loch\f1 &lt;/AmendA&gt;}{\rtlch\fcs1 \af0 \ltrch\fcs0 \insrsid1430225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3_x000d__x000a_f5ee3f7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72001 HideTWBExt;}{_x000d__x000a_\s18\ql \li0\ri0\sa120\nowidctlpar\wrapdefault\aspalpha\aspnum\faauto\adjustright\rin0\lin0\itap0 \rtlch\fcs1 \af0\afs20\alang1025 \ltrch\fcs0 \fs24\lang2057\langfe2057\cgrid\langnp2057\langfenp2057 \sbasedon0 \snext18 \spriority0 \styrsid5572001 _x000d__x000a_Normal6a;}{\s19\ql \li0\ri0\nowidctlpar\wrapdefault\aspalpha\aspnum\faauto\adjustright\rin0\lin0\itap0 \rtlch\fcs1 \af0\afs20\alang1025 \ltrch\fcs0 \b\fs24\lang2057\langfe2057\cgrid\langnp2057\langfenp2057 \sbasedon0 \snext19 \spriority0 \styrsid5572001 _x000d__x000a_NormalBold;}{\s20\ql \li0\ri0\sa240\nowidctlpar\wrapdefault\aspalpha\aspnum\faauto\adjustright\rin0\lin0\itap0 \rtlch\fcs1 \af0\afs20\alang1025 \ltrch\fcs0 \i\fs24\lang2057\langfe2057\cgrid\langnp2057\langfenp2057 _x000d__x000a_\sbasedon0 \snext20 \spriority0 \styrsid5572001 AmJustText;}{\s21\qc \li0\ri0\sb240\sa240\nowidctlpar\wrapdefault\aspalpha\aspnum\faauto\adjustright\rin0\lin0\itap0 \rtlch\fcs1 \af0\afs20\alang1025 \ltrch\fcs0 _x000d__x000a_\i\fs24\lang2057\langfe2057\cgrid\langnp2057\langfenp2057 \sbasedon0 \snext21 \spriority0 \styrsid5572001 AmCrossRef;}{\s22\qc \li0\ri0\sb240\sa240\keepn\nowidctlpar\wrapdefault\aspalpha\aspnum\faauto\adjustright\rin0\lin0\itap0 \rtlch\fcs1 _x000d__x000a_\af0\afs20\alang1025 \ltrch\fcs0 \i\fs24\lang2057\langfe2057\cgrid\langnp2057\langfenp2057 \sbasedon0 \snext20 \spriority0 \styrsid5572001 AmJustTitle;}{\s23\qc \li0\ri0\sa240\nowidctlpar\wrapdefault\aspalpha\aspnum\faauto\adjustright\rin0\lin0\itap0 _x000d__x000a_\rtlch\fcs1 \af0\afs20\alang1025 \ltrch\fcs0 \i\fs24\lang2057\langfe2057\cgrid\langnp2057\langfenp2057 \sbasedon0 \snext23 \spriority0 \styrsid557200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572001 AmNumberTabs;}{\s25\ql \li0\ri0\sb240\nowidctlpar\wrapdefault\aspalpha\aspnum\faauto\adjustright\rin0\lin0\itap0 \rtlch\fcs1 _x000d__x000a_\af0\afs20\alang1025 \ltrch\fcs0 \b\fs24\lang2057\langfe2057\cgrid\langnp2057\langfenp2057 \sbasedon0 \snext25 \spriority0 \styrsid5572001 NormalBold12b;}}{\*\rsidtbl \rsid24658\rsid223860\rsid735077\rsid1718133\rsid2892074\rsid3565327\rsid4666813_x000d__x000a_\rsid5572001\rsid6109996\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JENSEN Pia Gunnersen}{\operator JENSEN Pia Gunnersen}{\creatim\yr2024\mo3\dy22\hr11\min1}{\revtim\yr2024\mo3\dy22\hr11\min1}{\version1}{\edmins0}_x000d__x000a_{\nofpages1}{\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72001\newtblstyruls\nogrowautofit\usenormstyforlist\noindnmbrts\felnbrelev\nocxsptable\indrlsweleven\noafcnsttbl\afelev\utinl\hwelev\spltpgpar\notcvasp\notbrkcnstfrctbl\notvatxbx\krnprsnet\cachedcolbal _x000d__x000a_\nouicompat \fet0{\*\wgrffmtfilter 013f}\nofeaturethrottle1\ilfomacatclnup0{\*\template C:\\Users\\pjensen\\AppData\\Local\\Temp\\Blank1.dotx}{\*\ftnsep \ltrpar \pard\plain \ltrpar_x000d__x000a_\ql \li0\ri0\widctlpar\wrapdefault\aspalpha\aspnum\faauto\adjustright\rin0\lin0\itap0 \rtlch\fcs1 \af0\afs20\alang1025 \ltrch\fcs0 \fs24\lang2057\langfe2057\cgrid\langnp2057\langfenp2057 {\rtlch\fcs1 \af0 \ltrch\fcs0 \insrsid6109996 \chftnsep _x000d__x000a_\par }}{\*\ftnsepc \ltrpar \pard\plain \ltrpar\ql \li0\ri0\widctlpar\wrapdefault\aspalpha\aspnum\faauto\adjustright\rin0\lin0\itap0 \rtlch\fcs1 \af0\afs20\alang1025 \ltrch\fcs0 \fs24\lang2057\langfe2057\cgrid\langnp2057\langfenp2057 {\rtlch\fcs1 \af0 _x000d__x000a_\ltrch\fcs0 \insrsid6109996 \chftnsepc _x000d__x000a_\par }}{\*\aftnsep \ltrpar \pard\plain \ltrpar\ql \li0\ri0\widctlpar\wrapdefault\aspalpha\aspnum\faauto\adjustright\rin0\lin0\itap0 \rtlch\fcs1 \af0\afs20\alang1025 \ltrch\fcs0 \fs24\lang2057\langfe2057\cgrid\langnp2057\langfenp2057 {\rtlch\fcs1 \af0 _x000d__x000a_\ltrch\fcs0 \insrsid6109996 \chftnsep _x000d__x000a_\par }}{\*\aftnsepc \ltrpar \pard\plain \ltrpar\ql \li0\ri0\widctlpar\wrapdefault\aspalpha\aspnum\faauto\adjustright\rin0\lin0\itap0 \rtlch\fcs1 \af0\afs20\alang1025 \ltrch\fcs0 \fs24\lang2057\langfe2057\cgrid\langnp2057\langfenp2057 {\rtlch\fcs1 \af0 _x000d__x000a_\ltrch\fcs0 \insrsid61099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572001 \rtlch\fcs1 _x000d__x000a_\af0\afs20\alang1025 \ltrch\fcs0 \b\fs24\lang2057\langfe2057\cgrid\langnp2057\langfenp2057 {\rtlch\fcs1 \af0 \ltrch\fcs0 \cs17\b0\v\fs20\cf9\lang1024\langfe1024\loch\af1\hich\af1\dbch\af31501\noproof\insrsid5572001\charrsid15879488 {\*\bkmkstart restartB}_x000d__x000a_\hich\af1\dbch\af31501\loch\f1 &lt;AmendB&gt;}{\rtlch\fcs1 \af0 \ltrch\fcs0 \insrsid5572001\charrsid15879488 [ZAMENDMENT]\tab \tab }{\rtlch\fcs1 \af0 \ltrch\fcs0 _x000d__x000a_\cs17\b0\v\fs20\cf9\lang1024\langfe1024\loch\af1\hich\af1\dbch\af31501\noproof\insrsid5572001\charrsid15879488 \hich\af1\dbch\af31501\loch\f1 &lt;NumAmB&gt;}{\rtlch\fcs1 \af0 \ltrch\fcs0 \insrsid5572001\charrsid15879488 [ZNRAM]}{\rtlch\fcs1 \af0 \ltrch\fcs0 _x000d__x000a_\cs17\b0\v\fs20\cf9\lang1024\langfe1024\loch\af1\hich\af1\dbch\af31501\noproof\insrsid5572001\charrsid15879488 \hich\af1\dbch\af31501\loch\f1 &lt;/NumAmB&gt;}{\rtlch\fcs1 \af0 \ltrch\fcs0 \insrsid5572001\charrsid15879488 _x000d__x000a_\par }\pard\plain \ltrpar\s25\ql \li0\ri0\sb240\keepn\nowidctlpar\wrapdefault\aspalpha\aspnum\faauto\adjustright\rin0\lin0\itap0\pararsid5572001 \rtlch\fcs1 \af0\afs20\alang1025 \ltrch\fcs0 \b\fs24\lang2057\langfe2057\cgrid\langnp2057\langfenp2057 {_x000d__x000a_\rtlch\fcs1 \af0 \ltrch\fcs0 \cs17\b0\v\fs20\cf9\lang1024\langfe1024\loch\af1\hich\af1\dbch\af31501\noproof\insrsid5572001\charrsid15879488 \hich\af1\dbch\af31501\loch\f1 &lt;DocAmend&gt;}{\rtlch\fcs1 \af0 \ltrch\fcs0 \insrsid5572001\charrsid15879488 _x000d__x000a_[ZPROPOSAL][ZAMACT]}{\rtlch\fcs1 \af0 \ltrch\fcs0 \cs17\b0\v\fs20\cf9\lang1024\langfe1024\loch\af1\hich\af1\dbch\af31501\noproof\insrsid5572001\charrsid15879488 \hich\af1\dbch\af31501\loch\f1 &lt;/DocAmend&gt;}{\rtlch\fcs1 \af0 \ltrch\fcs0 _x000d__x000a_\insrsid5572001\charrsid15879488 _x000d__x000a_\par }\pard\plain \ltrpar\s19\ql \li0\ri0\keepn\nowidctlpar\wrapdefault\aspalpha\aspnum\faauto\adjustright\rin0\lin0\itap0\pararsid5572001 \rtlch\fcs1 \af0\afs20\alang1025 \ltrch\fcs0 \b\fs24\lang2057\langfe2057\cgrid\langnp2057\langfenp2057 {\rtlch\fcs1 \af0 _x000d__x000a_\ltrch\fcs0 \cs17\b0\v\fs20\cf9\lang1024\langfe1024\loch\af1\hich\af1\dbch\af31501\noproof\insrsid5572001\charrsid15879488 \hich\af1\dbch\af31501\loch\f1 &lt;Article&gt;}{\rtlch\fcs1 \af0 \ltrch\fcs0 \insrsid5572001\charrsid15879488 [ZAMPART]}{\rtlch\fcs1 \af0 _x000d__x000a_\ltrch\fcs0 \cs17\b0\v\fs20\cf9\lang1024\langfe1024\loch\af1\hich\af1\dbch\af31501\noproof\insrsid5572001\charrsid15879488 \hich\af1\dbch\af31501\loch\f1 &lt;/Article&gt;}{\rtlch\fcs1 \af0 \ltrch\fcs0 \insrsid5572001\charrsid15879488 _x000d__x000a_\par }\pard\plain \ltrpar\ql \li0\ri0\keepn\widctlpar\wrapdefault\aspalpha\aspnum\faauto\adjustright\rin0\lin0\itap0\pararsid5572001 \rtlch\fcs1 \af0\afs20\alang1025 \ltrch\fcs0 \fs24\lang2057\langfe2057\cgrid\langnp2057\langfenp2057 {\rtlch\fcs1 \af0 _x000d__x000a_\ltrch\fcs0 \cs17\v\fs20\cf9\lang1024\langfe1024\loch\af1\hich\af1\dbch\af31501\noproof\insrsid5572001\charrsid15879488 \hich\af1\dbch\af31501\loch\f1 &lt;DocAmend2&gt;&lt;OptDel&gt;}{\rtlch\fcs1 \af0 \ltrch\fcs0 \insrsid5572001\charrsid15879488 [ZNRACT]}{_x000d__x000a_\rtlch\fcs1 \af0 \ltrch\fcs0 \cs17\v\fs20\cf9\lang1024\langfe1024\loch\af1\hich\af1\dbch\af31501\noproof\insrsid5572001\charrsid15879488 \hich\af1\dbch\af31501\loch\f1 &lt;/OptDel&gt;&lt;/DocAmend2&gt;}{\rtlch\fcs1 \af0 \ltrch\fcs0 \insrsid5572001\charrsid15879488 _x000d__x000a__x000d__x000a_\par }\pard \ltrpar\ql \li0\ri0\widctlpar\wrapdefault\aspalpha\aspnum\faauto\adjustright\rin0\lin0\itap0\pararsid5572001 {\rtlch\fcs1 \af0 \ltrch\fcs0 _x000d__x000a_\cs17\v\fs20\cf9\lang1024\langfe1024\loch\af1\hich\af1\dbch\af31501\noproof\langnp1036\insrsid5572001\charrsid11356624 \hich\af1\dbch\af31501\loch\f1 &lt;Article2&gt;&lt;OptDel&gt;}{\rtlch\fcs1 \af0 \ltrch\fcs0 _x000d__x000a_\lang1036\langfe2057\langnp1036\insrsid5572001\charrsid11356624 [ZACTPART]}{\rtlch\fcs1 \af0 \ltrch\fcs0 \cs17\v\fs20\cf9\lang1024\langfe1024\loch\af1\hich\af1\dbch\af31501\noproof\langnp1036\insrsid5572001\charrsid11356624 \hich\af1\dbch\af31501\loch\f1 _x000d__x000a_&lt;/OptDel&gt;&lt;/Article2&gt;}{\rtlch\fcs1 \af0 \ltrch\fcs0 \lang1036\langfe2057\langnp1036\insrsid557200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572001\charrsid11356624 \cell }\pard \ltrpar\ql \li0\ri0\widctlpar\intbl\wrapdefault\aspalpha\aspnum\faauto\adjustright\rin0\lin0 {\rtlch\fcs1 \af0 \ltrch\fcs0 \insrsid557200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572001\charrsid15879488 [ZLEFTB]\cell [ZRIGHT]\cell }\pard\plain \ltrpar\ql \li0\ri0\widctlpar\intbl\wrapdefault\aspalpha\aspnum\faauto\adjustright\rin0\lin0 \rtlch\fcs1 \af0\afs20\alang1025 \ltrch\fcs0 _x000d__x000a_\fs24\lang2057\langfe2057\cgrid\langnp2057\langfenp2057 {\rtlch\fcs1 \af0 \ltrch\fcs0 \insrsid557200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572001\charrsid15879488 [ZTEXTL]\cell [ZTEXTR]}{\rtlch\fcs1 \af0\afs24 \ltrch\fcs0 \insrsid5572001\charrsid15879488 \cell }\pard\plain \ltrpar\ql \li0\ri0\widctlpar\intbl\wrapdefault\aspalpha\aspnum\faauto\adjustright\rin0\lin0 \rtlch\fcs1 _x000d__x000a_\af0\afs20\alang1025 \ltrch\fcs0 \fs24\lang2057\langfe2057\cgrid\langnp2057\langfenp2057 {\rtlch\fcs1 \af0 \ltrch\fcs0 \insrsid557200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572001 \rtlch\fcs1 \af0\afs20\alang1025 \ltrch\fcs0 \i\fs24\lang2057\langfe2057\cgrid\langnp2057\langfenp2057 {\rtlch\fcs1 \af0 \ltrch\fcs0 _x000d__x000a_\cs17\i0\v\fs20\cf9\lang1024\langfe1024\loch\af1\hich\af1\dbch\af31501\noproof\insrsid5572001\charrsid15879488 \hich\af1\dbch\af31501\loch\f1 &lt;OptDel&gt;}{\rtlch\fcs1 \af0 \ltrch\fcs0 \insrsid5572001\charrsid15879488 [ZCROSSREF]}{\rtlch\fcs1 \af0 _x000d__x000a_\ltrch\fcs0 \cs17\i0\v\fs20\cf9\lang1024\langfe1024\loch\af1\hich\af1\dbch\af31501\noproof\insrsid5572001\charrsid15879488 \hich\af1\dbch\af31501\loch\f1 &lt;/OptDel&gt;}{\rtlch\fcs1 \af0 \ltrch\fcs0 \insrsid5572001\charrsid15879488 _x000d__x000a_\par }\pard\plain \ltrpar\s22\qc \li0\ri0\sb240\sa240\keepn\nowidctlpar\wrapdefault\aspalpha\aspnum\faauto\adjustright\rin0\lin0\itap0\pararsid5572001 \rtlch\fcs1 \af0\afs20\alang1025 \ltrch\fcs0 \i\fs24\lang2057\langfe2057\cgrid\langnp2057\langfenp2057 {_x000d__x000a_\rtlch\fcs1 \af0 \ltrch\fcs0 \cs17\i0\v\fs20\cf9\lang1024\langfe1024\loch\af1\hich\af1\dbch\af31501\noproof\insrsid5572001\charrsid15879488 \hich\af1\dbch\af31501\loch\f1 &lt;TitreJust&gt;}{\rtlch\fcs1 \af0 \ltrch\fcs0 \insrsid5572001\charrsid15879488 _x000d__x000a_[ZJUSTIFICATION]}{\rtlch\fcs1 \af0 \ltrch\fcs0 \cs17\i0\v\fs20\cf9\lang1024\langfe1024\loch\af1\hich\af1\dbch\af31501\noproof\insrsid5572001\charrsid15879488 \hich\af1\dbch\af31501\loch\f1 &lt;/TitreJust&gt;}{\rtlch\fcs1 \af0 \ltrch\fcs0 _x000d__x000a_\insrsid5572001\charrsid15879488 _x000d__x000a_\par }\pard\plain \ltrpar\s20\ql \li0\ri0\sa240\nowidctlpar\wrapdefault\aspalpha\aspnum\faauto\adjustright\rin0\lin0\itap0\pararsid5572001 \rtlch\fcs1 \af0\afs20\alang1025 \ltrch\fcs0 \i\fs24\lang2057\langfe2057\cgrid\langnp2057\langfenp2057 {\rtlch\fcs1 \af0 _x000d__x000a_\ltrch\fcs0 \cs17\i0\v\fs20\cf9\lang1024\langfe1024\loch\af1\hich\af1\dbch\af31501\noproof\insrsid5572001\charrsid15879488 \hich\af1\dbch\af31501\loch\f1 &lt;OptDelPrev&gt;}{\rtlch\fcs1 \af0 \ltrch\fcs0 \insrsid5572001\charrsid15879488 [ZTEXTJUST]}{\rtlch\fcs1 _x000d__x000a_\af0 \ltrch\fcs0 \cs17\i0\v\fs20\cf9\lang1024\langfe1024\loch\af1\hich\af1\dbch\af31501\noproof\insrsid5572001\charrsid15879488 \hich\af1\dbch\af31501\loch\f1 &lt;/OptDelPrev&gt;}{\rtlch\fcs1 \af0 \ltrch\fcs0 \insrsid5572001\charrsid15879488 _x000d__x000a_\par }\pard\plain \ltrpar\ql \li0\ri0\widctlpar\wrapdefault\aspalpha\aspnum\faauto\adjustright\rin0\lin0\itap0\pararsid5572001 \rtlch\fcs1 \af0\afs20\alang1025 \ltrch\fcs0 \fs24\lang2057\langfe2057\cgrid\langnp2057\langfenp2057 {\rtlch\fcs1 \af0 \ltrch\fcs0 _x000d__x000a_\cs17\v\fs20\cf9\lang1024\langfe1024\loch\af1\hich\af1\dbch\af31501\noproof\insrsid5572001\charrsid15879488 \hich\af1\dbch\af31501\loch\f1 &lt;/AmendB&gt;}{\rtlch\fcs1 \af0 \ltrch\fcs0 \insrsid557200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b_x000d__x000a_33f13f7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99967 HideTWBExt;}{_x000d__x000a_\s18\ql \li0\ri0\sa120\nowidctlpar\wrapdefault\aspalpha\aspnum\faauto\adjustright\rin0\lin0\itap0 \rtlch\fcs1 \af0\afs20\alang1025 \ltrch\fcs0 \fs24\lang2057\langfe2057\cgrid\langnp2057\langfenp2057 \sbasedon0 \snext18 \spriority0 \styrsid11999967 _x000d__x000a_Normal6a;}{\s19\ql \li0\ri0\nowidctlpar\wrapdefault\aspalpha\aspnum\faauto\adjustright\rin0\lin0\itap0 \rtlch\fcs1 \af0\afs20\alang1025 \ltrch\fcs0 \b\fs24\lang2057\langfe2057\cgrid\langnp2057\langfenp2057 \sbasedon0 \snext19 \spriority0 \styrsid11999967 _x000d__x000a_NormalBold;}{\s20\ql \li0\ri0\sa240\nowidctlpar\wrapdefault\aspalpha\aspnum\faauto\adjustright\rin0\lin0\itap0 \rtlch\fcs1 \af0\afs20\alang1025 \ltrch\fcs0 \i\fs24\lang2057\langfe2057\cgrid\langnp2057\langfenp2057 _x000d__x000a_\sbasedon0 \snext20 \spriority0 \styrsid11999967 AmJustText;}{\s21\qc \li0\ri0\sb240\sa240\nowidctlpar\wrapdefault\aspalpha\aspnum\faauto\adjustright\rin0\lin0\itap0 \rtlch\fcs1 \af0\afs20\alang1025 \ltrch\fcs0 _x000d__x000a_\i\fs24\lang2057\langfe2057\cgrid\langnp2057\langfenp2057 \sbasedon0 \snext21 \spriority0 \styrsid11999967 AmCrossRef;}{\s22\qc \li0\ri0\sb240\sa240\keepn\nowidctlpar\wrapdefault\aspalpha\aspnum\faauto\adjustright\rin0\lin0\itap0 \rtlch\fcs1 _x000d__x000a_\af0\afs20\alang1025 \ltrch\fcs0 \i\fs24\lang2057\langfe2057\cgrid\langnp2057\langfenp2057 \sbasedon0 \snext20 \spriority0 \styrsid11999967 AmJustTitle;}{\s23\qc \li0\ri0\sa240\nowidctlpar\wrapdefault\aspalpha\aspnum\faauto\adjustright\rin0\lin0\itap0 _x000d__x000a_\rtlch\fcs1 \af0\afs20\alang1025 \ltrch\fcs0 \i\fs24\lang2057\langfe2057\cgrid\langnp2057\langfenp2057 \sbasedon0 \snext23 \spriority0 \styrsid1199996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999967 AmNumberTabs;}{\s25\ql \li0\ri0\sb240\nowidctlpar\wrapdefault\aspalpha\aspnum\faauto\adjustright\rin0\lin0\itap0 \rtlch\fcs1 _x000d__x000a_\af0\afs20\alang1025 \ltrch\fcs0 \b\fs24\lang2057\langfe2057\cgrid\langnp2057\langfenp2057 \sbasedon0 \snext25 \spriority0 \styrsid11999967 NormalBold12b;}}{\*\rsidtbl \rsid24658\rsid223860\rsid735077\rsid1718133\rsid2892074\rsid3565327\rsid4666813_x000d__x000a_\rsid6641733\rsid7823322\rsid9636012\rsid10377208\rsid11215221\rsid11549030\rsid11999967\rsid12154954\rsid14382809\rsid14424199\rsid15204470\rsid15285974\rsid15950462\rsid16324206\rsid16585379\rsid16662270}{\mmathPr\mmathFont34\mbrkBin0\mbrkBinSub0_x000d__x000a_\msmallFrac0\mdispDef1\mlMargin0\mrMargin0\mdefJc1\mwrapIndent1440\mintLim0\mnaryLim1}{\info{\author JENSEN Pia Gunnersen}{\operator JENSEN Pia Gunnersen}{\creatim\yr2024\mo3\dy22\hr11\min1}{\revtim\yr2024\mo3\dy22\hr11\min1}{\version1}{\edmins0}_x000d__x000a_{\nofpages1}{\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99967\newtblstyruls\nogrowautofit\usenormstyforlist\noindnmbrts\felnbrelev\nocxsptable\indrlsweleven\noafcnsttbl\afelev\utinl\hwelev\spltpgpar\notcvasp\notbrkcnstfrctbl\notvatxbx\krnprsnet\cachedcolbal _x000d__x000a_\nouicompat \fet0{\*\wgrffmtfilter 013f}\nofeaturethrottle1\ilfomacatclnup0{\*\template C:\\Users\\pjensen\\AppData\\Local\\Temp\\Blank1.dotx}{\*\ftnsep \ltrpar \pard\plain \ltrpar_x000d__x000a_\ql \li0\ri0\widctlpar\wrapdefault\aspalpha\aspnum\faauto\adjustright\rin0\lin0\itap0 \rtlch\fcs1 \af0\afs20\alang1025 \ltrch\fcs0 \fs24\lang2057\langfe2057\cgrid\langnp2057\langfenp2057 {\rtlch\fcs1 \af0 \ltrch\fcs0 \insrsid16585379 \chftnsep _x000d__x000a_\par }}{\*\ftnsepc \ltrpar \pard\plain \ltrpar\ql \li0\ri0\widctlpar\wrapdefault\aspalpha\aspnum\faauto\adjustright\rin0\lin0\itap0 \rtlch\fcs1 \af0\afs20\alang1025 \ltrch\fcs0 \fs24\lang2057\langfe2057\cgrid\langnp2057\langfenp2057 {\rtlch\fcs1 \af0 _x000d__x000a_\ltrch\fcs0 \insrsid16585379 \chftnsepc _x000d__x000a_\par }}{\*\aftnsep \ltrpar \pard\plain \ltrpar\ql \li0\ri0\widctlpar\wrapdefault\aspalpha\aspnum\faauto\adjustright\rin0\lin0\itap0 \rtlch\fcs1 \af0\afs20\alang1025 \ltrch\fcs0 \fs24\lang2057\langfe2057\cgrid\langnp2057\langfenp2057 {\rtlch\fcs1 \af0 _x000d__x000a_\ltrch\fcs0 \insrsid16585379 \chftnsep _x000d__x000a_\par }}{\*\aftnsepc \ltrpar \pard\plain \ltrpar\ql \li0\ri0\widctlpar\wrapdefault\aspalpha\aspnum\faauto\adjustright\rin0\lin0\itap0 \rtlch\fcs1 \af0\afs20\alang1025 \ltrch\fcs0 \fs24\lang2057\langfe2057\cgrid\langnp2057\langfenp2057 {\rtlch\fcs1 \af0 _x000d__x000a_\ltrch\fcs0 \insrsid165853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1999967 \rtlch\fcs1 _x000d__x000a_\af0\afs20\alang1025 \ltrch\fcs0 \b\fs24\lang2057\langfe2057\cgrid\langnp2057\langfenp2057 {\rtlch\fcs1 \af0 \ltrch\fcs0 \cs17\b0\v\fs20\cf9\lang1024\langfe1024\loch\af1\hich\af1\dbch\af31501\noproof\insrsid11999967\charrsid15879488 {\*\bkmkstart restartB_x000d__x000a_}\hich\af1\dbch\af31501\loch\f1 &lt;AmendB&gt;}{\rtlch\fcs1 \af0 \ltrch\fcs0 \insrsid11999967\charrsid15879488 [ZAMENDMENT]\tab \tab }{\rtlch\fcs1 \af0 \ltrch\fcs0 _x000d__x000a_\cs17\b0\v\fs20\cf9\lang1024\langfe1024\loch\af1\hich\af1\dbch\af31501\noproof\insrsid11999967\charrsid15879488 \hich\af1\dbch\af31501\loch\f1 &lt;NumAmB&gt;}{\rtlch\fcs1 \af0 \ltrch\fcs0 \insrsid11999967\charrsid15879488 [ZNRAM]}{\rtlch\fcs1 \af0 \ltrch\fcs0 _x000d__x000a_\cs17\b0\v\fs20\cf9\lang1024\langfe1024\loch\af1\hich\af1\dbch\af31501\noproof\insrsid11999967\charrsid15879488 \hich\af1\dbch\af31501\loch\f1 &lt;/NumAmB&gt;}{\rtlch\fcs1 \af0 \ltrch\fcs0 \insrsid11999967\charrsid15879488 _x000d__x000a_\par }\pard\plain \ltrpar\s25\ql \li0\ri0\sb240\keepn\nowidctlpar\wrapdefault\aspalpha\aspnum\faauto\adjustright\rin0\lin0\itap0\pararsid11999967 \rtlch\fcs1 \af0\afs20\alang1025 \ltrch\fcs0 \b\fs24\lang2057\langfe2057\cgrid\langnp2057\langfenp2057 {_x000d__x000a_\rtlch\fcs1 \af0 \ltrch\fcs0 \cs17\b0\v\fs20\cf9\lang1024\langfe1024\loch\af1\hich\af1\dbch\af31501\noproof\insrsid11999967\charrsid15879488 \hich\af1\dbch\af31501\loch\f1 &lt;DocAmend&gt;}{\rtlch\fcs1 \af0 \ltrch\fcs0 \insrsid11999967\charrsid15879488 _x000d__x000a_[ZPROPOSAL][ZAMACT]}{\rtlch\fcs1 \af0 \ltrch\fcs0 \cs17\b0\v\fs20\cf9\lang1024\langfe1024\loch\af1\hich\af1\dbch\af31501\noproof\insrsid11999967\charrsid15879488 \hich\af1\dbch\af31501\loch\f1 &lt;/DocAmend&gt;}{\rtlch\fcs1 \af0 \ltrch\fcs0 _x000d__x000a_\insrsid11999967\charrsid15879488 _x000d__x000a_\par }\pard\plain \ltrpar\s19\ql \li0\ri0\keepn\nowidctlpar\wrapdefault\aspalpha\aspnum\faauto\adjustright\rin0\lin0\itap0\pararsid11999967 \rtlch\fcs1 \af0\afs20\alang1025 \ltrch\fcs0 \b\fs24\lang2057\langfe2057\cgrid\langnp2057\langfenp2057 {\rtlch\fcs1 _x000d__x000a_\af0 \ltrch\fcs0 \cs17\b0\v\fs20\cf9\lang1024\langfe1024\loch\af1\hich\af1\dbch\af31501\noproof\insrsid11999967\charrsid15879488 \hich\af1\dbch\af31501\loch\f1 &lt;Article&gt;}{\rtlch\fcs1 \af0 \ltrch\fcs0 \insrsid11999967\charrsid15879488 [ZAMPART]}{_x000d__x000a_\rtlch\fcs1 \af0 \ltrch\fcs0 \cs17\b0\v\fs20\cf9\lang1024\langfe1024\loch\af1\hich\af1\dbch\af31501\noproof\insrsid11999967\charrsid15879488 \hich\af1\dbch\af31501\loch\f1 &lt;/Article&gt;}{\rtlch\fcs1 \af0 \ltrch\fcs0 \insrsid11999967\charrsid15879488 _x000d__x000a_\par }\pard\plain \ltrpar\ql \li0\ri0\keepn\widctlpar\wrapdefault\aspalpha\aspnum\faauto\adjustright\rin0\lin0\itap0\pararsid11999967 \rtlch\fcs1 \af0\afs20\alang1025 \ltrch\fcs0 \fs24\lang2057\langfe2057\cgrid\langnp2057\langfenp2057 {\rtlch\fcs1 \af0 _x000d__x000a_\ltrch\fcs0 \cs17\v\fs20\cf9\lang1024\langfe1024\loch\af1\hich\af1\dbch\af31501\noproof\insrsid11999967\charrsid15879488 \hich\af1\dbch\af31501\loch\f1 &lt;DocAmend2&gt;&lt;OptDel&gt;}{\rtlch\fcs1 \af0 \ltrch\fcs0 \insrsid11999967\charrsid15879488 [ZNRACT]}{_x000d__x000a_\rtlch\fcs1 \af0 \ltrch\fcs0 \cs17\v\fs20\cf9\lang1024\langfe1024\loch\af1\hich\af1\dbch\af31501\noproof\insrsid11999967\charrsid15879488 \hich\af1\dbch\af31501\loch\f1 &lt;/OptDel&gt;&lt;/DocAmend2&gt;}{\rtlch\fcs1 \af0 \ltrch\fcs0 \insrsid11999967\charrsid15879488 _x000d__x000a__x000d__x000a_\par }\pard \ltrpar\ql \li0\ri0\widctlpar\wrapdefault\aspalpha\aspnum\faauto\adjustright\rin0\lin0\itap0\pararsid11999967 {\rtlch\fcs1 \af0 \ltrch\fcs0 _x000d__x000a_\cs17\v\fs20\cf9\lang1024\langfe1024\loch\af1\hich\af1\dbch\af31501\noproof\langnp1036\insrsid11999967\charrsid11356624 \hich\af1\dbch\af31501\loch\f1 &lt;Article2&gt;&lt;OptDel&gt;}{\rtlch\fcs1 \af0 \ltrch\fcs0 _x000d__x000a_\lang1036\langfe2057\langnp1036\insrsid11999967\charrsid11356624 [ZACTPART]}{\rtlch\fcs1 \af0 \ltrch\fcs0 \cs17\v\fs20\cf9\lang1024\langfe1024\loch\af1\hich\af1\dbch\af31501\noproof\langnp1036\insrsid11999967\charrsid11356624 _x000d__x000a_\hich\af1\dbch\af31501\loch\f1 &lt;/OptDel&gt;&lt;/Article2&gt;}{\rtlch\fcs1 \af0 \ltrch\fcs0 \lang1036\langfe2057\langnp1036\insrsid1199996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1999967\charrsid11356624 \cell }\pard \ltrpar\ql \li0\ri0\widctlpar\intbl\wrapdefault\aspalpha\aspnum\faauto\adjustright\rin0\lin0 {\rtlch\fcs1 \af0 \ltrch\fcs0 \insrsid1199996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1999967\charrsid15879488 [ZLEFTB]\cell [ZRIGHT]\cell }\pard\plain \ltrpar\ql \li0\ri0\widctlpar\intbl\wrapdefault\aspalpha\aspnum\faauto\adjustright\rin0\lin0 \rtlch\fcs1 \af0\afs20\alang1025 \ltrch\fcs0 _x000d__x000a_\fs24\lang2057\langfe2057\cgrid\langnp2057\langfenp2057 {\rtlch\fcs1 \af0 \ltrch\fcs0 \insrsid1199996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999967\charrsid15879488 [ZTEXTL]\cell [ZTEXTR]}{\rtlch\fcs1 \af0\afs24 \ltrch\fcs0 \insrsid11999967\charrsid15879488 \cell }\pard\plain \ltrpar\ql \li0\ri0\widctlpar\intbl\wrapdefault\aspalpha\aspnum\faauto\adjustright\rin0\lin0 \rtlch\fcs1 _x000d__x000a_\af0\afs20\alang1025 \ltrch\fcs0 \fs24\lang2057\langfe2057\cgrid\langnp2057\langfenp2057 {\rtlch\fcs1 \af0 \ltrch\fcs0 \insrsid1199996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999967 \rtlch\fcs1 \af0\afs20\alang1025 \ltrch\fcs0 \i\fs24\lang2057\langfe2057\cgrid\langnp2057\langfenp2057 {\rtlch\fcs1 \af0 \ltrch\fcs0 _x000d__x000a_\cs17\i0\v\fs20\cf9\lang1024\langfe1024\loch\af1\hich\af1\dbch\af31501\noproof\insrsid11999967\charrsid15879488 \hich\af1\dbch\af31501\loch\f1 &lt;OptDel&gt;}{\rtlch\fcs1 \af0 \ltrch\fcs0 \insrsid11999967\charrsid15879488 [ZCROSSREF]}{\rtlch\fcs1 \af0 _x000d__x000a_\ltrch\fcs0 \cs17\i0\v\fs20\cf9\lang1024\langfe1024\loch\af1\hich\af1\dbch\af31501\noproof\insrsid11999967\charrsid15879488 \hich\af1\dbch\af31501\loch\f1 &lt;/OptDel&gt;}{\rtlch\fcs1 \af0 \ltrch\fcs0 \insrsid11999967\charrsid15879488 _x000d__x000a_\par }\pard\plain \ltrpar\s22\qc \li0\ri0\sb240\sa240\keepn\nowidctlpar\wrapdefault\aspalpha\aspnum\faauto\adjustright\rin0\lin0\itap0\pararsid11999967 \rtlch\fcs1 \af0\afs20\alang1025 \ltrch\fcs0 \i\fs24\lang2057\langfe2057\cgrid\langnp2057\langfenp2057 {_x000d__x000a_\rtlch\fcs1 \af0 \ltrch\fcs0 \cs17\i0\v\fs20\cf9\lang1024\langfe1024\loch\af1\hich\af1\dbch\af31501\noproof\insrsid11999967\charrsid15879488 \hich\af1\dbch\af31501\loch\f1 &lt;TitreJust&gt;}{\rtlch\fcs1 \af0 \ltrch\fcs0 \insrsid11999967\charrsid15879488 _x000d__x000a_[ZJUSTIFICATION]}{\rtlch\fcs1 \af0 \ltrch\fcs0 \cs17\i0\v\fs20\cf9\lang1024\langfe1024\loch\af1\hich\af1\dbch\af31501\noproof\insrsid11999967\charrsid15879488 \hich\af1\dbch\af31501\loch\f1 &lt;/TitreJust&gt;}{\rtlch\fcs1 \af0 \ltrch\fcs0 _x000d__x000a_\insrsid11999967\charrsid15879488 _x000d__x000a_\par }\pard\plain \ltrpar\s20\ql \li0\ri0\sa240\nowidctlpar\wrapdefault\aspalpha\aspnum\faauto\adjustright\rin0\lin0\itap0\pararsid11999967 \rtlch\fcs1 \af0\afs20\alang1025 \ltrch\fcs0 \i\fs24\lang2057\langfe2057\cgrid\langnp2057\langfenp2057 {\rtlch\fcs1 _x000d__x000a_\af0 \ltrch\fcs0 \cs17\i0\v\fs20\cf9\lang1024\langfe1024\loch\af1\hich\af1\dbch\af31501\noproof\insrsid11999967\charrsid15879488 \hich\af1\dbch\af31501\loch\f1 &lt;OptDelPrev&gt;}{\rtlch\fcs1 \af0 \ltrch\fcs0 \insrsid11999967\charrsid15879488 [ZTEXTJUST]}{_x000d__x000a_\rtlch\fcs1 \af0 \ltrch\fcs0 \cs17\i0\v\fs20\cf9\lang1024\langfe1024\loch\af1\hich\af1\dbch\af31501\noproof\insrsid11999967\charrsid15879488 \hich\af1\dbch\af31501\loch\f1 &lt;/OptDelPrev&gt;}{\rtlch\fcs1 \af0 \ltrch\fcs0 \insrsid11999967\charrsid15879488 _x000d__x000a__x000d__x000a_\par }\pard\plain \ltrpar\ql \li0\ri0\widctlpar\wrapdefault\aspalpha\aspnum\faauto\adjustright\rin0\lin0\itap0\pararsid11999967 \rtlch\fcs1 \af0\afs20\alang1025 \ltrch\fcs0 \fs24\lang2057\langfe2057\cgrid\langnp2057\langfenp2057 {\rtlch\fcs1 \af0 \ltrch\fcs0 _x000d__x000a_\cs17\v\fs20\cf9\lang1024\langfe1024\loch\af1\hich\af1\dbch\af31501\noproof\insrsid11999967\charrsid15879488 \hich\af1\dbch\af31501\loch\f1 &lt;/AmendB&gt;}{\rtlch\fcs1 \af0 \ltrch\fcs0 \insrsid1199996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d_x000d__x000a_f1ec3f7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DA"/>
    <w:docVar w:name="TXTLANGUEMIN" w:val="da"/>
    <w:docVar w:name="TXTNRC" w:val="0015/2024"/>
    <w:docVar w:name="TXTNRCOM" w:val="(2023)930"/>
    <w:docVar w:name="TXTNRDIR" w:val="(EU) 2015/637"/>
    <w:docVar w:name="TXTNRFIRSTAM" w:val="1"/>
    <w:docVar w:name="TXTNRLASTAM" w:val="16"/>
    <w:docVar w:name="TXTNRPE" w:val="758.853"/>
    <w:docVar w:name="TXTNRPROC" w:val="2023/0441"/>
    <w:docVar w:name="TXTPEorAP" w:val="PE"/>
    <w:docVar w:name="TXTROUTE" w:val="AD\1299352DA.docx"/>
    <w:docVar w:name="TXTVERSION" w:val="02-00"/>
  </w:docVars>
  <w:rsids>
    <w:rsidRoot w:val="00222D54"/>
    <w:rsid w:val="00026559"/>
    <w:rsid w:val="00027FA8"/>
    <w:rsid w:val="00037518"/>
    <w:rsid w:val="0004333E"/>
    <w:rsid w:val="0004474F"/>
    <w:rsid w:val="00082EC4"/>
    <w:rsid w:val="00087478"/>
    <w:rsid w:val="000D44A6"/>
    <w:rsid w:val="00122C05"/>
    <w:rsid w:val="00134974"/>
    <w:rsid w:val="00141CD7"/>
    <w:rsid w:val="00147FBF"/>
    <w:rsid w:val="001616BD"/>
    <w:rsid w:val="001820A9"/>
    <w:rsid w:val="001A0556"/>
    <w:rsid w:val="001B0A1E"/>
    <w:rsid w:val="001C0886"/>
    <w:rsid w:val="001D5154"/>
    <w:rsid w:val="001E3AC4"/>
    <w:rsid w:val="0020077A"/>
    <w:rsid w:val="00207509"/>
    <w:rsid w:val="00221197"/>
    <w:rsid w:val="00222D54"/>
    <w:rsid w:val="0023131B"/>
    <w:rsid w:val="002537B8"/>
    <w:rsid w:val="002A67EE"/>
    <w:rsid w:val="002B2C72"/>
    <w:rsid w:val="002D3573"/>
    <w:rsid w:val="00304EA8"/>
    <w:rsid w:val="00341A99"/>
    <w:rsid w:val="00360FAA"/>
    <w:rsid w:val="0038294E"/>
    <w:rsid w:val="003858C5"/>
    <w:rsid w:val="003A2F84"/>
    <w:rsid w:val="003C7390"/>
    <w:rsid w:val="003E1280"/>
    <w:rsid w:val="003F128E"/>
    <w:rsid w:val="0040055C"/>
    <w:rsid w:val="00487596"/>
    <w:rsid w:val="004B3A53"/>
    <w:rsid w:val="004C2A0D"/>
    <w:rsid w:val="004E1B62"/>
    <w:rsid w:val="004F1D2F"/>
    <w:rsid w:val="00502B76"/>
    <w:rsid w:val="00507D00"/>
    <w:rsid w:val="00513F6F"/>
    <w:rsid w:val="00516E52"/>
    <w:rsid w:val="00522B51"/>
    <w:rsid w:val="00524707"/>
    <w:rsid w:val="0053750A"/>
    <w:rsid w:val="005539B7"/>
    <w:rsid w:val="00571233"/>
    <w:rsid w:val="00613134"/>
    <w:rsid w:val="00626D52"/>
    <w:rsid w:val="00643DA8"/>
    <w:rsid w:val="00657D5C"/>
    <w:rsid w:val="00683DD1"/>
    <w:rsid w:val="00686E5A"/>
    <w:rsid w:val="00691B1C"/>
    <w:rsid w:val="006A0F0A"/>
    <w:rsid w:val="006A48AA"/>
    <w:rsid w:val="006B1267"/>
    <w:rsid w:val="006D292E"/>
    <w:rsid w:val="006F3B42"/>
    <w:rsid w:val="00712462"/>
    <w:rsid w:val="00716BAA"/>
    <w:rsid w:val="0078423E"/>
    <w:rsid w:val="0078548A"/>
    <w:rsid w:val="007A4B51"/>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269FD"/>
    <w:rsid w:val="009368B3"/>
    <w:rsid w:val="00982B83"/>
    <w:rsid w:val="009857B4"/>
    <w:rsid w:val="0099178F"/>
    <w:rsid w:val="009B2544"/>
    <w:rsid w:val="009E7319"/>
    <w:rsid w:val="00A71228"/>
    <w:rsid w:val="00A74E25"/>
    <w:rsid w:val="00AC2A60"/>
    <w:rsid w:val="00AD49D0"/>
    <w:rsid w:val="00AD5932"/>
    <w:rsid w:val="00AE0DF2"/>
    <w:rsid w:val="00B00EE6"/>
    <w:rsid w:val="00B41BDE"/>
    <w:rsid w:val="00B476DC"/>
    <w:rsid w:val="00B556CD"/>
    <w:rsid w:val="00B62D4B"/>
    <w:rsid w:val="00B735E3"/>
    <w:rsid w:val="00B904FA"/>
    <w:rsid w:val="00BA3E40"/>
    <w:rsid w:val="00BC431E"/>
    <w:rsid w:val="00BD1F76"/>
    <w:rsid w:val="00BE20CF"/>
    <w:rsid w:val="00BE5A6F"/>
    <w:rsid w:val="00C22327"/>
    <w:rsid w:val="00C335C6"/>
    <w:rsid w:val="00C36610"/>
    <w:rsid w:val="00C4219C"/>
    <w:rsid w:val="00C510FC"/>
    <w:rsid w:val="00C52A28"/>
    <w:rsid w:val="00C709B7"/>
    <w:rsid w:val="00C75E98"/>
    <w:rsid w:val="00C81C5B"/>
    <w:rsid w:val="00C83B35"/>
    <w:rsid w:val="00D25CF2"/>
    <w:rsid w:val="00D377B5"/>
    <w:rsid w:val="00D56CE0"/>
    <w:rsid w:val="00D6254D"/>
    <w:rsid w:val="00D67D0A"/>
    <w:rsid w:val="00D74FD1"/>
    <w:rsid w:val="00D76706"/>
    <w:rsid w:val="00D943A5"/>
    <w:rsid w:val="00D9581F"/>
    <w:rsid w:val="00DB56E4"/>
    <w:rsid w:val="00E03C69"/>
    <w:rsid w:val="00E27F01"/>
    <w:rsid w:val="00E35335"/>
    <w:rsid w:val="00E77FF5"/>
    <w:rsid w:val="00E94D64"/>
    <w:rsid w:val="00EA3802"/>
    <w:rsid w:val="00EF1432"/>
    <w:rsid w:val="00EF33D5"/>
    <w:rsid w:val="00F15744"/>
    <w:rsid w:val="00F24D40"/>
    <w:rsid w:val="00F533AD"/>
    <w:rsid w:val="00F8696F"/>
    <w:rsid w:val="00FC4B53"/>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BE5A6F"/>
    <w:rPr>
      <w:b/>
      <w:sz w:val="24"/>
    </w:rPr>
  </w:style>
  <w:style w:type="character" w:customStyle="1" w:styleId="NormalBold12bChar">
    <w:name w:val="NormalBold12b Char"/>
    <w:basedOn w:val="AmNumberTabsChar"/>
    <w:link w:val="NormalBold12b"/>
    <w:rsid w:val="00BE5A6F"/>
    <w:rPr>
      <w:b/>
      <w:sz w:val="24"/>
    </w:rPr>
  </w:style>
  <w:style w:type="paragraph" w:styleId="BalloonText">
    <w:name w:val="Balloon Text"/>
    <w:basedOn w:val="Normal"/>
    <w:link w:val="BalloonTextChar"/>
    <w:semiHidden/>
    <w:unhideWhenUsed/>
    <w:rsid w:val="00BE5A6F"/>
    <w:rPr>
      <w:rFonts w:ascii="Segoe UI" w:hAnsi="Segoe UI" w:cs="Segoe UI"/>
      <w:sz w:val="18"/>
      <w:szCs w:val="18"/>
    </w:rPr>
  </w:style>
  <w:style w:type="character" w:customStyle="1" w:styleId="BalloonTextChar">
    <w:name w:val="Balloon Text Char"/>
    <w:basedOn w:val="DefaultParagraphFont"/>
    <w:link w:val="BalloonText"/>
    <w:semiHidden/>
    <w:rsid w:val="00BE5A6F"/>
    <w:rPr>
      <w:rFonts w:ascii="Segoe UI" w:hAnsi="Segoe UI" w:cs="Segoe UI"/>
      <w:sz w:val="18"/>
      <w:szCs w:val="18"/>
      <w:lang w:val="da-DK"/>
    </w:rPr>
  </w:style>
  <w:style w:type="paragraph" w:customStyle="1" w:styleId="RollCallSymbols14pt">
    <w:name w:val="RollCallSymbols14pt"/>
    <w:basedOn w:val="Normal"/>
    <w:rsid w:val="00BE5A6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E5A6F"/>
    <w:pPr>
      <w:tabs>
        <w:tab w:val="center" w:pos="284"/>
        <w:tab w:val="left" w:pos="426"/>
      </w:tabs>
    </w:pPr>
    <w:rPr>
      <w:snapToGrid w:val="0"/>
      <w:szCs w:val="20"/>
      <w:lang w:eastAsia="en-US"/>
    </w:rPr>
  </w:style>
  <w:style w:type="paragraph" w:customStyle="1" w:styleId="RollCallVotes">
    <w:name w:val="RollCallVotes"/>
    <w:basedOn w:val="Normal"/>
    <w:rsid w:val="00BE5A6F"/>
    <w:pPr>
      <w:spacing w:before="120" w:after="120"/>
      <w:jc w:val="center"/>
    </w:pPr>
    <w:rPr>
      <w:b/>
      <w:bCs/>
      <w:snapToGrid w:val="0"/>
      <w:sz w:val="16"/>
      <w:szCs w:val="20"/>
      <w:lang w:eastAsia="en-US"/>
    </w:rPr>
  </w:style>
  <w:style w:type="paragraph" w:customStyle="1" w:styleId="RollCallTable">
    <w:name w:val="RollCallTable"/>
    <w:basedOn w:val="Normal"/>
    <w:rsid w:val="00BE5A6F"/>
    <w:pPr>
      <w:spacing w:before="120" w:after="120"/>
    </w:pPr>
    <w:rPr>
      <w:snapToGrid w:val="0"/>
      <w:sz w:val="16"/>
      <w:szCs w:val="20"/>
      <w:lang w:eastAsia="en-US"/>
    </w:rPr>
  </w:style>
  <w:style w:type="paragraph" w:customStyle="1" w:styleId="Normal24a">
    <w:name w:val="Normal24a"/>
    <w:basedOn w:val="Normal"/>
    <w:rsid w:val="00BE5A6F"/>
    <w:pPr>
      <w:spacing w:after="480"/>
    </w:pPr>
    <w:rPr>
      <w:szCs w:val="20"/>
    </w:rPr>
  </w:style>
  <w:style w:type="paragraph" w:customStyle="1" w:styleId="NormalBoldCenter">
    <w:name w:val="NormalBoldCenter"/>
    <w:basedOn w:val="Normal"/>
    <w:rsid w:val="00BE5A6F"/>
    <w:pPr>
      <w:jc w:val="center"/>
    </w:pPr>
    <w:rPr>
      <w:b/>
      <w:szCs w:val="20"/>
    </w:rPr>
  </w:style>
  <w:style w:type="paragraph" w:customStyle="1" w:styleId="Titel">
    <w:name w:val="Titel"/>
    <w:rsid w:val="00BE5A6F"/>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73DF6-7BB9-472B-8E7A-C821B1445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5710</Words>
  <Characters>36546</Characters>
  <Application>Microsoft Office Word</Application>
  <DocSecurity>0</DocSecurity>
  <Lines>1333</Lines>
  <Paragraphs>391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2024-04-05T08:46:00Z</dcterms:created>
  <dcterms:modified xsi:type="dcterms:W3CDTF">2024-04-05T08:46:00Z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Bookout">
    <vt:lpwstr>OK - 2024/04/05 10:46</vt:lpwstr>
  </property>
  <property fmtid="{D5CDD505-2E9C-101B-9397-08002B2CF9AE}" pid="9" name="Created with">
    <vt:lpwstr>9.17.1 Build [20240201]</vt:lpwstr>
  </property>
  <property fmtid="{D5CDD505-2E9C-101B-9397-08002B2CF9AE}" pid="10" name="FooterPath">
    <vt:lpwstr>AD\1299352DA.docx</vt:lpwstr>
  </property>
  <property fmtid="{D5CDD505-2E9C-101B-9397-08002B2CF9AE}" pid="11" name="LastEdited with">
    <vt:lpwstr>9.17.2 Build [20240301]</vt:lpwstr>
  </property>
  <property fmtid="{D5CDD505-2E9C-101B-9397-08002B2CF9AE}" pid="12" name="PE number">
    <vt:lpwstr>758.853</vt:lpwstr>
  </property>
  <property fmtid="{D5CDD505-2E9C-101B-9397-08002B2CF9AE}" pid="13" name="SDLStudio">
    <vt:lpwstr/>
  </property>
  <property fmtid="{D5CDD505-2E9C-101B-9397-08002B2CF9AE}" pid="14" name="SendToEpades">
    <vt:lpwstr>OK - 2024/02/21 22:17</vt:lpwstr>
  </property>
</Properties>
</file>