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2970" w:rsidRPr="00446E4E" w:rsidTr="0004333E">
        <w:trPr>
          <w:trHeight w:hRule="exact" w:val="1418"/>
        </w:trPr>
        <w:tc>
          <w:tcPr>
            <w:tcW w:w="6804" w:type="dxa"/>
            <w:shd w:val="clear" w:color="auto" w:fill="auto"/>
            <w:vAlign w:val="center"/>
          </w:tcPr>
          <w:p w:rsidR="00BA3E40" w:rsidRPr="00446E4E" w:rsidRDefault="00446E4E" w:rsidP="0004333E">
            <w:pPr>
              <w:pStyle w:val="EPName"/>
            </w:pPr>
            <w:r w:rsidRPr="00446E4E">
              <w:t>Eiropas Parlaments</w:t>
            </w:r>
          </w:p>
          <w:p w:rsidR="00BA3E40" w:rsidRPr="00446E4E" w:rsidRDefault="00446E4E" w:rsidP="00E35335">
            <w:pPr>
              <w:pStyle w:val="EPTerm"/>
            </w:pPr>
            <w:r w:rsidRPr="00446E4E">
              <w:t>2019-2024</w:t>
            </w:r>
          </w:p>
        </w:tc>
        <w:tc>
          <w:tcPr>
            <w:tcW w:w="2268" w:type="dxa"/>
            <w:shd w:val="clear" w:color="auto" w:fill="auto"/>
          </w:tcPr>
          <w:p w:rsidR="00BA3E40" w:rsidRPr="00446E4E" w:rsidRDefault="00446E4E" w:rsidP="0004333E">
            <w:pPr>
              <w:pStyle w:val="EPLogo"/>
            </w:pPr>
            <w:r w:rsidRPr="00446E4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46E4E" w:rsidRDefault="00F24D40" w:rsidP="00F24D40">
      <w:pPr>
        <w:pStyle w:val="LineTop"/>
      </w:pPr>
    </w:p>
    <w:p w:rsidR="00F24D40" w:rsidRPr="00446E4E" w:rsidRDefault="00446E4E" w:rsidP="00F24D40">
      <w:pPr>
        <w:pStyle w:val="EPBody"/>
      </w:pPr>
      <w:r w:rsidRPr="00446E4E">
        <w:rPr>
          <w:rStyle w:val="HideTWBExt"/>
          <w:color w:val="auto"/>
        </w:rPr>
        <w:t>&lt;</w:t>
      </w:r>
      <w:r w:rsidRPr="00446E4E">
        <w:rPr>
          <w:rStyle w:val="HideTWBExt"/>
          <w:i w:val="0"/>
          <w:color w:val="auto"/>
        </w:rPr>
        <w:t>Commission</w:t>
      </w:r>
      <w:r w:rsidRPr="00446E4E">
        <w:rPr>
          <w:rStyle w:val="HideTWBExt"/>
          <w:color w:val="auto"/>
        </w:rPr>
        <w:t>&gt;</w:t>
      </w:r>
      <w:r w:rsidRPr="00446E4E">
        <w:rPr>
          <w:rStyle w:val="HideTWBInt"/>
          <w:color w:val="auto"/>
        </w:rPr>
        <w:t>{AFET}</w:t>
      </w:r>
      <w:r w:rsidRPr="00446E4E">
        <w:t>Ārlietu komiteja</w:t>
      </w:r>
      <w:r w:rsidRPr="00446E4E">
        <w:rPr>
          <w:rStyle w:val="HideTWBExt"/>
          <w:color w:val="auto"/>
        </w:rPr>
        <w:t>&lt;/</w:t>
      </w:r>
      <w:r w:rsidRPr="00446E4E">
        <w:rPr>
          <w:rStyle w:val="HideTWBExt"/>
          <w:i w:val="0"/>
          <w:color w:val="auto"/>
        </w:rPr>
        <w:t>Commission</w:t>
      </w:r>
      <w:r w:rsidRPr="00446E4E">
        <w:rPr>
          <w:rStyle w:val="HideTWBExt"/>
          <w:color w:val="auto"/>
        </w:rPr>
        <w:t>&gt;</w:t>
      </w:r>
    </w:p>
    <w:p w:rsidR="00F24D40" w:rsidRPr="00446E4E" w:rsidRDefault="00F24D40" w:rsidP="00F24D40">
      <w:pPr>
        <w:pStyle w:val="LineBottom"/>
      </w:pPr>
    </w:p>
    <w:p w:rsidR="00DB56E4" w:rsidRPr="00446E4E" w:rsidRDefault="00446E4E" w:rsidP="00DB56E4">
      <w:pPr>
        <w:pStyle w:val="CoverReference"/>
      </w:pPr>
      <w:r w:rsidRPr="00446E4E">
        <w:rPr>
          <w:rStyle w:val="HideTWBExt"/>
          <w:b w:val="0"/>
          <w:color w:val="auto"/>
        </w:rPr>
        <w:t>&lt;RefProc&gt;</w:t>
      </w:r>
      <w:r w:rsidRPr="00446E4E">
        <w:t>2023/0441</w:t>
      </w:r>
      <w:r w:rsidRPr="00446E4E">
        <w:rPr>
          <w:rStyle w:val="HideTWBExt"/>
          <w:b w:val="0"/>
          <w:color w:val="auto"/>
        </w:rPr>
        <w:t>&lt;/RefProc&gt;&lt;RefTypeProc&gt;</w:t>
      </w:r>
      <w:r w:rsidRPr="00446E4E">
        <w:t>(CNS)</w:t>
      </w:r>
      <w:r w:rsidRPr="00446E4E">
        <w:rPr>
          <w:rStyle w:val="HideTWBExt"/>
          <w:b w:val="0"/>
          <w:color w:val="auto"/>
        </w:rPr>
        <w:t>&lt;/RefTypeProc&gt;</w:t>
      </w:r>
    </w:p>
    <w:p w:rsidR="00DB56E4" w:rsidRPr="00446E4E" w:rsidRDefault="00446E4E" w:rsidP="00DB56E4">
      <w:pPr>
        <w:pStyle w:val="CoverDate"/>
      </w:pPr>
      <w:r w:rsidRPr="00446E4E">
        <w:rPr>
          <w:rStyle w:val="HideTWBExt"/>
          <w:color w:val="auto"/>
        </w:rPr>
        <w:t>&lt;Date&gt;</w:t>
      </w:r>
      <w:r w:rsidRPr="00446E4E">
        <w:rPr>
          <w:rStyle w:val="HideTWBInt"/>
          <w:color w:val="auto"/>
        </w:rPr>
        <w:t>{21/03/2024}</w:t>
      </w:r>
      <w:r w:rsidRPr="00446E4E">
        <w:t>21.3.2024</w:t>
      </w:r>
      <w:r w:rsidRPr="00446E4E">
        <w:rPr>
          <w:rStyle w:val="HideTWBExt"/>
          <w:color w:val="auto"/>
        </w:rPr>
        <w:t>&lt;/Date&gt;</w:t>
      </w:r>
    </w:p>
    <w:p w:rsidR="00DB56E4" w:rsidRPr="00446E4E" w:rsidRDefault="00446E4E" w:rsidP="00DB56E4">
      <w:pPr>
        <w:pStyle w:val="CoverDocType24a"/>
      </w:pPr>
      <w:r w:rsidRPr="00446E4E">
        <w:rPr>
          <w:rStyle w:val="HideTWBExt"/>
          <w:b w:val="0"/>
          <w:color w:val="auto"/>
        </w:rPr>
        <w:t>&lt;TitreType&gt;</w:t>
      </w:r>
      <w:r w:rsidRPr="00446E4E">
        <w:t>ATZINUMS</w:t>
      </w:r>
      <w:r w:rsidRPr="00446E4E">
        <w:rPr>
          <w:rStyle w:val="HideTWBExt"/>
          <w:b w:val="0"/>
          <w:color w:val="auto"/>
        </w:rPr>
        <w:t>&lt;/TitreType&gt;</w:t>
      </w:r>
    </w:p>
    <w:p w:rsidR="00DB56E4" w:rsidRPr="00446E4E" w:rsidRDefault="00446E4E" w:rsidP="00DB56E4">
      <w:pPr>
        <w:pStyle w:val="CoverNormal24a"/>
      </w:pPr>
      <w:r w:rsidRPr="00446E4E">
        <w:rPr>
          <w:rStyle w:val="HideTWBExt"/>
          <w:color w:val="auto"/>
        </w:rPr>
        <w:t>&lt;CommissionResp&gt;</w:t>
      </w:r>
      <w:r w:rsidRPr="00446E4E">
        <w:t>Sniegusi Ārlietu komiteja</w:t>
      </w:r>
      <w:r w:rsidRPr="00446E4E">
        <w:rPr>
          <w:rStyle w:val="HideTWBExt"/>
          <w:color w:val="auto"/>
        </w:rPr>
        <w:t>&lt;/CommissionResp&gt;</w:t>
      </w:r>
    </w:p>
    <w:p w:rsidR="00DB56E4" w:rsidRPr="00446E4E" w:rsidRDefault="00446E4E" w:rsidP="00DB56E4">
      <w:pPr>
        <w:pStyle w:val="CoverNormal24a"/>
      </w:pPr>
      <w:r w:rsidRPr="00446E4E">
        <w:rPr>
          <w:rStyle w:val="HideTWBExt"/>
          <w:color w:val="auto"/>
        </w:rPr>
        <w:t>&lt;CommissionInt&gt;</w:t>
      </w:r>
      <w:r w:rsidRPr="00446E4E">
        <w:t>Pilsoņu brīvību, tieslietu un iekšlietu komitejai</w:t>
      </w:r>
      <w:r w:rsidRPr="00446E4E">
        <w:rPr>
          <w:rStyle w:val="HideTWBExt"/>
          <w:color w:val="auto"/>
        </w:rPr>
        <w:t>&lt;/CommissionInt&gt;</w:t>
      </w:r>
    </w:p>
    <w:p w:rsidR="00DB56E4" w:rsidRPr="00446E4E" w:rsidRDefault="00446E4E" w:rsidP="00DB56E4">
      <w:pPr>
        <w:pStyle w:val="CoverNormal"/>
      </w:pPr>
      <w:r w:rsidRPr="00446E4E">
        <w:rPr>
          <w:rStyle w:val="HideTWBExt"/>
          <w:color w:val="auto"/>
        </w:rPr>
        <w:t>&lt;Titre&gt;</w:t>
      </w:r>
      <w:r w:rsidRPr="00446E4E">
        <w:t>par priekšlikumu Padomes direktīvai, ar kuru groza Padomes Direktīvu (ES) 2015/637 par koordinācijas un sadarbības pasākumiem, ar ko veicina nepārstāv</w:t>
      </w:r>
      <w:r w:rsidRPr="00446E4E">
        <w:t>ēto Savienības pilsoņu konsulāro aizsardzību trešās valstīs, un Direktīvu (ES) 2019/997, ar ko izveido ES pagaidu ceļošanas dokumentu</w:t>
      </w:r>
      <w:r w:rsidRPr="00446E4E">
        <w:rPr>
          <w:rStyle w:val="HideTWBExt"/>
          <w:color w:val="auto"/>
        </w:rPr>
        <w:t>&lt;/Titre&gt;</w:t>
      </w:r>
    </w:p>
    <w:p w:rsidR="00DB56E4" w:rsidRPr="00446E4E" w:rsidRDefault="00446E4E" w:rsidP="00DB56E4">
      <w:pPr>
        <w:pStyle w:val="CoverNormal24a"/>
      </w:pPr>
      <w:r w:rsidRPr="00446E4E">
        <w:rPr>
          <w:rStyle w:val="HideTWBExt"/>
          <w:color w:val="auto"/>
        </w:rPr>
        <w:t>&lt;DocRef&gt;</w:t>
      </w:r>
      <w:r w:rsidRPr="00446E4E">
        <w:t>(COM(2023)930 – C9</w:t>
      </w:r>
      <w:r w:rsidRPr="00446E4E">
        <w:noBreakHyphen/>
        <w:t>0015/2024 – 2023/0441(CNS))</w:t>
      </w:r>
      <w:r w:rsidRPr="00446E4E">
        <w:rPr>
          <w:rStyle w:val="HideTWBExt"/>
          <w:color w:val="auto"/>
        </w:rPr>
        <w:t>&lt;/DocRef&gt;</w:t>
      </w:r>
    </w:p>
    <w:p w:rsidR="00DB56E4" w:rsidRPr="00446E4E" w:rsidRDefault="00446E4E" w:rsidP="00DB56E4">
      <w:pPr>
        <w:pStyle w:val="CoverNormal24a"/>
      </w:pPr>
      <w:r w:rsidRPr="00446E4E">
        <w:t xml:space="preserve">Atzinuma sagatavotājs (*): </w:t>
      </w:r>
      <w:r w:rsidRPr="00446E4E">
        <w:rPr>
          <w:rStyle w:val="HideTWBExt"/>
          <w:color w:val="auto"/>
        </w:rPr>
        <w:t>&lt;Depute&gt;</w:t>
      </w:r>
      <w:r w:rsidRPr="00446E4E">
        <w:rPr>
          <w:i/>
        </w:rPr>
        <w:t>Nacho Sánchez Amor</w:t>
      </w:r>
      <w:r w:rsidRPr="00446E4E">
        <w:rPr>
          <w:rStyle w:val="HideTWBExt"/>
          <w:color w:val="auto"/>
        </w:rPr>
        <w:t>&lt;/Depute&gt;</w:t>
      </w:r>
    </w:p>
    <w:p w:rsidR="00487596" w:rsidRPr="00446E4E" w:rsidRDefault="00446E4E" w:rsidP="00487596">
      <w:pPr>
        <w:pStyle w:val="CoverNormal"/>
      </w:pPr>
      <w:r w:rsidRPr="00446E4E">
        <w:t>(*)</w:t>
      </w:r>
      <w:r w:rsidRPr="00446E4E">
        <w:tab/>
        <w:t>(*) Iesaistītā komiteja — Reglamenta 57. pants</w:t>
      </w:r>
    </w:p>
    <w:p w:rsidR="00DB56E4" w:rsidRPr="00446E4E" w:rsidRDefault="00446E4E" w:rsidP="0004474F">
      <w:pPr>
        <w:tabs>
          <w:tab w:val="center" w:pos="4677"/>
        </w:tabs>
      </w:pPr>
      <w:r w:rsidRPr="00446E4E">
        <w:br w:type="page"/>
      </w:r>
      <w:r w:rsidRPr="00446E4E">
        <w:lastRenderedPageBreak/>
        <w:t>PA_Legam</w:t>
      </w:r>
    </w:p>
    <w:p w:rsidR="00DB56E4" w:rsidRPr="00446E4E" w:rsidRDefault="00446E4E" w:rsidP="00DB56E4">
      <w:pPr>
        <w:pStyle w:val="PageHeadingNotTOC"/>
      </w:pPr>
      <w:r w:rsidRPr="00446E4E">
        <w:br w:type="page"/>
      </w:r>
      <w:r w:rsidRPr="00446E4E">
        <w:lastRenderedPageBreak/>
        <w:t>ĪSS PAMATOJUMS</w:t>
      </w:r>
    </w:p>
    <w:p w:rsidR="00221197" w:rsidRPr="00446E4E" w:rsidRDefault="00446E4E" w:rsidP="00221197">
      <w:pPr>
        <w:pStyle w:val="Normal12a"/>
        <w:rPr>
          <w:bCs/>
        </w:rPr>
      </w:pPr>
      <w:r w:rsidRPr="00446E4E">
        <w:t>Komisijas priekšlikumā ir paredzēts būtiski paplašināt Eiropas Ārējās darbības dienesta (EĀDD) un Eiropas Savienības delegāciju lomu un darbības, tosta</w:t>
      </w:r>
      <w:r w:rsidRPr="00446E4E">
        <w:t>rp jauni un grozīti noteikumi par sagatavotību krīzēm un reaģēšanu uz tām ārpus Eiropas Savienības.</w:t>
      </w:r>
    </w:p>
    <w:p w:rsidR="00221197" w:rsidRPr="00446E4E" w:rsidRDefault="00446E4E" w:rsidP="00221197">
      <w:pPr>
        <w:pStyle w:val="Normal12a"/>
        <w:rPr>
          <w:bCs/>
        </w:rPr>
      </w:pPr>
      <w:r w:rsidRPr="00446E4E">
        <w:t>Saskaņā ar Reglamenta VI pielikuma I.3. punktu EĀDD un tā dažādo dienestu uzraudzība, tostarp ES delegāciju un EĀDD Krīzes reaģēšanas centra organizācija un</w:t>
      </w:r>
      <w:r w:rsidRPr="00446E4E">
        <w:t xml:space="preserve"> darbība, ir ekskluzīvā Ārlietu komitejas (AFET) kompetencē. ES delegāciju darbs aptver arī to, kā tiek īstenotas Savienības pilsoņu tiesības uz aizsardzību trešo valstu teritorijā, kā minēts Līguma par Eiropas Savienību 35. pantā.</w:t>
      </w:r>
    </w:p>
    <w:p w:rsidR="00221197" w:rsidRPr="00446E4E" w:rsidRDefault="00446E4E" w:rsidP="00221197">
      <w:pPr>
        <w:pStyle w:val="Normal12a"/>
        <w:rPr>
          <w:bCs/>
        </w:rPr>
      </w:pPr>
      <w:r w:rsidRPr="00446E4E">
        <w:t>EĀDD, ES delegāciju un krīzes reaģēšanas struktūru organizācija un darbība ir noteikta Padomes 2010. gada 26. jūlija Lēmumā 2010/427/ES, kas ir AFET komitejas kompetencē. Ar 2022. gada Stratēģisko kompasu drošībai un aizsardzībai, kas ir arī AFET komitejas</w:t>
      </w:r>
      <w:r w:rsidRPr="00446E4E">
        <w:t xml:space="preserve"> kompetencē, sāka pārskatīt EĀDD krīzes reaģēšanas mehānismus, tostarp konsulāro atbalstu un drošību uz vietas.</w:t>
      </w:r>
    </w:p>
    <w:p w:rsidR="00221197" w:rsidRPr="00446E4E" w:rsidRDefault="00446E4E" w:rsidP="00221197">
      <w:pPr>
        <w:pStyle w:val="Normal12a"/>
        <w:rPr>
          <w:bCs/>
        </w:rPr>
      </w:pPr>
      <w:r w:rsidRPr="00446E4E">
        <w:t>Parlaments 2023. gada 15. martā pieņēma Ārlietu komitejas vadītu KĀDP ieteikumu izvērtēt EĀDD darbību un veidot pasaules mērogā spēcīgāku ES (20</w:t>
      </w:r>
      <w:r w:rsidRPr="00446E4E">
        <w:t>21/2065(INI)). Tajā aptverts plašs EĀDD jautājumu loks, tostarp atbalsts ES Krīžu reaģēšanas centram (</w:t>
      </w:r>
      <w:r w:rsidRPr="00446E4E">
        <w:rPr>
          <w:i/>
        </w:rPr>
        <w:t>CRC</w:t>
      </w:r>
      <w:r w:rsidRPr="00446E4E">
        <w:t>), koordinējot ES un dalībvalstu vēstniecību un delegāciju reakciju un pakalpojumus, ko tās piedāvā ES iedzīvotājiem krīzes laikā.</w:t>
      </w:r>
    </w:p>
    <w:p w:rsidR="00DB56E4" w:rsidRPr="00446E4E" w:rsidRDefault="00446E4E" w:rsidP="00221197">
      <w:pPr>
        <w:pStyle w:val="Normal12a"/>
      </w:pPr>
      <w:r w:rsidRPr="00446E4E">
        <w:t>Ar Komisijas priekšl</w:t>
      </w:r>
      <w:r w:rsidRPr="00446E4E">
        <w:t>ikumu EĀDD (un tā krīžu pārvarēšanas struktūru un ES delegāciju) loma tiek palielināta līdz jaunam iesaistes līmenim, lai konsulārā aizsardzība būtu savstarpēji saistīta ar EĀDD lomu ārpolitikas, drošības un aizsardzības politikas jomā, kad vien lēmumi jāp</w:t>
      </w:r>
      <w:r w:rsidRPr="00446E4E">
        <w:t>ieņem, pamatojoties uz novērtējumiem, kontaktiem ar trešām valstīm, militāru līdzekļu un citu tipisku KĀDP/KDAP elementu izmantošanu.</w:t>
      </w:r>
    </w:p>
    <w:p w:rsidR="00DB56E4" w:rsidRPr="00446E4E" w:rsidRDefault="00446E4E" w:rsidP="00DB56E4">
      <w:pPr>
        <w:pStyle w:val="AmHeadingPA"/>
      </w:pPr>
      <w:r w:rsidRPr="00446E4E">
        <w:t>GROZĪJUMi</w:t>
      </w:r>
    </w:p>
    <w:p w:rsidR="00DB56E4" w:rsidRPr="00446E4E" w:rsidRDefault="00446E4E" w:rsidP="001E3AC4">
      <w:pPr>
        <w:pStyle w:val="Normal12a"/>
      </w:pPr>
      <w:bookmarkStart w:id="0" w:name="IntroA"/>
      <w:r w:rsidRPr="00446E4E">
        <w:t>Ārlietu komiteja aicina par jautājumu atbildīgo Pilsoņu brīvību, tieslietu un iekšlietu komiteju ņemt vērā turpm</w:t>
      </w:r>
      <w:r w:rsidRPr="00446E4E">
        <w:t>āk minēto.</w:t>
      </w:r>
    </w:p>
    <w:p w:rsidR="00DB56E4" w:rsidRPr="00446E4E" w:rsidRDefault="00446E4E" w:rsidP="00DB56E4">
      <w:pPr>
        <w:pStyle w:val="AmNumberTabs"/>
        <w:keepNext/>
      </w:pPr>
      <w:bookmarkStart w:id="1" w:name="IntroB"/>
      <w:bookmarkEnd w:id="0"/>
      <w:r w:rsidRPr="00446E4E">
        <w:rPr>
          <w:rStyle w:val="HideTWBExt"/>
          <w:b w:val="0"/>
          <w:color w:val="auto"/>
        </w:rPr>
        <w:t>&lt;RepeatBlock-Amend&gt;</w:t>
      </w:r>
      <w:bookmarkStart w:id="2" w:name="restart"/>
      <w:bookmarkEnd w:id="1"/>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1</w:t>
      </w:r>
      <w:r w:rsidRPr="00446E4E">
        <w:rPr>
          <w:rStyle w:val="HideTWBExt"/>
          <w:b w:val="0"/>
          <w:color w:val="auto"/>
        </w:rPr>
        <w:t>&lt;/NumAm&gt;</w:t>
      </w:r>
    </w:p>
    <w:p w:rsidR="00DB56E4" w:rsidRPr="00446E4E" w:rsidRDefault="00446E4E" w:rsidP="00DB56E4">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bookmarkEnd w:id="2"/>
    <w:p w:rsidR="00E260EB" w:rsidRPr="00446E4E" w:rsidRDefault="00446E4E" w:rsidP="00E260EB">
      <w:pPr>
        <w:pStyle w:val="NormalBold"/>
      </w:pPr>
      <w:r w:rsidRPr="00446E4E">
        <w:rPr>
          <w:rStyle w:val="HideTWBExt"/>
          <w:color w:val="auto"/>
        </w:rPr>
        <w:t>&lt;Article&gt;</w:t>
      </w:r>
      <w:r w:rsidRPr="00446E4E">
        <w:t>1.a apsvērums (jauns)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E260EB" w:rsidP="009704C5">
            <w:pPr>
              <w:pStyle w:val="Normal6a"/>
            </w:pPr>
          </w:p>
        </w:tc>
        <w:tc>
          <w:tcPr>
            <w:tcW w:w="4876" w:type="dxa"/>
          </w:tcPr>
          <w:p w:rsidR="00E260EB" w:rsidRPr="00446E4E" w:rsidRDefault="00446E4E" w:rsidP="009704C5">
            <w:pPr>
              <w:pStyle w:val="Normal6a"/>
            </w:pPr>
            <w:r w:rsidRPr="00446E4E">
              <w:rPr>
                <w:b/>
                <w:i/>
              </w:rPr>
              <w:t>(1a)</w:t>
            </w:r>
            <w:r w:rsidRPr="00446E4E">
              <w:tab/>
            </w:r>
            <w:r w:rsidRPr="00446E4E">
              <w:rPr>
                <w:b/>
                <w:i/>
              </w:rPr>
              <w:t xml:space="preserve">Direktīvas (ES) 2015/637 darbības joma būtu jāpaplašina, aptverot ne tikai ES pilsoņus. Tādēļ atzītiem bēgļiem un bezvalstniekiem, un citām personām, kas nav nevienas valsts valstspiederīgās, bet kas uzturas kādā dalībvalstī un kam ir </w:t>
            </w:r>
            <w:r w:rsidRPr="00446E4E">
              <w:rPr>
                <w:b/>
                <w:i/>
              </w:rPr>
              <w:lastRenderedPageBreak/>
              <w:t>attiecīgās dalībvalst</w:t>
            </w:r>
            <w:r w:rsidRPr="00446E4E">
              <w:rPr>
                <w:b/>
                <w:i/>
              </w:rPr>
              <w:t>s izsniegts ceļošanas dokuments, ir tiesības uz konsulāro aizsardzību saskaņā ar tādiem pašiem nosacījumiem kā nepārstāvētiem pilsoņiem, ja uzturēšanās dalībvalsti nepārstāv kāda diplomātiskā vai konsulārā iestāde.</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2</w:t>
      </w:r>
      <w:r w:rsidRPr="00446E4E">
        <w:rPr>
          <w:rStyle w:val="HideTWBExt"/>
          <w:color w:val="auto"/>
        </w:rPr>
        <w:t>&lt;</w:t>
      </w:r>
      <w:r w:rsidRPr="00446E4E">
        <w:rPr>
          <w:rStyle w:val="HideTWBExt"/>
          <w:color w:val="auto"/>
        </w:rPr>
        <w: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2.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(2)</w:t>
            </w:r>
            <w:r w:rsidRPr="00446E4E">
              <w:tab/>
              <w:t xml:space="preserve">To krīžu biežums un apmērs, kurās tiek lūgta konsulārā aizsardzība, palielinās. </w:t>
            </w:r>
            <w:r w:rsidRPr="00446E4E">
              <w:t>Covid-19 pandēmija, krīze Afganistānā, Krievijas agresijas karš pret Ukrainu, konflikts Sudānā, repatriācija no Izraēlas un Gazas un citas līdzīgas krīzes ļāva apzināt nepilnības un pārdomāt, kā stiprināt Savienības pilsoņu tiesības uz konsulāro aizsardzīb</w:t>
            </w:r>
            <w:r w:rsidRPr="00446E4E">
              <w:t>u. Mācoties no šīs pieredzes un tiecoties vienkāršot procedūras pilsoņiem un konsulārajām iestādēm, Direktīvas (ES) 2015/637 noteikumi un procedūras būtu jāprecizē un jāracionalizē, lai uzlabotu konsulārās aizsardzības nodrošināšanas efektivitāti nepārstāv</w:t>
            </w:r>
            <w:r w:rsidRPr="00446E4E">
              <w:t>ētiem pilsoņiem, jo īpaši krīzes situācijās. Dalībvalstu un Savienības līmenī pieejamie resursi būtu pēc iespējas labāk jāizmanto gan vietējā mērogā trešās valstīs, gan kapitāla līmenī.</w:t>
            </w:r>
          </w:p>
        </w:tc>
        <w:tc>
          <w:tcPr>
            <w:tcW w:w="4876" w:type="dxa"/>
          </w:tcPr>
          <w:p w:rsidR="00E260EB" w:rsidRPr="00446E4E" w:rsidRDefault="00446E4E" w:rsidP="009704C5">
            <w:pPr>
              <w:pStyle w:val="AmColumnHeading"/>
              <w:spacing w:after="120"/>
              <w:jc w:val="left"/>
            </w:pPr>
            <w:r w:rsidRPr="00446E4E">
              <w:rPr>
                <w:i w:val="0"/>
              </w:rPr>
              <w:t>(2)</w:t>
            </w:r>
            <w:r w:rsidRPr="00446E4E">
              <w:rPr>
                <w:i w:val="0"/>
              </w:rPr>
              <w:tab/>
              <w:t>To krīžu biežums un apmērs, kurās tiek lūgta konsulārā aizsardzība</w:t>
            </w:r>
            <w:r w:rsidRPr="00446E4E">
              <w:rPr>
                <w:i w:val="0"/>
              </w:rPr>
              <w:t xml:space="preserve">, palielinās. </w:t>
            </w:r>
            <w:r w:rsidRPr="00446E4E">
              <w:rPr>
                <w:i w:val="0"/>
              </w:rPr>
              <w:t>Covid-19 pandēmija, krīze Afganistānā</w:t>
            </w:r>
            <w:r w:rsidRPr="00446E4E">
              <w:rPr>
                <w:b/>
              </w:rPr>
              <w:t xml:space="preserve"> 2021. gadā</w:t>
            </w:r>
            <w:r w:rsidRPr="00446E4E">
              <w:t xml:space="preserve">, </w:t>
            </w:r>
            <w:r w:rsidRPr="00446E4E">
              <w:rPr>
                <w:i w:val="0"/>
              </w:rPr>
              <w:t>Krievijas agresijas karš pret Ukrainu, konflikts Sudānā, repatriācija no Izraēlas un Gazas</w:t>
            </w:r>
            <w:r w:rsidRPr="00446E4E">
              <w:rPr>
                <w:b/>
              </w:rPr>
              <w:t>, arvien biežākās humanitārās krīzes un dabas un cilvēku izraisītas katastrofas</w:t>
            </w:r>
            <w:r w:rsidRPr="00446E4E">
              <w:t xml:space="preserve"> </w:t>
            </w:r>
            <w:r w:rsidRPr="00446E4E">
              <w:rPr>
                <w:i w:val="0"/>
              </w:rPr>
              <w:t>un citas līdzīgas krīz</w:t>
            </w:r>
            <w:r w:rsidRPr="00446E4E">
              <w:rPr>
                <w:i w:val="0"/>
              </w:rPr>
              <w:t>es ļāva apzināt nepilnības un pārdomāt, kā stiprināt Savienības pilsoņu tiesības uz konsulāro aizsardzību</w:t>
            </w:r>
            <w:r w:rsidRPr="00446E4E">
              <w:rPr>
                <w:b/>
              </w:rPr>
              <w:t>.</w:t>
            </w:r>
            <w:r w:rsidRPr="00446E4E">
              <w:rPr>
                <w:b/>
              </w:rPr>
              <w:t xml:space="preserve"> </w:t>
            </w:r>
            <w:r w:rsidRPr="00446E4E">
              <w:rPr>
                <w:b/>
              </w:rPr>
              <w:t>Novēršot visus trūkumus un stiprinot mūsu sagatavotību, informācijas vākšanu un lēmumu pieņemšanas spējas pirms krīzēm un to laikā, būtu jāstiprina ES spēja reaģēt uz šīm šā brīža aizvien biežākajām krīzēm</w:t>
            </w:r>
            <w:r w:rsidRPr="00446E4E">
              <w:rPr>
                <w:b/>
              </w:rPr>
              <w:t>.</w:t>
            </w:r>
            <w:r w:rsidRPr="00446E4E">
              <w:t xml:space="preserve"> </w:t>
            </w:r>
            <w:r w:rsidRPr="00446E4E">
              <w:rPr>
                <w:i w:val="0"/>
              </w:rPr>
              <w:t>Mācoties no šīs pieredzes un tiecoties vienkāršot</w:t>
            </w:r>
            <w:r w:rsidRPr="00446E4E">
              <w:rPr>
                <w:i w:val="0"/>
              </w:rPr>
              <w:t xml:space="preserve"> procedūras pilsoņiem un konsulārajām iestādēm, Direktīvas (ES) 2015/637 noteikumi un procedūras būtu jāprecizē un jāracionalizē, lai uzlabotu konsulārās aizsardzības nodrošināšanas efektivitāti nepārstāvētiem pilsoņiem, jo īpaši krīzes situācijās. Dalībva</w:t>
            </w:r>
            <w:r w:rsidRPr="00446E4E">
              <w:rPr>
                <w:i w:val="0"/>
              </w:rPr>
              <w:t>lstu un Savienības līmenī pieejamie resursi būtu pēc iespējas labāk jāizmanto gan vietējā mērogā trešās valstīs, gan kapitāla līmenī.</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3</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4.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(4)</w:t>
            </w:r>
            <w:r w:rsidRPr="00446E4E">
              <w:tab/>
            </w:r>
            <w:r w:rsidRPr="00446E4E">
              <w:t>Lai palielinātu juridisko noteiktību konsulārajām iestādēm un pilsoņiem, ir lietderīgi noteikt sīkāk izstrādātus kritērijus, kas palīdz novērtēt, vai Savienības pilsonis ir uzskatāms par nepārstāvētu un tādējādi tiesīgs saņemt konsulāro aizsardzību no dalī</w:t>
            </w:r>
            <w:r w:rsidRPr="00446E4E">
              <w:t xml:space="preserve">bvalsts, kuras konsulārajā iestādē pilsonis ir vērsies. Šiem kritērijiem </w:t>
            </w:r>
            <w:r w:rsidRPr="00446E4E">
              <w:rPr>
                <w:b/>
                <w:i/>
              </w:rPr>
              <w:t>vajadzētu būt</w:t>
            </w:r>
            <w:r w:rsidRPr="00446E4E">
              <w:t xml:space="preserve"> pietiekami elastīgiem un piemērojamiem, ņemot vērā vietējos apstākļus, piemēram, ceļošanas vieglumu vai drošības situāciju attiecīgajā trešā valstī. Šajā saistībā piekļū</w:t>
            </w:r>
            <w:r w:rsidRPr="00446E4E">
              <w:t>stamība un tuvums joprojām ir svarīgi apsvērumi.</w:t>
            </w:r>
          </w:p>
        </w:tc>
        <w:tc>
          <w:tcPr>
            <w:tcW w:w="4876" w:type="dxa"/>
          </w:tcPr>
          <w:p w:rsidR="00E260EB" w:rsidRPr="00446E4E" w:rsidRDefault="00446E4E" w:rsidP="009704C5">
            <w:pPr>
              <w:pStyle w:val="AmColumnHeading"/>
              <w:spacing w:after="120"/>
              <w:jc w:val="left"/>
            </w:pPr>
            <w:r w:rsidRPr="00446E4E">
              <w:rPr>
                <w:i w:val="0"/>
              </w:rPr>
              <w:t>(4)</w:t>
            </w:r>
            <w:r w:rsidRPr="00446E4E">
              <w:rPr>
                <w:i w:val="0"/>
              </w:rPr>
              <w:tab/>
              <w:t xml:space="preserve">Lai palielinātu juridisko noteiktību konsulārajām iestādēm un pilsoņiem, ir lietderīgi noteikt sīkāk izstrādātus kritērijus, kas palīdz novērtēt, vai Savienības pilsonis ir uzskatāms par nepārstāvētu un </w:t>
            </w:r>
            <w:r w:rsidRPr="00446E4E">
              <w:rPr>
                <w:i w:val="0"/>
              </w:rPr>
              <w:t xml:space="preserve">tādējādi tiesīgs saņemt konsulāro aizsardzību no dalībvalsts, kuras konsulārajā iestādē pilsonis ir vērsies. </w:t>
            </w:r>
            <w:r w:rsidRPr="00446E4E">
              <w:rPr>
                <w:i w:val="0"/>
              </w:rPr>
              <w:t>Šiem kritērijiem</w:t>
            </w:r>
            <w:r w:rsidRPr="00446E4E">
              <w:t xml:space="preserve"> </w:t>
            </w:r>
            <w:r w:rsidRPr="00446E4E">
              <w:rPr>
                <w:b/>
              </w:rPr>
              <w:t>būtu jābūt</w:t>
            </w:r>
            <w:r w:rsidRPr="00446E4E">
              <w:t xml:space="preserve"> </w:t>
            </w:r>
            <w:r w:rsidRPr="00446E4E">
              <w:rPr>
                <w:i w:val="0"/>
              </w:rPr>
              <w:t>pietiekami</w:t>
            </w:r>
            <w:r w:rsidRPr="00446E4E">
              <w:rPr>
                <w:b/>
                <w:i w:val="0"/>
              </w:rPr>
              <w:t xml:space="preserve"> </w:t>
            </w:r>
            <w:r w:rsidRPr="00446E4E">
              <w:rPr>
                <w:b/>
              </w:rPr>
              <w:t>pragmātiskiem</w:t>
            </w:r>
            <w:r w:rsidRPr="00446E4E">
              <w:rPr>
                <w:b/>
                <w:i w:val="0"/>
              </w:rPr>
              <w:t>,</w:t>
            </w:r>
            <w:r w:rsidRPr="00446E4E">
              <w:rPr>
                <w:i w:val="0"/>
              </w:rPr>
              <w:t xml:space="preserve"> elastīgiem un piemērojamiem, ņemot vērā vietējos apstākļus, piemēram, ceļošanas vieglumu vai </w:t>
            </w:r>
            <w:r w:rsidRPr="00446E4E">
              <w:rPr>
                <w:i w:val="0"/>
              </w:rPr>
              <w:t>drošības situāciju attiecīgajā trešā valstī.</w:t>
            </w:r>
            <w:r w:rsidRPr="00446E4E">
              <w:rPr>
                <w:i w:val="0"/>
              </w:rPr>
              <w:t xml:space="preserve"> Šajā saistībā piekļūstamība un tuvums joprojām ir svarīgi apsvērumi.</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4</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10.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(10)</w:t>
            </w:r>
            <w:r w:rsidRPr="00446E4E">
              <w:tab/>
              <w:t>Ja krīzes situācijas dēļ tiek iesniegts liels konsulārās aizsardzības pieteikumu skaits, attiecīgajā trešā valstī pārstāvēto dalībvalstu vēstniecībām un konsulātiem būtu jādod iespēja vienoties par pieteikumu s</w:t>
            </w:r>
            <w:r w:rsidRPr="00446E4E">
              <w:t xml:space="preserve">adali, pamatojoties uz pieejamo kapacitāti, lai to izmantotu pēc iespējas labāk. Šajā nolūkā </w:t>
            </w:r>
            <w:r w:rsidRPr="00446E4E">
              <w:rPr>
                <w:b/>
                <w:i/>
              </w:rPr>
              <w:t>tiem var palīdzēt Savienības delegācijas</w:t>
            </w:r>
            <w:r w:rsidRPr="00446E4E">
              <w:t>.</w:t>
            </w:r>
          </w:p>
        </w:tc>
        <w:tc>
          <w:tcPr>
            <w:tcW w:w="4876" w:type="dxa"/>
          </w:tcPr>
          <w:p w:rsidR="00E260EB" w:rsidRPr="00446E4E" w:rsidRDefault="00446E4E" w:rsidP="009704C5">
            <w:pPr>
              <w:pStyle w:val="Normal6a"/>
            </w:pPr>
            <w:r w:rsidRPr="00446E4E">
              <w:t>(10)</w:t>
            </w:r>
            <w:r w:rsidRPr="00446E4E">
              <w:tab/>
              <w:t>Ja krīzes situācijas dēļ tiek iesniegts liels konsulārās aizsardzības pieteikumu skaits, attiecīgajā trešā valstī pā</w:t>
            </w:r>
            <w:r w:rsidRPr="00446E4E">
              <w:t xml:space="preserve">rstāvēto dalībvalstu vēstniecībām un konsulātiem būtu jādod iespēja vienoties par pieteikumu sadali, pamatojoties uz pieejamo kapacitāti, lai to izmantotu pēc iespējas labāk. Šajā nolūkā </w:t>
            </w:r>
            <w:r w:rsidRPr="00446E4E">
              <w:rPr>
                <w:b/>
                <w:i/>
              </w:rPr>
              <w:t>Savienības delegācijām būtu tiem jāpalīdz</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5</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19.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(19)</w:t>
            </w:r>
            <w:r w:rsidRPr="00446E4E">
              <w:tab/>
            </w:r>
            <w:r w:rsidRPr="00446E4E">
              <w:t xml:space="preserve">Lai nodrošinātu sagatavotību iespējamām konsulārajām krīzēm, kuru dēļ ir jāsniedz palīdzība nepārstāvētiem pilsoņiem, vietējā konsulārajā sadarbībā </w:t>
            </w:r>
            <w:r w:rsidRPr="00446E4E">
              <w:lastRenderedPageBreak/>
              <w:t>starp dalībvalstīm un Savienības delegācijām trešās valstīs būtu jāietver informācijas apmaiņa par jautājumi</w:t>
            </w:r>
            <w:r w:rsidRPr="00446E4E">
              <w:t>em, kas ir būtiski šādiem pilsoņiem, tostarp par viņu drošību un aizsardzību, kopīgu konsulāro ārkārtas rīcības plānu izstrādi un konsulāro mācību organizēšanu. Šajā saistībā var būt īpaši svarīgi, lai nepārstāvēto dalībvalstu konsulārās iestādes tiktu iek</w:t>
            </w:r>
            <w:r w:rsidRPr="00446E4E">
              <w:t>ļautas šādā vietējā konsulārajā sadarbībā, koordinējot sagatavotību konsulārajām krīzēm un reaģēšanu krīzes situācijās.</w:t>
            </w:r>
          </w:p>
        </w:tc>
        <w:tc>
          <w:tcPr>
            <w:tcW w:w="4876" w:type="dxa"/>
          </w:tcPr>
          <w:p w:rsidR="00E260EB" w:rsidRPr="00446E4E" w:rsidRDefault="00446E4E" w:rsidP="009704C5">
            <w:pPr>
              <w:pStyle w:val="Normal6a"/>
            </w:pPr>
            <w:r w:rsidRPr="00446E4E">
              <w:lastRenderedPageBreak/>
              <w:t>(19)</w:t>
            </w:r>
            <w:r w:rsidRPr="00446E4E">
              <w:tab/>
              <w:t xml:space="preserve">Lai nodrošinātu sagatavotību iespējamām konsulārajām krīzēm, kuru dēļ ir jāsniedz palīdzība nepārstāvētiem pilsoņiem, </w:t>
            </w:r>
            <w:r w:rsidRPr="00446E4E">
              <w:rPr>
                <w:b/>
                <w:i/>
              </w:rPr>
              <w:t>tostarp dabas</w:t>
            </w:r>
            <w:r w:rsidRPr="00446E4E">
              <w:rPr>
                <w:b/>
                <w:i/>
              </w:rPr>
              <w:t xml:space="preserve"> katastrofām, </w:t>
            </w:r>
            <w:r w:rsidRPr="00446E4E">
              <w:rPr>
                <w:b/>
                <w:i/>
              </w:rPr>
              <w:lastRenderedPageBreak/>
              <w:t xml:space="preserve">politiskiem nemieriem vai teroristu uzbrukumiem, </w:t>
            </w:r>
            <w:r w:rsidRPr="00446E4E">
              <w:t>vietējā konsulārajā sadarbībā starp dalībvalstīm un Savienības delegācijām trešās valstīs būtu jāietver informācijas apmaiņa par jautājumiem, kas ir būtiski šādiem pilsoņiem, tostarp par viņu d</w:t>
            </w:r>
            <w:r w:rsidRPr="00446E4E">
              <w:t>rošību un aizsardzību, kopīgu konsulāro ārkārtas rīcības plānu izstrādi</w:t>
            </w:r>
            <w:r w:rsidRPr="00446E4E">
              <w:rPr>
                <w:b/>
                <w:i/>
              </w:rPr>
              <w:t xml:space="preserve"> un ātras reaģēšanas mehānismiem,</w:t>
            </w:r>
            <w:r w:rsidRPr="00446E4E">
              <w:t xml:space="preserve"> un konsulāro mācību organizēšanu. Šajā saistībā var būt īpaši svarīgi, lai nepārstāvēto dalībvalstu konsulārās iestādes tiktu iekļautas šādā vietējā ko</w:t>
            </w:r>
            <w:r w:rsidRPr="00446E4E">
              <w:t>nsulārajā sadarbībā, koordinējot sagatavotību konsulārajām krīzēm un reaģēšanu krīzes situācijās.</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6</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23.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(23)</w:t>
            </w:r>
            <w:r w:rsidRPr="00446E4E">
              <w:tab/>
              <w:t>Attiecīgā gadījumā kopīgajos konsulārajos ārkārtas rīcības plānos būtu jāņem vērā arī vadītājvalstu, proti, attiecīgajā trešā valstī pārstāvēto dalībvalstu, kuras atbild par nepārstāvētiem pilsoņiem sniegtās palīdzības koordinēšanu un vadī</w:t>
            </w:r>
            <w:r w:rsidRPr="00446E4E">
              <w:t>šanu krīzes situācijās, uzdevumi un pienākumi, lai nodrošinātu efektīvu konsulārās palīdzības koordināciju. Turklāt kopīgie konsulārie ārkārtas rīcības plāni būtu jāizvērtē katru gadu konsulāro mācību ietvaros, lai nodrošinātu to pastāvīgu atbilstību. Vien</w:t>
            </w:r>
            <w:r w:rsidRPr="00446E4E">
              <w:t>laikus kopīgie konsulārie ārkārtas rīcības plāni nav uzskatāmi par tādiem, kas aizstāj dalībvalstu esošos valsts krīzes plānus vai ietekmē to pienākumu sniegt konsulāro palīdzību saviem valstspiederīgajiem.</w:t>
            </w:r>
          </w:p>
        </w:tc>
        <w:tc>
          <w:tcPr>
            <w:tcW w:w="4876" w:type="dxa"/>
          </w:tcPr>
          <w:p w:rsidR="00E260EB" w:rsidRPr="00446E4E" w:rsidRDefault="00446E4E" w:rsidP="009704C5">
            <w:pPr>
              <w:pStyle w:val="Normal6a"/>
            </w:pPr>
            <w:r w:rsidRPr="00446E4E">
              <w:t>(23)</w:t>
            </w:r>
            <w:r w:rsidRPr="00446E4E">
              <w:tab/>
              <w:t>Attiecīgā gadījumā kopīgajos konsulārajos ār</w:t>
            </w:r>
            <w:r w:rsidRPr="00446E4E">
              <w:t>kārtas rīcības plānos būtu jāņem vērā arī vadītājvalstu, proti, attiecīgajā trešā valstī pārstāvēto dalībvalstu, kuras atbild par nepārstāvētiem pilsoņiem sniegtās palīdzības koordinēšanu un vadīšanu krīzes situācijās, uzdevumi un pienākumi, lai nodrošināt</w:t>
            </w:r>
            <w:r w:rsidRPr="00446E4E">
              <w:t xml:space="preserve">u efektīvu konsulārās palīdzības koordināciju. Turklāt kopīgie konsulārie ārkārtas rīcības plāni būtu jāizvērtē katru gadu </w:t>
            </w:r>
            <w:r w:rsidRPr="00446E4E">
              <w:rPr>
                <w:b/>
                <w:i/>
              </w:rPr>
              <w:t xml:space="preserve">vai biežāk, ja pastāv attiecīgi ārkārtas apstākļi, </w:t>
            </w:r>
            <w:r w:rsidRPr="00446E4E">
              <w:t>konsulāro mācību ietvaros, lai nodrošinātu to pastāvīgu atbilstību. Vienlaikus kop</w:t>
            </w:r>
            <w:r w:rsidRPr="00446E4E">
              <w:t>īgie konsulārie ārkārtas rīcības plāni nav uzskatāmi par tādiem, kas aizstāj dalībvalstu esošos valsts krīzes plānus vai ietekmē to pienākumu sniegt konsulāro palīdzību saviem valstspiederīgajiem</w:t>
            </w:r>
            <w:r w:rsidRPr="00446E4E">
              <w:rPr>
                <w:b/>
                <w:i/>
              </w:rPr>
              <w:t>, bet gan par saskanīgu pieeju, kas var palīdzēt vēl vairāk k</w:t>
            </w:r>
            <w:r w:rsidRPr="00446E4E">
              <w:rPr>
                <w:b/>
                <w:i/>
              </w:rPr>
              <w:t>oordinēt pārstāvēto dalībvalstu pūliņus</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lastRenderedPageBreak/>
        <w:t>&lt;Amend&gt;</w:t>
      </w:r>
      <w:r w:rsidRPr="00446E4E">
        <w:t>Grozījums Nr.</w:t>
      </w:r>
      <w:r w:rsidRPr="00446E4E">
        <w:tab/>
      </w:r>
      <w:r w:rsidRPr="00446E4E">
        <w:tab/>
      </w:r>
      <w:r w:rsidRPr="00446E4E">
        <w:rPr>
          <w:rStyle w:val="HideTWBExt"/>
          <w:color w:val="auto"/>
        </w:rPr>
        <w:t>&lt;NumAm&gt;</w:t>
      </w:r>
      <w:r w:rsidRPr="00446E4E">
        <w:t>7</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25.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(25)</w:t>
            </w:r>
            <w:r w:rsidRPr="00446E4E">
              <w:tab/>
            </w:r>
            <w:r w:rsidRPr="00446E4E">
              <w:t xml:space="preserve">Ceļotājiem paredzētie ieteikumi, proti, dalībvalstu sniegtā informācija par ceļojumu uz konkrētām trešām valstīm salīdzinošo drošumu, </w:t>
            </w:r>
            <w:r w:rsidRPr="00446E4E">
              <w:rPr>
                <w:b/>
                <w:i/>
              </w:rPr>
              <w:t>ļauj ceļotājiem</w:t>
            </w:r>
            <w:r w:rsidRPr="00446E4E">
              <w:t xml:space="preserve"> pieņemt pārdomātu lēmumu par konkrētu ceļojuma galamērķi, tostarp trešām valstīm, kurās </w:t>
            </w:r>
            <w:r w:rsidRPr="00446E4E">
              <w:rPr>
                <w:b/>
                <w:i/>
              </w:rPr>
              <w:t xml:space="preserve">nav pārstāvēta </w:t>
            </w:r>
            <w:r w:rsidRPr="00446E4E">
              <w:t>viņ</w:t>
            </w:r>
            <w:r w:rsidRPr="00446E4E">
              <w:t xml:space="preserve">u valstspiederības dalībvalsts. Lai gan par ceļotājiem paredzēto ieteikumu izdošanu ir atbildīgas dalībvalstis, </w:t>
            </w:r>
            <w:r w:rsidRPr="00446E4E">
              <w:rPr>
                <w:b/>
                <w:i/>
              </w:rPr>
              <w:t>ir lietderīgi</w:t>
            </w:r>
            <w:r w:rsidRPr="00446E4E">
              <w:t xml:space="preserve">, ka </w:t>
            </w:r>
            <w:r w:rsidRPr="00446E4E">
              <w:rPr>
                <w:b/>
                <w:i/>
              </w:rPr>
              <w:t>tās koordinētu savu rīcību šajā saistībā, jo īpaši krīzes situācijās</w:t>
            </w:r>
            <w:r w:rsidRPr="00446E4E">
              <w:t>, lai</w:t>
            </w:r>
            <w:r w:rsidRPr="00446E4E">
              <w:rPr>
                <w:b/>
                <w:i/>
              </w:rPr>
              <w:t xml:space="preserve"> pēc iespējas</w:t>
            </w:r>
            <w:r w:rsidRPr="00446E4E">
              <w:t xml:space="preserve"> nodrošinātu sniegto ieteikumu konsekven</w:t>
            </w:r>
            <w:r w:rsidRPr="00446E4E">
              <w:t xml:space="preserve">ci. Tas varētu ietvert vienošanos par vienotu ceļotājiem paredzētajos ieteikumos norādīto risku līmeņu struktūru, izmantojot EĀDD drošo platformu. </w:t>
            </w:r>
            <w:r w:rsidRPr="00446E4E">
              <w:rPr>
                <w:b/>
                <w:i/>
              </w:rPr>
              <w:t>Ja iespējams,</w:t>
            </w:r>
            <w:r w:rsidRPr="00446E4E">
              <w:t xml:space="preserve"> šādai koordinācijai būtu jānotiek agrīnā posmā, kad dalībvalstis plāno mainīt savu ceļotājiem p</w:t>
            </w:r>
            <w:r w:rsidRPr="00446E4E">
              <w:t>aredzēto ieteikumu līmeni.</w:t>
            </w:r>
          </w:p>
        </w:tc>
        <w:tc>
          <w:tcPr>
            <w:tcW w:w="4876" w:type="dxa"/>
          </w:tcPr>
          <w:p w:rsidR="00E260EB" w:rsidRPr="00446E4E" w:rsidRDefault="00446E4E" w:rsidP="009704C5">
            <w:pPr>
              <w:pStyle w:val="AmColumnHeading"/>
              <w:spacing w:after="120"/>
              <w:jc w:val="left"/>
            </w:pPr>
            <w:r w:rsidRPr="00446E4E">
              <w:rPr>
                <w:i w:val="0"/>
              </w:rPr>
              <w:t>(25)</w:t>
            </w:r>
            <w:r w:rsidRPr="00446E4E">
              <w:rPr>
                <w:i w:val="0"/>
              </w:rPr>
              <w:tab/>
            </w:r>
            <w:r w:rsidRPr="00446E4E">
              <w:rPr>
                <w:i w:val="0"/>
              </w:rPr>
              <w:t>Ceļotājiem paredzētie ieteikumi, proti, dalībvalstu sniegtā informācija par ceļojumu uz konkrētām trešām valstīm salīdzinošo drošumu</w:t>
            </w:r>
            <w:r w:rsidRPr="00446E4E">
              <w:t xml:space="preserve">, </w:t>
            </w:r>
            <w:r w:rsidRPr="00446E4E">
              <w:rPr>
                <w:b/>
              </w:rPr>
              <w:t>būtu regulāri jāatjaunina, lai viņi varētu</w:t>
            </w:r>
            <w:r w:rsidRPr="00446E4E">
              <w:t xml:space="preserve"> </w:t>
            </w:r>
            <w:r w:rsidRPr="00446E4E">
              <w:rPr>
                <w:i w:val="0"/>
              </w:rPr>
              <w:t xml:space="preserve">pieņemt pārdomātu lēmumu par konkrētu ceļojuma </w:t>
            </w:r>
            <w:r w:rsidRPr="00446E4E">
              <w:rPr>
                <w:i w:val="0"/>
              </w:rPr>
              <w:t>galamērķi, tostarp trešām valstīm, kurās viņu valstspiederības dalībvalsts</w:t>
            </w:r>
            <w:r w:rsidRPr="00446E4E">
              <w:rPr>
                <w:b/>
              </w:rPr>
              <w:t xml:space="preserve"> pārstāvēta nav</w:t>
            </w:r>
            <w:r w:rsidRPr="00446E4E">
              <w:t>.</w:t>
            </w:r>
            <w:r w:rsidRPr="00446E4E">
              <w:rPr>
                <w:i w:val="0"/>
              </w:rPr>
              <w:t xml:space="preserve"> </w:t>
            </w:r>
            <w:r w:rsidRPr="00446E4E">
              <w:rPr>
                <w:i w:val="0"/>
              </w:rPr>
              <w:t>Lai gan par ceļotājiem paredzēto ieteikumu izdošanu ir atbildīgas dalībvalstis,</w:t>
            </w:r>
            <w:r w:rsidRPr="00446E4E">
              <w:t xml:space="preserve"> </w:t>
            </w:r>
            <w:r w:rsidRPr="00446E4E">
              <w:rPr>
                <w:b/>
              </w:rPr>
              <w:t>būtu jānodrošina</w:t>
            </w:r>
            <w:r w:rsidRPr="00446E4E">
              <w:rPr>
                <w:i w:val="0"/>
              </w:rPr>
              <w:t>, ka</w:t>
            </w:r>
            <w:r w:rsidRPr="00446E4E">
              <w:t xml:space="preserve"> </w:t>
            </w:r>
            <w:r w:rsidRPr="00446E4E">
              <w:rPr>
                <w:b/>
              </w:rPr>
              <w:t>jo īpaši krīžu situācijā tās savu rīcību koordinē</w:t>
            </w:r>
            <w:r w:rsidRPr="00446E4E">
              <w:t xml:space="preserve">, </w:t>
            </w:r>
            <w:r w:rsidRPr="00446E4E">
              <w:rPr>
                <w:i w:val="0"/>
              </w:rPr>
              <w:t>lai nodrošinā</w:t>
            </w:r>
            <w:r w:rsidRPr="00446E4E">
              <w:rPr>
                <w:i w:val="0"/>
              </w:rPr>
              <w:t>tu sniegto ieteikumu konsekvenci</w:t>
            </w:r>
            <w:r w:rsidRPr="00446E4E">
              <w:t>.</w:t>
            </w:r>
            <w:r w:rsidRPr="00446E4E">
              <w:rPr>
                <w:i w:val="0"/>
              </w:rPr>
              <w:t xml:space="preserve"> Tas varētu ietvert vienošanos par vienotu ceļotājiem paredzētajos ieteikumos norādīto risku līmeņu struktūru, izmantojot EĀDD drošo platformu</w:t>
            </w:r>
            <w:r w:rsidRPr="00446E4E">
              <w:rPr>
                <w:i w:val="0"/>
              </w:rPr>
              <w:t>.</w:t>
            </w:r>
            <w:r w:rsidRPr="00446E4E">
              <w:rPr>
                <w:i w:val="0"/>
              </w:rPr>
              <w:t xml:space="preserve"> Šādai koordinācijai būtu jānotiek agrīnā posmā, kad dalībvalstis plāno mainīt s</w:t>
            </w:r>
            <w:r w:rsidRPr="00446E4E">
              <w:rPr>
                <w:i w:val="0"/>
              </w:rPr>
              <w:t>avu ceļotājiem paredzēto ieteikumu līmeni</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8</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26. apsvērums</w:t>
      </w:r>
      <w:r w:rsidRPr="00446E4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(26) </w:t>
            </w:r>
            <w:r w:rsidRPr="00446E4E">
              <w:t xml:space="preserve">Efektīva koordinācija ir ļoti svarīga, lai nodrošinātu efektīvu reaģēšanu krīzes situācijās. Lai nodrošinātu šādu koordināciju, EĀDD Krīžu reaģēšanas </w:t>
            </w:r>
            <w:r w:rsidRPr="00446E4E">
              <w:rPr>
                <w:b/>
                <w:i/>
              </w:rPr>
              <w:t>centram</w:t>
            </w:r>
            <w:r w:rsidRPr="00446E4E">
              <w:t xml:space="preserve"> un Komisijas Ārkārtas reaģēšanas koordinācijas </w:t>
            </w:r>
            <w:r w:rsidRPr="00446E4E">
              <w:rPr>
                <w:b/>
                <w:i/>
              </w:rPr>
              <w:t>centram būtu jāatbalsta dalībvalstis</w:t>
            </w:r>
            <w:r w:rsidRPr="00446E4E">
              <w:t>. Koordinēta Sa</w:t>
            </w:r>
            <w:r w:rsidRPr="00446E4E">
              <w:t xml:space="preserve">vienības reaģēšana krīzes situācijās ir īpaši svarīga gadījumos, kad nepieciešama evakuācija, lai nodrošinātu, ka pieejamais atbalsts tiek sniegts efektīvi un ka tiek pēc iespējas labāk izmantotas pieejamās evakuācijas </w:t>
            </w:r>
            <w:r w:rsidRPr="00446E4E">
              <w:lastRenderedPageBreak/>
              <w:t xml:space="preserve">iespējas. Šā iemesla dēļ būtu laikus </w:t>
            </w:r>
            <w:r w:rsidRPr="00446E4E">
              <w:t>jāapmainās ar informāciju</w:t>
            </w:r>
            <w:r w:rsidRPr="00446E4E">
              <w:rPr>
                <w:b/>
                <w:i/>
              </w:rPr>
              <w:t xml:space="preserve"> par pieejamo</w:t>
            </w:r>
            <w:r w:rsidRPr="00446E4E">
              <w:t xml:space="preserve"> evakuācijas </w:t>
            </w:r>
            <w:r w:rsidRPr="00446E4E">
              <w:rPr>
                <w:b/>
                <w:i/>
              </w:rPr>
              <w:t>jaudu</w:t>
            </w:r>
            <w:r w:rsidRPr="00446E4E">
              <w:t>, tostarp tādu glābšanas un evakuācijas operāciju gadījumā, kurās izmanto militāros līdzekļus.</w:t>
            </w:r>
          </w:p>
        </w:tc>
        <w:tc>
          <w:tcPr>
            <w:tcW w:w="4876" w:type="dxa"/>
          </w:tcPr>
          <w:p w:rsidR="00E260EB" w:rsidRPr="00446E4E" w:rsidRDefault="00446E4E" w:rsidP="009704C5">
            <w:pPr>
              <w:pStyle w:val="Normal6a"/>
              <w:rPr>
                <w:szCs w:val="24"/>
              </w:rPr>
            </w:pPr>
            <w:r w:rsidRPr="00446E4E">
              <w:lastRenderedPageBreak/>
              <w:t>(26) Efektīva koordinācija ir ļoti svarīga, lai nodrošinātu efektīvu reaģēšanu krīzes situācijās. Lai nod</w:t>
            </w:r>
            <w:r w:rsidRPr="00446E4E">
              <w:t xml:space="preserve">rošinātu šādu koordināciju, </w:t>
            </w:r>
            <w:r w:rsidRPr="00446E4E">
              <w:rPr>
                <w:b/>
                <w:i/>
              </w:rPr>
              <w:t xml:space="preserve">dalībvalstīm jāsaņem atbalsts un savlaicīga informācija no </w:t>
            </w:r>
            <w:r w:rsidRPr="00446E4E">
              <w:t xml:space="preserve">EĀDD Krīžu reaģēšanas </w:t>
            </w:r>
            <w:r w:rsidRPr="00446E4E">
              <w:rPr>
                <w:b/>
                <w:i/>
              </w:rPr>
              <w:t>centra</w:t>
            </w:r>
            <w:r w:rsidRPr="00446E4E">
              <w:t xml:space="preserve"> un Komisijas Ārkārtas reaģēšanas koordinācijas </w:t>
            </w:r>
            <w:r w:rsidRPr="00446E4E">
              <w:rPr>
                <w:b/>
                <w:i/>
              </w:rPr>
              <w:t>centra</w:t>
            </w:r>
            <w:r w:rsidRPr="00446E4E">
              <w:t xml:space="preserve">. Koordinēta Savienības reaģēšana krīzes situācijās ir īpaši svarīga gadījumos, kad </w:t>
            </w:r>
            <w:r w:rsidRPr="00446E4E">
              <w:rPr>
                <w:b/>
                <w:i/>
              </w:rPr>
              <w:t xml:space="preserve">ir </w:t>
            </w:r>
            <w:r w:rsidRPr="00446E4E">
              <w:t>nepieciešama evakuācija, lai nodrošinātu, ka pieejamais atbalsts tiek sniegts</w:t>
            </w:r>
            <w:r w:rsidRPr="00446E4E">
              <w:rPr>
                <w:b/>
                <w:i/>
              </w:rPr>
              <w:t xml:space="preserve"> ātri un</w:t>
            </w:r>
            <w:r w:rsidRPr="00446E4E">
              <w:t xml:space="preserve"> </w:t>
            </w:r>
            <w:r w:rsidRPr="00446E4E">
              <w:lastRenderedPageBreak/>
              <w:t>efektīvi un ka tiek pēc iespējas labāk izmantotas pieejamās evakuācijas iespējas. Šā iemesla dēļ būtu laikus jāapmainās ar</w:t>
            </w:r>
            <w:r w:rsidRPr="00446E4E">
              <w:rPr>
                <w:b/>
                <w:i/>
              </w:rPr>
              <w:t xml:space="preserve"> no pirmavotiem iegūtu un būtisku</w:t>
            </w:r>
            <w:r w:rsidRPr="00446E4E">
              <w:t xml:space="preserve"> informāciju</w:t>
            </w:r>
            <w:r w:rsidRPr="00446E4E">
              <w:rPr>
                <w:b/>
                <w:i/>
              </w:rPr>
              <w:t>, p</w:t>
            </w:r>
            <w:r w:rsidRPr="00446E4E">
              <w:rPr>
                <w:b/>
                <w:i/>
              </w:rPr>
              <w:t>iemēram, tādu kā pieejamā</w:t>
            </w:r>
            <w:r w:rsidRPr="00446E4E">
              <w:t xml:space="preserve"> evakuācijas </w:t>
            </w:r>
            <w:r w:rsidRPr="00446E4E">
              <w:rPr>
                <w:b/>
                <w:i/>
              </w:rPr>
              <w:t>jauda</w:t>
            </w:r>
            <w:r w:rsidRPr="00446E4E">
              <w:t>, tostarp tādu glābšanas un evakuācijas operāciju gadījumā, kurās izmanto militāros līdzekļus</w:t>
            </w:r>
            <w:r w:rsidRPr="00446E4E">
              <w:rPr>
                <w:b/>
                <w:i/>
              </w:rPr>
              <w:t>, lai varētu strauji un efektīvi reaģēt.</w:t>
            </w:r>
            <w:r w:rsidRPr="00446E4E">
              <w:t xml:space="preserve"> </w:t>
            </w:r>
            <w:r w:rsidRPr="00446E4E">
              <w:rPr>
                <w:b/>
                <w:i/>
              </w:rPr>
              <w:t>Šajā sakarībā EĀDD būtu jābūt iespējai no dalībvalstīm saņemt automātisku un pa</w:t>
            </w:r>
            <w:r w:rsidRPr="00446E4E">
              <w:rPr>
                <w:b/>
                <w:i/>
              </w:rPr>
              <w:t>stāvīgu informāciju par situāciju trešās valstīs</w:t>
            </w:r>
            <w:r w:rsidRPr="00446E4E">
              <w:rPr>
                <w:b/>
                <w:i/>
              </w:rPr>
              <w:t>.</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9</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28.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(28)</w:t>
            </w:r>
            <w:r w:rsidRPr="00446E4E">
              <w:tab/>
              <w:t xml:space="preserve">Kopējo konsulāro grupu pamatā </w:t>
            </w:r>
            <w:r w:rsidRPr="00446E4E">
              <w:rPr>
                <w:b/>
                <w:i/>
              </w:rPr>
              <w:t>vajadzētu būt brīvprātīgas līdzdalības principam, solidaritātei</w:t>
            </w:r>
            <w:r w:rsidRPr="00446E4E">
              <w:t xml:space="preserve"> ar pārstāvētajām dalībvalstīm, vienlīdzībai lēmumu pieņemšanā par iekšējām darba struktūrām, grupu sastāva vienkāršībai, izmaksu sadalei — kur katra dalībvalsts, Savienības iestāde vai struktū</w:t>
            </w:r>
            <w:r w:rsidRPr="00446E4E">
              <w:t>ra sedz pašu darbības izmaksas —</w:t>
            </w:r>
            <w:r w:rsidRPr="00446E4E">
              <w:rPr>
                <w:b/>
                <w:i/>
              </w:rPr>
              <w:t>,</w:t>
            </w:r>
            <w:r w:rsidRPr="00446E4E">
              <w:t xml:space="preserve"> elastībai, koordinētas Savienības reakcijas pamanāmībai un atvērtībai attiecīgajām trešām valstīm.</w:t>
            </w:r>
          </w:p>
        </w:tc>
        <w:tc>
          <w:tcPr>
            <w:tcW w:w="4876" w:type="dxa"/>
          </w:tcPr>
          <w:p w:rsidR="00E260EB" w:rsidRPr="00446E4E" w:rsidRDefault="00446E4E" w:rsidP="009704C5">
            <w:pPr>
              <w:pStyle w:val="AmColumnHeading"/>
              <w:spacing w:after="120"/>
              <w:jc w:val="left"/>
            </w:pPr>
            <w:r w:rsidRPr="00446E4E">
              <w:rPr>
                <w:i w:val="0"/>
              </w:rPr>
              <w:t>(28)</w:t>
            </w:r>
            <w:r w:rsidRPr="00446E4E">
              <w:rPr>
                <w:i w:val="0"/>
              </w:rPr>
              <w:tab/>
            </w:r>
            <w:r w:rsidRPr="00446E4E">
              <w:rPr>
                <w:i w:val="0"/>
              </w:rPr>
              <w:t>Kopējo konsulāro grupu pamatā</w:t>
            </w:r>
            <w:r w:rsidRPr="00446E4E">
              <w:t xml:space="preserve"> </w:t>
            </w:r>
            <w:r w:rsidRPr="00446E4E">
              <w:rPr>
                <w:b/>
              </w:rPr>
              <w:t xml:space="preserve">būtu jābūt solidaritātes </w:t>
            </w:r>
            <w:r w:rsidRPr="00446E4E">
              <w:rPr>
                <w:i w:val="0"/>
              </w:rPr>
              <w:t>ar pārstāvētajām dalībvalstīm</w:t>
            </w:r>
            <w:r w:rsidRPr="00446E4E">
              <w:rPr>
                <w:b/>
              </w:rPr>
              <w:t xml:space="preserve"> principam</w:t>
            </w:r>
            <w:r w:rsidRPr="00446E4E">
              <w:t>, vienlīdzībai lēmumu p</w:t>
            </w:r>
            <w:r w:rsidRPr="00446E4E">
              <w:t xml:space="preserve">ieņemšanā </w:t>
            </w:r>
            <w:r w:rsidRPr="00446E4E">
              <w:rPr>
                <w:i w:val="0"/>
              </w:rPr>
              <w:t>par iekšējām darba struktūrām, grupu sastāva vienkāršībai, izmaksu sadalei —</w:t>
            </w:r>
            <w:r w:rsidRPr="00446E4E">
              <w:rPr>
                <w:b/>
              </w:rPr>
              <w:t>,</w:t>
            </w:r>
            <w:r w:rsidRPr="00446E4E">
              <w:rPr>
                <w:i w:val="0"/>
              </w:rPr>
              <w:t xml:space="preserve"> kur katra dalībvalsts, Savienības iestāde vai struktūra sedz pašu darbības izmaksas</w:t>
            </w:r>
            <w:r w:rsidRPr="00446E4E">
              <w:rPr>
                <w:b/>
              </w:rPr>
              <w:t>,</w:t>
            </w:r>
            <w:r w:rsidRPr="00446E4E">
              <w:rPr>
                <w:i w:val="0"/>
              </w:rPr>
              <w:t xml:space="preserve"> — elastībai, koordinētas Savienības reakcijas pamanāmībai un atvērtībai attiecīgajā</w:t>
            </w:r>
            <w:r w:rsidRPr="00446E4E">
              <w:rPr>
                <w:i w:val="0"/>
              </w:rPr>
              <w:t>m trešām valstīm</w:t>
            </w:r>
            <w:r w:rsidRPr="00446E4E">
              <w:t>.</w:t>
            </w:r>
          </w:p>
        </w:tc>
      </w:tr>
    </w:tbl>
    <w:p w:rsidR="00E260EB" w:rsidRPr="00446E4E" w:rsidRDefault="00446E4E" w:rsidP="00E260EB">
      <w:pPr>
        <w:rPr>
          <w:rStyle w:val="HideTWBExt"/>
          <w:color w:val="auto"/>
        </w:rPr>
      </w:pPr>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10</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30.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(30)</w:t>
            </w:r>
            <w:r w:rsidRPr="00446E4E">
              <w:tab/>
            </w:r>
            <w:r w:rsidRPr="00446E4E">
              <w:t xml:space="preserve">Lai atbalstītu Savienības pilsoņus, kuriem nepieciešama palīdzība, ir </w:t>
            </w:r>
            <w:r w:rsidRPr="00446E4E">
              <w:rPr>
                <w:b/>
                <w:i/>
              </w:rPr>
              <w:t>svarīgi sniegt viņiem uzticamu informāciju</w:t>
            </w:r>
            <w:r w:rsidRPr="00446E4E">
              <w:t xml:space="preserve"> par to, kā izmantot konsulāro palīdzību trešās valstīs. Komisijas dienestiem un EĀDD </w:t>
            </w:r>
            <w:r w:rsidRPr="00446E4E">
              <w:rPr>
                <w:b/>
                <w:i/>
              </w:rPr>
              <w:t>būtu jāveicina šā mērķa sasniegšana, izplatot attiecīgu</w:t>
            </w:r>
            <w:r w:rsidRPr="00446E4E">
              <w:t xml:space="preserve"> in</w:t>
            </w:r>
            <w:r w:rsidRPr="00446E4E">
              <w:t xml:space="preserve">formāciju, tostarp </w:t>
            </w:r>
            <w:r w:rsidRPr="00446E4E">
              <w:rPr>
                <w:b/>
                <w:i/>
              </w:rPr>
              <w:t>informāciju</w:t>
            </w:r>
            <w:r w:rsidRPr="00446E4E">
              <w:t xml:space="preserve">, </w:t>
            </w:r>
            <w:r w:rsidRPr="00446E4E">
              <w:rPr>
                <w:b/>
                <w:i/>
              </w:rPr>
              <w:t>kas dalībvalstīm jāsniedz</w:t>
            </w:r>
            <w:r w:rsidRPr="00446E4E">
              <w:t xml:space="preserve"> to konsulārajos tīklos un trešās valstīs, kurās </w:t>
            </w:r>
            <w:r w:rsidRPr="00446E4E">
              <w:lastRenderedPageBreak/>
              <w:t>tās ir vienojušās par praktiskiem pasākumiem pienākumu sadalei attiecībā uz konsulārās aizsardzības nodrošināšanu nepārstāvētiem pilsoņiem. Lai atvieg</w:t>
            </w:r>
            <w:r w:rsidRPr="00446E4E">
              <w:t>lotu šādas informācijas apstrādi, tā būtu jānodrošina mašīnlasāmā formātā.</w:t>
            </w:r>
          </w:p>
        </w:tc>
        <w:tc>
          <w:tcPr>
            <w:tcW w:w="4876" w:type="dxa"/>
          </w:tcPr>
          <w:p w:rsidR="00E260EB" w:rsidRPr="00446E4E" w:rsidRDefault="00446E4E" w:rsidP="009704C5">
            <w:pPr>
              <w:pStyle w:val="AmColumnHeading"/>
              <w:spacing w:after="120"/>
              <w:jc w:val="left"/>
            </w:pPr>
            <w:r w:rsidRPr="00446E4E">
              <w:rPr>
                <w:i w:val="0"/>
              </w:rPr>
              <w:lastRenderedPageBreak/>
              <w:t>(30)</w:t>
            </w:r>
            <w:r w:rsidRPr="00446E4E">
              <w:rPr>
                <w:i w:val="0"/>
              </w:rPr>
              <w:tab/>
            </w:r>
            <w:r w:rsidRPr="00446E4E">
              <w:rPr>
                <w:i w:val="0"/>
              </w:rPr>
              <w:t>Lai atbalstītu Savienības pilsoņus, kuriem</w:t>
            </w:r>
            <w:r w:rsidRPr="00446E4E">
              <w:t xml:space="preserve"> </w:t>
            </w:r>
            <w:r w:rsidRPr="00446E4E">
              <w:rPr>
                <w:b/>
              </w:rPr>
              <w:t xml:space="preserve">ir </w:t>
            </w:r>
            <w:r w:rsidRPr="00446E4E">
              <w:rPr>
                <w:i w:val="0"/>
              </w:rPr>
              <w:t>nepieciešama palīdzība, ir</w:t>
            </w:r>
            <w:r w:rsidRPr="00446E4E">
              <w:t xml:space="preserve"> </w:t>
            </w:r>
            <w:r w:rsidRPr="00446E4E">
              <w:rPr>
                <w:b/>
              </w:rPr>
              <w:t>viņiem jāsniedz uzticama un viegli piekļūstama informācija</w:t>
            </w:r>
            <w:r w:rsidRPr="00446E4E">
              <w:t xml:space="preserve"> </w:t>
            </w:r>
            <w:r w:rsidRPr="00446E4E">
              <w:rPr>
                <w:i w:val="0"/>
              </w:rPr>
              <w:t>par to, kā izmantot konsulāro palīdzību treš</w:t>
            </w:r>
            <w:r w:rsidRPr="00446E4E">
              <w:rPr>
                <w:i w:val="0"/>
              </w:rPr>
              <w:t>ās valstīs</w:t>
            </w:r>
            <w:r w:rsidRPr="00446E4E">
              <w:rPr>
                <w:b/>
              </w:rPr>
              <w:t>, tostarp par digitālās saziņas iespējām</w:t>
            </w:r>
            <w:r w:rsidRPr="00446E4E">
              <w:t xml:space="preserve">. </w:t>
            </w:r>
            <w:r w:rsidRPr="00446E4E">
              <w:rPr>
                <w:i w:val="0"/>
              </w:rPr>
              <w:t>Komisijas dienestiem un EĀDD</w:t>
            </w:r>
            <w:r w:rsidRPr="00446E4E">
              <w:t xml:space="preserve"> </w:t>
            </w:r>
            <w:r w:rsidRPr="00446E4E">
              <w:rPr>
                <w:b/>
              </w:rPr>
              <w:t>ciešā koordinācijā ar dalībvalstīm būtu jāizplata vajadzīgā</w:t>
            </w:r>
            <w:r w:rsidRPr="00446E4E">
              <w:t xml:space="preserve"> </w:t>
            </w:r>
            <w:r w:rsidRPr="00446E4E">
              <w:rPr>
                <w:i w:val="0"/>
              </w:rPr>
              <w:t>informāciju, tostarp</w:t>
            </w:r>
            <w:r w:rsidRPr="00446E4E">
              <w:t xml:space="preserve"> </w:t>
            </w:r>
            <w:r w:rsidRPr="00446E4E">
              <w:rPr>
                <w:b/>
              </w:rPr>
              <w:t>informācija</w:t>
            </w:r>
            <w:r w:rsidRPr="00446E4E">
              <w:t xml:space="preserve">, </w:t>
            </w:r>
            <w:r w:rsidRPr="00446E4E">
              <w:rPr>
                <w:b/>
              </w:rPr>
              <w:t xml:space="preserve">ko </w:t>
            </w:r>
            <w:r w:rsidRPr="00446E4E">
              <w:rPr>
                <w:b/>
              </w:rPr>
              <w:lastRenderedPageBreak/>
              <w:t>dalībvalstis sniedz</w:t>
            </w:r>
            <w:r w:rsidRPr="00446E4E">
              <w:t xml:space="preserve"> </w:t>
            </w:r>
            <w:r w:rsidRPr="00446E4E">
              <w:rPr>
                <w:i w:val="0"/>
              </w:rPr>
              <w:t>to konsulārajos tīklos un trešās valstīs, kurās tās ir vie</w:t>
            </w:r>
            <w:r w:rsidRPr="00446E4E">
              <w:rPr>
                <w:i w:val="0"/>
              </w:rPr>
              <w:t>nojušās par praktiskiem pasākumiem pienākumu sadalei attiecībā uz konsulārās aizsardzības nodrošināšanu nepārstāvētiem pilsoņiem</w:t>
            </w:r>
            <w:r w:rsidRPr="00446E4E">
              <w:t>.</w:t>
            </w:r>
            <w:r w:rsidRPr="00446E4E">
              <w:rPr>
                <w:i w:val="0"/>
              </w:rPr>
              <w:t xml:space="preserve"> Lai atvieglotu šādas informācijas apstrādi, tā būtu jānodrošina mašīnlasāmā formātā.</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11</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30.a apsvērums (jauns)</w:t>
      </w:r>
      <w:r w:rsidRPr="00446E4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 </w:t>
            </w:r>
          </w:p>
        </w:tc>
        <w:tc>
          <w:tcPr>
            <w:tcW w:w="4876" w:type="dxa"/>
          </w:tcPr>
          <w:p w:rsidR="00E260EB" w:rsidRPr="00446E4E" w:rsidRDefault="00446E4E" w:rsidP="009704C5">
            <w:pPr>
              <w:pStyle w:val="Normal6a"/>
              <w:rPr>
                <w:szCs w:val="24"/>
              </w:rPr>
            </w:pPr>
            <w:r w:rsidRPr="00446E4E">
              <w:rPr>
                <w:b/>
                <w:i/>
              </w:rPr>
              <w:t>(30a)</w:t>
            </w:r>
            <w:r w:rsidRPr="00446E4E">
              <w:tab/>
            </w:r>
            <w:r w:rsidRPr="00446E4E">
              <w:rPr>
                <w:b/>
                <w:i/>
              </w:rPr>
              <w:t>Dalībvalstis un attiecīgās ES struktūras nodrošina, ka pilsoņiem sniegtā informācija par konsulāro aizsardzību ir atjaunināta un viegli pieejama digitālajās platformās, tostarp mobilajās lietotnēs, lai ES pilsoņi jebkurā laikā minētajai informācijai un saz</w:t>
            </w:r>
            <w:r w:rsidRPr="00446E4E">
              <w:rPr>
                <w:b/>
                <w:i/>
              </w:rPr>
              <w:t>iņas kanāliem var piekļūt ātri un viegli. Šajā ziņā būtu jāizveido apraides pakalpojums, ar kura starpniecību ES pilsoņi varētu saņemt kontekstualizētus vēstījumus par viņu tiesībām un par to izmantošanu, nosūtot tūlītējus paziņojumus, kad viņi ierodas tre</w:t>
            </w:r>
            <w:r w:rsidRPr="00446E4E">
              <w:rPr>
                <w:b/>
                <w:i/>
              </w:rPr>
              <w:t>šās valstīs, kā arī krīzes situācijās varētu saņemt brīdinājumus. Turklāt būtu jāapsver iespēja pārskatīt un uzlabot kopīgu ES konsulārās aizsardzības portālu, kurā būtu iekļauta visa attiecīgā informācija, rīcība steidzamās situācijās un kontaktinformācij</w:t>
            </w:r>
            <w:r w:rsidRPr="00446E4E">
              <w:rPr>
                <w:b/>
                <w:i/>
              </w:rPr>
              <w:t>a, kas būtu domāta ES delegācijām un konsulārajām valstīm trešās valstīs.</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12</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31.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(31)</w:t>
            </w:r>
            <w:r w:rsidRPr="00446E4E">
              <w:tab/>
            </w:r>
            <w:r w:rsidRPr="00446E4E">
              <w:t xml:space="preserve">Dalībvalstīm būtu jāveic papildu </w:t>
            </w:r>
            <w:r w:rsidRPr="00446E4E">
              <w:lastRenderedPageBreak/>
              <w:t xml:space="preserve">pasākumi, lai vēl vairāk veicinātu Savienības pilsoņu informētību par viņu tiesībām uz konsulāro aizsardzību, ņemot vērā arī personu ar invaliditāti īpašās vajadzības. Ņemot vērā ierobežotās izmaksas, ko </w:t>
            </w:r>
            <w:r w:rsidRPr="00446E4E">
              <w:rPr>
                <w:b/>
                <w:i/>
              </w:rPr>
              <w:t>tas rada dalībvalst</w:t>
            </w:r>
            <w:r w:rsidRPr="00446E4E">
              <w:rPr>
                <w:b/>
                <w:i/>
              </w:rPr>
              <w:t>īm, viens no iespējamiem veidiem, kā to izdarīt</w:t>
            </w:r>
            <w:r w:rsidRPr="00446E4E">
              <w:t xml:space="preserve">, </w:t>
            </w:r>
            <w:r w:rsidRPr="00446E4E">
              <w:rPr>
                <w:b/>
                <w:i/>
              </w:rPr>
              <w:t>būtu atveidot</w:t>
            </w:r>
            <w:r w:rsidRPr="00446E4E">
              <w:t xml:space="preserve"> LESD 23. panta </w:t>
            </w:r>
            <w:r w:rsidRPr="00446E4E">
              <w:rPr>
                <w:b/>
                <w:i/>
              </w:rPr>
              <w:t>formulējumu</w:t>
            </w:r>
            <w:r w:rsidRPr="00446E4E">
              <w:t xml:space="preserve"> dalībvalstu izdotajās pasēs, lai uzlabotu pilsoņu izpratni par tiesībām uz diplomātisko un konsulāro aizsardzību, kā jau ieteikts Komisijas Ieteikumā C(2007)</w:t>
            </w:r>
            <w:r w:rsidRPr="00446E4E">
              <w:rPr>
                <w:b/>
                <w:i/>
              </w:rPr>
              <w:t> 5841</w:t>
            </w:r>
            <w:r w:rsidRPr="00446E4E">
              <w:rPr>
                <w:b/>
                <w:i/>
                <w:vertAlign w:val="superscript"/>
              </w:rPr>
              <w:t>5</w:t>
            </w:r>
            <w:r w:rsidRPr="00446E4E">
              <w:t>. D</w:t>
            </w:r>
            <w:r w:rsidRPr="00446E4E">
              <w:t>alībvalstis varētu arī iekļaut informāciju par tiesībām uz konsulāro aizsardzību nepārstāvētiem pilsoņiem ceļotājiem paredzētajos ieteikumos un kampaņās, kas saistītas ar konsulāro palīdzību. Tās arī varētu sadarboties ar pasažieru transporta pakalpojumu s</w:t>
            </w:r>
            <w:r w:rsidRPr="00446E4E">
              <w:t>niedzējiem un transporta mezgliem, kas piedāvā ceļojumus uz trešām valstīm, piemēram, aicinot tos iekļaut būtisku informāciju par tiesībām uz konsulāro aizsardzību klientiem pieejamajos informatīvajos materiālos.</w:t>
            </w:r>
          </w:p>
        </w:tc>
        <w:tc>
          <w:tcPr>
            <w:tcW w:w="4876" w:type="dxa"/>
          </w:tcPr>
          <w:p w:rsidR="00E260EB" w:rsidRPr="00446E4E" w:rsidRDefault="00446E4E" w:rsidP="009704C5">
            <w:pPr>
              <w:pStyle w:val="Normal6a"/>
            </w:pPr>
            <w:r w:rsidRPr="00446E4E">
              <w:lastRenderedPageBreak/>
              <w:t>(31)</w:t>
            </w:r>
            <w:r w:rsidRPr="00446E4E">
              <w:tab/>
              <w:t xml:space="preserve">Dalībvalstīm būtu jāveic papildu </w:t>
            </w:r>
            <w:r w:rsidRPr="00446E4E">
              <w:lastRenderedPageBreak/>
              <w:t>pasāk</w:t>
            </w:r>
            <w:r w:rsidRPr="00446E4E">
              <w:t xml:space="preserve">umi, lai vēl vairāk veicinātu Savienības pilsoņu informētību par viņu tiesībām uz konsulāro aizsardzību, ņemot vērā arī personu ar invaliditāti īpašās vajadzības. Ņemot vērā ierobežotās izmaksas, ko </w:t>
            </w:r>
            <w:r w:rsidRPr="00446E4E">
              <w:rPr>
                <w:b/>
                <w:i/>
              </w:rPr>
              <w:t>šāds solis rada</w:t>
            </w:r>
            <w:r w:rsidRPr="00446E4E">
              <w:t xml:space="preserve">, </w:t>
            </w:r>
            <w:r w:rsidRPr="00446E4E">
              <w:rPr>
                <w:b/>
                <w:i/>
              </w:rPr>
              <w:t xml:space="preserve">dalībvalstīm </w:t>
            </w:r>
            <w:bookmarkStart w:id="3" w:name="_GoBack"/>
            <w:bookmarkEnd w:id="3"/>
            <w:r w:rsidRPr="00446E4E">
              <w:t xml:space="preserve">LESD 23. panta </w:t>
            </w:r>
            <w:r w:rsidRPr="00446E4E">
              <w:rPr>
                <w:b/>
                <w:i/>
              </w:rPr>
              <w:t>formulējums</w:t>
            </w:r>
            <w:r w:rsidRPr="00446E4E">
              <w:rPr>
                <w:b/>
                <w:i/>
              </w:rPr>
              <w:t xml:space="preserve"> būtu jāatveido</w:t>
            </w:r>
            <w:r w:rsidRPr="00446E4E">
              <w:t xml:space="preserve"> dalībvalstu izdotajās pasēs, lai uzlabotu pilsoņu izpratni par tiesībām uz diplomātisko un konsulāro aizsardzību, kā jau ieteikts Komisijas Ieteikumā C(2007)</w:t>
            </w:r>
            <w:r w:rsidRPr="00446E4E">
              <w:rPr>
                <w:b/>
                <w:i/>
              </w:rPr>
              <w:t xml:space="preserve"> 5</w:t>
            </w:r>
            <w:r w:rsidRPr="00446E4E">
              <w:t>. Dalībvalstis varētu arī iekļaut informāciju par tiesībām uz konsulāro aizsardzī</w:t>
            </w:r>
            <w:r w:rsidRPr="00446E4E">
              <w:t>bu nepārstāvētiem pilsoņiem ceļotājiem paredzētajos ieteikumos un kampaņās, kas saistītas ar konsulāro palīdzību. Tās arī varētu sadarboties ar pasažieru transporta pakalpojumu sniedzējiem un transporta mezgliem, kas piedāvā ceļojumus uz trešām valstīm, pi</w:t>
            </w:r>
            <w:r w:rsidRPr="00446E4E">
              <w:t>emēram, aicinot tos iekļaut būtisku informāciju par tiesībām uz konsulāro aizsardzību klientiem pieejamajos informatīvajos materiālos.</w:t>
            </w:r>
          </w:p>
        </w:tc>
      </w:tr>
      <w:tr w:rsidR="00446E4E" w:rsidRPr="00446E4E" w:rsidTr="009704C5">
        <w:trPr>
          <w:jc w:val="center"/>
        </w:trPr>
        <w:tc>
          <w:tcPr>
            <w:tcW w:w="4876" w:type="dxa"/>
          </w:tcPr>
          <w:p w:rsidR="00E260EB" w:rsidRPr="00446E4E" w:rsidRDefault="00446E4E" w:rsidP="009704C5">
            <w:pPr>
              <w:pStyle w:val="Normal6a"/>
            </w:pPr>
            <w:r w:rsidRPr="00446E4E">
              <w:rPr>
                <w:b/>
                <w:i/>
              </w:rPr>
              <w:lastRenderedPageBreak/>
              <w:t>_________________</w:t>
            </w:r>
          </w:p>
        </w:tc>
        <w:tc>
          <w:tcPr>
            <w:tcW w:w="4876" w:type="dxa"/>
          </w:tcPr>
          <w:p w:rsidR="00E260EB" w:rsidRPr="00446E4E" w:rsidRDefault="00446E4E" w:rsidP="009704C5">
            <w:pPr>
              <w:pStyle w:val="Normal6a"/>
            </w:pPr>
            <w:r w:rsidRPr="00446E4E">
              <w:rPr>
                <w:b/>
                <w:i/>
              </w:rPr>
              <w:t>_________________</w:t>
            </w:r>
          </w:p>
        </w:tc>
      </w:tr>
      <w:tr w:rsidR="00446E4E" w:rsidRPr="00446E4E" w:rsidTr="009704C5">
        <w:trPr>
          <w:jc w:val="center"/>
        </w:trPr>
        <w:tc>
          <w:tcPr>
            <w:tcW w:w="4876" w:type="dxa"/>
          </w:tcPr>
          <w:p w:rsidR="00E260EB" w:rsidRPr="00446E4E" w:rsidRDefault="00446E4E" w:rsidP="009704C5">
            <w:pPr>
              <w:pStyle w:val="Normal6a"/>
            </w:pPr>
            <w:r w:rsidRPr="00446E4E">
              <w:rPr>
                <w:vertAlign w:val="superscript"/>
              </w:rPr>
              <w:t>5</w:t>
            </w:r>
            <w:r w:rsidRPr="00446E4E">
              <w:t xml:space="preserve"> Padomes 2007. gada 5. decembra Ieteikums C(2007) 5841 par EKL 20. panta teksta at</w:t>
            </w:r>
            <w:r w:rsidRPr="00446E4E">
              <w:t>veidošanu pasēs (OJ L 118, 6.5.2008., 30. lpp., ELI: http://data.europa.eu/eli/reco/2008/355/oj). http://data.europa.eu/eli/reco/2008/355/oj).</w:t>
            </w:r>
          </w:p>
        </w:tc>
        <w:tc>
          <w:tcPr>
            <w:tcW w:w="4876" w:type="dxa"/>
          </w:tcPr>
          <w:p w:rsidR="00E260EB" w:rsidRPr="00446E4E" w:rsidRDefault="00446E4E" w:rsidP="009704C5">
            <w:pPr>
              <w:pStyle w:val="Normal6a"/>
            </w:pPr>
            <w:r w:rsidRPr="00446E4E">
              <w:rPr>
                <w:vertAlign w:val="superscript"/>
              </w:rPr>
              <w:t>5</w:t>
            </w:r>
            <w:r w:rsidRPr="00446E4E">
              <w:t xml:space="preserve"> Padomes 2007. gada 5. decembra Ieteikums C(2007) 5841 par EKL 20. panta teksta atveidošanu pasēs (OJ L 118, 6.5</w:t>
            </w:r>
            <w:r w:rsidRPr="00446E4E">
              <w:t>.2008., 30. lpp., ELI: http://data.europa.eu/eli/reco/2008/355/oj). http://data.europa.eu/eli/reco/2008/355/oj).</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13</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32. apsvērums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(32)</w:t>
            </w:r>
            <w:r w:rsidRPr="00446E4E">
              <w:tab/>
              <w:t>Direktīvas (ES) 2015/637 finanšu noteikumi būtu jāpielāgo, lai vienkāršotu atmaksu un turpinātu nodrošināt finansiālā sloga sadali. Jo īpaši nepārstāvētiem pilsoņiem vajadzētu būt iespējai ar tādiem pašiem nosa</w:t>
            </w:r>
            <w:r w:rsidRPr="00446E4E">
              <w:t xml:space="preserve">cījumiem kā dalībvalsts, kas palīdz, valstspiederīgajiem tieši atlīdzināt </w:t>
            </w:r>
            <w:r w:rsidRPr="00446E4E">
              <w:lastRenderedPageBreak/>
              <w:t>izmaksas par šīs dalībvalsts sniegto pakalpojumu, lai izvairītos no administratīvā sloga, kurš rodas, pieprasot atlīdzību no pilsoņa valstspiederības dalībvalsts. Turklāt dalībvalstī</w:t>
            </w:r>
            <w:r w:rsidRPr="00446E4E">
              <w:t>m būtu jāļauj arī atteikties no šādu izmaksu iekasēšanas. Tā kā dažās situācijās nepārstāvēti pilsoņi varētu nespēt samaksāt lūguma sniegt palīdzību iesniegšanas brīdī, jo īpaši tad, ja ir nozagta viņu nauda vai līdzekļi, kuri vajadzīgi, lai piekļūtu nauda</w:t>
            </w:r>
            <w:r w:rsidRPr="00446E4E">
              <w:t>i, ir jāparedz, ka dalībvalsts, kas palīdz, konsulārās iestādes var lūgt nepārstāvētajiem pilsoņiem parakstīt apņemšanos veikt atmaksu. Pamatojoties uz šādu apņemšanos, dalībvalsts, kas palīdz,</w:t>
            </w:r>
            <w:r w:rsidRPr="00446E4E">
              <w:rPr>
                <w:b/>
                <w:i/>
              </w:rPr>
              <w:t xml:space="preserve"> iestādes</w:t>
            </w:r>
            <w:r w:rsidRPr="00446E4E">
              <w:t xml:space="preserve"> var lūgt atlīdzināt izmaksas, tiklīdz </w:t>
            </w:r>
            <w:r w:rsidRPr="00446E4E">
              <w:rPr>
                <w:b/>
                <w:i/>
              </w:rPr>
              <w:t>ir pagājušas če</w:t>
            </w:r>
            <w:r w:rsidRPr="00446E4E">
              <w:rPr>
                <w:b/>
                <w:i/>
              </w:rPr>
              <w:t>tras nedēļas kopš palīdzības sniegšanas</w:t>
            </w:r>
            <w:r w:rsidRPr="00446E4E">
              <w:t>.</w:t>
            </w:r>
          </w:p>
        </w:tc>
        <w:tc>
          <w:tcPr>
            <w:tcW w:w="4876" w:type="dxa"/>
          </w:tcPr>
          <w:p w:rsidR="00E260EB" w:rsidRPr="00446E4E" w:rsidRDefault="00446E4E" w:rsidP="009704C5">
            <w:pPr>
              <w:pStyle w:val="Normal6a"/>
            </w:pPr>
            <w:r w:rsidRPr="00446E4E">
              <w:lastRenderedPageBreak/>
              <w:t>(32)</w:t>
            </w:r>
            <w:r w:rsidRPr="00446E4E">
              <w:tab/>
              <w:t>Direktīvas (ES) 2015/637 finanšu noteikumi būtu jāpielāgo, lai vienkāršotu atmaksu un turpinātu nodrošināt finansiālā sloga sadali. Jo īpaši nepārstāvētiem pilsoņiem vajadzētu būt iespējai ar tādiem pašiem nosa</w:t>
            </w:r>
            <w:r w:rsidRPr="00446E4E">
              <w:t xml:space="preserve">cījumiem kā dalībvalsts, kas palīdz, valstspiederīgajiem tieši atlīdzināt </w:t>
            </w:r>
            <w:r w:rsidRPr="00446E4E">
              <w:lastRenderedPageBreak/>
              <w:t>izmaksas par šīs dalībvalsts sniegto pakalpojumu, lai izvairītos no administratīvā sloga, kurš rodas, pieprasot atlīdzību no pilsoņa valstspiederības dalībvalsts. Turklāt dalībvalstī</w:t>
            </w:r>
            <w:r w:rsidRPr="00446E4E">
              <w:t>m būtu jāļauj arī atteikties no šādu izmaksu iekasēšanas. Tā kā dažās situācijās nepārstāvēti pilsoņi varētu nespēt samaksāt lūguma sniegt palīdzību iesniegšanas brīdī, jo īpaši tad, ja ir nozagta viņu nauda vai līdzekļi, kuri vajadzīgi, lai piekļūtu nauda</w:t>
            </w:r>
            <w:r w:rsidRPr="00446E4E">
              <w:t xml:space="preserve">i, ir jāparedz, ka dalībvalsts, kas palīdz, konsulārās iestādes var lūgt nepārstāvētajiem pilsoņiem parakstīt apņemšanos veikt atmaksu. Pamatojoties uz šādu apņemšanos, </w:t>
            </w:r>
            <w:r w:rsidRPr="00446E4E">
              <w:rPr>
                <w:b/>
                <w:i/>
              </w:rPr>
              <w:t xml:space="preserve">tās </w:t>
            </w:r>
            <w:r w:rsidRPr="00446E4E">
              <w:t>dalībvalsts</w:t>
            </w:r>
            <w:r w:rsidRPr="00446E4E">
              <w:rPr>
                <w:b/>
                <w:i/>
              </w:rPr>
              <w:t xml:space="preserve"> iestādes</w:t>
            </w:r>
            <w:r w:rsidRPr="00446E4E">
              <w:t xml:space="preserve">, kas palīdz, var lūgt atlīdzināt izmaksas, tiklīdz </w:t>
            </w:r>
            <w:r w:rsidRPr="00446E4E">
              <w:rPr>
                <w:b/>
                <w:i/>
              </w:rPr>
              <w:t>kopš palīdz</w:t>
            </w:r>
            <w:r w:rsidRPr="00446E4E">
              <w:rPr>
                <w:b/>
                <w:i/>
              </w:rPr>
              <w:t xml:space="preserve">ības sniegšanas būs pagājuši trīs mēneši </w:t>
            </w:r>
            <w:r w:rsidRPr="00446E4E">
              <w:t>.</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14</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34.a apsvērums (jauns)</w:t>
      </w:r>
      <w:r w:rsidRPr="00446E4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 </w:t>
            </w:r>
          </w:p>
        </w:tc>
        <w:tc>
          <w:tcPr>
            <w:tcW w:w="4876" w:type="dxa"/>
          </w:tcPr>
          <w:p w:rsidR="00E260EB" w:rsidRPr="00446E4E" w:rsidRDefault="00446E4E" w:rsidP="009704C5">
            <w:pPr>
              <w:pStyle w:val="Normal6a"/>
              <w:rPr>
                <w:szCs w:val="24"/>
              </w:rPr>
            </w:pPr>
            <w:r w:rsidRPr="00446E4E">
              <w:rPr>
                <w:b/>
                <w:i/>
              </w:rPr>
              <w:t>(34a)</w:t>
            </w:r>
            <w:r w:rsidRPr="00446E4E">
              <w:tab/>
            </w:r>
            <w:r w:rsidRPr="00446E4E">
              <w:rPr>
                <w:b/>
                <w:i/>
              </w:rPr>
              <w:t>Atbilstīgs EĀDD budžeta un cilvēkresursu palielinājums būtu jāpanāk papildus ieņēmumiem no dalībvalstu atmaksājumiem, lai garantētu pienākumu pienācīgu izpildi palīdzības un/vai aizsardzības ES pilsoņiem sniegšanā. Pastāvīgu krīžu un konfliktu ietekme visā</w:t>
            </w:r>
            <w:r w:rsidRPr="00446E4E">
              <w:rPr>
                <w:b/>
                <w:i/>
              </w:rPr>
              <w:t xml:space="preserve"> pasaulē var izraisīt dalībvalstu konsulārās aizsardzības un/vai palīdzības pārslogošanas risku, jo īpaši lielas krīzes laikā. EĀDD un Savienības delegācijām, kas šajā ziņā ir uzņēmušās arvien lielāku lomu, uz vietas ir bijusi galvenā koordinējošā loma.</w:t>
            </w:r>
          </w:p>
        </w:tc>
      </w:tr>
    </w:tbl>
    <w:p w:rsidR="00E260EB" w:rsidRPr="00446E4E" w:rsidRDefault="00446E4E" w:rsidP="00E260EB">
      <w:r w:rsidRPr="00446E4E">
        <w:rPr>
          <w:rStyle w:val="HideTWBExt"/>
          <w:color w:val="auto"/>
        </w:rPr>
        <w:t>&lt;</w:t>
      </w:r>
      <w:r w:rsidRPr="00446E4E">
        <w:rPr>
          <w:rStyle w:val="HideTWBExt"/>
          <w:color w:val="auto"/>
        </w:rPr>
        <w: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15</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37.a apsvērums (jauns)</w:t>
      </w:r>
      <w:r w:rsidRPr="00446E4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lastRenderedPageBreak/>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E260EB" w:rsidP="009704C5">
            <w:pPr>
              <w:pStyle w:val="Normal6a"/>
            </w:pPr>
          </w:p>
        </w:tc>
        <w:tc>
          <w:tcPr>
            <w:tcW w:w="4876" w:type="dxa"/>
          </w:tcPr>
          <w:p w:rsidR="00E260EB" w:rsidRPr="00446E4E" w:rsidRDefault="00446E4E" w:rsidP="009704C5">
            <w:pPr>
              <w:pStyle w:val="AmColumnHeading"/>
              <w:spacing w:after="120"/>
              <w:jc w:val="left"/>
            </w:pPr>
            <w:r w:rsidRPr="00446E4E">
              <w:rPr>
                <w:b/>
              </w:rPr>
              <w:t>(37a)</w:t>
            </w:r>
            <w:r w:rsidRPr="00446E4E">
              <w:tab/>
            </w:r>
            <w:r w:rsidRPr="00446E4E">
              <w:rPr>
                <w:b/>
              </w:rPr>
              <w:t>Krīzes reaģēšanas sakarībā būtu vērts atcerēties, ka Stratēģiskais kompass drošībai un aizsardzībai, ko Eiropadome atbalstīja 2022. gada 24. martā, īstenoja ES ātro izvēršanas spēju veidošanu, paredzot karaspēku 5000 cilvēku apmērā, ko varētu izmantot dažā</w:t>
            </w:r>
            <w:r w:rsidRPr="00446E4E">
              <w:rPr>
                <w:b/>
              </w:rPr>
              <w:t>dos operācijas posmos nelabvēlīgā operatīvajā vidē un kas sākotnēji koordinētas reaģēšanas uz krīzi ietvaros būtu vērsts uz glābšanas un evakuācijas darbībām .</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16</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-1.a punkts (jauns)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4. pants – 1.a daļa (jauna)</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E260EB" w:rsidP="009704C5">
            <w:pPr>
              <w:pStyle w:val="Normal6a"/>
            </w:pPr>
          </w:p>
        </w:tc>
        <w:tc>
          <w:tcPr>
            <w:tcW w:w="4876" w:type="dxa"/>
          </w:tcPr>
          <w:p w:rsidR="00E260EB" w:rsidRPr="00446E4E" w:rsidRDefault="00446E4E" w:rsidP="009704C5">
            <w:pPr>
              <w:pStyle w:val="Normal6a"/>
            </w:pPr>
            <w:r w:rsidRPr="00446E4E">
              <w:rPr>
                <w:b/>
                <w:i/>
              </w:rPr>
              <w:t>(-1a)</w:t>
            </w:r>
            <w:r w:rsidRPr="00446E4E">
              <w:tab/>
            </w:r>
            <w:r w:rsidRPr="00446E4E">
              <w:rPr>
                <w:b/>
                <w:i/>
              </w:rPr>
              <w:t>direktīvas 4. pantam pievieno šādu 1.a daļu:</w:t>
            </w:r>
          </w:p>
        </w:tc>
      </w:tr>
      <w:tr w:rsidR="00446E4E" w:rsidRPr="00446E4E" w:rsidTr="009704C5">
        <w:trPr>
          <w:jc w:val="center"/>
        </w:trPr>
        <w:tc>
          <w:tcPr>
            <w:tcW w:w="4876" w:type="dxa"/>
          </w:tcPr>
          <w:p w:rsidR="00E260EB" w:rsidRPr="00446E4E" w:rsidRDefault="00E260EB" w:rsidP="009704C5">
            <w:pPr>
              <w:pStyle w:val="Normal6a"/>
            </w:pPr>
          </w:p>
        </w:tc>
        <w:tc>
          <w:tcPr>
            <w:tcW w:w="4876" w:type="dxa"/>
          </w:tcPr>
          <w:p w:rsidR="00E260EB" w:rsidRPr="00446E4E" w:rsidRDefault="00446E4E" w:rsidP="009704C5">
            <w:pPr>
              <w:pStyle w:val="Normal6a"/>
            </w:pPr>
            <w:r w:rsidRPr="00446E4E">
              <w:rPr>
                <w:b/>
                <w:i/>
              </w:rPr>
              <w:t>“Atzītiem bēgļiem un bezvalstniekiem, un citām personām, kas nav nevienas valsts valstspiederīgās, bet kuras uzturas attiecīgajā dalībvalstī un kurām ir šīs dalībvalsts izsniegts ceļošanas dokuments, ir tiesības uz konsulāro aizsardzību saskaņā ar tādiem p</w:t>
            </w:r>
            <w:r w:rsidRPr="00446E4E">
              <w:rPr>
                <w:b/>
                <w:i/>
              </w:rPr>
              <w:t>ašiem nosacījumiem kā nepārstāvētiem pilsoņiem, ja uzturēšanās dalībvalsti neviena diplomātiskā vai konsulārā iestāde nepārstāv.”</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17</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1</w:t>
      </w:r>
      <w:r w:rsidRPr="00446E4E">
        <w:t>.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7. pants – 4.a punkts (jauns)</w:t>
      </w:r>
      <w:r w:rsidRPr="00446E4E">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E260EB" w:rsidP="009704C5">
            <w:pPr>
              <w:pStyle w:val="Normal6a"/>
            </w:pPr>
          </w:p>
        </w:tc>
        <w:tc>
          <w:tcPr>
            <w:tcW w:w="4876" w:type="dxa"/>
          </w:tcPr>
          <w:p w:rsidR="00E260EB" w:rsidRPr="00446E4E" w:rsidRDefault="00446E4E" w:rsidP="009704C5">
            <w:pPr>
              <w:pStyle w:val="Normal6a"/>
            </w:pPr>
            <w:r w:rsidRPr="00446E4E">
              <w:rPr>
                <w:b/>
                <w:i/>
              </w:rPr>
              <w:t>4.a</w:t>
            </w:r>
            <w:r w:rsidRPr="00446E4E">
              <w:rPr>
                <w:b/>
                <w:i/>
              </w:rPr>
              <w:tab/>
            </w:r>
            <w:r w:rsidRPr="00446E4E">
              <w:rPr>
                <w:b/>
                <w:i/>
              </w:rPr>
              <w:t>Sniedzot konsulāro aizsardzību nepārstāvētiem pilsoņiem, dalībvalstis ņem vērā neaizsargātu grupu un to indivīdu īpašās vajadzības, kuri ir pakļauti diskriminācijai jebkāda iemesla dēļ, piemēram tādu iemeslu dēļ, kas ir minēti Hartas 21. pantā, proti, dzim</w:t>
            </w:r>
            <w:r w:rsidRPr="00446E4E">
              <w:rPr>
                <w:b/>
                <w:i/>
              </w:rPr>
              <w:t>uma, rases, ādas krāsas, etniskās vai sociālās izcelsmes, ģenētisko īpašību, valodas, reliģijas vai pārliecības, politisko vai citu uzskatu, piederības mazākumtautībai, īpašuma, izcelšanās, invaliditātes, vecuma vai seksuālās orientācijas dēļ.</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w:t>
      </w:r>
      <w:r w:rsidRPr="00446E4E">
        <w:rPr>
          <w:rStyle w:val="HideTWBExt"/>
          <w:b w:val="0"/>
          <w:color w:val="auto"/>
        </w:rPr>
        <w:t>mend&gt;</w:t>
      </w:r>
      <w:r w:rsidRPr="00446E4E">
        <w:t>Grozījums Nr.</w:t>
      </w:r>
      <w:r w:rsidRPr="00446E4E">
        <w:tab/>
      </w:r>
      <w:r w:rsidRPr="00446E4E">
        <w:tab/>
      </w:r>
      <w:r w:rsidRPr="00446E4E">
        <w:rPr>
          <w:rStyle w:val="HideTWBExt"/>
          <w:b w:val="0"/>
          <w:color w:val="auto"/>
        </w:rPr>
        <w:t>&lt;NumAm&gt;</w:t>
      </w:r>
      <w:r w:rsidRPr="00446E4E">
        <w:t>18</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4.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11. pants – 2.a punkts (jauns)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 </w:t>
            </w:r>
          </w:p>
        </w:tc>
        <w:tc>
          <w:tcPr>
            <w:tcW w:w="4876" w:type="dxa"/>
          </w:tcPr>
          <w:p w:rsidR="00E260EB" w:rsidRPr="00446E4E" w:rsidRDefault="00446E4E" w:rsidP="009704C5">
            <w:pPr>
              <w:pStyle w:val="Normal6a"/>
              <w:rPr>
                <w:szCs w:val="24"/>
              </w:rPr>
            </w:pPr>
            <w:r w:rsidRPr="00446E4E">
              <w:rPr>
                <w:b/>
                <w:i/>
              </w:rPr>
              <w:t>2.a</w:t>
            </w:r>
            <w:r w:rsidRPr="00446E4E">
              <w:tab/>
            </w:r>
            <w:r w:rsidRPr="00446E4E">
              <w:rPr>
                <w:b/>
                <w:i/>
              </w:rPr>
              <w:t>EĀDD un Savienības delegācijām piešķir vajadzīgos papildu finanšu resursus un cilvēkresursus, lai segtu pieskaitāmās izmaksas un papildu horizontālo administratīvo darba slodzi.</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19</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4.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13. pants – 1. punkts – ievaddaļa</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1.</w:t>
            </w:r>
            <w:r w:rsidRPr="00446E4E">
              <w:tab/>
              <w:t>Saistībā ar 12. pantā minēto vietējo konsulāro sadarbību dalībvalstis un EĀDD ikvienai trešai valstij izstrādā un apstiprina kopīgu konsulāro ārkārtas rīcības plānu. Kopīgo konsulāro ārkārtas rīcības plānu atjaunina katru gadu un tajā iekļauj</w:t>
            </w:r>
            <w:r w:rsidRPr="00446E4E">
              <w:t>:</w:t>
            </w:r>
          </w:p>
        </w:tc>
        <w:tc>
          <w:tcPr>
            <w:tcW w:w="4876" w:type="dxa"/>
          </w:tcPr>
          <w:p w:rsidR="00E260EB" w:rsidRPr="00446E4E" w:rsidRDefault="00446E4E" w:rsidP="009704C5">
            <w:pPr>
              <w:pStyle w:val="AmColumnHeading"/>
              <w:spacing w:after="120"/>
              <w:jc w:val="left"/>
            </w:pPr>
            <w:r w:rsidRPr="00446E4E">
              <w:rPr>
                <w:i w:val="0"/>
              </w:rPr>
              <w:t>1.</w:t>
            </w:r>
            <w:r w:rsidRPr="00446E4E">
              <w:rPr>
                <w:i w:val="0"/>
              </w:rPr>
              <w:tab/>
              <w:t xml:space="preserve">Saistībā ar 12. pantā minēto vietējo konsulāro sadarbību dalībvalstis un EĀDD ikvienai trešai valstij izstrādā un apstiprina kopīgu konsulāro ārkārtas rīcības plānu. </w:t>
            </w:r>
            <w:r w:rsidRPr="00446E4E">
              <w:rPr>
                <w:i w:val="0"/>
              </w:rPr>
              <w:t>Kopīgo konsulāro ārkārtas rīcības plānu atjaunina katru gadu</w:t>
            </w:r>
            <w:r w:rsidRPr="00446E4E">
              <w:t xml:space="preserve"> </w:t>
            </w:r>
            <w:r w:rsidRPr="00446E4E">
              <w:rPr>
                <w:b/>
              </w:rPr>
              <w:t>vai biežāk, ja pastāv at</w:t>
            </w:r>
            <w:r w:rsidRPr="00446E4E">
              <w:rPr>
                <w:b/>
              </w:rPr>
              <w:t xml:space="preserve">tiecīgi ārkārtēji apstākļi, </w:t>
            </w:r>
            <w:r w:rsidRPr="00446E4E">
              <w:rPr>
                <w:i w:val="0"/>
              </w:rPr>
              <w:t>un tajā iekļauj</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lastRenderedPageBreak/>
        <w:t>&lt;Amend&gt;</w:t>
      </w:r>
      <w:r w:rsidRPr="00446E4E">
        <w:t>Grozījums Nr.</w:t>
      </w:r>
      <w:r w:rsidRPr="00446E4E">
        <w:tab/>
      </w:r>
      <w:r w:rsidRPr="00446E4E">
        <w:tab/>
      </w:r>
      <w:r w:rsidRPr="00446E4E">
        <w:rPr>
          <w:rStyle w:val="HideTWBExt"/>
          <w:color w:val="auto"/>
        </w:rPr>
        <w:t>&lt;NumAm&gt;</w:t>
      </w:r>
      <w:r w:rsidRPr="00446E4E">
        <w:t>20</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4.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13. pants – 1. punkts – a apakšpunkts</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(a)</w:t>
            </w:r>
            <w:r w:rsidRPr="00446E4E">
              <w:tab/>
            </w:r>
            <w:r w:rsidRPr="00446E4E">
              <w:t>konsulārās situācijas analīzi valstī, tostarp pārskatu par dalībvalstu vēstniecībām vai konsulātiem, Savienības pilsoņu skaita un atrašanās vietu aplēsi, kā arī ticamāko scenāriju, kas varētu ietekmēt Savienības pilsoņus, riska novērtējumu;</w:t>
            </w:r>
          </w:p>
        </w:tc>
        <w:tc>
          <w:tcPr>
            <w:tcW w:w="4876" w:type="dxa"/>
          </w:tcPr>
          <w:p w:rsidR="00E260EB" w:rsidRPr="00446E4E" w:rsidRDefault="00446E4E" w:rsidP="009704C5">
            <w:pPr>
              <w:pStyle w:val="AmColumnHeading"/>
              <w:spacing w:after="120"/>
              <w:jc w:val="left"/>
            </w:pPr>
            <w:r w:rsidRPr="00446E4E">
              <w:rPr>
                <w:i w:val="0"/>
              </w:rPr>
              <w:t>(a)</w:t>
            </w:r>
            <w:r w:rsidRPr="00446E4E">
              <w:rPr>
                <w:i w:val="0"/>
              </w:rPr>
              <w:tab/>
            </w:r>
            <w:r w:rsidRPr="00446E4E">
              <w:rPr>
                <w:i w:val="0"/>
              </w:rPr>
              <w:t xml:space="preserve">konsulārās </w:t>
            </w:r>
            <w:r w:rsidRPr="00446E4E">
              <w:rPr>
                <w:i w:val="0"/>
              </w:rPr>
              <w:t>situācijas analīzi valstī, tostarp pārskatu par dalībvalstu vēstniecībām vai konsulātiem, Savienības pilsoņu skaita un atrašanās vietu aplēsi, kā arī ticamāko scenāriju, kas varētu ietekmēt Savienības pilsoņus, riska novērtējumu</w:t>
            </w:r>
            <w:r w:rsidRPr="00446E4E">
              <w:rPr>
                <w:b/>
              </w:rPr>
              <w:t xml:space="preserve">, piemēram, cita starpā par </w:t>
            </w:r>
            <w:r w:rsidRPr="00446E4E">
              <w:rPr>
                <w:b/>
              </w:rPr>
              <w:t>militāriem, politiskiem, krimināliem, veselības vai dabas katastrofu riskiem</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21</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4.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w:t>
      </w:r>
      <w:r w:rsidRPr="00446E4E">
        <w:t>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13. pants – 2. punkts – 1. daļa</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2. </w:t>
            </w:r>
            <w:r w:rsidRPr="00446E4E">
              <w:t>Savienības delegācijas, ja tādas ir, koordinē kopīgu konsulāro ārkārtas rīcības plānu izstrādi un saskaņošanu, pamatojoties uz informāciju, ko iesniegušas attiecīgajā trešā valstī pārstāvēto dalībvalstu vēstniecības vai konsulāti un nepārstāvēto dalībvalst</w:t>
            </w:r>
            <w:r w:rsidRPr="00446E4E">
              <w:t xml:space="preserve">u konsulārās iestādes. Kopīgos konsulāros ārkārtas rīcības plānus dara pieejamus visām dalībvalstīm, EĀDD un Komisijas dienestiem. </w:t>
            </w:r>
          </w:p>
        </w:tc>
        <w:tc>
          <w:tcPr>
            <w:tcW w:w="4876" w:type="dxa"/>
          </w:tcPr>
          <w:p w:rsidR="00E260EB" w:rsidRPr="00446E4E" w:rsidRDefault="00446E4E" w:rsidP="009704C5">
            <w:pPr>
              <w:pStyle w:val="AmColumnHeading"/>
              <w:spacing w:after="120"/>
              <w:jc w:val="left"/>
            </w:pPr>
            <w:r w:rsidRPr="00446E4E">
              <w:rPr>
                <w:i w:val="0"/>
              </w:rPr>
              <w:t>2. Savienības delegācijas, ja tādas ir, koordinē kopīgu konsulāro ārkārtas rīcības plānu izstrādi un saskaņošanu, pamatojoti</w:t>
            </w:r>
            <w:r w:rsidRPr="00446E4E">
              <w:rPr>
                <w:i w:val="0"/>
              </w:rPr>
              <w:t>es uz informāciju, ko iesniegušas attiecīgajā trešā valstī pārstāvēto dalībvalstu vēstniecības vai konsulāti un nepārstāvēto dalībvalstu konsulārās iestādes.</w:t>
            </w:r>
            <w:r w:rsidRPr="00446E4E">
              <w:rPr>
                <w:b/>
              </w:rPr>
              <w:t xml:space="preserve"> Vajadzības gadījumā minētā koordinācija varētu ietvert sadarbību ar trešām valstīm un starptautisk</w:t>
            </w:r>
            <w:r w:rsidRPr="00446E4E">
              <w:rPr>
                <w:b/>
              </w:rPr>
              <w:t xml:space="preserve">ām organizācijām. </w:t>
            </w:r>
            <w:r w:rsidRPr="00446E4E">
              <w:rPr>
                <w:i w:val="0"/>
              </w:rPr>
              <w:t>Kopīgos konsulāros ārkārtas rīcības plānus dara pieejamus visām dalībvalstīm, EĀDD un Komisijas dienestiem.</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lastRenderedPageBreak/>
        <w:t>&lt;Amend&gt;</w:t>
      </w:r>
      <w:r w:rsidRPr="00446E4E">
        <w:t>Grozījums Nr.</w:t>
      </w:r>
      <w:r w:rsidRPr="00446E4E">
        <w:tab/>
      </w:r>
      <w:r w:rsidRPr="00446E4E">
        <w:tab/>
      </w:r>
      <w:r w:rsidRPr="00446E4E">
        <w:rPr>
          <w:rStyle w:val="HideTWBExt"/>
          <w:b w:val="0"/>
          <w:color w:val="auto"/>
        </w:rPr>
        <w:t>&lt;NumAm&gt;</w:t>
      </w:r>
      <w:r w:rsidRPr="00446E4E">
        <w:t>22</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4.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13. pants – 5.a punkts (jauns)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 </w:t>
            </w:r>
          </w:p>
        </w:tc>
        <w:tc>
          <w:tcPr>
            <w:tcW w:w="4876" w:type="dxa"/>
          </w:tcPr>
          <w:p w:rsidR="00E260EB" w:rsidRPr="00446E4E" w:rsidRDefault="00446E4E" w:rsidP="009704C5">
            <w:pPr>
              <w:pStyle w:val="Normal6a"/>
              <w:rPr>
                <w:szCs w:val="24"/>
              </w:rPr>
            </w:pPr>
            <w:r w:rsidRPr="00446E4E">
              <w:rPr>
                <w:b/>
                <w:i/>
              </w:rPr>
              <w:t>5.a</w:t>
            </w:r>
            <w:r w:rsidRPr="00446E4E">
              <w:rPr>
                <w:b/>
                <w:i/>
              </w:rPr>
              <w:tab/>
              <w:t>Dalībvalstis labāk apzinās situāciju ar Savienības delegāciju trešā</w:t>
            </w:r>
            <w:r w:rsidRPr="00446E4E">
              <w:rPr>
                <w:b/>
                <w:i/>
              </w:rPr>
              <w:t>s valstīs palīdzību, tostarp, regulāri apmainoties ar riska novērtējuma atjauninājumiem un iespējamiem draudiem ES pilsoņu drošībai un apmainoties ar informāciju par ceļotājiem paredzētajiem ieteikumiem, kurus šīs valstis sniedz.</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23</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4.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13. pants – 5.b punkts (jauns)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w:t>
            </w:r>
            <w:r w:rsidRPr="00446E4E">
              <w:t>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 </w:t>
            </w:r>
          </w:p>
        </w:tc>
        <w:tc>
          <w:tcPr>
            <w:tcW w:w="4876" w:type="dxa"/>
          </w:tcPr>
          <w:p w:rsidR="00E260EB" w:rsidRPr="00446E4E" w:rsidRDefault="00446E4E" w:rsidP="009704C5">
            <w:pPr>
              <w:pStyle w:val="Normal6a"/>
              <w:rPr>
                <w:szCs w:val="24"/>
              </w:rPr>
            </w:pPr>
            <w:r w:rsidRPr="00446E4E">
              <w:rPr>
                <w:b/>
                <w:i/>
              </w:rPr>
              <w:t>5.b</w:t>
            </w:r>
            <w:r w:rsidRPr="00446E4E">
              <w:tab/>
            </w:r>
            <w:r w:rsidRPr="00446E4E">
              <w:rPr>
                <w:b/>
                <w:i/>
              </w:rPr>
              <w:t>EĀDD ciešā sadarbībā ar dalībvalstīm nodrošina Savienības ierēdņu un dalībvalstu diplomātisko un konsulāro darbinieku konsulāro krīžgatavību, veic simulāciju un apmāca reakciju uz tām, tādējādi uzlabojot viņu spēju pārvaldīt krīžu situācijas un sniegt palī</w:t>
            </w:r>
            <w:r w:rsidRPr="00446E4E">
              <w:rPr>
                <w:b/>
                <w:i/>
              </w:rPr>
              <w:t>dzību ES pilsoņiem ārvalstīs.</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24</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5.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13.a pants – 2. punkts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2.</w:t>
            </w:r>
            <w:r w:rsidRPr="00446E4E">
              <w:tab/>
            </w:r>
            <w:r w:rsidRPr="00446E4E">
              <w:t xml:space="preserve">Vajadzības gadījumā dalībvalstis </w:t>
            </w:r>
            <w:r w:rsidRPr="00446E4E">
              <w:lastRenderedPageBreak/>
              <w:t>var saņemt atbalstu no kopējām konsulārajām grupām, kuru sastāvā ir eksperti no dalībvalstīm, jo īpaši no dalībvalstīm, kuras nav pārstāvētas krīzes skartajā trešā valstī, EĀDD un Komisijas dienestiem. Kopējās konsulārās gr</w:t>
            </w:r>
            <w:r w:rsidRPr="00446E4E">
              <w:t>upas ir pieejamas ātrai izvietošanai trešās valstīs, kuras skārusi konsulārā krīze.</w:t>
            </w:r>
          </w:p>
        </w:tc>
        <w:tc>
          <w:tcPr>
            <w:tcW w:w="4876" w:type="dxa"/>
          </w:tcPr>
          <w:p w:rsidR="00E260EB" w:rsidRPr="00446E4E" w:rsidRDefault="00446E4E" w:rsidP="009704C5">
            <w:pPr>
              <w:pStyle w:val="Normal6a"/>
              <w:rPr>
                <w:szCs w:val="24"/>
              </w:rPr>
            </w:pPr>
            <w:r w:rsidRPr="00446E4E">
              <w:lastRenderedPageBreak/>
              <w:t>2.</w:t>
            </w:r>
            <w:r w:rsidRPr="00446E4E">
              <w:tab/>
              <w:t xml:space="preserve">Vajadzības gadījumā dalībvalstis </w:t>
            </w:r>
            <w:r w:rsidRPr="00446E4E">
              <w:lastRenderedPageBreak/>
              <w:t>var saņemt atbalstu no kopējām konsulārajām grupām, kuru sastāvā ir eksperti no dalībvalstīm, jo īpaši no dalībvalstīm, kuras nav pārstā</w:t>
            </w:r>
            <w:r w:rsidRPr="00446E4E">
              <w:t xml:space="preserve">vētas krīzes skartajā trešā valstī, EĀDD un Komisijas dienestiem. Kopējās konsulārās grupas ir pieejamas ātrai izvietošanai trešās valstīs, kuras skārusi konsulārā krīze. </w:t>
            </w:r>
            <w:r w:rsidRPr="00446E4E">
              <w:rPr>
                <w:b/>
                <w:i/>
              </w:rPr>
              <w:t>EĀDD un Komisija atbalsta minēto ekspertu un apvienoto konsulāro grupu sagatavotību.</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25</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5.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13.a pants – 4. punkts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4.</w:t>
            </w:r>
            <w:r w:rsidRPr="00446E4E">
              <w:tab/>
              <w:t xml:space="preserve">Sniedzot palīdzību, dalībvalstis </w:t>
            </w:r>
            <w:r w:rsidRPr="00446E4E">
              <w:rPr>
                <w:b/>
                <w:i/>
              </w:rPr>
              <w:t xml:space="preserve">vajadzības gadījumā </w:t>
            </w:r>
            <w:r w:rsidRPr="00446E4E">
              <w:t xml:space="preserve">var </w:t>
            </w:r>
            <w:r w:rsidRPr="00446E4E">
              <w:rPr>
                <w:b/>
                <w:i/>
              </w:rPr>
              <w:t>lūgt</w:t>
            </w:r>
            <w:r w:rsidRPr="00446E4E">
              <w:t xml:space="preserve"> atbalstu tādiem Savienības instrumentiem kā EĀDD krīzes pārvarēšanas struktūras un tā Krīžu reaģēšanas centrs</w:t>
            </w:r>
            <w:r w:rsidRPr="00446E4E">
              <w:rPr>
                <w:b/>
                <w:i/>
              </w:rPr>
              <w:t xml:space="preserve"> un Savienības civilās aizsardzības mehān</w:t>
            </w:r>
            <w:r w:rsidRPr="00446E4E">
              <w:rPr>
                <w:b/>
                <w:i/>
              </w:rPr>
              <w:t>isms ar</w:t>
            </w:r>
            <w:r w:rsidRPr="00446E4E">
              <w:t xml:space="preserve"> Ārkārtas reaģēšanas koordinēšanas </w:t>
            </w:r>
            <w:r w:rsidRPr="00446E4E">
              <w:rPr>
                <w:b/>
                <w:i/>
              </w:rPr>
              <w:t>centra</w:t>
            </w:r>
            <w:r w:rsidRPr="00446E4E">
              <w:t xml:space="preserve">, kas izveidots ar Lēmuma Nr. 1313/2013/ES 7. pantu, </w:t>
            </w:r>
            <w:r w:rsidRPr="00446E4E">
              <w:rPr>
                <w:b/>
                <w:i/>
              </w:rPr>
              <w:t>starpniecību</w:t>
            </w:r>
            <w:r w:rsidRPr="00446E4E">
              <w:t>.</w:t>
            </w:r>
          </w:p>
        </w:tc>
        <w:tc>
          <w:tcPr>
            <w:tcW w:w="4876" w:type="dxa"/>
          </w:tcPr>
          <w:p w:rsidR="00E260EB" w:rsidRPr="00446E4E" w:rsidRDefault="00446E4E" w:rsidP="009704C5">
            <w:pPr>
              <w:pStyle w:val="Normal6a"/>
              <w:rPr>
                <w:szCs w:val="24"/>
              </w:rPr>
            </w:pPr>
            <w:r w:rsidRPr="00446E4E">
              <w:t>4.</w:t>
            </w:r>
            <w:r w:rsidRPr="00446E4E">
              <w:tab/>
              <w:t xml:space="preserve">Sniedzot palīdzību, dalībvalstis var </w:t>
            </w:r>
            <w:r w:rsidRPr="00446E4E">
              <w:rPr>
                <w:b/>
                <w:i/>
              </w:rPr>
              <w:t>saņemt</w:t>
            </w:r>
            <w:r w:rsidRPr="00446E4E">
              <w:t xml:space="preserve"> atbalstu</w:t>
            </w:r>
            <w:r w:rsidRPr="00446E4E">
              <w:rPr>
                <w:b/>
                <w:i/>
              </w:rPr>
              <w:t xml:space="preserve"> no</w:t>
            </w:r>
            <w:r w:rsidRPr="00446E4E">
              <w:t xml:space="preserve"> tādiem Savienības instrumentiem kā EĀDD krīzes pārvarēšanas struktūras un tā Krīžu reaģēšanas centrs</w:t>
            </w:r>
            <w:r w:rsidRPr="00446E4E">
              <w:rPr>
                <w:b/>
                <w:i/>
              </w:rPr>
              <w:t>. Dalībvalstis var iesaistīt arī</w:t>
            </w:r>
            <w:r w:rsidRPr="00446E4E">
              <w:t xml:space="preserve"> Ārkārtas reaģēšanas koordinēšanas </w:t>
            </w:r>
            <w:r w:rsidRPr="00446E4E">
              <w:rPr>
                <w:b/>
                <w:i/>
              </w:rPr>
              <w:t>centru</w:t>
            </w:r>
            <w:r w:rsidRPr="00446E4E">
              <w:t>, kas</w:t>
            </w:r>
            <w:r w:rsidRPr="00446E4E">
              <w:rPr>
                <w:b/>
                <w:i/>
              </w:rPr>
              <w:t xml:space="preserve"> ir</w:t>
            </w:r>
            <w:r w:rsidRPr="00446E4E">
              <w:t xml:space="preserve"> izveidots ar Lēmuma Nr. 1313/2013/ES 7. pantu, </w:t>
            </w:r>
            <w:r w:rsidRPr="00446E4E">
              <w:rPr>
                <w:b/>
                <w:i/>
              </w:rPr>
              <w:t>Savienības civilās aizsard</w:t>
            </w:r>
            <w:r w:rsidRPr="00446E4E">
              <w:rPr>
                <w:b/>
                <w:i/>
              </w:rPr>
              <w:t>zības mehānismu un attiecīgā gadījumā ES misijas un operācijas kopējās drošības un aizsardzības politikas ietvaros un ES ātrās izvēršanas spējas, kas ir paredzētas Stratēģiskajā kompasā drošībai un aizsardzībai</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26</w:t>
      </w:r>
      <w:r w:rsidRPr="00446E4E">
        <w:rPr>
          <w:rStyle w:val="HideTWBExt"/>
          <w:b w:val="0"/>
          <w:color w:val="auto"/>
        </w:rPr>
        <w:t>&lt;/N</w:t>
      </w:r>
      <w:r w:rsidRPr="00446E4E">
        <w:rPr>
          <w:rStyle w:val="HideTWBExt"/>
          <w:b w:val="0"/>
          <w:color w:val="auto"/>
        </w:rPr>
        <w:t>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6.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2.a. nodaļa – 13.b pants – 1. punkts – ievaddaļa</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1.</w:t>
            </w:r>
            <w:r w:rsidRPr="00446E4E">
              <w:tab/>
              <w:t xml:space="preserve">Vismaz reizi gadā dalībvalstis sniedz </w:t>
            </w:r>
            <w:r w:rsidRPr="00446E4E">
              <w:rPr>
                <w:b/>
                <w:i/>
              </w:rPr>
              <w:t xml:space="preserve">Komisijai un Savienības </w:t>
            </w:r>
            <w:r w:rsidRPr="00446E4E">
              <w:rPr>
                <w:b/>
                <w:i/>
              </w:rPr>
              <w:lastRenderedPageBreak/>
              <w:t>Augstajam pārstāvim ārlietās</w:t>
            </w:r>
            <w:r w:rsidRPr="00446E4E">
              <w:t xml:space="preserve"> un </w:t>
            </w:r>
            <w:r w:rsidRPr="00446E4E">
              <w:rPr>
                <w:b/>
                <w:i/>
              </w:rPr>
              <w:t>drošības politikas jautājumos</w:t>
            </w:r>
            <w:r w:rsidRPr="00446E4E">
              <w:t xml:space="preserve"> šādu informāciju:</w:t>
            </w:r>
          </w:p>
        </w:tc>
        <w:tc>
          <w:tcPr>
            <w:tcW w:w="4876" w:type="dxa"/>
          </w:tcPr>
          <w:p w:rsidR="00E260EB" w:rsidRPr="00446E4E" w:rsidRDefault="00446E4E" w:rsidP="009704C5">
            <w:pPr>
              <w:pStyle w:val="Normal6a"/>
              <w:rPr>
                <w:szCs w:val="24"/>
              </w:rPr>
            </w:pPr>
            <w:r w:rsidRPr="00446E4E">
              <w:lastRenderedPageBreak/>
              <w:t>1.</w:t>
            </w:r>
            <w:r w:rsidRPr="00446E4E">
              <w:tab/>
              <w:t xml:space="preserve">Vismaz reizi gadā dalībvalstis sniedz </w:t>
            </w:r>
            <w:r w:rsidRPr="00446E4E">
              <w:rPr>
                <w:b/>
                <w:i/>
              </w:rPr>
              <w:t>EĀDD</w:t>
            </w:r>
            <w:r w:rsidRPr="00446E4E">
              <w:t xml:space="preserve"> un </w:t>
            </w:r>
            <w:r w:rsidRPr="00446E4E">
              <w:rPr>
                <w:b/>
                <w:i/>
              </w:rPr>
              <w:t>Komisijai</w:t>
            </w:r>
            <w:r w:rsidRPr="00446E4E">
              <w:t xml:space="preserve"> šādu </w:t>
            </w:r>
            <w:r w:rsidRPr="00446E4E">
              <w:lastRenderedPageBreak/>
              <w:t>informāciju:</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pPr>
      <w:r w:rsidRPr="00446E4E">
        <w:rPr>
          <w:rStyle w:val="HideTWBExt"/>
          <w:color w:val="auto"/>
        </w:rPr>
        <w:t>&lt;Amend&gt;</w:t>
      </w:r>
      <w:r w:rsidRPr="00446E4E">
        <w:t>Grozīj</w:t>
      </w:r>
      <w:r w:rsidRPr="00446E4E">
        <w:t>ums Nr.</w:t>
      </w:r>
      <w:r w:rsidRPr="00446E4E">
        <w:tab/>
      </w:r>
      <w:r w:rsidRPr="00446E4E">
        <w:tab/>
      </w:r>
      <w:r w:rsidRPr="00446E4E">
        <w:rPr>
          <w:rStyle w:val="HideTWBExt"/>
          <w:color w:val="auto"/>
        </w:rPr>
        <w:t>&lt;NumAm&gt;</w:t>
      </w:r>
      <w:r w:rsidRPr="00446E4E">
        <w:t>27</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6.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2.a nodaļa – 13.b pants – 2. punkts</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2.</w:t>
            </w:r>
            <w:r w:rsidRPr="00446E4E">
              <w:tab/>
              <w:t xml:space="preserve">Dalībvalstis, Komisijas dienesti un EĀDD 1. punkta a), b) un </w:t>
            </w:r>
            <w:r w:rsidRPr="00446E4E">
              <w:rPr>
                <w:b/>
                <w:i/>
              </w:rPr>
              <w:t>c</w:t>
            </w:r>
            <w:r w:rsidRPr="00446E4E">
              <w:t>) apakšpunktā minēto informāciju dara publiski pieejamu tādā veidā, kas nodrošina sniegtās informācijas saskaņotību.</w:t>
            </w:r>
          </w:p>
        </w:tc>
        <w:tc>
          <w:tcPr>
            <w:tcW w:w="4876" w:type="dxa"/>
          </w:tcPr>
          <w:p w:rsidR="00E260EB" w:rsidRPr="00446E4E" w:rsidRDefault="00446E4E" w:rsidP="009704C5">
            <w:pPr>
              <w:pStyle w:val="AmColumnHeading"/>
              <w:spacing w:after="120"/>
              <w:jc w:val="left"/>
            </w:pPr>
            <w:r w:rsidRPr="00446E4E">
              <w:rPr>
                <w:i w:val="0"/>
              </w:rPr>
              <w:t>2.</w:t>
            </w:r>
            <w:r w:rsidRPr="00446E4E">
              <w:rPr>
                <w:i w:val="0"/>
              </w:rPr>
              <w:tab/>
            </w:r>
            <w:r w:rsidRPr="00446E4E">
              <w:rPr>
                <w:i w:val="0"/>
              </w:rPr>
              <w:t>Dalībvalstis, Komisijas dienes</w:t>
            </w:r>
            <w:r w:rsidRPr="00446E4E">
              <w:rPr>
                <w:i w:val="0"/>
              </w:rPr>
              <w:t>ti un EĀDD 1. punkta a), b)</w:t>
            </w:r>
            <w:r w:rsidRPr="00446E4E">
              <w:rPr>
                <w:b/>
              </w:rPr>
              <w:t>,</w:t>
            </w:r>
            <w:r w:rsidRPr="00446E4E">
              <w:t xml:space="preserve"> </w:t>
            </w:r>
            <w:r w:rsidRPr="00446E4E">
              <w:rPr>
                <w:b/>
              </w:rPr>
              <w:t>c) </w:t>
            </w:r>
            <w:r w:rsidRPr="00446E4E">
              <w:rPr>
                <w:i w:val="0"/>
              </w:rPr>
              <w:t xml:space="preserve">un </w:t>
            </w:r>
            <w:r w:rsidRPr="00446E4E">
              <w:rPr>
                <w:b/>
              </w:rPr>
              <w:t>d</w:t>
            </w:r>
            <w:r w:rsidRPr="00446E4E">
              <w:t>) </w:t>
            </w:r>
            <w:r w:rsidRPr="00446E4E">
              <w:rPr>
                <w:i w:val="0"/>
              </w:rPr>
              <w:t>apakšpunktā minēto informāciju dara publiski pieejamu tādā veidā, kas nodrošina sniegtās informācijas saskaņotību</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28</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6.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2.a. nodaļa – 13.c pants – 1. punkts – ievaddaļa</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1.</w:t>
            </w:r>
            <w:r w:rsidRPr="00446E4E">
              <w:tab/>
            </w:r>
            <w:r w:rsidRPr="00446E4E">
              <w:t>Dalībvalstis veic pasākumus, lai informētu savus pilsoņus par viņu tiesībām, kas paredzētas LESD 20. panta 2. punkta c) apakšpunktā</w:t>
            </w:r>
            <w:r w:rsidRPr="00446E4E">
              <w:rPr>
                <w:b/>
                <w:i/>
              </w:rPr>
              <w:t>.Tas jo</w:t>
            </w:r>
            <w:r w:rsidRPr="00446E4E">
              <w:t xml:space="preserve"> īpaši</w:t>
            </w:r>
            <w:r w:rsidRPr="00446E4E">
              <w:rPr>
                <w:b/>
                <w:i/>
              </w:rPr>
              <w:t xml:space="preserve"> var ietvert šādus pasākumus</w:t>
            </w:r>
            <w:r w:rsidRPr="00446E4E">
              <w:t>:</w:t>
            </w:r>
          </w:p>
          <w:p w:rsidR="00E260EB" w:rsidRPr="00446E4E" w:rsidRDefault="00E260EB" w:rsidP="009704C5">
            <w:pPr>
              <w:pStyle w:val="Normal6a"/>
            </w:pPr>
          </w:p>
        </w:tc>
        <w:tc>
          <w:tcPr>
            <w:tcW w:w="4876" w:type="dxa"/>
          </w:tcPr>
          <w:p w:rsidR="00E260EB" w:rsidRPr="00446E4E" w:rsidRDefault="00446E4E" w:rsidP="009704C5">
            <w:pPr>
              <w:pStyle w:val="Normal6a"/>
            </w:pPr>
            <w:r w:rsidRPr="00446E4E">
              <w:t>1.</w:t>
            </w:r>
            <w:r w:rsidRPr="00446E4E">
              <w:tab/>
              <w:t>Dalībvalstis veic pasākumus, lai informētu savus pilsoņus par viņu tiesībām, k</w:t>
            </w:r>
            <w:r w:rsidRPr="00446E4E">
              <w:t>as paredzētas LESD 20. panta 2. punkta c) apakšpunktā</w:t>
            </w:r>
            <w:r w:rsidRPr="00446E4E">
              <w:rPr>
                <w:b/>
                <w:i/>
              </w:rPr>
              <w:t>,</w:t>
            </w:r>
            <w:r w:rsidRPr="00446E4E">
              <w:t xml:space="preserve"> īpaši:</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29</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6.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2.a. nodaļa – 13.c pants – 1. punkts – ievaddaļa – a apakšpunkts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rPr>
                <w:b/>
                <w:i/>
              </w:rPr>
              <w:t>(a)</w:t>
            </w:r>
            <w:r w:rsidRPr="00446E4E">
              <w:rPr>
                <w:b/>
                <w:i/>
              </w:rPr>
              <w:tab/>
              <w:t xml:space="preserve">atveidot LESD 23. panta pirmo </w:t>
            </w:r>
            <w:r w:rsidRPr="00446E4E">
              <w:rPr>
                <w:b/>
                <w:i/>
              </w:rPr>
              <w:lastRenderedPageBreak/>
              <w:t>teikumu valstu pasēs;</w:t>
            </w:r>
          </w:p>
        </w:tc>
        <w:tc>
          <w:tcPr>
            <w:tcW w:w="4876" w:type="dxa"/>
          </w:tcPr>
          <w:p w:rsidR="00E260EB" w:rsidRPr="00446E4E" w:rsidRDefault="00446E4E" w:rsidP="009704C5">
            <w:pPr>
              <w:pStyle w:val="Normal6a"/>
              <w:rPr>
                <w:b/>
                <w:i/>
                <w:szCs w:val="24"/>
              </w:rPr>
            </w:pPr>
            <w:r w:rsidRPr="00446E4E">
              <w:rPr>
                <w:b/>
                <w:i/>
              </w:rPr>
              <w:lastRenderedPageBreak/>
              <w:t>svītrots</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30</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6.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2.a. nodaļa – 13.c pants – 1. punkts – ievaddaļa – ca apakšpunkts (jauns)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 </w:t>
            </w:r>
          </w:p>
        </w:tc>
        <w:tc>
          <w:tcPr>
            <w:tcW w:w="4876" w:type="dxa"/>
          </w:tcPr>
          <w:p w:rsidR="00E260EB" w:rsidRPr="00446E4E" w:rsidRDefault="00446E4E" w:rsidP="009704C5">
            <w:pPr>
              <w:pStyle w:val="Normal6a"/>
              <w:rPr>
                <w:szCs w:val="24"/>
              </w:rPr>
            </w:pPr>
            <w:r w:rsidRPr="00446E4E">
              <w:rPr>
                <w:b/>
                <w:i/>
              </w:rPr>
              <w:t>(ca)</w:t>
            </w:r>
            <w:r w:rsidRPr="00446E4E">
              <w:rPr>
                <w:b/>
                <w:i/>
              </w:rPr>
              <w:tab/>
              <w:t>izstrādāt automātiskas paziņošanas sistēmas, piemēram, īsziņu sistēmas, izmantojot telefonu tīklus, lai visiem ES pilsoņiem, ierodoties trešā valstī, nodrošinātu konsulārās aizsardzības pamata kontaktinformāc</w:t>
            </w:r>
            <w:r w:rsidRPr="00446E4E">
              <w:rPr>
                <w:b/>
                <w:i/>
              </w:rPr>
              <w:t>iju, kā arī sūtītu brīdinājuma ziņojumus krīzes gadījumā;</w:t>
            </w:r>
          </w:p>
        </w:tc>
      </w:tr>
      <w:tr w:rsidR="00446E4E" w:rsidRPr="00446E4E" w:rsidTr="009704C5">
        <w:trPr>
          <w:jc w:val="center"/>
        </w:trPr>
        <w:tc>
          <w:tcPr>
            <w:tcW w:w="4876" w:type="dxa"/>
          </w:tcPr>
          <w:p w:rsidR="00E260EB" w:rsidRPr="00446E4E" w:rsidRDefault="00E260EB" w:rsidP="009704C5">
            <w:pPr>
              <w:pStyle w:val="Normal6a"/>
            </w:pPr>
          </w:p>
        </w:tc>
        <w:tc>
          <w:tcPr>
            <w:tcW w:w="4876" w:type="dxa"/>
          </w:tcPr>
          <w:p w:rsidR="00E260EB" w:rsidRPr="00446E4E" w:rsidRDefault="00E260EB" w:rsidP="009704C5">
            <w:pPr>
              <w:pStyle w:val="Normal6a"/>
              <w:rPr>
                <w:b/>
                <w:i/>
              </w:rPr>
            </w:pP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31</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6.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2.a. nodaļa – 13.c pants – 1. punkts – ievaddaļa – cb apakšpunkts (jauns)</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E260EB" w:rsidP="009704C5">
            <w:pPr>
              <w:pStyle w:val="Normal6a"/>
            </w:pPr>
          </w:p>
        </w:tc>
        <w:tc>
          <w:tcPr>
            <w:tcW w:w="4876" w:type="dxa"/>
          </w:tcPr>
          <w:p w:rsidR="00E260EB" w:rsidRPr="00446E4E" w:rsidRDefault="00446E4E" w:rsidP="009704C5">
            <w:pPr>
              <w:pStyle w:val="Normal6a"/>
              <w:rPr>
                <w:b/>
                <w:i/>
              </w:rPr>
            </w:pPr>
            <w:r w:rsidRPr="00446E4E">
              <w:rPr>
                <w:b/>
                <w:i/>
              </w:rPr>
              <w:t>(cb)</w:t>
            </w:r>
            <w:r w:rsidRPr="00446E4E">
              <w:rPr>
                <w:b/>
                <w:i/>
              </w:rPr>
              <w:tab/>
              <w:t>turklāt atveidot LESD 23. panta pirmo teikumu valstu pasēs.</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32</w:t>
      </w:r>
      <w:r w:rsidRPr="00446E4E">
        <w:rPr>
          <w:rStyle w:val="HideTWBExt"/>
          <w:color w:val="auto"/>
        </w:rPr>
        <w:t>&lt;/NumAm&gt;</w:t>
      </w:r>
    </w:p>
    <w:p w:rsidR="00E260EB" w:rsidRPr="00446E4E" w:rsidRDefault="00446E4E" w:rsidP="00E260EB">
      <w:pPr>
        <w:pStyle w:val="NormalBold12b"/>
      </w:pPr>
      <w:r w:rsidRPr="00446E4E">
        <w:rPr>
          <w:rStyle w:val="HideTWBExt"/>
          <w:color w:val="auto"/>
        </w:rPr>
        <w:t>&lt;D</w:t>
      </w:r>
      <w:r w:rsidRPr="00446E4E">
        <w:rPr>
          <w:rStyle w:val="HideTWBExt"/>
          <w:color w:val="auto"/>
        </w:rPr>
        <w:t>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7.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14. pants – 2. punkts – 1. daļa</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Ja nepārstāvēts pilsonis, iesniedzot palīdzības lūgumu, nespēj segt 1. punktā minētās izmaksas dalībvalstij, kas palīdz, </w:t>
            </w:r>
            <w:r w:rsidRPr="00446E4E">
              <w:lastRenderedPageBreak/>
              <w:t>attiecīgā dalībvalsts var lūgt nepārstāvētajam pilsonim parakstīt apņemšanos veikt atmaksu. Pamatojoties uz to, dalībvalsts, kas palīdz</w:t>
            </w:r>
            <w:r w:rsidRPr="00446E4E">
              <w:t xml:space="preserve">, var lūgt attiecīgo nepārstāvēto pilsoni segt minētas izmaksas, tiklīdz ir </w:t>
            </w:r>
            <w:r w:rsidRPr="00446E4E">
              <w:rPr>
                <w:b/>
                <w:i/>
              </w:rPr>
              <w:t>pagājušas četras nedēļas</w:t>
            </w:r>
            <w:r w:rsidRPr="00446E4E">
              <w:t xml:space="preserve"> kopš palīdzības sniegšanas.</w:t>
            </w:r>
          </w:p>
        </w:tc>
        <w:tc>
          <w:tcPr>
            <w:tcW w:w="4876" w:type="dxa"/>
          </w:tcPr>
          <w:p w:rsidR="00E260EB" w:rsidRPr="00446E4E" w:rsidRDefault="00446E4E" w:rsidP="009704C5">
            <w:pPr>
              <w:pStyle w:val="Normal6a"/>
            </w:pPr>
            <w:r w:rsidRPr="00446E4E">
              <w:lastRenderedPageBreak/>
              <w:t xml:space="preserve">Ja nepārstāvēts pilsonis, iesniedzot palīdzības lūgumu, nespēj segt 1. punktā minētās izmaksas dalībvalstij, kas palīdz, </w:t>
            </w:r>
            <w:r w:rsidRPr="00446E4E">
              <w:lastRenderedPageBreak/>
              <w:t>attiec</w:t>
            </w:r>
            <w:r w:rsidRPr="00446E4E">
              <w:t xml:space="preserve">īgā dalībvalsts var lūgt nepārstāvētajam pilsonim parakstīt apņemšanos veikt atmaksu. Pamatojoties uz to, dalībvalsts, kas palīdz, var lūgt attiecīgo nepārstāvēto pilsoni segt minētas izmaksas, tiklīdz ir </w:t>
            </w:r>
            <w:r w:rsidRPr="00446E4E">
              <w:rPr>
                <w:b/>
                <w:i/>
              </w:rPr>
              <w:t>pagājuši trīs mēneši</w:t>
            </w:r>
            <w:r w:rsidRPr="00446E4E">
              <w:t xml:space="preserve"> kopš palīdzības sniegšanas.</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33</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7.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14. pants – 6. punkts</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6.</w:t>
            </w:r>
            <w:r w:rsidRPr="00446E4E">
              <w:tab/>
              <w:t xml:space="preserve">Komisija var pieņemt īstenošanas aktus, ar </w:t>
            </w:r>
            <w:r w:rsidRPr="00446E4E">
              <w:rPr>
                <w:b/>
                <w:i/>
              </w:rPr>
              <w:t>ko</w:t>
            </w:r>
            <w:r w:rsidRPr="00446E4E">
              <w:t xml:space="preserve"> nosaka standarta veidlapas, kuras jāizmanto, lai paustu apņemšanos veikt atmaksu saskaņā ar 2. punktu un lai valstspiederības dalībvalsts atlīdzinātu izmaksas saskaņā ar 3.</w:t>
            </w:r>
            <w:r w:rsidRPr="00446E4E">
              <w:rPr>
                <w:b/>
                <w:i/>
              </w:rPr>
              <w:t> </w:t>
            </w:r>
            <w:r w:rsidRPr="00446E4E">
              <w:t>punktu. Šos īstenošanas aktus pieņem saskaņā ar 15.a panta 2. punktā minēto pārbau</w:t>
            </w:r>
            <w:r w:rsidRPr="00446E4E">
              <w:t>des procedūru.</w:t>
            </w:r>
          </w:p>
        </w:tc>
        <w:tc>
          <w:tcPr>
            <w:tcW w:w="4876" w:type="dxa"/>
          </w:tcPr>
          <w:p w:rsidR="00E260EB" w:rsidRPr="00446E4E" w:rsidRDefault="00446E4E" w:rsidP="009704C5">
            <w:pPr>
              <w:pStyle w:val="AmColumnHeading"/>
              <w:spacing w:after="120"/>
              <w:jc w:val="left"/>
            </w:pPr>
            <w:r w:rsidRPr="00446E4E">
              <w:rPr>
                <w:i w:val="0"/>
              </w:rPr>
              <w:t>6.</w:t>
            </w:r>
            <w:r w:rsidRPr="00446E4E">
              <w:rPr>
                <w:i w:val="0"/>
              </w:rPr>
              <w:tab/>
            </w:r>
            <w:r w:rsidRPr="00446E4E">
              <w:rPr>
                <w:i w:val="0"/>
              </w:rPr>
              <w:t>Komisija var pieņemt īstenošanas aktus, ar</w:t>
            </w:r>
            <w:r w:rsidRPr="00446E4E">
              <w:t xml:space="preserve"> </w:t>
            </w:r>
            <w:r w:rsidRPr="00446E4E">
              <w:rPr>
                <w:b/>
              </w:rPr>
              <w:t>kuriem</w:t>
            </w:r>
            <w:r w:rsidRPr="00446E4E">
              <w:t xml:space="preserve"> </w:t>
            </w:r>
            <w:r w:rsidRPr="00446E4E">
              <w:rPr>
                <w:i w:val="0"/>
              </w:rPr>
              <w:t>nosaka standarta veidlapas</w:t>
            </w:r>
            <w:r w:rsidRPr="00446E4E">
              <w:t xml:space="preserve">, </w:t>
            </w:r>
            <w:r w:rsidRPr="00446E4E">
              <w:rPr>
                <w:b/>
              </w:rPr>
              <w:t xml:space="preserve">kurām ir jābūt pieejamām visās dalībvalstu valodās un </w:t>
            </w:r>
            <w:r w:rsidRPr="00446E4E">
              <w:rPr>
                <w:i w:val="0"/>
              </w:rPr>
              <w:t>kuras</w:t>
            </w:r>
            <w:r w:rsidRPr="00446E4E">
              <w:rPr>
                <w:b/>
              </w:rPr>
              <w:t xml:space="preserve"> ir</w:t>
            </w:r>
            <w:r w:rsidRPr="00446E4E">
              <w:t xml:space="preserve"> </w:t>
            </w:r>
            <w:r w:rsidRPr="00446E4E">
              <w:rPr>
                <w:i w:val="0"/>
              </w:rPr>
              <w:t>jāizmanto, lai paustu apņemšanos veikt atmaksu saskaņā ar 2. punktu un lai valstspiederības dalīb</w:t>
            </w:r>
            <w:r w:rsidRPr="00446E4E">
              <w:rPr>
                <w:i w:val="0"/>
              </w:rPr>
              <w:t>valsts atlīdzinātu izmaksas saskaņā ar 3.</w:t>
            </w:r>
            <w:r w:rsidRPr="00446E4E">
              <w:rPr>
                <w:b/>
                <w:i w:val="0"/>
              </w:rPr>
              <w:t xml:space="preserve"> </w:t>
            </w:r>
            <w:r w:rsidRPr="00446E4E">
              <w:rPr>
                <w:i w:val="0"/>
              </w:rPr>
              <w:t>punktu.</w:t>
            </w:r>
            <w:r w:rsidRPr="00446E4E">
              <w:rPr>
                <w:i w:val="0"/>
              </w:rPr>
              <w:t xml:space="preserve"> Šos īstenošanas aktus pieņem saskaņā ar 15.a panta 2. punktā minēto pārbaudes procedūru.</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pPr>
      <w:r w:rsidRPr="00446E4E">
        <w:rPr>
          <w:rStyle w:val="HideTWBExt"/>
          <w:color w:val="auto"/>
        </w:rPr>
        <w:t>&lt;Amend&gt;</w:t>
      </w:r>
      <w:r w:rsidRPr="00446E4E">
        <w:t>Grozījums Nr.</w:t>
      </w:r>
      <w:r w:rsidRPr="00446E4E">
        <w:tab/>
      </w:r>
      <w:r w:rsidRPr="00446E4E">
        <w:tab/>
      </w:r>
      <w:r w:rsidRPr="00446E4E">
        <w:rPr>
          <w:rStyle w:val="HideTWBExt"/>
          <w:color w:val="auto"/>
        </w:rPr>
        <w:t>&lt;NumAm&gt;</w:t>
      </w:r>
      <w:r w:rsidRPr="00446E4E">
        <w:t>34</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w:t>
      </w:r>
      <w:r w:rsidRPr="00446E4E">
        <w:t xml:space="preserve"> daļa – 9.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16.a pants – 6. punkts</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6.</w:t>
            </w:r>
            <w:r w:rsidRPr="00446E4E">
              <w:tab/>
            </w:r>
            <w:r w:rsidRPr="00446E4E">
              <w:t>Apstrādājot 5. punktā minētos personas datus, dalībvalstu kompetentās iestādes un Savienības iestādes un struktūras nodrošina piemērotus un īpašus pasākumus, lai aizsargātu datu subjektu intereses. Tās arī ievieš iekšējo politiku un veic nepieciešamos tehn</w:t>
            </w:r>
            <w:r w:rsidRPr="00446E4E">
              <w:t xml:space="preserve">iskos un organizatoriskos pasākumus, lai novērstu nesankcionētu piekļuvi šādiem personas </w:t>
            </w:r>
            <w:r w:rsidRPr="00446E4E">
              <w:lastRenderedPageBreak/>
              <w:t>datiem un to pārsūtīšanu.</w:t>
            </w:r>
          </w:p>
        </w:tc>
        <w:tc>
          <w:tcPr>
            <w:tcW w:w="4876" w:type="dxa"/>
          </w:tcPr>
          <w:p w:rsidR="00E260EB" w:rsidRPr="00446E4E" w:rsidRDefault="00446E4E" w:rsidP="009704C5">
            <w:pPr>
              <w:pStyle w:val="Normal6a"/>
            </w:pPr>
            <w:r w:rsidRPr="00446E4E">
              <w:lastRenderedPageBreak/>
              <w:t>6.</w:t>
            </w:r>
            <w:r w:rsidRPr="00446E4E">
              <w:tab/>
            </w:r>
            <w:r w:rsidRPr="00446E4E">
              <w:t>Apstrādājot 5. punktā minētos personas datus, dalībvalstu kompetentās iestādes un Savienības iestādes un struktūras nodrošina piemērotus un īpašus pasākumus, lai aizsargātu datu subjektu intereses. Tās arī ievieš iekšējo politiku un veic nepieciešamos tehn</w:t>
            </w:r>
            <w:r w:rsidRPr="00446E4E">
              <w:t xml:space="preserve">iskos un organizatoriskos pasākumus, lai novērstu nesankcionētu piekļuvi šādiem personas datiem un to pārsūtīšanu. </w:t>
            </w:r>
            <w:r w:rsidRPr="00446E4E">
              <w:rPr>
                <w:b/>
                <w:i/>
              </w:rPr>
              <w:t xml:space="preserve">Tiesības piekļūt </w:t>
            </w:r>
            <w:r w:rsidRPr="00446E4E">
              <w:rPr>
                <w:b/>
                <w:i/>
              </w:rPr>
              <w:lastRenderedPageBreak/>
              <w:t>5. punktā minētajiem personas datiem ir tikai tiem darbiniekiem, kuriem ir kādas ES dalībvalsts pase.</w:t>
            </w:r>
          </w:p>
        </w:tc>
      </w:tr>
    </w:tbl>
    <w:p w:rsidR="00E260EB" w:rsidRPr="00446E4E" w:rsidRDefault="00446E4E" w:rsidP="00E260EB">
      <w:r w:rsidRPr="00446E4E">
        <w:rPr>
          <w:rStyle w:val="HideTWBExt"/>
          <w:color w:val="auto"/>
        </w:rPr>
        <w:lastRenderedPageBreak/>
        <w:t>&lt;/Amend&gt;</w:t>
      </w:r>
    </w:p>
    <w:p w:rsidR="00E260EB" w:rsidRPr="00446E4E" w:rsidRDefault="00446E4E" w:rsidP="00E260EB">
      <w:pPr>
        <w:pStyle w:val="AmNumberTabs"/>
      </w:pPr>
      <w:r w:rsidRPr="00446E4E">
        <w:rPr>
          <w:rStyle w:val="HideTWBExt"/>
          <w:color w:val="auto"/>
        </w:rPr>
        <w:t>&lt;Amend&gt;</w:t>
      </w:r>
      <w:r w:rsidRPr="00446E4E">
        <w:t>Grozī</w:t>
      </w:r>
      <w:r w:rsidRPr="00446E4E">
        <w:t>jums Nr.</w:t>
      </w:r>
      <w:r w:rsidRPr="00446E4E">
        <w:tab/>
      </w:r>
      <w:r w:rsidRPr="00446E4E">
        <w:tab/>
      </w:r>
      <w:r w:rsidRPr="00446E4E">
        <w:rPr>
          <w:rStyle w:val="HideTWBExt"/>
          <w:color w:val="auto"/>
        </w:rPr>
        <w:t>&lt;NumAm&gt;</w:t>
      </w:r>
      <w:r w:rsidRPr="00446E4E">
        <w:t>35</w:t>
      </w:r>
      <w:r w:rsidRPr="00446E4E">
        <w:rPr>
          <w:rStyle w:val="HideTWBExt"/>
          <w:color w:val="auto"/>
        </w:rPr>
        <w:t>&lt;/NumAm&gt;</w:t>
      </w:r>
    </w:p>
    <w:p w:rsidR="00E260EB" w:rsidRPr="00446E4E" w:rsidRDefault="00446E4E" w:rsidP="00E260EB">
      <w:pPr>
        <w:pStyle w:val="NormalBold12b"/>
      </w:pPr>
      <w:r w:rsidRPr="00446E4E">
        <w:rPr>
          <w:rStyle w:val="HideTWBExt"/>
          <w:color w:val="auto"/>
        </w:rPr>
        <w:t>&lt;DocAmend&gt;</w:t>
      </w:r>
      <w:r w:rsidRPr="00446E4E">
        <w:t>Direktīvas priekšlikums</w:t>
      </w:r>
      <w:r w:rsidRPr="00446E4E">
        <w:rPr>
          <w:rStyle w:val="HideTWBExt"/>
          <w:color w:val="auto"/>
        </w:rPr>
        <w:t>&lt;/DocAmend&gt;</w:t>
      </w:r>
    </w:p>
    <w:p w:rsidR="00E260EB" w:rsidRPr="00446E4E" w:rsidRDefault="00446E4E" w:rsidP="00E260EB">
      <w:pPr>
        <w:pStyle w:val="NormalBold"/>
      </w:pPr>
      <w:r w:rsidRPr="00446E4E">
        <w:rPr>
          <w:rStyle w:val="HideTWBExt"/>
          <w:color w:val="auto"/>
        </w:rPr>
        <w:t>&lt;Article&gt;</w:t>
      </w:r>
      <w:r w:rsidRPr="00446E4E">
        <w:t>1. pants – 1. daļa – 9. punkts</w:t>
      </w:r>
      <w:r w:rsidRPr="00446E4E">
        <w:rPr>
          <w:rStyle w:val="HideTWBExt"/>
          <w:color w:val="auto"/>
        </w:rPr>
        <w:t>&lt;/Article&gt;</w:t>
      </w:r>
    </w:p>
    <w:p w:rsidR="00E260EB" w:rsidRPr="00446E4E" w:rsidRDefault="00446E4E" w:rsidP="00E260EB">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16.a pants – 7. punkts – 1. daļa</w:t>
      </w:r>
      <w:r w:rsidRPr="00446E4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6E4E" w:rsidRPr="00446E4E" w:rsidTr="009704C5">
        <w:trPr>
          <w:trHeight w:hRule="exact" w:val="240"/>
          <w:jc w:val="center"/>
        </w:trPr>
        <w:tc>
          <w:tcPr>
            <w:tcW w:w="9752" w:type="dxa"/>
            <w:gridSpan w:val="2"/>
          </w:tcPr>
          <w:p w:rsidR="00E260EB" w:rsidRPr="00446E4E" w:rsidRDefault="00E260EB" w:rsidP="009704C5"/>
        </w:tc>
      </w:tr>
      <w:tr w:rsidR="00446E4E" w:rsidRPr="00446E4E" w:rsidTr="009704C5">
        <w:trPr>
          <w:trHeight w:val="240"/>
          <w:jc w:val="center"/>
        </w:trPr>
        <w:tc>
          <w:tcPr>
            <w:tcW w:w="4876" w:type="dxa"/>
          </w:tcPr>
          <w:p w:rsidR="00E260EB" w:rsidRPr="00446E4E" w:rsidRDefault="00446E4E" w:rsidP="009704C5">
            <w:pPr>
              <w:pStyle w:val="AmColumnHeading"/>
            </w:pPr>
            <w:r w:rsidRPr="00446E4E">
              <w:t>Komisijas ierosinātais teksts</w:t>
            </w:r>
          </w:p>
        </w:tc>
        <w:tc>
          <w:tcPr>
            <w:tcW w:w="4876" w:type="dxa"/>
          </w:tcPr>
          <w:p w:rsidR="00E260EB" w:rsidRPr="00446E4E" w:rsidRDefault="00446E4E" w:rsidP="009704C5">
            <w:pPr>
              <w:pStyle w:val="AmColumnHeading"/>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Šīs direktīvas nolūkiem dalībvalstu kompetentās iestādes pārsūta personas datus trešai valstij vai starptautiskai organizācijai tikai, lai veiktu 9., 10. un 13.a pantā minētos uzdevumus un saskaņā ar Regulas (ES) 2016/679 V nodaļu.</w:t>
            </w:r>
          </w:p>
        </w:tc>
        <w:tc>
          <w:tcPr>
            <w:tcW w:w="4876" w:type="dxa"/>
          </w:tcPr>
          <w:p w:rsidR="00E260EB" w:rsidRPr="00446E4E" w:rsidRDefault="00446E4E" w:rsidP="009704C5">
            <w:pPr>
              <w:pStyle w:val="Normal6a"/>
            </w:pPr>
            <w:r w:rsidRPr="00446E4E">
              <w:t>Šīs direktīva</w:t>
            </w:r>
            <w:r w:rsidRPr="00446E4E">
              <w:t xml:space="preserve">s nolūkiem dalībvalstu kompetentās iestādes pārsūta personas datus trešai valstij vai starptautiskai organizācijai tikai, lai veiktu 9., 10. un 13.a pantā minētos uzdevumus un saskaņā ar Regulas (ES) 2016/679 V nodaļu. </w:t>
            </w:r>
            <w:r w:rsidRPr="00446E4E">
              <w:rPr>
                <w:b/>
                <w:i/>
              </w:rPr>
              <w:t>No minētās pārsūtīšanas izslēdz 5. pu</w:t>
            </w:r>
            <w:r w:rsidRPr="00446E4E">
              <w:rPr>
                <w:b/>
                <w:i/>
              </w:rPr>
              <w:t>nktā minētos datus, ja vien attiecīgais Savienības pilsonis nav sniedzis nepārprotamu iepriekšēju piekrišanu.</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t>&lt;Amend&gt;</w:t>
      </w:r>
      <w:r w:rsidRPr="00446E4E">
        <w:t>Grozījums Nr.</w:t>
      </w:r>
      <w:r w:rsidRPr="00446E4E">
        <w:tab/>
      </w:r>
      <w:r w:rsidRPr="00446E4E">
        <w:tab/>
      </w:r>
      <w:r w:rsidRPr="00446E4E">
        <w:rPr>
          <w:rStyle w:val="HideTWBExt"/>
          <w:b w:val="0"/>
          <w:color w:val="auto"/>
        </w:rPr>
        <w:t>&lt;NumAm&gt;</w:t>
      </w:r>
      <w:r w:rsidRPr="00446E4E">
        <w:t>36</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9.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16.b pants – 1. daļa – ievaddaļa</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Dalībvalstis nodrošina, ka nepārstāvēto pilsoņu rīcībā ir iedarbīgi, valsts tiesību aktos paredzēti tiesiskās aizsardzības līdzekļi, kurus tie var izmantot, ja ir pārkāptas viņu tiesības, kas noteiktas šajā direktīvā.</w:t>
            </w:r>
          </w:p>
        </w:tc>
        <w:tc>
          <w:tcPr>
            <w:tcW w:w="4876" w:type="dxa"/>
          </w:tcPr>
          <w:p w:rsidR="00E260EB" w:rsidRPr="00446E4E" w:rsidRDefault="00446E4E" w:rsidP="009704C5">
            <w:pPr>
              <w:pStyle w:val="Normal6a"/>
              <w:rPr>
                <w:szCs w:val="24"/>
              </w:rPr>
            </w:pPr>
            <w:r w:rsidRPr="00446E4E">
              <w:t>Dalībvalstis nodrošina, ka nepārstāvēt</w:t>
            </w:r>
            <w:r w:rsidRPr="00446E4E">
              <w:t xml:space="preserve">o pilsoņu rīcībā ir </w:t>
            </w:r>
            <w:r w:rsidRPr="00446E4E">
              <w:rPr>
                <w:b/>
                <w:i/>
              </w:rPr>
              <w:t>efektīva piekļuve sūdzību mehānismiem un</w:t>
            </w:r>
            <w:r w:rsidRPr="00446E4E">
              <w:t xml:space="preserve"> valsts tiesību aktos </w:t>
            </w:r>
            <w:r w:rsidRPr="00446E4E">
              <w:rPr>
                <w:b/>
                <w:i/>
              </w:rPr>
              <w:t>paredzētajiem</w:t>
            </w:r>
            <w:r w:rsidRPr="00446E4E">
              <w:t xml:space="preserve"> tiesiskās aizsardzības </w:t>
            </w:r>
            <w:r w:rsidRPr="00446E4E">
              <w:rPr>
                <w:b/>
                <w:i/>
              </w:rPr>
              <w:t>līdzekļiem</w:t>
            </w:r>
            <w:r w:rsidRPr="00446E4E">
              <w:t>, kurus tie var izmantot, ja ir pārkāptas viņu tiesības, kas noteiktas šajā direktīvā.</w:t>
            </w:r>
          </w:p>
        </w:tc>
      </w:tr>
    </w:tbl>
    <w:p w:rsidR="00E260EB" w:rsidRPr="00446E4E" w:rsidRDefault="00446E4E" w:rsidP="00E260EB">
      <w:r w:rsidRPr="00446E4E">
        <w:rPr>
          <w:rStyle w:val="HideTWBExt"/>
          <w:color w:val="auto"/>
        </w:rPr>
        <w:t>&lt;/Amend&gt;</w:t>
      </w:r>
    </w:p>
    <w:p w:rsidR="00E260EB" w:rsidRPr="00446E4E" w:rsidRDefault="00446E4E" w:rsidP="00E260EB">
      <w:pPr>
        <w:pStyle w:val="AmNumberTabs"/>
        <w:keepNext/>
      </w:pPr>
      <w:r w:rsidRPr="00446E4E">
        <w:rPr>
          <w:rStyle w:val="HideTWBExt"/>
          <w:b w:val="0"/>
          <w:color w:val="auto"/>
        </w:rPr>
        <w:lastRenderedPageBreak/>
        <w:t>&lt;Amend&gt;</w:t>
      </w:r>
      <w:r w:rsidRPr="00446E4E">
        <w:t>Grozījums Nr.</w:t>
      </w:r>
      <w:r w:rsidRPr="00446E4E">
        <w:tab/>
      </w:r>
      <w:r w:rsidRPr="00446E4E">
        <w:tab/>
      </w:r>
      <w:r w:rsidRPr="00446E4E">
        <w:rPr>
          <w:rStyle w:val="HideTWBExt"/>
          <w:b w:val="0"/>
          <w:color w:val="auto"/>
        </w:rPr>
        <w:t>&lt;NumAm&gt;</w:t>
      </w:r>
      <w:r w:rsidRPr="00446E4E">
        <w:t>37</w:t>
      </w:r>
      <w:r w:rsidRPr="00446E4E">
        <w:rPr>
          <w:rStyle w:val="HideTWBExt"/>
          <w:b w:val="0"/>
          <w:color w:val="auto"/>
        </w:rPr>
        <w:t>&lt;/NumAm&gt;</w:t>
      </w:r>
    </w:p>
    <w:p w:rsidR="00E260EB" w:rsidRPr="00446E4E" w:rsidRDefault="00446E4E" w:rsidP="00E260EB">
      <w:pPr>
        <w:pStyle w:val="NormalBold12b"/>
        <w:keepNext/>
      </w:pPr>
      <w:r w:rsidRPr="00446E4E">
        <w:rPr>
          <w:rStyle w:val="HideTWBExt"/>
          <w:b w:val="0"/>
          <w:color w:val="auto"/>
        </w:rPr>
        <w:t>&lt;DocAmend&gt;</w:t>
      </w:r>
      <w:r w:rsidRPr="00446E4E">
        <w:t>Direktīvas priekšlikums</w:t>
      </w:r>
      <w:r w:rsidRPr="00446E4E">
        <w:rPr>
          <w:rStyle w:val="HideTWBExt"/>
          <w:b w:val="0"/>
          <w:color w:val="auto"/>
        </w:rPr>
        <w:t>&lt;/DocAmend&gt;</w:t>
      </w:r>
    </w:p>
    <w:p w:rsidR="00E260EB" w:rsidRPr="00446E4E" w:rsidRDefault="00446E4E" w:rsidP="00E260EB">
      <w:pPr>
        <w:pStyle w:val="NormalBold"/>
        <w:keepNext/>
      </w:pPr>
      <w:r w:rsidRPr="00446E4E">
        <w:rPr>
          <w:rStyle w:val="HideTWBExt"/>
          <w:b w:val="0"/>
          <w:color w:val="auto"/>
        </w:rPr>
        <w:t>&lt;Article&gt;</w:t>
      </w:r>
      <w:r w:rsidRPr="00446E4E">
        <w:t>1. pants – 1. daļa – 10. punkts</w:t>
      </w:r>
      <w:r w:rsidRPr="00446E4E">
        <w:rPr>
          <w:rStyle w:val="HideTWBExt"/>
          <w:b w:val="0"/>
          <w:color w:val="auto"/>
        </w:rPr>
        <w:t>&lt;/Article&gt;</w:t>
      </w:r>
    </w:p>
    <w:p w:rsidR="00E260EB" w:rsidRPr="00446E4E" w:rsidRDefault="00446E4E" w:rsidP="00E260EB">
      <w:pPr>
        <w:keepNext/>
      </w:pPr>
      <w:r w:rsidRPr="00446E4E">
        <w:rPr>
          <w:rStyle w:val="HideTWBExt"/>
          <w:color w:val="auto"/>
        </w:rPr>
        <w:t>&lt;DocAmend2&gt;</w:t>
      </w:r>
      <w:r w:rsidRPr="00446E4E">
        <w:t>Direktīva (ES) 2015/637</w:t>
      </w:r>
      <w:r w:rsidRPr="00446E4E">
        <w:rPr>
          <w:rStyle w:val="HideTWBExt"/>
          <w:color w:val="auto"/>
        </w:rPr>
        <w:t>&lt;/DocAmend2&gt;</w:t>
      </w:r>
    </w:p>
    <w:p w:rsidR="00E260EB" w:rsidRPr="00446E4E" w:rsidRDefault="00446E4E" w:rsidP="00E260EB">
      <w:r w:rsidRPr="00446E4E">
        <w:rPr>
          <w:rStyle w:val="HideTWBExt"/>
          <w:color w:val="auto"/>
        </w:rPr>
        <w:t>&lt;Article2&gt;</w:t>
      </w:r>
      <w:r w:rsidRPr="00446E4E">
        <w:t>19. pants – 3. punkts – 1. daļa</w:t>
      </w:r>
      <w:r w:rsidRPr="00446E4E">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E4E" w:rsidRPr="00446E4E" w:rsidTr="009704C5">
        <w:trPr>
          <w:jc w:val="center"/>
        </w:trPr>
        <w:tc>
          <w:tcPr>
            <w:tcW w:w="9752" w:type="dxa"/>
            <w:gridSpan w:val="2"/>
          </w:tcPr>
          <w:p w:rsidR="00E260EB" w:rsidRPr="00446E4E" w:rsidRDefault="00E260EB" w:rsidP="009704C5">
            <w:pPr>
              <w:keepNext/>
            </w:pPr>
          </w:p>
        </w:tc>
      </w:tr>
      <w:tr w:rsidR="00446E4E" w:rsidRPr="00446E4E" w:rsidTr="009704C5">
        <w:trPr>
          <w:jc w:val="center"/>
        </w:trPr>
        <w:tc>
          <w:tcPr>
            <w:tcW w:w="4876" w:type="dxa"/>
          </w:tcPr>
          <w:p w:rsidR="00E260EB" w:rsidRPr="00446E4E" w:rsidRDefault="00446E4E" w:rsidP="009704C5">
            <w:pPr>
              <w:pStyle w:val="AmColumnHeading"/>
              <w:keepNext/>
            </w:pPr>
            <w:r w:rsidRPr="00446E4E">
              <w:t>Komisijas ierosinātais teksts</w:t>
            </w:r>
          </w:p>
        </w:tc>
        <w:tc>
          <w:tcPr>
            <w:tcW w:w="4876" w:type="dxa"/>
          </w:tcPr>
          <w:p w:rsidR="00E260EB" w:rsidRPr="00446E4E" w:rsidRDefault="00446E4E" w:rsidP="009704C5">
            <w:pPr>
              <w:pStyle w:val="AmColumnHeading"/>
              <w:keepNext/>
            </w:pPr>
            <w:r w:rsidRPr="00446E4E">
              <w:t>Grozījums</w:t>
            </w:r>
          </w:p>
        </w:tc>
      </w:tr>
      <w:tr w:rsidR="00446E4E" w:rsidRPr="00446E4E" w:rsidTr="009704C5">
        <w:trPr>
          <w:jc w:val="center"/>
        </w:trPr>
        <w:tc>
          <w:tcPr>
            <w:tcW w:w="4876" w:type="dxa"/>
          </w:tcPr>
          <w:p w:rsidR="00E260EB" w:rsidRPr="00446E4E" w:rsidRDefault="00446E4E" w:rsidP="009704C5">
            <w:pPr>
              <w:pStyle w:val="Normal6a"/>
            </w:pPr>
            <w:r w:rsidRPr="00446E4E">
              <w:t xml:space="preserve">3. </w:t>
            </w:r>
            <w:r w:rsidRPr="00446E4E">
              <w:rPr>
                <w:b/>
                <w:i/>
              </w:rPr>
              <w:t>Ne agrāk kā [astoņus gadus pēc</w:t>
            </w:r>
            <w:r w:rsidRPr="00446E4E">
              <w:t xml:space="preserve"> direktīvas</w:t>
            </w:r>
            <w:r w:rsidRPr="00446E4E">
              <w:rPr>
                <w:b/>
                <w:i/>
              </w:rPr>
              <w:t>, ar ko izdara grozījumus, transponēšanas dienas]</w:t>
            </w:r>
            <w:r w:rsidRPr="00446E4E">
              <w:t xml:space="preserve"> Komisija veic šīs direktīvas izvērtēšanu un iesniedz Eiropas Parlamentam un Padomei ziņojumu, kurā izklāstīti galvenie konstatējumi.</w:t>
            </w:r>
          </w:p>
        </w:tc>
        <w:tc>
          <w:tcPr>
            <w:tcW w:w="4876" w:type="dxa"/>
          </w:tcPr>
          <w:p w:rsidR="00E260EB" w:rsidRPr="00446E4E" w:rsidRDefault="00446E4E" w:rsidP="009704C5">
            <w:pPr>
              <w:pStyle w:val="Normal6a"/>
              <w:rPr>
                <w:szCs w:val="24"/>
              </w:rPr>
            </w:pPr>
            <w:r w:rsidRPr="00446E4E">
              <w:t xml:space="preserve">3. </w:t>
            </w:r>
            <w:r w:rsidRPr="00446E4E">
              <w:rPr>
                <w:b/>
                <w:i/>
              </w:rPr>
              <w:t>Līdz ... [četri gadi pēc groz</w:t>
            </w:r>
            <w:r w:rsidRPr="00446E4E">
              <w:rPr>
                <w:b/>
                <w:i/>
              </w:rPr>
              <w:t>ošās</w:t>
            </w:r>
            <w:r w:rsidRPr="00446E4E">
              <w:t xml:space="preserve"> direktīvas</w:t>
            </w:r>
            <w:r w:rsidRPr="00446E4E">
              <w:rPr>
                <w:b/>
                <w:i/>
              </w:rPr>
              <w:t xml:space="preserve"> transponēšanas termiņa dienas] un turpmāk vismaz reizi četros gados</w:t>
            </w:r>
            <w:r w:rsidRPr="00446E4E">
              <w:t xml:space="preserve"> Komisija veic šīs direktīvas </w:t>
            </w:r>
            <w:r w:rsidRPr="00446E4E">
              <w:rPr>
                <w:b/>
                <w:i/>
              </w:rPr>
              <w:t xml:space="preserve">transponēšanas un piemērošanas </w:t>
            </w:r>
            <w:r w:rsidRPr="00446E4E">
              <w:t xml:space="preserve">izvērtēšanu un iesniedz Eiropas Parlamentam un Padomei ziņojumu, kurā </w:t>
            </w:r>
            <w:r w:rsidRPr="00446E4E">
              <w:rPr>
                <w:b/>
                <w:i/>
              </w:rPr>
              <w:t xml:space="preserve">ir </w:t>
            </w:r>
            <w:r w:rsidRPr="00446E4E">
              <w:t>izklāstīti galvenie konstatējumi</w:t>
            </w:r>
            <w:r w:rsidRPr="00446E4E">
              <w:rPr>
                <w:b/>
                <w:i/>
              </w:rPr>
              <w:t>, tosta</w:t>
            </w:r>
            <w:r w:rsidRPr="00446E4E">
              <w:rPr>
                <w:b/>
                <w:i/>
              </w:rPr>
              <w:t>rp šajā direktīvā noteikto tiesību iespējami pārkāpumi</w:t>
            </w:r>
            <w:r w:rsidRPr="00446E4E">
              <w:t>.</w:t>
            </w:r>
          </w:p>
        </w:tc>
      </w:tr>
    </w:tbl>
    <w:p w:rsidR="00E260EB" w:rsidRPr="00446E4E" w:rsidRDefault="00446E4E" w:rsidP="00E260EB">
      <w:r w:rsidRPr="00446E4E">
        <w:rPr>
          <w:rStyle w:val="HideTWBExt"/>
          <w:color w:val="auto"/>
        </w:rPr>
        <w:t>&lt;/Amend&gt;</w:t>
      </w:r>
    </w:p>
    <w:p w:rsidR="00E260EB" w:rsidRPr="00446E4E" w:rsidRDefault="00446E4E" w:rsidP="00E260EB">
      <w:r w:rsidRPr="00446E4E">
        <w:rPr>
          <w:rStyle w:val="HideTWBExt"/>
          <w:color w:val="auto"/>
        </w:rPr>
        <w:t>&lt;/RepeatBlock-Amend&gt;</w:t>
      </w:r>
    </w:p>
    <w:p w:rsidR="00E260EB" w:rsidRPr="00446E4E" w:rsidRDefault="00E260EB" w:rsidP="00E260EB">
      <w:pPr>
        <w:sectPr w:rsidR="00E260EB" w:rsidRPr="00446E4E" w:rsidSect="005F7B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260EB" w:rsidRPr="00446E4E" w:rsidRDefault="00446E4E" w:rsidP="00E260EB">
      <w:pPr>
        <w:jc w:val="center"/>
        <w:outlineLvl w:val="0"/>
        <w:rPr>
          <w:rFonts w:ascii="Arial" w:hAnsi="Arial"/>
          <w:b/>
          <w:caps/>
        </w:rPr>
      </w:pPr>
      <w:r w:rsidRPr="00446E4E">
        <w:rPr>
          <w:rFonts w:ascii="Arial" w:hAnsi="Arial"/>
          <w:b/>
        </w:rPr>
        <w:lastRenderedPageBreak/>
        <w:t xml:space="preserve">PIELIKUMS. </w:t>
      </w:r>
      <w:r w:rsidRPr="00446E4E">
        <w:rPr>
          <w:rFonts w:ascii="Arial" w:hAnsi="Arial"/>
          <w:b/>
          <w:caps/>
        </w:rPr>
        <w:t>VIENĪBU VAI PERSONU SARAKSTS,</w:t>
      </w:r>
    </w:p>
    <w:p w:rsidR="00E260EB" w:rsidRPr="00446E4E" w:rsidRDefault="00446E4E" w:rsidP="00E260EB">
      <w:pPr>
        <w:pStyle w:val="PageHeadingNotTOC"/>
        <w:rPr>
          <w:noProof/>
        </w:rPr>
      </w:pPr>
      <w:r w:rsidRPr="00446E4E">
        <w:rPr>
          <w:caps/>
        </w:rPr>
        <w:t>NO KURĀM ATZINUMA SAGATAVOTĀJS IR SAŅĒMIS PIENESUMU</w:t>
      </w:r>
    </w:p>
    <w:p w:rsidR="00E260EB" w:rsidRPr="00446E4E" w:rsidRDefault="00446E4E" w:rsidP="00E260EB">
      <w:pPr>
        <w:pStyle w:val="Normal24a"/>
      </w:pPr>
      <w:r w:rsidRPr="00446E4E">
        <w:rPr>
          <w:rStyle w:val="HideTWBExt"/>
          <w:color w:val="auto"/>
        </w:rPr>
        <w:t>&lt;FootprintIntro&gt;</w:t>
      </w:r>
      <w:r w:rsidRPr="00446E4E">
        <w:t xml:space="preserve"> Saskaņā ar Reglamenta I pieli</w:t>
      </w:r>
      <w:r w:rsidRPr="00446E4E">
        <w:t>kuma 8. pantu atzinuma sagatavotājs apliecina, ka, gatavojot atzinumu, pirms tā pieņemšanas komitejā viņš ir saņēmis pienesumu no šādām vienībām vai personām:</w:t>
      </w:r>
      <w:r w:rsidRPr="00446E4E">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46E4E" w:rsidRPr="00446E4E" w:rsidTr="009704C5">
        <w:tc>
          <w:tcPr>
            <w:tcW w:w="9286" w:type="dxa"/>
            <w:shd w:val="clear" w:color="auto" w:fill="auto"/>
          </w:tcPr>
          <w:p w:rsidR="00E260EB" w:rsidRPr="00446E4E" w:rsidRDefault="00446E4E" w:rsidP="009704C5">
            <w:pPr>
              <w:pStyle w:val="NormalBoldCenter"/>
            </w:pPr>
            <w:r w:rsidRPr="00446E4E">
              <w:t>Vienība un/vai persona</w:t>
            </w:r>
          </w:p>
        </w:tc>
      </w:tr>
      <w:tr w:rsidR="00446E4E" w:rsidRPr="00446E4E" w:rsidTr="009704C5">
        <w:tc>
          <w:tcPr>
            <w:tcW w:w="9286" w:type="dxa"/>
            <w:shd w:val="clear" w:color="auto" w:fill="auto"/>
          </w:tcPr>
          <w:p w:rsidR="00E260EB" w:rsidRPr="00446E4E" w:rsidRDefault="00446E4E" w:rsidP="009704C5">
            <w:r w:rsidRPr="00446E4E">
              <w:t>European External Action Service</w:t>
            </w:r>
          </w:p>
        </w:tc>
      </w:tr>
      <w:tr w:rsidR="00692970" w:rsidRPr="00446E4E" w:rsidTr="009704C5">
        <w:tc>
          <w:tcPr>
            <w:tcW w:w="9286" w:type="dxa"/>
            <w:shd w:val="clear" w:color="auto" w:fill="auto"/>
          </w:tcPr>
          <w:p w:rsidR="00E260EB" w:rsidRPr="00446E4E" w:rsidRDefault="00446E4E" w:rsidP="009704C5">
            <w:r w:rsidRPr="00446E4E">
              <w:t>European Commission</w:t>
            </w:r>
          </w:p>
        </w:tc>
      </w:tr>
    </w:tbl>
    <w:p w:rsidR="00E260EB" w:rsidRPr="00446E4E" w:rsidRDefault="00E260EB" w:rsidP="00E260EB"/>
    <w:p w:rsidR="00DB56E4" w:rsidRPr="00446E4E" w:rsidRDefault="00446E4E" w:rsidP="00E260EB">
      <w:r w:rsidRPr="00446E4E">
        <w:t>Par šī saraksta sagatavošanu ir atbildīgs vienīgi atzinuma sagatavotājs.</w:t>
      </w:r>
    </w:p>
    <w:p w:rsidR="00B17E49" w:rsidRPr="00446E4E" w:rsidRDefault="00446E4E" w:rsidP="00B17E49">
      <w:r w:rsidRPr="00446E4E">
        <w:br w:type="page"/>
      </w:r>
    </w:p>
    <w:p w:rsidR="00B17E49" w:rsidRPr="00446E4E" w:rsidRDefault="00446E4E" w:rsidP="00B17E49">
      <w:pPr>
        <w:pStyle w:val="PageHeadingNotTOC"/>
      </w:pPr>
      <w:bookmarkStart w:id="4" w:name="ProcPageAD"/>
      <w:r w:rsidRPr="00446E4E">
        <w:t>ATZINUMU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46E4E" w:rsidRPr="00446E4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Pasākumi, ar ko veicina nepārstāvēto Savienības pilsoņu konsulāro aizsardzību trešās valstīs</w:t>
            </w:r>
          </w:p>
        </w:tc>
      </w:tr>
      <w:tr w:rsidR="00446E4E" w:rsidRPr="00446E4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COM(2023)0930 – C9-0015/2024 – 2023/0441(CNS)</w:t>
            </w:r>
          </w:p>
        </w:tc>
      </w:tr>
      <w:tr w:rsidR="00446E4E" w:rsidRPr="00446E4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Atbildīgā komiteja</w:t>
            </w:r>
          </w:p>
          <w:p w:rsidR="00B17E49" w:rsidRPr="00446E4E" w:rsidRDefault="00446E4E">
            <w:pPr>
              <w:autoSpaceDE w:val="0"/>
              <w:autoSpaceDN w:val="0"/>
              <w:adjustRightInd w:val="0"/>
              <w:rPr>
                <w:sz w:val="20"/>
                <w:szCs w:val="20"/>
              </w:rPr>
            </w:pPr>
            <w:r w:rsidRPr="00446E4E">
              <w:rPr>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LIBE</w:t>
            </w:r>
          </w:p>
          <w:p w:rsidR="00B17E49" w:rsidRPr="00446E4E" w:rsidRDefault="00446E4E">
            <w:pPr>
              <w:autoSpaceDE w:val="0"/>
              <w:autoSpaceDN w:val="0"/>
              <w:adjustRightInd w:val="0"/>
              <w:rPr>
                <w:sz w:val="20"/>
                <w:szCs w:val="20"/>
              </w:rPr>
            </w:pPr>
            <w:r w:rsidRPr="00446E4E">
              <w:rPr>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r>
      <w:tr w:rsidR="00446E4E" w:rsidRPr="00446E4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Atzinumu sniedza</w:t>
            </w:r>
          </w:p>
          <w:p w:rsidR="00B17E49" w:rsidRPr="00446E4E" w:rsidRDefault="00446E4E">
            <w:pPr>
              <w:autoSpaceDE w:val="0"/>
              <w:autoSpaceDN w:val="0"/>
              <w:adjustRightInd w:val="0"/>
              <w:rPr>
                <w:sz w:val="20"/>
                <w:szCs w:val="20"/>
              </w:rPr>
            </w:pPr>
            <w:r w:rsidRPr="00446E4E">
              <w:rPr>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AFET</w:t>
            </w:r>
          </w:p>
          <w:p w:rsidR="00B17E49" w:rsidRPr="00446E4E" w:rsidRDefault="00446E4E">
            <w:pPr>
              <w:autoSpaceDE w:val="0"/>
              <w:autoSpaceDN w:val="0"/>
              <w:adjustRightInd w:val="0"/>
              <w:rPr>
                <w:sz w:val="20"/>
                <w:szCs w:val="20"/>
              </w:rPr>
            </w:pPr>
            <w:r w:rsidRPr="00446E4E">
              <w:rPr>
                <w:sz w:val="20"/>
              </w:rPr>
              <w:t>14.3.2024</w:t>
            </w:r>
          </w:p>
        </w:tc>
      </w:tr>
      <w:tr w:rsidR="00446E4E" w:rsidRPr="00446E4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Atzinuma sagatavotājs(-a)</w:t>
            </w:r>
          </w:p>
          <w:p w:rsidR="00B17E49" w:rsidRPr="00446E4E" w:rsidRDefault="00446E4E">
            <w:pPr>
              <w:autoSpaceDE w:val="0"/>
              <w:autoSpaceDN w:val="0"/>
              <w:adjustRightInd w:val="0"/>
              <w:rPr>
                <w:sz w:val="20"/>
                <w:szCs w:val="20"/>
              </w:rPr>
            </w:pPr>
            <w:r w:rsidRPr="00446E4E">
              <w:rPr>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Nacho Sánchez Amor</w:t>
            </w:r>
          </w:p>
          <w:p w:rsidR="00B17E49" w:rsidRPr="00446E4E" w:rsidRDefault="00446E4E">
            <w:pPr>
              <w:autoSpaceDE w:val="0"/>
              <w:autoSpaceDN w:val="0"/>
              <w:adjustRightInd w:val="0"/>
              <w:rPr>
                <w:sz w:val="20"/>
                <w:szCs w:val="20"/>
              </w:rPr>
            </w:pPr>
            <w:r w:rsidRPr="00446E4E">
              <w:rPr>
                <w:sz w:val="20"/>
              </w:rPr>
              <w:t>20.2.2024</w:t>
            </w:r>
          </w:p>
        </w:tc>
      </w:tr>
      <w:tr w:rsidR="00446E4E" w:rsidRPr="00446E4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r>
      <w:tr w:rsidR="00446E4E" w:rsidRPr="00446E4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17E49" w:rsidRPr="00446E4E" w:rsidRDefault="00B17E49">
            <w:pPr>
              <w:autoSpaceDE w:val="0"/>
              <w:autoSpaceDN w:val="0"/>
              <w:adjustRightInd w:val="0"/>
              <w:rPr>
                <w:rFonts w:ascii="sans-serif" w:hAnsi="sans-serif" w:cs="sans-serif"/>
              </w:rPr>
            </w:pPr>
          </w:p>
        </w:tc>
      </w:tr>
      <w:tr w:rsidR="00446E4E" w:rsidRPr="00446E4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w:t>
            </w:r>
          </w:p>
          <w:p w:rsidR="00B17E49" w:rsidRPr="00446E4E" w:rsidRDefault="00446E4E">
            <w:pPr>
              <w:autoSpaceDE w:val="0"/>
              <w:autoSpaceDN w:val="0"/>
              <w:adjustRightInd w:val="0"/>
              <w:rPr>
                <w:sz w:val="20"/>
                <w:szCs w:val="20"/>
              </w:rPr>
            </w:pPr>
            <w:r w:rsidRPr="00446E4E">
              <w:rPr>
                <w:sz w:val="20"/>
              </w:rPr>
              <w:t>–:</w:t>
            </w:r>
          </w:p>
          <w:p w:rsidR="00B17E49" w:rsidRPr="00446E4E" w:rsidRDefault="00446E4E">
            <w:pPr>
              <w:autoSpaceDE w:val="0"/>
              <w:autoSpaceDN w:val="0"/>
              <w:adjustRightInd w:val="0"/>
              <w:rPr>
                <w:sz w:val="20"/>
                <w:szCs w:val="20"/>
              </w:rPr>
            </w:pPr>
            <w:r w:rsidRPr="00446E4E">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43</w:t>
            </w:r>
          </w:p>
          <w:p w:rsidR="00B17E49" w:rsidRPr="00446E4E" w:rsidRDefault="00446E4E">
            <w:pPr>
              <w:autoSpaceDE w:val="0"/>
              <w:autoSpaceDN w:val="0"/>
              <w:adjustRightInd w:val="0"/>
              <w:rPr>
                <w:sz w:val="20"/>
                <w:szCs w:val="20"/>
              </w:rPr>
            </w:pPr>
            <w:r w:rsidRPr="00446E4E">
              <w:rPr>
                <w:sz w:val="20"/>
              </w:rPr>
              <w:t>3</w:t>
            </w:r>
          </w:p>
          <w:p w:rsidR="00B17E49" w:rsidRPr="00446E4E" w:rsidRDefault="00446E4E">
            <w:pPr>
              <w:autoSpaceDE w:val="0"/>
              <w:autoSpaceDN w:val="0"/>
              <w:adjustRightInd w:val="0"/>
              <w:rPr>
                <w:sz w:val="20"/>
                <w:szCs w:val="20"/>
              </w:rPr>
            </w:pPr>
            <w:r w:rsidRPr="00446E4E">
              <w:rPr>
                <w:sz w:val="20"/>
              </w:rPr>
              <w:t>4</w:t>
            </w:r>
          </w:p>
        </w:tc>
      </w:tr>
      <w:tr w:rsidR="00446E4E" w:rsidRPr="00446E4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Alviina Alametsä, Alexander Alexandrov Yordanov, Maria Arena, Traian Băsescu, Krzysztof Brejza, Reinhard Bütikofer, Susanna Ceccardi, Włodzimierz Cimoszewicz, Katalin Cseh, Michael Gahler, Kinga Gál, Bernard Guetta, Andrius Kubilius, David Lega, Nathalie L</w:t>
            </w:r>
            <w:r w:rsidRPr="00446E4E">
              <w:rPr>
                <w:sz w:val="20"/>
              </w:rPr>
              <w:t>oiseau, Leopoldo López Gil, Lukas Mandl, Thierry Mariani, David McAllister, Vangelis Meimarakis, Sven Mikser, Alessandra Moretti, Matjaž Nemec, Demetris Papadakis, Tonino Picula, Thijs Reuten, Nacho Sánchez Amor, Isabel Santos, Jordi Solé, Tineke Strik, Do</w:t>
            </w:r>
            <w:r w:rsidRPr="00446E4E">
              <w:rPr>
                <w:sz w:val="20"/>
              </w:rPr>
              <w:t>minik Tarczyński, Hermann Tertsch, Idoia Villanueva Ruiz, Thomas Waitz, Isabel Wiseler-Lima, Tomáš Zdechovský, Željana Zovko</w:t>
            </w:r>
          </w:p>
        </w:tc>
      </w:tr>
      <w:tr w:rsidR="00446E4E" w:rsidRPr="00446E4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Udo Bullmann, Michael Kauch, Andrey Kovatchev, Georgios Kyrtsos, Juozas Olekas, Nikos</w:t>
            </w:r>
            <w:r w:rsidRPr="00446E4E">
              <w:rPr>
                <w:sz w:val="20"/>
              </w:rPr>
              <w:t xml:space="preserve"> Papandreou, María Soraya Rodríguez Ramos, Mick Wallace, Javier Zarzalejos</w:t>
            </w:r>
          </w:p>
        </w:tc>
      </w:tr>
      <w:tr w:rsidR="00446E4E" w:rsidRPr="00446E4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b/>
                <w:bCs/>
                <w:sz w:val="20"/>
                <w:szCs w:val="20"/>
              </w:rPr>
            </w:pPr>
            <w:r w:rsidRPr="00446E4E">
              <w:rPr>
                <w:b/>
                <w:sz w:val="20"/>
              </w:rPr>
              <w:t>Aizstājēji (209. 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17E49" w:rsidRPr="00446E4E" w:rsidRDefault="00446E4E">
            <w:pPr>
              <w:autoSpaceDE w:val="0"/>
              <w:autoSpaceDN w:val="0"/>
              <w:adjustRightInd w:val="0"/>
              <w:rPr>
                <w:sz w:val="20"/>
                <w:szCs w:val="20"/>
              </w:rPr>
            </w:pPr>
            <w:r w:rsidRPr="00446E4E">
              <w:rPr>
                <w:sz w:val="20"/>
              </w:rPr>
              <w:t>Theresa Bielowski, Sylvie Guillaume, Andrey Novakov, Juan Ignacio Zoido Álvarez</w:t>
            </w:r>
          </w:p>
        </w:tc>
      </w:tr>
    </w:tbl>
    <w:p w:rsidR="00B17E49" w:rsidRPr="00446E4E" w:rsidRDefault="00B17E49" w:rsidP="005F7B8D"/>
    <w:bookmarkEnd w:id="4"/>
    <w:p w:rsidR="005F7B8D" w:rsidRPr="00446E4E" w:rsidRDefault="005F7B8D" w:rsidP="005F7B8D">
      <w:pPr>
        <w:sectPr w:rsidR="005F7B8D" w:rsidRPr="00446E4E" w:rsidSect="005F7B8D">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F7B8D" w:rsidRPr="00446E4E" w:rsidRDefault="00446E4E" w:rsidP="00C36610">
      <w:pPr>
        <w:pStyle w:val="PageHeadingNotTOC"/>
      </w:pPr>
      <w:bookmarkStart w:id="5" w:name="RollCallPageAD"/>
      <w:r w:rsidRPr="00446E4E">
        <w:t>ATZINUMU SNIEDZOŠĀS KOMITEJAS</w:t>
      </w:r>
      <w:r w:rsidRPr="00446E4E">
        <w:br/>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6E4E" w:rsidRPr="00446E4E" w:rsidTr="009704C5">
        <w:trPr>
          <w:cantSplit/>
        </w:trPr>
        <w:tc>
          <w:tcPr>
            <w:tcW w:w="1701" w:type="dxa"/>
            <w:shd w:val="pct10" w:color="000000" w:fill="FFFFFF"/>
            <w:vAlign w:val="center"/>
          </w:tcPr>
          <w:p w:rsidR="005F7B8D" w:rsidRPr="00446E4E" w:rsidRDefault="00446E4E" w:rsidP="009704C5">
            <w:pPr>
              <w:pStyle w:val="RollCallVotes"/>
            </w:pPr>
            <w:r w:rsidRPr="00446E4E">
              <w:t>43</w:t>
            </w:r>
          </w:p>
        </w:tc>
        <w:tc>
          <w:tcPr>
            <w:tcW w:w="7371" w:type="dxa"/>
            <w:shd w:val="pct10" w:color="000000" w:fill="FFFFFF"/>
          </w:tcPr>
          <w:p w:rsidR="005F7B8D" w:rsidRPr="00446E4E" w:rsidRDefault="00446E4E" w:rsidP="009704C5">
            <w:pPr>
              <w:pStyle w:val="RollCallSymbols14pt"/>
            </w:pPr>
            <w:r w:rsidRPr="00446E4E">
              <w:t>+</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PPE</w:t>
            </w:r>
          </w:p>
        </w:tc>
        <w:tc>
          <w:tcPr>
            <w:tcW w:w="7371" w:type="dxa"/>
            <w:shd w:val="clear" w:color="auto" w:fill="FFFFFF"/>
          </w:tcPr>
          <w:p w:rsidR="005F7B8D" w:rsidRPr="00446E4E" w:rsidRDefault="00446E4E" w:rsidP="009704C5">
            <w:pPr>
              <w:pStyle w:val="RollCallTable"/>
            </w:pPr>
            <w:r w:rsidRPr="00446E4E">
              <w:t>Alexander Alexandrov Yordanov, Traian Băsescu, Krzysztof Brejza, Michael Gahler, Andrey Kovatchev, Andrius Kubilius, Leopoldo López Gil, David McAllister, Lukas Mandl, Vangelis Meimarakis, Andrey Novakov, Isabel Wiseler-Lima, Javier Zarzalejos, Tomáš Zdech</w:t>
            </w:r>
            <w:r w:rsidRPr="00446E4E">
              <w:t>ovský, Juan Ignacio Zoido Álvarez, Željana Zovko</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Renew</w:t>
            </w:r>
          </w:p>
        </w:tc>
        <w:tc>
          <w:tcPr>
            <w:tcW w:w="7371" w:type="dxa"/>
            <w:shd w:val="clear" w:color="auto" w:fill="FFFFFF"/>
          </w:tcPr>
          <w:p w:rsidR="005F7B8D" w:rsidRPr="00446E4E" w:rsidRDefault="00446E4E" w:rsidP="009704C5">
            <w:pPr>
              <w:pStyle w:val="RollCallTable"/>
            </w:pPr>
            <w:r w:rsidRPr="00446E4E">
              <w:t>Katalin Cseh, Bernard Guetta, Michael Kauch, Georgios Kyrtsos, Nathalie Loiseau, María Soraya Rodríguez Ramos</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S&amp;D</w:t>
            </w:r>
          </w:p>
        </w:tc>
        <w:tc>
          <w:tcPr>
            <w:tcW w:w="7371" w:type="dxa"/>
            <w:shd w:val="clear" w:color="auto" w:fill="FFFFFF"/>
          </w:tcPr>
          <w:p w:rsidR="005F7B8D" w:rsidRPr="00446E4E" w:rsidRDefault="00446E4E" w:rsidP="009704C5">
            <w:pPr>
              <w:pStyle w:val="RollCallTable"/>
            </w:pPr>
            <w:r w:rsidRPr="00446E4E">
              <w:t>Maria Arena, Theresa Bielowski, Udo Bullmann, Włodzimierz Cimoszewicz, Sylvie Guillaume, Sven Mikser, Alessandra Moretti, Matjaž Nemec, Juozas Olekas, Demetris Papadakis, Nikos Papandreou, Tonino Picula, Thijs Reuten, Nacho Sánchez Amor, Isabel Santos</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The</w:t>
            </w:r>
            <w:r w:rsidRPr="00446E4E">
              <w:t xml:space="preserve"> Left</w:t>
            </w:r>
          </w:p>
        </w:tc>
        <w:tc>
          <w:tcPr>
            <w:tcW w:w="7371" w:type="dxa"/>
            <w:shd w:val="clear" w:color="auto" w:fill="FFFFFF"/>
          </w:tcPr>
          <w:p w:rsidR="005F7B8D" w:rsidRPr="00446E4E" w:rsidRDefault="00446E4E" w:rsidP="009704C5">
            <w:pPr>
              <w:pStyle w:val="RollCallTable"/>
            </w:pPr>
            <w:r w:rsidRPr="00446E4E">
              <w:t>Idoia Villanueva Ruiz</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Verts/ALE</w:t>
            </w:r>
          </w:p>
        </w:tc>
        <w:tc>
          <w:tcPr>
            <w:tcW w:w="7371" w:type="dxa"/>
            <w:shd w:val="clear" w:color="auto" w:fill="FFFFFF"/>
          </w:tcPr>
          <w:p w:rsidR="005F7B8D" w:rsidRPr="00446E4E" w:rsidRDefault="00446E4E" w:rsidP="009704C5">
            <w:pPr>
              <w:pStyle w:val="RollCallTable"/>
            </w:pPr>
            <w:r w:rsidRPr="00446E4E">
              <w:t>Alviina Alametsä, Reinhard Bütikofer, Jordi Solé, Tineke Strik, Thomas Waitz</w:t>
            </w:r>
          </w:p>
        </w:tc>
      </w:tr>
    </w:tbl>
    <w:p w:rsidR="005F7B8D" w:rsidRPr="00446E4E" w:rsidRDefault="005F7B8D" w:rsidP="005F7B8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6E4E" w:rsidRPr="00446E4E" w:rsidTr="009704C5">
        <w:trPr>
          <w:cantSplit/>
        </w:trPr>
        <w:tc>
          <w:tcPr>
            <w:tcW w:w="1701" w:type="dxa"/>
            <w:shd w:val="pct10" w:color="000000" w:fill="FFFFFF"/>
            <w:vAlign w:val="center"/>
          </w:tcPr>
          <w:p w:rsidR="005F7B8D" w:rsidRPr="00446E4E" w:rsidRDefault="00446E4E" w:rsidP="009704C5">
            <w:pPr>
              <w:pStyle w:val="RollCallVotes"/>
            </w:pPr>
            <w:r w:rsidRPr="00446E4E">
              <w:t>3</w:t>
            </w:r>
          </w:p>
        </w:tc>
        <w:tc>
          <w:tcPr>
            <w:tcW w:w="7371" w:type="dxa"/>
            <w:shd w:val="pct10" w:color="000000" w:fill="FFFFFF"/>
          </w:tcPr>
          <w:p w:rsidR="005F7B8D" w:rsidRPr="00446E4E" w:rsidRDefault="00446E4E" w:rsidP="009704C5">
            <w:pPr>
              <w:pStyle w:val="RollCallSymbols14pt"/>
            </w:pPr>
            <w:r w:rsidRPr="00446E4E">
              <w:t>-</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ECR</w:t>
            </w:r>
          </w:p>
        </w:tc>
        <w:tc>
          <w:tcPr>
            <w:tcW w:w="7371" w:type="dxa"/>
            <w:shd w:val="clear" w:color="auto" w:fill="FFFFFF"/>
          </w:tcPr>
          <w:p w:rsidR="005F7B8D" w:rsidRPr="00446E4E" w:rsidRDefault="00446E4E" w:rsidP="009704C5">
            <w:pPr>
              <w:pStyle w:val="RollCallTable"/>
            </w:pPr>
            <w:r w:rsidRPr="00446E4E">
              <w:t>Dominik Tarczyński, Hermann Tertsch</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ID</w:t>
            </w:r>
          </w:p>
        </w:tc>
        <w:tc>
          <w:tcPr>
            <w:tcW w:w="7371" w:type="dxa"/>
            <w:shd w:val="clear" w:color="auto" w:fill="FFFFFF"/>
          </w:tcPr>
          <w:p w:rsidR="005F7B8D" w:rsidRPr="00446E4E" w:rsidRDefault="00446E4E" w:rsidP="009704C5">
            <w:pPr>
              <w:pStyle w:val="RollCallTable"/>
            </w:pPr>
            <w:r w:rsidRPr="00446E4E">
              <w:t>Thierry Mariani</w:t>
            </w:r>
          </w:p>
        </w:tc>
      </w:tr>
    </w:tbl>
    <w:p w:rsidR="005F7B8D" w:rsidRPr="00446E4E" w:rsidRDefault="005F7B8D" w:rsidP="005F7B8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6E4E" w:rsidRPr="00446E4E" w:rsidTr="009704C5">
        <w:trPr>
          <w:cantSplit/>
        </w:trPr>
        <w:tc>
          <w:tcPr>
            <w:tcW w:w="1701" w:type="dxa"/>
            <w:shd w:val="pct10" w:color="000000" w:fill="FFFFFF"/>
            <w:vAlign w:val="center"/>
          </w:tcPr>
          <w:p w:rsidR="005F7B8D" w:rsidRPr="00446E4E" w:rsidRDefault="00446E4E" w:rsidP="009704C5">
            <w:pPr>
              <w:pStyle w:val="RollCallVotes"/>
            </w:pPr>
            <w:r w:rsidRPr="00446E4E">
              <w:t>4</w:t>
            </w:r>
          </w:p>
        </w:tc>
        <w:tc>
          <w:tcPr>
            <w:tcW w:w="7371" w:type="dxa"/>
            <w:shd w:val="pct10" w:color="000000" w:fill="FFFFFF"/>
          </w:tcPr>
          <w:p w:rsidR="005F7B8D" w:rsidRPr="00446E4E" w:rsidRDefault="00446E4E" w:rsidP="009704C5">
            <w:pPr>
              <w:pStyle w:val="RollCallSymbols14pt"/>
            </w:pPr>
            <w:r w:rsidRPr="00446E4E">
              <w:t>0</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ID</w:t>
            </w:r>
          </w:p>
        </w:tc>
        <w:tc>
          <w:tcPr>
            <w:tcW w:w="7371" w:type="dxa"/>
            <w:shd w:val="clear" w:color="auto" w:fill="FFFFFF"/>
          </w:tcPr>
          <w:p w:rsidR="005F7B8D" w:rsidRPr="00446E4E" w:rsidRDefault="00446E4E" w:rsidP="009704C5">
            <w:pPr>
              <w:pStyle w:val="RollCallTable"/>
            </w:pPr>
            <w:r w:rsidRPr="00446E4E">
              <w:t>Susanna Ceccardi</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NI</w:t>
            </w:r>
          </w:p>
        </w:tc>
        <w:tc>
          <w:tcPr>
            <w:tcW w:w="7371" w:type="dxa"/>
            <w:shd w:val="clear" w:color="auto" w:fill="FFFFFF"/>
          </w:tcPr>
          <w:p w:rsidR="005F7B8D" w:rsidRPr="00446E4E" w:rsidRDefault="00446E4E" w:rsidP="009704C5">
            <w:pPr>
              <w:pStyle w:val="RollCallTable"/>
            </w:pPr>
            <w:r w:rsidRPr="00446E4E">
              <w:t>Kinga Gál</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PPE</w:t>
            </w:r>
          </w:p>
        </w:tc>
        <w:tc>
          <w:tcPr>
            <w:tcW w:w="7371" w:type="dxa"/>
            <w:shd w:val="clear" w:color="auto" w:fill="FFFFFF"/>
          </w:tcPr>
          <w:p w:rsidR="005F7B8D" w:rsidRPr="00446E4E" w:rsidRDefault="00446E4E" w:rsidP="009704C5">
            <w:pPr>
              <w:pStyle w:val="RollCallTable"/>
            </w:pPr>
            <w:r w:rsidRPr="00446E4E">
              <w:t>David Lega</w:t>
            </w:r>
          </w:p>
        </w:tc>
      </w:tr>
      <w:tr w:rsidR="00446E4E" w:rsidRPr="00446E4E" w:rsidTr="009704C5">
        <w:trPr>
          <w:cantSplit/>
        </w:trPr>
        <w:tc>
          <w:tcPr>
            <w:tcW w:w="1701" w:type="dxa"/>
            <w:shd w:val="clear" w:color="auto" w:fill="FFFFFF"/>
          </w:tcPr>
          <w:p w:rsidR="005F7B8D" w:rsidRPr="00446E4E" w:rsidRDefault="00446E4E" w:rsidP="009704C5">
            <w:pPr>
              <w:pStyle w:val="RollCallTable"/>
            </w:pPr>
            <w:r w:rsidRPr="00446E4E">
              <w:t>The Left</w:t>
            </w:r>
          </w:p>
        </w:tc>
        <w:tc>
          <w:tcPr>
            <w:tcW w:w="7371" w:type="dxa"/>
            <w:shd w:val="clear" w:color="auto" w:fill="FFFFFF"/>
          </w:tcPr>
          <w:p w:rsidR="005F7B8D" w:rsidRPr="00446E4E" w:rsidRDefault="00446E4E" w:rsidP="009704C5">
            <w:pPr>
              <w:pStyle w:val="RollCallTable"/>
            </w:pPr>
            <w:r w:rsidRPr="00446E4E">
              <w:t>Mick Wallace</w:t>
            </w:r>
          </w:p>
        </w:tc>
      </w:tr>
    </w:tbl>
    <w:p w:rsidR="005F7B8D" w:rsidRPr="00446E4E" w:rsidRDefault="005F7B8D" w:rsidP="00147FBF">
      <w:pPr>
        <w:pStyle w:val="Normal12a"/>
      </w:pPr>
    </w:p>
    <w:p w:rsidR="005F7B8D" w:rsidRPr="00446E4E" w:rsidRDefault="00446E4E" w:rsidP="00B735E3">
      <w:r w:rsidRPr="00446E4E">
        <w:t>Izmantoto apzīmējumu skaidrojums:</w:t>
      </w:r>
    </w:p>
    <w:p w:rsidR="005F7B8D" w:rsidRPr="00446E4E" w:rsidRDefault="00446E4E" w:rsidP="003858C5">
      <w:pPr>
        <w:pStyle w:val="RollCallTabs"/>
      </w:pPr>
      <w:r w:rsidRPr="00446E4E">
        <w:t>+</w:t>
      </w:r>
      <w:r w:rsidRPr="00446E4E">
        <w:tab/>
        <w:t>:</w:t>
      </w:r>
      <w:r w:rsidRPr="00446E4E">
        <w:tab/>
        <w:t>par</w:t>
      </w:r>
    </w:p>
    <w:p w:rsidR="005F7B8D" w:rsidRPr="00446E4E" w:rsidRDefault="00446E4E" w:rsidP="003858C5">
      <w:pPr>
        <w:pStyle w:val="RollCallTabs"/>
      </w:pPr>
      <w:r w:rsidRPr="00446E4E">
        <w:t>-</w:t>
      </w:r>
      <w:r w:rsidRPr="00446E4E">
        <w:tab/>
        <w:t>:</w:t>
      </w:r>
      <w:r w:rsidRPr="00446E4E">
        <w:tab/>
        <w:t>pret</w:t>
      </w:r>
    </w:p>
    <w:p w:rsidR="005F7B8D" w:rsidRPr="00446E4E" w:rsidRDefault="00446E4E" w:rsidP="003858C5">
      <w:pPr>
        <w:pStyle w:val="RollCallTabs"/>
      </w:pPr>
      <w:r w:rsidRPr="00446E4E">
        <w:t>0</w:t>
      </w:r>
      <w:r w:rsidRPr="00446E4E">
        <w:tab/>
        <w:t>:</w:t>
      </w:r>
      <w:r w:rsidRPr="00446E4E">
        <w:tab/>
        <w:t>atturas</w:t>
      </w:r>
    </w:p>
    <w:p w:rsidR="005F7B8D" w:rsidRPr="00446E4E" w:rsidRDefault="005F7B8D" w:rsidP="00207509"/>
    <w:bookmarkEnd w:id="5"/>
    <w:p w:rsidR="00DB56E4" w:rsidRPr="00446E4E" w:rsidRDefault="00DB56E4" w:rsidP="005F7B8D"/>
    <w:sectPr w:rsidR="00DB56E4" w:rsidRPr="00446E4E" w:rsidSect="005F7B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46E4E">
      <w:r>
        <w:separator/>
      </w:r>
    </w:p>
  </w:endnote>
  <w:endnote w:type="continuationSeparator" w:id="0">
    <w:p w:rsidR="00000000" w:rsidRDefault="00446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0EB" w:rsidRPr="00E260EB" w:rsidRDefault="00446E4E" w:rsidP="00E260EB">
    <w:pPr>
      <w:pStyle w:val="EPFooter"/>
    </w:pPr>
    <w:r w:rsidRPr="00E260EB">
      <w:t>PE</w:t>
    </w:r>
    <w:r w:rsidRPr="00E260EB">
      <w:rPr>
        <w:rStyle w:val="HideTWBExt"/>
      </w:rPr>
      <w:t>&lt;NoPE&gt;</w:t>
    </w:r>
    <w:r w:rsidRPr="00E260EB">
      <w:t>758.853</w:t>
    </w:r>
    <w:r w:rsidRPr="00E260EB">
      <w:rPr>
        <w:rStyle w:val="HideTWBExt"/>
      </w:rPr>
      <w:t>&lt;/NoPE&gt;&lt;Version&gt;</w:t>
    </w:r>
    <w:r w:rsidRPr="00E260EB">
      <w:t>v02-00</w:t>
    </w:r>
    <w:r w:rsidRPr="00E260EB">
      <w:rPr>
        <w:rStyle w:val="HideTWBExt"/>
      </w:rPr>
      <w:t>&lt;/Version&gt;</w:t>
    </w:r>
    <w:r w:rsidRPr="00E260EB">
      <w:tab/>
    </w:r>
    <w:r w:rsidRPr="00E260EB">
      <w:fldChar w:fldCharType="begin"/>
    </w:r>
    <w:r w:rsidRPr="00E260EB">
      <w:instrText xml:space="preserve"> PAGE  \* MERGEFORMAT </w:instrText>
    </w:r>
    <w:r w:rsidRPr="00E260EB">
      <w:fldChar w:fldCharType="separate"/>
    </w:r>
    <w:r>
      <w:rPr>
        <w:noProof/>
      </w:rPr>
      <w:t>10</w:t>
    </w:r>
    <w:r w:rsidRPr="00E260EB">
      <w:fldChar w:fldCharType="end"/>
    </w:r>
    <w:r w:rsidRPr="00E260EB">
      <w:t>/</w:t>
    </w:r>
    <w:r w:rsidR="00114081">
      <w:fldChar w:fldCharType="begin"/>
    </w:r>
    <w:r>
      <w:instrText xml:space="preserve"> NUMPAGES  \* MERGEFORMAT </w:instrText>
    </w:r>
    <w:r w:rsidR="00114081">
      <w:fldChar w:fldCharType="separate"/>
    </w:r>
    <w:r>
      <w:rPr>
        <w:noProof/>
      </w:rPr>
      <w:t>24</w:t>
    </w:r>
    <w:r w:rsidR="00114081">
      <w:rPr>
        <w:noProof/>
      </w:rPr>
      <w:fldChar w:fldCharType="end"/>
    </w:r>
    <w:r w:rsidRPr="00E260EB">
      <w:tab/>
    </w:r>
    <w:r w:rsidRPr="00E260EB">
      <w:rPr>
        <w:rStyle w:val="HideTWBExt"/>
      </w:rPr>
      <w:t>&lt;PathFdR&gt;</w:t>
    </w:r>
    <w:r w:rsidRPr="00E260EB">
      <w:t>AD\1299352LV.docx</w:t>
    </w:r>
    <w:r w:rsidRPr="00E260EB">
      <w:rPr>
        <w:rStyle w:val="HideTWBExt"/>
      </w:rPr>
      <w:t>&lt;/PathFdR&gt;</w:t>
    </w:r>
  </w:p>
  <w:p w:rsidR="00E260EB" w:rsidRPr="00E260EB" w:rsidRDefault="00446E4E" w:rsidP="00E260EB">
    <w:pPr>
      <w:pStyle w:val="EPFooter2"/>
    </w:pPr>
    <w:r w:rsidRPr="00E260EB">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0EB" w:rsidRPr="00E260EB" w:rsidRDefault="00446E4E" w:rsidP="00E260EB">
    <w:pPr>
      <w:pStyle w:val="EPFooter"/>
    </w:pPr>
    <w:r w:rsidRPr="00E260EB">
      <w:rPr>
        <w:rStyle w:val="HideTWBExt"/>
      </w:rPr>
      <w:t>&lt;PathFdR&gt;</w:t>
    </w:r>
    <w:r w:rsidRPr="00E260EB">
      <w:t>AD\1299352LV.docx</w:t>
    </w:r>
    <w:r w:rsidRPr="00E260EB">
      <w:rPr>
        <w:rStyle w:val="HideTWBExt"/>
      </w:rPr>
      <w:t>&lt;/PathFdR&gt;</w:t>
    </w:r>
    <w:r w:rsidRPr="00E260EB">
      <w:tab/>
    </w:r>
    <w:r w:rsidRPr="00E260EB">
      <w:fldChar w:fldCharType="begin"/>
    </w:r>
    <w:r w:rsidRPr="00E260EB">
      <w:instrText xml:space="preserve"> PAGE  \* MERGEFORMAT </w:instrText>
    </w:r>
    <w:r w:rsidRPr="00E260EB">
      <w:fldChar w:fldCharType="separate"/>
    </w:r>
    <w:r>
      <w:rPr>
        <w:noProof/>
      </w:rPr>
      <w:t>11</w:t>
    </w:r>
    <w:r w:rsidRPr="00E260EB">
      <w:fldChar w:fldCharType="end"/>
    </w:r>
    <w:r w:rsidRPr="00E260EB">
      <w:t>/</w:t>
    </w:r>
    <w:r w:rsidR="00114081">
      <w:fldChar w:fldCharType="begin"/>
    </w:r>
    <w:r>
      <w:instrText xml:space="preserve"> NUMPAGES  \* MERGEFORMAT </w:instrText>
    </w:r>
    <w:r w:rsidR="00114081">
      <w:fldChar w:fldCharType="separate"/>
    </w:r>
    <w:r>
      <w:rPr>
        <w:noProof/>
      </w:rPr>
      <w:t>24</w:t>
    </w:r>
    <w:r w:rsidR="00114081">
      <w:rPr>
        <w:noProof/>
      </w:rPr>
      <w:fldChar w:fldCharType="end"/>
    </w:r>
    <w:r w:rsidRPr="00E260EB">
      <w:tab/>
      <w:t>PE</w:t>
    </w:r>
    <w:r w:rsidRPr="00E260EB">
      <w:rPr>
        <w:rStyle w:val="HideTWBExt"/>
      </w:rPr>
      <w:t>&lt;NoPE&gt;</w:t>
    </w:r>
    <w:r w:rsidRPr="00E260EB">
      <w:t>758.853</w:t>
    </w:r>
    <w:r w:rsidRPr="00E260EB">
      <w:rPr>
        <w:rStyle w:val="HideTWBExt"/>
      </w:rPr>
      <w:t>&lt;/NoPE&gt;&lt;Version&gt;</w:t>
    </w:r>
    <w:r w:rsidRPr="00E260EB">
      <w:t>v02-00</w:t>
    </w:r>
    <w:r w:rsidRPr="00E260EB">
      <w:rPr>
        <w:rStyle w:val="HideTWBExt"/>
      </w:rPr>
      <w:t>&lt;/Version&gt;</w:t>
    </w:r>
  </w:p>
  <w:p w:rsidR="00E260EB" w:rsidRPr="00E260EB" w:rsidRDefault="00446E4E" w:rsidP="00E260EB">
    <w:pPr>
      <w:pStyle w:val="EPFooter2"/>
    </w:pPr>
    <w:r w:rsidRPr="00E260EB">
      <w:tab/>
    </w:r>
    <w:r w:rsidRPr="00E260EB">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0EB" w:rsidRPr="00E260EB" w:rsidRDefault="00446E4E" w:rsidP="00E260EB">
    <w:pPr>
      <w:pStyle w:val="EPFooter"/>
    </w:pPr>
    <w:r w:rsidRPr="00E260EB">
      <w:rPr>
        <w:rStyle w:val="HideTWBExt"/>
      </w:rPr>
      <w:t>&lt;PathFdR&gt;</w:t>
    </w:r>
    <w:r w:rsidRPr="00E260EB">
      <w:t>AD\1299352LV.docx</w:t>
    </w:r>
    <w:r w:rsidRPr="00E260EB">
      <w:rPr>
        <w:rStyle w:val="HideTWBExt"/>
      </w:rPr>
      <w:t>&lt;/PathFdR&gt;</w:t>
    </w:r>
    <w:r w:rsidRPr="00E260EB">
      <w:tab/>
    </w:r>
    <w:r w:rsidRPr="00E260EB">
      <w:tab/>
      <w:t>PE</w:t>
    </w:r>
    <w:r w:rsidRPr="00E260EB">
      <w:rPr>
        <w:rStyle w:val="HideTWBExt"/>
      </w:rPr>
      <w:t>&lt;NoPE&gt;</w:t>
    </w:r>
    <w:r w:rsidRPr="00E260EB">
      <w:t>758.853</w:t>
    </w:r>
    <w:r w:rsidRPr="00E260EB">
      <w:rPr>
        <w:rStyle w:val="HideTWBExt"/>
      </w:rPr>
      <w:t>&lt;/NoPE&gt;&lt;Version&gt;</w:t>
    </w:r>
    <w:r w:rsidRPr="00E260EB">
      <w:t>v02-00</w:t>
    </w:r>
    <w:r w:rsidRPr="00E260EB">
      <w:rPr>
        <w:rStyle w:val="HideTWBExt"/>
      </w:rPr>
      <w:t>&lt;/Version&gt;</w:t>
    </w:r>
  </w:p>
  <w:p w:rsidR="00E260EB" w:rsidRPr="00E260EB" w:rsidRDefault="00446E4E" w:rsidP="00E260EB">
    <w:pPr>
      <w:pStyle w:val="EPFooter2"/>
    </w:pPr>
    <w:r w:rsidRPr="00E260EB">
      <w:t>LV</w:t>
    </w:r>
    <w:r w:rsidRPr="00E260EB">
      <w:tab/>
    </w:r>
    <w:r w:rsidRPr="00E260EB">
      <w:rPr>
        <w:b w:val="0"/>
        <w:i/>
        <w:color w:val="C0C0C0"/>
        <w:sz w:val="22"/>
      </w:rPr>
      <w:t>Vienoti daudzveidībā</w:t>
    </w:r>
    <w:r w:rsidRPr="00E260EB">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E49" w:rsidRPr="00E260EB" w:rsidRDefault="00446E4E" w:rsidP="00B17E49">
    <w:pPr>
      <w:pStyle w:val="EPFooter"/>
    </w:pPr>
    <w:r w:rsidRPr="00E260EB">
      <w:rPr>
        <w:rStyle w:val="HideTWBExt"/>
      </w:rPr>
      <w:t>&lt;PathFdR&gt;</w:t>
    </w:r>
    <w:r w:rsidRPr="00E260EB">
      <w:t>AD\1299352LV.docx</w:t>
    </w:r>
    <w:r w:rsidRPr="00E260EB">
      <w:rPr>
        <w:rStyle w:val="HideTWBExt"/>
      </w:rPr>
      <w:t>&lt;/PathFdR&gt;</w:t>
    </w:r>
    <w:r w:rsidRPr="00E260EB">
      <w:tab/>
    </w:r>
    <w:r w:rsidRPr="00E260EB">
      <w:tab/>
      <w:t>PE</w:t>
    </w:r>
    <w:r w:rsidRPr="00E260EB">
      <w:rPr>
        <w:rStyle w:val="HideTWBExt"/>
      </w:rPr>
      <w:t>&lt;NoPE&gt;</w:t>
    </w:r>
    <w:r w:rsidRPr="00E260EB">
      <w:t>758.853</w:t>
    </w:r>
    <w:r w:rsidRPr="00E260EB">
      <w:rPr>
        <w:rStyle w:val="HideTWBExt"/>
      </w:rPr>
      <w:t>&lt;/NoPE&gt;&lt;Version&gt;</w:t>
    </w:r>
    <w:r w:rsidRPr="00E260EB">
      <w:t>v02-00</w:t>
    </w:r>
    <w:r w:rsidRPr="00E260EB">
      <w:rPr>
        <w:rStyle w:val="HideTWBExt"/>
      </w:rPr>
      <w:t>&lt;/Version&gt;</w:t>
    </w:r>
  </w:p>
  <w:p w:rsidR="0004333E" w:rsidRPr="00E260EB" w:rsidRDefault="00446E4E" w:rsidP="00B17E49">
    <w:pPr>
      <w:pStyle w:val="EPFooter2"/>
    </w:pPr>
    <w:r w:rsidRPr="00E260EB">
      <w:t>LV</w:t>
    </w:r>
    <w:r w:rsidRPr="00E260EB">
      <w:tab/>
    </w:r>
    <w:r w:rsidRPr="00E260EB">
      <w:rPr>
        <w:b w:val="0"/>
        <w:i/>
        <w:color w:val="C0C0C0"/>
        <w:sz w:val="22"/>
      </w:rPr>
      <w:t>Vienoti daudzveidībā</w:t>
    </w:r>
    <w:r w:rsidRPr="00E260EB">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46E4E">
      <w:r>
        <w:separator/>
      </w:r>
    </w:p>
  </w:footnote>
  <w:footnote w:type="continuationSeparator" w:id="0">
    <w:p w:rsidR="00000000" w:rsidRDefault="00446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B8D" w:rsidRDefault="005F7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B8D" w:rsidRDefault="005F7B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B8D" w:rsidRDefault="005F7B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8DA" w:rsidRDefault="000448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8DA" w:rsidRDefault="000448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8DA" w:rsidRDefault="000448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2"/>
    <w:docVar w:name="COM2KEY" w:val="LIBE"/>
    <w:docVar w:name="COMKEY" w:val="AFET"/>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05983\rsid7823322\rsid9636012\rsid10377208_x000d__x000a_\rsid11215221\rsid11549030\rsid12154954\rsid14382809\rsid14424199\rsid15204470\rsid15285974\rsid15950462\rsid16324206\rsid16662270\rsid16672989}{\mmathPr\mmathFont34\mbrkBin0\mbrkBinSub0\msmallFrac0\mdispDef1\mlMargin0\mrMargin0\mdefJc1\mwrapIndent1440_x000d__x000a_\mintLim0\mnaryLim1}{\info{\author PURINS Maris}{\operator PURINS Maris}{\creatim\yr2024\mo3\dy23\hr9\min3}{\revtim\yr2024\mo3\dy23\hr9\min3}{\version1}{\edmins0}{\nofpages1}{\nofwords0}{\nofchars1}{\nofcharsws1}{\vern109}}{\*\xmlnstbl {\xmlns1 http://sch_x000d__x000a_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72989\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6705983 \chftnsep _x000d__x000a_\par }}{\*\ftnsepc \ltrpar \pard\plain \ltrpar\ql \li0\ri0\widctlpar\wrapdefault\aspalpha\aspnum\faauto\adjustright\rin0\lin0\itap0 \rtlch\fcs1 \af0\afs20\alang1025 \ltrch\fcs0 \fs24\lang2057\langfe2057\cgrid\langnp2057\langfenp2057 {\rtlch\fcs1 \af0 _x000d__x000a_\ltrch\fcs0 \insrsid6705983 \chftnsepc _x000d__x000a_\par }}{\*\aftnsep \ltrpar \pard\plain \ltrpar\ql \li0\ri0\widctlpar\wrapdefault\aspalpha\aspnum\faauto\adjustright\rin0\lin0\itap0 \rtlch\fcs1 \af0\afs20\alang1025 \ltrch\fcs0 \fs24\lang2057\langfe2057\cgrid\langnp2057\langfenp2057 {\rtlch\fcs1 \af0 _x000d__x000a_\ltrch\fcs0 \insrsid6705983 \chftnsep _x000d__x000a_\par }}{\*\aftnsepc \ltrpar \pard\plain \ltrpar\ql \li0\ri0\widctlpar\wrapdefault\aspalpha\aspnum\faauto\adjustright\rin0\lin0\itap0 \rtlch\fcs1 \af0\afs20\alang1025 \ltrch\fcs0 \fs24\lang2057\langfe2057\cgrid\langnp2057\langfenp2057 {\rtlch\fcs1 \af0 _x000d__x000a_\ltrch\fcs0 \insrsid67059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672989 _x000d__x000a_\rtlch\fcs1 \af0\afs20\alang1025 \ltrch\fcs0 \fs24\lang2057\langfe2057\cgrid\langnp2057\langfenp2057 {\rtlch\fcs1 \af0 \ltrch\fcs0 \insrsid16672989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9c_x000d__x000a_f7a6f8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69007 HideTWBExt;}{_x000d__x000a_\s18\ql \li0\ri0\sa120\nowidctlpar\wrapdefault\aspalpha\aspnum\faauto\adjustright\rin0\lin0\itap0 \rtlch\fcs1 \af0\afs20\alang1025 \ltrch\fcs0 \fs24\lang2057\langfe2057\cgrid\langnp2057\langfenp2057 \sbasedon0 \snext18 \spriority0 \styrsid10369007 _x000d__x000a_Normal6a;}{\s19\ql \li0\ri0\nowidctlpar\wrapdefault\aspalpha\aspnum\faauto\adjustright\rin0\lin0\itap0 \rtlch\fcs1 \af0\afs20\alang1025 \ltrch\fcs0 \b\fs24\lang2057\langfe2057\cgrid\langnp2057\langfenp2057 \sbasedon0 \snext19 \spriority0 \styrsid10369007 _x000d__x000a_NormalBold;}{\s20\qc \li0\ri0\sa240\nowidctlpar\wrapdefault\aspalpha\aspnum\faauto\adjustright\rin0\lin0\itap0 \rtlch\fcs1 \af0\afs20\alang1025 \ltrch\fcs0 \i\fs24\lang2057\langfe2057\cgrid\langnp2057\langfenp2057 _x000d__x000a_\sbasedon0 \snext20 \spriority0 \styrsid1036900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369007 AmNumberTabs;}{\s22\ql \li0\ri0\sb240\nowidctlpar\wrapdefault\aspalpha\aspnum\faauto\adjustright\rin0\lin0\itap0 \rtlch\fcs1 _x000d__x000a_\af0\afs20\alang1025 \ltrch\fcs0 \b\fs24\lang2057\langfe2057\cgrid\langnp2057\langfenp2057 \sbasedon0 \snext22 \spriority0 \styrsid10369007 NormalBold12b;}}{\*\rsidtbl \rsid24658\rsid223860\rsid735077\rsid1718133\rsid2892074\rsid3565327\rsid4666813_x000d__x000a_\rsid6641733\rsid7823322\rsid9636012\rsid10369007\rsid10377208\rsid11215221\rsid11549030\rsid12154954\rsid12388812\rsid14382809\rsid14424199\rsid15204470\rsid15285974\rsid15950462\rsid16324206\rsid16662270}{\mmathPr\mmathFont34\mbrkBin0\mbrkBinSub0_x000d__x000a_\msmallFrac0\mdispDef1\mlMargin0\mrMargin0\mdefJc1\mwrapIndent1440\mintLim0\mnaryLim1}{\info{\author PURINS Maris}{\operator PURINS Maris}{\creatim\yr2024\mo3\dy23\hr9\min4}{\revtim\yr2024\mo3\dy23\hr9\min4}{\version1}{\edmins0}{\nofpages1}{\nofwords24}_x000d__x000a_{\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69007\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2388812 \chftnsep _x000d__x000a_\par }}{\*\ftnsepc \ltrpar \pard\plain \ltrpar\ql \li0\ri0\widctlpar\wrapdefault\aspalpha\aspnum\faauto\adjustright\rin0\lin0\itap0 \rtlch\fcs1 \af0\afs20\alang1025 \ltrch\fcs0 \fs24\lang2057\langfe2057\cgrid\langnp2057\langfenp2057 {\rtlch\fcs1 \af0 _x000d__x000a_\ltrch\fcs0 \insrsid12388812 \chftnsepc _x000d__x000a_\par }}{\*\aftnsep \ltrpar \pard\plain \ltrpar\ql \li0\ri0\widctlpar\wrapdefault\aspalpha\aspnum\faauto\adjustright\rin0\lin0\itap0 \rtlch\fcs1 \af0\afs20\alang1025 \ltrch\fcs0 \fs24\lang2057\langfe2057\cgrid\langnp2057\langfenp2057 {\rtlch\fcs1 \af0 _x000d__x000a_\ltrch\fcs0 \insrsid12388812 \chftnsep _x000d__x000a_\par }}{\*\aftnsepc \ltrpar \pard\plain \ltrpar\ql \li0\ri0\widctlpar\wrapdefault\aspalpha\aspnum\faauto\adjustright\rin0\lin0\itap0 \rtlch\fcs1 \af0\afs20\alang1025 \ltrch\fcs0 \fs24\lang2057\langfe2057\cgrid\langnp2057\langfenp2057 {\rtlch\fcs1 \af0 _x000d__x000a_\ltrch\fcs0 \insrsid12388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369007 \rtlch\fcs1 _x000d__x000a_\af0\afs20\alang1025 \ltrch\fcs0 \b\fs24\lang2057\langfe2057\cgrid\langnp2057\langfenp2057 {\rtlch\fcs1 \af0 \ltrch\fcs0 \cs17\b0\v\fs20\cf9\lang1024\langfe1024\loch\af1\hich\af1\dbch\af31501\noproof\insrsid10369007\charrsid15879488 {\*\bkmkstart restartA_x000d__x000a_}\hich\af1\dbch\af31501\loch\f1 &lt;AmendA&gt;}{\rtlch\fcs1 \af0 \ltrch\fcs0 \insrsid10369007\charrsid15879488 [ZAMENDMENT]\tab \tab }{\rtlch\fcs1 \af0 \ltrch\fcs0 _x000d__x000a_\cs17\b0\v\fs20\cf9\lang1024\langfe1024\loch\af1\hich\af1\dbch\af31501\noproof\insrsid10369007\charrsid15879488 \hich\af1\dbch\af31501\loch\f1 &lt;NumAmA&gt;}{\rtlch\fcs1 \af0 \ltrch\fcs0 \insrsid10369007\charrsid15879488 [ZNRAM]}{\rtlch\fcs1 \af0 \ltrch\fcs0 _x000d__x000a_\cs17\b0\v\fs20\cf9\lang1024\langfe1024\loch\af1\hich\af1\dbch\af31501\noproof\insrsid10369007\charrsid15879488 \hich\af1\dbch\af31501\loch\f1 &lt;/NumAmA&gt;}{\rtlch\fcs1 \af0 \ltrch\fcs0 \insrsid10369007\charrsid15879488 _x000d__x000a_\par }\pard\plain \ltrpar\s22\ql \li0\ri0\sb240\keepn\nowidctlpar\wrapdefault\aspalpha\aspnum\faauto\adjustright\rin0\lin0\itap0\pararsid10369007 \rtlch\fcs1 \af0\afs20\alang1025 \ltrch\fcs0 \b\fs24\lang2057\langfe2057\cgrid\langnp2057\langfenp2057 {_x000d__x000a_\rtlch\fcs1 \af0 \ltrch\fcs0 \cs17\b0\v\fs20\cf9\lang1024\langfe1024\loch\af1\hich\af1\dbch\af31501\noproof\langnp1036\insrsid10369007\charrsid11356624 \hich\af1\dbch\af31501\loch\f1 &lt;DocAmend&gt;}{\rtlch\fcs1 \af0 \ltrch\fcs0 _x000d__x000a_\lang1036\langfe2057\langnp1036\insrsid10369007\charrsid11356624 [ZRESOLUTION]}{\rtlch\fcs1 \af0 \ltrch\fcs0 \cs17\b0\v\fs20\cf9\lang1024\langfe1024\loch\af1\hich\af1\dbch\af31501\noproof\langnp1036\insrsid10369007\charrsid11356624 _x000d__x000a_\hich\af1\dbch\af31501\loch\f1 &lt;/DocAmend&gt;}{\rtlch\fcs1 \af0 \ltrch\fcs0 \lang1036\langfe2057\langnp1036\insrsid10369007\charrsid11356624 _x000d__x000a_\par }\pard\plain \ltrpar\s19\ql \li0\ri0\nowidctlpar\wrapdefault\aspalpha\aspnum\faauto\adjustright\rin0\lin0\itap0\pararsid10369007 \rtlch\fcs1 \af0\afs20\alang1025 \ltrch\fcs0 \b\fs24\lang2057\langfe2057\cgrid\langnp2057\langfenp2057 {\rtlch\fcs1 \af0 _x000d__x000a_\ltrch\fcs0 \cs17\b0\v\fs20\cf9\lang1024\langfe1024\loch\af1\hich\af1\dbch\af31501\noproof\langnp1036\insrsid10369007\charrsid11356624 \hich\af1\dbch\af31501\loch\f1 &lt;Article&gt;}{\rtlch\fcs1 \af0 \ltrch\fcs0 _x000d__x000a_\lang1036\langfe2057\langnp1036\insrsid10369007\charrsid11356624 [ZRESPART]}{\rtlch\fcs1 \af0 \ltrch\fcs0 \cs17\b0\v\fs20\cf9\lang1024\langfe1024\loch\af1\hich\af1\dbch\af31501\noproof\langnp1036\insrsid10369007\charrsid11356624 _x000d__x000a_\hich\af1\dbch\af31501\loch\f1 &lt;/Article&gt;}{\rtlch\fcs1 \af0 \ltrch\fcs0 \lang1036\langfe2057\langnp1036\insrsid1036900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369007\charrsid11356624 \cell }\pard \ltrpar_x000d__x000a_\ql \li0\ri0\widctlpar\intbl\wrapdefault\aspalpha\aspnum\faauto\adjustright\rin0\lin0 {\rtlch\fcs1 \af0 \ltrch\fcs0 \insrsid1036900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369007\charrsid15879488 [ZLEFTA]\cell [ZRIGHT]\cell }\pard\plain \ltrpar_x000d__x000a_\ql \li0\ri0\widctlpar\intbl\wrapdefault\aspalpha\aspnum\faauto\adjustright\rin0\lin0 \rtlch\fcs1 \af0\afs20\alang1025 \ltrch\fcs0 \fs24\lang2057\langfe2057\cgrid\langnp2057\langfenp2057 {\rtlch\fcs1 \af0 \ltrch\fcs0 \insrsid1036900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369007\charrsid15879488 [ZTEXTL]\cell [ZTEXTR]}{\rtlch\fcs1 \af0\afs24 \ltrch\fcs0 \insrsid10369007\charrsid15879488 \cell }\pard\plain \ltrpar\ql \li0\ri0\widctlpar\intbl\wrapdefault\aspalpha\aspnum\faauto\adjustright\rin0\lin0 \rtlch\fcs1 _x000d__x000a_\af0\afs20\alang1025 \ltrch\fcs0 \fs24\lang2057\langfe2057\cgrid\langnp2057\langfenp2057 {\rtlch\fcs1 \af0 \ltrch\fcs0 \insrsid1036900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369007 {\rtlch\fcs1 \af0 \ltrch\fcs0 \cs17\v\fs20\cf9\lang1024\langfe1024\loch\af1\hich\af1\dbch\af31501\noproof\insrsid10369007\charrsid15879488 _x000d__x000a_\hich\af1\dbch\af31501\loch\f1 &lt;/AmendA&gt;}{\rtlch\fcs1 \af0 \ltrch\fcs0 \insrsid1036900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0_x000d__x000a_11abf8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1444 HideTWBExt;}{_x000d__x000a_\s18\ql \li0\ri0\sa120\nowidctlpar\wrapdefault\aspalpha\aspnum\faauto\adjustright\rin0\lin0\itap0 \rtlch\fcs1 \af0\afs20\alang1025 \ltrch\fcs0 \fs24\lang2057\langfe2057\cgrid\langnp2057\langfenp2057 \sbasedon0 \snext18 \spriority0 \styrsid1981444 _x000d__x000a_Normal6a;}{\s19\ql \li0\ri0\nowidctlpar\wrapdefault\aspalpha\aspnum\faauto\adjustright\rin0\lin0\itap0 \rtlch\fcs1 \af0\afs20\alang1025 \ltrch\fcs0 \b\fs24\lang2057\langfe2057\cgrid\langnp2057\langfenp2057 \sbasedon0 \snext19 \spriority0 \styrsid1981444 _x000d__x000a_NormalBold;}{\s20\ql \li0\ri0\sa240\nowidctlpar\wrapdefault\aspalpha\aspnum\faauto\adjustright\rin0\lin0\itap0 \rtlch\fcs1 \af0\afs20\alang1025 \ltrch\fcs0 \i\fs24\lang2057\langfe2057\cgrid\langnp2057\langfenp2057 _x000d__x000a_\sbasedon0 \snext20 \spriority0 \styrsid1981444 AmJustText;}{\s21\qc \li0\ri0\sb240\sa240\nowidctlpar\wrapdefault\aspalpha\aspnum\faauto\adjustright\rin0\lin0\itap0 \rtlch\fcs1 \af0\afs20\alang1025 \ltrch\fcs0 _x000d__x000a_\i\fs24\lang2057\langfe2057\cgrid\langnp2057\langfenp2057 \sbasedon0 \snext21 \spriority0 \styrsid1981444 AmCrossRef;}{\s22\qc \li0\ri0\sb240\sa240\keepn\nowidctlpar\wrapdefault\aspalpha\aspnum\faauto\adjustright\rin0\lin0\itap0 \rtlch\fcs1 _x000d__x000a_\af0\afs20\alang1025 \ltrch\fcs0 \i\fs24\lang2057\langfe2057\cgrid\langnp2057\langfenp2057 \sbasedon0 \snext20 \spriority0 \styrsid1981444 AmJustTitle;}{\s23\qc \li0\ri0\sa240\nowidctlpar\wrapdefault\aspalpha\aspnum\faauto\adjustright\rin0\lin0\itap0 _x000d__x000a_\rtlch\fcs1 \af0\afs20\alang1025 \ltrch\fcs0 \i\fs24\lang2057\langfe2057\cgrid\langnp2057\langfenp2057 \sbasedon0 \snext23 \spriority0 \styrsid19814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981444 AmNumberTabs;}{\s25\ql \li0\ri0\sb240\nowidctlpar\wrapdefault\aspalpha\aspnum\faauto\adjustright\rin0\lin0\itap0 \rtlch\fcs1 _x000d__x000a_\af0\afs20\alang1025 \ltrch\fcs0 \b\fs24\lang2057\langfe2057\cgrid\langnp2057\langfenp2057 \sbasedon0 \snext25 \spriority0 \styrsid1981444 NormalBold12b;}}{\*\rsidtbl \rsid24658\rsid223860\rsid735077\rsid1718133\rsid1981444\rsid2892074\rsid3565327_x000d__x000a_\rsid4666813\rsid6641733\rsid7823322\rsid9636012\rsid10113418\rsid10377208\rsid11215221\rsid11549030\rsid12154954\rsid14382809\rsid14424199\rsid15204470\rsid15285974\rsid15950462\rsid16324206\rsid16662270}{\mmathPr\mmathFont34\mbrkBin0\mbrkBinSub0_x000d__x000a_\msmallFrac0\mdispDef1\mlMargin0\mrMargin0\mdefJc1\mwrapIndent1440\mintLim0\mnaryLim1}{\info{\author PURINS Maris}{\operator PURINS Maris}{\creatim\yr2024\mo3\dy23\hr9\min4}{\revtim\yr2024\mo3\dy23\hr9\min4}{\version1}{\edmins0}{\nofpages1}{\nofwords55}_x000d__x000a_{\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981444\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0113418 \chftnsep _x000d__x000a_\par }}{\*\ftnsepc \ltrpar \pard\plain \ltrpar\ql \li0\ri0\widctlpar\wrapdefault\aspalpha\aspnum\faauto\adjustright\rin0\lin0\itap0 \rtlch\fcs1 \af0\afs20\alang1025 \ltrch\fcs0 \fs24\lang2057\langfe2057\cgrid\langnp2057\langfenp2057 {\rtlch\fcs1 \af0 _x000d__x000a_\ltrch\fcs0 \insrsid10113418 \chftnsepc _x000d__x000a_\par }}{\*\aftnsep \ltrpar \pard\plain \ltrpar\ql \li0\ri0\widctlpar\wrapdefault\aspalpha\aspnum\faauto\adjustright\rin0\lin0\itap0 \rtlch\fcs1 \af0\afs20\alang1025 \ltrch\fcs0 \fs24\lang2057\langfe2057\cgrid\langnp2057\langfenp2057 {\rtlch\fcs1 \af0 _x000d__x000a_\ltrch\fcs0 \insrsid10113418 \chftnsep _x000d__x000a_\par }}{\*\aftnsepc \ltrpar \pard\plain \ltrpar\ql \li0\ri0\widctlpar\wrapdefault\aspalpha\aspnum\faauto\adjustright\rin0\lin0\itap0 \rtlch\fcs1 \af0\afs20\alang1025 \ltrch\fcs0 \fs24\lang2057\langfe2057\cgrid\langnp2057\langfenp2057 {\rtlch\fcs1 \af0 _x000d__x000a_\ltrch\fcs0 \insrsid101134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981444 \rtlch\fcs1 _x000d__x000a_\af0\afs20\alang1025 \ltrch\fcs0 \b\fs24\lang2057\langfe2057\cgrid\langnp2057\langfenp2057 {\rtlch\fcs1 \af0 \ltrch\fcs0 \cs17\b0\v\fs20\cf9\lang1024\langfe1024\loch\af1\hich\af1\dbch\af31501\noproof\insrsid1981444\charrsid15879488 {\*\bkmkstart restartB}_x000d__x000a_\hich\af1\dbch\af31501\loch\f1 &lt;AmendB&gt;}{\rtlch\fcs1 \af0 \ltrch\fcs0 \insrsid1981444\charrsid15879488 [ZAMENDMENT]\tab \tab }{\rtlch\fcs1 \af0 \ltrch\fcs0 _x000d__x000a_\cs17\b0\v\fs20\cf9\lang1024\langfe1024\loch\af1\hich\af1\dbch\af31501\noproof\insrsid1981444\charrsid15879488 \hich\af1\dbch\af31501\loch\f1 &lt;NumAmB&gt;}{\rtlch\fcs1 \af0 \ltrch\fcs0 \insrsid1981444\charrsid15879488 [ZNRAM]}{\rtlch\fcs1 \af0 \ltrch\fcs0 _x000d__x000a_\cs17\b0\v\fs20\cf9\lang1024\langfe1024\loch\af1\hich\af1\dbch\af31501\noproof\insrsid1981444\charrsid15879488 \hich\af1\dbch\af31501\loch\f1 &lt;/NumAmB&gt;}{\rtlch\fcs1 \af0 \ltrch\fcs0 \insrsid1981444\charrsid15879488 _x000d__x000a_\par }\pard\plain \ltrpar\s25\ql \li0\ri0\sb240\keepn\nowidctlpar\wrapdefault\aspalpha\aspnum\faauto\adjustright\rin0\lin0\itap0\pararsid1981444 \rtlch\fcs1 \af0\afs20\alang1025 \ltrch\fcs0 \b\fs24\lang2057\langfe2057\cgrid\langnp2057\langfenp2057 {_x000d__x000a_\rtlch\fcs1 \af0 \ltrch\fcs0 \cs17\b0\v\fs20\cf9\lang1024\langfe1024\loch\af1\hich\af1\dbch\af31501\noproof\insrsid1981444\charrsid15879488 \hich\af1\dbch\af31501\loch\f1 &lt;DocAmend&gt;}{\rtlch\fcs1 \af0 \ltrch\fcs0 \insrsid1981444\charrsid15879488 _x000d__x000a_[ZPROPOSAL][ZAMACT]}{\rtlch\fcs1 \af0 \ltrch\fcs0 \cs17\b0\v\fs20\cf9\lang1024\langfe1024\loch\af1\hich\af1\dbch\af31501\noproof\insrsid1981444\charrsid15879488 \hich\af1\dbch\af31501\loch\f1 &lt;/DocAmend&gt;}{\rtlch\fcs1 \af0 \ltrch\fcs0 _x000d__x000a_\insrsid1981444\charrsid15879488 _x000d__x000a_\par }\pard\plain \ltrpar\s19\ql \li0\ri0\keepn\nowidctlpar\wrapdefault\aspalpha\aspnum\faauto\adjustright\rin0\lin0\itap0\pararsid1981444 \rtlch\fcs1 \af0\afs20\alang1025 \ltrch\fcs0 \b\fs24\lang2057\langfe2057\cgrid\langnp2057\langfenp2057 {\rtlch\fcs1 \af0 _x000d__x000a_\ltrch\fcs0 \cs17\b0\v\fs20\cf9\lang1024\langfe1024\loch\af1\hich\af1\dbch\af31501\noproof\insrsid1981444\charrsid15879488 \hich\af1\dbch\af31501\loch\f1 &lt;Article&gt;}{\rtlch\fcs1 \af0 \ltrch\fcs0 \insrsid1981444\charrsid15879488 [ZAMPART]}{\rtlch\fcs1 \af0 _x000d__x000a_\ltrch\fcs0 \cs17\b0\v\fs20\cf9\lang1024\langfe1024\loch\af1\hich\af1\dbch\af31501\noproof\insrsid1981444\charrsid15879488 \hich\af1\dbch\af31501\loch\f1 &lt;/Article&gt;}{\rtlch\fcs1 \af0 \ltrch\fcs0 \insrsid1981444\charrsid15879488 _x000d__x000a_\par }\pard\plain \ltrpar\ql \li0\ri0\keepn\widctlpar\wrapdefault\aspalpha\aspnum\faauto\adjustright\rin0\lin0\itap0\pararsid1981444 \rtlch\fcs1 \af0\afs20\alang1025 \ltrch\fcs0 \fs24\lang2057\langfe2057\cgrid\langnp2057\langfenp2057 {\rtlch\fcs1 \af0 _x000d__x000a_\ltrch\fcs0 \cs17\v\fs20\cf9\lang1024\langfe1024\loch\af1\hich\af1\dbch\af31501\noproof\insrsid1981444\charrsid15879488 \hich\af1\dbch\af31501\loch\f1 &lt;DocAmend2&gt;&lt;OptDel&gt;}{\rtlch\fcs1 \af0 \ltrch\fcs0 \insrsid1981444\charrsid15879488 [ZNRACT]}{_x000d__x000a_\rtlch\fcs1 \af0 \ltrch\fcs0 \cs17\v\fs20\cf9\lang1024\langfe1024\loch\af1\hich\af1\dbch\af31501\noproof\insrsid1981444\charrsid15879488 \hich\af1\dbch\af31501\loch\f1 &lt;/OptDel&gt;&lt;/DocAmend2&gt;}{\rtlch\fcs1 \af0 \ltrch\fcs0 \insrsid1981444\charrsid15879488 _x000d__x000a__x000d__x000a_\par }\pard \ltrpar\ql \li0\ri0\widctlpar\wrapdefault\aspalpha\aspnum\faauto\adjustright\rin0\lin0\itap0\pararsid1981444 {\rtlch\fcs1 \af0 \ltrch\fcs0 _x000d__x000a_\cs17\v\fs20\cf9\lang1024\langfe1024\loch\af1\hich\af1\dbch\af31501\noproof\langnp1036\insrsid1981444\charrsid11356624 \hich\af1\dbch\af31501\loch\f1 &lt;Article2&gt;&lt;OptDel&gt;}{\rtlch\fcs1 \af0 \ltrch\fcs0 _x000d__x000a_\lang1036\langfe2057\langnp1036\insrsid1981444\charrsid11356624 [ZACTPART]}{\rtlch\fcs1 \af0 \ltrch\fcs0 \cs17\v\fs20\cf9\lang1024\langfe1024\loch\af1\hich\af1\dbch\af31501\noproof\langnp1036\insrsid1981444\charrsid11356624 \hich\af1\dbch\af31501\loch\f1 _x000d__x000a_&lt;/OptDel&gt;&lt;/Article2&gt;}{\rtlch\fcs1 \af0 \ltrch\fcs0 \lang1036\langfe2057\langnp1036\insrsid198144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981444\charrsid11356624 \cell }\pard \ltrpar\ql \li0\ri0\widctlpar\intbl\wrapdefault\aspalpha\aspnum\faauto\adjustright\rin0\lin0 {\rtlch\fcs1 \af0 \ltrch\fcs0 \insrsid198144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981444\charrsid15879488 [ZLEFTB]\cell [ZRIGHT]\cell }\pard\plain \ltrpar\ql \li0\ri0\widctlpar\intbl\wrapdefault\aspalpha\aspnum\faauto\adjustright\rin0\lin0 \rtlch\fcs1 \af0\afs20\alang1025 \ltrch\fcs0 _x000d__x000a_\fs24\lang2057\langfe2057\cgrid\langnp2057\langfenp2057 {\rtlch\fcs1 \af0 \ltrch\fcs0 \insrsid198144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981444\charrsid15879488 [ZTEXTL]\cell [ZTEXTR]}{\rtlch\fcs1 \af0\afs24 \ltrch\fcs0 \insrsid1981444\charrsid15879488 \cell }\pard\plain \ltrpar\ql \li0\ri0\widctlpar\intbl\wrapdefault\aspalpha\aspnum\faauto\adjustright\rin0\lin0 \rtlch\fcs1 _x000d__x000a_\af0\afs20\alang1025 \ltrch\fcs0 \fs24\lang2057\langfe2057\cgrid\langnp2057\langfenp2057 {\rtlch\fcs1 \af0 \ltrch\fcs0 \insrsid198144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981444 \rtlch\fcs1 \af0\afs20\alang1025 \ltrch\fcs0 \i\fs24\lang2057\langfe2057\cgrid\langnp2057\langfenp2057 {\rtlch\fcs1 \af0 \ltrch\fcs0 _x000d__x000a_\cs17\i0\v\fs20\cf9\lang1024\langfe1024\loch\af1\hich\af1\dbch\af31501\noproof\insrsid1981444\charrsid15879488 \hich\af1\dbch\af31501\loch\f1 &lt;OptDel&gt;}{\rtlch\fcs1 \af0 \ltrch\fcs0 \insrsid1981444\charrsid15879488 [ZCROSSREF]}{\rtlch\fcs1 \af0 _x000d__x000a_\ltrch\fcs0 \cs17\i0\v\fs20\cf9\lang1024\langfe1024\loch\af1\hich\af1\dbch\af31501\noproof\insrsid1981444\charrsid15879488 \hich\af1\dbch\af31501\loch\f1 &lt;/OptDel&gt;}{\rtlch\fcs1 \af0 \ltrch\fcs0 \insrsid1981444\charrsid15879488 _x000d__x000a_\par }\pard\plain \ltrpar\s22\qc \li0\ri0\sb240\sa240\keepn\nowidctlpar\wrapdefault\aspalpha\aspnum\faauto\adjustright\rin0\lin0\itap0\pararsid1981444 \rtlch\fcs1 \af0\afs20\alang1025 \ltrch\fcs0 \i\fs24\lang2057\langfe2057\cgrid\langnp2057\langfenp2057 {_x000d__x000a_\rtlch\fcs1 \af0 \ltrch\fcs0 \cs17\i0\v\fs20\cf9\lang1024\langfe1024\loch\af1\hich\af1\dbch\af31501\noproof\insrsid1981444\charrsid15879488 \hich\af1\dbch\af31501\loch\f1 &lt;TitreJust&gt;}{\rtlch\fcs1 \af0 \ltrch\fcs0 \insrsid1981444\charrsid15879488 _x000d__x000a_[ZJUSTIFICATION]}{\rtlch\fcs1 \af0 \ltrch\fcs0 \cs17\i0\v\fs20\cf9\lang1024\langfe1024\loch\af1\hich\af1\dbch\af31501\noproof\insrsid1981444\charrsid15879488 \hich\af1\dbch\af31501\loch\f1 &lt;/TitreJust&gt;}{\rtlch\fcs1 \af0 \ltrch\fcs0 _x000d__x000a_\insrsid1981444\charrsid15879488 _x000d__x000a_\par }\pard\plain \ltrpar\s20\ql \li0\ri0\sa240\nowidctlpar\wrapdefault\aspalpha\aspnum\faauto\adjustright\rin0\lin0\itap0\pararsid1981444 \rtlch\fcs1 \af0\afs20\alang1025 \ltrch\fcs0 \i\fs24\lang2057\langfe2057\cgrid\langnp2057\langfenp2057 {\rtlch\fcs1 \af0 _x000d__x000a_\ltrch\fcs0 \cs17\i0\v\fs20\cf9\lang1024\langfe1024\loch\af1\hich\af1\dbch\af31501\noproof\insrsid1981444\charrsid15879488 \hich\af1\dbch\af31501\loch\f1 &lt;OptDelPrev&gt;}{\rtlch\fcs1 \af0 \ltrch\fcs0 \insrsid1981444\charrsid15879488 [ZTEXTJUST]}{\rtlch\fcs1 _x000d__x000a_\af0 \ltrch\fcs0 \cs17\i0\v\fs20\cf9\lang1024\langfe1024\loch\af1\hich\af1\dbch\af31501\noproof\insrsid1981444\charrsid15879488 \hich\af1\dbch\af31501\loch\f1 &lt;/OptDelPrev&gt;}{\rtlch\fcs1 \af0 \ltrch\fcs0 \insrsid1981444\charrsid15879488 _x000d__x000a_\par }\pard\plain \ltrpar\ql \li0\ri0\widctlpar\wrapdefault\aspalpha\aspnum\faauto\adjustright\rin0\lin0\itap0\pararsid1981444 \rtlch\fcs1 \af0\afs20\alang1025 \ltrch\fcs0 \fs24\lang2057\langfe2057\cgrid\langnp2057\langfenp2057 {\rtlch\fcs1 \af0 \ltrch\fcs0 _x000d__x000a_\cs17\v\fs20\cf9\lang1024\langfe1024\loch\af1\hich\af1\dbch\af31501\noproof\insrsid1981444\charrsid15879488 \hich\af1\dbch\af31501\loch\f1 &lt;/AmendB&gt;}{\rtlch\fcs1 \af0 \ltrch\fcs0 \insrsid19814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4_x000d__x000a_42adf8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42431 HideTWBExt;}{_x000d__x000a_\s18\ql \li0\ri0\sa120\nowidctlpar\wrapdefault\aspalpha\aspnum\faauto\adjustright\rin0\lin0\itap0 \rtlch\fcs1 \af0\afs20\alang1025 \ltrch\fcs0 \fs24\lang2057\langfe2057\cgrid\langnp2057\langfenp2057 \sbasedon0 \snext18 \spriority0 \styrsid16342431 _x000d__x000a_Normal6a;}{\s19\ql \li0\ri0\nowidctlpar\wrapdefault\aspalpha\aspnum\faauto\adjustright\rin0\lin0\itap0 \rtlch\fcs1 \af0\afs20\alang1025 \ltrch\fcs0 \b\fs24\lang2057\langfe2057\cgrid\langnp2057\langfenp2057 \sbasedon0 \snext19 \spriority0 \styrsid16342431 _x000d__x000a_NormalBold;}{\s20\ql \li0\ri0\sa240\nowidctlpar\wrapdefault\aspalpha\aspnum\faauto\adjustright\rin0\lin0\itap0 \rtlch\fcs1 \af0\afs20\alang1025 \ltrch\fcs0 \i\fs24\lang2057\langfe2057\cgrid\langnp2057\langfenp2057 _x000d__x000a_\sbasedon0 \snext20 \spriority0 \styrsid16342431 AmJustText;}{\s21\qc \li0\ri0\sb240\sa240\nowidctlpar\wrapdefault\aspalpha\aspnum\faauto\adjustright\rin0\lin0\itap0 \rtlch\fcs1 \af0\afs20\alang1025 \ltrch\fcs0 _x000d__x000a_\i\fs24\lang2057\langfe2057\cgrid\langnp2057\langfenp2057 \sbasedon0 \snext21 \spriority0 \styrsid16342431 AmCrossRef;}{\s22\qc \li0\ri0\sb240\sa240\keepn\nowidctlpar\wrapdefault\aspalpha\aspnum\faauto\adjustright\rin0\lin0\itap0 \rtlch\fcs1 _x000d__x000a_\af0\afs20\alang1025 \ltrch\fcs0 \i\fs24\lang2057\langfe2057\cgrid\langnp2057\langfenp2057 \sbasedon0 \snext20 \spriority0 \styrsid16342431 AmJustTitle;}{\s23\qc \li0\ri0\sa240\nowidctlpar\wrapdefault\aspalpha\aspnum\faauto\adjustright\rin0\lin0\itap0 _x000d__x000a_\rtlch\fcs1 \af0\afs20\alang1025 \ltrch\fcs0 \i\fs24\lang2057\langfe2057\cgrid\langnp2057\langfenp2057 \sbasedon0 \snext23 \spriority0 \styrsid163424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342431 AmNumberTabs;}{\s25\ql \li0\ri0\sb240\nowidctlpar\wrapdefault\aspalpha\aspnum\faauto\adjustright\rin0\lin0\itap0 \rtlch\fcs1 _x000d__x000a_\af0\afs20\alang1025 \ltrch\fcs0 \b\fs24\lang2057\langfe2057\cgrid\langnp2057\langfenp2057 \sbasedon0 \snext25 \spriority0 \styrsid16342431 NormalBold12b;}}{\*\rsidtbl \rsid24658\rsid223860\rsid735077\rsid1718133\rsid1866555\rsid2892074\rsid3565327_x000d__x000a_\rsid4666813\rsid6641733\rsid7823322\rsid9636012\rsid10377208\rsid11215221\rsid11549030\rsid12154954\rsid14382809\rsid14424199\rsid15204470\rsid15285974\rsid15950462\rsid16324206\rsid16342431\rsid16662270}{\mmathPr\mmathFont34\mbrkBin0\mbrkBinSub0_x000d__x000a_\msmallFrac0\mdispDef1\mlMargin0\mrMargin0\mdefJc1\mwrapIndent1440\mintLim0\mnaryLim1}{\info{\author PURINS Maris}{\operator PURINS Maris}{\creatim\yr2024\mo3\dy23\hr9\min3}{\revtim\yr2024\mo3\dy23\hr9\min3}{\version1}{\edmins0}{\nofpages1}{\nofwords55}_x000d__x000a_{\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42431\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866555 \chftnsep _x000d__x000a_\par }}{\*\ftnsepc \ltrpar \pard\plain \ltrpar\ql \li0\ri0\widctlpar\wrapdefault\aspalpha\aspnum\faauto\adjustright\rin0\lin0\itap0 \rtlch\fcs1 \af0\afs20\alang1025 \ltrch\fcs0 \fs24\lang2057\langfe2057\cgrid\langnp2057\langfenp2057 {\rtlch\fcs1 \af0 _x000d__x000a_\ltrch\fcs0 \insrsid1866555 \chftnsepc _x000d__x000a_\par }}{\*\aftnsep \ltrpar \pard\plain \ltrpar\ql \li0\ri0\widctlpar\wrapdefault\aspalpha\aspnum\faauto\adjustright\rin0\lin0\itap0 \rtlch\fcs1 \af0\afs20\alang1025 \ltrch\fcs0 \fs24\lang2057\langfe2057\cgrid\langnp2057\langfenp2057 {\rtlch\fcs1 \af0 _x000d__x000a_\ltrch\fcs0 \insrsid1866555 \chftnsep _x000d__x000a_\par }}{\*\aftnsepc \ltrpar \pard\plain \ltrpar\ql \li0\ri0\widctlpar\wrapdefault\aspalpha\aspnum\faauto\adjustright\rin0\lin0\itap0 \rtlch\fcs1 \af0\afs20\alang1025 \ltrch\fcs0 \fs24\lang2057\langfe2057\cgrid\langnp2057\langfenp2057 {\rtlch\fcs1 \af0 _x000d__x000a_\ltrch\fcs0 \insrsid18665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6342431 \rtlch\fcs1 _x000d__x000a_\af0\afs20\alang1025 \ltrch\fcs0 \b\fs24\lang2057\langfe2057\cgrid\langnp2057\langfenp2057 {\rtlch\fcs1 \af0 \ltrch\fcs0 \cs17\b0\v\fs20\cf9\lang1024\langfe1024\loch\af1\hich\af1\dbch\af31501\noproof\insrsid16342431\charrsid15879488 {\*\bkmkstart restartB_x000d__x000a_}\hich\af1\dbch\af31501\loch\f1 &lt;AmendB&gt;}{\rtlch\fcs1 \af0 \ltrch\fcs0 \insrsid16342431\charrsid15879488 [ZAMENDMENT]\tab \tab }{\rtlch\fcs1 \af0 \ltrch\fcs0 _x000d__x000a_\cs17\b0\v\fs20\cf9\lang1024\langfe1024\loch\af1\hich\af1\dbch\af31501\noproof\insrsid16342431\charrsid15879488 \hich\af1\dbch\af31501\loch\f1 &lt;NumAmB&gt;}{\rtlch\fcs1 \af0 \ltrch\fcs0 \insrsid16342431\charrsid15879488 [ZNRAM]}{\rtlch\fcs1 \af0 \ltrch\fcs0 _x000d__x000a_\cs17\b0\v\fs20\cf9\lang1024\langfe1024\loch\af1\hich\af1\dbch\af31501\noproof\insrsid16342431\charrsid15879488 \hich\af1\dbch\af31501\loch\f1 &lt;/NumAmB&gt;}{\rtlch\fcs1 \af0 \ltrch\fcs0 \insrsid16342431\charrsid15879488 _x000d__x000a_\par }\pard\plain \ltrpar\s25\ql \li0\ri0\sb240\keepn\nowidctlpar\wrapdefault\aspalpha\aspnum\faauto\adjustright\rin0\lin0\itap0\pararsid16342431 \rtlch\fcs1 \af0\afs20\alang1025 \ltrch\fcs0 \b\fs24\lang2057\langfe2057\cgrid\langnp2057\langfenp2057 {_x000d__x000a_\rtlch\fcs1 \af0 \ltrch\fcs0 \cs17\b0\v\fs20\cf9\lang1024\langfe1024\loch\af1\hich\af1\dbch\af31501\noproof\insrsid16342431\charrsid15879488 \hich\af1\dbch\af31501\loch\f1 &lt;DocAmend&gt;}{\rtlch\fcs1 \af0 \ltrch\fcs0 \insrsid16342431\charrsid15879488 _x000d__x000a_[ZPROPOSAL][ZAMACT]}{\rtlch\fcs1 \af0 \ltrch\fcs0 \cs17\b0\v\fs20\cf9\lang1024\langfe1024\loch\af1\hich\af1\dbch\af31501\noproof\insrsid16342431\charrsid15879488 \hich\af1\dbch\af31501\loch\f1 &lt;/DocAmend&gt;}{\rtlch\fcs1 \af0 \ltrch\fcs0 _x000d__x000a_\insrsid16342431\charrsid15879488 _x000d__x000a_\par }\pard\plain \ltrpar\s19\ql \li0\ri0\keepn\nowidctlpar\wrapdefault\aspalpha\aspnum\faauto\adjustright\rin0\lin0\itap0\pararsid16342431 \rtlch\fcs1 \af0\afs20\alang1025 \ltrch\fcs0 \b\fs24\lang2057\langfe2057\cgrid\langnp2057\langfenp2057 {\rtlch\fcs1 _x000d__x000a_\af0 \ltrch\fcs0 \cs17\b0\v\fs20\cf9\lang1024\langfe1024\loch\af1\hich\af1\dbch\af31501\noproof\insrsid16342431\charrsid15879488 \hich\af1\dbch\af31501\loch\f1 &lt;Article&gt;}{\rtlch\fcs1 \af0 \ltrch\fcs0 \insrsid16342431\charrsid15879488 [ZAMPART]}{_x000d__x000a_\rtlch\fcs1 \af0 \ltrch\fcs0 \cs17\b0\v\fs20\cf9\lang1024\langfe1024\loch\af1\hich\af1\dbch\af31501\noproof\insrsid16342431\charrsid15879488 \hich\af1\dbch\af31501\loch\f1 &lt;/Article&gt;}{\rtlch\fcs1 \af0 \ltrch\fcs0 \insrsid16342431\charrsid15879488 _x000d__x000a_\par }\pard\plain \ltrpar\ql \li0\ri0\keepn\widctlpar\wrapdefault\aspalpha\aspnum\faauto\adjustright\rin0\lin0\itap0\pararsid16342431 \rtlch\fcs1 \af0\afs20\alang1025 \ltrch\fcs0 \fs24\lang2057\langfe2057\cgrid\langnp2057\langfenp2057 {\rtlch\fcs1 \af0 _x000d__x000a_\ltrch\fcs0 \cs17\v\fs20\cf9\lang1024\langfe1024\loch\af1\hich\af1\dbch\af31501\noproof\insrsid16342431\charrsid15879488 \hich\af1\dbch\af31501\loch\f1 &lt;DocAmend2&gt;&lt;OptDel&gt;}{\rtlch\fcs1 \af0 \ltrch\fcs0 \insrsid16342431\charrsid15879488 [ZNRACT]}{_x000d__x000a_\rtlch\fcs1 \af0 \ltrch\fcs0 \cs17\v\fs20\cf9\lang1024\langfe1024\loch\af1\hich\af1\dbch\af31501\noproof\insrsid16342431\charrsid15879488 \hich\af1\dbch\af31501\loch\f1 &lt;/OptDel&gt;&lt;/DocAmend2&gt;}{\rtlch\fcs1 \af0 \ltrch\fcs0 \insrsid16342431\charrsid15879488 _x000d__x000a__x000d__x000a_\par }\pard \ltrpar\ql \li0\ri0\widctlpar\wrapdefault\aspalpha\aspnum\faauto\adjustright\rin0\lin0\itap0\pararsid16342431 {\rtlch\fcs1 \af0 \ltrch\fcs0 _x000d__x000a_\cs17\v\fs20\cf9\lang1024\langfe1024\loch\af1\hich\af1\dbch\af31501\noproof\langnp1036\insrsid16342431\charrsid11356624 \hich\af1\dbch\af31501\loch\f1 &lt;Article2&gt;&lt;OptDel&gt;}{\rtlch\fcs1 \af0 \ltrch\fcs0 _x000d__x000a_\lang1036\langfe2057\langnp1036\insrsid16342431\charrsid11356624 [ZACTPART]}{\rtlch\fcs1 \af0 \ltrch\fcs0 \cs17\v\fs20\cf9\lang1024\langfe1024\loch\af1\hich\af1\dbch\af31501\noproof\langnp1036\insrsid16342431\charrsid11356624 _x000d__x000a_\hich\af1\dbch\af31501\loch\f1 &lt;/OptDel&gt;&lt;/Article2&gt;}{\rtlch\fcs1 \af0 \ltrch\fcs0 \lang1036\langfe2057\langnp1036\insrsid1634243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342431\charrsid11356624 \cell }\pard \ltrpar\ql \li0\ri0\widctlpar\intbl\wrapdefault\aspalpha\aspnum\faauto\adjustright\rin0\lin0 {\rtlch\fcs1 \af0 \ltrch\fcs0 \insrsid1634243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6342431\charrsid15879488 [ZLEFTB]\cell [ZRIGHT]\cell }\pard\plain \ltrpar\ql \li0\ri0\widctlpar\intbl\wrapdefault\aspalpha\aspnum\faauto\adjustright\rin0\lin0 \rtlch\fcs1 \af0\afs20\alang1025 \ltrch\fcs0 _x000d__x000a_\fs24\lang2057\langfe2057\cgrid\langnp2057\langfenp2057 {\rtlch\fcs1 \af0 \ltrch\fcs0 \insrsid1634243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342431\charrsid15879488 [ZTEXTL]\cell [ZTEXTR]}{\rtlch\fcs1 \af0\afs24 \ltrch\fcs0 \insrsid16342431\charrsid15879488 \cell }\pard\plain \ltrpar\ql \li0\ri0\widctlpar\intbl\wrapdefault\aspalpha\aspnum\faauto\adjustright\rin0\lin0 \rtlch\fcs1 _x000d__x000a_\af0\afs20\alang1025 \ltrch\fcs0 \fs24\lang2057\langfe2057\cgrid\langnp2057\langfenp2057 {\rtlch\fcs1 \af0 \ltrch\fcs0 \insrsid1634243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342431 \rtlch\fcs1 \af0\afs20\alang1025 \ltrch\fcs0 \i\fs24\lang2057\langfe2057\cgrid\langnp2057\langfenp2057 {\rtlch\fcs1 \af0 \ltrch\fcs0 _x000d__x000a_\cs17\i0\v\fs20\cf9\lang1024\langfe1024\loch\af1\hich\af1\dbch\af31501\noproof\insrsid16342431\charrsid15879488 \hich\af1\dbch\af31501\loch\f1 &lt;OptDel&gt;}{\rtlch\fcs1 \af0 \ltrch\fcs0 \insrsid16342431\charrsid15879488 [ZCROSSREF]}{\rtlch\fcs1 \af0 _x000d__x000a_\ltrch\fcs0 \cs17\i0\v\fs20\cf9\lang1024\langfe1024\loch\af1\hich\af1\dbch\af31501\noproof\insrsid16342431\charrsid15879488 \hich\af1\dbch\af31501\loch\f1 &lt;/OptDel&gt;}{\rtlch\fcs1 \af0 \ltrch\fcs0 \insrsid16342431\charrsid15879488 _x000d__x000a_\par }\pard\plain \ltrpar\s22\qc \li0\ri0\sb240\sa240\keepn\nowidctlpar\wrapdefault\aspalpha\aspnum\faauto\adjustright\rin0\lin0\itap0\pararsid16342431 \rtlch\fcs1 \af0\afs20\alang1025 \ltrch\fcs0 \i\fs24\lang2057\langfe2057\cgrid\langnp2057\langfenp2057 {_x000d__x000a_\rtlch\fcs1 \af0 \ltrch\fcs0 \cs17\i0\v\fs20\cf9\lang1024\langfe1024\loch\af1\hich\af1\dbch\af31501\noproof\insrsid16342431\charrsid15879488 \hich\af1\dbch\af31501\loch\f1 &lt;TitreJust&gt;}{\rtlch\fcs1 \af0 \ltrch\fcs0 \insrsid16342431\charrsid15879488 _x000d__x000a_[ZJUSTIFICATION]}{\rtlch\fcs1 \af0 \ltrch\fcs0 \cs17\i0\v\fs20\cf9\lang1024\langfe1024\loch\af1\hich\af1\dbch\af31501\noproof\insrsid16342431\charrsid15879488 \hich\af1\dbch\af31501\loch\f1 &lt;/TitreJust&gt;}{\rtlch\fcs1 \af0 \ltrch\fcs0 _x000d__x000a_\insrsid16342431\charrsid15879488 _x000d__x000a_\par }\pard\plain \ltrpar\s20\ql \li0\ri0\sa240\nowidctlpar\wrapdefault\aspalpha\aspnum\faauto\adjustright\rin0\lin0\itap0\pararsid16342431 \rtlch\fcs1 \af0\afs20\alang1025 \ltrch\fcs0 \i\fs24\lang2057\langfe2057\cgrid\langnp2057\langfenp2057 {\rtlch\fcs1 _x000d__x000a_\af0 \ltrch\fcs0 \cs17\i0\v\fs20\cf9\lang1024\langfe1024\loch\af1\hich\af1\dbch\af31501\noproof\insrsid16342431\charrsid15879488 \hich\af1\dbch\af31501\loch\f1 &lt;OptDelPrev&gt;}{\rtlch\fcs1 \af0 \ltrch\fcs0 \insrsid16342431\charrsid15879488 [ZTEXTJUST]}{_x000d__x000a_\rtlch\fcs1 \af0 \ltrch\fcs0 \cs17\i0\v\fs20\cf9\lang1024\langfe1024\loch\af1\hich\af1\dbch\af31501\noproof\insrsid16342431\charrsid15879488 \hich\af1\dbch\af31501\loch\f1 &lt;/OptDelPrev&gt;}{\rtlch\fcs1 \af0 \ltrch\fcs0 \insrsid16342431\charrsid15879488 _x000d__x000a__x000d__x000a_\par }\pard\plain \ltrpar\ql \li0\ri0\widctlpar\wrapdefault\aspalpha\aspnum\faauto\adjustright\rin0\lin0\itap0\pararsid16342431 \rtlch\fcs1 \af0\afs20\alang1025 \ltrch\fcs0 \fs24\lang2057\langfe2057\cgrid\langnp2057\langfenp2057 {\rtlch\fcs1 \af0 \ltrch\fcs0 _x000d__x000a_\cs17\v\fs20\cf9\lang1024\langfe1024\loch\af1\hich\af1\dbch\af31501\noproof\insrsid16342431\charrsid15879488 \hich\af1\dbch\af31501\loch\f1 &lt;/AmendB&gt;}{\rtlch\fcs1 \af0 \ltrch\fcs0 \insrsid163424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e_x000d__x000a_eaa8f8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LV"/>
    <w:docVar w:name="TXTLANGUEMIN" w:val="lv"/>
    <w:docVar w:name="TXTNRC" w:val="0015/2024"/>
    <w:docVar w:name="TXTNRCOM" w:val="(2023)930"/>
    <w:docVar w:name="TXTNRDIR" w:val="(EU) 2015/637"/>
    <w:docVar w:name="TXTNRFIRSTAM" w:val="1"/>
    <w:docVar w:name="TXTNRLASTAM" w:val="16"/>
    <w:docVar w:name="TXTNRPE" w:val="758.853"/>
    <w:docVar w:name="TXTNRPROC" w:val="2023/0441"/>
    <w:docVar w:name="TXTPEorAP" w:val="PE"/>
    <w:docVar w:name="TXTROUTE" w:val="AD\1299352LV.docx"/>
    <w:docVar w:name="TXTVERSION" w:val="02-00"/>
  </w:docVars>
  <w:rsids>
    <w:rsidRoot w:val="00222D54"/>
    <w:rsid w:val="00026559"/>
    <w:rsid w:val="00027FA8"/>
    <w:rsid w:val="0004333E"/>
    <w:rsid w:val="0004474F"/>
    <w:rsid w:val="000448DA"/>
    <w:rsid w:val="00082EC4"/>
    <w:rsid w:val="000D44A6"/>
    <w:rsid w:val="00114081"/>
    <w:rsid w:val="00122C05"/>
    <w:rsid w:val="00134974"/>
    <w:rsid w:val="00141CD7"/>
    <w:rsid w:val="00147FBF"/>
    <w:rsid w:val="001616BD"/>
    <w:rsid w:val="001820A9"/>
    <w:rsid w:val="001A0556"/>
    <w:rsid w:val="001B0A1E"/>
    <w:rsid w:val="001C0886"/>
    <w:rsid w:val="001D5154"/>
    <w:rsid w:val="001E3AC4"/>
    <w:rsid w:val="001E796D"/>
    <w:rsid w:val="0020077A"/>
    <w:rsid w:val="00207509"/>
    <w:rsid w:val="00221197"/>
    <w:rsid w:val="00222D54"/>
    <w:rsid w:val="0023131B"/>
    <w:rsid w:val="002A67EE"/>
    <w:rsid w:val="002D3573"/>
    <w:rsid w:val="00304EA8"/>
    <w:rsid w:val="00341A99"/>
    <w:rsid w:val="00360FAA"/>
    <w:rsid w:val="0038294E"/>
    <w:rsid w:val="003858C5"/>
    <w:rsid w:val="003A2F84"/>
    <w:rsid w:val="003C7390"/>
    <w:rsid w:val="003E1280"/>
    <w:rsid w:val="003F128E"/>
    <w:rsid w:val="0040055C"/>
    <w:rsid w:val="00446E4E"/>
    <w:rsid w:val="00487596"/>
    <w:rsid w:val="004B3A53"/>
    <w:rsid w:val="004C2A0D"/>
    <w:rsid w:val="004D444B"/>
    <w:rsid w:val="004F1D2F"/>
    <w:rsid w:val="004F524A"/>
    <w:rsid w:val="00502B76"/>
    <w:rsid w:val="00513F6F"/>
    <w:rsid w:val="00516E52"/>
    <w:rsid w:val="00522B51"/>
    <w:rsid w:val="00524707"/>
    <w:rsid w:val="005539B7"/>
    <w:rsid w:val="00571233"/>
    <w:rsid w:val="005F7B8D"/>
    <w:rsid w:val="00613134"/>
    <w:rsid w:val="00626D52"/>
    <w:rsid w:val="00640542"/>
    <w:rsid w:val="00643DA8"/>
    <w:rsid w:val="00657D5C"/>
    <w:rsid w:val="00683DD1"/>
    <w:rsid w:val="00691B1C"/>
    <w:rsid w:val="00692970"/>
    <w:rsid w:val="006A0F0A"/>
    <w:rsid w:val="006A48AA"/>
    <w:rsid w:val="006B1267"/>
    <w:rsid w:val="006D292E"/>
    <w:rsid w:val="006F3B42"/>
    <w:rsid w:val="00712462"/>
    <w:rsid w:val="00716BAA"/>
    <w:rsid w:val="0078423E"/>
    <w:rsid w:val="0078548A"/>
    <w:rsid w:val="007A4B51"/>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269FD"/>
    <w:rsid w:val="009368B3"/>
    <w:rsid w:val="009609A0"/>
    <w:rsid w:val="009704C5"/>
    <w:rsid w:val="00982B83"/>
    <w:rsid w:val="009857B4"/>
    <w:rsid w:val="0099178F"/>
    <w:rsid w:val="009B2544"/>
    <w:rsid w:val="009E7319"/>
    <w:rsid w:val="009F70D8"/>
    <w:rsid w:val="00A71228"/>
    <w:rsid w:val="00A74E25"/>
    <w:rsid w:val="00AC2A60"/>
    <w:rsid w:val="00AD49D0"/>
    <w:rsid w:val="00B00EE6"/>
    <w:rsid w:val="00B17E49"/>
    <w:rsid w:val="00B476DC"/>
    <w:rsid w:val="00B556CD"/>
    <w:rsid w:val="00B62D4B"/>
    <w:rsid w:val="00B735E3"/>
    <w:rsid w:val="00B904FA"/>
    <w:rsid w:val="00BA3E40"/>
    <w:rsid w:val="00BD1F76"/>
    <w:rsid w:val="00BE20CF"/>
    <w:rsid w:val="00C22327"/>
    <w:rsid w:val="00C335C6"/>
    <w:rsid w:val="00C36610"/>
    <w:rsid w:val="00C4219C"/>
    <w:rsid w:val="00C510FC"/>
    <w:rsid w:val="00C52A28"/>
    <w:rsid w:val="00C709B7"/>
    <w:rsid w:val="00C75E98"/>
    <w:rsid w:val="00C81C5B"/>
    <w:rsid w:val="00C83B35"/>
    <w:rsid w:val="00D25CF2"/>
    <w:rsid w:val="00D377B5"/>
    <w:rsid w:val="00D56CE0"/>
    <w:rsid w:val="00D6254D"/>
    <w:rsid w:val="00D67D0A"/>
    <w:rsid w:val="00D74FD1"/>
    <w:rsid w:val="00D943A5"/>
    <w:rsid w:val="00D9581F"/>
    <w:rsid w:val="00DB56E4"/>
    <w:rsid w:val="00E03C69"/>
    <w:rsid w:val="00E260EB"/>
    <w:rsid w:val="00E27F01"/>
    <w:rsid w:val="00E35335"/>
    <w:rsid w:val="00E666B0"/>
    <w:rsid w:val="00E77FF5"/>
    <w:rsid w:val="00E94D64"/>
    <w:rsid w:val="00EA3802"/>
    <w:rsid w:val="00EF1432"/>
    <w:rsid w:val="00EF33D5"/>
    <w:rsid w:val="00F15744"/>
    <w:rsid w:val="00F2076E"/>
    <w:rsid w:val="00F24D40"/>
    <w:rsid w:val="00F8696F"/>
    <w:rsid w:val="00FC4B53"/>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51148"/>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E260EB"/>
    <w:rPr>
      <w:b/>
      <w:sz w:val="24"/>
    </w:rPr>
  </w:style>
  <w:style w:type="character" w:customStyle="1" w:styleId="NormalBold12bChar">
    <w:name w:val="NormalBold12b Char"/>
    <w:basedOn w:val="AmNumberTabsChar"/>
    <w:link w:val="NormalBold12b"/>
    <w:rsid w:val="00E260EB"/>
    <w:rPr>
      <w:b/>
      <w:sz w:val="24"/>
    </w:rPr>
  </w:style>
  <w:style w:type="paragraph" w:styleId="BalloonText">
    <w:name w:val="Balloon Text"/>
    <w:basedOn w:val="Normal"/>
    <w:link w:val="BalloonTextChar"/>
    <w:semiHidden/>
    <w:unhideWhenUsed/>
    <w:rsid w:val="00E260EB"/>
    <w:rPr>
      <w:rFonts w:ascii="Segoe UI" w:hAnsi="Segoe UI" w:cs="Segoe UI"/>
      <w:sz w:val="18"/>
      <w:szCs w:val="18"/>
    </w:rPr>
  </w:style>
  <w:style w:type="character" w:customStyle="1" w:styleId="BalloonTextChar">
    <w:name w:val="Balloon Text Char"/>
    <w:basedOn w:val="DefaultParagraphFont"/>
    <w:link w:val="BalloonText"/>
    <w:semiHidden/>
    <w:rsid w:val="00E260EB"/>
    <w:rPr>
      <w:rFonts w:ascii="Segoe UI" w:hAnsi="Segoe UI" w:cs="Segoe UI"/>
      <w:sz w:val="18"/>
      <w:szCs w:val="18"/>
      <w:lang w:val="lv-LV"/>
    </w:rPr>
  </w:style>
  <w:style w:type="paragraph" w:customStyle="1" w:styleId="RollCallSymbols14pt">
    <w:name w:val="RollCallSymbols14pt"/>
    <w:basedOn w:val="Normal"/>
    <w:rsid w:val="00E260E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260EB"/>
    <w:pPr>
      <w:tabs>
        <w:tab w:val="center" w:pos="284"/>
        <w:tab w:val="left" w:pos="426"/>
      </w:tabs>
    </w:pPr>
    <w:rPr>
      <w:snapToGrid w:val="0"/>
      <w:szCs w:val="20"/>
      <w:lang w:eastAsia="en-US"/>
    </w:rPr>
  </w:style>
  <w:style w:type="paragraph" w:customStyle="1" w:styleId="RollCallVotes">
    <w:name w:val="RollCallVotes"/>
    <w:basedOn w:val="Normal"/>
    <w:rsid w:val="00E260EB"/>
    <w:pPr>
      <w:spacing w:before="120" w:after="120"/>
      <w:jc w:val="center"/>
    </w:pPr>
    <w:rPr>
      <w:b/>
      <w:bCs/>
      <w:snapToGrid w:val="0"/>
      <w:sz w:val="16"/>
      <w:szCs w:val="20"/>
      <w:lang w:eastAsia="en-US"/>
    </w:rPr>
  </w:style>
  <w:style w:type="paragraph" w:customStyle="1" w:styleId="RollCallTable">
    <w:name w:val="RollCallTable"/>
    <w:basedOn w:val="Normal"/>
    <w:rsid w:val="00E260EB"/>
    <w:pPr>
      <w:spacing w:before="120" w:after="120"/>
    </w:pPr>
    <w:rPr>
      <w:snapToGrid w:val="0"/>
      <w:sz w:val="16"/>
      <w:szCs w:val="20"/>
      <w:lang w:eastAsia="en-US"/>
    </w:rPr>
  </w:style>
  <w:style w:type="paragraph" w:customStyle="1" w:styleId="Normal24a">
    <w:name w:val="Normal24a"/>
    <w:basedOn w:val="Normal"/>
    <w:rsid w:val="00E260EB"/>
    <w:pPr>
      <w:spacing w:after="480"/>
    </w:pPr>
    <w:rPr>
      <w:szCs w:val="20"/>
    </w:rPr>
  </w:style>
  <w:style w:type="paragraph" w:customStyle="1" w:styleId="NormalBoldCenter">
    <w:name w:val="NormalBoldCenter"/>
    <w:basedOn w:val="Normal"/>
    <w:rsid w:val="00E260EB"/>
    <w:pPr>
      <w:jc w:val="center"/>
    </w:pPr>
    <w:rPr>
      <w:b/>
      <w:szCs w:val="20"/>
    </w:rPr>
  </w:style>
  <w:style w:type="paragraph" w:customStyle="1" w:styleId="Titel">
    <w:name w:val="Titel"/>
    <w:rsid w:val="00E260EB"/>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37C80-FC60-4748-8144-A6D86FF4E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5093</Words>
  <Characters>34957</Characters>
  <Application>Microsoft Office Word</Application>
  <DocSecurity>0</DocSecurity>
  <Lines>1259</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2024-04-05T08:38:00Z</dcterms:created>
  <dcterms:modified xsi:type="dcterms:W3CDTF">2024-04-05T08:38:00Z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Bookout">
    <vt:lpwstr>OK - 2024/04/05 10:37</vt:lpwstr>
  </property>
  <property fmtid="{D5CDD505-2E9C-101B-9397-08002B2CF9AE}" pid="9" name="Created with">
    <vt:lpwstr>9.17.1 Build [20240201]</vt:lpwstr>
  </property>
  <property fmtid="{D5CDD505-2E9C-101B-9397-08002B2CF9AE}" pid="10" name="FooterPath">
    <vt:lpwstr>AD\1299352LV.docx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y fmtid="{D5CDD505-2E9C-101B-9397-08002B2CF9AE}" pid="14" name="SendToEpades">
    <vt:lpwstr>OK - 2024/02/21 22:17</vt:lpwstr>
  </property>
</Properties>
</file>