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085E" w:rsidTr="00C85D0F">
        <w:trPr>
          <w:trHeight w:hRule="exact" w:val="1418"/>
        </w:trPr>
        <w:tc>
          <w:tcPr>
            <w:tcW w:w="6804" w:type="dxa"/>
            <w:shd w:val="clear" w:color="auto" w:fill="auto"/>
            <w:vAlign w:val="center"/>
          </w:tcPr>
          <w:p w:rsidR="00BA3E40" w:rsidRPr="008F50E8" w:rsidRDefault="009D6C58" w:rsidP="00C85D0F">
            <w:pPr>
              <w:pStyle w:val="EPName"/>
            </w:pPr>
            <w:r>
              <w:t>Parlament Ewropew</w:t>
            </w:r>
          </w:p>
          <w:p w:rsidR="00BA3E40" w:rsidRPr="008F50E8" w:rsidRDefault="009D6C58" w:rsidP="008F50E8">
            <w:pPr>
              <w:pStyle w:val="EPTerm"/>
            </w:pPr>
            <w:r>
              <w:t>2019-2024</w:t>
            </w:r>
          </w:p>
        </w:tc>
        <w:tc>
          <w:tcPr>
            <w:tcW w:w="2268" w:type="dxa"/>
            <w:shd w:val="clear" w:color="auto" w:fill="auto"/>
          </w:tcPr>
          <w:p w:rsidR="00BA3E40" w:rsidRPr="008F50E8" w:rsidRDefault="009D6C58" w:rsidP="00C85D0F">
            <w:pPr>
              <w:pStyle w:val="EPLogo"/>
            </w:pPr>
            <w:r w:rsidRPr="008F50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F50E8" w:rsidRDefault="00F24D40" w:rsidP="00F24D40">
      <w:pPr>
        <w:pStyle w:val="LineTop"/>
      </w:pPr>
    </w:p>
    <w:p w:rsidR="00F24D40" w:rsidRPr="008F50E8" w:rsidRDefault="009D6C58" w:rsidP="00F24D40">
      <w:pPr>
        <w:pStyle w:val="EPBody"/>
      </w:pPr>
      <w:r w:rsidRPr="009D6C58">
        <w:rPr>
          <w:rStyle w:val="HideTWBExt"/>
          <w:i w:val="0"/>
          <w:szCs w:val="24"/>
        </w:rPr>
        <w:t>&lt;Commission&gt;</w:t>
      </w:r>
      <w:r w:rsidRPr="009D6C58">
        <w:rPr>
          <w:rStyle w:val="HideTWBInt"/>
          <w:i w:val="0"/>
          <w:szCs w:val="24"/>
        </w:rPr>
        <w:t>{AFET}</w:t>
      </w:r>
      <w:r>
        <w:t>Kumitat għall-Affarijiet Barranin</w:t>
      </w:r>
      <w:r w:rsidRPr="009D6C58">
        <w:rPr>
          <w:rStyle w:val="HideTWBExt"/>
          <w:i w:val="0"/>
          <w:szCs w:val="24"/>
        </w:rPr>
        <w:t>&lt;/Commission&gt;</w:t>
      </w:r>
    </w:p>
    <w:p w:rsidR="00F24D40" w:rsidRPr="008F50E8" w:rsidRDefault="00F24D40" w:rsidP="00F24D40">
      <w:pPr>
        <w:pStyle w:val="LineBottom"/>
      </w:pPr>
    </w:p>
    <w:p w:rsidR="00DB56E4" w:rsidRPr="008F50E8" w:rsidRDefault="009D6C58" w:rsidP="00DB56E4">
      <w:pPr>
        <w:pStyle w:val="CoverReference"/>
      </w:pPr>
      <w:r w:rsidRPr="009D6C58">
        <w:rPr>
          <w:rStyle w:val="HideTWBExt"/>
          <w:b w:val="0"/>
          <w:szCs w:val="24"/>
        </w:rPr>
        <w:t>&lt;RefProc&gt;</w:t>
      </w:r>
      <w:r>
        <w:t>2023/0441</w:t>
      </w:r>
      <w:r w:rsidRPr="009D6C58">
        <w:rPr>
          <w:rStyle w:val="HideTWBExt"/>
          <w:b w:val="0"/>
          <w:szCs w:val="24"/>
        </w:rPr>
        <w:t>&lt;/RefProc&gt;&lt;RefTypeProc&gt;</w:t>
      </w:r>
      <w:r>
        <w:t>(CNS)</w:t>
      </w:r>
      <w:r w:rsidRPr="009D6C58">
        <w:rPr>
          <w:rStyle w:val="HideTWBExt"/>
          <w:b w:val="0"/>
          <w:szCs w:val="24"/>
        </w:rPr>
        <w:t>&lt;/RefTypeProc&gt;</w:t>
      </w:r>
    </w:p>
    <w:p w:rsidR="00DB56E4" w:rsidRPr="008F50E8" w:rsidRDefault="009D6C58" w:rsidP="00DB56E4">
      <w:pPr>
        <w:pStyle w:val="CoverDate"/>
      </w:pPr>
      <w:r w:rsidRPr="009D6C58">
        <w:rPr>
          <w:rStyle w:val="HideTWBExt"/>
        </w:rPr>
        <w:t>&lt;Date&gt;</w:t>
      </w:r>
      <w:r w:rsidRPr="009D6C58">
        <w:rPr>
          <w:rStyle w:val="HideTWBInt"/>
        </w:rPr>
        <w:t>{21/03/2024}</w:t>
      </w:r>
      <w:r>
        <w:t>21.3.2024</w:t>
      </w:r>
      <w:r w:rsidRPr="009D6C58">
        <w:rPr>
          <w:rStyle w:val="HideTWBExt"/>
        </w:rPr>
        <w:t>&lt;/Date&gt;</w:t>
      </w:r>
    </w:p>
    <w:p w:rsidR="00DB56E4" w:rsidRPr="008F50E8" w:rsidRDefault="009D6C58" w:rsidP="00DB56E4">
      <w:pPr>
        <w:pStyle w:val="CoverDocType24a"/>
      </w:pPr>
      <w:r w:rsidRPr="009D6C58">
        <w:rPr>
          <w:rStyle w:val="HideTWBExt"/>
          <w:b w:val="0"/>
          <w:szCs w:val="24"/>
        </w:rPr>
        <w:t>&lt;TitreType&gt;</w:t>
      </w:r>
      <w:r>
        <w:t>OPINJONI</w:t>
      </w:r>
      <w:r w:rsidRPr="009D6C58">
        <w:rPr>
          <w:rStyle w:val="HideTWBExt"/>
          <w:b w:val="0"/>
          <w:szCs w:val="24"/>
        </w:rPr>
        <w:t>&lt;/TitreType&gt;</w:t>
      </w:r>
    </w:p>
    <w:p w:rsidR="00DB56E4" w:rsidRPr="008F50E8" w:rsidRDefault="009D6C58" w:rsidP="00DB56E4">
      <w:pPr>
        <w:pStyle w:val="CoverNormal24a"/>
      </w:pPr>
      <w:r w:rsidRPr="009D6C58">
        <w:rPr>
          <w:rStyle w:val="HideTWBExt"/>
        </w:rPr>
        <w:t>&lt;CommissionResp&gt;</w:t>
      </w:r>
      <w:r>
        <w:t xml:space="preserve">tal-Kumitat </w:t>
      </w:r>
      <w:r>
        <w:t>għall-Affarijiet Barranin</w:t>
      </w:r>
      <w:r w:rsidRPr="009D6C58">
        <w:rPr>
          <w:rStyle w:val="HideTWBExt"/>
        </w:rPr>
        <w:t>&lt;/CommissionResp&gt;</w:t>
      </w:r>
    </w:p>
    <w:p w:rsidR="00DB56E4" w:rsidRPr="008F50E8" w:rsidRDefault="009D6C58" w:rsidP="00DB56E4">
      <w:pPr>
        <w:pStyle w:val="CoverNormal24a"/>
      </w:pPr>
      <w:r w:rsidRPr="009D6C58">
        <w:rPr>
          <w:rStyle w:val="HideTWBExt"/>
        </w:rPr>
        <w:t>&lt;CommissionInt&gt;</w:t>
      </w:r>
      <w:r>
        <w:t>għall-Kumitat għal-Libertajiet Ċivili, il-Ġustizzja u l-Intern</w:t>
      </w:r>
      <w:r w:rsidRPr="009D6C58">
        <w:rPr>
          <w:rStyle w:val="HideTWBExt"/>
        </w:rPr>
        <w:t>&lt;/CommissionInt&gt;</w:t>
      </w:r>
    </w:p>
    <w:p w:rsidR="008F50E8" w:rsidRPr="008F50E8" w:rsidRDefault="009D6C58" w:rsidP="008F50E8">
      <w:pPr>
        <w:pStyle w:val="CoverNormal"/>
      </w:pPr>
      <w:r w:rsidRPr="009D6C58">
        <w:rPr>
          <w:rStyle w:val="HideTWBExt"/>
        </w:rPr>
        <w:t>&lt;Titre&gt;</w:t>
      </w:r>
      <w:r>
        <w:t>dwar il-proposta għal direttiva tal-Kunsill li temenda d-Direttiva (UE) 2015/637 dwar il-miżuri ta’ koordinazzjo</w:t>
      </w:r>
      <w:r>
        <w:t>ni u kooperazzjoni biex tiġi ffaċilitata l-protezzjoni konsulari għal ċittadini mhux rappreżentati tal-Unjoni f’pajjiżi terzi u d-Direttiva (UE) 2019/997 li tistabbilixxi Dokument Provviżorju tal-Ivvjaġġar tal-UE</w:t>
      </w:r>
      <w:r w:rsidRPr="009D6C58">
        <w:rPr>
          <w:rStyle w:val="HideTWBExt"/>
        </w:rPr>
        <w:t>&lt;/Titre&gt;</w:t>
      </w:r>
    </w:p>
    <w:p w:rsidR="00DB56E4" w:rsidRPr="008F50E8" w:rsidRDefault="009D6C58" w:rsidP="008F50E8">
      <w:pPr>
        <w:pStyle w:val="CoverNormal24a"/>
      </w:pPr>
      <w:r w:rsidRPr="009D6C58">
        <w:rPr>
          <w:rStyle w:val="HideTWBExt"/>
        </w:rPr>
        <w:t>&lt;DocRef&gt;</w:t>
      </w:r>
      <w:r>
        <w:t>(COM(2023)930 – C9</w:t>
      </w:r>
      <w:r>
        <w:noBreakHyphen/>
      </w:r>
      <w:r>
        <w:t>0015/2024 – 2023/0441(CNS))</w:t>
      </w:r>
      <w:r w:rsidRPr="009D6C58">
        <w:rPr>
          <w:rStyle w:val="HideTWBExt"/>
        </w:rPr>
        <w:t>&lt;/DocRef&gt;</w:t>
      </w:r>
    </w:p>
    <w:p w:rsidR="008F50E8" w:rsidRPr="008F50E8" w:rsidRDefault="009D6C58" w:rsidP="008F50E8">
      <w:pPr>
        <w:pStyle w:val="CoverNormal24a"/>
      </w:pPr>
      <w:r>
        <w:t xml:space="preserve">Rapporteur għal opinjoni (*): </w:t>
      </w:r>
      <w:r w:rsidRPr="009D6C58">
        <w:rPr>
          <w:rStyle w:val="HideTWBExt"/>
        </w:rPr>
        <w:t>&lt;Depute&gt;</w:t>
      </w:r>
      <w:r>
        <w:t>Nacho Sánchez Amor</w:t>
      </w:r>
      <w:r w:rsidRPr="009D6C58">
        <w:rPr>
          <w:rStyle w:val="HideTWBExt"/>
        </w:rPr>
        <w:t>&lt;/Depute&gt;</w:t>
      </w:r>
    </w:p>
    <w:p w:rsidR="00DB56E4" w:rsidRPr="008F50E8" w:rsidRDefault="009D6C58" w:rsidP="008F50E8">
      <w:pPr>
        <w:pStyle w:val="CoverNormal24a"/>
      </w:pPr>
      <w:r>
        <w:t>(*)</w:t>
      </w:r>
      <w:r>
        <w:tab/>
        <w:t>Kumitat assoċjat – Artikolu 57 tar-Regoli ta’ Proċedura</w:t>
      </w:r>
    </w:p>
    <w:p w:rsidR="00487596" w:rsidRPr="008F50E8" w:rsidRDefault="00487596" w:rsidP="00487596">
      <w:pPr>
        <w:pStyle w:val="CoverNormal"/>
      </w:pPr>
    </w:p>
    <w:p w:rsidR="00DB56E4" w:rsidRPr="008F50E8" w:rsidRDefault="009D6C58" w:rsidP="0004474F">
      <w:pPr>
        <w:tabs>
          <w:tab w:val="center" w:pos="4677"/>
        </w:tabs>
      </w:pPr>
      <w:r>
        <w:br w:type="page"/>
      </w:r>
      <w:r>
        <w:lastRenderedPageBreak/>
        <w:t>PA_Legam</w:t>
      </w:r>
    </w:p>
    <w:p w:rsidR="00DB56E4" w:rsidRPr="008F50E8" w:rsidRDefault="009D6C58" w:rsidP="00DB56E4">
      <w:pPr>
        <w:pStyle w:val="PageHeadingNotTOC"/>
      </w:pPr>
      <w:r>
        <w:br w:type="page"/>
      </w:r>
      <w:r>
        <w:lastRenderedPageBreak/>
        <w:t>ĠUSTIFIKAZZJONI QASIRA</w:t>
      </w:r>
    </w:p>
    <w:p w:rsidR="008F50E8" w:rsidRPr="008F50E8" w:rsidRDefault="009D6C58" w:rsidP="008F50E8">
      <w:pPr>
        <w:pStyle w:val="Normal12a"/>
        <w:rPr>
          <w:bCs/>
        </w:rPr>
      </w:pPr>
      <w:r>
        <w:t>Il-proposta tal-Kummissjoni tippreved</w:t>
      </w:r>
      <w:r>
        <w:t>i estensjoni sostanzjali tar-rwol u l-attivitajiet tas-Servizz Ewropew għall-Azzjoni Esterna (SEAE) u tad-Delegazzjonijiet tal-Unjoni Ewropea, inklużi dispożizzjonijiet ġodda u emendati dwar it-tħejjija u r-rispons għall-kriżijiet barra mill-Unjoni Ewropea</w:t>
      </w:r>
      <w:r>
        <w:t>.</w:t>
      </w:r>
    </w:p>
    <w:p w:rsidR="008F50E8" w:rsidRPr="008F50E8" w:rsidRDefault="009D6C58" w:rsidP="008F50E8">
      <w:pPr>
        <w:pStyle w:val="Normal12a"/>
        <w:rPr>
          <w:bCs/>
        </w:rPr>
      </w:pPr>
      <w:r>
        <w:t>F’konformità mal-punt I.3 tal-Anness VI tar-Regoli ta’ Proċedura (RP), is-sorveljanza tas-SEAE u d-diversi servizzi tiegħu, inklużi l-organizzazzjoni u l-funzjonament tad-Delegazzjonijiet tal-UE u ċ-Ċentru ta’ Rispons għall-Kriżijiet tas-SEAE, jaqgħu taħ</w:t>
      </w:r>
      <w:r>
        <w:t>t il-kompetenza esklużiva tal-Kumitat għall-Affarijiet Barranin (AFET). Il-ħidma tad-Delegazzjonijiet tal-UE tkopri wkoll l-implimentazzjoni tad-dritt taċ-ċittadini tal-Unjoni għall-protezzjoni fit-territorju ta’ pajjiżi terzi kif imsemmi fl-Artikolu 35 ta</w:t>
      </w:r>
      <w:r>
        <w:t>t-Trattat dwar l-Unjoni Ewropea.</w:t>
      </w:r>
    </w:p>
    <w:p w:rsidR="008F50E8" w:rsidRPr="008F50E8" w:rsidRDefault="009D6C58" w:rsidP="008F50E8">
      <w:pPr>
        <w:pStyle w:val="Normal12a"/>
        <w:rPr>
          <w:bCs/>
        </w:rPr>
      </w:pPr>
      <w:r>
        <w:t>L-organizzazzjoni u l-funzjonament tas-SEAE, id-Delegazzjonijiet tal-UE u l-istrutturi ta’ Rispons għall-Kriżijiet huma stabbiliti fid-Deċiżjoni tal-Kunsill 2010/427/UE tas-26 ta’ Lulju 2010, li l-Kumitat AFET huwa kompeten</w:t>
      </w:r>
      <w:r>
        <w:t>ti għaliha. Il-Boxxla Strateġika għas-Sigurtà u d-Difiża tal-2022, li hija wkoll kompetenza tal-Kumitat AFET, nediet rieżami tal-mekkaniżmi tas-SEAE ta’ rispons għall-kriżijiet, inkluż fost l-oħrajn l-appoġġ konsulari u s-sigurtà fuq il-post.</w:t>
      </w:r>
    </w:p>
    <w:p w:rsidR="008F50E8" w:rsidRPr="008F50E8" w:rsidRDefault="009D6C58" w:rsidP="008F50E8">
      <w:pPr>
        <w:pStyle w:val="Normal12a"/>
        <w:rPr>
          <w:bCs/>
        </w:rPr>
      </w:pPr>
      <w:r>
        <w:t xml:space="preserve">Fil-15 ta’ </w:t>
      </w:r>
      <w:r>
        <w:t>Marzu 2023, il-Parlament adotta Rakkomandazzjoni tal-PESK immexxija mill-Kumitat AFET li tqis il-funzjonament tas-SEAE u għal UE aktar b’saħħitha fid-dinja (2021/2065(INI)). Dan ikopri firxa wiesgħa ta’ kwistjonijiet tas-SEAE, inkluż l-appoġġ liċ-Ċentru ta</w:t>
      </w:r>
      <w:r>
        <w:t>l-UE ta’ Rispons għall-Kriżijiet (CRC) fil-koordinazzjoni tar-rispons tal-ambaxxati u tad-delegazzjonijiet tal-UE u tal-Istati Membri u s-servizzi li joffru liċ-ċittadini tal-UE fi żminijiet ta’ kriżi.</w:t>
      </w:r>
    </w:p>
    <w:p w:rsidR="00DB56E4" w:rsidRPr="008F50E8" w:rsidRDefault="009D6C58" w:rsidP="008F50E8">
      <w:pPr>
        <w:pStyle w:val="Normal12a"/>
      </w:pPr>
      <w:r>
        <w:t xml:space="preserve">Il-proposta tal-Kummissjoni tpoġġi r-rwol tas-SEAE (u </w:t>
      </w:r>
      <w:r>
        <w:t>l-istrutturi tiegħu tal-ġestjoni tal-kriżijiet u d-Delegazzjonijiet tal-UE) fuq livell ġdid ta’ involviment, b’tali mod li l-protezzjoni konsulari ssir marbuta mar-rwol tal-politika estera, ta’ sigurtà u ta’ difiża tas-SEAE, kull meta d-deċiżjonijiet iridu</w:t>
      </w:r>
      <w:r>
        <w:t xml:space="preserve"> jittieħdu abbażi ta’ valutazzjonijiet, kuntatti ma’ pajjiżi terzi, l-użu ta’ assi militari u elementi oħra tipikament tal-PESK/PSDK.</w:t>
      </w:r>
    </w:p>
    <w:p w:rsidR="00DB56E4" w:rsidRPr="008F50E8" w:rsidRDefault="009D6C58" w:rsidP="00DB56E4">
      <w:pPr>
        <w:pStyle w:val="AmHeadingPA"/>
      </w:pPr>
      <w:r>
        <w:t>EMENDI</w:t>
      </w:r>
    </w:p>
    <w:p w:rsidR="00DB56E4" w:rsidRPr="008F50E8" w:rsidRDefault="009D6C58" w:rsidP="001E3AC4">
      <w:pPr>
        <w:pStyle w:val="Normal12a"/>
      </w:pPr>
      <w:bookmarkStart w:id="0" w:name="IntroA"/>
      <w:r>
        <w:t>Il-Kumitat għall-Affarijiet Barranin jistieden lill-Kumitat għal-Libertajiet Ċivili, il-Ġustizzja u l-</w:t>
      </w:r>
      <w:r>
        <w:t>Intern, bħala l-kumitat responsabbli, sabiex jieħu inkunsiderazzjoni l-emendi li ġejjin fir-rapport:</w:t>
      </w:r>
    </w:p>
    <w:p w:rsidR="009D6C58" w:rsidRPr="009D6C58" w:rsidRDefault="009D6C58" w:rsidP="008F50E8">
      <w:pPr>
        <w:pStyle w:val="AmNumberTabs"/>
        <w:rPr>
          <w:rStyle w:val="HideTWBExt"/>
          <w:b w:val="0"/>
        </w:rPr>
      </w:pPr>
      <w:bookmarkStart w:id="1" w:name="EndB"/>
      <w:bookmarkEnd w:id="0"/>
      <w:r w:rsidRPr="009D6C58">
        <w:rPr>
          <w:rStyle w:val="HideTWBExt"/>
          <w:b w:val="0"/>
        </w:rPr>
        <w:t>&lt;</w:t>
      </w:r>
      <w:r w:rsidRPr="009D6C58">
        <w:rPr>
          <w:rStyle w:val="HideTWBExt"/>
          <w:b w:val="0"/>
        </w:rPr>
        <w:t>RepeatBlock-AmendB&gt;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1a (ġdida)</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9D6C58" w:rsidP="008B0592">
            <w:pPr>
              <w:pStyle w:val="Normal6a"/>
            </w:pPr>
            <w:r>
              <w:rPr>
                <w:b/>
                <w:i/>
              </w:rPr>
              <w:t>(1a)</w:t>
            </w:r>
            <w:r>
              <w:tab/>
            </w:r>
            <w:r>
              <w:rPr>
                <w:b/>
                <w:i/>
              </w:rPr>
              <w:t>Il-kamp ta’ applikazzjoni tad-Direttiva (UE) 2015/637 jenħtieġ li jiġi estiż ukoll lil hinn miċ-ċittadini tal-UE. F’dan is-sens, ir-rifuġjati rikonoxxuti u l-apolidi u persuni oħrajn li ma għandhom iċ-ċittadinanza ta’ ebda pajjiż, li jirrisjedu fi S</w:t>
            </w:r>
            <w:r>
              <w:rPr>
                <w:b/>
                <w:i/>
              </w:rPr>
              <w:t>tat Membru u jkunu fil-pussess ta’ dokument tal-ivvjaġġar maħruġ minn tali Stat Membru jenħtieġ li jkunu intitolati għall-protezzjoni konsulari, fl-istess kundizzjonijiet bħaċ-ċittadini mhux rappreżentati, jekk l-Istat Membru ta’ residenza mhuwiex rappreże</w:t>
            </w:r>
            <w:r>
              <w:rPr>
                <w:b/>
                <w:i/>
              </w:rPr>
              <w:t>ntat minn awtorità diplomatika jew konsulari.</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2</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2</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(2)</w:t>
            </w:r>
            <w:r>
              <w:tab/>
              <w:t xml:space="preserve">Il-kriżijiet li jirriżultaw f’talbiet </w:t>
            </w:r>
            <w:r>
              <w:t>għall-protezzjoni konsulari qegħdin jiżdiedu fl-għadd u fl-iskala tagħhom. Il-pandemija tal-COVID-19, il-kriżi fl-Afganistan, il-gwerra ta’ aggressjoni tar-Russja kontra l-Ukrajna, il-kunflitt fis-Sudan, ir-ripatrijazzjonijiet mill-Iżrael u minn Gaża u kri</w:t>
            </w:r>
            <w:r>
              <w:t>żijiet simili oħrajn pprovdew kuntest biex jiġu identifikati l-lakuni u biex issir riflessjoni dwar kif għandu jiġi ffaċilitat aktar id-dritt taċ-ċittadini tal-Unjoni għall-protezzjoni konsulari. B’riżultat tat-tagħlimiet minn dawk l-esperjenzi, u sabiex j</w:t>
            </w:r>
            <w:r>
              <w:t xml:space="preserve">iġu ssimplifikati l-proċeduri għaċ-ċittadini u għall-awtoritajiet konsulari, ir-regoli u l-proċeduri tad-Direttiva (UE) 2015/637 jenħtieġ li jiġu ċċarati u ssimplifikati sabiex tittejjeb l-effettività tal-għoti ta’ protezzjoni konsulari liċ-ċittadini mhux </w:t>
            </w:r>
            <w:r>
              <w:t xml:space="preserve">rappreżentati tal-Unjoni, b’mod partikolari f’sitwazzjonijiet ta’ kriżi. Jenħtieġ li jsir l-aħjar użu mir-riżorsi disponibbli fil-livell tal-Istati Membri u tal-Unjoni, kemm lokalment f’pajjiżi terzi kif ukoll fil-livell </w:t>
            </w:r>
            <w:r>
              <w:lastRenderedPageBreak/>
              <w:t>kapitali.</w:t>
            </w:r>
          </w:p>
        </w:tc>
        <w:tc>
          <w:tcPr>
            <w:tcW w:w="4876" w:type="dxa"/>
          </w:tcPr>
          <w:p w:rsidR="008F50E8" w:rsidRPr="008F50E8" w:rsidRDefault="009D6C58" w:rsidP="008B0592">
            <w:pPr>
              <w:pStyle w:val="AmColumnHeading"/>
              <w:spacing w:after="120"/>
              <w:jc w:val="left"/>
            </w:pPr>
            <w:r>
              <w:rPr>
                <w:i w:val="0"/>
              </w:rPr>
              <w:lastRenderedPageBreak/>
              <w:t>(2)</w:t>
            </w:r>
            <w:r>
              <w:rPr>
                <w:i w:val="0"/>
              </w:rPr>
              <w:tab/>
              <w:t>Il-kriżijiet li jirri</w:t>
            </w:r>
            <w:r>
              <w:rPr>
                <w:i w:val="0"/>
              </w:rPr>
              <w:t>żultaw f’talbiet għall-protezzjoni konsulari qegħdin jiżdiedu fl-għadd u fl-iskala tagħhom. Il-pandemija tal-COVID-19, il-kriżi fl-Afganistan</w:t>
            </w:r>
            <w:r>
              <w:rPr>
                <w:b/>
              </w:rPr>
              <w:t xml:space="preserve"> fl-2021</w:t>
            </w:r>
            <w:r>
              <w:rPr>
                <w:i w:val="0"/>
              </w:rPr>
              <w:t>, il-gwerra ta’ aggressjoni tar-Russja kontra l-Ukrajna, il-kunflitt fis-Sudan, ir-ripatrijazzjonijiet mill</w:t>
            </w:r>
            <w:r>
              <w:rPr>
                <w:i w:val="0"/>
              </w:rPr>
              <w:t>-Iżrael u minn Gaża</w:t>
            </w:r>
            <w:r>
              <w:rPr>
                <w:b/>
              </w:rPr>
              <w:t>, id-diversi kriżijiet umanitarji u d-diżastri naturali u dawk ikkawżati mill-bniedem</w:t>
            </w:r>
            <w:r>
              <w:rPr>
                <w:i w:val="0"/>
              </w:rPr>
              <w:t xml:space="preserve"> u kriżijiet simili oħrajn pprovdew kuntest biex jiġu identifikati l-lakuni u biex issir riflessjoni dwar kif għandu jiġi ffaċilitat aktar id-dritt taċ-</w:t>
            </w:r>
            <w:r>
              <w:rPr>
                <w:i w:val="0"/>
              </w:rPr>
              <w:t>ċittadini tal-Unjoni għall-protezzjoni konsulari</w:t>
            </w:r>
            <w:r>
              <w:rPr>
                <w:b/>
              </w:rPr>
              <w:t>.</w:t>
            </w:r>
            <w:r>
              <w:rPr>
                <w:b/>
              </w:rPr>
              <w:t xml:space="preserve"> </w:t>
            </w:r>
            <w:r>
              <w:rPr>
                <w:b/>
              </w:rPr>
              <w:t>Il-kapaċità tal-UE li tirrispondi għal dawn id-diversi kriżijiet li għaddejjin bħalissa jenħtieġ li tissaħħaħ, tindirizza kwalunkwe nuqqas u ssaħħaħ it-tħejjija, il-ġbir ta’ informazzjoni u l-kapaċità tat-t</w:t>
            </w:r>
            <w:r>
              <w:rPr>
                <w:b/>
              </w:rPr>
              <w:t>eħid ta’ deċiżjonijiet tagħna qabel u matul il-kriżijiet</w:t>
            </w:r>
            <w:r>
              <w:rPr>
                <w:b/>
              </w:rPr>
              <w:t>.</w:t>
            </w:r>
            <w:r>
              <w:t xml:space="preserve"> </w:t>
            </w:r>
            <w:r>
              <w:rPr>
                <w:i w:val="0"/>
              </w:rPr>
              <w:t xml:space="preserve">B’riżultat tat-tagħlimiet minn dawk l-esperjenzi, u sabiex jiġu ssimplifikati l-proċeduri għaċ-ċittadini u għall-awtoritajiet konsulari, ir-regoli u l-proċeduri tad-Direttiva (UE) 2015/637 jenħtieġ </w:t>
            </w:r>
            <w:r>
              <w:rPr>
                <w:i w:val="0"/>
              </w:rPr>
              <w:t xml:space="preserve">li jiġu ċċarati u ssimplifikati </w:t>
            </w:r>
            <w:r>
              <w:rPr>
                <w:i w:val="0"/>
              </w:rPr>
              <w:lastRenderedPageBreak/>
              <w:t>sabiex tittejjeb l-effettività tal-għoti ta’ protezzjoni konsulari liċ-ċittadini mhux rappreżentati tal-Unjoni, b’mod partikolari f’sitwazzjonijiet ta’ kriżi. Jenħtieġ li jsir l-aħjar użu mir-riżorsi disponibbli fil-livell t</w:t>
            </w:r>
            <w:r>
              <w:rPr>
                <w:i w:val="0"/>
              </w:rPr>
              <w:t>al-Istati Membri u tal-Unjoni, kemm lokalment f’pajjiżi terzi kif ukoll fil-livell kapitali.</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3</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4</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(4)</w:t>
            </w:r>
            <w:r>
              <w:tab/>
            </w:r>
            <w:r>
              <w:t>Sabiex tittejjeb iċ-ċertezza legali għall-awtoritajiet konsulari u għaċ-ċittadini, huwa xieraq li jiġu stabbiliti kriterji aktar dettaljati li jgħinu fil-valutazzjoni ta’ jekk ċittadin tal-Unjoni għandux jitqies bħala mhux rappreżentat u għalhekk eliġibbli</w:t>
            </w:r>
            <w:r>
              <w:t xml:space="preserve"> li jirċievi protezzjoni konsulari mill-Istat Membru li l-awtoritajiet konsulari tiegħu jkunu ġew avviċinati. Dawk il-kriterji jenħtieġ li jkunu </w:t>
            </w:r>
            <w:r>
              <w:rPr>
                <w:b/>
                <w:i/>
              </w:rPr>
              <w:t>flessibbli</w:t>
            </w:r>
            <w:r>
              <w:t xml:space="preserve"> biżżejjed u applikati fid-dawl taċ-ċirkostanzi lokali, bħall-faċilità tal-ivvjaġġar jew is-sitwazzjo</w:t>
            </w:r>
            <w:r>
              <w:t>ni tas-sigurtà fil-pajjiż terz ikkonċernat. F’dan il-kuntest, l-aċċessibbiltà u l-prossimità jenħtieġ li jibqgħu kunsiderazzjonijiet importanti.</w:t>
            </w:r>
          </w:p>
        </w:tc>
        <w:tc>
          <w:tcPr>
            <w:tcW w:w="4876" w:type="dxa"/>
          </w:tcPr>
          <w:p w:rsidR="008F50E8" w:rsidRPr="008F50E8" w:rsidRDefault="009D6C58" w:rsidP="008B0592">
            <w:pPr>
              <w:pStyle w:val="AmColumnHeading"/>
              <w:spacing w:after="120"/>
              <w:jc w:val="left"/>
            </w:pPr>
            <w:r>
              <w:rPr>
                <w:i w:val="0"/>
              </w:rPr>
              <w:t>(4)</w:t>
            </w:r>
            <w:r>
              <w:rPr>
                <w:i w:val="0"/>
              </w:rPr>
              <w:tab/>
              <w:t>Sabiex tittejjeb iċ-ċertezza legali għall-awtoritajiet konsulari u għaċ-ċittadini, huwa xieraq li jiġu stab</w:t>
            </w:r>
            <w:r>
              <w:rPr>
                <w:i w:val="0"/>
              </w:rPr>
              <w:t>biliti kriterji aktar dettaljati li jgħinu fil-valutazzjoni ta’ jekk ċittadin tal-Unjoni għandux jitqies bħala mhux rappreżentat u għalhekk eliġibbli li jirċievi protezzjoni konsulari mill-Istat Membru li l-awtoritajiet konsulari tiegħu jkunu ġew avviċinat</w:t>
            </w:r>
            <w:r>
              <w:rPr>
                <w:i w:val="0"/>
              </w:rPr>
              <w:t xml:space="preserve">i. Dawk il-kriterji jenħtieġ li jkunu </w:t>
            </w:r>
            <w:r>
              <w:rPr>
                <w:b/>
              </w:rPr>
              <w:t>pragmatiċi</w:t>
            </w:r>
            <w:r>
              <w:rPr>
                <w:i w:val="0"/>
              </w:rPr>
              <w:t xml:space="preserve"> biżżejjed</w:t>
            </w:r>
            <w:r>
              <w:rPr>
                <w:b/>
              </w:rPr>
              <w:t>, flessibbli</w:t>
            </w:r>
            <w:r>
              <w:rPr>
                <w:i w:val="0"/>
              </w:rPr>
              <w:t xml:space="preserve"> u applikati fid-dawl taċ-ċirkostanzi lokali, bħall-faċilità tal-ivvjaġġar jew is-sitwazzjoni tas-sigurtà fil-pajjiż terz ikkonċernat. F’dan il-kuntest, l-aċċessibbiltà u l-prossimità je</w:t>
            </w:r>
            <w:r>
              <w:rPr>
                <w:i w:val="0"/>
              </w:rPr>
              <w:t>nħtieġ li jibqgħu kunsiderazzjonijiet importanti.</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4</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10</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(10)</w:t>
            </w:r>
            <w:r>
              <w:tab/>
              <w:t xml:space="preserve">Meta sitwazzjoni ta’ kriżi tirriżulta </w:t>
            </w:r>
            <w:r>
              <w:t xml:space="preserve">f’għadd kbir ta’ applikazzjonijiet għall-protezzjoni konsulari, l-ambaxxati u l-konsulati tal-Istati Membri rappreżentati fil-pajjiż terz ikkonċernat jenħtieġ li jingħataw il-possibbiltà li jaqblu li jqassmu </w:t>
            </w:r>
            <w:r>
              <w:lastRenderedPageBreak/>
              <w:t>l-applikazzjonijiet abbażi tal-kapaċità disponib</w:t>
            </w:r>
            <w:r>
              <w:t xml:space="preserve">bli bil-għan li jsir l-aħjar użu minnha. Għal dak il-għan, dawn </w:t>
            </w:r>
            <w:r>
              <w:rPr>
                <w:b/>
                <w:i/>
              </w:rPr>
              <w:t>jistgħu</w:t>
            </w:r>
            <w:r>
              <w:t xml:space="preserve"> jiġu assistiti mid-delegazzjonijiet tal-Unjoni.</w:t>
            </w:r>
          </w:p>
        </w:tc>
        <w:tc>
          <w:tcPr>
            <w:tcW w:w="4876" w:type="dxa"/>
          </w:tcPr>
          <w:p w:rsidR="008F50E8" w:rsidRPr="008F50E8" w:rsidRDefault="009D6C58" w:rsidP="008B0592">
            <w:pPr>
              <w:pStyle w:val="Normal6a"/>
            </w:pPr>
            <w:r>
              <w:lastRenderedPageBreak/>
              <w:t>(10)</w:t>
            </w:r>
            <w:r>
              <w:tab/>
              <w:t>Meta sitwazzjoni ta’ kriżi tirriżulta f’għadd kbir ta’ applikazzjonijiet għall-protezzjoni konsulari, l-ambaxxati u l-konsulati tal</w:t>
            </w:r>
            <w:r>
              <w:t xml:space="preserve">-Istati Membri rappreżentati fil-pajjiż terz ikkonċernat jenħtieġ li jingħataw il-possibbiltà li jaqblu li jqassmu </w:t>
            </w:r>
            <w:r>
              <w:lastRenderedPageBreak/>
              <w:t xml:space="preserve">l-applikazzjonijiet abbażi tal-kapaċità disponibbli bil-għan li jsir l-aħjar użu minnha. Għal dak il-għan, dawn </w:t>
            </w:r>
            <w:r>
              <w:rPr>
                <w:b/>
                <w:i/>
              </w:rPr>
              <w:t>jenħtieġ li</w:t>
            </w:r>
            <w:r>
              <w:t xml:space="preserve"> jiġu assistiti mi</w:t>
            </w:r>
            <w:r>
              <w:t>d-delegazzjonijiet tal-Unjoni.</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5</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19</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(19)</w:t>
            </w:r>
            <w:r>
              <w:tab/>
              <w:t xml:space="preserve">Sabiex tiġi żgurata t-tħejjija rigward kriżijiet konsulari </w:t>
            </w:r>
            <w:r>
              <w:t>possibbli li jirrikjedu l-għoti ta’ għajnuna lil ċittadini mhux rappreżentati, jenħtieġ li l-kooperazzjoni konsulari lokali fost l-Istati Membri u d-delegazzjonijiet tal-Unjoni f’pajjiżi terzi tinkludi skambji dwar kwistjonijiet rilevanti għal tali ċittadi</w:t>
            </w:r>
            <w:r>
              <w:t>ni, inklużi s-sigurtà u s-sikurezza tagħhom, l-istabbiliment ta’ pjanijiet ta’ kontinġenza konsulari konġunti u l-organizzazzjoni ta’ eżerċizzji konsulari. F’dan il-kuntest, jista’ jkun partikolarment rilevanti li l-awtoritajiet konsulari tal-Istati Membri</w:t>
            </w:r>
            <w:r>
              <w:t xml:space="preserve"> mhux rappreżentati jiġu inklużi f’tali kooperazzjoni konsulari lokali meta jkunu qed jiġu kkoordinati t-tħejjija u r-rispons konsulari għall-kriżijiet.</w:t>
            </w:r>
          </w:p>
        </w:tc>
        <w:tc>
          <w:tcPr>
            <w:tcW w:w="4876" w:type="dxa"/>
          </w:tcPr>
          <w:p w:rsidR="008F50E8" w:rsidRPr="008F50E8" w:rsidRDefault="009D6C58" w:rsidP="008B0592">
            <w:pPr>
              <w:pStyle w:val="Normal6a"/>
            </w:pPr>
            <w:r>
              <w:t>(19)</w:t>
            </w:r>
            <w:r>
              <w:tab/>
              <w:t>Sabiex tiġi żgurata t-tħejjija rigward kriżijiet konsulari possibbli li jirrikjedu l-għoti ta’ għa</w:t>
            </w:r>
            <w:r>
              <w:t>jnuna lil ċittadini mhux rappreżentati</w:t>
            </w:r>
            <w:r>
              <w:rPr>
                <w:b/>
                <w:i/>
              </w:rPr>
              <w:t xml:space="preserve"> – inklużi diżastri naturali, inkwiet politiku jew attakki terroristiċi – </w:t>
            </w:r>
            <w:r>
              <w:t>, jenħtieġ li l-kooperazzjoni konsulari lokali fost l-Istati Membri u d-delegazzjonijiet tal-Unjoni f’pajjiżi terzi tinkludi skambji dwar kwistj</w:t>
            </w:r>
            <w:r>
              <w:t>onijiet rilevanti għal tali ċittadini, inklużi s-sigurtà u s-sikurezza tagħhom, l-istabbiliment ta’ pjanijiet ta’ kontinġenza konsulari konġunti</w:t>
            </w:r>
            <w:r>
              <w:rPr>
                <w:b/>
                <w:i/>
              </w:rPr>
              <w:t xml:space="preserve"> u mekkaniżmi għal rispons rapidu,</w:t>
            </w:r>
            <w:r>
              <w:t xml:space="preserve"> u l-organizzazzjoni ta’ eżerċizzji konsulari. F’dan il-kuntest, jista’ jkun p</w:t>
            </w:r>
            <w:r>
              <w:t>artikolarment rilevanti li l-awtoritajiet konsulari tal-Istati Membri mhux rappreżentati jiġu inklużi f’tali kooperazzjoni konsulari lokali meta jkunu qed jiġu kkoordinati t-tħejjija u r-rispons konsulari għall-kriżijiet.</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6</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23</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(23)</w:t>
            </w:r>
            <w:r>
              <w:tab/>
              <w:t>Il-pjanijiet ta’ kontinġenza konsulari konġunti jenħtieġ li jqisu wkoll, fejn xieraq, ir-rwoli u r-responsabbiltajiet tal-Ista</w:t>
            </w:r>
            <w:r>
              <w:t xml:space="preserve">ti Mexxejja, jiġifieri, l-Istati Membri rappreżentati f’pajjiż terz partikolari li </w:t>
            </w:r>
            <w:r>
              <w:lastRenderedPageBreak/>
              <w:t>huma responsabbli għall-koordinazzjoni u t-tmexxija tal-għajnuna lil ċittadini mhux rappreżentati waqt il-kriżijiet, biex tiġi żgurata l-koordinazzjoni effettiva tal-għajnun</w:t>
            </w:r>
            <w:r>
              <w:t>a konsulari. Barra minn hekk, jenħtieġ li l-pjanijiet ta’ kontinġenza konsulari konġunti jiġu evalwati kull sena fil-kuntest ta’ eżerċizzji konsulari biex tiġi żgurata r-rilevanza kontinwa tagħhom. Fl-istess ħin, jenħtieġ li l-pjanijiet ta’ kontinġenza kon</w:t>
            </w:r>
            <w:r>
              <w:t>sulari konġunti ma jinftiehmux li qed jissostitwixxu l-pjanijiet nazzjonali eżistenti tal-Istati Membri għall-kriżijiet jew li qed jaffettwaw ir-responsabbiltà tagħhom li jipprovdu għajnuna konsulari lin-nazzjonali tagħhom stess.</w:t>
            </w:r>
          </w:p>
        </w:tc>
        <w:tc>
          <w:tcPr>
            <w:tcW w:w="4876" w:type="dxa"/>
          </w:tcPr>
          <w:p w:rsidR="008F50E8" w:rsidRPr="008F50E8" w:rsidRDefault="009D6C58" w:rsidP="008B0592">
            <w:pPr>
              <w:pStyle w:val="Normal6a"/>
            </w:pPr>
            <w:r>
              <w:lastRenderedPageBreak/>
              <w:t>(23)</w:t>
            </w:r>
            <w:r>
              <w:tab/>
              <w:t>Il-pjanijiet ta’ kont</w:t>
            </w:r>
            <w:r>
              <w:t xml:space="preserve">inġenza konsulari konġunti jenħtieġ li jqisu wkoll, fejn xieraq, ir-rwoli u r-responsabbiltajiet tal-Istati Mexxejja, jiġifieri, l-Istati Membri rappreżentati f’pajjiż terz partikolari li </w:t>
            </w:r>
            <w:r>
              <w:lastRenderedPageBreak/>
              <w:t>huma responsabbli għall-koordinazzjoni u t-tmexxija tal-għajnuna lil</w:t>
            </w:r>
            <w:r>
              <w:t xml:space="preserve"> ċittadini mhux rappreżentati waqt il-kriżijiet, biex tiġi żgurata l-koordinazzjoni effettiva tal-għajnuna konsulari. Barra minn hekk, jenħtieġ li l-pjanijiet ta’ kontinġenza konsulari konġunti jiġu evalwati kull sena</w:t>
            </w:r>
            <w:r>
              <w:rPr>
                <w:b/>
                <w:i/>
              </w:rPr>
              <w:t>, jew aktar ta’ spiss jekk ikun hemm ċi</w:t>
            </w:r>
            <w:r>
              <w:rPr>
                <w:b/>
                <w:i/>
              </w:rPr>
              <w:t>rkostanzi straordinarji li jirrikjedu dan,</w:t>
            </w:r>
            <w:r>
              <w:t xml:space="preserve"> fil-kuntest ta’ eżerċizzji konsulari biex tiġi żgurata r-rilevanza kontinwa tagħhom. Fl-istess ħin, jenħtieġ li l-pjanijiet ta’ kontinġenza konsulari konġunti ma jinftiehmux li qed jissostitwixxu l-pjanijiet nazzj</w:t>
            </w:r>
            <w:r>
              <w:t>onali eżistenti tal-Istati Membri għall-kriżijiet jew li qed jaffettwaw ir-responsabbiltà tagħhom li jipprovdu għajnuna konsulari lin-nazzjonali tagħhom stess</w:t>
            </w:r>
            <w:r>
              <w:rPr>
                <w:b/>
                <w:i/>
              </w:rPr>
              <w:t>, iżda bħala approċċ koerenti li jista’ jgħin ukoll fil-koordinazzjoni tal-isforzi tal-Istati Memb</w:t>
            </w:r>
            <w:r>
              <w:rPr>
                <w:b/>
                <w:i/>
              </w:rPr>
              <w:t>ri rappreżentati</w:t>
            </w:r>
            <w:r>
              <w:t>.</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7</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25</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(25)</w:t>
            </w:r>
            <w:r>
              <w:tab/>
              <w:t xml:space="preserve">Il-pariri dwar l-ivvjaġġar, jiġifieri, l-informazzjoni maħruġa mill-Istati </w:t>
            </w:r>
            <w:r>
              <w:t>Membri dwar is-sikurezza relattiva tal-ivvjaġġar lejn pajjiżi terzi speċifiċi</w:t>
            </w:r>
            <w:r>
              <w:rPr>
                <w:b/>
                <w:i/>
              </w:rPr>
              <w:t>,</w:t>
            </w:r>
            <w:r>
              <w:t xml:space="preserve"> jippermettu lill-vjaġġaturi jieħdu deċiżjoni infurmata dwar destinazzjoni partikolari tal-ivvjaġġar, inklużi pajjiżi terzi fejn l-Istat Membru tan-nazzjonalità tagħhom ma jkunx </w:t>
            </w:r>
            <w:r>
              <w:t xml:space="preserve">rappreżentat. Filwaqt li l-ħruġ ta’ pariri dwar l-ivvjaġġar huwa r-responsabbiltà tal-Istati Membri, huwa xieraq li dawn jikkoordinaw fuq dak is-suġġett, b’mod partikolari fil-kuntest ta’ </w:t>
            </w:r>
            <w:r>
              <w:rPr>
                <w:b/>
                <w:i/>
              </w:rPr>
              <w:t>sitwazzjonijiet ta’ kriżi</w:t>
            </w:r>
            <w:r>
              <w:t>, bil-ħsieb li tiġi żgurata</w:t>
            </w:r>
            <w:r>
              <w:rPr>
                <w:b/>
                <w:i/>
              </w:rPr>
              <w:t>, sa fejn ikun p</w:t>
            </w:r>
            <w:r>
              <w:rPr>
                <w:b/>
                <w:i/>
              </w:rPr>
              <w:t>ossibbli,</w:t>
            </w:r>
            <w:r>
              <w:t xml:space="preserve"> konsistenza fil-livell tal-pariri mogħtija. Dan jista’ jinkludi qbil dwar struttura komuni tal-livelli ta’ riskju indikati fil-pariri dwar l-ivvjaġġar, bl-użu tal-pjattaforma sigura tas-</w:t>
            </w:r>
            <w:r>
              <w:lastRenderedPageBreak/>
              <w:t xml:space="preserve">SEAE. </w:t>
            </w:r>
            <w:r>
              <w:rPr>
                <w:b/>
                <w:i/>
              </w:rPr>
              <w:t>Fejn ikun possibbli,</w:t>
            </w:r>
            <w:r>
              <w:t xml:space="preserve"> tali koordinazzjoni jenħtieġ li s</w:t>
            </w:r>
            <w:r>
              <w:t>seħħ fi stadju bikri meta l-Istati Membri jkunu qed jippjanaw li jibdlu l-livell tal-parir tagħhom dwar l-ivvjaġġar.</w:t>
            </w:r>
          </w:p>
        </w:tc>
        <w:tc>
          <w:tcPr>
            <w:tcW w:w="4876" w:type="dxa"/>
          </w:tcPr>
          <w:p w:rsidR="008F50E8" w:rsidRPr="008F50E8" w:rsidRDefault="009D6C58" w:rsidP="008B0592">
            <w:pPr>
              <w:pStyle w:val="AmColumnHeading"/>
              <w:spacing w:after="120"/>
              <w:jc w:val="left"/>
            </w:pPr>
            <w:r>
              <w:rPr>
                <w:i w:val="0"/>
              </w:rPr>
              <w:lastRenderedPageBreak/>
              <w:t>(25)</w:t>
            </w:r>
            <w:r>
              <w:rPr>
                <w:i w:val="0"/>
              </w:rPr>
              <w:tab/>
              <w:t>Il-pariri dwar l-ivvjaġġar, jiġifieri, l-informazzjoni maħruġa mill-Istati Membri dwar is-sikurezza relattiva tal-ivvjaġġar lejn pajji</w:t>
            </w:r>
            <w:r>
              <w:rPr>
                <w:i w:val="0"/>
              </w:rPr>
              <w:t>żi terzi speċifiċi</w:t>
            </w:r>
            <w:r>
              <w:rPr>
                <w:b/>
              </w:rPr>
              <w:t xml:space="preserve"> jenħtieġ li jiġi aġġornat regolarment sabiex</w:t>
            </w:r>
            <w:r>
              <w:rPr>
                <w:i w:val="0"/>
              </w:rPr>
              <w:t xml:space="preserve"> jippermettu lill-vjaġġaturi jieħdu deċiżjoni infurmata dwar destinazzjoni partikolari tal-ivvjaġġar, inklużi pajjiżi terzi fejn l-Istat Membru tan-nazzjonalità tagħhom ma jkunx rappreżentat. F</w:t>
            </w:r>
            <w:r>
              <w:rPr>
                <w:i w:val="0"/>
              </w:rPr>
              <w:t xml:space="preserve">ilwaqt li l-ħruġ ta’ pariri dwar l-ivvjaġġar huwa r-responsabbiltà tal-Istati Membri, huwa xieraq li dawn jikkoordinaw fuq dak is-suġġett, b’mod partikolari fil-kuntest ta’ </w:t>
            </w:r>
            <w:r>
              <w:rPr>
                <w:b/>
              </w:rPr>
              <w:t>kriżijiet</w:t>
            </w:r>
            <w:r>
              <w:rPr>
                <w:i w:val="0"/>
              </w:rPr>
              <w:t>, bil-ħsieb li tiġi żgurata konsistenza fil-livell tal-pariri mogħtija. Da</w:t>
            </w:r>
            <w:r>
              <w:rPr>
                <w:i w:val="0"/>
              </w:rPr>
              <w:t>n jista’ jinkludi qbil dwar struttura komuni tal-livelli ta’ riskju indikati fil-pariri dwar l-ivvjaġġar, bl-użu tal-</w:t>
            </w:r>
            <w:r>
              <w:rPr>
                <w:i w:val="0"/>
              </w:rPr>
              <w:lastRenderedPageBreak/>
              <w:t>pjattaforma sigura tas-SEAE.</w:t>
            </w:r>
            <w:r>
              <w:t xml:space="preserve"> </w:t>
            </w:r>
            <w:r>
              <w:rPr>
                <w:i w:val="0"/>
              </w:rPr>
              <w:t>Tali koordinazzjoni jenħtieġ li sseħħ fi stadju bikri meta l-Istati Membri jkunu qed jippjanaw li jibdlu l-liv</w:t>
            </w:r>
            <w:r>
              <w:rPr>
                <w:i w:val="0"/>
              </w:rPr>
              <w:t>ell tal-parir tagħhom dwar l-ivvjaġġar.</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8</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Premessa 26</w:t>
      </w:r>
      <w:r w:rsidRPr="009D6C58">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(26) Il-koordinazzjoni effiċjenti hija vitali biex jiġi </w:t>
            </w:r>
            <w:r>
              <w:t xml:space="preserve">żgurat rispons effettiv għall-kriżijiet. Sabiex tiġi żgurata tali koordinazzjoni, l-Istati Membri </w:t>
            </w:r>
            <w:r>
              <w:rPr>
                <w:b/>
                <w:i/>
              </w:rPr>
              <w:t>jenħtieġ li</w:t>
            </w:r>
            <w:r>
              <w:t xml:space="preserve"> jiġu appoġġati miċ-Ċentru ta’ Rispons għall-Kriżijiet tas-SEAE u miċ-Ċentru ta’ Koordinazzjoni tar-Reazzjoni f’każ ta’ Emerġenza tal-Kummissjoni. </w:t>
            </w:r>
            <w:r>
              <w:t>Ir-rispons koordinat tal-Unjoni għall-kriżijiet huwa partikolarment importanti f’każijiet li jirrikjedu l-evakwazzjonijiet biex jiġi żgurat li l-appoġġ disponibbli jiġi pprovdut b’mod effiċjenti, u li jsir l-aħjar użu mill-kapaċitajiet ta’ evakwazzjoni dis</w:t>
            </w:r>
            <w:r>
              <w:t>ponibbli. Għal dik ir-raġuni, jenħtieġ li l-informazzjoni dwar il-kapaċità ta’ evakwazzjoni disponibbli tiġi kondiviża fil-ħin, inkluż fil-każ ta’ operazzjonijiet ta’ salvataġġ u ta’ evakwazzjoni bl-użu ta’ assi militari.</w:t>
            </w:r>
          </w:p>
        </w:tc>
        <w:tc>
          <w:tcPr>
            <w:tcW w:w="4876" w:type="dxa"/>
          </w:tcPr>
          <w:p w:rsidR="008F50E8" w:rsidRPr="008F50E8" w:rsidRDefault="009D6C58" w:rsidP="008B0592">
            <w:pPr>
              <w:pStyle w:val="Normal6a"/>
              <w:rPr>
                <w:szCs w:val="24"/>
              </w:rPr>
            </w:pPr>
            <w:r>
              <w:t xml:space="preserve">(26) Il-koordinazzjoni effiċjenti </w:t>
            </w:r>
            <w:r>
              <w:t xml:space="preserve">hija vitali biex jiġi żgurat rispons effettiv għall-kriżijiet. Sabiex tiġi żgurata tali koordinazzjoni, l-Istati Membri </w:t>
            </w:r>
            <w:r>
              <w:rPr>
                <w:b/>
                <w:i/>
              </w:rPr>
              <w:t>għandhom</w:t>
            </w:r>
            <w:r>
              <w:t xml:space="preserve"> jiġu appoġġati</w:t>
            </w:r>
            <w:r>
              <w:rPr>
                <w:b/>
                <w:i/>
              </w:rPr>
              <w:t xml:space="preserve"> u jirċievu informazzjoni fil-ħin</w:t>
            </w:r>
            <w:r>
              <w:t xml:space="preserve"> miċ-Ċentru ta’ Rispons għall-Kriżijiet tas-SEAE u miċ-Ċentru ta’ Koordinazzjoni</w:t>
            </w:r>
            <w:r>
              <w:t xml:space="preserve"> tar-Reazzjoni f’każ ta’ Emerġenza tal-Kummissjoni. Ir-rispons koordinat tal-Unjoni għall-kriżijiet huwa partikolarment importanti f’każijiet li jirrikjedu l-evakwazzjonijiet biex jiġi żgurat li l-appoġġ disponibbli jiġi pprovdut </w:t>
            </w:r>
            <w:r>
              <w:rPr>
                <w:b/>
                <w:i/>
              </w:rPr>
              <w:t xml:space="preserve">malajr u </w:t>
            </w:r>
            <w:r>
              <w:t>b’mod effiċjenti,</w:t>
            </w:r>
            <w:r>
              <w:t xml:space="preserve"> u li jsir l-aħjar użu mill-kapaċitajiet ta’ evakwazzjoni disponibbli. Għal dik ir-raġuni, jenħtieġ li l-informazzjoni </w:t>
            </w:r>
            <w:r>
              <w:rPr>
                <w:b/>
                <w:i/>
              </w:rPr>
              <w:t xml:space="preserve">diretta u rilevanti, pereżempju </w:t>
            </w:r>
            <w:r>
              <w:t xml:space="preserve">dwar il-kapaċità ta’ evakwazzjoni disponibbli tiġi kondiviża fil-ħin, </w:t>
            </w:r>
            <w:r>
              <w:rPr>
                <w:b/>
                <w:i/>
              </w:rPr>
              <w:t>sabiex ikun possibbli rispons rapid</w:t>
            </w:r>
            <w:r>
              <w:rPr>
                <w:b/>
                <w:i/>
              </w:rPr>
              <w:t xml:space="preserve">u u effettiv, </w:t>
            </w:r>
            <w:r>
              <w:t xml:space="preserve">inkluż fil-każ ta’ operazzjonijiet ta’ salvataġġ u ta’ evakwazzjoni bl-użu ta’ assi militari. </w:t>
            </w:r>
            <w:r>
              <w:rPr>
                <w:b/>
                <w:i/>
              </w:rPr>
              <w:t>F’dan ir-rigward, is-SEAE jenħtieġ li jkun jista’ jirċievi informazzjoni awtomatika u kontinwa mill-Istati Membri dwar is-sitwazzjoni f’pajjiżi terz</w:t>
            </w:r>
            <w:r>
              <w:rPr>
                <w:b/>
                <w:i/>
              </w:rPr>
              <w:t>i.</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9</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28</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lastRenderedPageBreak/>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(28)</w:t>
            </w:r>
            <w:r>
              <w:tab/>
              <w:t xml:space="preserve">It-timijiet konsulari konġunti jenħtieġ li jkunu bbażati fuq </w:t>
            </w:r>
            <w:r>
              <w:rPr>
                <w:b/>
                <w:i/>
              </w:rPr>
              <w:t xml:space="preserve">il-prinċipji ta’ </w:t>
            </w:r>
            <w:r>
              <w:rPr>
                <w:b/>
                <w:i/>
              </w:rPr>
              <w:t>parteċipazzjoni volontarja, solidarjetà</w:t>
            </w:r>
            <w:r>
              <w:t xml:space="preserve"> mal-Istati Membri rappreżentati, ugwaljanza fir-rigward ta’ deċiżjonijiet dwar strutturi ta’ ħidma interni, sempliċità fir-rigward tal-kompożizzjoni tat-timijiet, kondiviżjoni tal-kostijiet – ma’ kull Stat Membru, is</w:t>
            </w:r>
            <w:r>
              <w:t>tituzzjoni jew korp tal-Unjoni li jkollu l-kostijiet operazzjonali tiegħu stess – flessibbiltà, viżibbiltà tar-rispons koordinat tal-Unjoni u ftuħ għall-pajjiżi terzi rilevanti.</w:t>
            </w:r>
          </w:p>
        </w:tc>
        <w:tc>
          <w:tcPr>
            <w:tcW w:w="4876" w:type="dxa"/>
          </w:tcPr>
          <w:p w:rsidR="008F50E8" w:rsidRPr="008F50E8" w:rsidRDefault="009D6C58" w:rsidP="008B0592">
            <w:pPr>
              <w:pStyle w:val="AmColumnHeading"/>
              <w:spacing w:after="120"/>
              <w:jc w:val="left"/>
            </w:pPr>
            <w:r>
              <w:rPr>
                <w:i w:val="0"/>
              </w:rPr>
              <w:t>(28)</w:t>
            </w:r>
            <w:r>
              <w:rPr>
                <w:i w:val="0"/>
              </w:rPr>
              <w:tab/>
              <w:t xml:space="preserve">It-timijiet konsulari konġunti jenħtieġ li jkunu bbażati fuq </w:t>
            </w:r>
            <w:r>
              <w:rPr>
                <w:b/>
              </w:rPr>
              <w:t>il-prinċipju</w:t>
            </w:r>
            <w:r>
              <w:rPr>
                <w:b/>
              </w:rPr>
              <w:t xml:space="preserve"> tas-solidarjetà</w:t>
            </w:r>
            <w:r>
              <w:rPr>
                <w:i w:val="0"/>
              </w:rPr>
              <w:t xml:space="preserve"> mal-Istati Membri rappreżentati, ugwaljanza fir-rigward ta’ deċiżjonijiet dwar strutturi ta’ ħidma interni, sempliċità fir-rigward tal-kompożizzjoni tat-timijiet, kondiviżjoni tal-kostijiet – ma’ kull Stat Membru, istituzzjoni jew korp tal</w:t>
            </w:r>
            <w:r>
              <w:rPr>
                <w:i w:val="0"/>
              </w:rPr>
              <w:t>-Unjoni li jkollu l-kostijiet operazzjonali tiegħu stess – flessibbiltà, viżibbiltà tar-rispons koordinat tal-Unjoni u ftuħ għall-pajjiżi terzi rilevanti.</w:t>
            </w:r>
          </w:p>
        </w:tc>
      </w:tr>
    </w:tbl>
    <w:p w:rsidR="008F50E8" w:rsidRPr="009D6C58" w:rsidRDefault="009D6C58" w:rsidP="008F50E8">
      <w:pPr>
        <w:rPr>
          <w:rStyle w:val="HideTWBExt"/>
        </w:rPr>
      </w:pPr>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10</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30</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(30)</w:t>
            </w:r>
            <w:r>
              <w:tab/>
              <w:t>Sabiex jingħata appoġġ liċ-ċittadini tal-Unjoni fil-bżonn, huwa importanti li dawn jingħataw informazzjoni affidabbli dwar kif jagħmlu użu mill-għajnuna konsulari f’pajjiżi terzi. Is-serviz</w:t>
            </w:r>
            <w:r>
              <w:t xml:space="preserve">zi tal-Kummissjoni u s-SEAE jenħtieġ li </w:t>
            </w:r>
            <w:r>
              <w:rPr>
                <w:b/>
                <w:i/>
              </w:rPr>
              <w:t>jikkontribwixxu għal dak l-objettiv billi jxerrdu</w:t>
            </w:r>
            <w:r>
              <w:t xml:space="preserve"> informazzjoni rilevanti, inkluża informazzjoni</w:t>
            </w:r>
            <w:r>
              <w:rPr>
                <w:b/>
                <w:i/>
              </w:rPr>
              <w:t xml:space="preserve"> li għandha tiġi</w:t>
            </w:r>
            <w:r>
              <w:t xml:space="preserve"> pprovduta mill-Istati Membri fuq in-networks konsulari tagħhom u minn pajjiżi terzi meta dawn ikunu kko</w:t>
            </w:r>
            <w:r>
              <w:t>nkludew arranġamenti prattiċi dwar il-kondiviżjoni tar-responsabbiltajiet għall-għoti ta’ protezzjoni konsulari liċ-ċittadini mhux rappreżentati. Sabiex jiġi ffaċilitat l-ipproċessar ta’ tali informazzjoni, jenħtieġ li din tiġi pprovduta f’format li jinqar</w:t>
            </w:r>
            <w:r>
              <w:t>a minn magna.</w:t>
            </w:r>
          </w:p>
        </w:tc>
        <w:tc>
          <w:tcPr>
            <w:tcW w:w="4876" w:type="dxa"/>
          </w:tcPr>
          <w:p w:rsidR="008F50E8" w:rsidRPr="008F50E8" w:rsidRDefault="009D6C58" w:rsidP="008B0592">
            <w:pPr>
              <w:pStyle w:val="AmColumnHeading"/>
              <w:spacing w:after="120"/>
              <w:jc w:val="left"/>
            </w:pPr>
            <w:r>
              <w:rPr>
                <w:i w:val="0"/>
              </w:rPr>
              <w:t>(30)</w:t>
            </w:r>
            <w:r>
              <w:rPr>
                <w:i w:val="0"/>
              </w:rPr>
              <w:tab/>
              <w:t xml:space="preserve">Sabiex jingħata appoġġ liċ-ċittadini tal-Unjoni fil-bżonn, huwa importanti li dawn jingħataw informazzjoni affidabbli </w:t>
            </w:r>
            <w:r>
              <w:rPr>
                <w:b/>
              </w:rPr>
              <w:t xml:space="preserve">u faċilment aċċessibbli </w:t>
            </w:r>
            <w:r>
              <w:rPr>
                <w:i w:val="0"/>
              </w:rPr>
              <w:t>dwar kif jagħmlu użu mill-għajnuna konsulari f’pajjiżi terzi</w:t>
            </w:r>
            <w:r>
              <w:rPr>
                <w:b/>
              </w:rPr>
              <w:t>, inklużi għażliet ta’ kuntatt diġi</w:t>
            </w:r>
            <w:r>
              <w:rPr>
                <w:b/>
              </w:rPr>
              <w:t>tali</w:t>
            </w:r>
            <w:r>
              <w:rPr>
                <w:i w:val="0"/>
              </w:rPr>
              <w:t>.</w:t>
            </w:r>
            <w:r>
              <w:t xml:space="preserve"> </w:t>
            </w:r>
            <w:r>
              <w:rPr>
                <w:i w:val="0"/>
              </w:rPr>
              <w:t xml:space="preserve">Is-servizzi tal-Kummissjoni u s-SEAE jenħtieġ li </w:t>
            </w:r>
            <w:r>
              <w:rPr>
                <w:b/>
              </w:rPr>
              <w:t>jxerrdu, f’koordinazzjoni mill-qrib mal-Istati Membri,</w:t>
            </w:r>
            <w:r>
              <w:rPr>
                <w:i w:val="0"/>
              </w:rPr>
              <w:t xml:space="preserve"> informazzjoni rilevanti, inkluża informazzjoni pprovduta mill-Istati Membri fuq in-networks konsulari tagħhom u minn pajjiżi terzi meta dawn ikunu</w:t>
            </w:r>
            <w:r>
              <w:rPr>
                <w:i w:val="0"/>
              </w:rPr>
              <w:t xml:space="preserve"> kkonkludew arranġamenti prattiċi dwar il-kondiviżjoni tar-responsabbiltajiet għall-għoti ta’ protezzjoni konsulari liċ-ċittadini mhux rappreżentati. Sabiex jiġi ffaċilitat l-ipproċessar ta’ tali informazzjoni, jenħtieġ li din tiġi pprovduta f’format li ji</w:t>
            </w:r>
            <w:r>
              <w:rPr>
                <w:i w:val="0"/>
              </w:rPr>
              <w:t>nqara minn magna.</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bookmarkStart w:id="2" w:name="restart"/>
      <w:r w:rsidRPr="009D6C58">
        <w:rPr>
          <w:rStyle w:val="HideTWBExt"/>
          <w:b w:val="0"/>
          <w:szCs w:val="24"/>
        </w:rPr>
        <w:lastRenderedPageBreak/>
        <w:t>&lt;Amend&gt;</w:t>
      </w:r>
      <w:r>
        <w:t>Emenda</w:t>
      </w:r>
      <w:r>
        <w:tab/>
      </w:r>
      <w:r>
        <w:tab/>
      </w:r>
      <w:r w:rsidRPr="009D6C58">
        <w:rPr>
          <w:rStyle w:val="HideTWBExt"/>
          <w:b w:val="0"/>
          <w:szCs w:val="24"/>
        </w:rPr>
        <w:t>&lt;NumAm&gt;</w:t>
      </w:r>
      <w:r>
        <w:t>11</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Premessa 30a (ġdida)</w:t>
      </w:r>
      <w:r w:rsidRPr="009D6C58">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 </w:t>
            </w:r>
          </w:p>
        </w:tc>
        <w:tc>
          <w:tcPr>
            <w:tcW w:w="4876" w:type="dxa"/>
          </w:tcPr>
          <w:p w:rsidR="008F50E8" w:rsidRPr="008F50E8" w:rsidRDefault="009D6C58" w:rsidP="008B0592">
            <w:pPr>
              <w:pStyle w:val="Normal6a"/>
              <w:rPr>
                <w:szCs w:val="24"/>
              </w:rPr>
            </w:pPr>
            <w:r>
              <w:rPr>
                <w:b/>
                <w:i/>
              </w:rPr>
              <w:t>(30a)</w:t>
            </w:r>
            <w:r>
              <w:tab/>
            </w:r>
            <w:r>
              <w:rPr>
                <w:b/>
                <w:i/>
              </w:rPr>
              <w:t xml:space="preserve">L-Istati Membri u l-korpi rilevanti tal-UE għandhom jiżguraw </w:t>
            </w:r>
            <w:r>
              <w:rPr>
                <w:b/>
                <w:i/>
              </w:rPr>
              <w:t xml:space="preserve">li l-informazzjoni liċ-ċittadini dwar il-protezzjoni konsulari tkun aġġornata u faċilment aċċessibbli fuq il-pjattaformi diġitali, inklużi l-applikazzjonijiet mobbli, sabiex iċ-ċittadini tal-UE jkollhom aċċess rapidu u faċli għall-informazzjoni u l-kanali </w:t>
            </w:r>
            <w:r>
              <w:rPr>
                <w:b/>
                <w:i/>
              </w:rPr>
              <w:t>ta’ kuntatt fi kwalunkwe ħin. F’dan is-sens, jenħtieġ li jiġi stabbilit servizz tax-xandir sabiex iċ-ċittadini tal-UE jirċievu messaġġi kuntestwalizzati relatati mad-drittijiet tagħhom u kif jeżerċitawhom permezz ta’ notifiki istantanji meta jaslu f’pajjiż</w:t>
            </w:r>
            <w:r>
              <w:rPr>
                <w:b/>
                <w:i/>
              </w:rPr>
              <w:t>i terzi, u b’messaġġi ta’ twissija f’każ ta’ kriżi. Barra minn hekk, jenħtieġ li jiġi kkunsidrat portal konġunt tal-UE rivedut u mtejjeb għall-protezzjoni konsulari inkluż l-informazzjoni rilevanti kollha, l-istruzzjonijiet għal sitwazzjonijiet urġenti u l</w:t>
            </w:r>
            <w:r>
              <w:rPr>
                <w:b/>
                <w:i/>
              </w:rPr>
              <w:t>-informazzjoni ta’ kuntatt rilevanti għad-delegazzjonijiet tal-UE u l-istati konsulari f’pajjiżi terzi.</w:t>
            </w:r>
          </w:p>
        </w:tc>
      </w:tr>
    </w:tbl>
    <w:p w:rsidR="008F50E8" w:rsidRPr="008F50E8" w:rsidRDefault="009D6C58" w:rsidP="008F50E8">
      <w:r w:rsidRPr="009D6C58">
        <w:rPr>
          <w:rStyle w:val="HideTWBExt"/>
        </w:rPr>
        <w:t>&lt;/Amend&gt;</w:t>
      </w:r>
      <w:bookmarkEnd w:id="2"/>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12</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31</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(31)</w:t>
            </w:r>
            <w:r>
              <w:tab/>
              <w:t xml:space="preserve">L-Istati Membri jenħtieġ li jieħdu miżuri addizzjonali biex jikkontribwixxu aktar għas-sensibilizzazzjoni taċ-ċittadini tal-Unjoni dwar id-dritt tagħhom għall-protezzjoni konsulari, filwaqt li jqisu wkoll il-ħtiġijiet speċifiċi tal-persuni </w:t>
            </w:r>
            <w:r>
              <w:t>b’diżabilità. Minħabba li dan jinvolvi kostijiet limitati</w:t>
            </w:r>
            <w:r>
              <w:rPr>
                <w:b/>
                <w:i/>
              </w:rPr>
              <w:t xml:space="preserve"> għall-Istati Membri</w:t>
            </w:r>
            <w:r>
              <w:t xml:space="preserve">, </w:t>
            </w:r>
            <w:r>
              <w:rPr>
                <w:b/>
                <w:i/>
              </w:rPr>
              <w:t>mod wieħed possibbli biex dan isir ikun</w:t>
            </w:r>
            <w:r>
              <w:t xml:space="preserve"> li </w:t>
            </w:r>
            <w:r>
              <w:rPr>
                <w:b/>
                <w:i/>
              </w:rPr>
              <w:t>jiġi riprodott il-kliem</w:t>
            </w:r>
            <w:r>
              <w:t xml:space="preserve"> </w:t>
            </w:r>
            <w:r>
              <w:lastRenderedPageBreak/>
              <w:t>tal-Artikolu 23 tat-TFUE fil-passaporti maħruġa mill-Istati Membri bħala mod kif tissaħħaħ is-sensibilizzazzjo</w:t>
            </w:r>
            <w:r>
              <w:t>ni taċ-ċittadini dwar id-dritt għall-protezzjoni mill-awtoritajiet diplomatiċi u konsulari, kif diġà ġie rrakkomandat mir-Rakkomandazzjoni tal-Kummissjoni C(2007) 5841</w:t>
            </w:r>
            <w:r>
              <w:rPr>
                <w:vertAlign w:val="superscript"/>
              </w:rPr>
              <w:t>5</w:t>
            </w:r>
            <w:r>
              <w:t>. L-Istati Membri jistgħu jinkludu wkoll informazzjoni dwar id-dritt għall-protezzjoni k</w:t>
            </w:r>
            <w:r>
              <w:t xml:space="preserve">onsulari li jgawdu ċ-ċittadini mhux rappreżentati fil-pariri u fil-kampanji dwar l-ivvjaġġar relatati mal-għajnuna konsulari. Huma jistgħu jikkooperaw ukoll mal-fornituri tas-servizzi tat-trasport tal-passiġġieri u maċ-ċentri tat-trasport li joffru vjaġġi </w:t>
            </w:r>
            <w:r>
              <w:t>lejn pajjiżi terzi, pereżempju billi jistidnuhom iżidu informazzjoni rilevanti dwar id-dritt għall-protezzjoni konsulari mal-materjal ta’ informazzjoni magħmul disponibbli għall-klijenti.</w:t>
            </w:r>
          </w:p>
        </w:tc>
        <w:tc>
          <w:tcPr>
            <w:tcW w:w="4876" w:type="dxa"/>
          </w:tcPr>
          <w:p w:rsidR="008F50E8" w:rsidRPr="008F50E8" w:rsidRDefault="009D6C58" w:rsidP="008B0592">
            <w:pPr>
              <w:pStyle w:val="Normal6a"/>
            </w:pPr>
            <w:r>
              <w:lastRenderedPageBreak/>
              <w:t>(31)</w:t>
            </w:r>
            <w:r>
              <w:tab/>
              <w:t>L-Istati Membri jenħtieġ li jieħdu miżuri addizzjonali biex jik</w:t>
            </w:r>
            <w:r>
              <w:t xml:space="preserve">kontribwixxu aktar għas-sensibilizzazzjoni taċ-ċittadini tal-Unjoni dwar id-dritt tagħhom għall-protezzjoni konsulari, filwaqt li jqisu wkoll il-ħtiġijiet speċifiċi tal-persuni b’diżabilità. Minħabba li dan jinvolvi kostijiet limitati, </w:t>
            </w:r>
            <w:r>
              <w:rPr>
                <w:b/>
                <w:i/>
              </w:rPr>
              <w:t>l-Istati Membri jenħ</w:t>
            </w:r>
            <w:r>
              <w:rPr>
                <w:b/>
                <w:i/>
              </w:rPr>
              <w:t>tieġ</w:t>
            </w:r>
            <w:r>
              <w:t xml:space="preserve"> li </w:t>
            </w:r>
            <w:r>
              <w:rPr>
                <w:b/>
                <w:i/>
              </w:rPr>
              <w:t>jirriproduċu l-kliem</w:t>
            </w:r>
            <w:r>
              <w:t xml:space="preserve"> tal-Artikolu 23 tat-TFUE fil-</w:t>
            </w:r>
            <w:r>
              <w:lastRenderedPageBreak/>
              <w:t>passaporti maħruġa mill-Istati Membri bħala mod kif tissaħħaħ is-sensibilizzazzjoni taċ-ċittadini dwar id-dritt għall-protezzjoni mill-awtoritajiet diplomatiċi u konsulari, kif diġà ġie rrakkomandat</w:t>
            </w:r>
            <w:r>
              <w:t xml:space="preserve"> mir-Rakkomandazzjoni tal-Kummissjoni C(2007) 5841</w:t>
            </w:r>
            <w:r>
              <w:rPr>
                <w:vertAlign w:val="superscript"/>
              </w:rPr>
              <w:t>5</w:t>
            </w:r>
            <w:r>
              <w:t>. L-Istati Membri jistgħu jinkludu wkoll informazzjoni dwar id-dritt għall-protezzjoni konsulari li jgawdu ċ-ċittadini mhux rappreżentati fil-pariri u fil-kampanji dwar l-ivvjaġġar relatati mal-għajnuna ko</w:t>
            </w:r>
            <w:r>
              <w:t>nsulari. Huma jistgħu jikkooperaw ukoll mal-fornituri tas-servizzi tat-trasport tal-passiġġieri u maċ-ċentri tat-trasport li joffru vjaġġi lejn pajjiżi terzi, pereżempju billi jistidnuhom iżidu informazzjoni rilevanti dwar id-dritt għall-protezzjoni konsul</w:t>
            </w:r>
            <w:r>
              <w:t>ari mal-materjal ta’ informazzjoni magħmul disponibbli għall-klijenti.</w:t>
            </w:r>
          </w:p>
        </w:tc>
      </w:tr>
      <w:tr w:rsidR="0097085E" w:rsidTr="008B0592">
        <w:trPr>
          <w:jc w:val="center"/>
        </w:trPr>
        <w:tc>
          <w:tcPr>
            <w:tcW w:w="4876" w:type="dxa"/>
          </w:tcPr>
          <w:p w:rsidR="008F50E8" w:rsidRPr="008F50E8" w:rsidRDefault="009D6C58" w:rsidP="008B0592">
            <w:pPr>
              <w:pStyle w:val="Normal6a"/>
            </w:pPr>
            <w:r>
              <w:rPr>
                <w:b/>
                <w:i/>
              </w:rPr>
              <w:lastRenderedPageBreak/>
              <w:t>_________________</w:t>
            </w:r>
          </w:p>
        </w:tc>
        <w:tc>
          <w:tcPr>
            <w:tcW w:w="4876" w:type="dxa"/>
          </w:tcPr>
          <w:p w:rsidR="008F50E8" w:rsidRPr="008F50E8" w:rsidRDefault="009D6C58" w:rsidP="008B0592">
            <w:pPr>
              <w:pStyle w:val="Normal6a"/>
            </w:pPr>
            <w:r>
              <w:rPr>
                <w:b/>
                <w:i/>
              </w:rPr>
              <w:t>_________________</w:t>
            </w:r>
          </w:p>
        </w:tc>
      </w:tr>
      <w:tr w:rsidR="0097085E" w:rsidTr="008B0592">
        <w:trPr>
          <w:jc w:val="center"/>
        </w:trPr>
        <w:tc>
          <w:tcPr>
            <w:tcW w:w="4876" w:type="dxa"/>
          </w:tcPr>
          <w:p w:rsidR="008F50E8" w:rsidRPr="008F50E8" w:rsidRDefault="009D6C58" w:rsidP="008B0592">
            <w:pPr>
              <w:pStyle w:val="Normal6a"/>
            </w:pPr>
            <w:r>
              <w:rPr>
                <w:vertAlign w:val="superscript"/>
              </w:rPr>
              <w:t>5</w:t>
            </w:r>
            <w:r>
              <w:t xml:space="preserve"> Ir-Rakkomandazzjoni tal-Kummissjoni C(2007) 5841 tal-5 ta’ Diċembru 2007 dwar ir-riproduzzjoni tat-test tal-Artikolu 20 TKE fil-passaporti (ĠU L </w:t>
            </w:r>
            <w:r>
              <w:t>118, 6.5.2008, p. 30, ELI: http://data.europa.eu/eli/reco/2008/355/oj).</w:t>
            </w:r>
          </w:p>
        </w:tc>
        <w:tc>
          <w:tcPr>
            <w:tcW w:w="4876" w:type="dxa"/>
          </w:tcPr>
          <w:p w:rsidR="008F50E8" w:rsidRPr="008F50E8" w:rsidRDefault="009D6C58" w:rsidP="008B0592">
            <w:pPr>
              <w:pStyle w:val="Normal6a"/>
            </w:pPr>
            <w:r>
              <w:rPr>
                <w:vertAlign w:val="superscript"/>
              </w:rPr>
              <w:t>5</w:t>
            </w:r>
            <w:r>
              <w:t xml:space="preserve"> Ir-Rakkomandazzjoni tal-Kummissjoni C(2007) 5841 tal-5 ta’ Diċembru 2007 dwar ir-riproduzzjoni tat-test tal-Artikolu 20 TKE fil-passaporti (ĠU L 118, 6.5.2008, p. 30, ELI: http://dat</w:t>
            </w:r>
            <w:r>
              <w:t>a.europa.eu/eli/reco/2008/355/oj).</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13</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32</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(32)</w:t>
            </w:r>
            <w:r>
              <w:tab/>
              <w:t xml:space="preserve">Id-dispożizzjonijiet finanzjarji tad-Direttiva (UE) </w:t>
            </w:r>
            <w:r>
              <w:t>2015/637 jenħtieġ li jiġu adattati biex jissimplifikaw ir-rimborżi u jkomplu jiżguraw il-kondiviżjoni tal-piżijiet finanzjarji. B’mod partikolari, jenħtieġ li jkun possibbli għaċ-ċittadini mhux rappreżentati li jirrimborżaw direttament il-kostijiet, bl-ist</w:t>
            </w:r>
            <w:r>
              <w:t>ess kundizzjonijiet bħan-nazzjonali tal-Istat Membru li jassisti, għas-servizz ipprovdut minn dak l-Istat Membru biex jiġi evitat il-</w:t>
            </w:r>
            <w:r>
              <w:lastRenderedPageBreak/>
              <w:t>piż amministrattiv li jirriżulta meta jintalbu r-rimborżi mill-Istat Membru tan-nazzjonalità taċ-ċittadin. Barra minn hekk,</w:t>
            </w:r>
            <w:r>
              <w:t xml:space="preserve"> jenħtieġ li l-Istati Membri jitħallew ukoll jirrinunzjaw għall-ħlas ta’ tali kostijiet. Billi, f’ċerti sitwazzjonijiet, iċ-ċittadini mhux rappreżentati jistgħu ma jkunux kapaċi jħallsu meta jagħmlu t-talba għall-għajnuna, b’mod partikolari meta l-flus u l</w:t>
            </w:r>
            <w:r>
              <w:t>-mezzi tagħhom għall-aċċess għall-fondi jkunu nsterqu, huwa meħtieġ li jiġi previst li dawn jistgħu jintalbu jiffirmaw impenn li jħallsu lura mill-awtoritajiet konsulari tal-Istat Membru li jassisti. Fuq il-bażi ta’ tali impenn, l-awtoritajiet tal-Istat Me</w:t>
            </w:r>
            <w:r>
              <w:t xml:space="preserve">mbru li jassisti jistgħu jitolbu r-rimborż tal-kostijiet ladarba jkunu għaddew </w:t>
            </w:r>
            <w:r>
              <w:rPr>
                <w:b/>
                <w:i/>
              </w:rPr>
              <w:t>4 ġimgħat</w:t>
            </w:r>
            <w:r>
              <w:t xml:space="preserve"> minn meta tkun ġiet ipprovduta </w:t>
            </w:r>
            <w:r>
              <w:rPr>
                <w:b/>
                <w:i/>
              </w:rPr>
              <w:t>l-assistenza</w:t>
            </w:r>
            <w:r>
              <w:t>.</w:t>
            </w:r>
          </w:p>
        </w:tc>
        <w:tc>
          <w:tcPr>
            <w:tcW w:w="4876" w:type="dxa"/>
          </w:tcPr>
          <w:p w:rsidR="008F50E8" w:rsidRPr="008F50E8" w:rsidRDefault="009D6C58" w:rsidP="008B0592">
            <w:pPr>
              <w:pStyle w:val="Normal6a"/>
            </w:pPr>
            <w:r>
              <w:lastRenderedPageBreak/>
              <w:t>(32)</w:t>
            </w:r>
            <w:r>
              <w:tab/>
              <w:t>Id-dispożizzjonijiet finanzjarji tad-Direttiva (UE) 2015/637 jenħtieġ li jiġu adattati biex jissimplifikaw ir-rimborż</w:t>
            </w:r>
            <w:r>
              <w:t>i u jkomplu jiżguraw il-kondiviżjoni tal-piżijiet finanzjarji. B’mod partikolari, jenħtieġ li jkun possibbli għaċ-ċittadini mhux rappreżentati li jirrimborżaw direttament il-kostijiet, bl-istess kundizzjonijiet bħan-nazzjonali tal-Istat Membru li jassisti,</w:t>
            </w:r>
            <w:r>
              <w:t xml:space="preserve"> għas-servizz ipprovdut minn dak l-Istat Membru biex jiġi evitat il-</w:t>
            </w:r>
            <w:r>
              <w:lastRenderedPageBreak/>
              <w:t>piż amministrattiv li jirriżulta meta jintalbu r-rimborżi mill-Istat Membru tan-nazzjonalità taċ-ċittadin. Barra minn hekk, jenħtieġ li l-Istati Membri jitħallew ukoll jirrinunzjaw għall-ħ</w:t>
            </w:r>
            <w:r>
              <w:t>las ta’ tali kostijiet. Billi, f’ċerti sitwazzjonijiet, iċ-ċittadini mhux rappreżentati jistgħu ma jkunux kapaċi jħallsu meta jagħmlu t-talba għall-għajnuna, b’mod partikolari meta l-flus u l-mezzi tagħhom għall-aċċess għall-fondi jkunu nsterqu, huwa meħti</w:t>
            </w:r>
            <w:r>
              <w:t xml:space="preserve">eġ li jiġi previst li dawn jistgħu jintalbu jiffirmaw impenn li jħallsu lura mill-awtoritajiet konsulari tal-Istat Membru li jassisti. Fuq il-bażi ta’ tali impenn, l-awtoritajiet tal-Istat Membru li jassisti jistgħu jitolbu r-rimborż tal-kostijiet ladarba </w:t>
            </w:r>
            <w:r>
              <w:t xml:space="preserve">jkunu għaddew </w:t>
            </w:r>
            <w:r>
              <w:rPr>
                <w:b/>
                <w:i/>
              </w:rPr>
              <w:t>tliet xhur</w:t>
            </w:r>
            <w:r>
              <w:t xml:space="preserve"> minn meta tkun ġiet ipprovduta </w:t>
            </w:r>
            <w:r>
              <w:rPr>
                <w:b/>
                <w:i/>
              </w:rPr>
              <w:t>l-għajnuna</w:t>
            </w:r>
            <w:r>
              <w:t>.</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14</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Premessa 34a (ġdida)</w:t>
      </w:r>
      <w:r w:rsidRPr="009D6C58">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 </w:t>
            </w:r>
          </w:p>
        </w:tc>
        <w:tc>
          <w:tcPr>
            <w:tcW w:w="4876" w:type="dxa"/>
          </w:tcPr>
          <w:p w:rsidR="008F50E8" w:rsidRPr="008F50E8" w:rsidRDefault="009D6C58" w:rsidP="008B0592">
            <w:pPr>
              <w:pStyle w:val="Normal6a"/>
              <w:rPr>
                <w:szCs w:val="24"/>
              </w:rPr>
            </w:pPr>
            <w:r>
              <w:rPr>
                <w:b/>
                <w:i/>
              </w:rPr>
              <w:t>(34a)</w:t>
            </w:r>
            <w:r>
              <w:tab/>
            </w:r>
            <w:r>
              <w:rPr>
                <w:b/>
                <w:i/>
              </w:rPr>
              <w:t xml:space="preserve">Jenħtieġ li </w:t>
            </w:r>
            <w:r>
              <w:rPr>
                <w:b/>
                <w:i/>
              </w:rPr>
              <w:t>tingħata żieda xierqa fil-baġit u fir-riżorsi umani tas-SEAE, flimkien mad-dħul mir-rimborżi tal-Istati Membri, biex tiġi garantita l-eżekuzzjoni xierqa tar-responsabbiltajiet fl-għoti ta’ għajnuna u/jew protezzjoni liċ-ċittadini tal-UE. L-impatt ta’ kriżi</w:t>
            </w:r>
            <w:r>
              <w:rPr>
                <w:b/>
                <w:i/>
              </w:rPr>
              <w:t>jiet u kunflitti kontinwi madwar id-dinja jista’ jinvolvi r-riskju ta’ piż żejjed fuq il-protezzjoni konsulari u/jew l-għajnuna tal-Istati Membri, b’mod partikolari fi żminijiet ta’ kriżi kbira. Is-SEAE u d-Delegazzjonijiet tal-Unjoni, li assumew rwol dejj</w:t>
            </w:r>
            <w:r>
              <w:rPr>
                <w:b/>
                <w:i/>
              </w:rPr>
              <w:t>em akbar f’dan ir-rigward, kellhom rwol ċentrali ta’ koordinazzjoni fuq il-post.</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15</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Premessa 37a (ġdida)</w:t>
      </w:r>
      <w:r w:rsidRPr="009D6C5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lastRenderedPageBreak/>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9D6C58" w:rsidP="008B0592">
            <w:pPr>
              <w:pStyle w:val="AmColumnHeading"/>
              <w:spacing w:after="120"/>
              <w:jc w:val="left"/>
            </w:pPr>
            <w:r>
              <w:rPr>
                <w:b/>
              </w:rPr>
              <w:t>(37a)</w:t>
            </w:r>
            <w:r>
              <w:tab/>
            </w:r>
            <w:r>
              <w:rPr>
                <w:b/>
                <w:bCs/>
                <w:iCs/>
              </w:rPr>
              <w:t xml:space="preserve">Huwa importanti li fil-kuntest ta’ rispons għall-kriżijiet jitfakkar li l-“Boxxla Strateġika għas-Sigurtà u d-Difiża, approvata mill-Kunsill Ewropew fl-24 ta’ Marzu 2022, ippromulgat l-iżvilupp ta’ Kapaċità ta’ Skjerament Rapidu tal-UE, b’saħħa proġettata </w:t>
            </w:r>
            <w:r>
              <w:rPr>
                <w:b/>
                <w:bCs/>
                <w:iCs/>
              </w:rPr>
              <w:t>ta’ 5000 truppa, li għandha tintuża f’fażijiet differenti ta’ operazzjoni f’ambjent mhux permissiv, u li inizjalment se tiffoka fuq operazzjonijiet ta’ salvataġġ u ta’ evakwazzjoni bħala parti minn rispons koordinat għall-kriżijiet.</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16</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-1a (ġdid)</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4 – subparagrafu 1a (ġdid)</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w:t>
            </w:r>
            <w:r>
              <w:t>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9D6C58" w:rsidP="008B0592">
            <w:pPr>
              <w:pStyle w:val="Normal6a"/>
            </w:pPr>
            <w:r>
              <w:rPr>
                <w:b/>
                <w:i/>
              </w:rPr>
              <w:t>(-1a)</w:t>
            </w:r>
            <w:r>
              <w:tab/>
            </w:r>
            <w:r>
              <w:rPr>
                <w:b/>
                <w:i/>
              </w:rPr>
              <w:t>fl-Artikolu 4, jiżdied is-subparagrafu 1a li ġej:</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9D6C58" w:rsidP="008B0592">
            <w:pPr>
              <w:pStyle w:val="Normal6a"/>
            </w:pPr>
            <w:r>
              <w:rPr>
                <w:b/>
                <w:i/>
              </w:rPr>
              <w:t xml:space="preserve">“Ir-rifuġjati rikonoxxuti u l-apolidi u persuni oħrajn li ma għandhom iċ-ċittadinanza ta’ ebda pajjiż, li jirrisjedu fi Stat Membru u jkunu fil-pussess ta’ dokument tal-ivvjaġġar </w:t>
            </w:r>
            <w:r>
              <w:rPr>
                <w:b/>
                <w:i/>
              </w:rPr>
              <w:t>maħruġ minn tali Stat Membru, għandhom id-dritt għall-protezzjoni konsulari, fl-istess kundizzjonijiet bħaċ-ċittadini mhux rappreżentati, jekk l-Istat Membru ta’ residenza mhuwiex rappreżentat minn awtorità diplomatika jew konsulari.”</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w:t>
      </w:r>
      <w:r>
        <w:t>da</w:t>
      </w:r>
      <w:r>
        <w:tab/>
      </w:r>
      <w:r>
        <w:tab/>
      </w:r>
      <w:r w:rsidRPr="009D6C58">
        <w:rPr>
          <w:rStyle w:val="HideTWBExt"/>
          <w:b w:val="0"/>
          <w:szCs w:val="24"/>
        </w:rPr>
        <w:t>&lt;NumAm&gt;</w:t>
      </w:r>
      <w:r>
        <w:t>17</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1</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7 – paragrafu 4a (ġdid)</w:t>
      </w:r>
      <w:r w:rsidRPr="009D6C5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lastRenderedPageBreak/>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9D6C58" w:rsidP="008B0592">
            <w:pPr>
              <w:pStyle w:val="Normal6a"/>
            </w:pPr>
            <w:r>
              <w:rPr>
                <w:b/>
                <w:i/>
              </w:rPr>
              <w:t>(4a)</w:t>
            </w:r>
            <w:r>
              <w:rPr>
                <w:b/>
                <w:i/>
              </w:rPr>
              <w:tab/>
              <w:t>Meta jipprovdu protezzjoni konsulari lil ċittadini mhux rappreżentati, l-Istati Membri għandhom jieħdu kont tal-ħtiġijiet speċifiċi ta’ gruppi vulnerabbli u individwi f’riskju ta’ diskriminazzjoni għal kwalunkwe raġuni bħal dawk imsemmija fl-</w:t>
            </w:r>
            <w:r>
              <w:rPr>
                <w:b/>
                <w:i/>
              </w:rPr>
              <w:t>Artikolu 21 tal-Karta, jiġifieri s-sess, ir-razza, il-kulur, l-oriġini etnika jew soċjali, il-karatteristiċi ġenetiċi, il-lingwa, ir-reliġjon jew it-twemmin, l-opinjoni politika jew kwalunkwe opinjoni oħra, l-appartenenza għal minoranza nazzjonali, il-prop</w:t>
            </w:r>
            <w:r>
              <w:rPr>
                <w:b/>
                <w:i/>
              </w:rPr>
              <w:t>rjetà, it-twelid, id-diżabbiltà, l-età jew l-orjentazzjoni sesswali.”</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18</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4</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11 – paragrafu 2a (ġdid)</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 </w:t>
            </w:r>
          </w:p>
        </w:tc>
        <w:tc>
          <w:tcPr>
            <w:tcW w:w="4876" w:type="dxa"/>
          </w:tcPr>
          <w:p w:rsidR="008F50E8" w:rsidRPr="008F50E8" w:rsidRDefault="009D6C58" w:rsidP="008B0592">
            <w:pPr>
              <w:pStyle w:val="Normal6a"/>
              <w:rPr>
                <w:szCs w:val="24"/>
              </w:rPr>
            </w:pPr>
            <w:r>
              <w:rPr>
                <w:b/>
                <w:i/>
              </w:rPr>
              <w:t>(2a)</w:t>
            </w:r>
            <w:r>
              <w:tab/>
            </w:r>
            <w:r>
              <w:rPr>
                <w:b/>
                <w:i/>
              </w:rPr>
              <w:t>Is-SEAE u d-Delegazzjonijiet tal-Unjoni għandhom jiġu allokati r-riżorsi finanzjarji u umani meħtieġa biex ikopru l-kostijiet ġenerali u l-am</w:t>
            </w:r>
            <w:r>
              <w:rPr>
                <w:b/>
                <w:i/>
              </w:rPr>
              <w:t>mont ta’ xogħol amministrattiv orizzontali addizzjonali.</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19</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4</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 – paragrafu 1 – parti introduttorja</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1.</w:t>
            </w:r>
            <w:r>
              <w:tab/>
              <w:t>Fil-kuntest tal-kooperazzjoni konsulari lokali msemmija fl-Artikolu 12, l-Istati Membri u s-SEAE għandhom jistabbilixxu u jaqblu dwar pjan ta’ kontinġenza</w:t>
            </w:r>
            <w:r>
              <w:t xml:space="preserve"> konsulari konġunt għal kull </w:t>
            </w:r>
            <w:r>
              <w:lastRenderedPageBreak/>
              <w:t>pajjiż terz. Il-pjan ta’ kontinġenza konsulari konġunt għandu jiġi aġġornat kull sena u jkun fih:</w:t>
            </w:r>
          </w:p>
        </w:tc>
        <w:tc>
          <w:tcPr>
            <w:tcW w:w="4876" w:type="dxa"/>
          </w:tcPr>
          <w:p w:rsidR="008F50E8" w:rsidRPr="008F50E8" w:rsidRDefault="009D6C58" w:rsidP="008B0592">
            <w:pPr>
              <w:pStyle w:val="AmColumnHeading"/>
              <w:spacing w:after="120"/>
              <w:jc w:val="left"/>
            </w:pPr>
            <w:r>
              <w:rPr>
                <w:i w:val="0"/>
              </w:rPr>
              <w:lastRenderedPageBreak/>
              <w:t>1.</w:t>
            </w:r>
            <w:r>
              <w:rPr>
                <w:i w:val="0"/>
              </w:rPr>
              <w:tab/>
              <w:t>Fil-kuntest tal-kooperazzjoni konsulari lokali msemmija fl-Artikolu 12, l-Istati Membri u s-SEAE għandhom jistabbilixxu u jaqb</w:t>
            </w:r>
            <w:r>
              <w:rPr>
                <w:i w:val="0"/>
              </w:rPr>
              <w:t xml:space="preserve">lu dwar pjan ta’ kontinġenza konsulari konġunt għal kull </w:t>
            </w:r>
            <w:r>
              <w:rPr>
                <w:i w:val="0"/>
              </w:rPr>
              <w:lastRenderedPageBreak/>
              <w:t>pajjiż terz. Il-pjan ta’ kontinġenza konsulari konġunt għandu jiġi aġġornat kull sena</w:t>
            </w:r>
            <w:r>
              <w:rPr>
                <w:b/>
              </w:rPr>
              <w:t>, jew aktar ta’ spiss fil-każ ta’ ċirkostanzi straordinarji,</w:t>
            </w:r>
            <w:r>
              <w:rPr>
                <w:i w:val="0"/>
              </w:rPr>
              <w:t xml:space="preserve"> u jkun fih:</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20</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4</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 – paragrafu 1 – punt a</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(a)</w:t>
            </w:r>
            <w:r>
              <w:tab/>
            </w:r>
            <w:r>
              <w:t>analiżi tas-sitwazzjoni konsulari fil-pajjiż, inkluża ħarsa ġenerali lejn l-ambaxxati jew il-konsulati tal-Istati Membri, estimu tal-għadd ta’ ċittadini tal-Unjoni u fejn jinsabu, u valutazzjoni tar-riskju tal-aktar xenarji plawżibbli li jaffettwaw liċ-ċit</w:t>
            </w:r>
            <w:r>
              <w:t>tadini tal-Unjoni;</w:t>
            </w:r>
          </w:p>
        </w:tc>
        <w:tc>
          <w:tcPr>
            <w:tcW w:w="4876" w:type="dxa"/>
          </w:tcPr>
          <w:p w:rsidR="008F50E8" w:rsidRPr="008F50E8" w:rsidRDefault="009D6C58" w:rsidP="008B0592">
            <w:pPr>
              <w:pStyle w:val="AmColumnHeading"/>
              <w:spacing w:after="120"/>
              <w:jc w:val="left"/>
            </w:pPr>
            <w:r>
              <w:rPr>
                <w:i w:val="0"/>
              </w:rPr>
              <w:t>(a)</w:t>
            </w:r>
            <w:r>
              <w:rPr>
                <w:i w:val="0"/>
              </w:rPr>
              <w:tab/>
              <w:t>analiżi tas-sitwazzjoni konsulari fil-pajjiż, inkluża ħarsa ġenerali lejn l-ambaxxati jew il-konsulati tal-Istati Membri, estimu tal-għadd ta’ ċittadini tal-Unjoni u fejn jinsabu, u valutazzjoni tar-riskju tal-aktar xenarji plawżibbl</w:t>
            </w:r>
            <w:r>
              <w:rPr>
                <w:i w:val="0"/>
              </w:rPr>
              <w:t>i li jaffettwaw liċ-ċittadini tal-Unjoni</w:t>
            </w:r>
            <w:r>
              <w:rPr>
                <w:b/>
              </w:rPr>
              <w:t>, bħal, iżda mhux limitati għal, riskji militari, politiċi, kriminali u tas-saħħa, u diżastri naturali</w:t>
            </w:r>
            <w:r>
              <w:rPr>
                <w:i w:val="0"/>
              </w:rPr>
              <w:t>;</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21</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w:t>
      </w:r>
      <w:r>
        <w:t>ragrafu 1 – punt 4</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 – paragrafu 2 – subparagrafu 1</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 xml:space="preserve">(2) Fejn ikunu preżenti, id-delegazzjonijiet tal-Unjoni għandhom </w:t>
            </w:r>
            <w:r>
              <w:t>jikkoordinaw l-istabbiliment ta’ pjanijiet ta’ kontinġenza konsulari konġunti u l-qbil dwarhom, abbażi ta’ kontributi magħmula mill-ambaxxati jew mill-konsulati tal-Istati Membri rrappreżentati fil-pajjiż terz ikkonċernat u l-awtoritajiet konsulari tal-Ist</w:t>
            </w:r>
            <w:r>
              <w:t xml:space="preserve">ati Membri mhux rappreżentati. Il-pjanijiet ta’ kontinġenza konsulari konġunti għandhom ikunu disponibbli għall-Istati Membri kollha, għas-SEAE u </w:t>
            </w:r>
            <w:r>
              <w:lastRenderedPageBreak/>
              <w:t xml:space="preserve">għas-servizzi tal-Kummissjoni. </w:t>
            </w:r>
          </w:p>
        </w:tc>
        <w:tc>
          <w:tcPr>
            <w:tcW w:w="4876" w:type="dxa"/>
          </w:tcPr>
          <w:p w:rsidR="008F50E8" w:rsidRPr="008F50E8" w:rsidRDefault="009D6C58" w:rsidP="008B0592">
            <w:pPr>
              <w:pStyle w:val="AmColumnHeading"/>
              <w:spacing w:after="120"/>
              <w:jc w:val="left"/>
            </w:pPr>
            <w:r>
              <w:rPr>
                <w:i w:val="0"/>
              </w:rPr>
              <w:lastRenderedPageBreak/>
              <w:t xml:space="preserve">(2) Fejn ikunu preżenti, id-delegazzjonijiet tal-Unjoni għandhom jikkoordinaw </w:t>
            </w:r>
            <w:r>
              <w:rPr>
                <w:i w:val="0"/>
              </w:rPr>
              <w:t>l-istabbiliment ta’ pjanijiet ta’ kontinġenza konsulari konġunti u l-qbil dwarhom, abbażi ta’ kontributi magħmula mill-ambaxxati jew mill-konsulati tal-Istati Membri rrappreżentati fil-pajjiż terz ikkonċernat u l-awtoritajiet konsulari tal-Istati Membri mh</w:t>
            </w:r>
            <w:r>
              <w:rPr>
                <w:i w:val="0"/>
              </w:rPr>
              <w:t>ux rappreżentati.</w:t>
            </w:r>
            <w:r>
              <w:rPr>
                <w:b/>
              </w:rPr>
              <w:t xml:space="preserve"> </w:t>
            </w:r>
            <w:r>
              <w:rPr>
                <w:b/>
              </w:rPr>
              <w:t>Dan jista’ jinkludi, fejn meħtieġ, il-kooperazzjoni ma’ pajjiżi terzi u organizzazzjonijiet internazzjonali.</w:t>
            </w:r>
            <w:r>
              <w:rPr>
                <w:b/>
              </w:rPr>
              <w:t xml:space="preserve"> </w:t>
            </w:r>
            <w:r>
              <w:rPr>
                <w:i w:val="0"/>
              </w:rPr>
              <w:t xml:space="preserve">Il-pjanijiet ta’ kontinġenza konsulari </w:t>
            </w:r>
            <w:r>
              <w:rPr>
                <w:i w:val="0"/>
              </w:rPr>
              <w:lastRenderedPageBreak/>
              <w:t xml:space="preserve">konġunti għandhom ikunu disponibbli għall-Istati Membri kollha, għas-SEAE u għas-servizzi </w:t>
            </w:r>
            <w:r>
              <w:rPr>
                <w:i w:val="0"/>
              </w:rPr>
              <w:t>tal-Kummissjoni.</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22</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4</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 – paragrafu 5a (ġdid)</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 </w:t>
            </w:r>
          </w:p>
        </w:tc>
        <w:tc>
          <w:tcPr>
            <w:tcW w:w="4876" w:type="dxa"/>
          </w:tcPr>
          <w:p w:rsidR="008F50E8" w:rsidRPr="008F50E8" w:rsidRDefault="009D6C58" w:rsidP="008B0592">
            <w:pPr>
              <w:pStyle w:val="Normal6a"/>
              <w:rPr>
                <w:szCs w:val="24"/>
              </w:rPr>
            </w:pPr>
            <w:r>
              <w:rPr>
                <w:b/>
                <w:i/>
              </w:rPr>
              <w:t>(5a)</w:t>
            </w:r>
            <w:r>
              <w:rPr>
                <w:b/>
                <w:i/>
              </w:rPr>
              <w:tab/>
              <w:t>L-Istati Membri għandhom itejbu s-sensibilizzazzjoni mad-Delegazzjonijiet tal-Unjoni f’pajjiżi terzi, inkluż billi jikkondividu regolarment aġġornamenti tal-valutazzjoni tar-riskju u theddid possib</w:t>
            </w:r>
            <w:r>
              <w:rPr>
                <w:b/>
                <w:i/>
              </w:rPr>
              <w:t>bli għas-sigurtà taċ-ċittadini tal-UE, u billi jiskambjaw informazzjoni dwar il-parir tagħhom dwar l-ivvjaġġar.</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23</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4</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 – paragrafu 5b (ġdid)</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 </w:t>
            </w:r>
          </w:p>
        </w:tc>
        <w:tc>
          <w:tcPr>
            <w:tcW w:w="4876" w:type="dxa"/>
          </w:tcPr>
          <w:p w:rsidR="008F50E8" w:rsidRPr="008F50E8" w:rsidRDefault="009D6C58" w:rsidP="008B0592">
            <w:pPr>
              <w:pStyle w:val="Normal6a"/>
              <w:rPr>
                <w:szCs w:val="24"/>
              </w:rPr>
            </w:pPr>
            <w:r>
              <w:rPr>
                <w:b/>
                <w:i/>
              </w:rPr>
              <w:t>(5b)</w:t>
            </w:r>
            <w:r>
              <w:tab/>
            </w:r>
            <w:r>
              <w:rPr>
                <w:b/>
                <w:i/>
              </w:rPr>
              <w:t xml:space="preserve">Is-SEAE, f’kooperazzjoni mill-qrib mal-Istati Membri, għandu jipprovdi taħriġ dwar it-tħejjija, </w:t>
            </w:r>
            <w:r>
              <w:rPr>
                <w:b/>
                <w:i/>
              </w:rPr>
              <w:t>is-simulazzjoni u r-rispons konsulari għall-kriżijiet lill-uffiċjali tal-Unjoni u lill-persunal diplomatiku u konsulari tal-Istati Membri biex itejbu l-kapaċità tagħhom li jimmaniġġjaw sitwazzjonijiet ta’ kriżi u jipprovdu għajnuna liċ-ċittadini tal-UE bar</w:t>
            </w:r>
            <w:r>
              <w:rPr>
                <w:b/>
                <w:i/>
              </w:rPr>
              <w:t>ra mill-pajjiż.</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lastRenderedPageBreak/>
        <w:t>&lt;Amend&gt;</w:t>
      </w:r>
      <w:r>
        <w:t>Emenda</w:t>
      </w:r>
      <w:r>
        <w:tab/>
      </w:r>
      <w:r>
        <w:tab/>
      </w:r>
      <w:r w:rsidRPr="009D6C58">
        <w:rPr>
          <w:rStyle w:val="HideTWBExt"/>
          <w:b w:val="0"/>
          <w:szCs w:val="24"/>
        </w:rPr>
        <w:t>&lt;NumAm&gt;</w:t>
      </w:r>
      <w:r>
        <w:t>24</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paragrafu 1 – punt 5</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13a – paragrafu 2</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w:t>
            </w:r>
            <w:r>
              <w:t>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2.</w:t>
            </w:r>
            <w:r>
              <w:tab/>
              <w:t xml:space="preserve">Fejn meħtieġ, l-Istati Membri jistgħu jiġu appoġġati minn timijiet konsulari konġunti magħmula minn esperti mill-Istati Membri, b’mod partikolari minn Stati Membri mhux rappreżentati fil-pajjiż terz affettwat </w:t>
            </w:r>
            <w:r>
              <w:t>mill-kriżi, mis-servizzi tas-SEAE u tal-Kummissjoni. It-timijiet konsulari konġunti għandhom ikunu disponibbli għal skjerament rapidu f’pajjiżi terzi affettwati minn kriżi konsulari.</w:t>
            </w:r>
          </w:p>
        </w:tc>
        <w:tc>
          <w:tcPr>
            <w:tcW w:w="4876" w:type="dxa"/>
          </w:tcPr>
          <w:p w:rsidR="008F50E8" w:rsidRPr="008F50E8" w:rsidRDefault="009D6C58" w:rsidP="008B0592">
            <w:pPr>
              <w:pStyle w:val="Normal6a"/>
              <w:rPr>
                <w:szCs w:val="24"/>
              </w:rPr>
            </w:pPr>
            <w:r>
              <w:t>2.</w:t>
            </w:r>
            <w:r>
              <w:tab/>
              <w:t>Fejn meħtieġ, l-Istati Membri jistgħu jiġu appoġġati minn timijiet kon</w:t>
            </w:r>
            <w:r>
              <w:t>sulari konġunti magħmula minn esperti mill-Istati Membri, b’mod partikolari minn Stati Membri mhux rappreżentati fil-pajjiż terz affettwat mill-kriżi, mis-servizzi tas-SEAE u tal-Kummissjoni. It-timijiet konsulari konġunti għandhom ikunu disponibbli għal s</w:t>
            </w:r>
            <w:r>
              <w:t xml:space="preserve">kjerament rapidu f’pajjiżi terzi affettwati minn kriżi konsulari. </w:t>
            </w:r>
            <w:r>
              <w:rPr>
                <w:b/>
                <w:i/>
              </w:rPr>
              <w:t>Is-SEAE u l-Kummissjoni għandhom jappoġġaw it-tħejjija ta’ dawk l-esperti u tat-timijiet konsulari konġunti.</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25</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w:t>
      </w:r>
      <w:r w:rsidRPr="009D6C58">
        <w:rPr>
          <w:rStyle w:val="HideTWBExt"/>
          <w:b w:val="0"/>
          <w:szCs w:val="24"/>
        </w:rPr>
        <w:t>Amend&gt;</w:t>
      </w:r>
    </w:p>
    <w:p w:rsidR="008F50E8" w:rsidRPr="008F50E8" w:rsidRDefault="009D6C58" w:rsidP="008F50E8">
      <w:pPr>
        <w:pStyle w:val="NormalBold"/>
        <w:keepNext/>
      </w:pPr>
      <w:r w:rsidRPr="009D6C58">
        <w:rPr>
          <w:rStyle w:val="HideTWBExt"/>
          <w:b w:val="0"/>
          <w:szCs w:val="24"/>
        </w:rPr>
        <w:t>&lt;Article&gt;</w:t>
      </w:r>
      <w:r>
        <w:t>Artikolu 1– paragrafu 1 – punt 5</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13a – paragrafu 4</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4.</w:t>
            </w:r>
            <w:r>
              <w:tab/>
              <w:t xml:space="preserve">Meta jipprovdu għajnuna, l-Istati Membri jistgħu </w:t>
            </w:r>
            <w:r>
              <w:rPr>
                <w:b/>
                <w:i/>
              </w:rPr>
              <w:t xml:space="preserve">jitolbu </w:t>
            </w:r>
            <w:r>
              <w:rPr>
                <w:b/>
                <w:i/>
              </w:rPr>
              <w:t>appoġġ, jekk ikun xieraq,</w:t>
            </w:r>
            <w:r>
              <w:t xml:space="preserve"> minn strumenti tal-Unjoni bħall-istrutturi tal-ġestjoni tal-kriżijiet tas-SEAE u ċ-Ċentru ta’ Rispons għall-Kriżijiet tiegħu</w:t>
            </w:r>
            <w:r>
              <w:rPr>
                <w:b/>
                <w:i/>
              </w:rPr>
              <w:t xml:space="preserve"> u l-Mekkaniżmu tal-Unjoni għall-Protezzjoni Ċivili, permezz taċ-Ċentru</w:t>
            </w:r>
            <w:r>
              <w:t xml:space="preserve"> ta’ Koordinazzjoni tar-Reazzjoni f’każ ta’ Emerġenza stabbilit mill-Artikolu 7 tad-Deċiżjoni </w:t>
            </w:r>
            <w:r>
              <w:rPr>
                <w:b/>
                <w:i/>
              </w:rPr>
              <w:t xml:space="preserve">Nru </w:t>
            </w:r>
            <w:r>
              <w:t>1313/2013/UE.</w:t>
            </w:r>
            <w:r>
              <w:rPr>
                <w:b/>
                <w:i/>
              </w:rPr>
              <w:t>”;</w:t>
            </w:r>
          </w:p>
        </w:tc>
        <w:tc>
          <w:tcPr>
            <w:tcW w:w="4876" w:type="dxa"/>
          </w:tcPr>
          <w:p w:rsidR="008F50E8" w:rsidRPr="008F50E8" w:rsidRDefault="009D6C58" w:rsidP="008B0592">
            <w:pPr>
              <w:pStyle w:val="Normal6a"/>
              <w:rPr>
                <w:szCs w:val="24"/>
              </w:rPr>
            </w:pPr>
            <w:r>
              <w:t>4.</w:t>
            </w:r>
            <w:r>
              <w:tab/>
              <w:t xml:space="preserve">Meta jipprovdu għajnuna, l-Istati Membri jistgħu </w:t>
            </w:r>
            <w:r>
              <w:rPr>
                <w:b/>
                <w:i/>
              </w:rPr>
              <w:t>jiġu appoġġati</w:t>
            </w:r>
            <w:r>
              <w:t xml:space="preserve"> minn strumenti tal-Unjoni bħall-istrutturi tal-ġestjoni tal-kriżijiet tas-S</w:t>
            </w:r>
            <w:r>
              <w:t>EAE u ċ-Ċentru ta’ Rispons għall-Kriżijiet tiegħu</w:t>
            </w:r>
            <w:r>
              <w:rPr>
                <w:b/>
                <w:i/>
              </w:rPr>
              <w:t>. L-Istati Membri jistgħu jinvolvu wkoll iċ-Ċentru</w:t>
            </w:r>
            <w:r>
              <w:t xml:space="preserve"> ta’ Koordinazzjoni tar-Reazzjoni f’każ ta’ Emerġenza stabbilit mill-Artikolu 7 tad-Deċiżjoni 1313/2013/UE</w:t>
            </w:r>
            <w:r>
              <w:rPr>
                <w:b/>
                <w:i/>
              </w:rPr>
              <w:t>, il-Mekkaniżmu tal-Unjoni għall-Protezzjoni Ċivili</w:t>
            </w:r>
            <w:r>
              <w:rPr>
                <w:b/>
                <w:i/>
              </w:rPr>
              <w:t xml:space="preserve"> u, jekk ikun xieraq, il-missjonijiet u l-operazzjonijiet tal-UE taħt il-qafas tal-Politika ta’ Sigurtà u ta’ Difiża Komuni u l-Kapaċità ta’ Skjerament Rapidu tal-UE kif previst fil-“Boxxla Strateġika għas-</w:t>
            </w:r>
            <w:r>
              <w:rPr>
                <w:b/>
                <w:i/>
              </w:rPr>
              <w:lastRenderedPageBreak/>
              <w:t>Sigurtà u d-Difiża”</w:t>
            </w:r>
            <w:r>
              <w:t>.</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w:t>
      </w:r>
      <w:r w:rsidRPr="009D6C58">
        <w:rPr>
          <w:rStyle w:val="HideTWBExt"/>
          <w:b w:val="0"/>
          <w:szCs w:val="24"/>
        </w:rPr>
        <w:t>Am&gt;</w:t>
      </w:r>
      <w:r>
        <w:t>26</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6</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Kapitolu 2 – Artikolu 13b – paragrafu 1 – parti introduttorja</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w:t>
            </w:r>
            <w:r>
              <w:t xml:space="preserve">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1.</w:t>
            </w:r>
            <w:r>
              <w:tab/>
              <w:t xml:space="preserve">Mill-inqas darba fis-sena, l-Istati Membri għandhom jipprovdu </w:t>
            </w:r>
            <w:r>
              <w:rPr>
                <w:b/>
                <w:i/>
              </w:rPr>
              <w:t>lill-Kummissjoni u lir-Rappreżentant Għoli tal-Unjoni għall-Affarijiet Barranin</w:t>
            </w:r>
            <w:r>
              <w:t xml:space="preserve"> u </w:t>
            </w:r>
            <w:r>
              <w:rPr>
                <w:b/>
                <w:i/>
              </w:rPr>
              <w:t>l-Politika ta’ Sigurtà l-informazzjoni</w:t>
            </w:r>
            <w:r>
              <w:t xml:space="preserve"> li ġejja:</w:t>
            </w:r>
          </w:p>
        </w:tc>
        <w:tc>
          <w:tcPr>
            <w:tcW w:w="4876" w:type="dxa"/>
          </w:tcPr>
          <w:p w:rsidR="008F50E8" w:rsidRPr="008F50E8" w:rsidRDefault="009D6C58" w:rsidP="008B0592">
            <w:pPr>
              <w:pStyle w:val="Normal6a"/>
              <w:rPr>
                <w:szCs w:val="24"/>
              </w:rPr>
            </w:pPr>
            <w:r>
              <w:t>1.</w:t>
            </w:r>
            <w:r>
              <w:tab/>
              <w:t>Mill-inqas darba fis-sena, l-Is</w:t>
            </w:r>
            <w:r>
              <w:t xml:space="preserve">tati Membri għandhom jipprovdu </w:t>
            </w:r>
            <w:r>
              <w:rPr>
                <w:b/>
                <w:i/>
              </w:rPr>
              <w:t>lis-SEAE</w:t>
            </w:r>
            <w:r>
              <w:t xml:space="preserve"> u </w:t>
            </w:r>
            <w:r>
              <w:rPr>
                <w:b/>
                <w:i/>
              </w:rPr>
              <w:t>lill-Kummissjoni bl-informazzjoni</w:t>
            </w:r>
            <w:r>
              <w:t xml:space="preserve"> li ġejja:</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27</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6</w:t>
      </w:r>
      <w:r w:rsidRPr="009D6C58">
        <w:rPr>
          <w:rStyle w:val="HideTWBExt"/>
          <w:b w:val="0"/>
          <w:szCs w:val="24"/>
        </w:rPr>
        <w:t>&lt;/Article&gt;</w:t>
      </w:r>
    </w:p>
    <w:p w:rsidR="008F50E8" w:rsidRPr="008F50E8" w:rsidRDefault="009D6C58" w:rsidP="008F50E8">
      <w:r w:rsidRPr="009D6C58">
        <w:rPr>
          <w:rStyle w:val="HideTWBExt"/>
        </w:rPr>
        <w:t>&lt;DocAmend2&gt;</w:t>
      </w:r>
      <w:r>
        <w:t>Direttiva (UE) 201</w:t>
      </w:r>
      <w:r>
        <w:t>5/637</w:t>
      </w:r>
      <w:r w:rsidRPr="009D6C58">
        <w:rPr>
          <w:rStyle w:val="HideTWBExt"/>
        </w:rPr>
        <w:t>&lt;/DocAmend2&gt;</w:t>
      </w:r>
    </w:p>
    <w:p w:rsidR="008F50E8" w:rsidRPr="008F50E8" w:rsidRDefault="009D6C58" w:rsidP="008F50E8">
      <w:r w:rsidRPr="009D6C58">
        <w:rPr>
          <w:rStyle w:val="HideTWBExt"/>
        </w:rPr>
        <w:t>&lt;Article2&gt;</w:t>
      </w:r>
      <w:r>
        <w:t>Kapitolu 2a – Artikolu 13b – paragrafu 2</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2.</w:t>
            </w:r>
            <w:r>
              <w:tab/>
              <w:t xml:space="preserve">L-Istati Membri, is-servizzi tal-Kummissjoni u s-SEAE għandhom jagħmlu l-informazzjoni msemmija </w:t>
            </w:r>
            <w:r>
              <w:rPr>
                <w:b/>
                <w:i/>
              </w:rPr>
              <w:t>fil-punti</w:t>
            </w:r>
            <w:r>
              <w:t xml:space="preserve"> (a), (b)</w:t>
            </w:r>
            <w:r>
              <w:rPr>
                <w:b/>
                <w:i/>
              </w:rPr>
              <w:t xml:space="preserve"> u</w:t>
            </w:r>
            <w:r>
              <w:t xml:space="preserve"> (c) </w:t>
            </w:r>
            <w:r>
              <w:rPr>
                <w:b/>
                <w:i/>
              </w:rPr>
              <w:t xml:space="preserve">tal-ewwel </w:t>
            </w:r>
            <w:r>
              <w:rPr>
                <w:b/>
                <w:i/>
              </w:rPr>
              <w:t>paragrafu</w:t>
            </w:r>
            <w:r>
              <w:t>, disponibbli għall-pubbliku b’mod li jiżgura l-koerenza tal-informazzjoni pprovduta.</w:t>
            </w:r>
          </w:p>
        </w:tc>
        <w:tc>
          <w:tcPr>
            <w:tcW w:w="4876" w:type="dxa"/>
          </w:tcPr>
          <w:p w:rsidR="008F50E8" w:rsidRPr="008F50E8" w:rsidRDefault="009D6C58" w:rsidP="008B0592">
            <w:pPr>
              <w:pStyle w:val="AmColumnHeading"/>
              <w:spacing w:after="120"/>
              <w:jc w:val="left"/>
            </w:pPr>
            <w:r>
              <w:rPr>
                <w:i w:val="0"/>
              </w:rPr>
              <w:t>2.</w:t>
            </w:r>
            <w:r>
              <w:rPr>
                <w:i w:val="0"/>
              </w:rPr>
              <w:tab/>
              <w:t xml:space="preserve">L-Istati Membri, is-servizzi tal-Kummissjoni u s-SEAE għandhom jagħmlu l-informazzjoni msemmija </w:t>
            </w:r>
            <w:r>
              <w:rPr>
                <w:b/>
              </w:rPr>
              <w:t>fil-paragrafu 1, il-punti</w:t>
            </w:r>
            <w:r>
              <w:rPr>
                <w:i w:val="0"/>
              </w:rPr>
              <w:t xml:space="preserve"> (a), (b)</w:t>
            </w:r>
            <w:r>
              <w:rPr>
                <w:b/>
              </w:rPr>
              <w:t>,</w:t>
            </w:r>
            <w:r>
              <w:rPr>
                <w:i w:val="0"/>
              </w:rPr>
              <w:t xml:space="preserve"> (c) </w:t>
            </w:r>
            <w:r>
              <w:rPr>
                <w:b/>
              </w:rPr>
              <w:t>u (d)</w:t>
            </w:r>
            <w:r>
              <w:rPr>
                <w:i w:val="0"/>
              </w:rPr>
              <w:t>, disponibbli għa</w:t>
            </w:r>
            <w:r>
              <w:rPr>
                <w:i w:val="0"/>
              </w:rPr>
              <w:t>ll-pubbliku b’mod li jiżgura l-koerenza tal-informazzjoni pprovduta.</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28</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6</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Kapitolu 2a – Artikolu 13c – paragrafu 1 – parti introduttorja</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1.</w:t>
            </w:r>
            <w:r>
              <w:tab/>
              <w:t>L-Istati Membri għandhom jieħdu miżuri biex jinfurmaw liċ-ċittadini tagħhom bid-dritt tagħhom stabbilit fl-</w:t>
            </w:r>
            <w:r>
              <w:lastRenderedPageBreak/>
              <w:t xml:space="preserve">Artikolu 20(2), </w:t>
            </w:r>
            <w:r>
              <w:t>il-punt (c), tat-TFUE</w:t>
            </w:r>
            <w:r>
              <w:rPr>
                <w:b/>
                <w:i/>
              </w:rPr>
              <w:t>. Dan jista’ jinkludi</w:t>
            </w:r>
            <w:r>
              <w:t xml:space="preserve"> b’mod partikolari </w:t>
            </w:r>
            <w:r>
              <w:rPr>
                <w:b/>
                <w:i/>
              </w:rPr>
              <w:t>l-miżuri li ġejjin</w:t>
            </w:r>
            <w:r>
              <w:t>:</w:t>
            </w:r>
          </w:p>
          <w:p w:rsidR="008F50E8" w:rsidRPr="008F50E8" w:rsidRDefault="008F50E8" w:rsidP="008B0592">
            <w:pPr>
              <w:pStyle w:val="Normal6a"/>
            </w:pPr>
          </w:p>
        </w:tc>
        <w:tc>
          <w:tcPr>
            <w:tcW w:w="4876" w:type="dxa"/>
          </w:tcPr>
          <w:p w:rsidR="008F50E8" w:rsidRPr="008F50E8" w:rsidRDefault="009D6C58" w:rsidP="008B0592">
            <w:pPr>
              <w:pStyle w:val="Normal6a"/>
            </w:pPr>
            <w:r>
              <w:lastRenderedPageBreak/>
              <w:t>1.</w:t>
            </w:r>
            <w:r>
              <w:tab/>
              <w:t>L-Istati Membri għandhom jieħdu miżuri biex jinfurmaw liċ-ċittadini tagħhom bid-dritt tagħhom stabbilit fl-</w:t>
            </w:r>
            <w:r>
              <w:lastRenderedPageBreak/>
              <w:t>Artikolu 20(2), il-punt (c), tat-TFUE</w:t>
            </w:r>
            <w:r>
              <w:rPr>
                <w:b/>
                <w:i/>
              </w:rPr>
              <w:t>,</w:t>
            </w:r>
            <w:r>
              <w:t xml:space="preserve"> b’mod partikolari </w:t>
            </w:r>
            <w:r>
              <w:rPr>
                <w:b/>
                <w:i/>
              </w:rPr>
              <w:t>permezz</w:t>
            </w:r>
            <w:r>
              <w:rPr>
                <w:b/>
                <w:i/>
              </w:rPr>
              <w:t xml:space="preserve"> ta’</w:t>
            </w:r>
            <w:r>
              <w:t>:</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29</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6</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 xml:space="preserve">Kapitolu 2a – Artikolu 13c – paragrafu 1 – parti </w:t>
      </w:r>
      <w:r>
        <w:t>introduttorja – punt a</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rPr>
                <w:b/>
                <w:i/>
              </w:rPr>
              <w:t>(a)</w:t>
            </w:r>
            <w:r>
              <w:rPr>
                <w:b/>
                <w:i/>
              </w:rPr>
              <w:tab/>
              <w:t>ir-riproduzzjoni tal-Artikolu 23, l-ewwel sentenza, tat-TFUE fuq il-passaporti nazzjonali;</w:t>
            </w:r>
          </w:p>
        </w:tc>
        <w:tc>
          <w:tcPr>
            <w:tcW w:w="4876" w:type="dxa"/>
          </w:tcPr>
          <w:p w:rsidR="008F50E8" w:rsidRPr="008F50E8" w:rsidRDefault="009D6C58" w:rsidP="008B0592">
            <w:pPr>
              <w:pStyle w:val="Normal6a"/>
              <w:rPr>
                <w:b/>
                <w:i/>
                <w:szCs w:val="24"/>
              </w:rPr>
            </w:pPr>
            <w:r>
              <w:rPr>
                <w:b/>
                <w:i/>
              </w:rPr>
              <w:t>imħassar</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30</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6</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Kapitolu 2a – Artikolu 13c – paragrafu 1 – parti introduttorja – punt ca (ġdid)</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 </w:t>
            </w:r>
          </w:p>
        </w:tc>
        <w:tc>
          <w:tcPr>
            <w:tcW w:w="4876" w:type="dxa"/>
          </w:tcPr>
          <w:p w:rsidR="008F50E8" w:rsidRPr="008F50E8" w:rsidRDefault="009D6C58" w:rsidP="008B0592">
            <w:pPr>
              <w:pStyle w:val="Normal6a"/>
              <w:rPr>
                <w:szCs w:val="24"/>
              </w:rPr>
            </w:pPr>
            <w:r>
              <w:rPr>
                <w:b/>
                <w:i/>
              </w:rPr>
              <w:t>(ca)</w:t>
            </w:r>
            <w:r>
              <w:rPr>
                <w:b/>
                <w:i/>
              </w:rPr>
              <w:tab/>
              <w:t>l-iżvilupp ta’ sistemi ta’ notifika awtomatika, bħal sistemi ta’ messaġġi qosra permezz ta’ networks tat-telefown, biex jipprovdu liċ-ċittadini kollha tal-UE b’informazzjoni bażika ta’ kuntatt għall-protezzjoni konsulari mal-wasla f’pajjiż terz, kif u</w:t>
            </w:r>
            <w:r>
              <w:rPr>
                <w:b/>
                <w:i/>
              </w:rPr>
              <w:t>koll messaġġi ta’ twissija f’każ ta’ kriżi;</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8F50E8" w:rsidP="008B0592">
            <w:pPr>
              <w:pStyle w:val="Normal6a"/>
              <w:rPr>
                <w:b/>
                <w:i/>
              </w:rPr>
            </w:pP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31</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6</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Kapitolu 2a</w:t>
      </w:r>
      <w:r>
        <w:t xml:space="preserve"> – Artikolu 13c – paragrafu 1 – parti introduttorja – punt cb (ġdid)</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8F50E8" w:rsidP="008B0592">
            <w:pPr>
              <w:pStyle w:val="Normal6a"/>
            </w:pPr>
          </w:p>
        </w:tc>
        <w:tc>
          <w:tcPr>
            <w:tcW w:w="4876" w:type="dxa"/>
          </w:tcPr>
          <w:p w:rsidR="008F50E8" w:rsidRPr="008F50E8" w:rsidRDefault="009D6C58" w:rsidP="008B0592">
            <w:pPr>
              <w:pStyle w:val="Normal6a"/>
              <w:rPr>
                <w:b/>
                <w:i/>
              </w:rPr>
            </w:pPr>
            <w:r>
              <w:rPr>
                <w:b/>
                <w:i/>
              </w:rPr>
              <w:t>(cb)</w:t>
            </w:r>
            <w:r>
              <w:rPr>
                <w:b/>
                <w:i/>
              </w:rPr>
              <w:tab/>
              <w:t>Barra minn hekk, l-Istati Membri għandhom jirriproduċu l-ewwel sentenza tal-Artikolu 23, tat-TFUE fuq il-passaporti nazzjonali.</w:t>
            </w:r>
          </w:p>
        </w:tc>
      </w:tr>
    </w:tbl>
    <w:p w:rsidR="008F50E8" w:rsidRPr="008F50E8" w:rsidRDefault="009D6C58" w:rsidP="008F50E8">
      <w:r w:rsidRPr="009D6C58">
        <w:rPr>
          <w:rStyle w:val="HideTWBExt"/>
        </w:rPr>
        <w:t>&lt;</w:t>
      </w:r>
      <w:r w:rsidRPr="009D6C58">
        <w:rPr>
          <w:rStyle w:val="HideTWBExt"/>
        </w:rPr>
        <w: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32</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paragrafu 1 – punt 7</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14 – paragrafu 2 – subparagrafu 1</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 xml:space="preserve">Test </w:t>
            </w:r>
            <w:r>
              <w:t>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Jekk ċittadin mhux rappreżentat ma jkunx jista’ jħallas il-kostijiet imsemmija fil-paragrafu 1 lill-Istat Membru li jassisti meta jagħmel talba għal għajnuna, l-Istat Membru li jassisti jista’ jitlob liċ-ċittadin mhux rappr</w:t>
            </w:r>
            <w:r>
              <w:t xml:space="preserve">eżentat jiffirma impenn li jħallas lura. Fuq dik il-bażi, l-Istat Membru li jassisti jista’ jitlob liċ-ċittadin mhux rappreżentat ikkonċernat biex iħallas dawn il-kostijiet ladarba jkunu għaddew </w:t>
            </w:r>
            <w:r>
              <w:rPr>
                <w:b/>
                <w:i/>
              </w:rPr>
              <w:t>4 ġimgħat</w:t>
            </w:r>
            <w:r>
              <w:t xml:space="preserve"> minn meta tkun ġiet ipprovduta l-għajnuna.</w:t>
            </w:r>
          </w:p>
        </w:tc>
        <w:tc>
          <w:tcPr>
            <w:tcW w:w="4876" w:type="dxa"/>
          </w:tcPr>
          <w:p w:rsidR="008F50E8" w:rsidRPr="008F50E8" w:rsidRDefault="009D6C58" w:rsidP="008B0592">
            <w:pPr>
              <w:pStyle w:val="Normal6a"/>
            </w:pPr>
            <w:r>
              <w:t>Jekk ċit</w:t>
            </w:r>
            <w:r>
              <w:t xml:space="preserve">tadin mhux rappreżentat ma jkunx jista’ jħallas il-kostijiet imsemmija fil-paragrafu 1 lill-Istat Membru li jassisti meta jagħmel talba għal għajnuna, l-Istat Membru li jassisti jista’ jitlob liċ-ċittadin mhux rappreżentat jiffirma impenn li jħallas lura. </w:t>
            </w:r>
            <w:r>
              <w:t xml:space="preserve">Fuq dik il-bażi, l-Istat Membru li jassisti jista’ jitlob liċ-ċittadin mhux rappreżentat ikkonċernat biex iħallas dawn il-kostijiet ladarba jkunu għaddew </w:t>
            </w:r>
            <w:r>
              <w:rPr>
                <w:b/>
                <w:i/>
              </w:rPr>
              <w:t>tliet xhur</w:t>
            </w:r>
            <w:r>
              <w:t xml:space="preserve"> minn meta tkun ġiet ipprovduta l-għajnuna.</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33</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paragrafu 1 – punt 7</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14 – paragrafu 6</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6.</w:t>
            </w:r>
            <w:r>
              <w:tab/>
            </w:r>
            <w:r>
              <w:t xml:space="preserve">Il-Kummissjoni tista’ tadotta atti ta’ implimentazzjoni li jistabbilixxu formoli standard li għandhom jintużaw għall-impenn ta’ ħlas lura </w:t>
            </w:r>
            <w:r>
              <w:rPr>
                <w:b/>
                <w:i/>
              </w:rPr>
              <w:t>imsemmi</w:t>
            </w:r>
            <w:r>
              <w:t xml:space="preserve"> fil-paragrafu 2 u għall-ħlas lura tal-kostijiet mill-Istat Membru tan-nazzjonalità msemmi fil-paragrafu 3. Daw</w:t>
            </w:r>
            <w:r>
              <w:t xml:space="preserve">k l-atti ta’ implimentazzjoni għandhom jiġu adottati </w:t>
            </w:r>
            <w:r>
              <w:lastRenderedPageBreak/>
              <w:t>f’konformità mal-proċedura ta’ eżami msemmija fl-Artikolu 15a(2).</w:t>
            </w:r>
          </w:p>
        </w:tc>
        <w:tc>
          <w:tcPr>
            <w:tcW w:w="4876" w:type="dxa"/>
          </w:tcPr>
          <w:p w:rsidR="008F50E8" w:rsidRPr="008F50E8" w:rsidRDefault="009D6C58" w:rsidP="008B0592">
            <w:pPr>
              <w:pStyle w:val="AmColumnHeading"/>
              <w:spacing w:after="120"/>
              <w:jc w:val="left"/>
            </w:pPr>
            <w:r>
              <w:rPr>
                <w:i w:val="0"/>
              </w:rPr>
              <w:lastRenderedPageBreak/>
              <w:t>6.</w:t>
            </w:r>
            <w:r>
              <w:rPr>
                <w:i w:val="0"/>
              </w:rPr>
              <w:tab/>
              <w:t>Il-Kummissjoni tista’ tadotta atti ta’ implimentazzjoni li jistabbilixxu formoli standard</w:t>
            </w:r>
            <w:r>
              <w:rPr>
                <w:b/>
              </w:rPr>
              <w:t>, disponibbli fil-lingwi kollha tal-Istati Me</w:t>
            </w:r>
            <w:r>
              <w:rPr>
                <w:b/>
              </w:rPr>
              <w:t>mbri,</w:t>
            </w:r>
            <w:r>
              <w:rPr>
                <w:i w:val="0"/>
              </w:rPr>
              <w:t xml:space="preserve"> li għandhom jintużaw għall-impenn ta’ ħlas lura </w:t>
            </w:r>
            <w:r>
              <w:rPr>
                <w:b/>
              </w:rPr>
              <w:t>msemmi</w:t>
            </w:r>
            <w:r>
              <w:rPr>
                <w:i w:val="0"/>
              </w:rPr>
              <w:t xml:space="preserve"> fil-paragrafu 2 u għall-ħlas lura tal-kostijiet mill-Istat Membru tan-nazzjonalità msemmi fil-paragrafu 3. Dawk l-atti ta’ </w:t>
            </w:r>
            <w:r>
              <w:rPr>
                <w:i w:val="0"/>
              </w:rPr>
              <w:lastRenderedPageBreak/>
              <w:t>implimentazzjoni għandhom jiġu adottati f’konformità mal-proċedura ta’ e</w:t>
            </w:r>
            <w:r>
              <w:rPr>
                <w:i w:val="0"/>
              </w:rPr>
              <w:t>żami msemmija fl-Artikolu 15a(2).</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34</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9</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16a – paragrafu</w:t>
      </w:r>
      <w:r>
        <w:t> 6</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6.</w:t>
            </w:r>
            <w:r>
              <w:tab/>
              <w:t xml:space="preserve">Meta jipproċessaw id-data personali msemmija fil-paragrafu 5, l-awtoritajiet kompetenti tal-Istati Membri u l-istituzzjonijiet u l-korpi tal-Unjoni għandhom jiżguraw miżuri xierqa u speċifiċi </w:t>
            </w:r>
            <w:r>
              <w:t>għas-salvagwardja tal-interessi tas-suġġetti tad-data. Huma għandhom jintroduċu wkoll politiki interni u jieħdu l-miżuri tekniċi u organizzazzjonali meħtieġa biex jipprevjenu l-aċċess għal tali data personali u t-trażmissjoni tagħha mingħajr awtorizzazzjon</w:t>
            </w:r>
            <w:r>
              <w:t>i.</w:t>
            </w:r>
          </w:p>
        </w:tc>
        <w:tc>
          <w:tcPr>
            <w:tcW w:w="4876" w:type="dxa"/>
          </w:tcPr>
          <w:p w:rsidR="008F50E8" w:rsidRPr="008F50E8" w:rsidRDefault="009D6C58" w:rsidP="008B0592">
            <w:pPr>
              <w:pStyle w:val="Normal6a"/>
            </w:pPr>
            <w:r>
              <w:t>6.</w:t>
            </w:r>
            <w:r>
              <w:tab/>
              <w:t>Meta jipproċessaw id-data personali msemmija fil-paragrafu 5, l-awtoritajiet kompetenti tal-Istati Membri u l-istituzzjonijiet u l-korpi tal-Unjoni għandhom jiżguraw miżuri xierqa u speċifiċi għas-salvagwardja tal-interessi tas-suġġetti tad-data. Hum</w:t>
            </w:r>
            <w:r>
              <w:t xml:space="preserve">a għandhom jintroduċu wkoll politiki interni u jieħdu l-miżuri tekniċi u organizzazzjonali meħtieġa biex jipprevjenu l-aċċess għal tali data personali u t-trażmissjoni tagħha mingħajr awtorizzazzjoni. </w:t>
            </w:r>
            <w:r>
              <w:rPr>
                <w:b/>
                <w:i/>
              </w:rPr>
              <w:t>Id-drittijiet ta’ aċċess għad-data personali msemmija f</w:t>
            </w:r>
            <w:r>
              <w:rPr>
                <w:b/>
                <w:i/>
              </w:rPr>
              <w:t>il-paragrafu 5 għandhom jingħataw biss lill-persunal li jkollu passaport ta’ Stat Membru tal-UE.</w:t>
            </w:r>
          </w:p>
        </w:tc>
      </w:tr>
    </w:tbl>
    <w:p w:rsidR="008F50E8" w:rsidRPr="008F50E8" w:rsidRDefault="009D6C58" w:rsidP="008F50E8">
      <w:r w:rsidRPr="009D6C58">
        <w:rPr>
          <w:rStyle w:val="HideTWBExt"/>
        </w:rPr>
        <w:t>&lt;/Amend&gt;</w:t>
      </w:r>
    </w:p>
    <w:p w:rsidR="008F50E8" w:rsidRPr="008F50E8" w:rsidRDefault="009D6C58" w:rsidP="008F50E8">
      <w:pPr>
        <w:pStyle w:val="AmNumberTabs"/>
      </w:pPr>
      <w:r w:rsidRPr="009D6C58">
        <w:rPr>
          <w:rStyle w:val="HideTWBExt"/>
          <w:b w:val="0"/>
          <w:szCs w:val="24"/>
        </w:rPr>
        <w:t>&lt;Amend&gt;</w:t>
      </w:r>
      <w:r>
        <w:t>Emenda</w:t>
      </w:r>
      <w:r>
        <w:tab/>
      </w:r>
      <w:r>
        <w:tab/>
      </w:r>
      <w:r w:rsidRPr="009D6C58">
        <w:rPr>
          <w:rStyle w:val="HideTWBExt"/>
          <w:b w:val="0"/>
          <w:szCs w:val="24"/>
        </w:rPr>
        <w:t>&lt;NumAm&gt;</w:t>
      </w:r>
      <w:r>
        <w:t>35</w:t>
      </w:r>
      <w:r w:rsidRPr="009D6C58">
        <w:rPr>
          <w:rStyle w:val="HideTWBExt"/>
          <w:b w:val="0"/>
          <w:szCs w:val="24"/>
        </w:rPr>
        <w:t>&lt;/NumAm&gt;</w:t>
      </w:r>
    </w:p>
    <w:p w:rsidR="008F50E8" w:rsidRPr="008F50E8" w:rsidRDefault="009D6C58" w:rsidP="008F50E8">
      <w:pPr>
        <w:pStyle w:val="NormalBold12b"/>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pPr>
      <w:r w:rsidRPr="009D6C58">
        <w:rPr>
          <w:rStyle w:val="HideTWBExt"/>
          <w:b w:val="0"/>
          <w:szCs w:val="24"/>
        </w:rPr>
        <w:t>&lt;Article&gt;</w:t>
      </w:r>
      <w:r>
        <w:t>Artikolu 1 – paragrafu 1 – punt 9</w:t>
      </w:r>
      <w:r w:rsidRPr="009D6C58">
        <w:rPr>
          <w:rStyle w:val="HideTWBExt"/>
          <w:b w:val="0"/>
          <w:szCs w:val="24"/>
        </w:rPr>
        <w:t>&lt;/Article&gt;</w:t>
      </w:r>
    </w:p>
    <w:p w:rsidR="008F50E8" w:rsidRPr="008F50E8" w:rsidRDefault="009D6C58" w:rsidP="008F50E8">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16a – paragrafu 7 – subparagrafu 1</w:t>
      </w:r>
      <w:r w:rsidRPr="009D6C5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85E" w:rsidTr="008B0592">
        <w:trPr>
          <w:trHeight w:hRule="exact" w:val="240"/>
          <w:jc w:val="center"/>
        </w:trPr>
        <w:tc>
          <w:tcPr>
            <w:tcW w:w="9752" w:type="dxa"/>
            <w:gridSpan w:val="2"/>
          </w:tcPr>
          <w:p w:rsidR="008F50E8" w:rsidRPr="008F50E8" w:rsidRDefault="008F50E8" w:rsidP="008B0592"/>
        </w:tc>
      </w:tr>
      <w:tr w:rsidR="0097085E" w:rsidTr="008B0592">
        <w:trPr>
          <w:trHeight w:val="240"/>
          <w:jc w:val="center"/>
        </w:trPr>
        <w:tc>
          <w:tcPr>
            <w:tcW w:w="4876" w:type="dxa"/>
          </w:tcPr>
          <w:p w:rsidR="008F50E8" w:rsidRPr="008F50E8" w:rsidRDefault="009D6C58" w:rsidP="008B0592">
            <w:pPr>
              <w:pStyle w:val="AmColumnHeading"/>
            </w:pPr>
            <w:r>
              <w:t>Test propost mill-Kummissjoni</w:t>
            </w:r>
          </w:p>
        </w:tc>
        <w:tc>
          <w:tcPr>
            <w:tcW w:w="4876" w:type="dxa"/>
          </w:tcPr>
          <w:p w:rsidR="008F50E8" w:rsidRPr="008F50E8" w:rsidRDefault="009D6C58" w:rsidP="008B0592">
            <w:pPr>
              <w:pStyle w:val="AmColumnHeading"/>
            </w:pPr>
            <w:r>
              <w:t>Emenda</w:t>
            </w:r>
          </w:p>
        </w:tc>
      </w:tr>
      <w:tr w:rsidR="0097085E" w:rsidTr="008B0592">
        <w:trPr>
          <w:jc w:val="center"/>
        </w:trPr>
        <w:tc>
          <w:tcPr>
            <w:tcW w:w="4876" w:type="dxa"/>
          </w:tcPr>
          <w:p w:rsidR="008F50E8" w:rsidRPr="008F50E8" w:rsidRDefault="009D6C58" w:rsidP="008B0592">
            <w:pPr>
              <w:pStyle w:val="Normal6a"/>
            </w:pPr>
            <w:r>
              <w:t>Għall-finijiet ta’ din id-Direttiva, l-awtoritajiet kompetenti tal-Istati Membri għandhom jittrasferixxu data perso</w:t>
            </w:r>
            <w:r>
              <w:t>nali lil pajjiż terz jew lil organizzazzjoni internazzjonali biss biex iwettqu l-kompiti msemmija fl-Artikolu 9, fl-Artikolu 10 u fl-Artikolu 13a u f’konformità mal-</w:t>
            </w:r>
            <w:r>
              <w:lastRenderedPageBreak/>
              <w:t>Kapitolu V tar-Regolament (UE) 2016/679.</w:t>
            </w:r>
          </w:p>
        </w:tc>
        <w:tc>
          <w:tcPr>
            <w:tcW w:w="4876" w:type="dxa"/>
          </w:tcPr>
          <w:p w:rsidR="008F50E8" w:rsidRPr="008F50E8" w:rsidRDefault="009D6C58" w:rsidP="008B0592">
            <w:pPr>
              <w:pStyle w:val="Normal6a"/>
            </w:pPr>
            <w:r>
              <w:lastRenderedPageBreak/>
              <w:t>Għall-finijiet ta’ din id-Direttiva, l-awtoritajie</w:t>
            </w:r>
            <w:r>
              <w:t xml:space="preserve">t kompetenti tal-Istati Membri għandhom jittrasferixxu data personali lil pajjiż terz jew lil organizzazzjoni internazzjonali biss biex iwettqu l-kompiti msemmija fl-Artikolu 9, fl-Artikolu 10 u fl-Artikolu 13a u f’konformità mal-Kapitolu V tar-Regolament </w:t>
            </w:r>
            <w:r>
              <w:t xml:space="preserve">(UE) 2016/679. </w:t>
            </w:r>
            <w:r>
              <w:rPr>
                <w:b/>
                <w:i/>
              </w:rPr>
              <w:lastRenderedPageBreak/>
              <w:t>Id-data personali msemmija fil-paragrafu 5 għandha tiġi eskluża minn tali trasferiment, sakemm ma jkunx inkiseb il-kunsens espliċitu minn qabel taċ-ċittadin tal-Unjoni kkonċernat.</w:t>
            </w:r>
          </w:p>
        </w:tc>
      </w:tr>
    </w:tbl>
    <w:p w:rsidR="008F50E8" w:rsidRPr="008F50E8" w:rsidRDefault="009D6C58" w:rsidP="008F50E8">
      <w:r w:rsidRPr="009D6C58">
        <w:rPr>
          <w:rStyle w:val="HideTWBExt"/>
        </w:rPr>
        <w:lastRenderedPageBreak/>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36</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w:t>
      </w:r>
      <w:r>
        <w:t xml:space="preserve">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Artikolu 1 – paragrafu 1 – punt 9</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16b – paragrafu 1 – parti introduttorja</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L-Istati Membri għandhom jiżguraw li ċ-ċittadini mhux rappreżentati jkollhom </w:t>
            </w:r>
            <w:r>
              <w:rPr>
                <w:b/>
                <w:i/>
              </w:rPr>
              <w:t>rimedju</w:t>
            </w:r>
            <w:r>
              <w:t xml:space="preserve"> effettiv fid-dritt nazzjonali f’każ ta’ ksur ta’ drittijiethom skont din id-Direttiva.</w:t>
            </w:r>
          </w:p>
        </w:tc>
        <w:tc>
          <w:tcPr>
            <w:tcW w:w="4876" w:type="dxa"/>
          </w:tcPr>
          <w:p w:rsidR="008F50E8" w:rsidRPr="008F50E8" w:rsidRDefault="009D6C58" w:rsidP="008B0592">
            <w:pPr>
              <w:pStyle w:val="Normal6a"/>
              <w:rPr>
                <w:szCs w:val="24"/>
              </w:rPr>
            </w:pPr>
            <w:r>
              <w:t xml:space="preserve">L-Istati Membri għandhom jiżguraw li ċ-ċittadini mhux rappreżentati jkollhom </w:t>
            </w:r>
            <w:r>
              <w:rPr>
                <w:b/>
                <w:i/>
              </w:rPr>
              <w:t>aċċess</w:t>
            </w:r>
            <w:r>
              <w:t xml:space="preserve"> </w:t>
            </w:r>
            <w:r>
              <w:t>effettiv</w:t>
            </w:r>
            <w:r>
              <w:rPr>
                <w:b/>
                <w:i/>
              </w:rPr>
              <w:t xml:space="preserve"> għal mekkaniżmi tal-ilmenti u r-rimedji</w:t>
            </w:r>
            <w:r>
              <w:t xml:space="preserve"> fid-dritt nazzjonali f’każ ta’ ksur ta’ drittijiethom skont din id-Direttiva.</w:t>
            </w:r>
          </w:p>
        </w:tc>
      </w:tr>
    </w:tbl>
    <w:p w:rsidR="008F50E8" w:rsidRPr="008F50E8" w:rsidRDefault="009D6C58" w:rsidP="008F50E8">
      <w:r w:rsidRPr="009D6C58">
        <w:rPr>
          <w:rStyle w:val="HideTWBExt"/>
        </w:rPr>
        <w:t>&lt;/Amend&gt;</w:t>
      </w:r>
    </w:p>
    <w:p w:rsidR="008F50E8" w:rsidRPr="008F50E8" w:rsidRDefault="009D6C58" w:rsidP="008F50E8">
      <w:pPr>
        <w:pStyle w:val="AmNumberTabs"/>
        <w:keepNext/>
      </w:pPr>
      <w:r w:rsidRPr="009D6C58">
        <w:rPr>
          <w:rStyle w:val="HideTWBExt"/>
          <w:b w:val="0"/>
          <w:szCs w:val="24"/>
        </w:rPr>
        <w:t>&lt;Amend&gt;</w:t>
      </w:r>
      <w:r>
        <w:t>Emenda</w:t>
      </w:r>
      <w:r>
        <w:tab/>
      </w:r>
      <w:r>
        <w:tab/>
      </w:r>
      <w:r w:rsidRPr="009D6C58">
        <w:rPr>
          <w:rStyle w:val="HideTWBExt"/>
          <w:b w:val="0"/>
          <w:szCs w:val="24"/>
        </w:rPr>
        <w:t>&lt;NumAm&gt;</w:t>
      </w:r>
      <w:r>
        <w:t>37</w:t>
      </w:r>
      <w:r w:rsidRPr="009D6C58">
        <w:rPr>
          <w:rStyle w:val="HideTWBExt"/>
          <w:b w:val="0"/>
          <w:szCs w:val="24"/>
        </w:rPr>
        <w:t>&lt;/NumAm&gt;</w:t>
      </w:r>
    </w:p>
    <w:p w:rsidR="008F50E8" w:rsidRPr="008F50E8" w:rsidRDefault="009D6C58" w:rsidP="008F50E8">
      <w:pPr>
        <w:pStyle w:val="NormalBold12b"/>
        <w:keepNext/>
      </w:pPr>
      <w:r w:rsidRPr="009D6C58">
        <w:rPr>
          <w:rStyle w:val="HideTWBExt"/>
          <w:b w:val="0"/>
          <w:szCs w:val="24"/>
        </w:rPr>
        <w:t>&lt;DocAmend&gt;</w:t>
      </w:r>
      <w:r>
        <w:t>Proposta għal direttiva</w:t>
      </w:r>
      <w:r w:rsidRPr="009D6C58">
        <w:rPr>
          <w:rStyle w:val="HideTWBExt"/>
          <w:b w:val="0"/>
          <w:szCs w:val="24"/>
        </w:rPr>
        <w:t>&lt;/DocAmend&gt;</w:t>
      </w:r>
    </w:p>
    <w:p w:rsidR="008F50E8" w:rsidRPr="008F50E8" w:rsidRDefault="009D6C58" w:rsidP="008F50E8">
      <w:pPr>
        <w:pStyle w:val="NormalBold"/>
        <w:keepNext/>
      </w:pPr>
      <w:r w:rsidRPr="009D6C58">
        <w:rPr>
          <w:rStyle w:val="HideTWBExt"/>
          <w:b w:val="0"/>
          <w:szCs w:val="24"/>
        </w:rPr>
        <w:t>&lt;Article&gt;</w:t>
      </w:r>
      <w:r>
        <w:t xml:space="preserve">Artikolu 1 – paragrafu 1 – punt </w:t>
      </w:r>
      <w:r>
        <w:t>10</w:t>
      </w:r>
      <w:r w:rsidRPr="009D6C58">
        <w:rPr>
          <w:rStyle w:val="HideTWBExt"/>
          <w:b w:val="0"/>
          <w:szCs w:val="24"/>
        </w:rPr>
        <w:t>&lt;/Article&gt;</w:t>
      </w:r>
    </w:p>
    <w:p w:rsidR="008F50E8" w:rsidRPr="008F50E8" w:rsidRDefault="009D6C58" w:rsidP="008F50E8">
      <w:pPr>
        <w:keepNext/>
      </w:pPr>
      <w:r w:rsidRPr="009D6C58">
        <w:rPr>
          <w:rStyle w:val="HideTWBExt"/>
        </w:rPr>
        <w:t>&lt;DocAmend2&gt;</w:t>
      </w:r>
      <w:r>
        <w:t>Direttiva (UE) 2015/637</w:t>
      </w:r>
      <w:r w:rsidRPr="009D6C58">
        <w:rPr>
          <w:rStyle w:val="HideTWBExt"/>
        </w:rPr>
        <w:t>&lt;/DocAmend2&gt;</w:t>
      </w:r>
    </w:p>
    <w:p w:rsidR="008F50E8" w:rsidRPr="008F50E8" w:rsidRDefault="009D6C58" w:rsidP="008F50E8">
      <w:r w:rsidRPr="009D6C58">
        <w:rPr>
          <w:rStyle w:val="HideTWBExt"/>
        </w:rPr>
        <w:t>&lt;Article2&gt;</w:t>
      </w:r>
      <w:r>
        <w:t>Artikolu 19 – paragrafu 3 – subparagrafu 1</w:t>
      </w:r>
      <w:r w:rsidRPr="009D6C58">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7085E" w:rsidTr="008B0592">
        <w:trPr>
          <w:jc w:val="center"/>
        </w:trPr>
        <w:tc>
          <w:tcPr>
            <w:tcW w:w="9752" w:type="dxa"/>
            <w:gridSpan w:val="2"/>
          </w:tcPr>
          <w:p w:rsidR="008F50E8" w:rsidRPr="008F50E8" w:rsidRDefault="008F50E8" w:rsidP="008B0592">
            <w:pPr>
              <w:keepNext/>
            </w:pPr>
          </w:p>
        </w:tc>
      </w:tr>
      <w:tr w:rsidR="0097085E" w:rsidTr="008B0592">
        <w:trPr>
          <w:jc w:val="center"/>
        </w:trPr>
        <w:tc>
          <w:tcPr>
            <w:tcW w:w="4876" w:type="dxa"/>
          </w:tcPr>
          <w:p w:rsidR="008F50E8" w:rsidRPr="008F50E8" w:rsidRDefault="009D6C58" w:rsidP="008B0592">
            <w:pPr>
              <w:pStyle w:val="AmColumnHeading"/>
              <w:keepNext/>
            </w:pPr>
            <w:r>
              <w:t>Test propost mill-Kummissjoni</w:t>
            </w:r>
          </w:p>
        </w:tc>
        <w:tc>
          <w:tcPr>
            <w:tcW w:w="4876" w:type="dxa"/>
          </w:tcPr>
          <w:p w:rsidR="008F50E8" w:rsidRPr="008F50E8" w:rsidRDefault="009D6C58" w:rsidP="008B0592">
            <w:pPr>
              <w:pStyle w:val="AmColumnHeading"/>
              <w:keepNext/>
            </w:pPr>
            <w:r>
              <w:t>Emenda</w:t>
            </w:r>
          </w:p>
        </w:tc>
      </w:tr>
      <w:tr w:rsidR="0097085E" w:rsidTr="008B0592">
        <w:trPr>
          <w:jc w:val="center"/>
        </w:trPr>
        <w:tc>
          <w:tcPr>
            <w:tcW w:w="4876" w:type="dxa"/>
          </w:tcPr>
          <w:p w:rsidR="008F50E8" w:rsidRPr="008F50E8" w:rsidRDefault="009D6C58" w:rsidP="008B0592">
            <w:pPr>
              <w:pStyle w:val="Normal6a"/>
            </w:pPr>
            <w:r>
              <w:t xml:space="preserve">3. </w:t>
            </w:r>
            <w:r>
              <w:rPr>
                <w:b/>
                <w:i/>
              </w:rPr>
              <w:t>Mhux qabel [8 </w:t>
            </w:r>
            <w:r>
              <w:t xml:space="preserve">snin wara l-iskadenza tat-traspożizzjoni tad-Direttiva emendatorja], </w:t>
            </w:r>
            <w:r>
              <w:t>il-Kummissjoni għandha tagħmel evalwazzjoni ta’ din id-Direttiva u tippreżenta rapport dwar il-konklużjonijiet ewlenin lill-Parlament Ewropew u lill-Kunsill.</w:t>
            </w:r>
          </w:p>
        </w:tc>
        <w:tc>
          <w:tcPr>
            <w:tcW w:w="4876" w:type="dxa"/>
          </w:tcPr>
          <w:p w:rsidR="008F50E8" w:rsidRPr="008F50E8" w:rsidRDefault="009D6C58" w:rsidP="008B0592">
            <w:pPr>
              <w:pStyle w:val="Normal6a"/>
              <w:rPr>
                <w:szCs w:val="24"/>
              </w:rPr>
            </w:pPr>
            <w:r>
              <w:t xml:space="preserve">3. </w:t>
            </w:r>
            <w:r>
              <w:rPr>
                <w:b/>
                <w:i/>
              </w:rPr>
              <w:t xml:space="preserve">Sa </w:t>
            </w:r>
            <w:r>
              <w:rPr>
                <w:b/>
                <w:i/>
                <w:iCs/>
              </w:rPr>
              <w:t xml:space="preserve">[erba’ </w:t>
            </w:r>
            <w:r>
              <w:rPr>
                <w:i/>
                <w:iCs/>
              </w:rPr>
              <w:t>snin wara l-iskadenza tat-traspożizzjoni tad-Direttiva emendatorja]</w:t>
            </w:r>
            <w:r>
              <w:rPr>
                <w:b/>
                <w:i/>
              </w:rPr>
              <w:t xml:space="preserve"> u kull erba’ snin minn hemm ’il quddiem</w:t>
            </w:r>
            <w:r>
              <w:t xml:space="preserve">, il-Kummissjoni għandha tagħmel evalwazzjoni </w:t>
            </w:r>
            <w:r>
              <w:rPr>
                <w:b/>
                <w:i/>
              </w:rPr>
              <w:t xml:space="preserve">tat-traspożizzjoni u l-applikazzjoni </w:t>
            </w:r>
            <w:r>
              <w:t>ta’ din id-Direttiva u tippreżenta rapport dwar il-konklużjonijiet ewlenin lill-Parlament Ewropew u lill-Kunsill</w:t>
            </w:r>
            <w:r>
              <w:rPr>
                <w:b/>
                <w:i/>
              </w:rPr>
              <w:t>, li jinkludi ksur po</w:t>
            </w:r>
            <w:r>
              <w:rPr>
                <w:b/>
                <w:i/>
              </w:rPr>
              <w:t>ssibbli tad-drittijiet li jaqgħu taħt din id-Direttiva</w:t>
            </w:r>
            <w:r>
              <w:t>.</w:t>
            </w:r>
          </w:p>
        </w:tc>
      </w:tr>
    </w:tbl>
    <w:p w:rsidR="009D6C58" w:rsidRPr="009D6C58" w:rsidRDefault="009D6C58" w:rsidP="00DB56E4">
      <w:pPr>
        <w:rPr>
          <w:rStyle w:val="HideTWBExt"/>
        </w:rPr>
      </w:pPr>
      <w:r w:rsidRPr="009D6C58">
        <w:rPr>
          <w:rStyle w:val="HideTWBExt"/>
        </w:rPr>
        <w:t>&lt;</w:t>
      </w:r>
      <w:r w:rsidRPr="009D6C58">
        <w:rPr>
          <w:rStyle w:val="HideTWBExt"/>
        </w:rPr>
        <w:t>/</w:t>
      </w:r>
      <w:r w:rsidRPr="009D6C58">
        <w:rPr>
          <w:rStyle w:val="HideTWBExt"/>
        </w:rPr>
        <w:t>Amend&gt;</w:t>
      </w:r>
    </w:p>
    <w:p w:rsidR="00DB56E4" w:rsidRPr="009D6C58" w:rsidRDefault="009D6C58" w:rsidP="00DB56E4">
      <w:pPr>
        <w:rPr>
          <w:rStyle w:val="HideTWBExt"/>
        </w:rPr>
      </w:pPr>
      <w:r w:rsidRPr="009D6C58">
        <w:rPr>
          <w:rStyle w:val="HideTWBExt"/>
        </w:rPr>
        <w:t>&lt;/RepeatBlock-AmendB&gt;</w:t>
      </w:r>
      <w:bookmarkEnd w:id="1"/>
    </w:p>
    <w:p w:rsidR="00AF2FD5" w:rsidRPr="009D6C58" w:rsidRDefault="009D6C58">
      <w:pPr>
        <w:widowControl/>
        <w:rPr>
          <w:rStyle w:val="HideTWBExt"/>
        </w:rPr>
      </w:pPr>
      <w:r w:rsidRPr="009D6C58">
        <w:rPr>
          <w:rStyle w:val="HideTWBExt"/>
        </w:rPr>
        <w:br w:type="page"/>
      </w:r>
    </w:p>
    <w:p w:rsidR="00AF2FD5" w:rsidRPr="008F50E8" w:rsidRDefault="00AF2FD5" w:rsidP="00DB56E4"/>
    <w:p w:rsidR="00E53B60" w:rsidRDefault="00E53B60" w:rsidP="00AF2FD5">
      <w:pPr>
        <w:pStyle w:val="PageHeadingNotTOC"/>
      </w:pPr>
    </w:p>
    <w:p w:rsidR="00E53B60" w:rsidRDefault="00E53B60" w:rsidP="00AF2FD5">
      <w:pPr>
        <w:pStyle w:val="PageHeadingNotTOC"/>
      </w:pPr>
    </w:p>
    <w:p w:rsidR="00AF2FD5" w:rsidRPr="008F50E8" w:rsidRDefault="009D6C58" w:rsidP="00AF2FD5">
      <w:pPr>
        <w:pStyle w:val="PageHeadingNotTOC"/>
        <w:rPr>
          <w:noProof/>
        </w:rPr>
      </w:pPr>
      <w:r>
        <w:t>ANNESS: ENTITAJIET JEW PERSUNI</w:t>
      </w:r>
      <w:r>
        <w:br/>
        <w:t>LI R-RAPPORTEUR GĦAL OPINJONI RĊIEVA KONTRIBUT MINGĦANDHOM</w:t>
      </w:r>
    </w:p>
    <w:p w:rsidR="00AF2FD5" w:rsidRPr="008F50E8" w:rsidRDefault="009D6C58" w:rsidP="00AF2FD5">
      <w:pPr>
        <w:pStyle w:val="Normal24a"/>
      </w:pPr>
      <w:r w:rsidRPr="009D6C58">
        <w:rPr>
          <w:rStyle w:val="HideTWBExt"/>
        </w:rPr>
        <w:t>&lt;FootprintIntro&gt;</w:t>
      </w:r>
      <w:r>
        <w:t>F’konformità mal-Artikolu 8 tal-Anness I tar-Regoli ta’ Proċedura, i</w:t>
      </w:r>
      <w:r>
        <w:t>r-rapporteur għal opinjoni jiddikjara li rċieva kontribut mill-entitajiet jew il-persuni li ġejjin fit-tħejjija tal-opinjoni, sal-adozzjoni tagħha fil-kumitat:</w:t>
      </w:r>
      <w:r w:rsidRPr="009D6C5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7085E" w:rsidTr="00020A18">
        <w:tc>
          <w:tcPr>
            <w:tcW w:w="9060" w:type="dxa"/>
            <w:shd w:val="clear" w:color="auto" w:fill="auto"/>
          </w:tcPr>
          <w:p w:rsidR="00AF2FD5" w:rsidRPr="008F50E8" w:rsidRDefault="009D6C58" w:rsidP="00020A18">
            <w:pPr>
              <w:pStyle w:val="NormalBoldCenter"/>
            </w:pPr>
            <w:r>
              <w:t>Entità u/jew persuna</w:t>
            </w:r>
          </w:p>
        </w:tc>
      </w:tr>
      <w:tr w:rsidR="0097085E" w:rsidTr="00020A18">
        <w:tc>
          <w:tcPr>
            <w:tcW w:w="9060" w:type="dxa"/>
            <w:shd w:val="clear" w:color="auto" w:fill="auto"/>
          </w:tcPr>
          <w:p w:rsidR="00AF2FD5" w:rsidRPr="008F50E8" w:rsidRDefault="009D6C58" w:rsidP="00020A18">
            <w:r>
              <w:t>European External Action Service</w:t>
            </w:r>
          </w:p>
        </w:tc>
      </w:tr>
      <w:tr w:rsidR="0097085E" w:rsidTr="00020A18">
        <w:tc>
          <w:tcPr>
            <w:tcW w:w="9060" w:type="dxa"/>
            <w:shd w:val="clear" w:color="auto" w:fill="auto"/>
          </w:tcPr>
          <w:p w:rsidR="00AF2FD5" w:rsidRPr="008F50E8" w:rsidRDefault="009D6C58" w:rsidP="00020A18">
            <w:r>
              <w:t>European Commission</w:t>
            </w:r>
          </w:p>
        </w:tc>
      </w:tr>
    </w:tbl>
    <w:p w:rsidR="00AF2FD5" w:rsidRPr="008F50E8" w:rsidRDefault="00AF2FD5" w:rsidP="00AF2FD5"/>
    <w:p w:rsidR="00AF2FD5" w:rsidRPr="008F50E8" w:rsidRDefault="009D6C58" w:rsidP="00AF2FD5">
      <w:r>
        <w:t>Il-lista ta’ hawn fuq hija mfassla taħt ir-responsabbiltà esklużiva tar-rapporteur għal opinjoni.</w:t>
      </w:r>
      <w:bookmarkStart w:id="3" w:name="_GoBack"/>
      <w:bookmarkEnd w:id="3"/>
    </w:p>
    <w:p w:rsidR="00AF2FD5" w:rsidRPr="008F50E8" w:rsidRDefault="00AF2FD5" w:rsidP="00AF2FD5"/>
    <w:p w:rsidR="008F50E8" w:rsidRPr="008F50E8" w:rsidRDefault="009D6C58" w:rsidP="008F50E8">
      <w:r>
        <w:br w:type="page"/>
      </w:r>
    </w:p>
    <w:p w:rsidR="008F50E8" w:rsidRPr="008F50E8" w:rsidRDefault="009D6C58" w:rsidP="008F50E8">
      <w:pPr>
        <w:pStyle w:val="PageHeadingNotTOC"/>
      </w:pPr>
      <w:bookmarkStart w:id="4" w:name="ProcPageAD"/>
      <w:r>
        <w:lastRenderedPageBreak/>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Miżuri biex tiġi ffaċilitata l-protezzjoni konsulari għal ċ</w:t>
            </w:r>
            <w:r>
              <w:rPr>
                <w:color w:val="000000"/>
                <w:sz w:val="20"/>
              </w:rPr>
              <w:t>ittadini mhux rappreżentati tal-Unjoni f’pajjiżi terzi</w:t>
            </w:r>
          </w:p>
        </w:tc>
      </w:tr>
      <w:tr w:rsidR="009708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COM(2023)0930 – C9-0015/2024 – 2023/0441(CNS)</w:t>
            </w:r>
          </w:p>
        </w:tc>
      </w:tr>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Kumitat responsabbli</w:t>
            </w:r>
          </w:p>
          <w:p w:rsidR="008F50E8" w:rsidRPr="008F50E8" w:rsidRDefault="009D6C58">
            <w:pPr>
              <w:autoSpaceDE w:val="0"/>
              <w:autoSpaceDN w:val="0"/>
              <w:adjustRightInd w:val="0"/>
              <w:rPr>
                <w:color w:val="000000"/>
                <w:sz w:val="20"/>
                <w:szCs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LIBE</w:t>
            </w:r>
          </w:p>
          <w:p w:rsidR="008F50E8" w:rsidRPr="008F50E8" w:rsidRDefault="009D6C58">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r>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Opinjoni(jiet) mogħtija minn</w:t>
            </w:r>
          </w:p>
          <w:p w:rsidR="008F50E8" w:rsidRPr="008F50E8" w:rsidRDefault="009D6C58">
            <w:pPr>
              <w:autoSpaceDE w:val="0"/>
              <w:autoSpaceDN w:val="0"/>
              <w:adjustRightInd w:val="0"/>
              <w:rPr>
                <w:color w:val="000000"/>
                <w:sz w:val="20"/>
                <w:szCs w:val="20"/>
              </w:rPr>
            </w:pPr>
            <w:r>
              <w:rPr>
                <w:color w:val="000000"/>
                <w:sz w:val="20"/>
              </w:rPr>
              <w:t xml:space="preserve">       Data tat-tħabbir </w:t>
            </w:r>
            <w:r>
              <w:rPr>
                <w:color w:val="000000"/>
                <w:sz w:val="20"/>
              </w:rPr>
              <w:t>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AFET</w:t>
            </w:r>
          </w:p>
          <w:p w:rsidR="008F50E8" w:rsidRPr="008F50E8" w:rsidRDefault="009D6C58">
            <w:pPr>
              <w:autoSpaceDE w:val="0"/>
              <w:autoSpaceDN w:val="0"/>
              <w:adjustRightInd w:val="0"/>
              <w:rPr>
                <w:color w:val="000000"/>
                <w:sz w:val="20"/>
                <w:szCs w:val="20"/>
              </w:rPr>
            </w:pPr>
            <w:r>
              <w:rPr>
                <w:color w:val="000000"/>
                <w:sz w:val="20"/>
              </w:rPr>
              <w:t>14.3.2024</w:t>
            </w:r>
          </w:p>
        </w:tc>
      </w:tr>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Rapporteur għal opinjoni</w:t>
            </w:r>
          </w:p>
          <w:p w:rsidR="008F50E8" w:rsidRPr="008F50E8" w:rsidRDefault="009D6C58">
            <w:pPr>
              <w:autoSpaceDE w:val="0"/>
              <w:autoSpaceDN w:val="0"/>
              <w:adjustRightInd w:val="0"/>
              <w:rPr>
                <w:color w:val="000000"/>
                <w:sz w:val="20"/>
                <w:szCs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Nacho Sánchez Amor</w:t>
            </w:r>
          </w:p>
          <w:p w:rsidR="008F50E8" w:rsidRPr="008F50E8" w:rsidRDefault="009D6C58">
            <w:pPr>
              <w:autoSpaceDE w:val="0"/>
              <w:autoSpaceDN w:val="0"/>
              <w:adjustRightInd w:val="0"/>
              <w:rPr>
                <w:color w:val="000000"/>
                <w:sz w:val="20"/>
                <w:szCs w:val="20"/>
              </w:rPr>
            </w:pPr>
            <w:r>
              <w:rPr>
                <w:color w:val="000000"/>
                <w:sz w:val="20"/>
              </w:rPr>
              <w:t>20.2.2024</w:t>
            </w:r>
          </w:p>
        </w:tc>
      </w:tr>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r>
      <w:tr w:rsidR="009708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F50E8" w:rsidRPr="008F50E8" w:rsidRDefault="008F50E8">
            <w:pPr>
              <w:autoSpaceDE w:val="0"/>
              <w:autoSpaceDN w:val="0"/>
              <w:adjustRightInd w:val="0"/>
              <w:rPr>
                <w:rFonts w:ascii="sans-serif" w:hAnsi="sans-serif" w:cs="sans-serif"/>
                <w:color w:val="000000"/>
              </w:rPr>
            </w:pPr>
          </w:p>
        </w:tc>
      </w:tr>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w:t>
            </w:r>
          </w:p>
          <w:p w:rsidR="008F50E8" w:rsidRPr="008F50E8" w:rsidRDefault="009D6C58">
            <w:pPr>
              <w:autoSpaceDE w:val="0"/>
              <w:autoSpaceDN w:val="0"/>
              <w:adjustRightInd w:val="0"/>
              <w:rPr>
                <w:color w:val="000000"/>
                <w:sz w:val="20"/>
                <w:szCs w:val="20"/>
              </w:rPr>
            </w:pPr>
            <w:r>
              <w:rPr>
                <w:color w:val="000000"/>
                <w:sz w:val="20"/>
              </w:rPr>
              <w:t>–:</w:t>
            </w:r>
          </w:p>
          <w:p w:rsidR="008F50E8" w:rsidRPr="008F50E8" w:rsidRDefault="009D6C58">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43</w:t>
            </w:r>
          </w:p>
          <w:p w:rsidR="008F50E8" w:rsidRPr="008F50E8" w:rsidRDefault="009D6C58">
            <w:pPr>
              <w:autoSpaceDE w:val="0"/>
              <w:autoSpaceDN w:val="0"/>
              <w:adjustRightInd w:val="0"/>
              <w:rPr>
                <w:color w:val="000000"/>
                <w:sz w:val="20"/>
                <w:szCs w:val="20"/>
              </w:rPr>
            </w:pPr>
            <w:r>
              <w:rPr>
                <w:color w:val="000000"/>
                <w:sz w:val="20"/>
              </w:rPr>
              <w:t>3</w:t>
            </w:r>
          </w:p>
          <w:p w:rsidR="008F50E8" w:rsidRPr="008F50E8" w:rsidRDefault="009D6C58">
            <w:pPr>
              <w:autoSpaceDE w:val="0"/>
              <w:autoSpaceDN w:val="0"/>
              <w:adjustRightInd w:val="0"/>
              <w:rPr>
                <w:color w:val="000000"/>
                <w:sz w:val="20"/>
                <w:szCs w:val="20"/>
              </w:rPr>
            </w:pPr>
            <w:r>
              <w:rPr>
                <w:color w:val="000000"/>
                <w:sz w:val="20"/>
              </w:rPr>
              <w:t>4</w:t>
            </w:r>
          </w:p>
        </w:tc>
      </w:tr>
      <w:tr w:rsidR="009708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 xml:space="preserve">Membri preżenti </w:t>
            </w:r>
            <w:r>
              <w:rPr>
                <w:b/>
                <w:color w:val="000000"/>
                <w:sz w:val="20"/>
              </w:rPr>
              <w:t>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Alviina Alametsä, Alexander Alexandrov Yordanov, Maria Arena, Traian Băsescu, Krzysztof Brejza, Reinhard Bütikofer, Susanna Ceccardi, Włodzimierz Cimoszewicz, Katalin Cseh, Michael Gahler, Kinga Gál, Bernard Guetta, Andrius Kubilius</w:t>
            </w:r>
            <w:r>
              <w:rPr>
                <w:color w:val="000000"/>
                <w:sz w:val="20"/>
              </w:rPr>
              <w:t>, David Lega, Nathalie Loiseau, Leopoldo López Gil, Lukas Mandl, Thierry Mariani, David McAllister, Vangelis Meimarakis, Sven Mikser, Alessandra Moretti, Matjaž Nemec, Demetris Papadakis, Tonino Picula, Thijs Reuten, Nacho Sánchez Amor, Isabel Santos, Jord</w:t>
            </w:r>
            <w:r>
              <w:rPr>
                <w:color w:val="000000"/>
                <w:sz w:val="20"/>
              </w:rPr>
              <w:t>i Solé, Tineke Strik, Dominik Tarczyński, Hermann Tertsch, Idoia Villanueva Ruiz, Thomas Waitz, Isabel Wiseler-Lima, Tomáš Zdechovský, Željana Zovko</w:t>
            </w:r>
          </w:p>
        </w:tc>
      </w:tr>
      <w:tr w:rsidR="009708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Udo Bullmann, Michael Kauch, Andrey Kovatchev, Georgios Kyrtsos</w:t>
            </w:r>
            <w:r>
              <w:rPr>
                <w:color w:val="000000"/>
                <w:sz w:val="20"/>
              </w:rPr>
              <w:t>, Juozas Olekas, Nikos Papandreou, María Soraya Rodríguez Ramos, Mick Wallace, Javier Zarzalejos</w:t>
            </w:r>
          </w:p>
        </w:tc>
      </w:tr>
      <w:tr w:rsidR="009708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b/>
                <w:bCs/>
                <w:color w:val="000000"/>
                <w:sz w:val="20"/>
                <w:szCs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F50E8" w:rsidRPr="008F50E8" w:rsidRDefault="009D6C58">
            <w:pPr>
              <w:autoSpaceDE w:val="0"/>
              <w:autoSpaceDN w:val="0"/>
              <w:adjustRightInd w:val="0"/>
              <w:rPr>
                <w:color w:val="000000"/>
                <w:sz w:val="20"/>
                <w:szCs w:val="20"/>
              </w:rPr>
            </w:pPr>
            <w:r>
              <w:rPr>
                <w:color w:val="000000"/>
                <w:sz w:val="20"/>
              </w:rPr>
              <w:t>Theresa Bielowski, Sylvie Guillaume, Andrey Novakov, Juan Ignacio Zoido Álvarez</w:t>
            </w:r>
          </w:p>
        </w:tc>
      </w:tr>
      <w:bookmarkEnd w:id="4"/>
    </w:tbl>
    <w:p w:rsidR="008F50E8" w:rsidRPr="008F50E8" w:rsidRDefault="008F50E8">
      <w:pPr>
        <w:widowControl/>
        <w:sectPr w:rsidR="008F50E8" w:rsidRPr="008F50E8" w:rsidSect="008F50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F50E8" w:rsidRPr="008F50E8" w:rsidRDefault="008F50E8" w:rsidP="008F50E8">
      <w:bookmarkStart w:id="5" w:name="FootprintPageAD"/>
    </w:p>
    <w:bookmarkEnd w:id="5"/>
    <w:p w:rsidR="008F50E8" w:rsidRPr="008F50E8" w:rsidRDefault="008F50E8">
      <w:pPr>
        <w:widowControl/>
        <w:sectPr w:rsidR="008F50E8" w:rsidRPr="008F50E8" w:rsidSect="008F50E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F50E8" w:rsidRPr="008F50E8" w:rsidRDefault="008F50E8">
      <w:pPr>
        <w:widowControl/>
      </w:pPr>
    </w:p>
    <w:p w:rsidR="008F50E8" w:rsidRPr="008F50E8" w:rsidRDefault="009D6C58" w:rsidP="008F50E8">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bookmarkStart w:id="6" w:name="RollCallPageAD"/>
      <w:r>
        <w:rPr>
          <w:rFonts w:ascii="Arial" w:hAnsi="Arial"/>
          <w:b/>
        </w:rPr>
        <w:t>VOTAZZJONI FINALI B'SEJĦA TAL-ISMIJIET</w:t>
      </w:r>
    </w:p>
    <w:p w:rsidR="008F50E8" w:rsidRPr="008F50E8" w:rsidRDefault="009D6C58" w:rsidP="008F50E8">
      <w:pPr>
        <w:pStyle w:val="PageHeadingNotTOC"/>
      </w:pPr>
      <w:r>
        <w:t>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85E" w:rsidTr="008B0592">
        <w:trPr>
          <w:cantSplit/>
        </w:trPr>
        <w:tc>
          <w:tcPr>
            <w:tcW w:w="1701" w:type="dxa"/>
            <w:shd w:val="pct10" w:color="000000" w:fill="FFFFFF"/>
            <w:vAlign w:val="center"/>
          </w:tcPr>
          <w:p w:rsidR="008F50E8" w:rsidRPr="008F50E8" w:rsidRDefault="009D6C58" w:rsidP="008B0592">
            <w:pPr>
              <w:pStyle w:val="RollCallVotes"/>
            </w:pPr>
            <w:r>
              <w:t>43</w:t>
            </w:r>
          </w:p>
        </w:tc>
        <w:tc>
          <w:tcPr>
            <w:tcW w:w="7371" w:type="dxa"/>
            <w:shd w:val="pct10" w:color="000000" w:fill="FFFFFF"/>
          </w:tcPr>
          <w:p w:rsidR="008F50E8" w:rsidRPr="008F50E8" w:rsidRDefault="009D6C58" w:rsidP="008B0592">
            <w:pPr>
              <w:pStyle w:val="RollCallSymbols14pt"/>
            </w:pPr>
            <w:r>
              <w:t>+</w:t>
            </w:r>
          </w:p>
        </w:tc>
      </w:tr>
      <w:tr w:rsidR="0097085E" w:rsidTr="008B0592">
        <w:trPr>
          <w:cantSplit/>
        </w:trPr>
        <w:tc>
          <w:tcPr>
            <w:tcW w:w="1701" w:type="dxa"/>
            <w:shd w:val="clear" w:color="auto" w:fill="FFFFFF"/>
          </w:tcPr>
          <w:p w:rsidR="008F50E8" w:rsidRPr="008F50E8" w:rsidRDefault="009D6C58" w:rsidP="008B0592">
            <w:pPr>
              <w:pStyle w:val="RollCallTable"/>
            </w:pPr>
            <w:r>
              <w:t>PPE</w:t>
            </w:r>
          </w:p>
        </w:tc>
        <w:tc>
          <w:tcPr>
            <w:tcW w:w="7371" w:type="dxa"/>
            <w:shd w:val="clear" w:color="auto" w:fill="FFFFFF"/>
          </w:tcPr>
          <w:p w:rsidR="008F50E8" w:rsidRPr="008F50E8" w:rsidRDefault="009D6C58" w:rsidP="008B0592">
            <w:pPr>
              <w:pStyle w:val="RollCallTable"/>
            </w:pPr>
            <w:r>
              <w:t xml:space="preserve">Alexander Alexandrov Yordanov, Traian Băsescu, Krzysztof Brejza, Michael Gahler, Andrey Kovatchev, </w:t>
            </w:r>
            <w:r>
              <w:t>Andrius Kubilius, Leopoldo López Gil, David McAllister, Lukas Mandl, Vangelis Meimarakis, Andrey Novakov, Isabel Wiseler-Lima, Javier Zarzalejos, Tomáš Zdechovský, Juan Ignacio Zoido Álvarez, Željana Zovko</w:t>
            </w:r>
          </w:p>
        </w:tc>
      </w:tr>
      <w:tr w:rsidR="0097085E" w:rsidTr="008B0592">
        <w:trPr>
          <w:cantSplit/>
        </w:trPr>
        <w:tc>
          <w:tcPr>
            <w:tcW w:w="1701" w:type="dxa"/>
            <w:shd w:val="clear" w:color="auto" w:fill="FFFFFF"/>
          </w:tcPr>
          <w:p w:rsidR="008F50E8" w:rsidRPr="008F50E8" w:rsidRDefault="009D6C58" w:rsidP="008B0592">
            <w:pPr>
              <w:pStyle w:val="RollCallTable"/>
            </w:pPr>
            <w:r>
              <w:t>Renew</w:t>
            </w:r>
          </w:p>
        </w:tc>
        <w:tc>
          <w:tcPr>
            <w:tcW w:w="7371" w:type="dxa"/>
            <w:shd w:val="clear" w:color="auto" w:fill="FFFFFF"/>
          </w:tcPr>
          <w:p w:rsidR="008F50E8" w:rsidRPr="008F50E8" w:rsidRDefault="009D6C58" w:rsidP="008B0592">
            <w:pPr>
              <w:pStyle w:val="RollCallTable"/>
            </w:pPr>
            <w:r>
              <w:t>Katalin Cseh, Bernard Guetta, Michael Kauch</w:t>
            </w:r>
            <w:r>
              <w:t>, Georgios Kyrtsos, Nathalie Loiseau, María Soraya Rodríguez Ramos</w:t>
            </w:r>
          </w:p>
        </w:tc>
      </w:tr>
      <w:tr w:rsidR="0097085E" w:rsidTr="008B0592">
        <w:trPr>
          <w:cantSplit/>
        </w:trPr>
        <w:tc>
          <w:tcPr>
            <w:tcW w:w="1701" w:type="dxa"/>
            <w:shd w:val="clear" w:color="auto" w:fill="FFFFFF"/>
          </w:tcPr>
          <w:p w:rsidR="008F50E8" w:rsidRPr="008F50E8" w:rsidRDefault="009D6C58" w:rsidP="008B0592">
            <w:pPr>
              <w:pStyle w:val="RollCallTable"/>
            </w:pPr>
            <w:r>
              <w:t>S&amp;D</w:t>
            </w:r>
          </w:p>
        </w:tc>
        <w:tc>
          <w:tcPr>
            <w:tcW w:w="7371" w:type="dxa"/>
            <w:shd w:val="clear" w:color="auto" w:fill="FFFFFF"/>
          </w:tcPr>
          <w:p w:rsidR="008F50E8" w:rsidRPr="008F50E8" w:rsidRDefault="009D6C58" w:rsidP="008B0592">
            <w:pPr>
              <w:pStyle w:val="RollCallTable"/>
            </w:pPr>
            <w:r>
              <w:t xml:space="preserve">Maria Arena, Theresa Bielowski, Udo Bullmann, Włodzimierz Cimoszewicz, Sylvie Guillaume, Sven Mikser, Alessandra Moretti, Matjaž Nemec, Juozas Olekas, Demetris Papadakis, Nikos </w:t>
            </w:r>
            <w:r>
              <w:t>Papandreou, Tonino Picula, Thijs Reuten, Nacho Sánchez Amor, Isabel Santos</w:t>
            </w:r>
          </w:p>
        </w:tc>
      </w:tr>
      <w:tr w:rsidR="0097085E" w:rsidTr="008B0592">
        <w:trPr>
          <w:cantSplit/>
        </w:trPr>
        <w:tc>
          <w:tcPr>
            <w:tcW w:w="1701" w:type="dxa"/>
            <w:shd w:val="clear" w:color="auto" w:fill="FFFFFF"/>
          </w:tcPr>
          <w:p w:rsidR="008F50E8" w:rsidRPr="008F50E8" w:rsidRDefault="009D6C58" w:rsidP="008B0592">
            <w:pPr>
              <w:pStyle w:val="RollCallTable"/>
            </w:pPr>
            <w:r>
              <w:t>The Left</w:t>
            </w:r>
          </w:p>
        </w:tc>
        <w:tc>
          <w:tcPr>
            <w:tcW w:w="7371" w:type="dxa"/>
            <w:shd w:val="clear" w:color="auto" w:fill="FFFFFF"/>
          </w:tcPr>
          <w:p w:rsidR="008F50E8" w:rsidRPr="008F50E8" w:rsidRDefault="009D6C58" w:rsidP="008B0592">
            <w:pPr>
              <w:pStyle w:val="RollCallTable"/>
            </w:pPr>
            <w:r>
              <w:t>Idoia Villanueva Ruiz</w:t>
            </w:r>
          </w:p>
        </w:tc>
      </w:tr>
      <w:tr w:rsidR="0097085E" w:rsidTr="008B0592">
        <w:trPr>
          <w:cantSplit/>
        </w:trPr>
        <w:tc>
          <w:tcPr>
            <w:tcW w:w="1701" w:type="dxa"/>
            <w:shd w:val="clear" w:color="auto" w:fill="FFFFFF"/>
          </w:tcPr>
          <w:p w:rsidR="008F50E8" w:rsidRPr="008F50E8" w:rsidRDefault="009D6C58" w:rsidP="008B0592">
            <w:pPr>
              <w:pStyle w:val="RollCallTable"/>
            </w:pPr>
            <w:r>
              <w:t>Verts/ALE</w:t>
            </w:r>
          </w:p>
        </w:tc>
        <w:tc>
          <w:tcPr>
            <w:tcW w:w="7371" w:type="dxa"/>
            <w:shd w:val="clear" w:color="auto" w:fill="FFFFFF"/>
          </w:tcPr>
          <w:p w:rsidR="008F50E8" w:rsidRPr="008F50E8" w:rsidRDefault="009D6C58" w:rsidP="008B0592">
            <w:pPr>
              <w:pStyle w:val="RollCallTable"/>
            </w:pPr>
            <w:r>
              <w:t>Alviina Alametsä, Reinhard Bütikofer, Jordi Solé, Tineke Strik, Thomas Waitz</w:t>
            </w:r>
          </w:p>
        </w:tc>
      </w:tr>
    </w:tbl>
    <w:p w:rsidR="008F50E8" w:rsidRPr="008F50E8" w:rsidRDefault="008F50E8" w:rsidP="008F50E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85E" w:rsidTr="008B0592">
        <w:trPr>
          <w:cantSplit/>
        </w:trPr>
        <w:tc>
          <w:tcPr>
            <w:tcW w:w="1701" w:type="dxa"/>
            <w:shd w:val="pct10" w:color="000000" w:fill="FFFFFF"/>
            <w:vAlign w:val="center"/>
          </w:tcPr>
          <w:p w:rsidR="008F50E8" w:rsidRPr="008F50E8" w:rsidRDefault="009D6C58" w:rsidP="008B0592">
            <w:pPr>
              <w:pStyle w:val="RollCallVotes"/>
            </w:pPr>
            <w:r>
              <w:t>3</w:t>
            </w:r>
          </w:p>
        </w:tc>
        <w:tc>
          <w:tcPr>
            <w:tcW w:w="7371" w:type="dxa"/>
            <w:shd w:val="pct10" w:color="000000" w:fill="FFFFFF"/>
          </w:tcPr>
          <w:p w:rsidR="008F50E8" w:rsidRPr="008F50E8" w:rsidRDefault="009D6C58" w:rsidP="008B0592">
            <w:pPr>
              <w:pStyle w:val="RollCallSymbols14pt"/>
            </w:pPr>
            <w:r>
              <w:t>-</w:t>
            </w:r>
          </w:p>
        </w:tc>
      </w:tr>
      <w:tr w:rsidR="0097085E" w:rsidTr="008B0592">
        <w:trPr>
          <w:cantSplit/>
        </w:trPr>
        <w:tc>
          <w:tcPr>
            <w:tcW w:w="1701" w:type="dxa"/>
            <w:shd w:val="clear" w:color="auto" w:fill="FFFFFF"/>
          </w:tcPr>
          <w:p w:rsidR="008F50E8" w:rsidRPr="008F50E8" w:rsidRDefault="009D6C58" w:rsidP="008B0592">
            <w:pPr>
              <w:pStyle w:val="RollCallTable"/>
            </w:pPr>
            <w:r>
              <w:t>ECR</w:t>
            </w:r>
          </w:p>
        </w:tc>
        <w:tc>
          <w:tcPr>
            <w:tcW w:w="7371" w:type="dxa"/>
            <w:shd w:val="clear" w:color="auto" w:fill="FFFFFF"/>
          </w:tcPr>
          <w:p w:rsidR="008F50E8" w:rsidRPr="008F50E8" w:rsidRDefault="009D6C58" w:rsidP="008B0592">
            <w:pPr>
              <w:pStyle w:val="RollCallTable"/>
            </w:pPr>
            <w:r>
              <w:t>Dominik Tarczyński, Hermann Tertsch</w:t>
            </w:r>
          </w:p>
        </w:tc>
      </w:tr>
      <w:tr w:rsidR="0097085E" w:rsidTr="008B0592">
        <w:trPr>
          <w:cantSplit/>
        </w:trPr>
        <w:tc>
          <w:tcPr>
            <w:tcW w:w="1701" w:type="dxa"/>
            <w:shd w:val="clear" w:color="auto" w:fill="FFFFFF"/>
          </w:tcPr>
          <w:p w:rsidR="008F50E8" w:rsidRPr="008F50E8" w:rsidRDefault="009D6C58" w:rsidP="008B0592">
            <w:pPr>
              <w:pStyle w:val="RollCallTable"/>
            </w:pPr>
            <w:r>
              <w:t>ID</w:t>
            </w:r>
          </w:p>
        </w:tc>
        <w:tc>
          <w:tcPr>
            <w:tcW w:w="7371" w:type="dxa"/>
            <w:shd w:val="clear" w:color="auto" w:fill="FFFFFF"/>
          </w:tcPr>
          <w:p w:rsidR="008F50E8" w:rsidRPr="008F50E8" w:rsidRDefault="009D6C58" w:rsidP="008B0592">
            <w:pPr>
              <w:pStyle w:val="RollCallTable"/>
            </w:pPr>
            <w:r>
              <w:t xml:space="preserve">Thierry </w:t>
            </w:r>
            <w:r>
              <w:t>Mariani</w:t>
            </w:r>
          </w:p>
        </w:tc>
      </w:tr>
    </w:tbl>
    <w:p w:rsidR="008F50E8" w:rsidRPr="008F50E8" w:rsidRDefault="008F50E8" w:rsidP="008F50E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085E" w:rsidTr="008B0592">
        <w:trPr>
          <w:cantSplit/>
        </w:trPr>
        <w:tc>
          <w:tcPr>
            <w:tcW w:w="1701" w:type="dxa"/>
            <w:shd w:val="pct10" w:color="000000" w:fill="FFFFFF"/>
            <w:vAlign w:val="center"/>
          </w:tcPr>
          <w:p w:rsidR="008F50E8" w:rsidRPr="008F50E8" w:rsidRDefault="009D6C58" w:rsidP="008B0592">
            <w:pPr>
              <w:pStyle w:val="RollCallVotes"/>
            </w:pPr>
            <w:r>
              <w:t>4</w:t>
            </w:r>
          </w:p>
        </w:tc>
        <w:tc>
          <w:tcPr>
            <w:tcW w:w="7371" w:type="dxa"/>
            <w:shd w:val="pct10" w:color="000000" w:fill="FFFFFF"/>
          </w:tcPr>
          <w:p w:rsidR="008F50E8" w:rsidRPr="008F50E8" w:rsidRDefault="009D6C58" w:rsidP="008B0592">
            <w:pPr>
              <w:pStyle w:val="RollCallSymbols14pt"/>
            </w:pPr>
            <w:r>
              <w:t>0</w:t>
            </w:r>
          </w:p>
        </w:tc>
      </w:tr>
      <w:tr w:rsidR="0097085E" w:rsidTr="008B0592">
        <w:trPr>
          <w:cantSplit/>
        </w:trPr>
        <w:tc>
          <w:tcPr>
            <w:tcW w:w="1701" w:type="dxa"/>
            <w:shd w:val="clear" w:color="auto" w:fill="FFFFFF"/>
          </w:tcPr>
          <w:p w:rsidR="008F50E8" w:rsidRPr="008F50E8" w:rsidRDefault="009D6C58" w:rsidP="008B0592">
            <w:pPr>
              <w:pStyle w:val="RollCallTable"/>
            </w:pPr>
            <w:r>
              <w:t>ID</w:t>
            </w:r>
          </w:p>
        </w:tc>
        <w:tc>
          <w:tcPr>
            <w:tcW w:w="7371" w:type="dxa"/>
            <w:shd w:val="clear" w:color="auto" w:fill="FFFFFF"/>
          </w:tcPr>
          <w:p w:rsidR="008F50E8" w:rsidRPr="008F50E8" w:rsidRDefault="009D6C58" w:rsidP="008B0592">
            <w:pPr>
              <w:pStyle w:val="RollCallTable"/>
            </w:pPr>
            <w:r>
              <w:t>Susanna Ceccardi</w:t>
            </w:r>
          </w:p>
        </w:tc>
      </w:tr>
      <w:tr w:rsidR="0097085E" w:rsidTr="008B0592">
        <w:trPr>
          <w:cantSplit/>
        </w:trPr>
        <w:tc>
          <w:tcPr>
            <w:tcW w:w="1701" w:type="dxa"/>
            <w:shd w:val="clear" w:color="auto" w:fill="FFFFFF"/>
          </w:tcPr>
          <w:p w:rsidR="008F50E8" w:rsidRPr="008F50E8" w:rsidRDefault="009D6C58" w:rsidP="008B0592">
            <w:pPr>
              <w:pStyle w:val="RollCallTable"/>
            </w:pPr>
            <w:r>
              <w:t>NI</w:t>
            </w:r>
          </w:p>
        </w:tc>
        <w:tc>
          <w:tcPr>
            <w:tcW w:w="7371" w:type="dxa"/>
            <w:shd w:val="clear" w:color="auto" w:fill="FFFFFF"/>
          </w:tcPr>
          <w:p w:rsidR="008F50E8" w:rsidRPr="008F50E8" w:rsidRDefault="009D6C58" w:rsidP="008B0592">
            <w:pPr>
              <w:pStyle w:val="RollCallTable"/>
            </w:pPr>
            <w:r>
              <w:t>Kinga Gál</w:t>
            </w:r>
          </w:p>
        </w:tc>
      </w:tr>
      <w:tr w:rsidR="0097085E" w:rsidTr="008B0592">
        <w:trPr>
          <w:cantSplit/>
        </w:trPr>
        <w:tc>
          <w:tcPr>
            <w:tcW w:w="1701" w:type="dxa"/>
            <w:shd w:val="clear" w:color="auto" w:fill="FFFFFF"/>
          </w:tcPr>
          <w:p w:rsidR="008F50E8" w:rsidRPr="008F50E8" w:rsidRDefault="009D6C58" w:rsidP="008B0592">
            <w:pPr>
              <w:pStyle w:val="RollCallTable"/>
            </w:pPr>
            <w:r>
              <w:t>PPE</w:t>
            </w:r>
          </w:p>
        </w:tc>
        <w:tc>
          <w:tcPr>
            <w:tcW w:w="7371" w:type="dxa"/>
            <w:shd w:val="clear" w:color="auto" w:fill="FFFFFF"/>
          </w:tcPr>
          <w:p w:rsidR="008F50E8" w:rsidRPr="008F50E8" w:rsidRDefault="009D6C58" w:rsidP="008B0592">
            <w:pPr>
              <w:pStyle w:val="RollCallTable"/>
            </w:pPr>
            <w:r>
              <w:t>David Lega</w:t>
            </w:r>
          </w:p>
        </w:tc>
      </w:tr>
      <w:tr w:rsidR="0097085E" w:rsidTr="008B0592">
        <w:trPr>
          <w:cantSplit/>
        </w:trPr>
        <w:tc>
          <w:tcPr>
            <w:tcW w:w="1701" w:type="dxa"/>
            <w:shd w:val="clear" w:color="auto" w:fill="FFFFFF"/>
          </w:tcPr>
          <w:p w:rsidR="008F50E8" w:rsidRPr="008F50E8" w:rsidRDefault="009D6C58" w:rsidP="008B0592">
            <w:pPr>
              <w:pStyle w:val="RollCallTable"/>
            </w:pPr>
            <w:r>
              <w:t>The Left</w:t>
            </w:r>
          </w:p>
        </w:tc>
        <w:tc>
          <w:tcPr>
            <w:tcW w:w="7371" w:type="dxa"/>
            <w:shd w:val="clear" w:color="auto" w:fill="FFFFFF"/>
          </w:tcPr>
          <w:p w:rsidR="008F50E8" w:rsidRPr="008F50E8" w:rsidRDefault="009D6C58" w:rsidP="008B0592">
            <w:pPr>
              <w:pStyle w:val="RollCallTable"/>
            </w:pPr>
            <w:r>
              <w:t>Mick Wallace</w:t>
            </w:r>
          </w:p>
        </w:tc>
      </w:tr>
    </w:tbl>
    <w:p w:rsidR="008F50E8" w:rsidRPr="008F50E8" w:rsidRDefault="008F50E8" w:rsidP="008F50E8">
      <w:pPr>
        <w:pStyle w:val="Normal12a"/>
      </w:pPr>
    </w:p>
    <w:p w:rsidR="008F50E8" w:rsidRPr="008F50E8" w:rsidRDefault="009D6C58" w:rsidP="008F50E8">
      <w:r>
        <w:t xml:space="preserve">Tifsira tas-simboli użati: </w:t>
      </w:r>
    </w:p>
    <w:p w:rsidR="008F50E8" w:rsidRPr="008F50E8" w:rsidRDefault="009D6C58" w:rsidP="008F50E8">
      <w:pPr>
        <w:tabs>
          <w:tab w:val="center" w:pos="284"/>
          <w:tab w:val="left" w:pos="426"/>
        </w:tabs>
      </w:pPr>
      <w:r>
        <w:t>+</w:t>
      </w:r>
      <w:r>
        <w:tab/>
        <w:t>:</w:t>
      </w:r>
      <w:r>
        <w:tab/>
        <w:t>favur</w:t>
      </w:r>
    </w:p>
    <w:p w:rsidR="008F50E8" w:rsidRPr="008F50E8" w:rsidRDefault="009D6C58" w:rsidP="008F50E8">
      <w:pPr>
        <w:tabs>
          <w:tab w:val="center" w:pos="284"/>
          <w:tab w:val="left" w:pos="426"/>
        </w:tabs>
      </w:pPr>
      <w:r>
        <w:t>-</w:t>
      </w:r>
      <w:r>
        <w:tab/>
        <w:t>:</w:t>
      </w:r>
      <w:r>
        <w:tab/>
        <w:t>kontra</w:t>
      </w:r>
    </w:p>
    <w:p w:rsidR="008F50E8" w:rsidRPr="008F50E8" w:rsidRDefault="009D6C58" w:rsidP="008F50E8">
      <w:pPr>
        <w:pStyle w:val="RollCallTabs"/>
      </w:pPr>
      <w:r>
        <w:t>0</w:t>
      </w:r>
      <w:r>
        <w:tab/>
        <w:t>:</w:t>
      </w:r>
      <w:r>
        <w:tab/>
        <w:t>astensjoni</w:t>
      </w:r>
    </w:p>
    <w:p w:rsidR="008F50E8" w:rsidRPr="008F50E8" w:rsidRDefault="008F50E8" w:rsidP="008F50E8"/>
    <w:bookmarkEnd w:id="6"/>
    <w:p w:rsidR="008F50E8" w:rsidRPr="008F50E8" w:rsidRDefault="008F50E8" w:rsidP="008F50E8"/>
    <w:p w:rsidR="00DB56E4" w:rsidRPr="008F50E8" w:rsidRDefault="00DB56E4" w:rsidP="008F50E8"/>
    <w:sectPr w:rsidR="00DB56E4" w:rsidRPr="008F50E8" w:rsidSect="008F50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D6C58">
      <w:r>
        <w:separator/>
      </w:r>
    </w:p>
  </w:endnote>
  <w:endnote w:type="continuationSeparator" w:id="0">
    <w:p w:rsidR="00000000" w:rsidRDefault="009D6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0E8" w:rsidRPr="008F50E8" w:rsidRDefault="009D6C58" w:rsidP="008F50E8">
    <w:pPr>
      <w:pStyle w:val="EPFooter"/>
    </w:pPr>
    <w:r w:rsidRPr="008F50E8">
      <w:t>PE</w:t>
    </w:r>
    <w:r w:rsidRPr="009D6C58">
      <w:rPr>
        <w:rStyle w:val="HideTWBExt"/>
      </w:rPr>
      <w:t>&lt;NoPE&gt;</w:t>
    </w:r>
    <w:r w:rsidRPr="008F50E8">
      <w:t>758.853</w:t>
    </w:r>
    <w:r w:rsidRPr="009D6C58">
      <w:rPr>
        <w:rStyle w:val="HideTWBExt"/>
      </w:rPr>
      <w:t>&lt;/NoPE&gt;&lt;Version&gt;</w:t>
    </w:r>
    <w:r w:rsidRPr="008F50E8">
      <w:t>v02-00</w:t>
    </w:r>
    <w:r w:rsidRPr="009D6C58">
      <w:rPr>
        <w:rStyle w:val="HideTWBExt"/>
      </w:rPr>
      <w:t>&lt;/Version&gt;</w:t>
    </w:r>
    <w:r w:rsidRPr="008F50E8">
      <w:tab/>
    </w:r>
    <w:r w:rsidRPr="008F50E8">
      <w:fldChar w:fldCharType="begin"/>
    </w:r>
    <w:r w:rsidRPr="008F50E8">
      <w:instrText xml:space="preserve"> PAGE  \* MERGEFORMAT </w:instrText>
    </w:r>
    <w:r w:rsidRPr="008F50E8">
      <w:fldChar w:fldCharType="separate"/>
    </w:r>
    <w:r>
      <w:rPr>
        <w:noProof/>
      </w:rPr>
      <w:t>24</w:t>
    </w:r>
    <w:r w:rsidRPr="008F50E8">
      <w:fldChar w:fldCharType="end"/>
    </w:r>
    <w:r w:rsidRPr="008F50E8">
      <w:t>/</w:t>
    </w:r>
    <w:fldSimple w:instr=" NUMPAGES  \* MERGEFORMAT ">
      <w:r>
        <w:rPr>
          <w:noProof/>
        </w:rPr>
        <w:t>27</w:t>
      </w:r>
    </w:fldSimple>
    <w:r w:rsidRPr="008F50E8">
      <w:tab/>
    </w:r>
    <w:r w:rsidRPr="009D6C58">
      <w:rPr>
        <w:rStyle w:val="HideTWBExt"/>
      </w:rPr>
      <w:t>&lt;PathFdR&gt;</w:t>
    </w:r>
    <w:r w:rsidRPr="008F50E8">
      <w:t>AD\1299352MT.docx</w:t>
    </w:r>
    <w:r w:rsidRPr="009D6C58">
      <w:rPr>
        <w:rStyle w:val="HideTWBExt"/>
      </w:rPr>
      <w:t>&lt;/PathFdR&gt;</w:t>
    </w:r>
  </w:p>
  <w:p w:rsidR="007F187F" w:rsidRPr="008F50E8" w:rsidRDefault="009D6C58" w:rsidP="008F50E8">
    <w:pPr>
      <w:pStyle w:val="EPFooter2"/>
    </w:pPr>
    <w:r w:rsidRPr="008F50E8">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0E8" w:rsidRPr="008F50E8" w:rsidRDefault="009D6C58" w:rsidP="008F50E8">
    <w:pPr>
      <w:pStyle w:val="EPFooter"/>
    </w:pPr>
    <w:r w:rsidRPr="009D6C58">
      <w:rPr>
        <w:rStyle w:val="HideTWBExt"/>
      </w:rPr>
      <w:t>&lt;PathFdR&gt;</w:t>
    </w:r>
    <w:r w:rsidRPr="008F50E8">
      <w:t>AD\1299352MT.docx</w:t>
    </w:r>
    <w:r w:rsidRPr="009D6C58">
      <w:rPr>
        <w:rStyle w:val="HideTWBExt"/>
      </w:rPr>
      <w:t>&lt;/PathFdR&gt;</w:t>
    </w:r>
    <w:r w:rsidRPr="008F50E8">
      <w:tab/>
    </w:r>
    <w:r w:rsidRPr="008F50E8">
      <w:fldChar w:fldCharType="begin"/>
    </w:r>
    <w:r w:rsidRPr="008F50E8">
      <w:instrText xml:space="preserve"> PAGE  \* MERGEFORMAT </w:instrText>
    </w:r>
    <w:r w:rsidRPr="008F50E8">
      <w:fldChar w:fldCharType="separate"/>
    </w:r>
    <w:r>
      <w:rPr>
        <w:noProof/>
      </w:rPr>
      <w:t>25</w:t>
    </w:r>
    <w:r w:rsidRPr="008F50E8">
      <w:fldChar w:fldCharType="end"/>
    </w:r>
    <w:r w:rsidRPr="008F50E8">
      <w:t>/</w:t>
    </w:r>
    <w:fldSimple w:instr=" NUMPAGES  \* MERGEFORMAT ">
      <w:r>
        <w:rPr>
          <w:noProof/>
        </w:rPr>
        <w:t>27</w:t>
      </w:r>
    </w:fldSimple>
    <w:r w:rsidRPr="008F50E8">
      <w:tab/>
      <w:t>PE</w:t>
    </w:r>
    <w:r w:rsidRPr="009D6C58">
      <w:rPr>
        <w:rStyle w:val="HideTWBExt"/>
      </w:rPr>
      <w:t>&lt;NoPE&gt;</w:t>
    </w:r>
    <w:r w:rsidRPr="008F50E8">
      <w:t>758.853</w:t>
    </w:r>
    <w:r w:rsidRPr="009D6C58">
      <w:rPr>
        <w:rStyle w:val="HideTWBExt"/>
      </w:rPr>
      <w:t>&lt;/NoPE&gt;&lt;Version&gt;</w:t>
    </w:r>
    <w:r w:rsidRPr="008F50E8">
      <w:t>v02-00</w:t>
    </w:r>
    <w:r w:rsidRPr="009D6C58">
      <w:rPr>
        <w:rStyle w:val="HideTWBExt"/>
      </w:rPr>
      <w:t>&lt;/Version&gt;</w:t>
    </w:r>
  </w:p>
  <w:p w:rsidR="007F187F" w:rsidRPr="008F50E8" w:rsidRDefault="009D6C58" w:rsidP="008F50E8">
    <w:pPr>
      <w:pStyle w:val="EPFooter2"/>
    </w:pPr>
    <w:r w:rsidRPr="008F50E8">
      <w:tab/>
    </w:r>
    <w:r w:rsidRPr="008F50E8">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0E8" w:rsidRPr="008F50E8" w:rsidRDefault="009D6C58" w:rsidP="008F50E8">
    <w:pPr>
      <w:pStyle w:val="EPFooter"/>
    </w:pPr>
    <w:r w:rsidRPr="009D6C58">
      <w:rPr>
        <w:rStyle w:val="HideTWBExt"/>
      </w:rPr>
      <w:t>&lt;PathFdR&gt;</w:t>
    </w:r>
    <w:r w:rsidRPr="008F50E8">
      <w:t>AD\1299352MT.docx</w:t>
    </w:r>
    <w:r w:rsidRPr="009D6C58">
      <w:rPr>
        <w:rStyle w:val="HideTWBExt"/>
      </w:rPr>
      <w:t>&lt;/PathFdR&gt;</w:t>
    </w:r>
    <w:r w:rsidRPr="008F50E8">
      <w:tab/>
    </w:r>
    <w:r w:rsidRPr="008F50E8">
      <w:tab/>
      <w:t>PE</w:t>
    </w:r>
    <w:r w:rsidRPr="009D6C58">
      <w:rPr>
        <w:rStyle w:val="HideTWBExt"/>
      </w:rPr>
      <w:t>&lt;NoPE&gt;</w:t>
    </w:r>
    <w:r w:rsidRPr="008F50E8">
      <w:t>758.853</w:t>
    </w:r>
    <w:r w:rsidRPr="009D6C58">
      <w:rPr>
        <w:rStyle w:val="HideTWBExt"/>
      </w:rPr>
      <w:t>&lt;/NoPE&gt;&lt;Version&gt;</w:t>
    </w:r>
    <w:r w:rsidRPr="008F50E8">
      <w:t>v02-00</w:t>
    </w:r>
    <w:r w:rsidRPr="009D6C58">
      <w:rPr>
        <w:rStyle w:val="HideTWBExt"/>
      </w:rPr>
      <w:t>&lt;/Version&gt;</w:t>
    </w:r>
  </w:p>
  <w:p w:rsidR="007F187F" w:rsidRPr="008F50E8" w:rsidRDefault="009D6C58" w:rsidP="008F50E8">
    <w:pPr>
      <w:pStyle w:val="EPFooter2"/>
    </w:pPr>
    <w:r w:rsidRPr="008F50E8">
      <w:t>MT</w:t>
    </w:r>
    <w:r w:rsidRPr="008F50E8">
      <w:tab/>
    </w:r>
    <w:r w:rsidRPr="008F50E8">
      <w:rPr>
        <w:b w:val="0"/>
        <w:i/>
        <w:color w:val="C0C0C0"/>
        <w:sz w:val="22"/>
      </w:rPr>
      <w:t>Magħquda fid-diversità</w:t>
    </w:r>
    <w:r w:rsidRPr="008F50E8">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D6C58">
      <w:r>
        <w:separator/>
      </w:r>
    </w:p>
  </w:footnote>
  <w:footnote w:type="continuationSeparator" w:id="0">
    <w:p w:rsidR="00000000" w:rsidRDefault="009D6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649" w:rsidRDefault="003D5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649" w:rsidRDefault="003D56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649" w:rsidRDefault="003D5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1"/>
    <w:docVar w:name="CJMNU" w:val="1"/>
    <w:docVar w:name="CODEMNU" w:val=" 2"/>
    <w:docVar w:name="COM2KEY" w:val="LIBE"/>
    <w:docVar w:name="COMKEY" w:val="AFET"/>
    <w:docVar w:name="CONTRIBUTION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848057 HideTWBExt;}{_x000d__x000a_\s18\ql \li0\ri0\sa120\nowidctlpar\wrapdefault\aspalpha\aspnum\faauto\adjustright\rin0\lin0\itap0 \rtlch\fcs1 \af0\afs20\alang1025 \ltrch\fcs0 \fs24\lang1082\langfe2057\cgrid\langnp1082\langfenp2057 \sbasedon0 \snext18 \spriority0 \styrsid1848057 _x000d__x000a_Normal6a;}{\s19\ql \li0\ri0\nowidctlpar\wrapdefault\aspalpha\aspnum\faauto\adjustright\rin0\lin0\itap0 \rtlch\fcs1 \af0\afs20\alang1025 \ltrch\fcs0 \b\fs24\lang1082\langfe2057\cgrid\langnp1082\langfenp2057 \sbasedon0 \snext19 \spriority0 \styrsid1848057 _x000d__x000a_NormalBold;}{\*\cs20 \additive \v\f1\fs20\cf15 \spriority0 \styrsid1848057 HideTWBInt;}{\s21\qc \li0\ri0\sa240\nowidctlpar\wrapdefault\aspalpha\aspnum\faauto\adjustright\rin0\lin0\itap0 \rtlch\fcs1 \af0\afs20\alang1025 \ltrch\fcs0 _x000d__x000a_\i\fs24\lang1082\langfe2057\cgrid\langnp1082\langfenp2057 \sbasedon0 \snext21 \spriority0 \styrsid184805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2 \spriority0 \styrsid1848057 AmNumberTabs;}{\s23\ql \li0\ri0\sb240\nowidctlpar\wrapdefault\aspalpha\aspnum\faauto\adjustright\rin0\lin0\itap0 \rtlch\fcs1 _x000d__x000a_\af0\afs20\alang1025 \ltrch\fcs0 \b\fs24\lang1082\langfe2057\cgrid\langnp1082\langfenp2057 \sbasedon0 \snext23 \spriority0 \styrsid1848057 NormalBold12b;}}{\*\rsidtbl \rsid24658\rsid223860\rsid735077\rsid1718133\rsid1848057\rsid2892074\rsid3565327_x000d__x000a_\rsid4666813\rsid6641733\rsid7823322\rsid9636012\rsid10377208\rsid10751243\rsid11215221\rsid11549030\rsid12154954\rsid14382809\rsid14424199\rsid15204470\rsid15285974\rsid15950462\rsid16324206\rsid16662270}{\mmathPr\mmathFont34\mbrkBin0\mbrkBinSub0_x000d__x000a_\msmallFrac0\mdispDef1\mlMargin0\mrMargin0\mdefJc1\mwrapIndent1440\mintLim0\mnaryLim1}{\info{\author VELLA George}{\operator VELLA George}{\creatim\yr2024\mo3\dy21\hr14\min48}{\revtim\yr2024\mo3\dy21\hr14\min48}{\version1}{\edmins0}{\nofpages1}_x000d__x000a_{\nofwords32}{\nofchars183}{\nofcharsws21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48057\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0751243 \chftnsep _x000d__x000a_\par }}{\*\ftnsepc \ltrpar \pard\plain \ltrpar\ql \li0\ri0\widctlpar\wrapdefault\aspalpha\aspnum\faauto\adjustright\rin0\lin0\itap0 \rtlch\fcs1 \af0\afs20\alang1025 \ltrch\fcs0 \fs24\lang2057\langfe2057\cgrid\langnp2057\langfenp2057 {\rtlch\fcs1 \af0 _x000d__x000a_\ltrch\fcs0 \insrsid10751243 \chftnsepc _x000d__x000a_\par }}{\*\aftnsep \ltrpar \pard\plain \ltrpar\ql \li0\ri0\widctlpar\wrapdefault\aspalpha\aspnum\faauto\adjustright\rin0\lin0\itap0 \rtlch\fcs1 \af0\afs20\alang1025 \ltrch\fcs0 \fs24\lang2057\langfe2057\cgrid\langnp2057\langfenp2057 {\rtlch\fcs1 \af0 _x000d__x000a_\ltrch\fcs0 \insrsid10751243 \chftnsep _x000d__x000a_\par }}{\*\aftnsepc \ltrpar \pard\plain \ltrpar\ql \li0\ri0\widctlpar\wrapdefault\aspalpha\aspnum\faauto\adjustright\rin0\lin0\itap0 \rtlch\fcs1 \af0\afs20\alang1025 \ltrch\fcs0 \fs24\lang2057\langfe2057\cgrid\langnp2057\langfenp2057 {\rtlch\fcs1 \af0 _x000d__x000a_\ltrch\fcs0 \insrsid107512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848057 \rtlch\fcs1 _x000d__x000a_\af0\afs20\alang1025 \ltrch\fcs0 \b\fs24\lang1082\langfe2057\cgrid\langnp1082\langfenp2057 {\rtlch\fcs1 \af1 \ltrch\fcs0 \cs17\b0\v\fs20\cf9\lang1024\langfe1024\loch\af1\hich\af1\dbch\af31501\noproof\insrsid1848057\charrsid658880 {\*\bkmkstart restartA}_x000d__x000a_\hich\af1\dbch\af31501\loch\f1 &lt;AmendA&gt;}{\rtlch\fcs1 \af0 \ltrch\fcs0 \insrsid1848057\charrsid658880 Emenda\tab \tab }{\rtlch\fcs1 \af1 \ltrch\fcs0 _x000d__x000a_\cs17\b0\v\fs20\cf9\lang1024\langfe1024\loch\af1\hich\af1\dbch\af31501\noproof\insrsid1848057\charrsid658880 \hich\af1\dbch\af31501\loch\f1 &lt;NumAmA&gt;}{\rtlch\fcs1 \af0 \ltrch\fcs0 \insrsid1848057\charrsid658880 #}{\rtlch\fcs1 \af1 \ltrch\fcs0 _x000d__x000a_\cs20\v\f1\fs20\cf15\insrsid1848057\charrsid658880 ENMIENDA@NRAM@}{\rtlch\fcs1 \af0 \ltrch\fcs0 \insrsid1848057\charrsid658880 #}{\rtlch\fcs1 \af1 \ltrch\fcs0 _x000d__x000a_\cs17\b0\v\fs20\cf9\lang1024\langfe1024\loch\af1\hich\af1\dbch\af31501\noproof\insrsid1848057\charrsid658880 \hich\af1\dbch\af31501\loch\f1 &lt;/NumAmA&gt;}{\rtlch\fcs1 \af0 \ltrch\fcs0 \insrsid1848057\charrsid658880 _x000d__x000a_\par }\pard\plain \ltrpar\s23\ql \li0\ri0\sb240\keepn\nowidctlpar\wrapdefault\aspalpha\aspnum\faauto\adjustright\rin0\lin0\itap0\pararsid1848057 \rtlch\fcs1 \af0\afs20\alang1025 \ltrch\fcs0 \b\fs24\lang1082\langfe2057\cgrid\langnp1082\langfenp2057 {_x000d__x000a_\rtlch\fcs1 \af1 \ltrch\fcs0 \cs17\b0\v\fs20\cf9\lang1024\langfe1024\loch\af1\hich\af1\dbch\af31501\noproof\insrsid1848057\charrsid658880 \hich\af1\dbch\af31501\loch\f1 &lt;DocAmend&gt;}{\rtlch\fcs1 \af334 \ltrch\fcs0 \f334\insrsid1848057\charrsid658880 _x000d__x000a_Abbozz ta\rquote  ri\'bfoluzzjoni le\u289\'67i\'bflattiva}{\rtlch\fcs1 \af1 \ltrch\fcs0 \cs17\b0\v\fs20\cf9\lang1024\langfe1024\loch\af1\hich\af1\dbch\af31501\noproof\insrsid1848057\charrsid658880 \hich\af1\dbch\af31501\loch\f1 &lt;/DocAmend&gt;}{\rtlch\fcs1 _x000d__x000a_\af0 \ltrch\fcs0 \insrsid1848057\charrsid658880 _x000d__x000a_\par }\pard\plain \ltrpar\s19\ql \li0\ri0\nowidctlpar\wrapdefault\aspalpha\aspnum\faauto\adjustright\rin0\lin0\itap0\pararsid1848057 \rtlch\fcs1 \af0\afs20\alang1025 \ltrch\fcs0 \b\fs24\lang1082\langfe2057\cgrid\langnp1082\langfenp2057 {\rtlch\fcs1 \af1 _x000d__x000a_\ltrch\fcs0 \cs17\b0\v\fs20\cf9\lang1024\langfe1024\loch\af1\hich\af1\dbch\af31501\noproof\insrsid1848057\charrsid658880 \hich\af1\dbch\af31501\loch\f1 &lt;Article&gt;}{\rtlch\fcs1 \af0 \ltrch\fcs0 \cf10\insrsid1848057\charrsid9392360 \u9668\'3f}{\rtlch\fcs1 _x000d__x000a_\af0 \ltrch\fcs0 \insrsid1848057\charrsid658880 #}{\rtlch\fcs1 \af1 \ltrch\fcs0 \cs20\v\f1\fs20\cf15\insrsid1848057\charrsid658880 TVTRESPART@RESPART@}{\rtlch\fcs1 \af0 \ltrch\fcs0 \insrsid1848057\charrsid658880 #}{\rtlch\fcs1 \af0 \ltrch\fcs0 _x000d__x000a_\cf10\insrsid1848057\charrsid9392360 \u9658\'3f}{\rtlch\fcs1 \af1 \ltrch\fcs0 \cs17\b0\v\fs20\cf9\lang1024\langfe1024\loch\af1\hich\af1\dbch\af31501\noproof\insrsid1848057\charrsid658880 \hich\af1\dbch\af31501\loch\f1 &lt;/Article&gt;}{\rtlch\fcs1 \af0 _x000d__x000a_\ltrch\fcs0 \insrsid1848057\charrsid65888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848057\charrsid658880 \cell }\pard\plain \ltrpar\ql \li0\ri0\widctlpar\intbl\wrapdefault\aspalpha\aspnum\faauto\adjustright\rin0\lin0 \rtlch\fcs1 _x000d__x000a_\af0\afs20\alang1025 \ltrch\fcs0 \fs24\lang2057\langfe2057\cgrid\langnp2057\langfenp2057 {\rtlch\fcs1 \af0 \ltrch\fcs0 \insrsid1848057\charrsid65888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1082\langfe2057\cgrid\langnp1082\langfenp2057 {\rtlch\fcs1 \af334 \ltrch\fcs0 \f334\insrsid1848057\charrsid658880 Abbozz ta\rquote  ri\'bfoluzzjoni le\u289\'67i\'bflattiva}{\rtlch\fcs1 \af0 \ltrch\fcs0 \insrsid1848057\charrsid658880 \cell _x000d__x000a_Emenda\cell }\pard\plain \ltrpar\ql \li0\ri0\widctlpar\intbl\wrapdefault\aspalpha\aspnum\faauto\adjustright\rin0\lin0 \rtlch\fcs1 \af0\afs20\alang1025 \ltrch\fcs0 \fs24\lang2057\langfe2057\cgrid\langnp2057\langfenp2057 {\rtlch\fcs1 \af0 \ltrch\fcs0 _x000d__x000a_\insrsid1848057\charrsid658880 \trowd \irow1\irowband1\ltrrow\ts11\trqc\trgaph340\trleft0\trftsWidth1\trftsWidthB3\trpaddl340\trpaddr340\trpaddfl3\trpaddft3\trpaddfb3\trpaddfr3\tblrsid14374628\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1848057\charrsid658880 ##\cell ##}{\rtlch\fcs1 \af0\afs24 \ltrch\fcs0 \insrsid1848057\charrsid658880 \cell }\pard\plain \ltrpar\ql \li0\ri0\widctlpar\intbl\wrapdefault\aspalpha\aspnum\faauto\adjustright\rin0\lin0 \rtlch\fcs1 _x000d__x000a_\af0\afs20\alang1025 \ltrch\fcs0 \fs24\lang2057\langfe2057\cgrid\langnp2057\langfenp2057 {\rtlch\fcs1 \af0 \ltrch\fcs0 \insrsid1848057\charrsid65888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1848057\charrsid658880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d_x000d__x000a_257896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0775611 HideTWBExt;}{_x000d__x000a_\s18\ql \li0\ri0\sa120\nowidctlpar\wrapdefault\aspalpha\aspnum\faauto\adjustright\rin0\lin0\itap0 \rtlch\fcs1 \af0\afs20\alang1025 \ltrch\fcs0 \fs24\lang1082\langfe2057\cgrid\langnp1082\langfenp2057 \sbasedon0 \snext18 \spriority0 \styrsid10775611 _x000d__x000a_Normal6a;}{\s19\ql \li0\ri0\nowidctlpar\wrapdefault\aspalpha\aspnum\faauto\adjustright\rin0\lin0\itap0 \rtlch\fcs1 \af0\afs20\alang1025 \ltrch\fcs0 \b\fs24\lang1082\langfe2057\cgrid\langnp1082\langfenp2057 \sbasedon0 \snext19 \spriority0 \styrsid10775611 _x000d__x000a_NormalBold;}{\s20\ql \li0\ri0\sa240\nowidctlpar\wrapdefault\aspalpha\aspnum\faauto\adjustright\rin0\lin0\itap0 \rtlch\fcs1 \af0\afs20\alang1025 \ltrch\fcs0 \i\fs24\lang1082\langfe2057\cgrid\langnp1082\langfenp2057 _x000d__x000a_\sbasedon0 \snext20 \spriority0 \styrsid10775611 AmJustText;}{\s21\qc \li0\ri0\sb240\sa240\nowidctlpar\wrapdefault\aspalpha\aspnum\faauto\adjustright\rin0\lin0\itap0 \rtlch\fcs1 \af0\afs20\alang1025 \ltrch\fcs0 _x000d__x000a_\i\fs24\lang1082\langfe2057\cgrid\langnp1082\langfenp2057 \sbasedon0 \snext21 \spriority0 \styrsid10775611 AmCrossRef;}{\*\cs22 \additive \v\f1\fs20\cf15 \spriority0 \styrsid10775611 HideTWBInt;}{_x000d__x000a_\s23\qc \li0\ri0\sb240\sa240\keepn\nowidctlpar\wrapdefault\aspalpha\aspnum\faauto\adjustright\rin0\lin0\itap0 \rtlch\fcs1 \af0\afs20\alang1025 \ltrch\fcs0 \i\fs24\lang1082\langfe2057\cgrid\langnp1082\langfenp2057 _x000d__x000a_\sbasedon0 \snext20 \spriority0 \styrsid10775611 AmJustTitle;}{\s24\qc \li0\ri0\sa240\nowidctlpar\wrapdefault\aspalpha\aspnum\faauto\adjustright\rin0\lin0\itap0 \rtlch\fcs1 \af0\afs20\alang1025 \ltrch\fcs0 _x000d__x000a_\i\fs24\lang1082\langfe2057\cgrid\langnp1082\langfenp2057 \sbasedon0 \snext24 \spriority0 \styrsid1077561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5 \spriority0 \styrsid10775611 AmNumberTabs;}{\s26\ql \li0\ri0\sb240\nowidctlpar\wrapdefault\aspalpha\aspnum\faauto\adjustright\rin0\lin0\itap0 \rtlch\fcs1 _x000d__x000a_\af0\afs20\alang1025 \ltrch\fcs0 \b\fs24\lang1082\langfe2057\cgrid\langnp1082\langfenp2057 \sbasedon0 \snext26 \spriority0 \styrsid10775611 NormalBold12b;}}{\*\rsidtbl \rsid24658\rsid223860\rsid735077\rsid1718133\rsid2892074\rsid3565327\rsid4666813_x000d__x000a_\rsid6641733\rsid7823322\rsid9636012\rsid10377208\rsid10775611\rsid11215221\rsid11549030\rsid12154954\rsid14382809\rsid14424199\rsid15204470\rsid15285974\rsid15757256\rsid15950462\rsid16324206\rsid16662270}{\mmathPr\mmathFont34\mbrkBin0\mbrkBinSub0_x000d__x000a_\msmallFrac0\mdispDef1\mlMargin0\mrMargin0\mdefJc1\mwrapIndent1440\mintLim0\mnaryLim1}{\info{\author VELLA George}{\operator VELLA George}{\creatim\yr2024\mo3\dy21\hr14\min48}{\revtim\yr2024\mo3\dy21\hr14\min48}{\version1}{\edmins0}{\nofpages1}_x000d__x000a_{\nofwords98}{\nofchars563}{\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75611\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5757256 \chftnsep _x000d__x000a_\par }}{\*\ftnsepc \ltrpar \pard\plain \ltrpar\ql \li0\ri0\widctlpar\wrapdefault\aspalpha\aspnum\faauto\adjustright\rin0\lin0\itap0 \rtlch\fcs1 \af0\afs20\alang1025 \ltrch\fcs0 \fs24\lang2057\langfe2057\cgrid\langnp2057\langfenp2057 {\rtlch\fcs1 \af0 _x000d__x000a_\ltrch\fcs0 \insrsid15757256 \chftnsepc _x000d__x000a_\par }}{\*\aftnsep \ltrpar \pard\plain \ltrpar\ql \li0\ri0\widctlpar\wrapdefault\aspalpha\aspnum\faauto\adjustright\rin0\lin0\itap0 \rtlch\fcs1 \af0\afs20\alang1025 \ltrch\fcs0 \fs24\lang2057\langfe2057\cgrid\langnp2057\langfenp2057 {\rtlch\fcs1 \af0 _x000d__x000a_\ltrch\fcs0 \insrsid15757256 \chftnsep _x000d__x000a_\par }}{\*\aftnsepc \ltrpar \pard\plain \ltrpar\ql \li0\ri0\widctlpar\wrapdefault\aspalpha\aspnum\faauto\adjustright\rin0\lin0\itap0 \rtlch\fcs1 \af0\afs20\alang1025 \ltrch\fcs0 \fs24\lang2057\langfe2057\cgrid\langnp2057\langfenp2057 {\rtlch\fcs1 \af0 _x000d__x000a_\ltrch\fcs0 \insrsid157572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775611 \rtlch\fcs1 _x000d__x000a_\af0\afs20\alang1025 \ltrch\fcs0 \b\fs24\lang1082\langfe2057\cgrid\langnp1082\langfenp2057 {\rtlch\fcs1 \af1 \ltrch\fcs0 \cs17\b0\v\fs20\cf9\lang1024\langfe1024\loch\af1\hich\af1\dbch\af31501\noproof\insrsid10775611\charrsid658880 {\*\bkmkstart restartB}_x000d__x000a_\hich\af1\dbch\af31501\loch\f1 &lt;AmendB&gt;}{\rtlch\fcs1 \af0 \ltrch\fcs0 \insrsid10775611\charrsid658880 Emenda\tab \tab }{\rtlch\fcs1 \af1 \ltrch\fcs0 _x000d__x000a_\cs17\b0\v\fs20\cf9\lang1024\langfe1024\loch\af1\hich\af1\dbch\af31501\noproof\insrsid10775611\charrsid658880 \hich\af1\dbch\af31501\loch\f1 &lt;NumAmB&gt;}{\rtlch\fcs1 \af0 \ltrch\fcs0 \insrsid10775611\charrsid658880 #}{\rtlch\fcs1 \af1 \ltrch\fcs0 _x000d__x000a_\cs22\v\f1\fs20\cf15\insrsid10775611\charrsid658880 ENMIENDA@NRAM@}{\rtlch\fcs1 \af0 \ltrch\fcs0 \insrsid10775611\charrsid658880 #}{\rtlch\fcs1 \af1 \ltrch\fcs0 _x000d__x000a_\cs17\b0\v\fs20\cf9\lang1024\langfe1024\loch\af1\hich\af1\dbch\af31501\noproof\insrsid10775611\charrsid658880 \hich\af1\dbch\af31501\loch\f1 &lt;/NumAmB&gt;}{\rtlch\fcs1 \af0 \ltrch\fcs0 \insrsid10775611\charrsid658880 _x000d__x000a_\par }\pard\plain \ltrpar\s26\ql \li0\ri0\sb240\keepn\nowidctlpar\wrapdefault\aspalpha\aspnum\faauto\adjustright\rin0\lin0\itap0\pararsid10775611 \rtlch\fcs1 \af0\afs20\alang1025 \ltrch\fcs0 \b\fs24\lang1082\langfe2057\cgrid\langnp1082\langfenp2057 {_x000d__x000a_\rtlch\fcs1 \af1 \ltrch\fcs0 \cs17\b0\v\fs20\cf9\lang1024\langfe1024\loch\af1\hich\af1\dbch\af31501\noproof\insrsid10775611\charrsid658880 \hich\af1\dbch\af31501\loch\f1 &lt;DocAmend&gt;}{\rtlch\fcs1 \af0 \ltrch\fcs0 \insrsid10775611\charrsid658880 #}{_x000d__x000a_\rtlch\fcs1 \af1 \ltrch\fcs0 \cs22\v\f1\fs20\cf15\insrsid10775611\charrsid658880 MNU[OPTPROPOSALCOD][OPTPROPOSALCNS][OPTPROPOSALNLE][OPTPROPOSALINL]@CHOICE@CODEMNU}{\rtlch\fcs1 \af0 \ltrch\fcs0 \insrsid10775611\charrsid658880 ##}{\rtlch\fcs1 \af1 _x000d__x000a_\ltrch\fcs0 \cs22\v\f1\fs20\cf15\insrsid10775611\charrsid658880 MNU[AMACTYES][NOTAPP]@CHOICE@AMACTMNU}{\rtlch\fcs1 \af0 \ltrch\fcs0 \insrsid10775611\charrsid658880 #}{\rtlch\fcs1 \af1 \ltrch\fcs0 _x000d__x000a_\cs17\b0\v\fs20\cf9\lang1024\langfe1024\loch\af1\hich\af1\dbch\af31501\noproof\insrsid10775611\charrsid658880 \hich\af1\dbch\af31501\loch\f1 &lt;/DocAmend&gt;}{\rtlch\fcs1 \af0 \ltrch\fcs0 \insrsid10775611\charrsid658880 _x000d__x000a_\par }\pard\plain \ltrpar\s19\ql \li0\ri0\keepn\nowidctlpar\wrapdefault\aspalpha\aspnum\faauto\adjustright\rin0\lin0\itap0\pararsid10775611 \rtlch\fcs1 \af0\afs20\alang1025 \ltrch\fcs0 \b\fs24\lang1082\langfe2057\cgrid\langnp1082\langfenp2057 {\rtlch\fcs1 _x000d__x000a_\af1 \ltrch\fcs0 \cs17\b0\v\fs20\cf9\lang1024\langfe1024\loch\af1\hich\af1\dbch\af31501\noproof\insrsid10775611\charrsid658880 \hich\af1\dbch\af31501\loch\f1 &lt;Article&gt;}{\rtlch\fcs1 \af0 \ltrch\fcs0 \insrsid10775611\charrsid658880 #}{\rtlch\fcs1 \af1 _x000d__x000a_\ltrch\fcs0 \cs22\v\f1\fs20\cf15\insrsid10775611\charrsid658880 MNU[AMACTPARTYES][AMACTPARTNO]@CHOICE@AMACTMNU}{\rtlch\fcs1 \af0 \ltrch\fcs0 \insrsid10775611\charrsid658880 #}{\rtlch\fcs1 \af1 \ltrch\fcs0 _x000d__x000a_\cs17\b0\v\fs20\cf9\lang1024\langfe1024\loch\af1\hich\af1\dbch\af31501\noproof\insrsid10775611\charrsid658880 \hich\af1\dbch\af31501\loch\f1 &lt;/Article&gt;}{\rtlch\fcs1 \af0 \ltrch\fcs0 \insrsid10775611\charrsid658880 _x000d__x000a_\par }\pard\plain \ltrpar\ql \li0\ri0\keepn\widctlpar\wrapdefault\aspalpha\aspnum\faauto\adjustright\rin0\lin0\itap0\pararsid10775611 \rtlch\fcs1 \af0\afs20\alang1025 \ltrch\fcs0 \fs24\lang2057\langfe2057\cgrid\langnp2057\langfenp2057 {\rtlch\fcs1 \af1 _x000d__x000a_\ltrch\fcs0 \cs17\v\fs20\cf9\lang1024\langfe1024\loch\af1\hich\af1\dbch\af31501\noproof\insrsid10775611\charrsid658880 \hich\af1\dbch\af31501\loch\f1 &lt;DocAmend2&gt;&lt;OptDel&gt;}{\rtlch\fcs1 \af0 \ltrch\fcs0 \insrsid10775611\charrsid658880 #}{\rtlch\fcs1 \af1 _x000d__x000a_\ltrch\fcs0 \cs22\v\f1\fs20\cf15\insrsid10775611\charrsid658880 MNU[OPTNRACTYES][NOTAPP]@CHOICE@AMACTMNU}{\rtlch\fcs1 \af0 \ltrch\fcs0 \insrsid10775611\charrsid658880 #}{\rtlch\fcs1 \af1 \ltrch\fcs0 _x000d__x000a_\cs17\v\fs20\cf9\lang1024\langfe1024\loch\af1\hich\af1\dbch\af31501\noproof\insrsid10775611\charrsid658880 \hich\af1\dbch\af31501\loch\f1 &lt;/OptDel&gt;&lt;/DocAmend2&gt;}{\rtlch\fcs1 \af0 \ltrch\fcs0 \insrsid10775611\charrsid658880 _x000d__x000a_\par }\pard \ltrpar\ql \li0\ri0\widctlpar\wrapdefault\aspalpha\aspnum\faauto\adjustright\rin0\lin0\itap0\pararsid10775611 {\rtlch\fcs1 \af1 \ltrch\fcs0 \cs17\v\fs20\cf9\lang1024\langfe1024\loch\af1\hich\af1\dbch\af31501\noproof\insrsid10775611\charrsid658880 _x000d__x000a_\hich\af1\dbch\af31501\loch\f1 &lt;Article2&gt;&lt;OptDel&gt;}{\rtlch\fcs1 \af0 \ltrch\fcs0 \insrsid10775611\charrsid658880 #}{\rtlch\fcs1 \af1 \ltrch\fcs0 \cs22\v\f1\fs20\cf15\insrsid10775611\charrsid658880 MNU[OPTACTPARTYES][NOTAPP]@CHOICE@AMACTMNU}{\rtlch\fcs1 _x000d__x000a_\af0 \ltrch\fcs0 \insrsid10775611\charrsid658880 #}{\rtlch\fcs1 \af1 \ltrch\fcs0 \cs17\v\fs20\cf9\lang1024\langfe1024\loch\af1\hich\af1\dbch\af31501\noproof\insrsid10775611\charrsid658880 \hich\af1\dbch\af31501\loch\f1 &lt;/OptDel&gt;&lt;/Article2&gt;}{\rtlch\fcs1 _x000d__x000a_\af0 \ltrch\fcs0 \insrsid10775611\charrsid65888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775611\charrsid658880 \cell }\pard\plain \ltrpar\ql \li0\ri0\widctlpar\intbl\wrapdefault\aspalpha\aspnum\faauto\adjustright\rin0\lin0 \rtlch\fcs1 _x000d__x000a_\af0\afs20\alang1025 \ltrch\fcs0 \fs24\lang2057\langfe2057\cgrid\langnp2057\langfenp2057 {\rtlch\fcs1 \af0 \ltrch\fcs0 \insrsid10775611\charrsid65888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1082\langfe2057\cgrid\langnp1082\langfenp2057 {\rtlch\fcs1 \af0 \ltrch\fcs0 _x000d__x000a_\insrsid10775611\charrsid658880 #}{\rtlch\fcs1 \af1 \ltrch\fcs0 \cs22\v\f1\fs20\cf15\insrsid10775611\charrsid658880 MNU[OPTLEFTAMACT][LEFTPROP]@CHOICE@AMACTMNU}{\rtlch\fcs1 \af0 \ltrch\fcs0 \insrsid10775611\charrsid658880 #\cell Emenda\cell _x000d__x000a_}\pard\plain \ltrpar\ql \li0\ri0\widctlpar\intbl\wrapdefault\aspalpha\aspnum\faauto\adjustright\rin0\lin0 \rtlch\fcs1 \af0\afs20\alang1025 \ltrch\fcs0 \fs24\lang2057\langfe2057\cgrid\langnp2057\langfenp2057 {\rtlch\fcs1 \af0 \ltrch\fcs0 _x000d__x000a_\insrsid10775611\charrsid65888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10775611\charrsid658880 ##\cell ##}{\rtlch\fcs1 \af0\afs24 \ltrch\fcs0 \insrsid10775611\charrsid658880 \cell }\pard\plain \ltrpar\ql \li0\ri0\widctlpar\intbl\wrapdefault\aspalpha\aspnum\faauto\adjustright\rin0\lin0 \rtlch\fcs1 _x000d__x000a_\af0\afs20\alang1025 \ltrch\fcs0 \fs24\lang2057\langfe2057\cgrid\langnp2057\langfenp2057 {\rtlch\fcs1 \af0 \ltrch\fcs0 \insrsid10775611\charrsid65888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0775611 \rtlch\fcs1 \af0\afs20\alang1025 \ltrch\fcs0 \i\fs24\lang1082\langfe2057\cgrid\langnp1082\langfenp2057 {\rtlch\fcs1 \af1 \ltrch\fcs0 _x000d__x000a_\cs17\i0\v\fs20\cf9\lang1024\langfe1024\loch\af1\hich\af1\dbch\af31501\noproof\insrsid10775611\charrsid658880 \hich\af1\dbch\af31501\loch\f1 &lt;OptDel&gt;}{\rtlch\fcs1 \af0 \ltrch\fcs0 \insrsid10775611\charrsid658880 #}{\rtlch\fcs1 \af1 \ltrch\fcs0 _x000d__x000a_\cs22\v\f1\fs20\cf15\insrsid10775611\charrsid658880 MNU[CROSSREFNO][CROSSREFYES]@CHOICE@}{\rtlch\fcs1 \af0 \ltrch\fcs0 \insrsid10775611\charrsid658880 #}{\rtlch\fcs1 \af1 \ltrch\fcs0 _x000d__x000a_\cs17\i0\v\fs20\cf9\lang1024\langfe1024\loch\af1\hich\af1\dbch\af31501\noproof\insrsid10775611\charrsid658880 \hich\af1\dbch\af31501\loch\f1 &lt;/OptDel&gt;}{\rtlch\fcs1 \af0 \ltrch\fcs0 \insrsid10775611\charrsid658880 _x000d__x000a_\par }\pard\plain \ltrpar\s23\qc \li0\ri0\sb240\sa240\keepn\nowidctlpar\wrapdefault\aspalpha\aspnum\faauto\adjustright\rin0\lin0\itap0\pararsid10775611 \rtlch\fcs1 \af0\afs20\alang1025 \ltrch\fcs0 \i\fs24\lang1082\langfe2057\cgrid\langnp1082\langfenp2057 {_x000d__x000a_\rtlch\fcs1 \af1 \ltrch\fcs0 \cs17\i0\v\fs20\cf9\lang1024\langfe1024\loch\af1\hich\af1\dbch\af31501\noproof\insrsid10775611\charrsid658880 \hich\af1\dbch\af31501\loch\f1 &lt;TitreJust&gt;}{\rtlch\fcs1 \af0 \ltrch\fcs0 \insrsid10775611\charrsid658880 \u288\'47_x000d__x000a_ustifikazzjoni}{\rtlch\fcs1 \af1 \ltrch\fcs0 \cs17\i0\v\fs20\cf9\lang1024\langfe1024\loch\af1\hich\af1\dbch\af31501\noproof\insrsid10775611\charrsid658880 \hich\af1\dbch\af31501\loch\f1 &lt;/TitreJust&gt;}{\rtlch\fcs1 \af0 \ltrch\fcs0 _x000d__x000a_\insrsid10775611\charrsid658880 _x000d__x000a_\par }\pard\plain \ltrpar\s20\ql \li0\ri0\sa240\nowidctlpar\wrapdefault\aspalpha\aspnum\faauto\adjustright\rin0\lin0\itap0\pararsid10775611 \rtlch\fcs1 \af0\afs20\alang1025 \ltrch\fcs0 \i\fs24\lang1082\langfe2057\cgrid\langnp1082\langfenp2057 {\rtlch\fcs1 _x000d__x000a_\af1 \ltrch\fcs0 \cs17\i0\v\fs20\cf9\lang1024\langfe1024\loch\af1\hich\af1\dbch\af31501\noproof\insrsid10775611\charrsid658880 \hich\af1\dbch\af31501\loch\f1 &lt;OptDelPrev&gt;}{\rtlch\fcs1 \af0 \ltrch\fcs0 \insrsid10775611\charrsid658880 #}{\rtlch\fcs1 \af1 _x000d__x000a_\ltrch\fcs0 \cs22\v\f1\fs20\cf15\insrsid10775611\charrsid658880 MNU[TEXTJUSTYES][TEXTJUSTNO]@CHOICE@}{\rtlch\fcs1 \af0 \ltrch\fcs0 \insrsid10775611\charrsid658880 #}{\rtlch\fcs1 \af1 \ltrch\fcs0 _x000d__x000a_\cs17\i0\v\fs20\cf9\lang1024\langfe1024\loch\af1\hich\af1\dbch\af31501\noproof\insrsid10775611\charrsid658880 \hich\af1\dbch\af31501\loch\f1 &lt;/OptDelPrev&gt;}{\rtlch\fcs1 \af0 \ltrch\fcs0 \insrsid10775611\charrsid658880 _x000d__x000a_\par }\pard\plain \ltrpar\ql \li0\ri0\widctlpar\wrapdefault\aspalpha\aspnum\faauto\adjustright\rin0\lin0\itap0\pararsid10775611 \rtlch\fcs1 \af0\afs20\alang1025 \ltrch\fcs0 \fs24\lang2057\langfe2057\cgrid\langnp2057\langfenp2057 {\rtlch\fcs1 \af1 \ltrch\fcs0 _x000d__x000a_\cs17\v\fs20\cf9\lang1024\langfe1024\loch\af1\hich\af1\dbch\af31501\noproof\insrsid10775611\charrsid6588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c_x000d__x000a_a67896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66818 HideTWBExt;}{_x000d__x000a_\s18\ql \li0\ri0\sa120\nowidctlpar\wrapdefault\aspalpha\aspnum\faauto\adjustright\rin0\lin0\itap0 \rtlch\fcs1 \af0\afs20\alang1025 \ltrch\fcs0 \fs24\lang2057\langfe2057\cgrid\langnp2057\langfenp2057 \sbasedon0 \snext18 \spriority0 \styrsid7566818 _x000d__x000a_Normal6a;}{\s19\ql \li0\ri0\nowidctlpar\wrapdefault\aspalpha\aspnum\faauto\adjustright\rin0\lin0\itap0 \rtlch\fcs1 \af0\afs20\alang1025 \ltrch\fcs0 \b\fs24\lang2057\langfe2057\cgrid\langnp2057\langfenp2057 \sbasedon0 \snext19 \spriority0 \styrsid7566818 _x000d__x000a_NormalBold;}{\s20\qc \li0\ri0\sa240\nowidctlpar\wrapdefault\aspalpha\aspnum\faauto\adjustright\rin0\lin0\itap0 \rtlch\fcs1 \af0\afs20\alang1025 \ltrch\fcs0 \i\fs24\lang2057\langfe2057\cgrid\langnp2057\langfenp2057 _x000d__x000a_\sbasedon0 \snext20 \spriority0 \styrsid756681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566818 AmNumberTabs;}{\s22\ql \li0\ri0\sb240\nowidctlpar\wrapdefault\aspalpha\aspnum\faauto\adjustright\rin0\lin0\itap0 \rtlch\fcs1 _x000d__x000a_\af0\afs20\alang1025 \ltrch\fcs0 \b\fs24\lang2057\langfe2057\cgrid\langnp2057\langfenp2057 \sbasedon0 \snext22 \spriority0 \styrsid7566818 NormalBold12b;}}{\*\rsidtbl \rsid24658\rsid223860\rsid735077\rsid1718133\rsid2892074\rsid3565327\rsid4666813_x000d__x000a_\rsid6641733\rsid7566818\rsid7823322\rsid9636012\rsid10377208\rsid11215221\rsid11549030\rsid12154954\rsid14382809\rsid14424199\rsid15160868\rsid15204470\rsid15285974\rsid15950462\rsid16324206\rsid16662270}{\mmathPr\mmathFont34\mbrkBin0\mbrkBinSub0_x000d__x000a_\msmallFrac0\mdispDef1\mlMargin0\mrMargin0\mdefJc1\mwrapIndent1440\mintLim0\mnaryLim1}{\info{\author VELLA George}{\operator VELLA George}{\creatim\yr2024\mo3\dy21\hr14\min48}{\revtim\yr2024\mo3\dy21\hr14\min48}{\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6818\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5160868 \chftnsep _x000d__x000a_\par }}{\*\ftnsepc \ltrpar \pard\plain \ltrpar\ql \li0\ri0\widctlpar\wrapdefault\aspalpha\aspnum\faauto\adjustright\rin0\lin0\itap0 \rtlch\fcs1 \af0\afs20\alang1025 \ltrch\fcs0 \fs24\lang2057\langfe2057\cgrid\langnp2057\langfenp2057 {\rtlch\fcs1 \af0 _x000d__x000a_\ltrch\fcs0 \insrsid15160868 \chftnsepc _x000d__x000a_\par }}{\*\aftnsep \ltrpar \pard\plain \ltrpar\ql \li0\ri0\widctlpar\wrapdefault\aspalpha\aspnum\faauto\adjustright\rin0\lin0\itap0 \rtlch\fcs1 \af0\afs20\alang1025 \ltrch\fcs0 \fs24\lang2057\langfe2057\cgrid\langnp2057\langfenp2057 {\rtlch\fcs1 \af0 _x000d__x000a_\ltrch\fcs0 \insrsid15160868 \chftnsep _x000d__x000a_\par }}{\*\aftnsepc \ltrpar \pard\plain \ltrpar\ql \li0\ri0\widctlpar\wrapdefault\aspalpha\aspnum\faauto\adjustright\rin0\lin0\itap0 \rtlch\fcs1 \af0\afs20\alang1025 \ltrch\fcs0 \fs24\lang2057\langfe2057\cgrid\langnp2057\langfenp2057 {\rtlch\fcs1 \af0 _x000d__x000a_\ltrch\fcs0 \insrsid151608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566818 \rtlch\fcs1 _x000d__x000a_\af0\afs20\alang1025 \ltrch\fcs0 \b\fs24\lang2057\langfe2057\cgrid\langnp2057\langfenp2057 {\rtlch\fcs1 \af0 \ltrch\fcs0 \cs17\b0\v\fs20\cf9\lang1024\langfe1024\loch\af1\hich\af1\dbch\af31501\noproof\insrsid7566818\charrsid15879488 {\*\bkmkstart restartA}_x000d__x000a_\hich\af1\dbch\af31501\loch\f1 &lt;AmendA&gt;}{\rtlch\fcs1 \af0 \ltrch\fcs0 \insrsid7566818\charrsid15879488 [ZAMENDMENT]\tab \tab }{\rtlch\fcs1 \af0 \ltrch\fcs0 _x000d__x000a_\cs17\b0\v\fs20\cf9\lang1024\langfe1024\loch\af1\hich\af1\dbch\af31501\noproof\insrsid7566818\charrsid15879488 \hich\af1\dbch\af31501\loch\f1 &lt;NumAmA&gt;}{\rtlch\fcs1 \af0 \ltrch\fcs0 \insrsid7566818\charrsid15879488 [ZNRAM]}{\rtlch\fcs1 \af0 \ltrch\fcs0 _x000d__x000a_\cs17\b0\v\fs20\cf9\lang1024\langfe1024\loch\af1\hich\af1\dbch\af31501\noproof\insrsid7566818\charrsid15879488 \hich\af1\dbch\af31501\loch\f1 &lt;/NumAmA&gt;}{\rtlch\fcs1 \af0 \ltrch\fcs0 \insrsid7566818\charrsid15879488 _x000d__x000a_\par }\pard\plain \ltrpar\s22\ql \li0\ri0\sb240\keepn\nowidctlpar\wrapdefault\aspalpha\aspnum\faauto\adjustright\rin0\lin0\itap0\pararsid7566818 \rtlch\fcs1 \af0\afs20\alang1025 \ltrch\fcs0 \b\fs24\lang2057\langfe2057\cgrid\langnp2057\langfenp2057 {_x000d__x000a_\rtlch\fcs1 \af0 \ltrch\fcs0 \cs17\b0\v\fs20\cf9\lang1024\langfe1024\loch\af1\hich\af1\dbch\af31501\noproof\langnp1036\insrsid7566818\charrsid11356624 \hich\af1\dbch\af31501\loch\f1 &lt;DocAmend&gt;}{\rtlch\fcs1 \af0 \ltrch\fcs0 _x000d__x000a_\lang1036\langfe2057\langnp1036\insrsid7566818\charrsid11356624 [ZRESOLUTION]}{\rtlch\fcs1 \af0 \ltrch\fcs0 \cs17\b0\v\fs20\cf9\lang1024\langfe1024\loch\af1\hich\af1\dbch\af31501\noproof\langnp1036\insrsid7566818\charrsid11356624 _x000d__x000a_\hich\af1\dbch\af31501\loch\f1 &lt;/DocAmend&gt;}{\rtlch\fcs1 \af0 \ltrch\fcs0 \lang1036\langfe2057\langnp1036\insrsid7566818\charrsid11356624 _x000d__x000a_\par }\pard\plain \ltrpar\s19\ql \li0\ri0\nowidctlpar\wrapdefault\aspalpha\aspnum\faauto\adjustright\rin0\lin0\itap0\pararsid7566818 \rtlch\fcs1 \af0\afs20\alang1025 \ltrch\fcs0 \b\fs24\lang2057\langfe2057\cgrid\langnp2057\langfenp2057 {\rtlch\fcs1 \af0 _x000d__x000a_\ltrch\fcs0 \cs17\b0\v\fs20\cf9\lang1024\langfe1024\loch\af1\hich\af1\dbch\af31501\noproof\langnp1036\insrsid7566818\charrsid11356624 \hich\af1\dbch\af31501\loch\f1 &lt;Article&gt;}{\rtlch\fcs1 \af0 \ltrch\fcs0 _x000d__x000a_\lang1036\langfe2057\langnp1036\insrsid7566818\charrsid11356624 [ZRESPART]}{\rtlch\fcs1 \af0 \ltrch\fcs0 \cs17\b0\v\fs20\cf9\lang1024\langfe1024\loch\af1\hich\af1\dbch\af31501\noproof\langnp1036\insrsid7566818\charrsid11356624 _x000d__x000a_\hich\af1\dbch\af31501\loch\f1 &lt;/Article&gt;}{\rtlch\fcs1 \af0 \ltrch\fcs0 \lang1036\langfe2057\langnp1036\insrsid756681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566818\charrsid11356624 \cell }\pard \ltrpar_x000d__x000a_\ql \li0\ri0\widctlpar\intbl\wrapdefault\aspalpha\aspnum\faauto\adjustright\rin0\lin0 {\rtlch\fcs1 \af0 \ltrch\fcs0 \insrsid756681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566818\charrsid15879488 [ZLEFTA]\cell [ZRIGHT]\cell }\pard\plain \ltrpar\ql \li0\ri0\widctlpar\intbl\wrapdefault\aspalpha\aspnum\faauto\adjustright\rin0\lin0 _x000d__x000a_\rtlch\fcs1 \af0\afs20\alang1025 \ltrch\fcs0 \fs24\lang2057\langfe2057\cgrid\langnp2057\langfenp2057 {\rtlch\fcs1 \af0 \ltrch\fcs0 \insrsid756681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566818\charrsid15879488 [ZTEXTL]\cell [ZTEXTR]}{\rtlch\fcs1 \af0\afs24 \ltrch\fcs0 \insrsid7566818\charrsid15879488 \cell }\pard\plain \ltrpar\ql \li0\ri0\widctlpar\intbl\wrapdefault\aspalpha\aspnum\faauto\adjustright\rin0\lin0 \rtlch\fcs1 _x000d__x000a_\af0\afs20\alang1025 \ltrch\fcs0 \fs24\lang2057\langfe2057\cgrid\langnp2057\langfenp2057 {\rtlch\fcs1 \af0 \ltrch\fcs0 \insrsid756681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566818 {\rtlch\fcs1 \af0 \ltrch\fcs0 \cs17\v\fs20\cf9\lang1024\langfe1024\loch\af1\hich\af1\dbch\af31501\noproof\insrsid7566818\charrsid15879488 _x000d__x000a_\hich\af1\dbch\af31501\loch\f1 &lt;/AmendA&gt;}{\rtlch\fcs1 \af0 \ltrch\fcs0 \insrsid756681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fc_x000d__x000a_096e96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30612 HideTWBExt;}{_x000d__x000a_\s18\ql \li0\ri0\sa120\nowidctlpar\wrapdefault\aspalpha\aspnum\faauto\adjustright\rin0\lin0\itap0 \rtlch\fcs1 \af0\afs20\alang1025 \ltrch\fcs0 \fs24\lang2057\langfe2057\cgrid\langnp2057\langfenp2057 \sbasedon0 \snext18 \spriority0 \styrsid6030612 _x000d__x000a_Normal6a;}{\s19\ql \li0\ri0\nowidctlpar\wrapdefault\aspalpha\aspnum\faauto\adjustright\rin0\lin0\itap0 \rtlch\fcs1 \af0\afs20\alang1025 \ltrch\fcs0 \b\fs24\lang2057\langfe2057\cgrid\langnp2057\langfenp2057 \sbasedon0 \snext19 \spriority0 \styrsid6030612 _x000d__x000a_NormalBold;}{\s20\ql \li0\ri0\sa240\nowidctlpar\wrapdefault\aspalpha\aspnum\faauto\adjustright\rin0\lin0\itap0 \rtlch\fcs1 \af0\afs20\alang1025 \ltrch\fcs0 \i\fs24\lang2057\langfe2057\cgrid\langnp2057\langfenp2057 _x000d__x000a_\sbasedon0 \snext20 \spriority0 \styrsid6030612 AmJustText;}{\s21\qc \li0\ri0\sb240\sa240\nowidctlpar\wrapdefault\aspalpha\aspnum\faauto\adjustright\rin0\lin0\itap0 \rtlch\fcs1 \af0\afs20\alang1025 \ltrch\fcs0 _x000d__x000a_\i\fs24\lang2057\langfe2057\cgrid\langnp2057\langfenp2057 \sbasedon0 \snext21 \spriority0 \styrsid6030612 AmCrossRef;}{\s22\qc \li0\ri0\sb240\sa240\keepn\nowidctlpar\wrapdefault\aspalpha\aspnum\faauto\adjustright\rin0\lin0\itap0 \rtlch\fcs1 _x000d__x000a_\af0\afs20\alang1025 \ltrch\fcs0 \i\fs24\lang2057\langfe2057\cgrid\langnp2057\langfenp2057 \sbasedon0 \snext20 \spriority0 \styrsid6030612 AmJustTitle;}{\s23\qc \li0\ri0\sa240\nowidctlpar\wrapdefault\aspalpha\aspnum\faauto\adjustright\rin0\lin0\itap0 _x000d__x000a_\rtlch\fcs1 \af0\afs20\alang1025 \ltrch\fcs0 \i\fs24\lang2057\langfe2057\cgrid\langnp2057\langfenp2057 \sbasedon0 \snext23 \spriority0 \styrsid60306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030612 AmNumberTabs;}{\s25\ql \li0\ri0\sb240\nowidctlpar\wrapdefault\aspalpha\aspnum\faauto\adjustright\rin0\lin0\itap0 \rtlch\fcs1 _x000d__x000a_\af0\afs20\alang1025 \ltrch\fcs0 \b\fs24\lang2057\langfe2057\cgrid\langnp2057\langfenp2057 \sbasedon0 \snext25 \spriority0 \styrsid6030612 NormalBold12b;}}{\*\rsidtbl \rsid24658\rsid223860\rsid735077\rsid1457788\rsid1718133\rsid2892074\rsid3565327_x000d__x000a_\rsid4666813\rsid603061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LLA George}{\operator VELLA George}{\creatim\yr2024\mo3\dy21\hr14\min48}{\revtim\yr2024\mo3\dy21\hr14\min48}{\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30612\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457788 \chftnsep _x000d__x000a_\par }}{\*\ftnsepc \ltrpar \pard\plain \ltrpar\ql \li0\ri0\widctlpar\wrapdefault\aspalpha\aspnum\faauto\adjustright\rin0\lin0\itap0 \rtlch\fcs1 \af0\afs20\alang1025 \ltrch\fcs0 \fs24\lang2057\langfe2057\cgrid\langnp2057\langfenp2057 {\rtlch\fcs1 \af0 _x000d__x000a_\ltrch\fcs0 \insrsid1457788 \chftnsepc _x000d__x000a_\par }}{\*\aftnsep \ltrpar \pard\plain \ltrpar\ql \li0\ri0\widctlpar\wrapdefault\aspalpha\aspnum\faauto\adjustright\rin0\lin0\itap0 \rtlch\fcs1 \af0\afs20\alang1025 \ltrch\fcs0 \fs24\lang2057\langfe2057\cgrid\langnp2057\langfenp2057 {\rtlch\fcs1 \af0 _x000d__x000a_\ltrch\fcs0 \insrsid1457788 \chftnsep _x000d__x000a_\par }}{\*\aftnsepc \ltrpar \pard\plain \ltrpar\ql \li0\ri0\widctlpar\wrapdefault\aspalpha\aspnum\faauto\adjustright\rin0\lin0\itap0 \rtlch\fcs1 \af0\afs20\alang1025 \ltrch\fcs0 \fs24\lang2057\langfe2057\cgrid\langnp2057\langfenp2057 {\rtlch\fcs1 \af0 _x000d__x000a_\ltrch\fcs0 \insrsid14577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030612 \rtlch\fcs1 _x000d__x000a_\af0\afs20\alang1025 \ltrch\fcs0 \b\fs24\lang2057\langfe2057\cgrid\langnp2057\langfenp2057 {\rtlch\fcs1 \af0 \ltrch\fcs0 \cs17\b0\v\fs20\cf9\lang1024\langfe1024\loch\af1\hich\af1\dbch\af31501\noproof\insrsid6030612\charrsid15879488 {\*\bkmkstart restartB}_x000d__x000a_\hich\af1\dbch\af31501\loch\f1 &lt;AmendB&gt;}{\rtlch\fcs1 \af0 \ltrch\fcs0 \insrsid6030612\charrsid15879488 [ZAMENDMENT]\tab \tab }{\rtlch\fcs1 \af0 \ltrch\fcs0 _x000d__x000a_\cs17\b0\v\fs20\cf9\lang1024\langfe1024\loch\af1\hich\af1\dbch\af31501\noproof\insrsid6030612\charrsid15879488 \hich\af1\dbch\af31501\loch\f1 &lt;NumAmB&gt;}{\rtlch\fcs1 \af0 \ltrch\fcs0 \insrsid6030612\charrsid15879488 [ZNRAM]}{\rtlch\fcs1 \af0 \ltrch\fcs0 _x000d__x000a_\cs17\b0\v\fs20\cf9\lang1024\langfe1024\loch\af1\hich\af1\dbch\af31501\noproof\insrsid6030612\charrsid15879488 \hich\af1\dbch\af31501\loch\f1 &lt;/NumAmB&gt;}{\rtlch\fcs1 \af0 \ltrch\fcs0 \insrsid6030612\charrsid15879488 _x000d__x000a_\par }\pard\plain \ltrpar\s25\ql \li0\ri0\sb240\keepn\nowidctlpar\wrapdefault\aspalpha\aspnum\faauto\adjustright\rin0\lin0\itap0\pararsid6030612 \rtlch\fcs1 \af0\afs20\alang1025 \ltrch\fcs0 \b\fs24\lang2057\langfe2057\cgrid\langnp2057\langfenp2057 {_x000d__x000a_\rtlch\fcs1 \af0 \ltrch\fcs0 \cs17\b0\v\fs20\cf9\lang1024\langfe1024\loch\af1\hich\af1\dbch\af31501\noproof\insrsid6030612\charrsid15879488 \hich\af1\dbch\af31501\loch\f1 &lt;DocAmend&gt;}{\rtlch\fcs1 \af0 \ltrch\fcs0 \insrsid6030612\charrsid15879488 _x000d__x000a_[ZPROPOSAL][ZAMACT]}{\rtlch\fcs1 \af0 \ltrch\fcs0 \cs17\b0\v\fs20\cf9\lang1024\langfe1024\loch\af1\hich\af1\dbch\af31501\noproof\insrsid6030612\charrsid15879488 \hich\af1\dbch\af31501\loch\f1 &lt;/DocAmend&gt;}{\rtlch\fcs1 \af0 \ltrch\fcs0 _x000d__x000a_\insrsid6030612\charrsid15879488 _x000d__x000a_\par }\pard\plain \ltrpar\s19\ql \li0\ri0\keepn\nowidctlpar\wrapdefault\aspalpha\aspnum\faauto\adjustright\rin0\lin0\itap0\pararsid6030612 \rtlch\fcs1 \af0\afs20\alang1025 \ltrch\fcs0 \b\fs24\lang2057\langfe2057\cgrid\langnp2057\langfenp2057 {\rtlch\fcs1 \af0 _x000d__x000a_\ltrch\fcs0 \cs17\b0\v\fs20\cf9\lang1024\langfe1024\loch\af1\hich\af1\dbch\af31501\noproof\insrsid6030612\charrsid15879488 \hich\af1\dbch\af31501\loch\f1 &lt;Article&gt;}{\rtlch\fcs1 \af0 \ltrch\fcs0 \insrsid6030612\charrsid15879488 [ZAMPART]}{\rtlch\fcs1 \af0 _x000d__x000a_\ltrch\fcs0 \cs17\b0\v\fs20\cf9\lang1024\langfe1024\loch\af1\hich\af1\dbch\af31501\noproof\insrsid6030612\charrsid15879488 \hich\af1\dbch\af31501\loch\f1 &lt;/Article&gt;}{\rtlch\fcs1 \af0 \ltrch\fcs0 \insrsid6030612\charrsid15879488 _x000d__x000a_\par }\pard\plain \ltrpar\ql \li0\ri0\keepn\widctlpar\wrapdefault\aspalpha\aspnum\faauto\adjustright\rin0\lin0\itap0\pararsid6030612 \rtlch\fcs1 \af0\afs20\alang1025 \ltrch\fcs0 \fs24\lang2057\langfe2057\cgrid\langnp2057\langfenp2057 {\rtlch\fcs1 \af0 _x000d__x000a_\ltrch\fcs0 \cs17\v\fs20\cf9\lang1024\langfe1024\loch\af1\hich\af1\dbch\af31501\noproof\insrsid6030612\charrsid15879488 \hich\af1\dbch\af31501\loch\f1 &lt;DocAmend2&gt;&lt;OptDel&gt;}{\rtlch\fcs1 \af0 \ltrch\fcs0 \insrsid6030612\charrsid15879488 [ZNRACT]}{_x000d__x000a_\rtlch\fcs1 \af0 \ltrch\fcs0 \cs17\v\fs20\cf9\lang1024\langfe1024\loch\af1\hich\af1\dbch\af31501\noproof\insrsid6030612\charrsid15879488 \hich\af1\dbch\af31501\loch\f1 &lt;/OptDel&gt;&lt;/DocAmend2&gt;}{\rtlch\fcs1 \af0 \ltrch\fcs0 \insrsid6030612\charrsid15879488 _x000d__x000a__x000d__x000a_\par }\pard \ltrpar\ql \li0\ri0\widctlpar\wrapdefault\aspalpha\aspnum\faauto\adjustright\rin0\lin0\itap0\pararsid6030612 {\rtlch\fcs1 \af0 \ltrch\fcs0 _x000d__x000a_\cs17\v\fs20\cf9\lang1024\langfe1024\loch\af1\hich\af1\dbch\af31501\noproof\langnp1036\insrsid6030612\charrsid11356624 \hich\af1\dbch\af31501\loch\f1 &lt;Article2&gt;&lt;OptDel&gt;}{\rtlch\fcs1 \af0 \ltrch\fcs0 _x000d__x000a_\lang1036\langfe2057\langnp1036\insrsid6030612\charrsid11356624 [ZACTPART]}{\rtlch\fcs1 \af0 \ltrch\fcs0 \cs17\v\fs20\cf9\lang1024\langfe1024\loch\af1\hich\af1\dbch\af31501\noproof\langnp1036\insrsid6030612\charrsid11356624 \hich\af1\dbch\af31501\loch\f1 _x000d__x000a_&lt;/OptDel&gt;&lt;/Article2&gt;}{\rtlch\fcs1 \af0 \ltrch\fcs0 \lang1036\langfe2057\langnp1036\insrsid603061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030612\charrsid11356624 \cell }\pard \ltrpar\ql \li0\ri0\widctlpar\intbl\wrapdefault\aspalpha\aspnum\faauto\adjustright\rin0\lin0 {\rtlch\fcs1 \af0 \ltrch\fcs0 \insrsid603061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030612\charrsid15879488 [ZLEFTB]\cell [ZRIGHT]\cell }\pard\plain \ltrpar\ql \li0\ri0\widctlpar\intbl\wrapdefault\aspalpha\aspnum\faauto\adjustright\rin0\lin0 \rtlch\fcs1 \af0\afs20\alang1025 \ltrch\fcs0 _x000d__x000a_\fs24\lang2057\langfe2057\cgrid\langnp2057\langfenp2057 {\rtlch\fcs1 \af0 \ltrch\fcs0 \insrsid603061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030612\charrsid15879488 [ZTEXTL]\cell [ZTEXTR]}{\rtlch\fcs1 \af0\afs24 \ltrch\fcs0 \insrsid6030612\charrsid15879488 \cell }\pard\plain \ltrpar\ql \li0\ri0\widctlpar\intbl\wrapdefault\aspalpha\aspnum\faauto\adjustright\rin0\lin0 \rtlch\fcs1 _x000d__x000a_\af0\afs20\alang1025 \ltrch\fcs0 \fs24\lang2057\langfe2057\cgrid\langnp2057\langfenp2057 {\rtlch\fcs1 \af0 \ltrch\fcs0 \insrsid603061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030612 \rtlch\fcs1 \af0\afs20\alang1025 \ltrch\fcs0 \i\fs24\lang2057\langfe2057\cgrid\langnp2057\langfenp2057 {\rtlch\fcs1 \af0 \ltrch\fcs0 _x000d__x000a_\cs17\i0\v\fs20\cf9\lang1024\langfe1024\loch\af1\hich\af1\dbch\af31501\noproof\insrsid6030612\charrsid15879488 \hich\af1\dbch\af31501\loch\f1 &lt;OptDel&gt;}{\rtlch\fcs1 \af0 \ltrch\fcs0 \insrsid6030612\charrsid15879488 [ZCROSSREF]}{\rtlch\fcs1 \af0 _x000d__x000a_\ltrch\fcs0 \cs17\i0\v\fs20\cf9\lang1024\langfe1024\loch\af1\hich\af1\dbch\af31501\noproof\insrsid6030612\charrsid15879488 \hich\af1\dbch\af31501\loch\f1 &lt;/OptDel&gt;}{\rtlch\fcs1 \af0 \ltrch\fcs0 \insrsid6030612\charrsid15879488 _x000d__x000a_\par }\pard\plain \ltrpar\s22\qc \li0\ri0\sb240\sa240\keepn\nowidctlpar\wrapdefault\aspalpha\aspnum\faauto\adjustright\rin0\lin0\itap0\pararsid6030612 \rtlch\fcs1 \af0\afs20\alang1025 \ltrch\fcs0 \i\fs24\lang2057\langfe2057\cgrid\langnp2057\langfenp2057 {_x000d__x000a_\rtlch\fcs1 \af0 \ltrch\fcs0 \cs17\i0\v\fs20\cf9\lang1024\langfe1024\loch\af1\hich\af1\dbch\af31501\noproof\insrsid6030612\charrsid15879488 \hich\af1\dbch\af31501\loch\f1 &lt;TitreJust&gt;}{\rtlch\fcs1 \af0 \ltrch\fcs0 \insrsid6030612\charrsid15879488 _x000d__x000a_[ZJUSTIFICATION]}{\rtlch\fcs1 \af0 \ltrch\fcs0 \cs17\i0\v\fs20\cf9\lang1024\langfe1024\loch\af1\hich\af1\dbch\af31501\noproof\insrsid6030612\charrsid15879488 \hich\af1\dbch\af31501\loch\f1 &lt;/TitreJust&gt;}{\rtlch\fcs1 \af0 \ltrch\fcs0 _x000d__x000a_\insrsid6030612\charrsid15879488 _x000d__x000a_\par }\pard\plain \ltrpar\s20\ql \li0\ri0\sa240\nowidctlpar\wrapdefault\aspalpha\aspnum\faauto\adjustright\rin0\lin0\itap0\pararsid6030612 \rtlch\fcs1 \af0\afs20\alang1025 \ltrch\fcs0 \i\fs24\lang2057\langfe2057\cgrid\langnp2057\langfenp2057 {\rtlch\fcs1 \af0 _x000d__x000a_\ltrch\fcs0 \cs17\i0\v\fs20\cf9\lang1024\langfe1024\loch\af1\hich\af1\dbch\af31501\noproof\insrsid6030612\charrsid15879488 \hich\af1\dbch\af31501\loch\f1 &lt;OptDelPrev&gt;}{\rtlch\fcs1 \af0 \ltrch\fcs0 \insrsid6030612\charrsid15879488 [ZTEXTJUST]}{\rtlch\fcs1 _x000d__x000a_\af0 \ltrch\fcs0 \cs17\i0\v\fs20\cf9\lang1024\langfe1024\loch\af1\hich\af1\dbch\af31501\noproof\insrsid6030612\charrsid15879488 \hich\af1\dbch\af31501\loch\f1 &lt;/OptDelPrev&gt;}{\rtlch\fcs1 \af0 \ltrch\fcs0 \insrsid6030612\charrsid15879488 _x000d__x000a_\par }\pard\plain \ltrpar\ql \li0\ri0\widctlpar\wrapdefault\aspalpha\aspnum\faauto\adjustright\rin0\lin0\itap0\pararsid6030612 \rtlch\fcs1 \af0\afs20\alang1025 \ltrch\fcs0 \fs24\lang2057\langfe2057\cgrid\langnp2057\langfenp2057 {\rtlch\fcs1 \af0 \ltrch\fcs0 _x000d__x000a_\cs17\v\fs20\cf9\lang1024\langfe1024\loch\af1\hich\af1\dbch\af31501\noproof\insrsid6030612\charrsid15879488 \hich\af1\dbch\af31501\loch\f1 &lt;/AmendB&gt;}{\rtlch\fcs1 \af0 \ltrch\fcs0 \insrsid60306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0_x000d__x000a_f26f96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XTLANGUE" w:val="MT"/>
    <w:docVar w:name="TXTLANGUEMIN" w:val="mt"/>
    <w:docVar w:name="TXTNRPE" w:val="758.853"/>
    <w:docVar w:name="TXTNRPROC" w:val="2023/0441"/>
    <w:docVar w:name="TXTPEorAP" w:val="PE"/>
    <w:docVar w:name="TXTROUTE" w:val="AD\1299352MT.docx"/>
    <w:docVar w:name="TXTVERSION" w:val="02-00"/>
  </w:docVars>
  <w:rsids>
    <w:rsidRoot w:val="000A0DC0"/>
    <w:rsid w:val="00020A18"/>
    <w:rsid w:val="00026559"/>
    <w:rsid w:val="00027FA8"/>
    <w:rsid w:val="0004474F"/>
    <w:rsid w:val="00082EC4"/>
    <w:rsid w:val="000A0DC0"/>
    <w:rsid w:val="000D44A6"/>
    <w:rsid w:val="00122C05"/>
    <w:rsid w:val="00134974"/>
    <w:rsid w:val="00141CD7"/>
    <w:rsid w:val="001616BD"/>
    <w:rsid w:val="001820A9"/>
    <w:rsid w:val="001A0556"/>
    <w:rsid w:val="001B0A1E"/>
    <w:rsid w:val="001C0886"/>
    <w:rsid w:val="001D5154"/>
    <w:rsid w:val="001E3AC4"/>
    <w:rsid w:val="0020077A"/>
    <w:rsid w:val="0023131B"/>
    <w:rsid w:val="002A67EE"/>
    <w:rsid w:val="00304EA8"/>
    <w:rsid w:val="00341A99"/>
    <w:rsid w:val="00360FAA"/>
    <w:rsid w:val="0038294E"/>
    <w:rsid w:val="003A2F84"/>
    <w:rsid w:val="003C7390"/>
    <w:rsid w:val="003D5649"/>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649D3"/>
    <w:rsid w:val="0078548A"/>
    <w:rsid w:val="007B7CE3"/>
    <w:rsid w:val="007F187F"/>
    <w:rsid w:val="00817D13"/>
    <w:rsid w:val="00820C7D"/>
    <w:rsid w:val="00833D11"/>
    <w:rsid w:val="00836FD3"/>
    <w:rsid w:val="008375A8"/>
    <w:rsid w:val="00872A52"/>
    <w:rsid w:val="00876A73"/>
    <w:rsid w:val="0089388A"/>
    <w:rsid w:val="008B0592"/>
    <w:rsid w:val="008F3DB0"/>
    <w:rsid w:val="008F50E8"/>
    <w:rsid w:val="00904864"/>
    <w:rsid w:val="009052FE"/>
    <w:rsid w:val="009215FC"/>
    <w:rsid w:val="00924555"/>
    <w:rsid w:val="009368B3"/>
    <w:rsid w:val="0097085E"/>
    <w:rsid w:val="00982B83"/>
    <w:rsid w:val="009857B4"/>
    <w:rsid w:val="009D6C58"/>
    <w:rsid w:val="009E7319"/>
    <w:rsid w:val="00A71228"/>
    <w:rsid w:val="00A74E25"/>
    <w:rsid w:val="00AC2A60"/>
    <w:rsid w:val="00AD49D0"/>
    <w:rsid w:val="00AF2FD5"/>
    <w:rsid w:val="00B00EE6"/>
    <w:rsid w:val="00B476DC"/>
    <w:rsid w:val="00B556CD"/>
    <w:rsid w:val="00B62D4B"/>
    <w:rsid w:val="00B904FA"/>
    <w:rsid w:val="00BA3E40"/>
    <w:rsid w:val="00BD1F76"/>
    <w:rsid w:val="00BE20CF"/>
    <w:rsid w:val="00BF4582"/>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27F01"/>
    <w:rsid w:val="00E53B60"/>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D15EB"/>
  <w15:chartTrackingRefBased/>
  <w15:docId w15:val="{E1AE255E-8C28-4267-AC04-D459EA304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8F50E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3Char">
    <w:name w:val="Heading 3 Char"/>
    <w:basedOn w:val="DefaultParagraphFont"/>
    <w:link w:val="Heading3"/>
    <w:semiHidden/>
    <w:rsid w:val="008F50E8"/>
    <w:rPr>
      <w:rFonts w:asciiTheme="majorHAnsi" w:eastAsiaTheme="majorEastAsia" w:hAnsiTheme="majorHAnsi" w:cstheme="majorBidi"/>
      <w:color w:val="1F4D78" w:themeColor="accent1" w:themeShade="7F"/>
      <w:sz w:val="24"/>
      <w:szCs w:val="24"/>
      <w:lang w:val="mt-MT"/>
    </w:rPr>
  </w:style>
  <w:style w:type="paragraph" w:styleId="ListBullet4">
    <w:name w:val="List Bullet 4"/>
    <w:basedOn w:val="Normal"/>
    <w:unhideWhenUsed/>
    <w:rsid w:val="008F50E8"/>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8F50E8"/>
    <w:pPr>
      <w:tabs>
        <w:tab w:val="center" w:pos="4513"/>
        <w:tab w:val="right" w:pos="9026"/>
      </w:tabs>
    </w:pPr>
  </w:style>
  <w:style w:type="character" w:customStyle="1" w:styleId="FooterChar">
    <w:name w:val="Footer Char"/>
    <w:basedOn w:val="DefaultParagraphFont"/>
    <w:link w:val="Footer"/>
    <w:rsid w:val="008F50E8"/>
    <w:rPr>
      <w:sz w:val="24"/>
      <w:szCs w:val="24"/>
      <w:lang w:val="mt-MT"/>
    </w:rPr>
  </w:style>
  <w:style w:type="character" w:customStyle="1" w:styleId="AmNumberTabsChar">
    <w:name w:val="AmNumberTabs Char"/>
    <w:basedOn w:val="DefaultParagraphFont"/>
    <w:link w:val="AmNumberTabs"/>
    <w:rsid w:val="008F50E8"/>
    <w:rPr>
      <w:b/>
      <w:sz w:val="24"/>
      <w:lang w:val="mt-MT"/>
    </w:rPr>
  </w:style>
  <w:style w:type="character" w:customStyle="1" w:styleId="NormalBold12bChar">
    <w:name w:val="NormalBold12b Char"/>
    <w:basedOn w:val="AmNumberTabsChar"/>
    <w:link w:val="NormalBold12b"/>
    <w:rsid w:val="008F50E8"/>
    <w:rPr>
      <w:b/>
      <w:sz w:val="24"/>
      <w:lang w:val="mt-MT"/>
    </w:rPr>
  </w:style>
  <w:style w:type="paragraph" w:styleId="BalloonText">
    <w:name w:val="Balloon Text"/>
    <w:basedOn w:val="Normal"/>
    <w:link w:val="BalloonTextChar"/>
    <w:semiHidden/>
    <w:unhideWhenUsed/>
    <w:rsid w:val="008F50E8"/>
    <w:rPr>
      <w:rFonts w:ascii="Segoe UI" w:hAnsi="Segoe UI" w:cs="Segoe UI"/>
      <w:sz w:val="18"/>
      <w:szCs w:val="18"/>
    </w:rPr>
  </w:style>
  <w:style w:type="character" w:customStyle="1" w:styleId="BalloonTextChar">
    <w:name w:val="Balloon Text Char"/>
    <w:basedOn w:val="DefaultParagraphFont"/>
    <w:link w:val="BalloonText"/>
    <w:semiHidden/>
    <w:rsid w:val="008F50E8"/>
    <w:rPr>
      <w:rFonts w:ascii="Segoe UI" w:hAnsi="Segoe UI" w:cs="Segoe UI"/>
      <w:sz w:val="18"/>
      <w:szCs w:val="18"/>
      <w:lang w:val="mt-MT"/>
    </w:rPr>
  </w:style>
  <w:style w:type="paragraph" w:customStyle="1" w:styleId="RollCallSymbols14pt">
    <w:name w:val="RollCallSymbols14pt"/>
    <w:basedOn w:val="Normal"/>
    <w:rsid w:val="008F50E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F50E8"/>
    <w:pPr>
      <w:tabs>
        <w:tab w:val="center" w:pos="284"/>
        <w:tab w:val="left" w:pos="426"/>
      </w:tabs>
    </w:pPr>
    <w:rPr>
      <w:snapToGrid w:val="0"/>
      <w:szCs w:val="20"/>
      <w:lang w:eastAsia="en-US"/>
    </w:rPr>
  </w:style>
  <w:style w:type="paragraph" w:customStyle="1" w:styleId="RollCallVotes">
    <w:name w:val="RollCallVotes"/>
    <w:basedOn w:val="Normal"/>
    <w:rsid w:val="008F50E8"/>
    <w:pPr>
      <w:spacing w:before="120" w:after="120"/>
      <w:jc w:val="center"/>
    </w:pPr>
    <w:rPr>
      <w:b/>
      <w:bCs/>
      <w:snapToGrid w:val="0"/>
      <w:sz w:val="16"/>
      <w:szCs w:val="20"/>
      <w:lang w:eastAsia="en-US"/>
    </w:rPr>
  </w:style>
  <w:style w:type="paragraph" w:customStyle="1" w:styleId="RollCallTable">
    <w:name w:val="RollCallTable"/>
    <w:basedOn w:val="Normal"/>
    <w:rsid w:val="008F50E8"/>
    <w:pPr>
      <w:spacing w:before="120" w:after="120"/>
    </w:pPr>
    <w:rPr>
      <w:snapToGrid w:val="0"/>
      <w:sz w:val="16"/>
      <w:szCs w:val="20"/>
      <w:lang w:eastAsia="en-US"/>
    </w:rPr>
  </w:style>
  <w:style w:type="paragraph" w:customStyle="1" w:styleId="Normal24a">
    <w:name w:val="Normal24a"/>
    <w:basedOn w:val="Normal"/>
    <w:rsid w:val="008F50E8"/>
    <w:pPr>
      <w:spacing w:after="480"/>
    </w:pPr>
    <w:rPr>
      <w:szCs w:val="20"/>
    </w:rPr>
  </w:style>
  <w:style w:type="paragraph" w:customStyle="1" w:styleId="NormalBoldCenter">
    <w:name w:val="NormalBoldCenter"/>
    <w:basedOn w:val="Normal"/>
    <w:rsid w:val="008F50E8"/>
    <w:pPr>
      <w:jc w:val="center"/>
    </w:pPr>
    <w:rPr>
      <w:b/>
      <w:szCs w:val="20"/>
    </w:rPr>
  </w:style>
  <w:style w:type="paragraph" w:customStyle="1" w:styleId="Titel">
    <w:name w:val="Titel"/>
    <w:rsid w:val="008F50E8"/>
    <w:pPr>
      <w:widowControl w:val="0"/>
      <w:tabs>
        <w:tab w:val="left" w:pos="432"/>
        <w:tab w:val="left" w:pos="576"/>
      </w:tabs>
      <w:suppressAutoHyphens/>
    </w:pPr>
    <w:rPr>
      <w:b/>
      <w:snapToGrid w:val="0"/>
      <w:sz w:val="29"/>
      <w:lang w:bidi="en-GB"/>
    </w:rPr>
  </w:style>
  <w:style w:type="paragraph" w:customStyle="1" w:styleId="Normal6">
    <w:name w:val="Normal6"/>
    <w:basedOn w:val="Normal"/>
    <w:link w:val="Normal6Char"/>
    <w:rsid w:val="008F50E8"/>
    <w:pPr>
      <w:spacing w:after="120"/>
    </w:pPr>
    <w:rPr>
      <w:szCs w:val="20"/>
    </w:rPr>
  </w:style>
  <w:style w:type="character" w:customStyle="1" w:styleId="Normal6Char">
    <w:name w:val="Normal6 Char"/>
    <w:link w:val="Normal6"/>
    <w:rsid w:val="008F50E8"/>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AE7A3-ABF7-4971-A22F-4E440EC0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5520</Words>
  <Characters>40617</Characters>
  <Application>Microsoft Office Word</Application>
  <DocSecurity>0</DocSecurity>
  <Lines>1385</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2024-03-26T15:24:00Z</dcterms:created>
  <dcterms:modified xsi:type="dcterms:W3CDTF">2024-03-26T15:24:00Z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\\eiciBRUpr1\pdocep$\DocEP\TRANSFIL\MT\PA_Legam.MT(25/05/2023 15:04:38)</vt:lpwstr>
  </property>
  <property fmtid="{D5CDD505-2E9C-101B-9397-08002B2CF9AE}" pid="7" name="&lt;Type&gt;">
    <vt:lpwstr>AD</vt:lpwstr>
  </property>
  <property fmtid="{D5CDD505-2E9C-101B-9397-08002B2CF9AE}" pid="8" name="Created with">
    <vt:lpwstr>9.17.2 Build [20240301]</vt:lpwstr>
  </property>
  <property fmtid="{D5CDD505-2E9C-101B-9397-08002B2CF9AE}" pid="9" name="FooterPath">
    <vt:lpwstr>AD\1299352MT.docx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Bookout">
    <vt:lpwstr>OK - 2024/03/26 16:22</vt:lpwstr>
  </property>
</Properties>
</file>