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E444B" w:rsidTr="0004333E">
        <w:trPr>
          <w:trHeight w:hRule="exact" w:val="1418"/>
        </w:trPr>
        <w:tc>
          <w:tcPr>
            <w:tcW w:w="6804" w:type="dxa"/>
            <w:shd w:val="clear" w:color="auto" w:fill="auto"/>
            <w:vAlign w:val="center"/>
          </w:tcPr>
          <w:p w:rsidR="00BA3E40" w:rsidRPr="0018789C" w:rsidRDefault="002D3B48" w:rsidP="0004333E">
            <w:pPr>
              <w:pStyle w:val="EPName"/>
            </w:pPr>
            <w:r>
              <w:t>Europees Parlement</w:t>
            </w:r>
          </w:p>
          <w:p w:rsidR="00BA3E40" w:rsidRPr="0018789C" w:rsidRDefault="002D3B48" w:rsidP="00E35335">
            <w:pPr>
              <w:pStyle w:val="EPTerm"/>
            </w:pPr>
            <w:r>
              <w:t>2019-2024</w:t>
            </w:r>
          </w:p>
        </w:tc>
        <w:tc>
          <w:tcPr>
            <w:tcW w:w="2268" w:type="dxa"/>
            <w:shd w:val="clear" w:color="auto" w:fill="auto"/>
          </w:tcPr>
          <w:p w:rsidR="00BA3E40" w:rsidRPr="0018789C" w:rsidRDefault="002D3B48" w:rsidP="0004333E">
            <w:pPr>
              <w:pStyle w:val="EPLogo"/>
            </w:pPr>
            <w:r w:rsidRPr="001878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18789C" w:rsidRDefault="00F24D40" w:rsidP="00F24D40">
      <w:pPr>
        <w:pStyle w:val="LineTop"/>
      </w:pPr>
    </w:p>
    <w:p w:rsidR="00F24D40" w:rsidRPr="0018789C" w:rsidRDefault="002D3B48" w:rsidP="00F24D40">
      <w:pPr>
        <w:pStyle w:val="EPBody"/>
      </w:pPr>
      <w:r>
        <w:rPr>
          <w:rStyle w:val="HideTWBExt"/>
          <w:i w:val="0"/>
        </w:rPr>
        <w:t>&lt;Commission&gt;</w:t>
      </w:r>
      <w:r>
        <w:rPr>
          <w:rStyle w:val="HideTWBInt"/>
          <w:i w:val="0"/>
          <w:color w:val="auto"/>
        </w:rPr>
        <w:t>{AFET}</w:t>
      </w:r>
      <w:r>
        <w:t>Commissie buitenlandse zaken</w:t>
      </w:r>
      <w:r>
        <w:rPr>
          <w:rStyle w:val="HideTWBExt"/>
          <w:i w:val="0"/>
        </w:rPr>
        <w:t>&lt;/Commission&gt;</w:t>
      </w:r>
    </w:p>
    <w:p w:rsidR="00F24D40" w:rsidRPr="0018789C" w:rsidRDefault="00F24D40" w:rsidP="00F24D40">
      <w:pPr>
        <w:pStyle w:val="LineBottom"/>
      </w:pPr>
    </w:p>
    <w:p w:rsidR="00DB56E4" w:rsidRPr="0018789C" w:rsidRDefault="002D3B48" w:rsidP="00DB56E4">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DB56E4" w:rsidRPr="0018789C" w:rsidRDefault="002D3B48" w:rsidP="00DB56E4">
      <w:pPr>
        <w:pStyle w:val="CoverDate"/>
      </w:pPr>
      <w:r>
        <w:rPr>
          <w:rStyle w:val="HideTWBExt"/>
        </w:rPr>
        <w:t>&lt;Date&gt;</w:t>
      </w:r>
      <w:r>
        <w:rPr>
          <w:rStyle w:val="HideTWBInt"/>
          <w:color w:val="auto"/>
        </w:rPr>
        <w:t>{21/03/2024}</w:t>
      </w:r>
      <w:r>
        <w:t>21.3.2024</w:t>
      </w:r>
      <w:r>
        <w:rPr>
          <w:rStyle w:val="HideTWBExt"/>
        </w:rPr>
        <w:t>&lt;/Date&gt;</w:t>
      </w:r>
    </w:p>
    <w:p w:rsidR="00DB56E4" w:rsidRPr="0018789C" w:rsidRDefault="002D3B48" w:rsidP="00DB56E4">
      <w:pPr>
        <w:pStyle w:val="CoverDocType24a"/>
      </w:pPr>
      <w:r>
        <w:rPr>
          <w:rStyle w:val="HideTWBExt"/>
          <w:b w:val="0"/>
        </w:rPr>
        <w:t>&lt;TitreType&gt;</w:t>
      </w:r>
      <w:r>
        <w:t>ADVIES</w:t>
      </w:r>
      <w:r>
        <w:rPr>
          <w:rStyle w:val="HideTWBExt"/>
          <w:b w:val="0"/>
        </w:rPr>
        <w:t>&lt;/TitreType&gt;</w:t>
      </w:r>
    </w:p>
    <w:p w:rsidR="00DB56E4" w:rsidRPr="0018789C" w:rsidRDefault="002D3B48" w:rsidP="00DB56E4">
      <w:pPr>
        <w:pStyle w:val="CoverNormal24a"/>
      </w:pPr>
      <w:r>
        <w:rPr>
          <w:rStyle w:val="HideTWBExt"/>
        </w:rPr>
        <w:t>&lt;CommissionResp&gt;</w:t>
      </w:r>
      <w:r>
        <w:t xml:space="preserve">van de Commissie </w:t>
      </w:r>
      <w:r>
        <w:t>buitenlandse zaken</w:t>
      </w:r>
      <w:r>
        <w:rPr>
          <w:rStyle w:val="HideTWBExt"/>
        </w:rPr>
        <w:t>&lt;/CommissionResp&gt;</w:t>
      </w:r>
    </w:p>
    <w:p w:rsidR="00DB56E4" w:rsidRPr="0018789C" w:rsidRDefault="002D3B48" w:rsidP="00DB56E4">
      <w:pPr>
        <w:pStyle w:val="CoverNormal24a"/>
      </w:pPr>
      <w:r>
        <w:rPr>
          <w:rStyle w:val="HideTWBExt"/>
        </w:rPr>
        <w:t>&lt;CommissionInt&gt;</w:t>
      </w:r>
      <w:r>
        <w:t>aan de Commissie burgerlijke vrijheden, justitie en binnenlandse zaken</w:t>
      </w:r>
      <w:r>
        <w:rPr>
          <w:rStyle w:val="HideTWBExt"/>
        </w:rPr>
        <w:t>&lt;/CommissionInt&gt;</w:t>
      </w:r>
    </w:p>
    <w:p w:rsidR="00DB56E4" w:rsidRPr="0018789C" w:rsidRDefault="002D3B48" w:rsidP="00DB56E4">
      <w:pPr>
        <w:pStyle w:val="CoverNormal"/>
      </w:pPr>
      <w:r>
        <w:rPr>
          <w:rStyle w:val="HideTWBExt"/>
        </w:rPr>
        <w:t>&lt;Titre&gt;</w:t>
      </w:r>
      <w:r>
        <w:t>inzake het voorstel voor een richtlijn van de Raad tot wijziging van Richtlijn (EU) 2015/637 betreffende de coö</w:t>
      </w:r>
      <w:r>
        <w:t>rdinatie- en samenwerkingsmaatregelen ter vergemakkelijking van de consulaire bescherming van niet-vertegenwoordigde burgers van de Unie in derde landen en van Richtlijn (EU) 2019/997 tot vaststelling van een EU-noodreisdocument</w:t>
      </w:r>
      <w:r>
        <w:rPr>
          <w:rStyle w:val="HideTWBExt"/>
        </w:rPr>
        <w:t>&lt;/Titre&gt;</w:t>
      </w:r>
    </w:p>
    <w:p w:rsidR="00DB56E4" w:rsidRPr="0018789C" w:rsidRDefault="002D3B48" w:rsidP="00DB56E4">
      <w:pPr>
        <w:pStyle w:val="CoverNormal24a"/>
      </w:pPr>
      <w:r>
        <w:rPr>
          <w:rStyle w:val="HideTWBExt"/>
        </w:rPr>
        <w:t>&lt;DocRef&gt;</w:t>
      </w:r>
      <w:r>
        <w:t>(COM(2023)930 – C9</w:t>
      </w:r>
      <w:r>
        <w:noBreakHyphen/>
        <w:t>0015/2024 – 2023/0441(CNS))</w:t>
      </w:r>
      <w:r>
        <w:rPr>
          <w:rStyle w:val="HideTWBExt"/>
        </w:rPr>
        <w:t>&lt;/DocRef&gt;</w:t>
      </w:r>
    </w:p>
    <w:p w:rsidR="00DB56E4" w:rsidRPr="0018789C" w:rsidRDefault="002D3B48" w:rsidP="00DB56E4">
      <w:pPr>
        <w:pStyle w:val="CoverNormal24a"/>
      </w:pPr>
      <w:r>
        <w:t xml:space="preserve">Rapporteur voor advies (*): </w:t>
      </w:r>
      <w:r>
        <w:rPr>
          <w:rStyle w:val="HideTWBExt"/>
        </w:rPr>
        <w:t>&lt;Depute&gt;</w:t>
      </w:r>
      <w:r>
        <w:t>Nacho Sánchez Amor</w:t>
      </w:r>
      <w:r>
        <w:rPr>
          <w:rStyle w:val="HideTWBExt"/>
        </w:rPr>
        <w:t>&lt;/Depute&gt;</w:t>
      </w:r>
    </w:p>
    <w:p w:rsidR="00487596" w:rsidRPr="0018789C" w:rsidRDefault="002D3B48" w:rsidP="00487596">
      <w:pPr>
        <w:pStyle w:val="CoverNormal"/>
      </w:pPr>
      <w:r>
        <w:t>(*)</w:t>
      </w:r>
      <w:r>
        <w:tab/>
        <w:t>Procedure met medeverantwoordelijke commissies – Artikel </w:t>
      </w:r>
      <w:bookmarkStart w:id="0" w:name="_GoBack"/>
      <w:bookmarkEnd w:id="0"/>
      <w:r>
        <w:t>57 van het Reglement</w:t>
      </w:r>
    </w:p>
    <w:p w:rsidR="00DB56E4" w:rsidRPr="0018789C" w:rsidRDefault="002D3B48" w:rsidP="0004474F">
      <w:pPr>
        <w:tabs>
          <w:tab w:val="center" w:pos="4677"/>
        </w:tabs>
      </w:pPr>
      <w:r>
        <w:br w:type="page"/>
      </w:r>
      <w:r>
        <w:lastRenderedPageBreak/>
        <w:t>PA_Legam</w:t>
      </w:r>
    </w:p>
    <w:p w:rsidR="006038A9" w:rsidRPr="009269FD" w:rsidRDefault="002D3B48" w:rsidP="006038A9">
      <w:pPr>
        <w:pStyle w:val="PageHeadingNotTOC"/>
      </w:pPr>
      <w:r>
        <w:br w:type="page"/>
      </w:r>
      <w:r>
        <w:lastRenderedPageBreak/>
        <w:t>BEKNOPTE MOTIVERING</w:t>
      </w:r>
    </w:p>
    <w:p w:rsidR="006038A9" w:rsidRPr="009269FD" w:rsidRDefault="002D3B48" w:rsidP="006038A9">
      <w:pPr>
        <w:pStyle w:val="Normal12a"/>
        <w:rPr>
          <w:bCs/>
        </w:rPr>
      </w:pPr>
      <w:r>
        <w:t>Het voorstel van de Com</w:t>
      </w:r>
      <w:r>
        <w:t>missie voorziet in een aanzienlijke uitbreiding van de rol en activiteiten van de Europese Dienst voor extern optreden (EDEO) en de delegaties van de Europese Unie, met inbegrip van nieuwe en gewijzigde bepalingen inzake paraatheid voor en respons op crise</w:t>
      </w:r>
      <w:r>
        <w:t>s buiten de Europese Unie.</w:t>
      </w:r>
    </w:p>
    <w:p w:rsidR="006038A9" w:rsidRPr="009269FD" w:rsidRDefault="002D3B48" w:rsidP="006038A9">
      <w:pPr>
        <w:pStyle w:val="Normal12a"/>
        <w:rPr>
          <w:bCs/>
        </w:rPr>
      </w:pPr>
      <w:r>
        <w:t>Overeenkomstig punt I.3 van bijlage VI bij het Reglement valt het toezicht op de EDEO en de verschillende diensten hiervan, waaronder de organisatie en werking van de EU-delegaties en het crisisresponscentrum van de EDEO, onder d</w:t>
      </w:r>
      <w:r>
        <w:t>e exclusieve bevoegdheid van de Commissie buitenlandse zaken (AFET). De werkzaamheden van de EU-delegaties hebben ook betrekking op de uitvoering van het recht van burgers van de Unie op bescherming op het grondgebied van derde landen als bedoeld in artike</w:t>
      </w:r>
      <w:r>
        <w:t>l 35 van het Verdrag betreffende de Europese Unie.</w:t>
      </w:r>
    </w:p>
    <w:p w:rsidR="006038A9" w:rsidRPr="009269FD" w:rsidRDefault="002D3B48" w:rsidP="006038A9">
      <w:pPr>
        <w:pStyle w:val="Normal12a"/>
        <w:rPr>
          <w:bCs/>
        </w:rPr>
      </w:pPr>
      <w:r>
        <w:t>De organisatie en werking van de EDEO, de EU-delegaties en de crisisresponsstructuren zijn vastgelegd in Besluit 2010/427/EU van de Raad van 26 juli 2010, waarvoor AFET bevoegd is. Het strategisch kompas v</w:t>
      </w:r>
      <w:r>
        <w:t>oor veiligheid en defensie 2022, dat ook onder de bevoegdheid van AFET valt, heeft de aanzet gegeven tot een herziening van de mechanismen voor crisisrespons van de EDEO, waaronder consulaire ondersteuning en veiligheid op het terrein.</w:t>
      </w:r>
    </w:p>
    <w:p w:rsidR="006038A9" w:rsidRPr="009269FD" w:rsidRDefault="002D3B48" w:rsidP="006038A9">
      <w:pPr>
        <w:pStyle w:val="Normal12a"/>
        <w:rPr>
          <w:bCs/>
        </w:rPr>
      </w:pPr>
      <w:r>
        <w:t>Op 15 maart 2023 nam</w:t>
      </w:r>
      <w:r>
        <w:t xml:space="preserve"> het Parlement onder leiding van AFET een GBVB-aanbeveling aan met een balans van de werking van de EDEO en een pleidooi voor een sterkere EU in de wereld (2021/2065(INI)). De aanbeveling bestrijkt een breed scala aan EDEO-kwesties, waaronder ondersteuning</w:t>
      </w:r>
      <w:r>
        <w:t xml:space="preserve"> van het EU-crisisresponscentrum bij de coördinatie van de respons van ambassades en delegaties van de EU en de lidstaten en de diensten die zij in tijden van crisis aan EU-burgers aanbieden.</w:t>
      </w:r>
    </w:p>
    <w:p w:rsidR="006038A9" w:rsidRPr="009269FD" w:rsidRDefault="002D3B48" w:rsidP="006038A9">
      <w:pPr>
        <w:pStyle w:val="Normal12a"/>
      </w:pPr>
      <w:r>
        <w:t xml:space="preserve">In het voorstel van de Commissie wordt de rol van de EDEO </w:t>
      </w:r>
      <w:r>
        <w:t>(inclusief zijn structuren voor crisisbeheersing en de EU-delegaties) naar een nieuw niveau van betrokkenheid getild, zodat de consulaire bescherming wordt vervlochten met de rol van de EDEO op het gebied van buitenlands, veiligheids- en defensiebeleid, te</w:t>
      </w:r>
      <w:r>
        <w:t>lkens wanneer besluiten moeten worden genomen op basis van beoordelingen, contacten met derde landen, gebruik van militaire middelen en andere elementen die specifiek zijn voor het GBVB/GVDB.</w:t>
      </w:r>
    </w:p>
    <w:p w:rsidR="006038A9" w:rsidRPr="009269FD" w:rsidRDefault="002D3B48" w:rsidP="006038A9">
      <w:pPr>
        <w:pStyle w:val="AmHeadingPA"/>
      </w:pPr>
      <w:r>
        <w:t>AMENDEMENTEN</w:t>
      </w:r>
    </w:p>
    <w:p w:rsidR="006038A9" w:rsidRPr="009269FD" w:rsidRDefault="002D3B48" w:rsidP="006038A9">
      <w:pPr>
        <w:pStyle w:val="Normal12a"/>
      </w:pPr>
      <w:bookmarkStart w:id="1" w:name="IntroA"/>
      <w:r>
        <w:t>De Commissie buitenlandse zaken verzoekt de bevoegd</w:t>
      </w:r>
      <w:r>
        <w:t>e Commissie burgerlijke vrijheden, justitie en binnenlandse zaken onderstaande amendementen in aanmerking te nemen:</w:t>
      </w:r>
    </w:p>
    <w:p w:rsidR="006038A9" w:rsidRPr="009269FD" w:rsidRDefault="002D3B48" w:rsidP="006038A9">
      <w:pPr>
        <w:pStyle w:val="AmNumberTabs"/>
        <w:keepNext/>
      </w:pPr>
      <w:bookmarkStart w:id="2" w:name="IntroB"/>
      <w:bookmarkEnd w:id="1"/>
      <w:r>
        <w:rPr>
          <w:rStyle w:val="HideTWBExt"/>
          <w:b w:val="0"/>
        </w:rPr>
        <w:t>&lt;RepeatBlock-Amend&gt;</w:t>
      </w:r>
      <w:bookmarkEnd w:id="2"/>
    </w:p>
    <w:p w:rsidR="006038A9" w:rsidRPr="009269FD" w:rsidRDefault="002D3B48" w:rsidP="006038A9">
      <w:pPr>
        <w:pStyle w:val="AmNumberTabs"/>
      </w:pPr>
      <w:bookmarkStart w:id="3" w:name="EndB"/>
      <w:r>
        <w:rPr>
          <w:rStyle w:val="HideTWBExt"/>
        </w:rPr>
        <w:t>&lt;Amend&gt;</w:t>
      </w:r>
      <w:r>
        <w:t>Amendement</w:t>
      </w:r>
      <w:r>
        <w:tab/>
      </w:r>
      <w:r>
        <w:tab/>
      </w:r>
      <w:r>
        <w:rPr>
          <w:rStyle w:val="HideTWBExt"/>
        </w:rPr>
        <w:t>&lt;NumAm&gt;</w:t>
      </w:r>
      <w:r>
        <w:t>1</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1 bis (nieuw)</w:t>
      </w:r>
      <w:r>
        <w:rPr>
          <w:rStyle w:val="HideTWBExt"/>
        </w:rPr>
        <w:t>&lt;/</w:t>
      </w:r>
      <w:r>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6038A9" w:rsidP="005F45A0">
            <w:pPr>
              <w:pStyle w:val="Normal6a"/>
            </w:pPr>
          </w:p>
        </w:tc>
        <w:tc>
          <w:tcPr>
            <w:tcW w:w="4876" w:type="dxa"/>
          </w:tcPr>
          <w:p w:rsidR="006038A9" w:rsidRPr="009269FD" w:rsidRDefault="002D3B48" w:rsidP="005F45A0">
            <w:pPr>
              <w:pStyle w:val="Normal6a"/>
            </w:pPr>
            <w:r>
              <w:rPr>
                <w:b/>
                <w:i/>
              </w:rPr>
              <w:t>(1 bis)</w:t>
            </w:r>
            <w:r>
              <w:tab/>
            </w:r>
            <w:r>
              <w:rPr>
                <w:b/>
                <w:i/>
              </w:rPr>
              <w:t xml:space="preserve">Het toepassingsgebied van Richtlijn (EU) 2015/637 moet ook worden uitgebreid zodat deze niet uitsluitend van toepassing is op EU-burgers. In dit verband hebben erkende vluchtelingen en </w:t>
            </w:r>
            <w:r>
              <w:rPr>
                <w:b/>
                <w:i/>
              </w:rPr>
              <w:t>staatlozen en andere personen die van geen enkel land de nationaliteit hebben, die in een lidstaat verblijven en houder zijn van een reisdocument dat door die lidstaat is afgegeven, recht op consulaire bescherming onder dezelfde voorwaarden als niet-verteg</w:t>
            </w:r>
            <w:r>
              <w:rPr>
                <w:b/>
                <w:i/>
              </w:rPr>
              <w:t>enwoordigde burgers indien de lidstaat van verblijf niet vertegenwoordigd is door een diplomatieke of consulaire instantie.</w:t>
            </w:r>
          </w:p>
        </w:tc>
      </w:tr>
    </w:tbl>
    <w:p w:rsidR="006038A9" w:rsidRPr="009269FD" w:rsidRDefault="002D3B48" w:rsidP="006038A9">
      <w:r>
        <w:rPr>
          <w:rStyle w:val="HideTWBExt"/>
        </w:rPr>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2</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(2)</w:t>
            </w:r>
            <w:r>
              <w:tab/>
              <w:t>De crises die leiden tot verzoeken om consulaire bescherming, nemen in aantal en omvang toe. Bij de COVID</w:t>
            </w:r>
            <w:r>
              <w:noBreakHyphen/>
              <w:t>19-pandemie, de crisis in Afghanistan, de Russische aanvalsoorlog tegen Oekraïne, het conflict in</w:t>
            </w:r>
            <w:r>
              <w:t xml:space="preserve"> Sudan, de repatriëringen uit Israël en Gaza en andere</w:t>
            </w:r>
            <w:r>
              <w:rPr>
                <w:b/>
                <w:i/>
              </w:rPr>
              <w:t>,</w:t>
            </w:r>
            <w:r>
              <w:t xml:space="preserve"> soortgelijke crises zijn lacunes vastgesteld en is nagegaan hoe de uitoefening van het recht op consulaire bescherming verder kan worden vergemakkelijkt. Op grond van deze ervaringen moeten de regels </w:t>
            </w:r>
            <w:r>
              <w:t xml:space="preserve">en procedures van Richtlijn (EU) 2015/637 worden verduidelijkt en gestroomlijnd om de procedures voor burgers en consulaire instanties te vereenvoudigen en de verlening van consulaire bescherming aan niet-vertegenwoordigde burgers van de Unie, met name in </w:t>
            </w:r>
            <w:r>
              <w:t>crisissituaties, doeltreffender te maken. Er moet optimaal gebruik worden gemaakt van de middelen die op het niveau van de lidstaten en de Unie beschikbaar zijn, zowel lokaal, in derde landen, als op hoofdstedelijk niveau.</w:t>
            </w:r>
          </w:p>
        </w:tc>
        <w:tc>
          <w:tcPr>
            <w:tcW w:w="4876" w:type="dxa"/>
          </w:tcPr>
          <w:p w:rsidR="006038A9" w:rsidRPr="009269FD" w:rsidRDefault="002D3B48" w:rsidP="005F45A0">
            <w:pPr>
              <w:pStyle w:val="AmColumnHeading"/>
              <w:spacing w:after="120"/>
              <w:jc w:val="left"/>
            </w:pPr>
            <w:r>
              <w:rPr>
                <w:i w:val="0"/>
              </w:rPr>
              <w:t>(2)</w:t>
            </w:r>
            <w:r>
              <w:rPr>
                <w:i w:val="0"/>
              </w:rPr>
              <w:tab/>
              <w:t>De crises die leiden tot verz</w:t>
            </w:r>
            <w:r>
              <w:rPr>
                <w:i w:val="0"/>
              </w:rPr>
              <w:t>oeken om consulaire bescherming, nemen in aantal en omvang toe. Bij de COVID</w:t>
            </w:r>
            <w:r>
              <w:rPr>
                <w:i w:val="0"/>
              </w:rPr>
              <w:noBreakHyphen/>
              <w:t>19-pandemie, de crisis in Afghanistan</w:t>
            </w:r>
            <w:r>
              <w:rPr>
                <w:b/>
              </w:rPr>
              <w:t xml:space="preserve"> in 2021</w:t>
            </w:r>
            <w:r>
              <w:rPr>
                <w:i w:val="0"/>
              </w:rPr>
              <w:t>, de Russische aanvalsoorlog tegen Oekraïne, het conflict in Sudan, de repatriëringen uit Israël en Gaza</w:t>
            </w:r>
            <w:r>
              <w:rPr>
                <w:b/>
              </w:rPr>
              <w:t>, de talrijke humanitaire cris</w:t>
            </w:r>
            <w:r>
              <w:rPr>
                <w:b/>
              </w:rPr>
              <w:t>es alsook natuurrampen en door de mens veroorzaakte rampen</w:t>
            </w:r>
            <w:r>
              <w:rPr>
                <w:i w:val="0"/>
              </w:rPr>
              <w:t xml:space="preserve"> en andere soortgelijke crises zijn lacunes vastgesteld en is nagegaan hoe de uitoefening van het recht op consulaire bescherming verder kan worden vergemakkelijkt</w:t>
            </w:r>
            <w:r>
              <w:rPr>
                <w:b/>
              </w:rPr>
              <w:t>.</w:t>
            </w:r>
            <w:r>
              <w:rPr>
                <w:b/>
              </w:rPr>
              <w:t xml:space="preserve"> </w:t>
            </w:r>
            <w:r>
              <w:rPr>
                <w:b/>
              </w:rPr>
              <w:t xml:space="preserve">De EU moet beter in staat worden </w:t>
            </w:r>
            <w:r>
              <w:rPr>
                <w:b/>
              </w:rPr>
              <w:t>gesteld op deze talrijke aan de gang zijnde crises te reageren door tekortkomingen aan te pakken en onze paraatheid, informatievergaring en besluitvormingscapaciteit vóór en tijdens crises te versterken</w:t>
            </w:r>
            <w:r>
              <w:rPr>
                <w:b/>
              </w:rPr>
              <w:t>.</w:t>
            </w:r>
            <w:r>
              <w:t xml:space="preserve"> </w:t>
            </w:r>
            <w:r>
              <w:rPr>
                <w:i w:val="0"/>
              </w:rPr>
              <w:t>Op grond van deze ervaringen moeten de regels en pro</w:t>
            </w:r>
            <w:r>
              <w:rPr>
                <w:i w:val="0"/>
              </w:rPr>
              <w:t xml:space="preserve">cedures van Richtlijn (EU) 2015/637 worden verduidelijkt en gestroomlijnd om de </w:t>
            </w:r>
            <w:r>
              <w:rPr>
                <w:i w:val="0"/>
              </w:rPr>
              <w:lastRenderedPageBreak/>
              <w:t>procedures voor burgers en consulaire instanties te vereenvoudigen en de verlening van consulaire bescherming aan niet-vertegenwoordigde burgers van de Unie, met name in crisis</w:t>
            </w:r>
            <w:r>
              <w:rPr>
                <w:i w:val="0"/>
              </w:rPr>
              <w:t>situaties, doeltreffender te maken. Er moet optimaal gebruik worden gemaakt van de middelen die op het niveau van de lidstaten en de Unie beschikbaar zijn, zowel lokaal, in derde landen, als op hoofdstedelijk niveau.</w:t>
            </w:r>
          </w:p>
        </w:tc>
      </w:tr>
    </w:tbl>
    <w:p w:rsidR="006038A9" w:rsidRPr="009269FD" w:rsidRDefault="002D3B48" w:rsidP="006038A9">
      <w:r>
        <w:rPr>
          <w:rStyle w:val="HideTWBExt"/>
        </w:rPr>
        <w:lastRenderedPageBreak/>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3</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(4)</w:t>
            </w:r>
            <w:r>
              <w:tab/>
              <w:t xml:space="preserve">Om de rechtszekerheid voor consulaire instanties en burgers te verbeteren, is het passend gedetailleerdere </w:t>
            </w:r>
            <w:r>
              <w:t>criteria vast te stellen die helpen bij de beoordeling of een burger van de Unie moet worden beschouwd als niet-vertegenwoordigd en dus in aanmerking komt voor consulaire bescherming van de lidstaat waarvan de consulaire instanties zijn benaderd. Die crite</w:t>
            </w:r>
            <w:r>
              <w:t>ria moeten voldoende flexibel zijn en worden toegepast in het licht van de plaatselijke omstandigheden, zoals het gemak waarmee men zich kan verplaatsen of de veiligheidssituatie in het betrokken derde land. In dit verband moeten toegankelijkheid en nabijh</w:t>
            </w:r>
            <w:r>
              <w:t>eid belangrijke aandachtspunten blijven.</w:t>
            </w:r>
          </w:p>
        </w:tc>
        <w:tc>
          <w:tcPr>
            <w:tcW w:w="4876" w:type="dxa"/>
          </w:tcPr>
          <w:p w:rsidR="006038A9" w:rsidRPr="009269FD" w:rsidRDefault="002D3B48" w:rsidP="005F45A0">
            <w:pPr>
              <w:pStyle w:val="AmColumnHeading"/>
              <w:spacing w:after="120"/>
              <w:jc w:val="left"/>
            </w:pPr>
            <w:r>
              <w:rPr>
                <w:i w:val="0"/>
              </w:rPr>
              <w:t>(4)</w:t>
            </w:r>
            <w:r>
              <w:rPr>
                <w:i w:val="0"/>
              </w:rPr>
              <w:tab/>
              <w:t>Om de rechtszekerheid voor consulaire instanties en burgers te verbeteren, is het passend gedetailleerdere criteria vast te stellen die helpen bij de beoordeling of een burger van de Unie moet worden beschouwd a</w:t>
            </w:r>
            <w:r>
              <w:rPr>
                <w:i w:val="0"/>
              </w:rPr>
              <w:t>ls niet-vertegenwoordigd en dus in aanmerking komt voor consulaire bescherming van de lidstaat waarvan de consulaire instanties zijn benaderd. Die criteria moeten voldoende</w:t>
            </w:r>
            <w:r>
              <w:t xml:space="preserve"> </w:t>
            </w:r>
            <w:r>
              <w:rPr>
                <w:b/>
              </w:rPr>
              <w:t xml:space="preserve">pragmatisch en </w:t>
            </w:r>
            <w:r>
              <w:rPr>
                <w:i w:val="0"/>
              </w:rPr>
              <w:t>flexibel zijn en worden toegepast in het licht van de plaatselijke o</w:t>
            </w:r>
            <w:r>
              <w:rPr>
                <w:i w:val="0"/>
              </w:rPr>
              <w:t>mstandigheden, zoals het gemak waarmee men zich kan verplaatsen of de veiligheidssituatie in het betrokken derde land. In dit verband moeten toegankelijkheid en nabijheid belangrijke aandachtspunten blijven.</w:t>
            </w:r>
          </w:p>
        </w:tc>
      </w:tr>
    </w:tbl>
    <w:p w:rsidR="006038A9" w:rsidRPr="009269FD" w:rsidRDefault="002D3B48" w:rsidP="006038A9">
      <w:r>
        <w:rPr>
          <w:rStyle w:val="HideTWBExt"/>
        </w:rPr>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4</w:t>
      </w:r>
      <w:r>
        <w:rPr>
          <w:rStyle w:val="HideTWBExt"/>
        </w:rPr>
        <w:t>&lt;/NumAm&gt;</w:t>
      </w:r>
    </w:p>
    <w:p w:rsidR="006038A9" w:rsidRPr="009269FD" w:rsidRDefault="002D3B48" w:rsidP="006038A9">
      <w:pPr>
        <w:pStyle w:val="NormalBold12b"/>
      </w:pPr>
      <w:r>
        <w:rPr>
          <w:rStyle w:val="HideTWBExt"/>
        </w:rPr>
        <w:t>&lt;D</w:t>
      </w:r>
      <w:r>
        <w:rPr>
          <w:rStyle w:val="HideTWBExt"/>
        </w:rPr>
        <w:t>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(10)</w:t>
            </w:r>
            <w:r>
              <w:tab/>
              <w:t xml:space="preserve">Wanneer een crisissituatie leidt tot een groot aantal aanvragen van consulaire </w:t>
            </w:r>
            <w:r>
              <w:lastRenderedPageBreak/>
              <w:t xml:space="preserve">bescherming, moeten de ambassades en </w:t>
            </w:r>
            <w:r>
              <w:t xml:space="preserve">consulaten van de in het betrokken derde land vertegenwoordigde lidstaten kunnen overeenkomen de aanvragen te verdelen op basis van de beschikbare capaciteit, zodat daarvan optimaal gebruik kan worden gemaakt. Daartoe </w:t>
            </w:r>
            <w:r>
              <w:rPr>
                <w:b/>
                <w:i/>
              </w:rPr>
              <w:t>kunnen</w:t>
            </w:r>
            <w:r>
              <w:t xml:space="preserve"> zij worden bijgestaan door dele</w:t>
            </w:r>
            <w:r>
              <w:t>gaties van de Unie.</w:t>
            </w:r>
          </w:p>
        </w:tc>
        <w:tc>
          <w:tcPr>
            <w:tcW w:w="4876" w:type="dxa"/>
          </w:tcPr>
          <w:p w:rsidR="006038A9" w:rsidRPr="009269FD" w:rsidRDefault="002D3B48" w:rsidP="005F45A0">
            <w:pPr>
              <w:pStyle w:val="Normal6a"/>
            </w:pPr>
            <w:r>
              <w:lastRenderedPageBreak/>
              <w:t>(10)</w:t>
            </w:r>
            <w:r>
              <w:tab/>
              <w:t xml:space="preserve">Wanneer een crisissituatie leidt tot een groot aantal aanvragen van consulaire </w:t>
            </w:r>
            <w:r>
              <w:lastRenderedPageBreak/>
              <w:t>bescherming, moeten de ambassades en consulaten van de in het betrokken derde land vertegenwoordigde lidstaten kunnen overeenkomen de aanvragen te verde</w:t>
            </w:r>
            <w:r>
              <w:t xml:space="preserve">len op basis van de beschikbare capaciteit, zodat daarvan optimaal gebruik kan worden gemaakt. Daartoe </w:t>
            </w:r>
            <w:r>
              <w:rPr>
                <w:b/>
                <w:i/>
              </w:rPr>
              <w:t>moeten</w:t>
            </w:r>
            <w:r>
              <w:t xml:space="preserve"> zij worden bijgestaan door delegaties van de Unie.</w:t>
            </w:r>
          </w:p>
        </w:tc>
      </w:tr>
    </w:tbl>
    <w:p w:rsidR="006038A9" w:rsidRPr="009269FD" w:rsidRDefault="002D3B48" w:rsidP="006038A9">
      <w:r>
        <w:rPr>
          <w:rStyle w:val="HideTWBExt"/>
        </w:rPr>
        <w:lastRenderedPageBreak/>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5</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19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(19)</w:t>
            </w:r>
            <w:r>
              <w:tab/>
              <w:t>Om voorbereid te zijn op mogelijke consulaire crises die bijstand aan niet-vertegenwoordigde burgers vereisen, moet in het kader van de plaatselijke consulaire samenwe</w:t>
            </w:r>
            <w:r>
              <w:t>rking tussen de lidstaten en de delegaties van de Unie in derde landen worden overlegd over aangelegenheden die voor de burgers in kwestie van belang zijn, zoals hun beveiliging en veiligheid, de opstelling van gezamenlijke consulaire noodplannen en de org</w:t>
            </w:r>
            <w:r>
              <w:t>anisatie van consulaire exercities. In dit verband kan het met name van belang zijn dat de consulaire instanties van niet-vertegenwoordigde lidstaten bij dergelijke plaatselijke consulaire samenwerking worden betrokken voor het coördineren van consulaire c</w:t>
            </w:r>
            <w:r>
              <w:t>risisparaatheid en -respons.</w:t>
            </w:r>
          </w:p>
        </w:tc>
        <w:tc>
          <w:tcPr>
            <w:tcW w:w="4876" w:type="dxa"/>
          </w:tcPr>
          <w:p w:rsidR="006038A9" w:rsidRPr="009269FD" w:rsidRDefault="002D3B48" w:rsidP="005F45A0">
            <w:pPr>
              <w:pStyle w:val="Normal6a"/>
            </w:pPr>
            <w:r>
              <w:t>(19)</w:t>
            </w:r>
            <w:r>
              <w:tab/>
              <w:t xml:space="preserve">Om voorbereid te zijn op mogelijke consulaire crises die bijstand aan niet-vertegenwoordigde burgers vereisen, </w:t>
            </w:r>
            <w:r>
              <w:rPr>
                <w:b/>
                <w:i/>
              </w:rPr>
              <w:t xml:space="preserve">onder meer bij natuurrampen, politieke onrust of terroristische aanslagen, </w:t>
            </w:r>
            <w:r>
              <w:t>moet in het kader van de plaatselijk</w:t>
            </w:r>
            <w:r>
              <w:t>e consulaire samenwerking tussen de lidstaten en de delegaties van de Unie in derde landen worden overlegd over aangelegenheden die voor de burgers in kwestie van belang zijn, zoals hun beveiliging en veiligheid, de opstelling van gezamenlijke consulaire n</w:t>
            </w:r>
            <w:r>
              <w:t>oodplannen</w:t>
            </w:r>
            <w:r>
              <w:rPr>
                <w:b/>
                <w:i/>
              </w:rPr>
              <w:t xml:space="preserve"> en mechanismen voor snelle respons,</w:t>
            </w:r>
            <w:r>
              <w:t xml:space="preserve"> en de organisatie van consulaire exercities. In dit verband kan het met name van belang zijn dat de consulaire instanties van niet-vertegenwoordigde lidstaten bij dergelijke plaatselijke consulaire samenwerkin</w:t>
            </w:r>
            <w:r>
              <w:t>g worden betrokken voor het coördineren van consulaire crisisparaatheid en -respons.</w:t>
            </w:r>
          </w:p>
        </w:tc>
      </w:tr>
    </w:tbl>
    <w:p w:rsidR="006038A9" w:rsidRPr="009269FD" w:rsidRDefault="002D3B48" w:rsidP="006038A9">
      <w:r>
        <w:rPr>
          <w:rStyle w:val="HideTWBExt"/>
        </w:rPr>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6</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(23)</w:t>
            </w:r>
            <w:r>
              <w:tab/>
              <w:t xml:space="preserve">Gezamenlijke consulaire </w:t>
            </w:r>
            <w:r>
              <w:lastRenderedPageBreak/>
              <w:t>noodplannen moeten zo nodig ook rekening houden met de taken en verantwoordelijkheden van de leidende staten, dat wil zeggen de lidstaten die in een bepaald derde land vertegenwoordigd zijn en de bijstand van niet-v</w:t>
            </w:r>
            <w:r>
              <w:t>ertegenwoordigde burgers tijdens crises moeten coördineren en leiden, teneinde doeltreffende coördinatie van de consulaire bijstand te waarborgen. Daarnaast moeten gezamenlijke consulaire noodplannen jaarlijks worden geëvalueerd in het kader van consulaire</w:t>
            </w:r>
            <w:r>
              <w:t xml:space="preserve"> exercities om ervoor te zorgen dat zij relevant blijven. Tegelijkertijd mogen gezamenlijke consulaire noodplannen niet worden opgevat als vervanging van bestaande nationale crisisplannen van de lidstaten of afdoen aan de verantwoordelijkheid van de lidsta</w:t>
            </w:r>
            <w:r>
              <w:t>ten om consulaire bijstand te verlenen aan hun eigen onderdanen.</w:t>
            </w:r>
          </w:p>
        </w:tc>
        <w:tc>
          <w:tcPr>
            <w:tcW w:w="4876" w:type="dxa"/>
          </w:tcPr>
          <w:p w:rsidR="006038A9" w:rsidRPr="009269FD" w:rsidRDefault="002D3B48" w:rsidP="005F45A0">
            <w:pPr>
              <w:pStyle w:val="Normal6a"/>
            </w:pPr>
            <w:r>
              <w:lastRenderedPageBreak/>
              <w:t>(23)</w:t>
            </w:r>
            <w:r>
              <w:tab/>
              <w:t xml:space="preserve">Gezamenlijke consulaire </w:t>
            </w:r>
            <w:r>
              <w:lastRenderedPageBreak/>
              <w:t>noodplannen moeten zo nodig ook rekening houden met de taken en verantwoordelijkheden van de leidende staten, dat wil zeggen de lidstaten die in een bepaald derde</w:t>
            </w:r>
            <w:r>
              <w:t xml:space="preserve"> land vertegenwoordigd zijn en de bijstand van niet-vertegenwoordigde burgers tijdens crises moeten coördineren en leiden, teneinde doeltreffende coördinatie van de consulaire bijstand te waarborgen. Daarnaast moeten gezamenlijke consulaire noodplannen jaa</w:t>
            </w:r>
            <w:r>
              <w:t>rlijks</w:t>
            </w:r>
            <w:r>
              <w:rPr>
                <w:b/>
                <w:i/>
              </w:rPr>
              <w:t>, of frequenter als uitzonderlijke omstandigheden dat vereisen,</w:t>
            </w:r>
            <w:r>
              <w:t xml:space="preserve"> worden geëvalueerd in het kader van consulaire exercities om ervoor te zorgen dat zij relevant blijven. Tegelijkertijd mogen gezamenlijke consulaire noodplannen niet worden opgevat als v</w:t>
            </w:r>
            <w:r>
              <w:t>ervanging van bestaande nationale crisisplannen van de lidstaten of afdoen aan de verantwoordelijkheid van de lidstaten om consulaire bijstand te verlenen aan hun eigen onderdanen</w:t>
            </w:r>
            <w:r>
              <w:rPr>
                <w:b/>
                <w:i/>
              </w:rPr>
              <w:t>, maar wel als een coherente aanpak die aanvullend kan helpen om de inspannin</w:t>
            </w:r>
            <w:r>
              <w:rPr>
                <w:b/>
                <w:i/>
              </w:rPr>
              <w:t>gen van de vertegenwoordigde lidstaten te coördineren</w:t>
            </w:r>
            <w:r>
              <w:t>.</w:t>
            </w:r>
          </w:p>
        </w:tc>
      </w:tr>
    </w:tbl>
    <w:p w:rsidR="006038A9" w:rsidRPr="009269FD" w:rsidRDefault="002D3B48" w:rsidP="006038A9">
      <w:r>
        <w:rPr>
          <w:rStyle w:val="HideTWBExt"/>
        </w:rPr>
        <w:lastRenderedPageBreak/>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7</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25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(25)</w:t>
            </w:r>
            <w:r>
              <w:tab/>
            </w:r>
            <w:r>
              <w:t xml:space="preserve">Reisadvies, dat wil zeggen informatie van de lidstaten over de relatieve veiligheid van reizen naar specifieke derde landen, </w:t>
            </w:r>
            <w:r>
              <w:rPr>
                <w:b/>
                <w:i/>
              </w:rPr>
              <w:t>stelt</w:t>
            </w:r>
            <w:r>
              <w:t xml:space="preserve"> reizigers in staat met kennis van zaken een beslissing te nemen over een bepaalde reisbestemming, met inbegrip van derde land</w:t>
            </w:r>
            <w:r>
              <w:t xml:space="preserve">en waar de lidstaat waarvan zij de nationaliteit hebben, niet vertegenwoordigd is. Hoewel het verstrekken van reisadvies onder de verantwoordelijkheid van de lidstaten valt, is het passend dat zij op dit </w:t>
            </w:r>
            <w:r>
              <w:lastRenderedPageBreak/>
              <w:t>gebied coördinerend optreden, met name in crisissitu</w:t>
            </w:r>
            <w:r>
              <w:t xml:space="preserve">aties, om voor </w:t>
            </w:r>
            <w:r>
              <w:rPr>
                <w:b/>
                <w:i/>
              </w:rPr>
              <w:t xml:space="preserve">zover mogelijk voor </w:t>
            </w:r>
            <w:r>
              <w:t>samenhang in het verstrekte advies te zorgen. Dit zou kunnen inhouden dat een gemeenschappelijke structuur wordt overeengekomen voor de risiconiveaus die in het reisadvies worden aangegeven, met gebruikmaking van het beve</w:t>
            </w:r>
            <w:r>
              <w:t xml:space="preserve">iligde platform van de EDEO. </w:t>
            </w:r>
            <w:r>
              <w:rPr>
                <w:b/>
                <w:i/>
              </w:rPr>
              <w:t xml:space="preserve">Waar mogelijk moet </w:t>
            </w:r>
            <w:r>
              <w:t>een dergelijke coördinatie in een vroeg stadium plaatsvinden, wanneer de lidstaten voornemens zijn het niveau van hun reisadvies te wijzigen.</w:t>
            </w:r>
          </w:p>
        </w:tc>
        <w:tc>
          <w:tcPr>
            <w:tcW w:w="4876" w:type="dxa"/>
          </w:tcPr>
          <w:p w:rsidR="006038A9" w:rsidRPr="009269FD" w:rsidRDefault="002D3B48" w:rsidP="005F45A0">
            <w:pPr>
              <w:pStyle w:val="AmColumnHeading"/>
              <w:spacing w:after="120"/>
              <w:jc w:val="left"/>
            </w:pPr>
            <w:r>
              <w:rPr>
                <w:i w:val="0"/>
              </w:rPr>
              <w:lastRenderedPageBreak/>
              <w:t>(25)</w:t>
            </w:r>
            <w:r>
              <w:rPr>
                <w:i w:val="0"/>
              </w:rPr>
              <w:tab/>
              <w:t>Reisadvies, dat wil zeggen informatie van de lidstaten over d</w:t>
            </w:r>
            <w:r>
              <w:rPr>
                <w:i w:val="0"/>
              </w:rPr>
              <w:t xml:space="preserve">e relatieve veiligheid van reizen naar specifieke derde landen, </w:t>
            </w:r>
            <w:r>
              <w:rPr>
                <w:b/>
              </w:rPr>
              <w:t>moet regelmatig worden bijgewerkt om</w:t>
            </w:r>
            <w:r>
              <w:rPr>
                <w:i w:val="0"/>
              </w:rPr>
              <w:t xml:space="preserve"> reizigers in staat</w:t>
            </w:r>
            <w:r>
              <w:rPr>
                <w:b/>
              </w:rPr>
              <w:t xml:space="preserve"> te stellen</w:t>
            </w:r>
            <w:r>
              <w:rPr>
                <w:i w:val="0"/>
              </w:rPr>
              <w:t xml:space="preserve"> met kennis van zaken een beslissing te nemen over een bepaalde reisbestemming, met inbegrip van derde landen waar de lidstaat</w:t>
            </w:r>
            <w:r>
              <w:rPr>
                <w:i w:val="0"/>
              </w:rPr>
              <w:t xml:space="preserve"> waarvan zij de nationaliteit hebben, niet vertegenwoordigd is. Hoewel het verstrekken van reisadvies onder de verantwoordelijkheid van de </w:t>
            </w:r>
            <w:r>
              <w:rPr>
                <w:i w:val="0"/>
              </w:rPr>
              <w:lastRenderedPageBreak/>
              <w:t>lidstaten valt, is het passend dat zij op dit gebied coördinerend optreden, met name in crisissituaties, om voor same</w:t>
            </w:r>
            <w:r>
              <w:rPr>
                <w:i w:val="0"/>
              </w:rPr>
              <w:t>nhang in het verstrekte advies te zorgen. Dit zou kunnen inhouden dat een gemeenschappelijke structuur wordt overeengekomen voor de risiconiveaus die in het reisadvies worden aangegeven, met gebruikmaking van het beveiligde platform van de EDEO.</w:t>
            </w:r>
            <w:r>
              <w:t xml:space="preserve"> </w:t>
            </w:r>
            <w:r>
              <w:rPr>
                <w:i w:val="0"/>
              </w:rPr>
              <w:t>Een dergel</w:t>
            </w:r>
            <w:r>
              <w:rPr>
                <w:i w:val="0"/>
              </w:rPr>
              <w:t>ijke</w:t>
            </w:r>
            <w:r>
              <w:rPr>
                <w:b/>
              </w:rPr>
              <w:t xml:space="preserve"> </w:t>
            </w:r>
            <w:r>
              <w:rPr>
                <w:i w:val="0"/>
              </w:rPr>
              <w:t>coördinatie</w:t>
            </w:r>
            <w:r>
              <w:rPr>
                <w:b/>
              </w:rPr>
              <w:t xml:space="preserve"> moet</w:t>
            </w:r>
            <w:r>
              <w:rPr>
                <w:i w:val="0"/>
              </w:rPr>
              <w:t xml:space="preserve"> in een vroeg stadium plaatsvinden, wanneer de lidstaten voornemens zijn het niveau van hun reisadvies te wijzigen.</w:t>
            </w:r>
          </w:p>
        </w:tc>
      </w:tr>
    </w:tbl>
    <w:p w:rsidR="006038A9" w:rsidRPr="009269FD" w:rsidRDefault="002D3B48" w:rsidP="006038A9">
      <w:r>
        <w:rPr>
          <w:rStyle w:val="HideTWBExt"/>
        </w:rPr>
        <w:lastRenderedPageBreak/>
        <w:t>&lt;/Amend&gt;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8</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Overweging 26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 xml:space="preserve">(26) Efficiënte coördinatie is van vitaal belang voor een doeltreffende crisisrespons. Om die coördinatie te waarborgen, moeten de lidstaten worden ondersteund door het crisisresponscentrum van </w:t>
            </w:r>
            <w:r>
              <w:t xml:space="preserve">de EDEO en het Coördinatiecentrum voor respons in noodsituaties van de Commissie. Een gecoördineerde crisisrespons van de Unie is met name belangrijk in gevallen waarin evacuaties nodig zijn om ervoor te zorgen dat de beschikbare steun op efficiënte wijze </w:t>
            </w:r>
            <w:r>
              <w:t>wordt verleend en dat de beschikbare evacuatiecapaciteit optimaal wordt benut. Daarom moet informatie over de beschikbare evacuatiecapaciteit tijdig worden gedeeld, ook in het geval van reddings- en evacuatieoperaties waarbij militaire middelen worden gebr</w:t>
            </w:r>
            <w:r>
              <w:t>uikt.</w:t>
            </w:r>
          </w:p>
        </w:tc>
        <w:tc>
          <w:tcPr>
            <w:tcW w:w="4876" w:type="dxa"/>
          </w:tcPr>
          <w:p w:rsidR="006038A9" w:rsidRPr="009269FD" w:rsidRDefault="002D3B48" w:rsidP="005F45A0">
            <w:pPr>
              <w:pStyle w:val="Normal6a"/>
              <w:rPr>
                <w:szCs w:val="24"/>
              </w:rPr>
            </w:pPr>
            <w:r>
              <w:t xml:space="preserve">(26) Efficiënte coördinatie is van vitaal belang voor een doeltreffende crisisrespons. Om die coördinatie te waarborgen, moeten de lidstaten worden ondersteund door </w:t>
            </w:r>
            <w:r>
              <w:rPr>
                <w:b/>
                <w:i/>
              </w:rPr>
              <w:t xml:space="preserve">en tijdig informatie ontvangen van </w:t>
            </w:r>
            <w:r>
              <w:t>het crisisresponscentrum van de EDEO en het Coördi</w:t>
            </w:r>
            <w:r>
              <w:t xml:space="preserve">natiecentrum voor respons in noodsituaties van de Commissie. Een gecoördineerde crisisrespons van de Unie is met name belangrijk in gevallen waarin evacuaties nodig zijn om ervoor te zorgen dat de beschikbare steun </w:t>
            </w:r>
            <w:r>
              <w:rPr>
                <w:b/>
                <w:i/>
              </w:rPr>
              <w:t xml:space="preserve">snel en </w:t>
            </w:r>
            <w:r>
              <w:t>op efficiënte wijze wordt verleen</w:t>
            </w:r>
            <w:r>
              <w:t xml:space="preserve">d en dat de beschikbare evacuatiecapaciteit optimaal wordt benut. Daarom moet </w:t>
            </w:r>
            <w:r>
              <w:rPr>
                <w:b/>
                <w:i/>
              </w:rPr>
              <w:t xml:space="preserve">relevante </w:t>
            </w:r>
            <w:r>
              <w:t xml:space="preserve">informatie </w:t>
            </w:r>
            <w:r>
              <w:rPr>
                <w:b/>
                <w:i/>
              </w:rPr>
              <w:t xml:space="preserve">uit de eerste hand, bijvoorbeeld </w:t>
            </w:r>
            <w:r>
              <w:t>over de beschikbare evacuatiecapaciteit</w:t>
            </w:r>
            <w:r>
              <w:rPr>
                <w:b/>
                <w:i/>
              </w:rPr>
              <w:t>,</w:t>
            </w:r>
            <w:r>
              <w:t xml:space="preserve"> tijdig worden gedeeld</w:t>
            </w:r>
            <w:r>
              <w:rPr>
                <w:b/>
                <w:i/>
              </w:rPr>
              <w:t xml:space="preserve"> om snel en effectief te kunnen reageren</w:t>
            </w:r>
            <w:r>
              <w:t>, ook in het geval van</w:t>
            </w:r>
            <w:r>
              <w:t xml:space="preserve"> reddings- en evacuatieoperaties waarbij militaire middelen worden gebruikt. </w:t>
            </w:r>
            <w:r>
              <w:rPr>
                <w:b/>
                <w:i/>
              </w:rPr>
              <w:t xml:space="preserve">In dit verband moet de EDEO automatisch en continu informatie over de situatie in derde landen kunnen ontvangen van de </w:t>
            </w:r>
            <w:r>
              <w:rPr>
                <w:b/>
                <w:i/>
              </w:rPr>
              <w:lastRenderedPageBreak/>
              <w:t>lidstaten.</w:t>
            </w:r>
          </w:p>
        </w:tc>
      </w:tr>
    </w:tbl>
    <w:p w:rsidR="006038A9" w:rsidRPr="009269FD" w:rsidRDefault="002D3B48" w:rsidP="006038A9">
      <w:r>
        <w:rPr>
          <w:rStyle w:val="HideTWBExt"/>
        </w:rPr>
        <w:lastRenderedPageBreak/>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9</w:t>
      </w:r>
      <w:r>
        <w:rPr>
          <w:rStyle w:val="HideTWBExt"/>
        </w:rPr>
        <w:t>&lt;/NumAm&gt;</w:t>
      </w:r>
    </w:p>
    <w:p w:rsidR="006038A9" w:rsidRPr="009269FD" w:rsidRDefault="002D3B48" w:rsidP="006038A9">
      <w:pPr>
        <w:pStyle w:val="NormalBold12b"/>
      </w:pPr>
      <w:r>
        <w:rPr>
          <w:rStyle w:val="HideTWBExt"/>
        </w:rPr>
        <w:t>&lt;Do</w:t>
      </w:r>
      <w:r>
        <w:rPr>
          <w:rStyle w:val="HideTWBExt"/>
        </w:rPr>
        <w:t>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(28)</w:t>
            </w:r>
            <w:r>
              <w:tab/>
              <w:t xml:space="preserve">Gezamenlijke consulaire teams moeten gebaseerd zijn op </w:t>
            </w:r>
            <w:r>
              <w:rPr>
                <w:b/>
                <w:i/>
              </w:rPr>
              <w:t>de beginselen</w:t>
            </w:r>
            <w:r>
              <w:t xml:space="preserve"> van</w:t>
            </w:r>
            <w:r>
              <w:rPr>
                <w:b/>
                <w:i/>
              </w:rPr>
              <w:t xml:space="preserve"> vrijwillige deelname,</w:t>
            </w:r>
            <w:r>
              <w:t xml:space="preserve"> solidariteit met de vertegenwoordigde lidstaten, gelijkheid met betrekking tot besluiten over interne werkstructuren, eenvoud wat betreft de samenstelling van teams, kostendeling (elk van de lidstaten, instellingen of organen van de Unie draagt zijn eigen</w:t>
            </w:r>
            <w:r>
              <w:t xml:space="preserve"> operationele kosten) flexibiliteit, zichtbaarheid van de gecoördineerde respons van de Unie en openheid ten aanzien van relevante derde landen.</w:t>
            </w:r>
          </w:p>
        </w:tc>
        <w:tc>
          <w:tcPr>
            <w:tcW w:w="4876" w:type="dxa"/>
          </w:tcPr>
          <w:p w:rsidR="006038A9" w:rsidRPr="009269FD" w:rsidRDefault="002D3B48" w:rsidP="005F45A0">
            <w:pPr>
              <w:pStyle w:val="AmColumnHeading"/>
              <w:spacing w:after="120"/>
              <w:jc w:val="left"/>
            </w:pPr>
            <w:r>
              <w:rPr>
                <w:i w:val="0"/>
              </w:rPr>
              <w:t>(28)</w:t>
            </w:r>
            <w:r>
              <w:rPr>
                <w:i w:val="0"/>
              </w:rPr>
              <w:tab/>
              <w:t xml:space="preserve">Gezamenlijke consulaire teams moeten gebaseerd zijn op </w:t>
            </w:r>
            <w:r>
              <w:rPr>
                <w:b/>
              </w:rPr>
              <w:t>het beginsel</w:t>
            </w:r>
            <w:r>
              <w:rPr>
                <w:i w:val="0"/>
              </w:rPr>
              <w:t xml:space="preserve"> van solidariteit met de vertegenwoordi</w:t>
            </w:r>
            <w:r>
              <w:rPr>
                <w:i w:val="0"/>
              </w:rPr>
              <w:t>gde lidstaten, gelijkheid met betrekking tot besluiten over interne werkstructuren, eenvoud wat betreft de samenstelling van teams, kostendeling (elk van de lidstaten, instellingen of organen van de Unie draagt zijn eigen operationele kosten) flexibiliteit</w:t>
            </w:r>
            <w:r>
              <w:rPr>
                <w:i w:val="0"/>
              </w:rPr>
              <w:t>, zichtbaarheid van de gecoördineerde respons van de Unie en openheid ten aanzien van relevante derde landen.</w:t>
            </w:r>
          </w:p>
        </w:tc>
      </w:tr>
    </w:tbl>
    <w:p w:rsidR="006038A9" w:rsidRPr="009269FD" w:rsidRDefault="002D3B48" w:rsidP="006038A9">
      <w:pPr>
        <w:rPr>
          <w:rStyle w:val="HideTWBExt"/>
        </w:rPr>
      </w:pPr>
      <w:r>
        <w:rPr>
          <w:rStyle w:val="HideTWBExt"/>
        </w:rPr>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10</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 xml:space="preserve">Door de </w:t>
            </w:r>
            <w:r>
              <w:t>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(30)</w:t>
            </w:r>
            <w:r>
              <w:tab/>
              <w:t>Om burgers van de Unie in nood te ondersteunen, is het belangrijk hun betrouwbare informatie te verstrekken over hoe zij kunnen gebruikmaken van consulaire bijstand in derde landen. De diensten van de Commissie</w:t>
            </w:r>
            <w:r>
              <w:t xml:space="preserve"> en de EDEO moeten </w:t>
            </w:r>
            <w:r>
              <w:rPr>
                <w:b/>
                <w:i/>
              </w:rPr>
              <w:t>aan de verwezenlijking van die doelstelling bijdragen door</w:t>
            </w:r>
            <w:r>
              <w:t xml:space="preserve"> relevante informatie</w:t>
            </w:r>
            <w:r>
              <w:rPr>
                <w:b/>
                <w:i/>
              </w:rPr>
              <w:t xml:space="preserve"> te</w:t>
            </w:r>
            <w:r>
              <w:t xml:space="preserve"> verspreiden, met inbegrip van door de lidstaten te verstrekken informatie over hun consulaire netwerken en de derde landen waar zij praktische regelingen </w:t>
            </w:r>
            <w:r>
              <w:t xml:space="preserve">hebben getroffen betreffende het delen van verantwoordelijkheden voor het verlenen van consulaire bescherming aan niet-vertegenwoordigde burgers. Om de </w:t>
            </w:r>
            <w:r>
              <w:lastRenderedPageBreak/>
              <w:t>verwerking van dergelijke informatie te vergemakkelijken, moet deze in machineleesbaar formaat worden ve</w:t>
            </w:r>
            <w:r>
              <w:t>rstrekt.</w:t>
            </w:r>
          </w:p>
        </w:tc>
        <w:tc>
          <w:tcPr>
            <w:tcW w:w="4876" w:type="dxa"/>
          </w:tcPr>
          <w:p w:rsidR="006038A9" w:rsidRPr="009269FD" w:rsidRDefault="002D3B48" w:rsidP="005F45A0">
            <w:pPr>
              <w:pStyle w:val="AmColumnHeading"/>
              <w:spacing w:after="120"/>
              <w:jc w:val="left"/>
            </w:pPr>
            <w:r>
              <w:rPr>
                <w:i w:val="0"/>
              </w:rPr>
              <w:lastRenderedPageBreak/>
              <w:t>(30)</w:t>
            </w:r>
            <w:r>
              <w:rPr>
                <w:i w:val="0"/>
              </w:rPr>
              <w:tab/>
              <w:t>Om burgers van de Unie in nood te ondersteunen, is het belangrijk hun betrouwbare</w:t>
            </w:r>
            <w:r>
              <w:t xml:space="preserve"> </w:t>
            </w:r>
            <w:r>
              <w:rPr>
                <w:b/>
              </w:rPr>
              <w:t xml:space="preserve">en gemakkelijk toegankelijke </w:t>
            </w:r>
            <w:r>
              <w:rPr>
                <w:i w:val="0"/>
              </w:rPr>
              <w:t>informatie te verstrekken over hoe zij kunnen gebruikmaken van consulaire bijstand in derde landen</w:t>
            </w:r>
            <w:r>
              <w:rPr>
                <w:b/>
              </w:rPr>
              <w:t>, waaronder mogelijkheden om digi</w:t>
            </w:r>
            <w:r>
              <w:rPr>
                <w:b/>
              </w:rPr>
              <w:t>taal contact op te nemen</w:t>
            </w:r>
            <w:r>
              <w:rPr>
                <w:b/>
              </w:rPr>
              <w:t>.</w:t>
            </w:r>
            <w:r>
              <w:t xml:space="preserve"> </w:t>
            </w:r>
            <w:r>
              <w:rPr>
                <w:i w:val="0"/>
              </w:rPr>
              <w:t>De diensten van de Commissie en de EDEO moeten</w:t>
            </w:r>
            <w:r>
              <w:t xml:space="preserve"> </w:t>
            </w:r>
            <w:r>
              <w:rPr>
                <w:b/>
              </w:rPr>
              <w:t>in nauwe samenwerking met de lidstaten</w:t>
            </w:r>
            <w:r>
              <w:rPr>
                <w:b/>
              </w:rPr>
              <w:t xml:space="preserve"> </w:t>
            </w:r>
            <w:r>
              <w:rPr>
                <w:i w:val="0"/>
              </w:rPr>
              <w:t xml:space="preserve">relevante informatie verspreiden, met inbegrip van door de lidstaten te verstrekken informatie over hun consulaire netwerken en de derde landen </w:t>
            </w:r>
            <w:r>
              <w:rPr>
                <w:i w:val="0"/>
              </w:rPr>
              <w:t xml:space="preserve">waar zij praktische regelingen hebben getroffen betreffende het delen van verantwoordelijkheden voor het verlenen </w:t>
            </w:r>
            <w:r>
              <w:rPr>
                <w:i w:val="0"/>
              </w:rPr>
              <w:lastRenderedPageBreak/>
              <w:t>van consulaire bescherming aan niet-vertegenwoordigde burgers. Om de verwerking van dergelijke informatie te vergemakkelijken, moet deze in ma</w:t>
            </w:r>
            <w:r>
              <w:rPr>
                <w:i w:val="0"/>
              </w:rPr>
              <w:t>chineleesbaar formaat worden verstrekt.</w:t>
            </w:r>
          </w:p>
        </w:tc>
      </w:tr>
    </w:tbl>
    <w:p w:rsidR="006038A9" w:rsidRPr="009269FD" w:rsidRDefault="002D3B48" w:rsidP="006038A9">
      <w:r>
        <w:rPr>
          <w:rStyle w:val="HideTWBExt"/>
        </w:rPr>
        <w:lastRenderedPageBreak/>
        <w:t>&lt;/Amend&gt;</w:t>
      </w:r>
    </w:p>
    <w:p w:rsidR="006038A9" w:rsidRPr="009269FD" w:rsidRDefault="002D3B48" w:rsidP="006038A9">
      <w:pPr>
        <w:pStyle w:val="AmNumberTabs"/>
        <w:keepNext/>
      </w:pPr>
      <w:bookmarkStart w:id="4" w:name="restart"/>
      <w:r>
        <w:rPr>
          <w:rStyle w:val="HideTWBExt"/>
          <w:b w:val="0"/>
        </w:rPr>
        <w:t>&lt;Amend&gt;</w:t>
      </w:r>
      <w:r>
        <w:t>Amendement</w:t>
      </w:r>
      <w:r>
        <w:tab/>
      </w:r>
      <w:r>
        <w:tab/>
      </w:r>
      <w:r>
        <w:rPr>
          <w:rStyle w:val="HideTWBExt"/>
          <w:b w:val="0"/>
        </w:rPr>
        <w:t>&lt;NumAm&gt;</w:t>
      </w:r>
      <w:r>
        <w:t>11</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Overweging 30 bis (nieuw)</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 xml:space="preserve"> </w:t>
            </w:r>
          </w:p>
        </w:tc>
        <w:tc>
          <w:tcPr>
            <w:tcW w:w="4876" w:type="dxa"/>
          </w:tcPr>
          <w:p w:rsidR="006038A9" w:rsidRPr="009269FD" w:rsidRDefault="002D3B48" w:rsidP="005F45A0">
            <w:pPr>
              <w:pStyle w:val="Normal6a"/>
              <w:rPr>
                <w:szCs w:val="24"/>
              </w:rPr>
            </w:pPr>
            <w:r>
              <w:rPr>
                <w:b/>
                <w:i/>
              </w:rPr>
              <w:t>(30 bis)</w:t>
            </w:r>
            <w:r>
              <w:tab/>
            </w:r>
            <w:r>
              <w:rPr>
                <w:b/>
                <w:i/>
              </w:rPr>
              <w:t xml:space="preserve">De lidstaten </w:t>
            </w:r>
            <w:r>
              <w:rPr>
                <w:b/>
                <w:i/>
              </w:rPr>
              <w:t>en de relevante organen van de EU zorgen ervoor dat de informatie voor burgers over consulaire bescherming up-to-date en gemakkelijk toegankelijk is op digitale platforms, waaronder mobiele applicaties, zodat EU-burgers te allen tijde snel en gemakkelijk t</w:t>
            </w:r>
            <w:r>
              <w:rPr>
                <w:b/>
                <w:i/>
              </w:rPr>
              <w:t xml:space="preserve">oegang hebben tot informatie en contactkanalen. In die zin moet er een berichtendienst worden opgezet zodat EU-burgers gecontextualiseerde berichten kunnen ontvangen over hun rechten en hoe ze die kunnen uitoefenen via onmiddellijke kennisgevingen wanneer </w:t>
            </w:r>
            <w:r>
              <w:rPr>
                <w:b/>
                <w:i/>
              </w:rPr>
              <w:t>ze in derde landen aankomen, en via waarschuwingsberichten in geval van een crisis. Daarnaast moet worden nagedacht over een herzien en verbeterd gemeenschappelijk EU-portaal voor consulaire bescherming met alle relevante informatie, instructies voor dring</w:t>
            </w:r>
            <w:r>
              <w:rPr>
                <w:b/>
                <w:i/>
              </w:rPr>
              <w:t>ende situaties en contactgegevens die relevant zijn voor EU-delegaties en consulaire staten in derde landen.</w:t>
            </w:r>
          </w:p>
        </w:tc>
      </w:tr>
    </w:tbl>
    <w:p w:rsidR="006038A9" w:rsidRPr="009269FD" w:rsidRDefault="002D3B48" w:rsidP="006038A9">
      <w:r>
        <w:rPr>
          <w:rStyle w:val="HideTWBExt"/>
        </w:rPr>
        <w:t>&lt;/Amend&gt;</w:t>
      </w:r>
      <w:bookmarkEnd w:id="4"/>
    </w:p>
    <w:p w:rsidR="006038A9" w:rsidRPr="009269FD" w:rsidRDefault="002D3B48" w:rsidP="006038A9">
      <w:pPr>
        <w:pStyle w:val="AmNumberTabs"/>
      </w:pPr>
      <w:r>
        <w:rPr>
          <w:rStyle w:val="HideTWBExt"/>
        </w:rPr>
        <w:t>&lt;Amend&gt;</w:t>
      </w:r>
      <w:r>
        <w:t>Amendement</w:t>
      </w:r>
      <w:r>
        <w:tab/>
      </w:r>
      <w:r>
        <w:tab/>
      </w:r>
      <w:r>
        <w:rPr>
          <w:rStyle w:val="HideTWBExt"/>
        </w:rPr>
        <w:t>&lt;NumAm&gt;</w:t>
      </w:r>
      <w:r>
        <w:t>12</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31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w:t>
            </w:r>
            <w:r>
              <w:t>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(31)</w:t>
            </w:r>
            <w:r>
              <w:tab/>
              <w:t xml:space="preserve">De lidstaten moeten aanvullende </w:t>
            </w:r>
            <w:r>
              <w:lastRenderedPageBreak/>
              <w:t xml:space="preserve">maatregelen nemen om de burgers van de Unie nog bewuster te maken van hun recht op consulaire bescherming, daarbij ook rekening houdend met de specifieke behoeften van personen met een </w:t>
            </w:r>
            <w:r>
              <w:t xml:space="preserve">handicap. Gezien de beperkte kosten die dit </w:t>
            </w:r>
            <w:r>
              <w:rPr>
                <w:b/>
                <w:i/>
              </w:rPr>
              <w:t xml:space="preserve">voor de lidstaten </w:t>
            </w:r>
            <w:r>
              <w:t xml:space="preserve">met zich meebrengt, </w:t>
            </w:r>
            <w:r>
              <w:rPr>
                <w:b/>
                <w:i/>
              </w:rPr>
              <w:t>zou hiertoe</w:t>
            </w:r>
            <w:r>
              <w:t xml:space="preserve"> in door </w:t>
            </w:r>
            <w:r>
              <w:rPr>
                <w:b/>
                <w:i/>
              </w:rPr>
              <w:t xml:space="preserve">de </w:t>
            </w:r>
            <w:r>
              <w:t>lidstaten afgegeven paspoorten</w:t>
            </w:r>
            <w:r>
              <w:rPr>
                <w:b/>
                <w:i/>
              </w:rPr>
              <w:t xml:space="preserve"> bijvoorbeeld</w:t>
            </w:r>
            <w:r>
              <w:t xml:space="preserve"> de tekst van artikel 23 VWEU </w:t>
            </w:r>
            <w:r>
              <w:rPr>
                <w:b/>
                <w:i/>
              </w:rPr>
              <w:t>kunnen worden overgenomen</w:t>
            </w:r>
            <w:r>
              <w:t xml:space="preserve"> om burgers bewuster te maken van het recht op besche</w:t>
            </w:r>
            <w:r>
              <w:t>rming door diplomatieke en consulaire instanties, zoals reeds aanbevolen in Aanbeveling C(2007)</w:t>
            </w:r>
            <w:r>
              <w:rPr>
                <w:b/>
                <w:i/>
              </w:rPr>
              <w:t> </w:t>
            </w:r>
            <w:r>
              <w:t>5841 van de Commissie</w:t>
            </w:r>
            <w:r>
              <w:rPr>
                <w:vertAlign w:val="superscript"/>
              </w:rPr>
              <w:t>5</w:t>
            </w:r>
            <w:r>
              <w:t>. De lidstaten zouden ook informatie over het recht op consulaire bescherming van niet-vertegenwoordigde burgers kunnen verstrekken door m</w:t>
            </w:r>
            <w:r>
              <w:t>iddel van reisadviezen en campagnes. Daarnaast zouden zij kunnen samenwerken met aanbieders van personenvervoersdiensten en vervoersknooppunten voor reizen naar derde landen, bijvoorbeeld door hen te verzoeken relevante informatie over het recht op consula</w:t>
            </w:r>
            <w:r>
              <w:t>ire bescherming toe te voegen aan het informatiemateriaal dat aan klanten ter beschikking wordt gesteld.</w:t>
            </w:r>
          </w:p>
        </w:tc>
        <w:tc>
          <w:tcPr>
            <w:tcW w:w="4876" w:type="dxa"/>
          </w:tcPr>
          <w:p w:rsidR="006038A9" w:rsidRPr="009269FD" w:rsidRDefault="002D3B48" w:rsidP="005F45A0">
            <w:pPr>
              <w:pStyle w:val="Normal6a"/>
            </w:pPr>
            <w:r>
              <w:lastRenderedPageBreak/>
              <w:t>(31)</w:t>
            </w:r>
            <w:r>
              <w:tab/>
              <w:t xml:space="preserve">De lidstaten moeten aanvullende </w:t>
            </w:r>
            <w:r>
              <w:lastRenderedPageBreak/>
              <w:t>maatregelen nemen om de burgers van de Unie nog bewuster te maken van hun recht op consulaire bescherming, daarbij</w:t>
            </w:r>
            <w:r>
              <w:t xml:space="preserve"> ook rekening houdend met de specifieke behoeften van personen met een handicap. Gezien de beperkte kosten die dit met zich meebrengt, </w:t>
            </w:r>
            <w:r>
              <w:rPr>
                <w:b/>
                <w:i/>
              </w:rPr>
              <w:t>moeten lidstaten</w:t>
            </w:r>
            <w:r>
              <w:t xml:space="preserve"> in door lidstaten afgegeven paspoorten de tekst van artikel 23 VWEU </w:t>
            </w:r>
            <w:r>
              <w:rPr>
                <w:b/>
                <w:i/>
              </w:rPr>
              <w:t>overnemen</w:t>
            </w:r>
            <w:r>
              <w:t xml:space="preserve"> om burgers bewuster te mak</w:t>
            </w:r>
            <w:r>
              <w:t>en van het recht op bescherming door diplomatieke en consulaire instanties, zoals reeds aanbevolen in Aanbeveling C(2007)</w:t>
            </w:r>
            <w:r>
              <w:rPr>
                <w:b/>
                <w:i/>
              </w:rPr>
              <w:t xml:space="preserve"> </w:t>
            </w:r>
            <w:r>
              <w:t>5841 van de Commissie</w:t>
            </w:r>
            <w:r>
              <w:rPr>
                <w:vertAlign w:val="superscript"/>
              </w:rPr>
              <w:t>5</w:t>
            </w:r>
            <w:r>
              <w:t>. De lidstaten zouden ook informatie over het recht op consulaire bescherming van niet-vertegenwoordigde burgers</w:t>
            </w:r>
            <w:r>
              <w:t xml:space="preserve"> kunnen verstrekken door middel van reisadviezen en campagnes. Daarnaast zouden zij kunnen samenwerken met aanbieders van personenvervoersdiensten en vervoersknooppunten voor reizen naar derde landen, bijvoorbeeld door hen te verzoeken relevante informatie</w:t>
            </w:r>
            <w:r>
              <w:t xml:space="preserve"> over het recht op consulaire bescherming toe te voegen aan het informatiemateriaal dat aan klanten ter beschikking wordt gesteld.</w:t>
            </w:r>
          </w:p>
        </w:tc>
      </w:tr>
      <w:tr w:rsidR="00DE444B" w:rsidTr="005F45A0">
        <w:trPr>
          <w:jc w:val="center"/>
        </w:trPr>
        <w:tc>
          <w:tcPr>
            <w:tcW w:w="4876" w:type="dxa"/>
          </w:tcPr>
          <w:p w:rsidR="006038A9" w:rsidRPr="009269FD" w:rsidRDefault="002D3B48" w:rsidP="005F45A0">
            <w:pPr>
              <w:pStyle w:val="Normal6a"/>
            </w:pPr>
            <w:r>
              <w:rPr>
                <w:b/>
                <w:i/>
              </w:rPr>
              <w:lastRenderedPageBreak/>
              <w:t>_________________</w:t>
            </w:r>
          </w:p>
        </w:tc>
        <w:tc>
          <w:tcPr>
            <w:tcW w:w="4876" w:type="dxa"/>
          </w:tcPr>
          <w:p w:rsidR="006038A9" w:rsidRPr="009269FD" w:rsidRDefault="002D3B48" w:rsidP="005F45A0">
            <w:pPr>
              <w:pStyle w:val="Normal6a"/>
            </w:pPr>
            <w:r>
              <w:rPr>
                <w:b/>
                <w:i/>
              </w:rPr>
              <w:t>_________________</w:t>
            </w:r>
          </w:p>
        </w:tc>
      </w:tr>
      <w:tr w:rsidR="00DE444B" w:rsidTr="005F45A0">
        <w:trPr>
          <w:jc w:val="center"/>
        </w:trPr>
        <w:tc>
          <w:tcPr>
            <w:tcW w:w="4876" w:type="dxa"/>
          </w:tcPr>
          <w:p w:rsidR="006038A9" w:rsidRPr="009269FD" w:rsidRDefault="002D3B48" w:rsidP="005F45A0">
            <w:pPr>
              <w:pStyle w:val="Normal6a"/>
            </w:pPr>
            <w:r>
              <w:rPr>
                <w:vertAlign w:val="superscript"/>
              </w:rPr>
              <w:t>5</w:t>
            </w:r>
            <w:r>
              <w:t xml:space="preserve"> Aanbeveling C(2007) 5841 van de Commissie van 5 december 2007 over de overname van de</w:t>
            </w:r>
            <w:r>
              <w:t xml:space="preserve"> tekst van artikel 20 VEG in paspoorten (PB L 118 van 6.5.2008, blz. 30, ELI: http://data.europa.eu/eli/reco/2008/355/oj).</w:t>
            </w:r>
          </w:p>
        </w:tc>
        <w:tc>
          <w:tcPr>
            <w:tcW w:w="4876" w:type="dxa"/>
          </w:tcPr>
          <w:p w:rsidR="006038A9" w:rsidRPr="009269FD" w:rsidRDefault="002D3B48" w:rsidP="005F45A0">
            <w:pPr>
              <w:pStyle w:val="Normal6a"/>
            </w:pPr>
            <w:r>
              <w:rPr>
                <w:vertAlign w:val="superscript"/>
              </w:rPr>
              <w:t>5</w:t>
            </w:r>
            <w:r>
              <w:t xml:space="preserve"> Aanbeveling C(2007) 5841 van de Commissie van 5 december 2007 over de overname van de tekst van artikel 20 VEG in paspoorten (PB L </w:t>
            </w:r>
            <w:r>
              <w:t>118 van 6.5.2008, blz. 30, ELI: http://data.europa.eu/eli/reco/2008/355/oj).</w:t>
            </w:r>
          </w:p>
        </w:tc>
      </w:tr>
    </w:tbl>
    <w:p w:rsidR="006038A9" w:rsidRPr="009269FD" w:rsidRDefault="002D3B48" w:rsidP="006038A9">
      <w:r>
        <w:rPr>
          <w:rStyle w:val="HideTWBExt"/>
        </w:rPr>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13</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32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(32)</w:t>
            </w:r>
            <w:r>
              <w:tab/>
              <w:t xml:space="preserve">De financiële bepalingen van Richtlijn (EU) 2015/637 moeten worden aangepast om vergoedingen te vereenvoudigen en te blijven zorgen voor </w:t>
            </w:r>
            <w:r>
              <w:lastRenderedPageBreak/>
              <w:t>financiële lastenverdeling. Met name moet het voor niet-vertegenwoordigde burgers mogelijk zijn om, onder dezelfd</w:t>
            </w:r>
            <w:r>
              <w:t>e voorwaarden als de onderdanen van de bijstandverlenende lidstaat, de kosten van de door die lidstaat verleende dienst rechtstreeks te vergoeden, om de administratieve lasten te vermijden die voortvloeien uit het aanvragen van vergoedingen bij de lidstaat</w:t>
            </w:r>
            <w:r>
              <w:t xml:space="preserve"> waarvan de burger de nationaliteit heeft. Daarnaast moet het de lidstaten ook worden toegestaan ervan af te zien dergelijke kosten in rekening te brengen. Aangezien niet-vertegenwoordigde burgers in bepaalde situaties mogelijk niet kunnen betalen op het m</w:t>
            </w:r>
            <w:r>
              <w:t xml:space="preserve">oment dat zij een verzoek om bijstand indienen, met name wanneer hun contant geld en de benodigdheden om toegang te krijgen tot hun middelen zijn gestolen, moet worden bepaald dat zij door de consulaire instanties van de bijstandverlenende lidstaat kunnen </w:t>
            </w:r>
            <w:r>
              <w:t xml:space="preserve">worden verplicht een verbintenis tot terugbetaling te ondertekenen. Op basis van een dergelijke verbintenis kunnen de instanties van de bijstandverlenende lidstaat </w:t>
            </w:r>
            <w:r>
              <w:rPr>
                <w:b/>
                <w:i/>
              </w:rPr>
              <w:t>vier weken</w:t>
            </w:r>
            <w:r>
              <w:t xml:space="preserve"> na de verlening van de bijstand om vergoeding van de kosten verzoeken.</w:t>
            </w:r>
          </w:p>
        </w:tc>
        <w:tc>
          <w:tcPr>
            <w:tcW w:w="4876" w:type="dxa"/>
          </w:tcPr>
          <w:p w:rsidR="006038A9" w:rsidRPr="009269FD" w:rsidRDefault="002D3B48" w:rsidP="005F45A0">
            <w:pPr>
              <w:pStyle w:val="Normal6a"/>
            </w:pPr>
            <w:r>
              <w:lastRenderedPageBreak/>
              <w:t>(32)</w:t>
            </w:r>
            <w:r>
              <w:tab/>
              <w:t>De fi</w:t>
            </w:r>
            <w:r>
              <w:t xml:space="preserve">nanciële bepalingen van Richtlijn (EU) 2015/637 moeten worden aangepast om vergoedingen te vereenvoudigen en te blijven zorgen voor </w:t>
            </w:r>
            <w:r>
              <w:lastRenderedPageBreak/>
              <w:t>financiële lastenverdeling. Met name moet het voor niet-vertegenwoordigde burgers mogelijk zijn om, onder dezelfde voorwaard</w:t>
            </w:r>
            <w:r>
              <w:t>en als de onderdanen van de bijstandverlenende lidstaat, de kosten van de door die lidstaat verleende dienst rechtstreeks te vergoeden, om de administratieve lasten te vermijden die voortvloeien uit het aanvragen van vergoedingen bij de lidstaat waarvan de</w:t>
            </w:r>
            <w:r>
              <w:t xml:space="preserve"> burger de nationaliteit heeft. Daarnaast moet het de lidstaten ook worden toegestaan ervan af te zien dergelijke kosten in rekening te brengen. Aangezien niet-vertegenwoordigde burgers in bepaalde situaties mogelijk niet kunnen betalen op het moment dat z</w:t>
            </w:r>
            <w:r>
              <w:t>ij een verzoek om bijstand indienen, met name wanneer hun contant geld en de benodigdheden om toegang te krijgen tot hun middelen zijn gestolen, moet worden bepaald dat zij door de consulaire instanties van de bijstandverlenende lidstaat kunnen worden verp</w:t>
            </w:r>
            <w:r>
              <w:t xml:space="preserve">licht een verbintenis tot terugbetaling te ondertekenen. Op basis van een dergelijke verbintenis kunnen de instanties van de bijstandverlenende lidstaat </w:t>
            </w:r>
            <w:r>
              <w:rPr>
                <w:b/>
                <w:i/>
              </w:rPr>
              <w:t>drie maanden</w:t>
            </w:r>
            <w:r>
              <w:t xml:space="preserve"> na de verlening van de bijstand om vergoeding van de kosten verzoeken.</w:t>
            </w:r>
          </w:p>
        </w:tc>
      </w:tr>
    </w:tbl>
    <w:p w:rsidR="006038A9" w:rsidRPr="009269FD" w:rsidRDefault="002D3B48" w:rsidP="006038A9">
      <w:r>
        <w:rPr>
          <w:rStyle w:val="HideTWBExt"/>
        </w:rPr>
        <w:lastRenderedPageBreak/>
        <w:t>&lt;/Amend&gt;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14</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Overweging 34 bis (nieuw)</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 xml:space="preserve"> </w:t>
            </w:r>
          </w:p>
        </w:tc>
        <w:tc>
          <w:tcPr>
            <w:tcW w:w="4876" w:type="dxa"/>
          </w:tcPr>
          <w:p w:rsidR="006038A9" w:rsidRPr="009269FD" w:rsidRDefault="002D3B48" w:rsidP="005F45A0">
            <w:pPr>
              <w:pStyle w:val="Normal6a"/>
              <w:rPr>
                <w:szCs w:val="24"/>
              </w:rPr>
            </w:pPr>
            <w:r>
              <w:rPr>
                <w:b/>
                <w:i/>
              </w:rPr>
              <w:t>(34 bis)</w:t>
            </w:r>
            <w:r>
              <w:tab/>
            </w:r>
            <w:r>
              <w:rPr>
                <w:b/>
                <w:i/>
              </w:rPr>
              <w:t xml:space="preserve">Naast de inkomsten uit vergoedingen door de lidstaten moet een </w:t>
            </w:r>
            <w:r>
              <w:rPr>
                <w:b/>
                <w:i/>
              </w:rPr>
              <w:t>passende verhoging van de begroting en de personele middelen van de EDEO worden toegekend om een correcte uitvoering van de verantwoordelijkheden bij het verlenen van bijstand en/of bescherming aan EU-burgers te waarborgen. De gevolgen van de aanhoudende c</w:t>
            </w:r>
            <w:r>
              <w:rPr>
                <w:b/>
                <w:i/>
              </w:rPr>
              <w:t xml:space="preserve">rises en conflicten </w:t>
            </w:r>
            <w:r>
              <w:rPr>
                <w:b/>
                <w:i/>
              </w:rPr>
              <w:lastRenderedPageBreak/>
              <w:t>wereldwijd kunnen het risico met zich meebrengen dat de consulaire bescherming en/of bijstand van de lidstaten wordt overbelast, met name in tijden van grote crises. De EDEO en de delegaties van de Unie, die in dit verband een grotere r</w:t>
            </w:r>
            <w:r>
              <w:rPr>
                <w:b/>
                <w:i/>
              </w:rPr>
              <w:t>ol zijn gaan spelen, vervullen een centrale coördinerende rol op het terrein.</w:t>
            </w:r>
          </w:p>
        </w:tc>
      </w:tr>
    </w:tbl>
    <w:p w:rsidR="006038A9" w:rsidRPr="009269FD" w:rsidRDefault="002D3B48" w:rsidP="006038A9">
      <w:r>
        <w:rPr>
          <w:rStyle w:val="HideTWBExt"/>
        </w:rPr>
        <w:lastRenderedPageBreak/>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15</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Overweging 37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 xml:space="preserve">Door de Commissie voorgestelde </w:t>
            </w:r>
            <w:r>
              <w:t>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6038A9" w:rsidP="005F45A0">
            <w:pPr>
              <w:pStyle w:val="Normal6a"/>
            </w:pPr>
          </w:p>
        </w:tc>
        <w:tc>
          <w:tcPr>
            <w:tcW w:w="4876" w:type="dxa"/>
          </w:tcPr>
          <w:p w:rsidR="006038A9" w:rsidRPr="009269FD" w:rsidRDefault="002D3B48" w:rsidP="005F45A0">
            <w:pPr>
              <w:pStyle w:val="AmColumnHeading"/>
              <w:spacing w:after="120"/>
              <w:jc w:val="left"/>
            </w:pPr>
            <w:r>
              <w:rPr>
                <w:b/>
              </w:rPr>
              <w:t>(37 bis)</w:t>
            </w:r>
            <w:r>
              <w:tab/>
            </w:r>
            <w:r>
              <w:rPr>
                <w:b/>
                <w:bCs/>
              </w:rPr>
              <w:t>In de context van een reactie op een crisis is het belangrijk eraan te herinneren dat in het “Strategisch kompas voor veiligheid en defensie”, dat op 24 maart 2022 door de Europese Raad is bekrachtigd, is vastgesteld dat een sne</w:t>
            </w:r>
            <w:r>
              <w:rPr>
                <w:b/>
                <w:bCs/>
              </w:rPr>
              <w:t>l inzetbare EU-capaciteit wordt opgebouwd, met naar verwachting 5 000 manschappen, die in verschillende fasen van een operatie in een niet-permissieve omgeving kan worden ingezet en in eerste instantie gericht zal zijn op reddings- en evacuatieoperaties al</w:t>
            </w:r>
            <w:r>
              <w:rPr>
                <w:b/>
                <w:bCs/>
              </w:rPr>
              <w:t>s onderdeel van een gecoördineerde crisisrespons.</w:t>
            </w:r>
          </w:p>
        </w:tc>
      </w:tr>
    </w:tbl>
    <w:p w:rsidR="006038A9" w:rsidRPr="009269FD" w:rsidRDefault="002D3B48" w:rsidP="006038A9">
      <w:r>
        <w:rPr>
          <w:rStyle w:val="HideTWBExt"/>
        </w:rPr>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16</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Artikel 1 – alinea 1 – punt -1 bis (nieuw)</w:t>
      </w:r>
      <w:r>
        <w:rPr>
          <w:rStyle w:val="HideTWBExt"/>
        </w:rPr>
        <w:t>&lt;/Article&gt;</w:t>
      </w:r>
    </w:p>
    <w:p w:rsidR="006038A9" w:rsidRPr="009269FD" w:rsidRDefault="002D3B48" w:rsidP="006038A9">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4 – alinea 1 bis (nieuw)</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6038A9" w:rsidP="005F45A0">
            <w:pPr>
              <w:pStyle w:val="Normal6a"/>
            </w:pPr>
          </w:p>
        </w:tc>
        <w:tc>
          <w:tcPr>
            <w:tcW w:w="4876" w:type="dxa"/>
          </w:tcPr>
          <w:p w:rsidR="006038A9" w:rsidRPr="009269FD" w:rsidRDefault="002D3B48" w:rsidP="005F45A0">
            <w:pPr>
              <w:pStyle w:val="Normal6a"/>
            </w:pPr>
            <w:r>
              <w:rPr>
                <w:b/>
                <w:i/>
              </w:rPr>
              <w:t>(-1 bis)</w:t>
            </w:r>
            <w:r>
              <w:tab/>
            </w:r>
            <w:r>
              <w:rPr>
                <w:b/>
                <w:i/>
              </w:rPr>
              <w:t>aan artikel 4 wordt de volgende alinea 1 bis toegevoegd:</w:t>
            </w:r>
          </w:p>
        </w:tc>
      </w:tr>
      <w:tr w:rsidR="00DE444B" w:rsidTr="005F45A0">
        <w:trPr>
          <w:jc w:val="center"/>
        </w:trPr>
        <w:tc>
          <w:tcPr>
            <w:tcW w:w="4876" w:type="dxa"/>
          </w:tcPr>
          <w:p w:rsidR="006038A9" w:rsidRPr="009269FD" w:rsidRDefault="006038A9" w:rsidP="005F45A0">
            <w:pPr>
              <w:pStyle w:val="Normal6a"/>
            </w:pPr>
          </w:p>
        </w:tc>
        <w:tc>
          <w:tcPr>
            <w:tcW w:w="4876" w:type="dxa"/>
          </w:tcPr>
          <w:p w:rsidR="006038A9" w:rsidRPr="009269FD" w:rsidRDefault="002D3B48" w:rsidP="005F45A0">
            <w:pPr>
              <w:pStyle w:val="Normal6a"/>
            </w:pPr>
            <w:r>
              <w:rPr>
                <w:b/>
                <w:i/>
              </w:rPr>
              <w:t xml:space="preserve">“Erkende vluchtelingen en staatlozen en andere personen die van geen enkel land </w:t>
            </w:r>
            <w:r>
              <w:rPr>
                <w:b/>
                <w:i/>
              </w:rPr>
              <w:lastRenderedPageBreak/>
              <w:t>de</w:t>
            </w:r>
            <w:r>
              <w:rPr>
                <w:b/>
                <w:i/>
              </w:rPr>
              <w:t xml:space="preserve"> nationaliteit hebben, die in een lidstaat verblijven en houder zijn van een reisdocument dat door die lidstaat is afgegeven, hebben recht op consulaire bescherming onder dezelfde voorwaarden als niet-vertegenwoordigde burgers indien de lidstaat van verbli</w:t>
            </w:r>
            <w:r>
              <w:rPr>
                <w:b/>
                <w:i/>
              </w:rPr>
              <w:t>jf niet vertegenwoordigd is door een diplomatieke of consulaire instantie.”</w:t>
            </w:r>
          </w:p>
        </w:tc>
      </w:tr>
    </w:tbl>
    <w:p w:rsidR="006038A9" w:rsidRPr="009269FD" w:rsidRDefault="002D3B48" w:rsidP="006038A9">
      <w:r>
        <w:rPr>
          <w:rStyle w:val="HideTWBExt"/>
        </w:rPr>
        <w:lastRenderedPageBreak/>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17</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Artikel 1 – alinea 1 – punt 1</w:t>
      </w:r>
      <w:r>
        <w:rPr>
          <w:rStyle w:val="HideTWBExt"/>
        </w:rPr>
        <w:t>&lt;/Article&gt;</w:t>
      </w:r>
    </w:p>
    <w:p w:rsidR="006038A9" w:rsidRPr="009269FD" w:rsidRDefault="002D3B48" w:rsidP="006038A9">
      <w:r>
        <w:rPr>
          <w:rStyle w:val="HideTWBExt"/>
        </w:rPr>
        <w:t>&lt;DocAmend2&gt;</w:t>
      </w:r>
      <w:r>
        <w:t>Richtlijn (EU) 2015/637</w:t>
      </w:r>
      <w:r>
        <w:rPr>
          <w:rStyle w:val="HideTWBExt"/>
        </w:rPr>
        <w:t>&lt;</w:t>
      </w:r>
      <w:r>
        <w:rPr>
          <w:rStyle w:val="HideTWBExt"/>
        </w:rPr>
        <w:t>/DocAmend2&gt;</w:t>
      </w:r>
    </w:p>
    <w:p w:rsidR="006038A9" w:rsidRPr="009269FD" w:rsidRDefault="002D3B48" w:rsidP="006038A9">
      <w:r>
        <w:rPr>
          <w:rStyle w:val="HideTWBExt"/>
        </w:rPr>
        <w:t>&lt;Article2&gt;</w:t>
      </w:r>
      <w:r>
        <w:t>Artikel 7 – lid 4 bis (nieuw)</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6038A9" w:rsidP="005F45A0">
            <w:pPr>
              <w:pStyle w:val="Normal6a"/>
            </w:pPr>
          </w:p>
        </w:tc>
        <w:tc>
          <w:tcPr>
            <w:tcW w:w="4876" w:type="dxa"/>
          </w:tcPr>
          <w:p w:rsidR="006038A9" w:rsidRPr="009269FD" w:rsidRDefault="002D3B48" w:rsidP="005F45A0">
            <w:pPr>
              <w:pStyle w:val="Normal6a"/>
            </w:pPr>
            <w:r>
              <w:rPr>
                <w:b/>
                <w:i/>
              </w:rPr>
              <w:t>4 bis.</w:t>
            </w:r>
            <w:r>
              <w:rPr>
                <w:b/>
                <w:i/>
              </w:rPr>
              <w:tab/>
              <w:t xml:space="preserve">Bij het verlenen van consulaire bescherming aan niet-vertegenwoordigde burgers houden de lidstaten rekening met de specifieke </w:t>
            </w:r>
            <w:r>
              <w:rPr>
                <w:b/>
                <w:i/>
              </w:rPr>
              <w:t>behoeften van kwetsbare groepen en personen die het risico lopen gediscrimineerd te worden op welke grond dan ook, waaronder de in artikel 21 van het Handvest vermelde discriminatiegronden, namelijk geslacht, ras, kleur, etnische of sociale afkomst, geneti</w:t>
            </w:r>
            <w:r>
              <w:rPr>
                <w:b/>
                <w:i/>
              </w:rPr>
              <w:t>sche kenmerken, taal, godsdienst of overtuiging, politieke of andere denkbeelden, het behoren tot een nationale minderheid, vermogen, geboorte, handicap, leeftijd of seksuele gerichtheid.</w:t>
            </w:r>
          </w:p>
        </w:tc>
      </w:tr>
    </w:tbl>
    <w:p w:rsidR="006038A9" w:rsidRPr="009269FD" w:rsidRDefault="002D3B48" w:rsidP="006038A9">
      <w:r>
        <w:rPr>
          <w:rStyle w:val="HideTWBExt"/>
        </w:rPr>
        <w:t>&lt;/Amend&gt;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18</w:t>
      </w:r>
      <w:r>
        <w:rPr>
          <w:rStyle w:val="HideTWBExt"/>
          <w:b w:val="0"/>
        </w:rPr>
        <w:t>&lt;/NumAm&gt;</w:t>
      </w:r>
    </w:p>
    <w:p w:rsidR="006038A9" w:rsidRPr="009269FD" w:rsidRDefault="002D3B48" w:rsidP="006038A9">
      <w:pPr>
        <w:pStyle w:val="NormalBold12b"/>
        <w:keepNext/>
      </w:pPr>
      <w:r>
        <w:rPr>
          <w:rStyle w:val="HideTWBExt"/>
          <w:b w:val="0"/>
        </w:rPr>
        <w:t>&lt;DocAmend&gt;</w:t>
      </w:r>
      <w:r>
        <w:t>Voorstel vo</w:t>
      </w:r>
      <w:r>
        <w:t>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 punt 4</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11 – lid 2 bis (nieuw)</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 xml:space="preserve"> </w:t>
            </w:r>
          </w:p>
        </w:tc>
        <w:tc>
          <w:tcPr>
            <w:tcW w:w="4876" w:type="dxa"/>
          </w:tcPr>
          <w:p w:rsidR="006038A9" w:rsidRPr="009269FD" w:rsidRDefault="002D3B48" w:rsidP="005F45A0">
            <w:pPr>
              <w:pStyle w:val="Normal6a"/>
              <w:rPr>
                <w:szCs w:val="24"/>
              </w:rPr>
            </w:pPr>
            <w:r>
              <w:rPr>
                <w:b/>
                <w:i/>
              </w:rPr>
              <w:t>2 bis.</w:t>
            </w:r>
            <w:r>
              <w:tab/>
            </w:r>
            <w:r>
              <w:rPr>
                <w:b/>
                <w:i/>
              </w:rPr>
              <w:t xml:space="preserve">Aan de EDEO en de </w:t>
            </w:r>
            <w:r>
              <w:rPr>
                <w:b/>
                <w:i/>
              </w:rPr>
              <w:t xml:space="preserve">delegaties van </w:t>
            </w:r>
            <w:r>
              <w:rPr>
                <w:b/>
                <w:i/>
              </w:rPr>
              <w:lastRenderedPageBreak/>
              <w:t>de Unie worden de nodige financiële en personele middelen toegewezen om de overheadkosten en de extra horizontale administratieve werklast te dekken.</w:t>
            </w:r>
          </w:p>
        </w:tc>
      </w:tr>
    </w:tbl>
    <w:p w:rsidR="006038A9" w:rsidRPr="009269FD" w:rsidRDefault="002D3B48" w:rsidP="006038A9">
      <w:r>
        <w:rPr>
          <w:rStyle w:val="HideTWBExt"/>
        </w:rPr>
        <w:lastRenderedPageBreak/>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19</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Artikel 1 – alinea 1 – punt 4</w:t>
      </w:r>
      <w:r>
        <w:rPr>
          <w:rStyle w:val="HideTWBExt"/>
        </w:rPr>
        <w:t>&lt;/Article&gt;</w:t>
      </w:r>
    </w:p>
    <w:p w:rsidR="006038A9" w:rsidRPr="009269FD" w:rsidRDefault="002D3B48" w:rsidP="006038A9">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13 – lid 1 – inleidende formule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1.</w:t>
            </w:r>
            <w:r>
              <w:tab/>
              <w:t>In het kader van de in artikel 12</w:t>
            </w:r>
            <w:r>
              <w:t xml:space="preserve"> bedoelde plaatselijke consulaire samenwerking stellen de lidstaten en de EDEO voor elk derde land een gezamenlijk consulair noodplan op en keuren dit goed. Het gezamenlijke consulaire noodplan wordt jaarlijks bijgewerkt en bevat:</w:t>
            </w:r>
          </w:p>
        </w:tc>
        <w:tc>
          <w:tcPr>
            <w:tcW w:w="4876" w:type="dxa"/>
          </w:tcPr>
          <w:p w:rsidR="006038A9" w:rsidRPr="009269FD" w:rsidRDefault="002D3B48" w:rsidP="005F45A0">
            <w:pPr>
              <w:pStyle w:val="AmColumnHeading"/>
              <w:spacing w:after="120"/>
              <w:jc w:val="left"/>
            </w:pPr>
            <w:r>
              <w:rPr>
                <w:i w:val="0"/>
              </w:rPr>
              <w:t>1.</w:t>
            </w:r>
            <w:r>
              <w:rPr>
                <w:i w:val="0"/>
              </w:rPr>
              <w:tab/>
              <w:t>In het kader van de in</w:t>
            </w:r>
            <w:r>
              <w:rPr>
                <w:i w:val="0"/>
              </w:rPr>
              <w:t xml:space="preserve"> artikel 12 bedoelde plaatselijke consulaire samenwerking stellen de lidstaten en de EDEO voor elk derde land een gezamenlijk consulair noodplan op en keuren dit goed. Het gezamenlijke consulaire noodplan wordt jaarlijks</w:t>
            </w:r>
            <w:r>
              <w:rPr>
                <w:b/>
              </w:rPr>
              <w:t>, of frequenter in uitzonderlijke om</w:t>
            </w:r>
            <w:r>
              <w:rPr>
                <w:b/>
              </w:rPr>
              <w:t>standigheden,</w:t>
            </w:r>
            <w:r>
              <w:rPr>
                <w:i w:val="0"/>
              </w:rPr>
              <w:t xml:space="preserve"> bijgewerkt en bevat:</w:t>
            </w:r>
          </w:p>
        </w:tc>
      </w:tr>
    </w:tbl>
    <w:p w:rsidR="006038A9" w:rsidRPr="009269FD" w:rsidRDefault="002D3B48" w:rsidP="006038A9">
      <w:r>
        <w:rPr>
          <w:rStyle w:val="HideTWBExt"/>
        </w:rPr>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20</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Artikel 1 – alinea 1 – punt 4</w:t>
      </w:r>
      <w:r>
        <w:rPr>
          <w:rStyle w:val="HideTWBExt"/>
        </w:rPr>
        <w:t>&lt;/Article&gt;</w:t>
      </w:r>
    </w:p>
    <w:p w:rsidR="006038A9" w:rsidRPr="009269FD" w:rsidRDefault="002D3B48" w:rsidP="006038A9">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 xml:space="preserve">Artikel 13 – lid 1 </w:t>
      </w:r>
      <w:r>
        <w:t>– punt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a)</w:t>
            </w:r>
            <w:r>
              <w:tab/>
              <w:t>een analyse van de consulaire situatie in het land, met inbegrip van een overzicht van de ambassades of consulaten van de lidstaten, het geraamde aantal aanwezige burgers van de Unie</w:t>
            </w:r>
            <w:r>
              <w:t xml:space="preserve"> en hun locatie, en een risicobeoordeling van de meest plausibele scenario’s die gevolgen hebben voor de burgers van de Unie;</w:t>
            </w:r>
          </w:p>
        </w:tc>
        <w:tc>
          <w:tcPr>
            <w:tcW w:w="4876" w:type="dxa"/>
          </w:tcPr>
          <w:p w:rsidR="006038A9" w:rsidRPr="009269FD" w:rsidRDefault="002D3B48" w:rsidP="005F45A0">
            <w:pPr>
              <w:pStyle w:val="AmColumnHeading"/>
              <w:spacing w:after="120"/>
              <w:jc w:val="left"/>
            </w:pPr>
            <w:r>
              <w:rPr>
                <w:i w:val="0"/>
              </w:rPr>
              <w:t>a)</w:t>
            </w:r>
            <w:r>
              <w:rPr>
                <w:i w:val="0"/>
              </w:rPr>
              <w:tab/>
              <w:t>een analyse van de consulaire situatie in het land, met inbegrip van een overzicht van de ambassades of consulaten van de lidst</w:t>
            </w:r>
            <w:r>
              <w:rPr>
                <w:i w:val="0"/>
              </w:rPr>
              <w:t>aten, het geraamde aantal aanwezige burgers van de Unie en hun locatie, en een risicobeoordeling van de meest plausibele scenario’s die gevolgen hebben voor de burgers van de Unie</w:t>
            </w:r>
            <w:r>
              <w:rPr>
                <w:b/>
              </w:rPr>
              <w:t>, zoals onder meer militaire en politieke risico’s of risico’s met betrekking</w:t>
            </w:r>
            <w:r>
              <w:rPr>
                <w:b/>
              </w:rPr>
              <w:t xml:space="preserve"> tot criminaliteit, gezondheid en natuurrampen</w:t>
            </w:r>
            <w:r>
              <w:rPr>
                <w:i w:val="0"/>
              </w:rPr>
              <w:t>;</w:t>
            </w:r>
          </w:p>
        </w:tc>
      </w:tr>
    </w:tbl>
    <w:p w:rsidR="006038A9" w:rsidRPr="009269FD" w:rsidRDefault="002D3B48" w:rsidP="006038A9">
      <w:r>
        <w:rPr>
          <w:rStyle w:val="HideTWBExt"/>
        </w:rPr>
        <w:t>&lt;/Amend&gt;</w:t>
      </w:r>
    </w:p>
    <w:p w:rsidR="006038A9" w:rsidRPr="009269FD" w:rsidRDefault="002D3B48" w:rsidP="006038A9">
      <w:pPr>
        <w:pStyle w:val="AmNumberTabs"/>
      </w:pPr>
      <w:r>
        <w:rPr>
          <w:rStyle w:val="HideTWBExt"/>
        </w:rPr>
        <w:lastRenderedPageBreak/>
        <w:t>&lt;Amend&gt;</w:t>
      </w:r>
      <w:r>
        <w:t>Amendement</w:t>
      </w:r>
      <w:r>
        <w:tab/>
      </w:r>
      <w:r>
        <w:tab/>
      </w:r>
      <w:r>
        <w:rPr>
          <w:rStyle w:val="HideTWBExt"/>
        </w:rPr>
        <w:t>&lt;NumAm&gt;</w:t>
      </w:r>
      <w:r>
        <w:t>21</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Artikel 1 – alinea 1 – punt 4</w:t>
      </w:r>
      <w:r>
        <w:rPr>
          <w:rStyle w:val="HideTWBExt"/>
        </w:rPr>
        <w:t>&lt;/Article&gt;</w:t>
      </w:r>
    </w:p>
    <w:p w:rsidR="006038A9" w:rsidRPr="009269FD" w:rsidRDefault="002D3B48" w:rsidP="006038A9">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13 – lid 2 – alinea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 xml:space="preserve">2. Indien aanwezig coördineren de delegaties van de Unie het opstellen en goedkeuren van gezamenlijke consulaire noodplannen, op basis van bijdragen van de </w:t>
            </w:r>
            <w:r>
              <w:t>ambassades of consulaten van de in het betrokken derde land vertegenwoordigde lidstaten en de consulaire instanties van niet-vertegenwoordigde lidstaten. Gezamenlijke consulaire noodplannen worden ter beschikking gesteld van alle lidstaten, de EDEO en de d</w:t>
            </w:r>
            <w:r>
              <w:t xml:space="preserve">iensten van de Commissie. </w:t>
            </w:r>
          </w:p>
        </w:tc>
        <w:tc>
          <w:tcPr>
            <w:tcW w:w="4876" w:type="dxa"/>
          </w:tcPr>
          <w:p w:rsidR="006038A9" w:rsidRPr="009269FD" w:rsidRDefault="002D3B48" w:rsidP="005F45A0">
            <w:pPr>
              <w:pStyle w:val="AmColumnHeading"/>
              <w:spacing w:after="120"/>
              <w:jc w:val="left"/>
            </w:pPr>
            <w:r>
              <w:rPr>
                <w:i w:val="0"/>
              </w:rPr>
              <w:t>(2) Indien aanwezig coördineren de delegaties van de Unie het opstellen en goedkeuren van gezamenlijke consulaire noodplannen, op basis van bijdragen van de ambassades of consulaten van de in het betrokken derde land vertegenwoor</w:t>
            </w:r>
            <w:r>
              <w:rPr>
                <w:i w:val="0"/>
              </w:rPr>
              <w:t>digde lidstaten en de consulaire instanties van niet-vertegenwoordigde lidstaten.</w:t>
            </w:r>
            <w:r>
              <w:rPr>
                <w:b/>
              </w:rPr>
              <w:t xml:space="preserve"> Dit kan zo nodig de samenwerking met derde landen en internationale organisaties omvatten. </w:t>
            </w:r>
            <w:r>
              <w:rPr>
                <w:i w:val="0"/>
              </w:rPr>
              <w:t>Gezamenlijke consulaire noodplannen worden ter beschikking gesteld van alle lidstat</w:t>
            </w:r>
            <w:r>
              <w:rPr>
                <w:i w:val="0"/>
              </w:rPr>
              <w:t>en, de EDEO en de diensten van de Commissie.</w:t>
            </w:r>
          </w:p>
        </w:tc>
      </w:tr>
    </w:tbl>
    <w:p w:rsidR="006038A9" w:rsidRPr="009269FD" w:rsidRDefault="002D3B48" w:rsidP="006038A9">
      <w:r>
        <w:rPr>
          <w:rStyle w:val="HideTWBExt"/>
        </w:rPr>
        <w:t>&lt;/Amend&gt;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22</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 punt 4</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 xml:space="preserve">Artikel </w:t>
      </w:r>
      <w:r>
        <w:t>13 – lid 5 bis (nieuw)</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 xml:space="preserve"> </w:t>
            </w:r>
          </w:p>
        </w:tc>
        <w:tc>
          <w:tcPr>
            <w:tcW w:w="4876" w:type="dxa"/>
          </w:tcPr>
          <w:p w:rsidR="006038A9" w:rsidRPr="009269FD" w:rsidRDefault="002D3B48" w:rsidP="005F45A0">
            <w:pPr>
              <w:pStyle w:val="Normal6a"/>
              <w:rPr>
                <w:szCs w:val="24"/>
              </w:rPr>
            </w:pPr>
            <w:r>
              <w:rPr>
                <w:b/>
                <w:i/>
              </w:rPr>
              <w:t>5 bis.</w:t>
            </w:r>
            <w:r>
              <w:rPr>
                <w:b/>
                <w:i/>
              </w:rPr>
              <w:tab/>
              <w:t>De lidstaten vergroten het situationeel bewustzijn met de delegaties van de Unie in derde landen, onder meer door regelmatig updates van risicoanalyses en mogelij</w:t>
            </w:r>
            <w:r>
              <w:rPr>
                <w:b/>
                <w:i/>
              </w:rPr>
              <w:t>ke bedreigingen voor de veiligheid van EU-burgers te delen en door informatie over hun reisadvies uit te wisselen.</w:t>
            </w:r>
          </w:p>
        </w:tc>
      </w:tr>
    </w:tbl>
    <w:p w:rsidR="006038A9" w:rsidRPr="009269FD" w:rsidRDefault="002D3B48" w:rsidP="006038A9">
      <w:r>
        <w:rPr>
          <w:rStyle w:val="HideTWBExt"/>
        </w:rPr>
        <w:t>&lt;/Amend&gt;</w:t>
      </w:r>
    </w:p>
    <w:p w:rsidR="006038A9" w:rsidRPr="009269FD" w:rsidRDefault="002D3B48" w:rsidP="006038A9">
      <w:pPr>
        <w:pStyle w:val="AmNumberTabs"/>
        <w:keepNext/>
      </w:pPr>
      <w:r>
        <w:rPr>
          <w:rStyle w:val="HideTWBExt"/>
          <w:b w:val="0"/>
        </w:rPr>
        <w:lastRenderedPageBreak/>
        <w:t>&lt;Amend&gt;</w:t>
      </w:r>
      <w:r>
        <w:t>Amendement</w:t>
      </w:r>
      <w:r>
        <w:tab/>
      </w:r>
      <w:r>
        <w:tab/>
      </w:r>
      <w:r>
        <w:rPr>
          <w:rStyle w:val="HideTWBExt"/>
          <w:b w:val="0"/>
        </w:rPr>
        <w:t>&lt;NumAm&gt;</w:t>
      </w:r>
      <w:r>
        <w:t>23</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 punt 4</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13 – lid 5 ter (nieuw)</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 xml:space="preserve"> </w:t>
            </w:r>
          </w:p>
        </w:tc>
        <w:tc>
          <w:tcPr>
            <w:tcW w:w="4876" w:type="dxa"/>
          </w:tcPr>
          <w:p w:rsidR="006038A9" w:rsidRPr="009269FD" w:rsidRDefault="002D3B48" w:rsidP="005F45A0">
            <w:pPr>
              <w:pStyle w:val="Normal6a"/>
              <w:rPr>
                <w:szCs w:val="24"/>
              </w:rPr>
            </w:pPr>
            <w:r>
              <w:rPr>
                <w:b/>
                <w:i/>
              </w:rPr>
              <w:t>5 ter.</w:t>
            </w:r>
            <w:r>
              <w:tab/>
            </w:r>
            <w:r>
              <w:rPr>
                <w:b/>
                <w:i/>
              </w:rPr>
              <w:t xml:space="preserve">De EDEO verstrekt, in nauwe samenwerking met de lidstaten, consulaire opleidingen inzake crisisparaatheid en </w:t>
            </w:r>
            <w:r>
              <w:rPr>
                <w:b/>
                <w:i/>
              </w:rPr>
              <w:noBreakHyphen/>
              <w:t>respons aan ambtenaren van de Unie en diplomatiek en consulair personeel van de lidstaten om hen beter in staat te stellen crisissituaties te behe</w:t>
            </w:r>
            <w:r>
              <w:rPr>
                <w:b/>
                <w:i/>
              </w:rPr>
              <w:t>ersen en EU-burgers in het buitenland bijstand te verlenen.</w:t>
            </w:r>
          </w:p>
        </w:tc>
      </w:tr>
    </w:tbl>
    <w:p w:rsidR="006038A9" w:rsidRPr="009269FD" w:rsidRDefault="002D3B48" w:rsidP="006038A9">
      <w:r>
        <w:rPr>
          <w:rStyle w:val="HideTWBExt"/>
        </w:rPr>
        <w:t>&lt;/Amend&gt;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24</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 punt 5</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w:t>
      </w:r>
      <w:r>
        <w:rPr>
          <w:rStyle w:val="HideTWBExt"/>
        </w:rPr>
        <w:t>icle2&gt;</w:t>
      </w:r>
      <w:r>
        <w:t>Artikel 13 bis – lid 2</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2.</w:t>
            </w:r>
            <w:r>
              <w:tab/>
              <w:t xml:space="preserve">Indien nodig kunnen de lidstaten worden bijgestaan door gezamenlijke consulaire teams bestaande uit deskundigen uit de lidstaten, met name uit lidstaten die niet </w:t>
            </w:r>
            <w:r>
              <w:t>zijn vertegenwoordigd in het derde land dat door de crisis is getroffen, en van de EDEO en de diensten van de Commissie. Gezamenlijke consulaire teams zijn beschikbaar voor snelle inzet in derde landen die getroffen zijn door een consulaire crisis.</w:t>
            </w:r>
          </w:p>
        </w:tc>
        <w:tc>
          <w:tcPr>
            <w:tcW w:w="4876" w:type="dxa"/>
          </w:tcPr>
          <w:p w:rsidR="006038A9" w:rsidRPr="009269FD" w:rsidRDefault="002D3B48" w:rsidP="005F45A0">
            <w:pPr>
              <w:pStyle w:val="Normal6a"/>
              <w:rPr>
                <w:szCs w:val="24"/>
              </w:rPr>
            </w:pPr>
            <w:r>
              <w:t>2.</w:t>
            </w:r>
            <w:r>
              <w:tab/>
              <w:t>Indi</w:t>
            </w:r>
            <w:r>
              <w:t>en nodig kunnen de lidstaten worden bijgestaan door gezamenlijke consulaire teams bestaande uit deskundigen uit de lidstaten, met name uit lidstaten die niet zijn vertegenwoordigd in het derde land dat door de crisis is getroffen, en van de EDEO en de dien</w:t>
            </w:r>
            <w:r>
              <w:t xml:space="preserve">sten van de Commissie. Gezamenlijke consulaire teams zijn beschikbaar voor snelle inzet in derde landen die getroffen zijn door een consulaire crisis. </w:t>
            </w:r>
            <w:r>
              <w:rPr>
                <w:b/>
                <w:i/>
              </w:rPr>
              <w:t xml:space="preserve">De EDEO en de Commissie ondersteunen de paraatheid van die deskundigen en van de gezamenlijke consulaire </w:t>
            </w:r>
            <w:r>
              <w:rPr>
                <w:b/>
                <w:i/>
              </w:rPr>
              <w:t>teams.</w:t>
            </w:r>
          </w:p>
        </w:tc>
      </w:tr>
    </w:tbl>
    <w:p w:rsidR="006038A9" w:rsidRPr="009269FD" w:rsidRDefault="002D3B48" w:rsidP="006038A9">
      <w:r>
        <w:rPr>
          <w:rStyle w:val="HideTWBExt"/>
        </w:rPr>
        <w:t>&lt;/Amend&gt;</w:t>
      </w:r>
    </w:p>
    <w:p w:rsidR="006038A9" w:rsidRPr="009269FD" w:rsidRDefault="002D3B48" w:rsidP="006038A9">
      <w:pPr>
        <w:pStyle w:val="AmNumberTabs"/>
        <w:keepNext/>
      </w:pPr>
      <w:r>
        <w:rPr>
          <w:rStyle w:val="HideTWBExt"/>
          <w:b w:val="0"/>
        </w:rPr>
        <w:lastRenderedPageBreak/>
        <w:t>&lt;Amend&gt;</w:t>
      </w:r>
      <w:r>
        <w:t>Amendement</w:t>
      </w:r>
      <w:r>
        <w:tab/>
      </w:r>
      <w:r>
        <w:tab/>
      </w:r>
      <w:r>
        <w:rPr>
          <w:rStyle w:val="HideTWBExt"/>
          <w:b w:val="0"/>
        </w:rPr>
        <w:t>&lt;NumAm&gt;</w:t>
      </w:r>
      <w:r>
        <w:t>25</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 punt 5</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13 bis – lid 4</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 xml:space="preserve">Door de </w:t>
            </w:r>
            <w:r>
              <w:t>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4.</w:t>
            </w:r>
            <w:r>
              <w:tab/>
              <w:t xml:space="preserve">Bij het verlenen van bijstand kunnen de lidstaten </w:t>
            </w:r>
            <w:r>
              <w:rPr>
                <w:b/>
                <w:i/>
              </w:rPr>
              <w:t>in voorkomend geval om steun verzoeken</w:t>
            </w:r>
            <w:r>
              <w:t xml:space="preserve"> van instrumenten van de Unie, zoals de structuren voor crisisbeheersing van de EDEO en zijn crisisresponscentrum</w:t>
            </w:r>
            <w:r>
              <w:rPr>
                <w:b/>
                <w:i/>
              </w:rPr>
              <w:t xml:space="preserve"> en, via</w:t>
            </w:r>
            <w:r>
              <w:t xml:space="preserve"> het bij artikel 7 van Besluit 1313/2013/EU opgerichte Coördinatiecentrum voor respons in noodsituaties, het Uniemechanisme voor civiele bescherming.</w:t>
            </w:r>
          </w:p>
        </w:tc>
        <w:tc>
          <w:tcPr>
            <w:tcW w:w="4876" w:type="dxa"/>
          </w:tcPr>
          <w:p w:rsidR="006038A9" w:rsidRPr="009269FD" w:rsidRDefault="002D3B48" w:rsidP="005F45A0">
            <w:pPr>
              <w:pStyle w:val="Normal6a"/>
              <w:rPr>
                <w:szCs w:val="24"/>
              </w:rPr>
            </w:pPr>
            <w:r>
              <w:t>4.</w:t>
            </w:r>
            <w:r>
              <w:tab/>
              <w:t xml:space="preserve">Bij het verlenen van bijstand kunnen de lidstaten </w:t>
            </w:r>
            <w:r>
              <w:rPr>
                <w:b/>
                <w:i/>
              </w:rPr>
              <w:t>worden ondersteund met behulp</w:t>
            </w:r>
            <w:r>
              <w:t xml:space="preserve"> van</w:t>
            </w:r>
            <w:r>
              <w:rPr>
                <w:b/>
                <w:i/>
              </w:rPr>
              <w:t xml:space="preserve"> </w:t>
            </w:r>
            <w:r>
              <w:t xml:space="preserve"> instrumenten van d</w:t>
            </w:r>
            <w:r>
              <w:t>e Unie, zoals de structuren voor crisisbeheersing van de EDEO en zijn crisisresponscentrum</w:t>
            </w:r>
            <w:r>
              <w:rPr>
                <w:b/>
                <w:i/>
              </w:rPr>
              <w:t>. De lidstaten kunnen ook een beroep doen op</w:t>
            </w:r>
            <w:r>
              <w:t xml:space="preserve"> het bij artikel 7 van Besluit 1313/2013/EU opgerichte Coördinatiecentrum voor respons in noodsituaties, het Uniemechanism</w:t>
            </w:r>
            <w:r>
              <w:t>e voor civiele bescherming</w:t>
            </w:r>
            <w:r>
              <w:rPr>
                <w:b/>
                <w:i/>
              </w:rPr>
              <w:t xml:space="preserve"> en, in voorkomend geval, EU-missies en </w:t>
            </w:r>
            <w:r>
              <w:noBreakHyphen/>
            </w:r>
            <w:r>
              <w:rPr>
                <w:b/>
                <w:i/>
              </w:rPr>
              <w:t>operaties in het kader van het gemeenschappelijk veiligheids- en defensiebeleid en de snel inzetbare EU-capaciteit waarin het “Strategisch kompas voor veiligheid en defensie” voorziet</w:t>
            </w:r>
            <w:r>
              <w:t>.</w:t>
            </w:r>
          </w:p>
        </w:tc>
      </w:tr>
    </w:tbl>
    <w:p w:rsidR="006038A9" w:rsidRPr="009269FD" w:rsidRDefault="002D3B48" w:rsidP="006038A9">
      <w:r>
        <w:rPr>
          <w:rStyle w:val="HideTWBExt"/>
        </w:rPr>
        <w:t>&lt;/A</w:t>
      </w:r>
      <w:r>
        <w:rPr>
          <w:rStyle w:val="HideTWBExt"/>
        </w:rPr>
        <w:t>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26</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 punt 6</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Hoofdstuk 2 bis – artikel 13 ter – lid 1 – inleidende form</w:t>
      </w:r>
      <w:r>
        <w:t>ule</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1.</w:t>
            </w:r>
            <w:r>
              <w:tab/>
              <w:t xml:space="preserve">De lidstaten verstrekken de </w:t>
            </w:r>
            <w:r>
              <w:rPr>
                <w:b/>
                <w:i/>
              </w:rPr>
              <w:t>Commissie</w:t>
            </w:r>
            <w:r>
              <w:t xml:space="preserve"> en de </w:t>
            </w:r>
            <w:r>
              <w:rPr>
                <w:b/>
                <w:i/>
              </w:rPr>
              <w:t>hoge vertegenwoordiger van de Unie voor buitenlandse zaken en veiligheidsbeleid</w:t>
            </w:r>
            <w:r>
              <w:t xml:space="preserve"> ten minste eenmaal per jaar de volgende informatie:</w:t>
            </w:r>
          </w:p>
        </w:tc>
        <w:tc>
          <w:tcPr>
            <w:tcW w:w="4876" w:type="dxa"/>
          </w:tcPr>
          <w:p w:rsidR="006038A9" w:rsidRPr="009269FD" w:rsidRDefault="002D3B48" w:rsidP="005F45A0">
            <w:pPr>
              <w:pStyle w:val="Normal6a"/>
              <w:rPr>
                <w:szCs w:val="24"/>
              </w:rPr>
            </w:pPr>
            <w:r>
              <w:t>1.</w:t>
            </w:r>
            <w:r>
              <w:tab/>
            </w:r>
            <w:r>
              <w:t xml:space="preserve">De lidstaten verstrekken de </w:t>
            </w:r>
            <w:r>
              <w:rPr>
                <w:b/>
                <w:i/>
              </w:rPr>
              <w:t>EDEO</w:t>
            </w:r>
            <w:r>
              <w:t xml:space="preserve"> en de </w:t>
            </w:r>
            <w:r>
              <w:rPr>
                <w:b/>
                <w:i/>
              </w:rPr>
              <w:t>Commissie</w:t>
            </w:r>
            <w:r>
              <w:t xml:space="preserve"> ten minste eenmaal per jaar de volgende informatie:</w:t>
            </w:r>
          </w:p>
        </w:tc>
      </w:tr>
    </w:tbl>
    <w:p w:rsidR="006038A9" w:rsidRPr="009269FD" w:rsidRDefault="002D3B48" w:rsidP="006038A9">
      <w:r>
        <w:rPr>
          <w:rStyle w:val="HideTWBExt"/>
        </w:rPr>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27</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Artikel 1 – alinea 1 – punt 6</w:t>
      </w:r>
      <w:r>
        <w:rPr>
          <w:rStyle w:val="HideTWBExt"/>
        </w:rPr>
        <w:t>&lt;/Article&gt;</w:t>
      </w:r>
    </w:p>
    <w:p w:rsidR="006038A9" w:rsidRPr="009269FD" w:rsidRDefault="002D3B48" w:rsidP="006038A9">
      <w:r>
        <w:rPr>
          <w:rStyle w:val="HideTWBExt"/>
        </w:rPr>
        <w:lastRenderedPageBreak/>
        <w:t>&lt;DocAmend2</w:t>
      </w:r>
      <w:r>
        <w:rPr>
          <w:rStyle w:val="HideTWBExt"/>
        </w:rPr>
        <w:t>&gt;</w:t>
      </w:r>
      <w:r>
        <w:t>Richtlijn (EU) 2015/637</w:t>
      </w:r>
      <w:r>
        <w:rPr>
          <w:rStyle w:val="HideTWBExt"/>
        </w:rPr>
        <w:t>&lt;/DocAmend2&gt;</w:t>
      </w:r>
    </w:p>
    <w:p w:rsidR="006038A9" w:rsidRPr="009269FD" w:rsidRDefault="002D3B48" w:rsidP="006038A9">
      <w:r>
        <w:rPr>
          <w:rStyle w:val="HideTWBExt"/>
        </w:rPr>
        <w:t>&lt;Article2&gt;</w:t>
      </w:r>
      <w:r>
        <w:t>Hoofdstuk 2 bis – artikel 13 ter – lid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2.</w:t>
            </w:r>
            <w:r>
              <w:tab/>
              <w:t>De lidstaten, de diensten van de Commissie en de EDEO maken de in lid</w:t>
            </w:r>
            <w:r>
              <w:rPr>
                <w:b/>
                <w:i/>
              </w:rPr>
              <w:t> </w:t>
            </w:r>
            <w:r>
              <w:t xml:space="preserve">1, punten a), b) en </w:t>
            </w:r>
            <w:r>
              <w:rPr>
                <w:b/>
                <w:i/>
              </w:rPr>
              <w:t>c</w:t>
            </w:r>
            <w:r>
              <w:t xml:space="preserve">), bedoelde </w:t>
            </w:r>
            <w:r>
              <w:t>informatie openbaar op een wijze die de samenhang van de verstrekte informatie waarborgt.</w:t>
            </w:r>
          </w:p>
        </w:tc>
        <w:tc>
          <w:tcPr>
            <w:tcW w:w="4876" w:type="dxa"/>
          </w:tcPr>
          <w:p w:rsidR="006038A9" w:rsidRPr="009269FD" w:rsidRDefault="002D3B48" w:rsidP="005F45A0">
            <w:pPr>
              <w:pStyle w:val="AmColumnHeading"/>
              <w:spacing w:after="120"/>
              <w:jc w:val="left"/>
            </w:pPr>
            <w:r>
              <w:rPr>
                <w:i w:val="0"/>
              </w:rPr>
              <w:t>2.</w:t>
            </w:r>
            <w:r>
              <w:rPr>
                <w:i w:val="0"/>
              </w:rPr>
              <w:tab/>
              <w:t>De lidstaten, de diensten van de Commissie en de EDEO maken de in lid</w:t>
            </w:r>
            <w:r>
              <w:rPr>
                <w:b/>
              </w:rPr>
              <w:t xml:space="preserve"> </w:t>
            </w:r>
            <w:r>
              <w:rPr>
                <w:i w:val="0"/>
              </w:rPr>
              <w:t>1, punten a), b)</w:t>
            </w:r>
            <w:r>
              <w:rPr>
                <w:b/>
              </w:rPr>
              <w:t>, c)</w:t>
            </w:r>
            <w:r>
              <w:rPr>
                <w:i w:val="0"/>
              </w:rPr>
              <w:t xml:space="preserve"> en</w:t>
            </w:r>
            <w:r>
              <w:t xml:space="preserve"> </w:t>
            </w:r>
            <w:r>
              <w:rPr>
                <w:b/>
              </w:rPr>
              <w:t>d</w:t>
            </w:r>
            <w:r>
              <w:rPr>
                <w:b/>
              </w:rPr>
              <w:t>)</w:t>
            </w:r>
            <w:r>
              <w:t xml:space="preserve">, </w:t>
            </w:r>
            <w:r>
              <w:rPr>
                <w:i w:val="0"/>
              </w:rPr>
              <w:t>bedoelde informatie openbaar op een wijze die de samenhang van de</w:t>
            </w:r>
            <w:r>
              <w:rPr>
                <w:i w:val="0"/>
              </w:rPr>
              <w:t xml:space="preserve"> verstrekte informatie waarborgt.</w:t>
            </w:r>
          </w:p>
        </w:tc>
      </w:tr>
    </w:tbl>
    <w:p w:rsidR="006038A9" w:rsidRPr="009269FD" w:rsidRDefault="002D3B48" w:rsidP="006038A9">
      <w:r>
        <w:rPr>
          <w:rStyle w:val="HideTWBExt"/>
        </w:rPr>
        <w:t>&lt;/Amend&gt;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28</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 punt 6</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 xml:space="preserve">Hoofdstuk 2 bis – </w:t>
      </w:r>
      <w:r>
        <w:t>artikel 13 quater – lid 1 – inleidende formule</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1.</w:t>
            </w:r>
            <w:r>
              <w:tab/>
              <w:t>De lidstaten nemen maatregelen om hun burgers te informeren over hun recht als bedoeld in artikel 20, lid 2, punt c), VWEU</w:t>
            </w:r>
            <w:r>
              <w:rPr>
                <w:b/>
                <w:i/>
              </w:rPr>
              <w:t>. Daarbij kan het</w:t>
            </w:r>
            <w:r>
              <w:t xml:space="preserve"> met name</w:t>
            </w:r>
            <w:r>
              <w:rPr>
                <w:b/>
                <w:i/>
              </w:rPr>
              <w:t xml:space="preserve"> om de volgende maatregelen gaan</w:t>
            </w:r>
            <w:r>
              <w:t>:</w:t>
            </w:r>
          </w:p>
          <w:p w:rsidR="006038A9" w:rsidRPr="009269FD" w:rsidRDefault="006038A9" w:rsidP="005F45A0">
            <w:pPr>
              <w:pStyle w:val="Normal6a"/>
            </w:pPr>
          </w:p>
        </w:tc>
        <w:tc>
          <w:tcPr>
            <w:tcW w:w="4876" w:type="dxa"/>
          </w:tcPr>
          <w:p w:rsidR="006038A9" w:rsidRPr="009269FD" w:rsidRDefault="002D3B48" w:rsidP="005F45A0">
            <w:pPr>
              <w:pStyle w:val="Normal6a"/>
            </w:pPr>
            <w:r>
              <w:t>1.</w:t>
            </w:r>
            <w:r>
              <w:tab/>
              <w:t>De lidstaten nemen maatregelen om hun burgers te informeren over hun recht als bedoeld in artikel 20, lid 2, punt c), VWEU</w:t>
            </w:r>
            <w:r>
              <w:rPr>
                <w:b/>
                <w:i/>
              </w:rPr>
              <w:t>, waarbij zij</w:t>
            </w:r>
            <w:r>
              <w:t xml:space="preserve"> met name:</w:t>
            </w:r>
          </w:p>
        </w:tc>
      </w:tr>
    </w:tbl>
    <w:p w:rsidR="006038A9" w:rsidRPr="009269FD" w:rsidRDefault="002D3B48" w:rsidP="006038A9">
      <w:r>
        <w:rPr>
          <w:rStyle w:val="HideTWBExt"/>
        </w:rPr>
        <w:t>&lt;/Amend&gt;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29</w:t>
      </w:r>
      <w:r>
        <w:rPr>
          <w:rStyle w:val="HideTWBExt"/>
          <w:b w:val="0"/>
        </w:rPr>
        <w:t>&lt;/NumAm&gt;</w:t>
      </w:r>
    </w:p>
    <w:p w:rsidR="006038A9" w:rsidRPr="009269FD" w:rsidRDefault="002D3B48" w:rsidP="006038A9">
      <w:pPr>
        <w:pStyle w:val="NormalBold12b"/>
        <w:keepNext/>
      </w:pPr>
      <w:r>
        <w:rPr>
          <w:rStyle w:val="HideTWBExt"/>
          <w:b w:val="0"/>
        </w:rPr>
        <w:t>&lt;DocAmend&gt;</w:t>
      </w:r>
      <w:r>
        <w:t>Voorst</w:t>
      </w:r>
      <w:r>
        <w: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 punt 6</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Hoofdstuk 2 bis – artikel 13 quater – lid 1 – inleidende formule – punt 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w:t>
            </w:r>
            <w:r>
              <w:t xml:space="preserv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rPr>
                <w:b/>
                <w:i/>
              </w:rPr>
              <w:t>a)</w:t>
            </w:r>
            <w:r>
              <w:rPr>
                <w:b/>
                <w:i/>
              </w:rPr>
              <w:tab/>
              <w:t>de eerste zin van artikel 23 VWEU vermelden op nationale paspoorten;</w:t>
            </w:r>
          </w:p>
        </w:tc>
        <w:tc>
          <w:tcPr>
            <w:tcW w:w="4876" w:type="dxa"/>
          </w:tcPr>
          <w:p w:rsidR="006038A9" w:rsidRPr="009269FD" w:rsidRDefault="002D3B48" w:rsidP="005F45A0">
            <w:pPr>
              <w:pStyle w:val="Normal6a"/>
              <w:rPr>
                <w:b/>
                <w:i/>
                <w:szCs w:val="24"/>
              </w:rPr>
            </w:pPr>
            <w:r>
              <w:rPr>
                <w:b/>
                <w:i/>
              </w:rPr>
              <w:t>Schrappen</w:t>
            </w:r>
          </w:p>
        </w:tc>
      </w:tr>
    </w:tbl>
    <w:p w:rsidR="006038A9" w:rsidRPr="009269FD" w:rsidRDefault="002D3B48" w:rsidP="006038A9">
      <w:r>
        <w:rPr>
          <w:rStyle w:val="HideTWBExt"/>
        </w:rPr>
        <w:t>&lt;/Amend&gt;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30</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 punt 6</w:t>
      </w:r>
      <w:r>
        <w:rPr>
          <w:rStyle w:val="HideTWBExt"/>
          <w:b w:val="0"/>
        </w:rPr>
        <w:t>&lt;/Article&gt;</w:t>
      </w:r>
    </w:p>
    <w:p w:rsidR="006038A9" w:rsidRPr="009269FD" w:rsidRDefault="002D3B48" w:rsidP="006038A9">
      <w:pPr>
        <w:keepNext/>
      </w:pPr>
      <w:r>
        <w:rPr>
          <w:rStyle w:val="HideTWBExt"/>
        </w:rPr>
        <w:t>&lt;DocAmend2</w:t>
      </w:r>
      <w:r>
        <w:rPr>
          <w:rStyle w:val="HideTWBExt"/>
        </w:rPr>
        <w:t>&gt;</w:t>
      </w:r>
      <w:r>
        <w:t>Richtlijn (EU) 2015/637</w:t>
      </w:r>
      <w:r>
        <w:rPr>
          <w:rStyle w:val="HideTWBExt"/>
        </w:rPr>
        <w:t>&lt;/DocAmend2&gt;</w:t>
      </w:r>
    </w:p>
    <w:p w:rsidR="006038A9" w:rsidRPr="009269FD" w:rsidRDefault="002D3B48" w:rsidP="006038A9">
      <w:r>
        <w:rPr>
          <w:rStyle w:val="HideTWBExt"/>
        </w:rPr>
        <w:t>&lt;Article2&gt;</w:t>
      </w:r>
      <w:r>
        <w:t xml:space="preserve">Hoofdstuk 2 bis – artikel 13 quater – lid 1 – inleidende formule – punt c bis </w:t>
      </w:r>
      <w:r>
        <w:lastRenderedPageBreak/>
        <w:t>(nieuw)</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 xml:space="preserve"> </w:t>
            </w:r>
          </w:p>
        </w:tc>
        <w:tc>
          <w:tcPr>
            <w:tcW w:w="4876" w:type="dxa"/>
          </w:tcPr>
          <w:p w:rsidR="006038A9" w:rsidRPr="009269FD" w:rsidRDefault="002D3B48" w:rsidP="005F45A0">
            <w:pPr>
              <w:pStyle w:val="Normal6a"/>
              <w:rPr>
                <w:szCs w:val="24"/>
              </w:rPr>
            </w:pPr>
            <w:r>
              <w:rPr>
                <w:b/>
                <w:i/>
              </w:rPr>
              <w:t>c bis)</w:t>
            </w:r>
            <w:r>
              <w:rPr>
                <w:b/>
                <w:i/>
              </w:rPr>
              <w:tab/>
              <w:t xml:space="preserve">automatische kennisgevingssystemen ontwikkelen, </w:t>
            </w:r>
            <w:r>
              <w:rPr>
                <w:b/>
                <w:i/>
              </w:rPr>
              <w:t>zoals systemen voor korte berichten via telefoonnetwerken, om alle EU-burgers bij aankomst in een derde land basiscontactgegevens te verstrekken voor consulaire bescherming, alsook waarschuwingsberichten in geval van een crisis;</w:t>
            </w:r>
          </w:p>
        </w:tc>
      </w:tr>
      <w:tr w:rsidR="00DE444B" w:rsidTr="005F45A0">
        <w:trPr>
          <w:jc w:val="center"/>
        </w:trPr>
        <w:tc>
          <w:tcPr>
            <w:tcW w:w="4876" w:type="dxa"/>
          </w:tcPr>
          <w:p w:rsidR="006038A9" w:rsidRPr="009269FD" w:rsidRDefault="006038A9" w:rsidP="005F45A0">
            <w:pPr>
              <w:pStyle w:val="Normal6a"/>
            </w:pPr>
          </w:p>
        </w:tc>
        <w:tc>
          <w:tcPr>
            <w:tcW w:w="4876" w:type="dxa"/>
          </w:tcPr>
          <w:p w:rsidR="006038A9" w:rsidRPr="009269FD" w:rsidRDefault="006038A9" w:rsidP="005F45A0">
            <w:pPr>
              <w:pStyle w:val="Normal6a"/>
              <w:rPr>
                <w:b/>
                <w:i/>
              </w:rPr>
            </w:pPr>
          </w:p>
        </w:tc>
      </w:tr>
    </w:tbl>
    <w:p w:rsidR="006038A9" w:rsidRPr="009269FD" w:rsidRDefault="002D3B48" w:rsidP="006038A9">
      <w:r>
        <w:rPr>
          <w:rStyle w:val="HideTWBExt"/>
        </w:rPr>
        <w:t>&lt;/Amend&gt;</w:t>
      </w:r>
    </w:p>
    <w:p w:rsidR="006038A9" w:rsidRPr="009269FD" w:rsidRDefault="002D3B48" w:rsidP="006038A9">
      <w:pPr>
        <w:pStyle w:val="AmNumberTabs"/>
        <w:keepNext/>
      </w:pPr>
      <w:r>
        <w:rPr>
          <w:rStyle w:val="HideTWBExt"/>
          <w:b w:val="0"/>
        </w:rPr>
        <w:t>&lt;Amend&gt;</w:t>
      </w:r>
      <w:r>
        <w:t>Amendem</w:t>
      </w:r>
      <w:r>
        <w:t>ent</w:t>
      </w:r>
      <w:r>
        <w:tab/>
      </w:r>
      <w:r>
        <w:tab/>
      </w:r>
      <w:r>
        <w:rPr>
          <w:rStyle w:val="HideTWBExt"/>
          <w:b w:val="0"/>
        </w:rPr>
        <w:t>&lt;NumAm&gt;</w:t>
      </w:r>
      <w:r>
        <w:t>31</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 punt 6</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 xml:space="preserve">Hoofdstuk 2 bis – artikel 13 quater – lid 1 – inleidende formule – punt c ter </w:t>
      </w:r>
      <w:r>
        <w:t>(nieuw)</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6038A9" w:rsidP="005F45A0">
            <w:pPr>
              <w:pStyle w:val="Normal6a"/>
            </w:pPr>
          </w:p>
        </w:tc>
        <w:tc>
          <w:tcPr>
            <w:tcW w:w="4876" w:type="dxa"/>
          </w:tcPr>
          <w:p w:rsidR="006038A9" w:rsidRPr="009269FD" w:rsidRDefault="002D3B48" w:rsidP="005F45A0">
            <w:pPr>
              <w:pStyle w:val="Normal6a"/>
              <w:rPr>
                <w:b/>
                <w:i/>
              </w:rPr>
            </w:pPr>
            <w:r>
              <w:rPr>
                <w:b/>
                <w:i/>
              </w:rPr>
              <w:t>c ter)</w:t>
            </w:r>
            <w:r>
              <w:rPr>
                <w:b/>
                <w:i/>
              </w:rPr>
              <w:tab/>
              <w:t>Daarnaast vermelden de lidstaten de eerste zin van artikel 23 VWEU op nationale paspoorten.</w:t>
            </w:r>
          </w:p>
        </w:tc>
      </w:tr>
    </w:tbl>
    <w:p w:rsidR="006038A9" w:rsidRPr="009269FD" w:rsidRDefault="002D3B48" w:rsidP="006038A9">
      <w:r>
        <w:rPr>
          <w:rStyle w:val="HideTWBExt"/>
        </w:rPr>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32</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w:t>
      </w:r>
      <w:r>
        <w:rPr>
          <w:rStyle w:val="HideTWBExt"/>
        </w:rPr>
        <w:t>DocAmend&gt;</w:t>
      </w:r>
    </w:p>
    <w:p w:rsidR="006038A9" w:rsidRPr="009269FD" w:rsidRDefault="002D3B48" w:rsidP="006038A9">
      <w:pPr>
        <w:pStyle w:val="NormalBold"/>
      </w:pPr>
      <w:r>
        <w:rPr>
          <w:rStyle w:val="HideTWBExt"/>
        </w:rPr>
        <w:t>&lt;Article&gt;</w:t>
      </w:r>
      <w:r>
        <w:t>Artikel 1 – alinea 1 – punt 7</w:t>
      </w:r>
      <w:r>
        <w:rPr>
          <w:rStyle w:val="HideTWBExt"/>
        </w:rPr>
        <w:t>&lt;/Article&gt;</w:t>
      </w:r>
    </w:p>
    <w:p w:rsidR="006038A9" w:rsidRPr="009269FD" w:rsidRDefault="002D3B48" w:rsidP="006038A9">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14 – lid 2 – alinea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Indien een niet-vertegenwoordigde burger bij het</w:t>
            </w:r>
            <w:r>
              <w:t xml:space="preserve"> indienen van een verzoek om bijstand niet in staat is de in lid 1 bedoelde kosten aan de bijstandverlenende lidstaat te betalen, kan de bijstandverlenende lidstaat van de niet-vertegenwoordigde burger verlangen dat deze een verbintenis tot terugbetaling o</w:t>
            </w:r>
            <w:r>
              <w:t xml:space="preserve">ndertekent. Op basis </w:t>
            </w:r>
            <w:r>
              <w:lastRenderedPageBreak/>
              <w:t xml:space="preserve">daarvan kan de bijstandverlenende lidstaat de betrokken niet-vertegenwoordigde burger </w:t>
            </w:r>
            <w:r>
              <w:rPr>
                <w:b/>
                <w:i/>
              </w:rPr>
              <w:t>vier weken</w:t>
            </w:r>
            <w:r>
              <w:t xml:space="preserve"> na de verlening van de bijstand verzoeken de betrokken kosten te betalen.</w:t>
            </w:r>
          </w:p>
        </w:tc>
        <w:tc>
          <w:tcPr>
            <w:tcW w:w="4876" w:type="dxa"/>
          </w:tcPr>
          <w:p w:rsidR="006038A9" w:rsidRPr="009269FD" w:rsidRDefault="002D3B48" w:rsidP="005F45A0">
            <w:pPr>
              <w:pStyle w:val="Normal6a"/>
            </w:pPr>
            <w:r>
              <w:lastRenderedPageBreak/>
              <w:t>Indien een niet-vertegenwoordigde burger bij het indienen van ee</w:t>
            </w:r>
            <w:r>
              <w:t>n verzoek om bijstand niet in staat is de in lid 1 bedoelde kosten aan de bijstandverlenende lidstaat te betalen, kan de bijstandverlenende lidstaat van de niet-vertegenwoordigde burger verlangen dat deze een verbintenis tot terugbetaling ondertekent. Op b</w:t>
            </w:r>
            <w:r>
              <w:t xml:space="preserve">asis </w:t>
            </w:r>
            <w:r>
              <w:lastRenderedPageBreak/>
              <w:t xml:space="preserve">daarvan kan de bijstandverlenende lidstaat de betrokken niet-vertegenwoordigde burger </w:t>
            </w:r>
            <w:r>
              <w:rPr>
                <w:b/>
                <w:i/>
              </w:rPr>
              <w:t>drie maanden</w:t>
            </w:r>
            <w:r>
              <w:t xml:space="preserve"> na de verlening van de bijstand verzoeken de betrokken kosten te betalen.</w:t>
            </w:r>
          </w:p>
        </w:tc>
      </w:tr>
    </w:tbl>
    <w:p w:rsidR="006038A9" w:rsidRPr="009269FD" w:rsidRDefault="002D3B48" w:rsidP="006038A9">
      <w:r>
        <w:rPr>
          <w:rStyle w:val="HideTWBExt"/>
        </w:rPr>
        <w:lastRenderedPageBreak/>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33</w:t>
      </w:r>
      <w:r>
        <w:rPr>
          <w:rStyle w:val="HideTWBExt"/>
        </w:rPr>
        <w:t>&lt;/NumAm&gt;</w:t>
      </w:r>
    </w:p>
    <w:p w:rsidR="006038A9" w:rsidRPr="009269FD" w:rsidRDefault="002D3B48" w:rsidP="006038A9">
      <w:pPr>
        <w:pStyle w:val="NormalBold12b"/>
      </w:pPr>
      <w:r>
        <w:rPr>
          <w:rStyle w:val="HideTWBExt"/>
        </w:rPr>
        <w:t>&lt;DocAmend&gt;</w:t>
      </w:r>
      <w:r>
        <w:t xml:space="preserve">Voorstel voor een </w:t>
      </w:r>
      <w:r>
        <w:t>richtlijn</w:t>
      </w:r>
      <w:r>
        <w:rPr>
          <w:rStyle w:val="HideTWBExt"/>
        </w:rPr>
        <w:t>&lt;/DocAmend&gt;</w:t>
      </w:r>
    </w:p>
    <w:p w:rsidR="006038A9" w:rsidRPr="009269FD" w:rsidRDefault="002D3B48" w:rsidP="006038A9">
      <w:pPr>
        <w:pStyle w:val="NormalBold"/>
      </w:pPr>
      <w:r>
        <w:rPr>
          <w:rStyle w:val="HideTWBExt"/>
        </w:rPr>
        <w:t>&lt;Article&gt;</w:t>
      </w:r>
      <w:r>
        <w:t>Artikel 1 – alinea 1 – punt 7</w:t>
      </w:r>
      <w:r>
        <w:rPr>
          <w:rStyle w:val="HideTWBExt"/>
        </w:rPr>
        <w:t>&lt;/Article&gt;</w:t>
      </w:r>
    </w:p>
    <w:p w:rsidR="006038A9" w:rsidRPr="009269FD" w:rsidRDefault="002D3B48" w:rsidP="006038A9">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14 – lid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6.</w:t>
            </w:r>
            <w:r>
              <w:tab/>
              <w:t xml:space="preserve">De Commissie kan uitvoeringshandelingen </w:t>
            </w:r>
            <w:r>
              <w:t>aannemen tot vaststelling van de standaardformulieren die moeten worden gebruikt voor de in lid</w:t>
            </w:r>
            <w:r>
              <w:rPr>
                <w:b/>
                <w:i/>
              </w:rPr>
              <w:t> </w:t>
            </w:r>
            <w:r>
              <w:t>2 bedoelde verbintenis tot terugbetaling en voor de terugbetaling van de kosten door de lidstaat van nationaliteit als bedoeld in lid</w:t>
            </w:r>
            <w:r>
              <w:rPr>
                <w:b/>
                <w:i/>
              </w:rPr>
              <w:t> </w:t>
            </w:r>
            <w:r>
              <w:t>3. Die uitvoeringshandelin</w:t>
            </w:r>
            <w:r>
              <w:t>gen worden volgens de in artikel 15 bis, lid 2, bedoelde onderzoeksprocedure vastgesteld.</w:t>
            </w:r>
          </w:p>
        </w:tc>
        <w:tc>
          <w:tcPr>
            <w:tcW w:w="4876" w:type="dxa"/>
          </w:tcPr>
          <w:p w:rsidR="006038A9" w:rsidRPr="009269FD" w:rsidRDefault="002D3B48" w:rsidP="005F45A0">
            <w:pPr>
              <w:pStyle w:val="AmColumnHeading"/>
              <w:spacing w:after="120"/>
              <w:jc w:val="left"/>
            </w:pPr>
            <w:r>
              <w:rPr>
                <w:i w:val="0"/>
              </w:rPr>
              <w:t>6.</w:t>
            </w:r>
            <w:r>
              <w:rPr>
                <w:i w:val="0"/>
              </w:rPr>
              <w:tab/>
              <w:t xml:space="preserve">De Commissie kan uitvoeringshandelingen aannemen tot vaststelling van de standaardformulieren die </w:t>
            </w:r>
            <w:r>
              <w:rPr>
                <w:b/>
              </w:rPr>
              <w:t xml:space="preserve">in alle talen van de lidstaten ter beschikking worden gesteld en </w:t>
            </w:r>
            <w:r>
              <w:rPr>
                <w:b/>
              </w:rPr>
              <w:t xml:space="preserve">die </w:t>
            </w:r>
            <w:r>
              <w:rPr>
                <w:i w:val="0"/>
              </w:rPr>
              <w:t>moeten worden gebruikt voor de in lid</w:t>
            </w:r>
            <w:r>
              <w:rPr>
                <w:b/>
              </w:rPr>
              <w:t> </w:t>
            </w:r>
            <w:r>
              <w:rPr>
                <w:i w:val="0"/>
              </w:rPr>
              <w:t>2 bedoelde verbintenis tot terugbetaling en voor de terugbetaling van de kosten door de lidstaat van nationaliteit als bedoeld in lid</w:t>
            </w:r>
            <w:r>
              <w:rPr>
                <w:b/>
              </w:rPr>
              <w:t> </w:t>
            </w:r>
            <w:r>
              <w:rPr>
                <w:i w:val="0"/>
              </w:rPr>
              <w:t>3. Die uitvoeringshandelingen worden volgens de in artikel 15 bis, lid 2, bedoel</w:t>
            </w:r>
            <w:r>
              <w:rPr>
                <w:i w:val="0"/>
              </w:rPr>
              <w:t>de onderzoeksprocedure vastgesteld.</w:t>
            </w:r>
          </w:p>
        </w:tc>
      </w:tr>
    </w:tbl>
    <w:p w:rsidR="006038A9" w:rsidRPr="009269FD" w:rsidRDefault="002D3B48" w:rsidP="006038A9">
      <w:r>
        <w:rPr>
          <w:rStyle w:val="HideTWBExt"/>
        </w:rPr>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34</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Artikel 1 – alinea 1 – punt 9</w:t>
      </w:r>
      <w:r>
        <w:rPr>
          <w:rStyle w:val="HideTWBExt"/>
        </w:rPr>
        <w:t>&lt;/Article&gt;</w:t>
      </w:r>
    </w:p>
    <w:p w:rsidR="006038A9" w:rsidRPr="009269FD" w:rsidRDefault="002D3B48" w:rsidP="006038A9">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16 bis – l</w:t>
      </w:r>
      <w:r>
        <w:t>id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6.</w:t>
            </w:r>
            <w:r>
              <w:tab/>
              <w:t xml:space="preserve">Bij de verwerking van de in lid 5 bedoelde categorieën persoonsgegevens nemen de bevoegde instanties van de lidstaten en de instellingen en organen van de Unie passende en specifieke </w:t>
            </w:r>
            <w:r>
              <w:t xml:space="preserve">maatregelen om de belangen van de betrokkenen te beschermen. Zij voeren ook intern beleid in en nemen de nodige technische en organisatorische maatregelen </w:t>
            </w:r>
            <w:r>
              <w:lastRenderedPageBreak/>
              <w:t>om ongeoorloofde toegang tot en doorgifte van dergelijke persoonsgegevens te voorkomen.</w:t>
            </w:r>
          </w:p>
        </w:tc>
        <w:tc>
          <w:tcPr>
            <w:tcW w:w="4876" w:type="dxa"/>
          </w:tcPr>
          <w:p w:rsidR="006038A9" w:rsidRPr="009269FD" w:rsidRDefault="002D3B48" w:rsidP="005F45A0">
            <w:pPr>
              <w:pStyle w:val="Normal6a"/>
            </w:pPr>
            <w:r>
              <w:lastRenderedPageBreak/>
              <w:t>6.</w:t>
            </w:r>
            <w:r>
              <w:tab/>
              <w:t>Bij de ver</w:t>
            </w:r>
            <w:r>
              <w:t xml:space="preserve">werking van de in lid 5 bedoelde categorieën persoonsgegevens nemen de bevoegde instanties van de lidstaten en de instellingen en organen van de Unie passende en specifieke maatregelen om de belangen van de betrokkenen te beschermen. Zij voeren ook intern </w:t>
            </w:r>
            <w:r>
              <w:t xml:space="preserve">beleid in en nemen de nodige technische en organisatorische maatregelen </w:t>
            </w:r>
            <w:r>
              <w:lastRenderedPageBreak/>
              <w:t xml:space="preserve">om ongeoorloofde toegang tot en doorgifte van dergelijke persoonsgegevens te voorkomen. </w:t>
            </w:r>
            <w:r>
              <w:rPr>
                <w:b/>
                <w:i/>
              </w:rPr>
              <w:t>De toegangsrechten tot de in lid 5 bedoelde persoonsgegevens worden alleen verleend aan personee</w:t>
            </w:r>
            <w:r>
              <w:rPr>
                <w:b/>
                <w:i/>
              </w:rPr>
              <w:t>lsleden die houder zijn van een paspoort van een EU-lidstaat.</w:t>
            </w:r>
          </w:p>
        </w:tc>
      </w:tr>
    </w:tbl>
    <w:p w:rsidR="006038A9" w:rsidRPr="009269FD" w:rsidRDefault="002D3B48" w:rsidP="006038A9">
      <w:r>
        <w:rPr>
          <w:rStyle w:val="HideTWBExt"/>
        </w:rPr>
        <w:lastRenderedPageBreak/>
        <w:t>&lt;/Amend&gt;</w:t>
      </w:r>
    </w:p>
    <w:p w:rsidR="006038A9" w:rsidRPr="009269FD" w:rsidRDefault="002D3B48" w:rsidP="006038A9">
      <w:pPr>
        <w:pStyle w:val="AmNumberTabs"/>
      </w:pPr>
      <w:r>
        <w:rPr>
          <w:rStyle w:val="HideTWBExt"/>
        </w:rPr>
        <w:t>&lt;Amend&gt;</w:t>
      </w:r>
      <w:r>
        <w:t>Amendement</w:t>
      </w:r>
      <w:r>
        <w:tab/>
      </w:r>
      <w:r>
        <w:tab/>
      </w:r>
      <w:r>
        <w:rPr>
          <w:rStyle w:val="HideTWBExt"/>
        </w:rPr>
        <w:t>&lt;NumAm&gt;</w:t>
      </w:r>
      <w:r>
        <w:t>35</w:t>
      </w:r>
      <w:r>
        <w:rPr>
          <w:rStyle w:val="HideTWBExt"/>
        </w:rPr>
        <w:t>&lt;/NumAm&gt;</w:t>
      </w:r>
    </w:p>
    <w:p w:rsidR="006038A9" w:rsidRPr="009269FD" w:rsidRDefault="002D3B48" w:rsidP="006038A9">
      <w:pPr>
        <w:pStyle w:val="NormalBold12b"/>
      </w:pPr>
      <w:r>
        <w:rPr>
          <w:rStyle w:val="HideTWBExt"/>
        </w:rPr>
        <w:t>&lt;DocAmend&gt;</w:t>
      </w:r>
      <w:r>
        <w:t>Voorstel voor een richtlijn</w:t>
      </w:r>
      <w:r>
        <w:rPr>
          <w:rStyle w:val="HideTWBExt"/>
        </w:rPr>
        <w:t>&lt;/DocAmend&gt;</w:t>
      </w:r>
    </w:p>
    <w:p w:rsidR="006038A9" w:rsidRPr="009269FD" w:rsidRDefault="002D3B48" w:rsidP="006038A9">
      <w:pPr>
        <w:pStyle w:val="NormalBold"/>
      </w:pPr>
      <w:r>
        <w:rPr>
          <w:rStyle w:val="HideTWBExt"/>
        </w:rPr>
        <w:t>&lt;Article&gt;</w:t>
      </w:r>
      <w:r>
        <w:t>Artikel 1 – alinea 1 – punt 9</w:t>
      </w:r>
      <w:r>
        <w:rPr>
          <w:rStyle w:val="HideTWBExt"/>
        </w:rPr>
        <w:t>&lt;/Article&gt;</w:t>
      </w:r>
    </w:p>
    <w:p w:rsidR="006038A9" w:rsidRPr="009269FD" w:rsidRDefault="002D3B48" w:rsidP="006038A9">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16 bis – lid 7 – alinea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E444B" w:rsidTr="005F45A0">
        <w:trPr>
          <w:trHeight w:hRule="exact" w:val="240"/>
          <w:jc w:val="center"/>
        </w:trPr>
        <w:tc>
          <w:tcPr>
            <w:tcW w:w="9752" w:type="dxa"/>
            <w:gridSpan w:val="2"/>
          </w:tcPr>
          <w:p w:rsidR="006038A9" w:rsidRPr="009269FD" w:rsidRDefault="006038A9" w:rsidP="005F45A0"/>
        </w:tc>
      </w:tr>
      <w:tr w:rsidR="00DE444B" w:rsidTr="005F45A0">
        <w:trPr>
          <w:trHeight w:val="240"/>
          <w:jc w:val="center"/>
        </w:trPr>
        <w:tc>
          <w:tcPr>
            <w:tcW w:w="4876" w:type="dxa"/>
          </w:tcPr>
          <w:p w:rsidR="006038A9" w:rsidRPr="009269FD" w:rsidRDefault="002D3B48" w:rsidP="005F45A0">
            <w:pPr>
              <w:pStyle w:val="AmColumnHeading"/>
            </w:pPr>
            <w:r>
              <w:t>Door de Commissie voorgestelde tekst</w:t>
            </w:r>
          </w:p>
        </w:tc>
        <w:tc>
          <w:tcPr>
            <w:tcW w:w="4876" w:type="dxa"/>
          </w:tcPr>
          <w:p w:rsidR="006038A9" w:rsidRPr="009269FD" w:rsidRDefault="002D3B48" w:rsidP="005F45A0">
            <w:pPr>
              <w:pStyle w:val="AmColumnHeading"/>
            </w:pPr>
            <w:r>
              <w:t>Amendement</w:t>
            </w:r>
          </w:p>
        </w:tc>
      </w:tr>
      <w:tr w:rsidR="00DE444B" w:rsidTr="005F45A0">
        <w:trPr>
          <w:jc w:val="center"/>
        </w:trPr>
        <w:tc>
          <w:tcPr>
            <w:tcW w:w="4876" w:type="dxa"/>
          </w:tcPr>
          <w:p w:rsidR="006038A9" w:rsidRPr="009269FD" w:rsidRDefault="002D3B48" w:rsidP="005F45A0">
            <w:pPr>
              <w:pStyle w:val="Normal6a"/>
            </w:pPr>
            <w:r>
              <w:t>Voor de toepassing van deze richtlijn geven de bevoegde instanties van de lidstaten persoonsgegevens uitsluitend door aan een derde land of een intern</w:t>
            </w:r>
            <w:r>
              <w:t>ationale organisatie om de in artikel 9, artikel 10 en artikel 13 bis bedoelde taken uit te voeren en overeenkomstig hoofdstuk V van Verordening (EU) 2016/679.</w:t>
            </w:r>
          </w:p>
        </w:tc>
        <w:tc>
          <w:tcPr>
            <w:tcW w:w="4876" w:type="dxa"/>
          </w:tcPr>
          <w:p w:rsidR="006038A9" w:rsidRPr="009269FD" w:rsidRDefault="002D3B48" w:rsidP="005F45A0">
            <w:pPr>
              <w:pStyle w:val="Normal6a"/>
            </w:pPr>
            <w:r>
              <w:t xml:space="preserve">Voor de toepassing van deze richtlijn geven de bevoegde instanties van de lidstaten </w:t>
            </w:r>
            <w:r>
              <w:t xml:space="preserve">persoonsgegevens uitsluitend door aan een derde land of een internationale organisatie om de in artikel 9, artikel 10 en artikel 13 bis bedoelde taken uit te voeren en overeenkomstig hoofdstuk V van Verordening (EU) 2016/679. </w:t>
            </w:r>
            <w:r>
              <w:rPr>
                <w:b/>
                <w:i/>
              </w:rPr>
              <w:t>De in lid 5 genoemde persoonsg</w:t>
            </w:r>
            <w:r>
              <w:rPr>
                <w:b/>
                <w:i/>
              </w:rPr>
              <w:t>egevens worden daarbij niet doorgegeven, tenzij de betrokken EU-burger daar vooraf uitdrukkelijk toestemming voor heeft gegeven.</w:t>
            </w:r>
          </w:p>
        </w:tc>
      </w:tr>
    </w:tbl>
    <w:p w:rsidR="006038A9" w:rsidRPr="009269FD" w:rsidRDefault="002D3B48" w:rsidP="006038A9">
      <w:r>
        <w:rPr>
          <w:rStyle w:val="HideTWBExt"/>
        </w:rPr>
        <w:t>&lt;/Amend&gt;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36</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Artikel 1 – alinea 1 –</w:t>
      </w:r>
      <w:r>
        <w:t xml:space="preserve"> punt 9</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16 ter – alinea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 xml:space="preserve">De lidstaten zorgen ervoor dat niet-vertegenwoordigde burgers op grond van het nationale </w:t>
            </w:r>
            <w:r>
              <w:t>recht over een doeltreffende voorziening in rechte beschikken in geval van een schending van hun rechten uit hoofde van deze richtlijn.</w:t>
            </w:r>
          </w:p>
        </w:tc>
        <w:tc>
          <w:tcPr>
            <w:tcW w:w="4876" w:type="dxa"/>
          </w:tcPr>
          <w:p w:rsidR="006038A9" w:rsidRPr="009269FD" w:rsidRDefault="002D3B48" w:rsidP="005F45A0">
            <w:pPr>
              <w:pStyle w:val="Normal6a"/>
              <w:rPr>
                <w:szCs w:val="24"/>
              </w:rPr>
            </w:pPr>
            <w:r>
              <w:t xml:space="preserve">De lidstaten zorgen ervoor dat niet-vertegenwoordigde burgers op grond van het nationale recht </w:t>
            </w:r>
            <w:r>
              <w:rPr>
                <w:b/>
                <w:i/>
              </w:rPr>
              <w:t>toegang hebben tot klacht</w:t>
            </w:r>
            <w:r>
              <w:rPr>
                <w:b/>
                <w:i/>
              </w:rPr>
              <w:t xml:space="preserve">enmechanismen en </w:t>
            </w:r>
            <w:r>
              <w:t xml:space="preserve">over een doeltreffende voorziening in rechte beschikken in geval van een schending van </w:t>
            </w:r>
            <w:r>
              <w:lastRenderedPageBreak/>
              <w:t>hun rechten uit hoofde van deze richtlijn.</w:t>
            </w:r>
          </w:p>
        </w:tc>
      </w:tr>
    </w:tbl>
    <w:p w:rsidR="006038A9" w:rsidRPr="009269FD" w:rsidRDefault="002D3B48" w:rsidP="006038A9">
      <w:r>
        <w:rPr>
          <w:rStyle w:val="HideTWBExt"/>
        </w:rPr>
        <w:lastRenderedPageBreak/>
        <w:t>&lt;/Amend&gt;</w:t>
      </w:r>
    </w:p>
    <w:p w:rsidR="006038A9" w:rsidRPr="009269FD" w:rsidRDefault="002D3B48" w:rsidP="006038A9">
      <w:pPr>
        <w:pStyle w:val="AmNumberTabs"/>
        <w:keepNext/>
      </w:pPr>
      <w:r>
        <w:rPr>
          <w:rStyle w:val="HideTWBExt"/>
          <w:b w:val="0"/>
        </w:rPr>
        <w:t>&lt;Amend&gt;</w:t>
      </w:r>
      <w:r>
        <w:t>Amendement</w:t>
      </w:r>
      <w:r>
        <w:tab/>
      </w:r>
      <w:r>
        <w:tab/>
      </w:r>
      <w:r>
        <w:rPr>
          <w:rStyle w:val="HideTWBExt"/>
          <w:b w:val="0"/>
        </w:rPr>
        <w:t>&lt;NumAm&gt;</w:t>
      </w:r>
      <w:r>
        <w:t>37</w:t>
      </w:r>
      <w:r>
        <w:rPr>
          <w:rStyle w:val="HideTWBExt"/>
          <w:b w:val="0"/>
        </w:rPr>
        <w:t>&lt;/NumAm&gt;</w:t>
      </w:r>
    </w:p>
    <w:p w:rsidR="006038A9" w:rsidRPr="009269FD" w:rsidRDefault="002D3B48" w:rsidP="006038A9">
      <w:pPr>
        <w:pStyle w:val="NormalBold12b"/>
        <w:keepNext/>
      </w:pPr>
      <w:r>
        <w:rPr>
          <w:rStyle w:val="HideTWBExt"/>
          <w:b w:val="0"/>
        </w:rPr>
        <w:t>&lt;DocAmend&gt;</w:t>
      </w:r>
      <w:r>
        <w:t>Voorstel voor een richtlijn</w:t>
      </w:r>
      <w:r>
        <w:rPr>
          <w:rStyle w:val="HideTWBExt"/>
          <w:b w:val="0"/>
        </w:rPr>
        <w:t>&lt;/DocAmend&gt;</w:t>
      </w:r>
    </w:p>
    <w:p w:rsidR="006038A9" w:rsidRPr="009269FD" w:rsidRDefault="002D3B48" w:rsidP="006038A9">
      <w:pPr>
        <w:pStyle w:val="NormalBold"/>
        <w:keepNext/>
      </w:pPr>
      <w:r>
        <w:rPr>
          <w:rStyle w:val="HideTWBExt"/>
          <w:b w:val="0"/>
        </w:rPr>
        <w:t>&lt;Article&gt;</w:t>
      </w:r>
      <w:r>
        <w:t>Arti</w:t>
      </w:r>
      <w:r>
        <w:t>kel 1 – alinea 1 – punt 10</w:t>
      </w:r>
      <w:r>
        <w:rPr>
          <w:rStyle w:val="HideTWBExt"/>
          <w:b w:val="0"/>
        </w:rPr>
        <w:t>&lt;/Article&gt;</w:t>
      </w:r>
    </w:p>
    <w:p w:rsidR="006038A9" w:rsidRPr="009269FD" w:rsidRDefault="002D3B48" w:rsidP="006038A9">
      <w:pPr>
        <w:keepNext/>
      </w:pPr>
      <w:r>
        <w:rPr>
          <w:rStyle w:val="HideTWBExt"/>
        </w:rPr>
        <w:t>&lt;DocAmend2&gt;</w:t>
      </w:r>
      <w:r>
        <w:t>Richtlijn (EU) 2015/637</w:t>
      </w:r>
      <w:r>
        <w:rPr>
          <w:rStyle w:val="HideTWBExt"/>
        </w:rPr>
        <w:t>&lt;/DocAmend2&gt;</w:t>
      </w:r>
    </w:p>
    <w:p w:rsidR="006038A9" w:rsidRPr="009269FD" w:rsidRDefault="002D3B48" w:rsidP="006038A9">
      <w:r>
        <w:rPr>
          <w:rStyle w:val="HideTWBExt"/>
        </w:rPr>
        <w:t>&lt;Article2&gt;</w:t>
      </w:r>
      <w:r>
        <w:t>Artikel 19 – lid 3 – alinea 1</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E444B" w:rsidTr="005F45A0">
        <w:trPr>
          <w:jc w:val="center"/>
        </w:trPr>
        <w:tc>
          <w:tcPr>
            <w:tcW w:w="9752" w:type="dxa"/>
            <w:gridSpan w:val="2"/>
          </w:tcPr>
          <w:p w:rsidR="006038A9" w:rsidRPr="009269FD" w:rsidRDefault="006038A9" w:rsidP="005F45A0">
            <w:pPr>
              <w:keepNext/>
            </w:pPr>
          </w:p>
        </w:tc>
      </w:tr>
      <w:tr w:rsidR="00DE444B" w:rsidTr="005F45A0">
        <w:trPr>
          <w:jc w:val="center"/>
        </w:trPr>
        <w:tc>
          <w:tcPr>
            <w:tcW w:w="4876" w:type="dxa"/>
          </w:tcPr>
          <w:p w:rsidR="006038A9" w:rsidRPr="009269FD" w:rsidRDefault="002D3B48" w:rsidP="005F45A0">
            <w:pPr>
              <w:pStyle w:val="AmColumnHeading"/>
              <w:keepNext/>
            </w:pPr>
            <w:r>
              <w:t>Door de Commissie voorgestelde tekst</w:t>
            </w:r>
          </w:p>
        </w:tc>
        <w:tc>
          <w:tcPr>
            <w:tcW w:w="4876" w:type="dxa"/>
          </w:tcPr>
          <w:p w:rsidR="006038A9" w:rsidRPr="009269FD" w:rsidRDefault="002D3B48" w:rsidP="005F45A0">
            <w:pPr>
              <w:pStyle w:val="AmColumnHeading"/>
              <w:keepNext/>
            </w:pPr>
            <w:r>
              <w:t>Amendement</w:t>
            </w:r>
          </w:p>
        </w:tc>
      </w:tr>
      <w:tr w:rsidR="00DE444B" w:rsidTr="005F45A0">
        <w:trPr>
          <w:jc w:val="center"/>
        </w:trPr>
        <w:tc>
          <w:tcPr>
            <w:tcW w:w="4876" w:type="dxa"/>
          </w:tcPr>
          <w:p w:rsidR="006038A9" w:rsidRPr="009269FD" w:rsidRDefault="002D3B48" w:rsidP="005F45A0">
            <w:pPr>
              <w:pStyle w:val="Normal6a"/>
            </w:pPr>
            <w:r>
              <w:t xml:space="preserve">3. </w:t>
            </w:r>
            <w:r>
              <w:rPr>
                <w:b/>
                <w:i/>
              </w:rPr>
              <w:t xml:space="preserve">Niet eerder dan </w:t>
            </w:r>
            <w:r>
              <w:t>[</w:t>
            </w:r>
            <w:r>
              <w:rPr>
                <w:b/>
                <w:i/>
              </w:rPr>
              <w:t>acht</w:t>
            </w:r>
            <w:r>
              <w:t xml:space="preserve"> jaar na de omzettingstermijn van deze wijzigingsrichtlijn] verricht de Commissie een evaluatie van deze richtlijn en brengt zij aan het Europees Parlement en de Raad verslag uit over de belangrijkste bevindingen.</w:t>
            </w:r>
          </w:p>
        </w:tc>
        <w:tc>
          <w:tcPr>
            <w:tcW w:w="4876" w:type="dxa"/>
          </w:tcPr>
          <w:p w:rsidR="006038A9" w:rsidRPr="009269FD" w:rsidRDefault="002D3B48" w:rsidP="005F45A0">
            <w:pPr>
              <w:pStyle w:val="Normal6a"/>
              <w:rPr>
                <w:szCs w:val="24"/>
              </w:rPr>
            </w:pPr>
            <w:r>
              <w:t xml:space="preserve">3. </w:t>
            </w:r>
            <w:r>
              <w:rPr>
                <w:b/>
                <w:i/>
              </w:rPr>
              <w:t xml:space="preserve">Uiterlijk </w:t>
            </w:r>
            <w:r>
              <w:t>[</w:t>
            </w:r>
            <w:r>
              <w:rPr>
                <w:b/>
                <w:i/>
              </w:rPr>
              <w:t>vier</w:t>
            </w:r>
            <w:r>
              <w:t xml:space="preserve"> jaar na de omzettingste</w:t>
            </w:r>
            <w:r>
              <w:t xml:space="preserve">rmijn van deze wijzigingsrichtlijn] </w:t>
            </w:r>
            <w:r>
              <w:rPr>
                <w:b/>
                <w:i/>
              </w:rPr>
              <w:t xml:space="preserve">en vervolgens om de vier jaar </w:t>
            </w:r>
            <w:r>
              <w:t xml:space="preserve">verricht de Commissie een evaluatie van </w:t>
            </w:r>
            <w:r>
              <w:rPr>
                <w:b/>
                <w:i/>
              </w:rPr>
              <w:t xml:space="preserve">de omzetting en toepassing van </w:t>
            </w:r>
            <w:r>
              <w:t>deze richtlijn en brengt zij aan het Europees Parlement en de Raad verslag uit over de belangrijkste bevindingen</w:t>
            </w:r>
            <w:r>
              <w:rPr>
                <w:b/>
                <w:i/>
              </w:rPr>
              <w:t xml:space="preserve">, met </w:t>
            </w:r>
            <w:r>
              <w:rPr>
                <w:b/>
                <w:i/>
              </w:rPr>
              <w:t>inbegrip van eventuele schendingen van de bij deze richtlijn verleende rechten</w:t>
            </w:r>
            <w:r>
              <w:t>.</w:t>
            </w:r>
          </w:p>
        </w:tc>
      </w:tr>
    </w:tbl>
    <w:p w:rsidR="006038A9" w:rsidRPr="009269FD" w:rsidRDefault="002D3B48" w:rsidP="006038A9">
      <w:r>
        <w:rPr>
          <w:rStyle w:val="HideTWBExt"/>
        </w:rPr>
        <w:t>&lt;/Amend&gt;</w:t>
      </w:r>
    </w:p>
    <w:p w:rsidR="006038A9" w:rsidRDefault="002D3B48" w:rsidP="006038A9">
      <w:pPr>
        <w:rPr>
          <w:rStyle w:val="HideTWBExt"/>
          <w:noProof w:val="0"/>
        </w:rPr>
      </w:pPr>
      <w:r>
        <w:rPr>
          <w:rStyle w:val="HideTWBExt"/>
        </w:rPr>
        <w:t>&lt;/RepeatBlock-Amend&gt;</w:t>
      </w:r>
      <w:bookmarkEnd w:id="3"/>
    </w:p>
    <w:p w:rsidR="006038A9" w:rsidRDefault="006038A9">
      <w:pPr>
        <w:widowControl/>
        <w:rPr>
          <w:rStyle w:val="HideTWBExt"/>
          <w:noProof w:val="0"/>
        </w:rPr>
        <w:sectPr w:rsidR="006038A9" w:rsidSect="006038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038A9" w:rsidRDefault="002D3B48" w:rsidP="002B2C72">
      <w:pPr>
        <w:pStyle w:val="PageHeadingNotTOC"/>
        <w:rPr>
          <w:noProof/>
        </w:rPr>
      </w:pPr>
      <w:bookmarkStart w:id="5" w:name="FootprintPageAD"/>
      <w:r>
        <w:lastRenderedPageBreak/>
        <w:t>BIJLAGE: ENTITEITEN WAARVAN OF PERSONEN VAN WIE</w:t>
      </w:r>
      <w:r>
        <w:br/>
        <w:t>DE RAPPORTEUR VOOR ADVIES INPUT HEEFT ONTVANGEN</w:t>
      </w:r>
    </w:p>
    <w:p w:rsidR="006038A9" w:rsidRPr="0099178F" w:rsidRDefault="002D3B48" w:rsidP="00037518">
      <w:pPr>
        <w:pStyle w:val="Normal24a"/>
      </w:pPr>
      <w:r>
        <w:rPr>
          <w:rStyle w:val="HideTWBExt"/>
        </w:rPr>
        <w:t>&lt;FootprintIntro&gt;</w:t>
      </w:r>
      <w:r>
        <w:t xml:space="preserve">Overeenkomstig </w:t>
      </w:r>
      <w:r>
        <w:t>artikel 8 van bijlage I bij het Reglement verklaart de rapporteur voor advies bij de opstelling van het advies voorafgaand aan de goedkeuring ervan in de commissie input te hebben ontvangen van de volgende entiteiten of personen: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E444B" w:rsidTr="006038A9">
        <w:tc>
          <w:tcPr>
            <w:tcW w:w="9060" w:type="dxa"/>
            <w:shd w:val="clear" w:color="auto" w:fill="auto"/>
          </w:tcPr>
          <w:p w:rsidR="006038A9" w:rsidRDefault="002D3B48" w:rsidP="006038A9">
            <w:pPr>
              <w:pStyle w:val="NormalBoldCenter"/>
            </w:pPr>
            <w:r>
              <w:t xml:space="preserve">Entiteit </w:t>
            </w:r>
            <w:r>
              <w:t>en/of persoon</w:t>
            </w:r>
          </w:p>
        </w:tc>
      </w:tr>
      <w:tr w:rsidR="00DE444B" w:rsidTr="006038A9">
        <w:tc>
          <w:tcPr>
            <w:tcW w:w="9060" w:type="dxa"/>
            <w:shd w:val="clear" w:color="auto" w:fill="auto"/>
          </w:tcPr>
          <w:p w:rsidR="006038A9" w:rsidRPr="009269FD" w:rsidRDefault="002D3B48" w:rsidP="005F45A0">
            <w:r>
              <w:t>European External Action Service</w:t>
            </w:r>
          </w:p>
        </w:tc>
      </w:tr>
      <w:tr w:rsidR="00DE444B" w:rsidTr="006038A9">
        <w:tc>
          <w:tcPr>
            <w:tcW w:w="9060" w:type="dxa"/>
            <w:shd w:val="clear" w:color="auto" w:fill="auto"/>
          </w:tcPr>
          <w:p w:rsidR="006038A9" w:rsidRPr="009269FD" w:rsidRDefault="002D3B48" w:rsidP="005F45A0">
            <w:r>
              <w:t>European Commission</w:t>
            </w:r>
          </w:p>
        </w:tc>
      </w:tr>
    </w:tbl>
    <w:p w:rsidR="006038A9" w:rsidRDefault="006038A9" w:rsidP="00AD5932"/>
    <w:p w:rsidR="006038A9" w:rsidRPr="002537B8" w:rsidRDefault="002D3B48" w:rsidP="004E1B62">
      <w:r>
        <w:t>De bovenstaande lijst is opgesteld onder de exclusieve verantwoordelijkheid van de rapporteur voor advies.</w:t>
      </w:r>
    </w:p>
    <w:p w:rsidR="006038A9" w:rsidRDefault="006038A9" w:rsidP="006038A9"/>
    <w:p w:rsidR="006038A9" w:rsidRDefault="006038A9" w:rsidP="006038A9"/>
    <w:p w:rsidR="006038A9" w:rsidRDefault="006038A9" w:rsidP="006038A9"/>
    <w:p w:rsidR="006038A9" w:rsidRDefault="002D3B48">
      <w:pPr>
        <w:widowControl/>
      </w:pPr>
      <w:r>
        <w:br w:type="page"/>
      </w:r>
    </w:p>
    <w:bookmarkEnd w:id="5"/>
    <w:p w:rsidR="006038A9" w:rsidRDefault="006038A9">
      <w:pPr>
        <w:widowControl/>
        <w:rPr>
          <w:rStyle w:val="HideTWBExt"/>
          <w:noProof w:val="0"/>
        </w:rPr>
        <w:sectPr w:rsidR="006038A9" w:rsidSect="006038A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51B68" w:rsidRDefault="002D3B48" w:rsidP="00251B68">
      <w:pPr>
        <w:pStyle w:val="PageHeadingNotTOC"/>
      </w:pPr>
      <w:bookmarkStart w:id="6" w:name="ProcPageAD"/>
      <w:r>
        <w:t>PROCEDURE VAN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E444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Maatregelen ter vergemakkelijking van de consulaire bescherming van niet-vertegenwoordigde burgers van de Unie in derde landen</w:t>
            </w:r>
          </w:p>
        </w:tc>
      </w:tr>
      <w:tr w:rsidR="00DE444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COM(2023)0930 – C9-0015/2024 – 2023/0441(CNS)</w:t>
            </w:r>
          </w:p>
        </w:tc>
      </w:tr>
      <w:tr w:rsidR="00DE444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Bevoegde commissie</w:t>
            </w:r>
          </w:p>
          <w:p w:rsidR="00251B68" w:rsidRDefault="002D3B48">
            <w:pPr>
              <w:autoSpaceDE w:val="0"/>
              <w:autoSpaceDN w:val="0"/>
              <w:adjustRightInd w:val="0"/>
              <w:rPr>
                <w:color w:val="000000"/>
                <w:sz w:val="20"/>
                <w:szCs w:val="20"/>
              </w:rPr>
            </w:pPr>
            <w:r>
              <w:rPr>
                <w:color w:val="000000"/>
                <w:sz w:val="20"/>
              </w:rPr>
              <w:t>       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LIBE</w:t>
            </w:r>
          </w:p>
          <w:p w:rsidR="00251B68" w:rsidRDefault="002D3B48">
            <w:pPr>
              <w:autoSpaceDE w:val="0"/>
              <w:autoSpaceDN w:val="0"/>
              <w:adjustRightInd w:val="0"/>
              <w:rPr>
                <w:color w:val="000000"/>
                <w:sz w:val="20"/>
                <w:szCs w:val="20"/>
              </w:rPr>
            </w:pPr>
            <w:r>
              <w:rPr>
                <w:color w:val="000000"/>
                <w:sz w:val="20"/>
              </w:rPr>
              <w:t>14.3.2024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1B68" w:rsidRDefault="00251B6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1B68" w:rsidRDefault="00251B6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1B68" w:rsidRDefault="00251B68">
            <w:pPr>
              <w:autoSpaceDE w:val="0"/>
              <w:autoSpaceDN w:val="0"/>
              <w:adjustRightInd w:val="0"/>
              <w:rPr>
                <w:rFonts w:ascii="sans-serif" w:hAnsi="sans-serif" w:cs="sans-serif"/>
                <w:color w:val="000000"/>
              </w:rPr>
            </w:pPr>
          </w:p>
        </w:tc>
      </w:tr>
      <w:tr w:rsidR="00DE444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Advies uitgebracht door</w:t>
            </w:r>
          </w:p>
          <w:p w:rsidR="00251B68" w:rsidRDefault="002D3B48">
            <w:pPr>
              <w:autoSpaceDE w:val="0"/>
              <w:autoSpaceDN w:val="0"/>
              <w:adjustRightInd w:val="0"/>
              <w:rPr>
                <w:color w:val="000000"/>
                <w:sz w:val="20"/>
                <w:szCs w:val="20"/>
              </w:rPr>
            </w:pPr>
            <w:r>
              <w:rPr>
                <w:color w:val="000000"/>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AFET</w:t>
            </w:r>
          </w:p>
          <w:p w:rsidR="00251B68" w:rsidRDefault="002D3B48">
            <w:pPr>
              <w:autoSpaceDE w:val="0"/>
              <w:autoSpaceDN w:val="0"/>
              <w:adjustRightInd w:val="0"/>
              <w:rPr>
                <w:color w:val="000000"/>
                <w:sz w:val="20"/>
                <w:szCs w:val="20"/>
              </w:rPr>
            </w:pPr>
            <w:r>
              <w:rPr>
                <w:color w:val="000000"/>
                <w:sz w:val="20"/>
              </w:rPr>
              <w:t>14.3.2024</w:t>
            </w:r>
          </w:p>
        </w:tc>
      </w:tr>
      <w:tr w:rsidR="00DE444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Rapporteur voor advies</w:t>
            </w:r>
          </w:p>
          <w:p w:rsidR="00251B68" w:rsidRDefault="002D3B48">
            <w:pPr>
              <w:autoSpaceDE w:val="0"/>
              <w:autoSpaceDN w:val="0"/>
              <w:adjustRightInd w:val="0"/>
              <w:rPr>
                <w:color w:val="000000"/>
                <w:sz w:val="20"/>
                <w:szCs w:val="20"/>
              </w:rPr>
            </w:pPr>
            <w:r>
              <w:rPr>
                <w:color w:val="000000"/>
                <w:sz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Nacho Sánchez Amor</w:t>
            </w:r>
          </w:p>
          <w:p w:rsidR="00251B68" w:rsidRDefault="002D3B48">
            <w:pPr>
              <w:autoSpaceDE w:val="0"/>
              <w:autoSpaceDN w:val="0"/>
              <w:adjustRightInd w:val="0"/>
              <w:rPr>
                <w:color w:val="000000"/>
                <w:sz w:val="20"/>
                <w:szCs w:val="20"/>
              </w:rPr>
            </w:pPr>
            <w:r>
              <w:rPr>
                <w:color w:val="000000"/>
                <w:sz w:val="20"/>
              </w:rPr>
              <w:t>20.2.2024</w:t>
            </w:r>
          </w:p>
        </w:tc>
      </w:tr>
      <w:tr w:rsidR="00DE444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Behandeling 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22.2.2024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1B68" w:rsidRDefault="00251B6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51B68" w:rsidRDefault="00251B6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1B68" w:rsidRDefault="00251B68">
            <w:pPr>
              <w:autoSpaceDE w:val="0"/>
              <w:autoSpaceDN w:val="0"/>
              <w:adjustRightInd w:val="0"/>
              <w:rPr>
                <w:rFonts w:ascii="sans-serif" w:hAnsi="sans-serif" w:cs="sans-serif"/>
                <w:color w:val="000000"/>
              </w:rPr>
            </w:pPr>
          </w:p>
        </w:tc>
      </w:tr>
      <w:tr w:rsidR="00DE444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20.3.2024</w:t>
            </w:r>
          </w:p>
        </w:tc>
        <w:tc>
          <w:tcPr>
            <w:tcW w:w="1474" w:type="dxa"/>
            <w:tcBorders>
              <w:top w:val="nil"/>
              <w:left w:val="nil"/>
              <w:bottom w:val="single" w:sz="8" w:space="0" w:color="000000"/>
              <w:right w:val="nil"/>
            </w:tcBorders>
            <w:tcMar>
              <w:top w:w="79" w:type="dxa"/>
              <w:left w:w="79" w:type="dxa"/>
              <w:bottom w:w="79" w:type="dxa"/>
              <w:right w:w="79" w:type="dxa"/>
            </w:tcMar>
          </w:tcPr>
          <w:p w:rsidR="00251B68" w:rsidRDefault="00251B6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251B68" w:rsidRDefault="00251B6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51B68" w:rsidRDefault="00251B68">
            <w:pPr>
              <w:autoSpaceDE w:val="0"/>
              <w:autoSpaceDN w:val="0"/>
              <w:adjustRightInd w:val="0"/>
              <w:rPr>
                <w:rFonts w:ascii="sans-serif" w:hAnsi="sans-serif" w:cs="sans-serif"/>
                <w:color w:val="000000"/>
              </w:rPr>
            </w:pPr>
          </w:p>
        </w:tc>
      </w:tr>
      <w:tr w:rsidR="00DE444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w:t>
            </w:r>
          </w:p>
          <w:p w:rsidR="00251B68" w:rsidRDefault="002D3B48">
            <w:pPr>
              <w:autoSpaceDE w:val="0"/>
              <w:autoSpaceDN w:val="0"/>
              <w:adjustRightInd w:val="0"/>
              <w:rPr>
                <w:color w:val="000000"/>
                <w:sz w:val="20"/>
                <w:szCs w:val="20"/>
              </w:rPr>
            </w:pPr>
            <w:r>
              <w:rPr>
                <w:color w:val="000000"/>
                <w:sz w:val="20"/>
              </w:rPr>
              <w:t>–:</w:t>
            </w:r>
          </w:p>
          <w:p w:rsidR="00251B68" w:rsidRDefault="002D3B48">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43</w:t>
            </w:r>
          </w:p>
          <w:p w:rsidR="00251B68" w:rsidRDefault="002D3B48">
            <w:pPr>
              <w:autoSpaceDE w:val="0"/>
              <w:autoSpaceDN w:val="0"/>
              <w:adjustRightInd w:val="0"/>
              <w:rPr>
                <w:color w:val="000000"/>
                <w:sz w:val="20"/>
                <w:szCs w:val="20"/>
              </w:rPr>
            </w:pPr>
            <w:r>
              <w:rPr>
                <w:color w:val="000000"/>
                <w:sz w:val="20"/>
              </w:rPr>
              <w:t>3</w:t>
            </w:r>
          </w:p>
          <w:p w:rsidR="00251B68" w:rsidRDefault="002D3B48">
            <w:pPr>
              <w:autoSpaceDE w:val="0"/>
              <w:autoSpaceDN w:val="0"/>
              <w:adjustRightInd w:val="0"/>
              <w:rPr>
                <w:color w:val="000000"/>
                <w:sz w:val="20"/>
                <w:szCs w:val="20"/>
              </w:rPr>
            </w:pPr>
            <w:r>
              <w:rPr>
                <w:color w:val="000000"/>
                <w:sz w:val="20"/>
              </w:rPr>
              <w:t>4</w:t>
            </w:r>
          </w:p>
        </w:tc>
      </w:tr>
      <w:tr w:rsidR="00DE444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 xml:space="preserve">Alviina Alametsä, Alexander Alexandrov Yordanov, Maria Arena, Traian Băsescu, Krzysztof Brejza, Reinhard Bütikofer, Susanna Ceccardi, Włodzimierz Cimoszewicz, Katalin Cseh, Michael Gahler, Kinga Gál, </w:t>
            </w:r>
            <w:r>
              <w:rPr>
                <w:color w:val="000000"/>
                <w:sz w:val="20"/>
              </w:rPr>
              <w:t>Bernard Guetta, Andrius Kubilius, David Lega, Nathalie Loiseau, Leopoldo López Gil, Lukas Mandl, Thierry Mariani, David McAllister, Vangelis Meimarakis, Sven Mikser, Alessandra Moretti, Matjaž Nemec, Demetris Papadakis, Tonino Picula, Thijs Reuten, Nacho S</w:t>
            </w:r>
            <w:r>
              <w:rPr>
                <w:color w:val="000000"/>
                <w:sz w:val="20"/>
              </w:rPr>
              <w:t>ánchez Amor, Isabel Santos, Jordi Solé, Tineke Strik, Dominik Tarczyński, Hermann Tertsch, Idoia Villanueva Ruiz, Thomas Waitz, Isabel Wiseler-Lima, Tomáš Zdechovský, Željana Zovko</w:t>
            </w:r>
          </w:p>
        </w:tc>
      </w:tr>
      <w:tr w:rsidR="00DE444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Udo Bullmann, Michael</w:t>
            </w:r>
            <w:r>
              <w:rPr>
                <w:color w:val="000000"/>
                <w:sz w:val="20"/>
              </w:rPr>
              <w:t xml:space="preserve"> Kauch, Andrey Kovatchev, Georgios Kyrtsos, Juozas Olekas, Nikos Papandreou, María Soraya Rodríguez Ramos, Mick Wallace, Javier Zarzalejos</w:t>
            </w:r>
          </w:p>
        </w:tc>
      </w:tr>
      <w:tr w:rsidR="00DE444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b/>
                <w:bCs/>
                <w:color w:val="000000"/>
                <w:sz w:val="20"/>
                <w:szCs w:val="20"/>
              </w:rPr>
            </w:pPr>
            <w:r>
              <w:rPr>
                <w:b/>
                <w:color w:val="000000"/>
                <w:sz w:val="20"/>
              </w:rPr>
              <w:t>Bij de eindstemming aanwezige plaatsvervangers (art. 209, lid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51B68" w:rsidRDefault="002D3B48">
            <w:pPr>
              <w:autoSpaceDE w:val="0"/>
              <w:autoSpaceDN w:val="0"/>
              <w:adjustRightInd w:val="0"/>
              <w:rPr>
                <w:color w:val="000000"/>
                <w:sz w:val="20"/>
                <w:szCs w:val="20"/>
              </w:rPr>
            </w:pPr>
            <w:r>
              <w:rPr>
                <w:color w:val="000000"/>
                <w:sz w:val="20"/>
              </w:rPr>
              <w:t xml:space="preserve">Theresa Bielowski, Sylvie Guillaume, Andrey </w:t>
            </w:r>
            <w:r>
              <w:rPr>
                <w:color w:val="000000"/>
                <w:sz w:val="20"/>
              </w:rPr>
              <w:t>Novakov, Juan Ignacio Zoido Álvarez</w:t>
            </w:r>
          </w:p>
        </w:tc>
      </w:tr>
    </w:tbl>
    <w:p w:rsidR="00251B68" w:rsidRPr="006038A9" w:rsidRDefault="00251B68" w:rsidP="006038A9"/>
    <w:bookmarkEnd w:id="6"/>
    <w:p w:rsidR="006038A9" w:rsidRDefault="006038A9" w:rsidP="006038A9">
      <w:pPr>
        <w:sectPr w:rsidR="006038A9" w:rsidSect="006038A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038A9" w:rsidRPr="0099178F" w:rsidRDefault="002D3B48" w:rsidP="00C36610">
      <w:pPr>
        <w:pStyle w:val="PageHeadingNotTOC"/>
      </w:pPr>
      <w:bookmarkStart w:id="7" w:name="RollCallPageAD"/>
      <w:r>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E444B" w:rsidTr="005F45A0">
        <w:trPr>
          <w:cantSplit/>
        </w:trPr>
        <w:tc>
          <w:tcPr>
            <w:tcW w:w="1701" w:type="dxa"/>
            <w:shd w:val="pct10" w:color="000000" w:fill="FFFFFF"/>
            <w:vAlign w:val="center"/>
          </w:tcPr>
          <w:p w:rsidR="006038A9" w:rsidRPr="009269FD" w:rsidRDefault="002D3B48" w:rsidP="005F45A0">
            <w:pPr>
              <w:pStyle w:val="RollCallVotes"/>
            </w:pPr>
            <w:r>
              <w:t>43</w:t>
            </w:r>
          </w:p>
        </w:tc>
        <w:tc>
          <w:tcPr>
            <w:tcW w:w="7371" w:type="dxa"/>
            <w:shd w:val="pct10" w:color="000000" w:fill="FFFFFF"/>
          </w:tcPr>
          <w:p w:rsidR="006038A9" w:rsidRPr="009269FD" w:rsidRDefault="002D3B48" w:rsidP="005F45A0">
            <w:pPr>
              <w:pStyle w:val="RollCallSymbols14pt"/>
            </w:pPr>
            <w:r>
              <w:t>+</w:t>
            </w:r>
          </w:p>
        </w:tc>
      </w:tr>
      <w:tr w:rsidR="00DE444B" w:rsidTr="005F45A0">
        <w:trPr>
          <w:cantSplit/>
        </w:trPr>
        <w:tc>
          <w:tcPr>
            <w:tcW w:w="1701" w:type="dxa"/>
            <w:shd w:val="clear" w:color="auto" w:fill="FFFFFF"/>
          </w:tcPr>
          <w:p w:rsidR="006038A9" w:rsidRPr="009269FD" w:rsidRDefault="002D3B48" w:rsidP="005F45A0">
            <w:pPr>
              <w:pStyle w:val="RollCallTable"/>
            </w:pPr>
            <w:r>
              <w:t>PPE</w:t>
            </w:r>
          </w:p>
        </w:tc>
        <w:tc>
          <w:tcPr>
            <w:tcW w:w="7371" w:type="dxa"/>
            <w:shd w:val="clear" w:color="auto" w:fill="FFFFFF"/>
          </w:tcPr>
          <w:p w:rsidR="006038A9" w:rsidRPr="009269FD" w:rsidRDefault="002D3B48" w:rsidP="005F45A0">
            <w:pPr>
              <w:pStyle w:val="RollCallTable"/>
            </w:pPr>
            <w:r>
              <w:t>Alexander Alexandrov Yordanov, Traian Băsescu, Krzysztof Brejza, Michael Gahler, Andrey Kovatchev, Andrius Kubilius, Leopoldo</w:t>
            </w:r>
            <w:r>
              <w:t xml:space="preserve"> López Gil, David McAllister, Lukas Mandl, Vangelis Meimarakis, Andrey Novakov, Isabel Wiseler-Lima, Javier Zarzalejos, Tomáš Zdechovský, Juan Ignacio Zoido Álvarez, Željana Zovko</w:t>
            </w:r>
          </w:p>
        </w:tc>
      </w:tr>
      <w:tr w:rsidR="00DE444B" w:rsidTr="005F45A0">
        <w:trPr>
          <w:cantSplit/>
        </w:trPr>
        <w:tc>
          <w:tcPr>
            <w:tcW w:w="1701" w:type="dxa"/>
            <w:shd w:val="clear" w:color="auto" w:fill="FFFFFF"/>
          </w:tcPr>
          <w:p w:rsidR="006038A9" w:rsidRPr="009269FD" w:rsidRDefault="002D3B48" w:rsidP="005F45A0">
            <w:pPr>
              <w:pStyle w:val="RollCallTable"/>
            </w:pPr>
            <w:r>
              <w:t>Renew</w:t>
            </w:r>
          </w:p>
        </w:tc>
        <w:tc>
          <w:tcPr>
            <w:tcW w:w="7371" w:type="dxa"/>
            <w:shd w:val="clear" w:color="auto" w:fill="FFFFFF"/>
          </w:tcPr>
          <w:p w:rsidR="006038A9" w:rsidRPr="009269FD" w:rsidRDefault="002D3B48" w:rsidP="005F45A0">
            <w:pPr>
              <w:pStyle w:val="RollCallTable"/>
            </w:pPr>
            <w:r>
              <w:t>Katalin Cseh, Bernard Guetta, Michael Kauch, Georgios Kyrtsos, Nathal</w:t>
            </w:r>
            <w:r>
              <w:t>ie Loiseau, María Soraya Rodríguez Ramos</w:t>
            </w:r>
          </w:p>
        </w:tc>
      </w:tr>
      <w:tr w:rsidR="00DE444B" w:rsidTr="005F45A0">
        <w:trPr>
          <w:cantSplit/>
        </w:trPr>
        <w:tc>
          <w:tcPr>
            <w:tcW w:w="1701" w:type="dxa"/>
            <w:shd w:val="clear" w:color="auto" w:fill="FFFFFF"/>
          </w:tcPr>
          <w:p w:rsidR="006038A9" w:rsidRPr="009269FD" w:rsidRDefault="002D3B48" w:rsidP="005F45A0">
            <w:pPr>
              <w:pStyle w:val="RollCallTable"/>
            </w:pPr>
            <w:r>
              <w:t>S&amp;D</w:t>
            </w:r>
          </w:p>
        </w:tc>
        <w:tc>
          <w:tcPr>
            <w:tcW w:w="7371" w:type="dxa"/>
            <w:shd w:val="clear" w:color="auto" w:fill="FFFFFF"/>
          </w:tcPr>
          <w:p w:rsidR="006038A9" w:rsidRPr="009269FD" w:rsidRDefault="002D3B48" w:rsidP="005F45A0">
            <w:pPr>
              <w:pStyle w:val="RollCallTable"/>
            </w:pPr>
            <w:r>
              <w:t xml:space="preserve">Maria Arena, Theresa Bielowski, Udo Bullmann, Włodzimierz Cimoszewicz, Sylvie Guillaume, Sven Mikser, Alessandra Moretti, Matjaž Nemec, Juozas Olekas, Demetris Papadakis, Nikos Papandreou, Tonino Picula, Thijs </w:t>
            </w:r>
            <w:r>
              <w:t>Reuten, Nacho Sánchez Amor, Isabel Santos</w:t>
            </w:r>
          </w:p>
        </w:tc>
      </w:tr>
      <w:tr w:rsidR="00DE444B" w:rsidTr="005F45A0">
        <w:trPr>
          <w:cantSplit/>
        </w:trPr>
        <w:tc>
          <w:tcPr>
            <w:tcW w:w="1701" w:type="dxa"/>
            <w:shd w:val="clear" w:color="auto" w:fill="FFFFFF"/>
          </w:tcPr>
          <w:p w:rsidR="006038A9" w:rsidRPr="009269FD" w:rsidRDefault="002D3B48" w:rsidP="005F45A0">
            <w:pPr>
              <w:pStyle w:val="RollCallTable"/>
            </w:pPr>
            <w:r>
              <w:t>The Left</w:t>
            </w:r>
          </w:p>
        </w:tc>
        <w:tc>
          <w:tcPr>
            <w:tcW w:w="7371" w:type="dxa"/>
            <w:shd w:val="clear" w:color="auto" w:fill="FFFFFF"/>
          </w:tcPr>
          <w:p w:rsidR="006038A9" w:rsidRPr="009269FD" w:rsidRDefault="002D3B48" w:rsidP="005F45A0">
            <w:pPr>
              <w:pStyle w:val="RollCallTable"/>
            </w:pPr>
            <w:r>
              <w:t>Idoia Villanueva Ruiz</w:t>
            </w:r>
          </w:p>
        </w:tc>
      </w:tr>
      <w:tr w:rsidR="00DE444B" w:rsidTr="005F45A0">
        <w:trPr>
          <w:cantSplit/>
        </w:trPr>
        <w:tc>
          <w:tcPr>
            <w:tcW w:w="1701" w:type="dxa"/>
            <w:shd w:val="clear" w:color="auto" w:fill="FFFFFF"/>
          </w:tcPr>
          <w:p w:rsidR="006038A9" w:rsidRPr="009269FD" w:rsidRDefault="002D3B48" w:rsidP="005F45A0">
            <w:pPr>
              <w:pStyle w:val="RollCallTable"/>
            </w:pPr>
            <w:r>
              <w:t>Verts/ALE</w:t>
            </w:r>
          </w:p>
        </w:tc>
        <w:tc>
          <w:tcPr>
            <w:tcW w:w="7371" w:type="dxa"/>
            <w:shd w:val="clear" w:color="auto" w:fill="FFFFFF"/>
          </w:tcPr>
          <w:p w:rsidR="006038A9" w:rsidRPr="009269FD" w:rsidRDefault="002D3B48" w:rsidP="005F45A0">
            <w:pPr>
              <w:pStyle w:val="RollCallTable"/>
            </w:pPr>
            <w:r>
              <w:t>Alviina Alametsä, Reinhard Bütikofer, Jordi Solé, Tineke Strik, Thomas Waitz</w:t>
            </w:r>
          </w:p>
        </w:tc>
      </w:tr>
    </w:tbl>
    <w:p w:rsidR="006038A9" w:rsidRPr="009269FD" w:rsidRDefault="006038A9" w:rsidP="006038A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E444B" w:rsidTr="005F45A0">
        <w:trPr>
          <w:cantSplit/>
        </w:trPr>
        <w:tc>
          <w:tcPr>
            <w:tcW w:w="1701" w:type="dxa"/>
            <w:shd w:val="pct10" w:color="000000" w:fill="FFFFFF"/>
            <w:vAlign w:val="center"/>
          </w:tcPr>
          <w:p w:rsidR="006038A9" w:rsidRPr="009269FD" w:rsidRDefault="002D3B48" w:rsidP="005F45A0">
            <w:pPr>
              <w:pStyle w:val="RollCallVotes"/>
            </w:pPr>
            <w:r>
              <w:t>3</w:t>
            </w:r>
          </w:p>
        </w:tc>
        <w:tc>
          <w:tcPr>
            <w:tcW w:w="7371" w:type="dxa"/>
            <w:shd w:val="pct10" w:color="000000" w:fill="FFFFFF"/>
          </w:tcPr>
          <w:p w:rsidR="006038A9" w:rsidRPr="009269FD" w:rsidRDefault="002D3B48" w:rsidP="005F45A0">
            <w:pPr>
              <w:pStyle w:val="RollCallSymbols14pt"/>
            </w:pPr>
            <w:r>
              <w:t>-</w:t>
            </w:r>
          </w:p>
        </w:tc>
      </w:tr>
      <w:tr w:rsidR="00DE444B" w:rsidTr="005F45A0">
        <w:trPr>
          <w:cantSplit/>
        </w:trPr>
        <w:tc>
          <w:tcPr>
            <w:tcW w:w="1701" w:type="dxa"/>
            <w:shd w:val="clear" w:color="auto" w:fill="FFFFFF"/>
          </w:tcPr>
          <w:p w:rsidR="006038A9" w:rsidRPr="009269FD" w:rsidRDefault="002D3B48" w:rsidP="005F45A0">
            <w:pPr>
              <w:pStyle w:val="RollCallTable"/>
            </w:pPr>
            <w:r>
              <w:t>ECR</w:t>
            </w:r>
          </w:p>
        </w:tc>
        <w:tc>
          <w:tcPr>
            <w:tcW w:w="7371" w:type="dxa"/>
            <w:shd w:val="clear" w:color="auto" w:fill="FFFFFF"/>
          </w:tcPr>
          <w:p w:rsidR="006038A9" w:rsidRPr="009269FD" w:rsidRDefault="002D3B48" w:rsidP="005F45A0">
            <w:pPr>
              <w:pStyle w:val="RollCallTable"/>
            </w:pPr>
            <w:r>
              <w:t>Dominik Tarczyński, Hermann Tertsch</w:t>
            </w:r>
          </w:p>
        </w:tc>
      </w:tr>
      <w:tr w:rsidR="00DE444B" w:rsidTr="005F45A0">
        <w:trPr>
          <w:cantSplit/>
        </w:trPr>
        <w:tc>
          <w:tcPr>
            <w:tcW w:w="1701" w:type="dxa"/>
            <w:shd w:val="clear" w:color="auto" w:fill="FFFFFF"/>
          </w:tcPr>
          <w:p w:rsidR="006038A9" w:rsidRPr="009269FD" w:rsidRDefault="002D3B48" w:rsidP="005F45A0">
            <w:pPr>
              <w:pStyle w:val="RollCallTable"/>
            </w:pPr>
            <w:r>
              <w:t>ID</w:t>
            </w:r>
          </w:p>
        </w:tc>
        <w:tc>
          <w:tcPr>
            <w:tcW w:w="7371" w:type="dxa"/>
            <w:shd w:val="clear" w:color="auto" w:fill="FFFFFF"/>
          </w:tcPr>
          <w:p w:rsidR="006038A9" w:rsidRPr="009269FD" w:rsidRDefault="002D3B48" w:rsidP="005F45A0">
            <w:pPr>
              <w:pStyle w:val="RollCallTable"/>
            </w:pPr>
            <w:r>
              <w:t>Thierry Mariani</w:t>
            </w:r>
          </w:p>
        </w:tc>
      </w:tr>
    </w:tbl>
    <w:p w:rsidR="006038A9" w:rsidRPr="009269FD" w:rsidRDefault="006038A9" w:rsidP="006038A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E444B" w:rsidTr="005F45A0">
        <w:trPr>
          <w:cantSplit/>
        </w:trPr>
        <w:tc>
          <w:tcPr>
            <w:tcW w:w="1701" w:type="dxa"/>
            <w:shd w:val="pct10" w:color="000000" w:fill="FFFFFF"/>
            <w:vAlign w:val="center"/>
          </w:tcPr>
          <w:p w:rsidR="006038A9" w:rsidRPr="009269FD" w:rsidRDefault="002D3B48" w:rsidP="005F45A0">
            <w:pPr>
              <w:pStyle w:val="RollCallVotes"/>
            </w:pPr>
            <w:r>
              <w:t>4</w:t>
            </w:r>
          </w:p>
        </w:tc>
        <w:tc>
          <w:tcPr>
            <w:tcW w:w="7371" w:type="dxa"/>
            <w:shd w:val="pct10" w:color="000000" w:fill="FFFFFF"/>
          </w:tcPr>
          <w:p w:rsidR="006038A9" w:rsidRPr="009269FD" w:rsidRDefault="002D3B48" w:rsidP="005F45A0">
            <w:pPr>
              <w:pStyle w:val="RollCallSymbols14pt"/>
            </w:pPr>
            <w:r>
              <w:t>0</w:t>
            </w:r>
          </w:p>
        </w:tc>
      </w:tr>
      <w:tr w:rsidR="00DE444B" w:rsidTr="005F45A0">
        <w:trPr>
          <w:cantSplit/>
        </w:trPr>
        <w:tc>
          <w:tcPr>
            <w:tcW w:w="1701" w:type="dxa"/>
            <w:shd w:val="clear" w:color="auto" w:fill="FFFFFF"/>
          </w:tcPr>
          <w:p w:rsidR="006038A9" w:rsidRPr="009269FD" w:rsidRDefault="002D3B48" w:rsidP="005F45A0">
            <w:pPr>
              <w:pStyle w:val="RollCallTable"/>
            </w:pPr>
            <w:r>
              <w:t>ID</w:t>
            </w:r>
          </w:p>
        </w:tc>
        <w:tc>
          <w:tcPr>
            <w:tcW w:w="7371" w:type="dxa"/>
            <w:shd w:val="clear" w:color="auto" w:fill="FFFFFF"/>
          </w:tcPr>
          <w:p w:rsidR="006038A9" w:rsidRPr="009269FD" w:rsidRDefault="002D3B48" w:rsidP="005F45A0">
            <w:pPr>
              <w:pStyle w:val="RollCallTable"/>
            </w:pPr>
            <w:r>
              <w:t>Susanna Ceccardi</w:t>
            </w:r>
          </w:p>
        </w:tc>
      </w:tr>
      <w:tr w:rsidR="00DE444B" w:rsidTr="005F45A0">
        <w:trPr>
          <w:cantSplit/>
        </w:trPr>
        <w:tc>
          <w:tcPr>
            <w:tcW w:w="1701" w:type="dxa"/>
            <w:shd w:val="clear" w:color="auto" w:fill="FFFFFF"/>
          </w:tcPr>
          <w:p w:rsidR="006038A9" w:rsidRPr="009269FD" w:rsidRDefault="002D3B48" w:rsidP="005F45A0">
            <w:pPr>
              <w:pStyle w:val="RollCallTable"/>
            </w:pPr>
            <w:r>
              <w:t>NI</w:t>
            </w:r>
          </w:p>
        </w:tc>
        <w:tc>
          <w:tcPr>
            <w:tcW w:w="7371" w:type="dxa"/>
            <w:shd w:val="clear" w:color="auto" w:fill="FFFFFF"/>
          </w:tcPr>
          <w:p w:rsidR="006038A9" w:rsidRPr="009269FD" w:rsidRDefault="002D3B48" w:rsidP="005F45A0">
            <w:pPr>
              <w:pStyle w:val="RollCallTable"/>
            </w:pPr>
            <w:r>
              <w:t>Kinga Gál</w:t>
            </w:r>
          </w:p>
        </w:tc>
      </w:tr>
      <w:tr w:rsidR="00DE444B" w:rsidTr="005F45A0">
        <w:trPr>
          <w:cantSplit/>
        </w:trPr>
        <w:tc>
          <w:tcPr>
            <w:tcW w:w="1701" w:type="dxa"/>
            <w:shd w:val="clear" w:color="auto" w:fill="FFFFFF"/>
          </w:tcPr>
          <w:p w:rsidR="006038A9" w:rsidRPr="009269FD" w:rsidRDefault="002D3B48" w:rsidP="005F45A0">
            <w:pPr>
              <w:pStyle w:val="RollCallTable"/>
            </w:pPr>
            <w:r>
              <w:t>PPE</w:t>
            </w:r>
          </w:p>
        </w:tc>
        <w:tc>
          <w:tcPr>
            <w:tcW w:w="7371" w:type="dxa"/>
            <w:shd w:val="clear" w:color="auto" w:fill="FFFFFF"/>
          </w:tcPr>
          <w:p w:rsidR="006038A9" w:rsidRPr="009269FD" w:rsidRDefault="002D3B48" w:rsidP="005F45A0">
            <w:pPr>
              <w:pStyle w:val="RollCallTable"/>
            </w:pPr>
            <w:r>
              <w:t>David Lega</w:t>
            </w:r>
          </w:p>
        </w:tc>
      </w:tr>
      <w:tr w:rsidR="00DE444B" w:rsidTr="005F45A0">
        <w:trPr>
          <w:cantSplit/>
        </w:trPr>
        <w:tc>
          <w:tcPr>
            <w:tcW w:w="1701" w:type="dxa"/>
            <w:shd w:val="clear" w:color="auto" w:fill="FFFFFF"/>
          </w:tcPr>
          <w:p w:rsidR="006038A9" w:rsidRPr="009269FD" w:rsidRDefault="002D3B48" w:rsidP="005F45A0">
            <w:pPr>
              <w:pStyle w:val="RollCallTable"/>
            </w:pPr>
            <w:r>
              <w:t>The Left</w:t>
            </w:r>
          </w:p>
        </w:tc>
        <w:tc>
          <w:tcPr>
            <w:tcW w:w="7371" w:type="dxa"/>
            <w:shd w:val="clear" w:color="auto" w:fill="FFFFFF"/>
          </w:tcPr>
          <w:p w:rsidR="006038A9" w:rsidRPr="009269FD" w:rsidRDefault="002D3B48" w:rsidP="005F45A0">
            <w:pPr>
              <w:pStyle w:val="RollCallTable"/>
            </w:pPr>
            <w:r>
              <w:t>Mick Wallace</w:t>
            </w:r>
          </w:p>
        </w:tc>
      </w:tr>
    </w:tbl>
    <w:p w:rsidR="006038A9" w:rsidRDefault="006038A9" w:rsidP="00147FBF">
      <w:pPr>
        <w:pStyle w:val="Normal12a"/>
      </w:pPr>
    </w:p>
    <w:p w:rsidR="006038A9" w:rsidRDefault="002D3B48" w:rsidP="00B735E3">
      <w:r>
        <w:t>Verklaring van de gebruikte tekens:</w:t>
      </w:r>
    </w:p>
    <w:p w:rsidR="006038A9" w:rsidRDefault="002D3B48" w:rsidP="003858C5">
      <w:pPr>
        <w:pStyle w:val="RollCallTabs"/>
      </w:pPr>
      <w:r>
        <w:t>+</w:t>
      </w:r>
      <w:r>
        <w:tab/>
        <w:t>:</w:t>
      </w:r>
      <w:r>
        <w:tab/>
        <w:t>voor</w:t>
      </w:r>
    </w:p>
    <w:p w:rsidR="006038A9" w:rsidRDefault="002D3B48" w:rsidP="003858C5">
      <w:pPr>
        <w:pStyle w:val="RollCallTabs"/>
      </w:pPr>
      <w:r>
        <w:t>-</w:t>
      </w:r>
      <w:r>
        <w:tab/>
        <w:t>:</w:t>
      </w:r>
      <w:r>
        <w:tab/>
        <w:t>tegen</w:t>
      </w:r>
    </w:p>
    <w:p w:rsidR="006038A9" w:rsidRDefault="002D3B48" w:rsidP="003858C5">
      <w:pPr>
        <w:pStyle w:val="RollCallTabs"/>
      </w:pPr>
      <w:r>
        <w:t>0</w:t>
      </w:r>
      <w:r>
        <w:tab/>
        <w:t>:</w:t>
      </w:r>
      <w:r>
        <w:tab/>
        <w:t>onthouding</w:t>
      </w:r>
    </w:p>
    <w:p w:rsidR="006038A9" w:rsidRDefault="006038A9" w:rsidP="00207509"/>
    <w:bookmarkEnd w:id="7"/>
    <w:p w:rsidR="00DB56E4" w:rsidRPr="006038A9" w:rsidRDefault="00DB56E4" w:rsidP="006038A9"/>
    <w:sectPr w:rsidR="00DB56E4" w:rsidRPr="006038A9" w:rsidSect="006038A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D3B48">
      <w:r>
        <w:separator/>
      </w:r>
    </w:p>
  </w:endnote>
  <w:endnote w:type="continuationSeparator" w:id="0">
    <w:p w:rsidR="00000000" w:rsidRDefault="002D3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B68" w:rsidRDefault="002D3B48" w:rsidP="00251B68">
    <w:pPr>
      <w:pStyle w:val="EPFooter"/>
    </w:pPr>
    <w:r>
      <w:t>PE</w:t>
    </w:r>
    <w:r w:rsidRPr="00251B68">
      <w:rPr>
        <w:rStyle w:val="HideTWBExt"/>
      </w:rPr>
      <w:t>&lt;NoPE&gt;</w:t>
    </w:r>
    <w:r>
      <w:t>758.853</w:t>
    </w:r>
    <w:r w:rsidRPr="00251B68">
      <w:rPr>
        <w:rStyle w:val="HideTWBExt"/>
      </w:rPr>
      <w:t>&lt;/NoPE&gt;&lt;Version&gt;</w:t>
    </w:r>
    <w:r>
      <w:t>v02-00</w:t>
    </w:r>
    <w:r w:rsidRPr="00251B68">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25</w:t>
      </w:r>
    </w:fldSimple>
    <w:r>
      <w:tab/>
    </w:r>
    <w:r w:rsidRPr="00251B68">
      <w:rPr>
        <w:rStyle w:val="HideTWBExt"/>
      </w:rPr>
      <w:t>&lt;PathFdR&gt;</w:t>
    </w:r>
    <w:r>
      <w:t>AD\1299352NL.docx</w:t>
    </w:r>
    <w:r w:rsidRPr="00251B68">
      <w:rPr>
        <w:rStyle w:val="HideTWBExt"/>
      </w:rPr>
      <w:t>&lt;/PathFdR&gt;</w:t>
    </w:r>
  </w:p>
  <w:p w:rsidR="0004333E" w:rsidRPr="002B2BC5" w:rsidRDefault="002D3B48" w:rsidP="00251B68">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B68" w:rsidRDefault="002D3B48" w:rsidP="00251B68">
    <w:pPr>
      <w:pStyle w:val="EPFooter"/>
    </w:pPr>
    <w:r w:rsidRPr="00251B68">
      <w:rPr>
        <w:rStyle w:val="HideTWBExt"/>
      </w:rPr>
      <w:t>&lt;PathFdR&gt;</w:t>
    </w:r>
    <w:r>
      <w:t>AD\1299352NL.docx</w:t>
    </w:r>
    <w:r w:rsidRPr="00251B68">
      <w:rPr>
        <w:rStyle w:val="HideTWBExt"/>
      </w:rPr>
      <w:t>&lt;/PathFdR&gt;</w:t>
    </w:r>
    <w:r>
      <w:tab/>
    </w:r>
    <w:r>
      <w:fldChar w:fldCharType="begin"/>
    </w:r>
    <w:r>
      <w:instrText xml:space="preserve"> PAGE  \* MERGEFORMAT </w:instrText>
    </w:r>
    <w:r>
      <w:fldChar w:fldCharType="separate"/>
    </w:r>
    <w:r>
      <w:rPr>
        <w:noProof/>
      </w:rPr>
      <w:t>23</w:t>
    </w:r>
    <w:r>
      <w:fldChar w:fldCharType="end"/>
    </w:r>
    <w:r>
      <w:t>/</w:t>
    </w:r>
    <w:fldSimple w:instr=" NUMPAGES  \* MERGEFORMAT ">
      <w:r>
        <w:rPr>
          <w:noProof/>
        </w:rPr>
        <w:t>25</w:t>
      </w:r>
    </w:fldSimple>
    <w:r>
      <w:tab/>
      <w:t>PE</w:t>
    </w:r>
    <w:r w:rsidRPr="00251B68">
      <w:rPr>
        <w:rStyle w:val="HideTWBExt"/>
      </w:rPr>
      <w:t>&lt;NoPE&gt;</w:t>
    </w:r>
    <w:r>
      <w:t>758.853</w:t>
    </w:r>
    <w:r w:rsidRPr="00251B68">
      <w:rPr>
        <w:rStyle w:val="HideTWBExt"/>
      </w:rPr>
      <w:t>&lt;/NoPE&gt;&lt;Version&gt;</w:t>
    </w:r>
    <w:r>
      <w:t>v02-00</w:t>
    </w:r>
    <w:r w:rsidRPr="00251B68">
      <w:rPr>
        <w:rStyle w:val="HideTWBExt"/>
      </w:rPr>
      <w:t>&lt;/Version&gt;</w:t>
    </w:r>
  </w:p>
  <w:p w:rsidR="0004333E" w:rsidRPr="002B2BC5" w:rsidRDefault="002D3B48" w:rsidP="00251B68">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1B68" w:rsidRDefault="002D3B48" w:rsidP="00251B68">
    <w:pPr>
      <w:pStyle w:val="EPFooter"/>
    </w:pPr>
    <w:r w:rsidRPr="00251B68">
      <w:rPr>
        <w:rStyle w:val="HideTWBExt"/>
      </w:rPr>
      <w:t>&lt;PathFdR&gt;</w:t>
    </w:r>
    <w:r>
      <w:t>AD\1299352NL.docx</w:t>
    </w:r>
    <w:r w:rsidRPr="00251B68">
      <w:rPr>
        <w:rStyle w:val="HideTWBExt"/>
      </w:rPr>
      <w:t>&lt;/PathFdR&gt;</w:t>
    </w:r>
    <w:r>
      <w:tab/>
    </w:r>
    <w:r>
      <w:tab/>
      <w:t>PE</w:t>
    </w:r>
    <w:r w:rsidRPr="00251B68">
      <w:rPr>
        <w:rStyle w:val="HideTWBExt"/>
      </w:rPr>
      <w:t>&lt;NoPE&gt;</w:t>
    </w:r>
    <w:r>
      <w:t>758.853</w:t>
    </w:r>
    <w:r w:rsidRPr="00251B68">
      <w:rPr>
        <w:rStyle w:val="HideTWBExt"/>
      </w:rPr>
      <w:t>&lt;/NoPE&gt;&lt;Version&gt;</w:t>
    </w:r>
    <w:r>
      <w:t>v02-00</w:t>
    </w:r>
    <w:r w:rsidRPr="00251B68">
      <w:rPr>
        <w:rStyle w:val="HideTWBExt"/>
      </w:rPr>
      <w:t>&lt;/Version&gt;</w:t>
    </w:r>
  </w:p>
  <w:p w:rsidR="0004333E" w:rsidRPr="002B2BC5" w:rsidRDefault="002D3B48" w:rsidP="00251B68">
    <w:pPr>
      <w:pStyle w:val="EPFooter2"/>
    </w:pPr>
    <w:r>
      <w:t>NL</w:t>
    </w:r>
    <w:r>
      <w:tab/>
    </w:r>
    <w:r w:rsidRPr="00251B68">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D3B48">
      <w:r>
        <w:separator/>
      </w:r>
    </w:p>
  </w:footnote>
  <w:footnote w:type="continuationSeparator" w:id="0">
    <w:p w:rsidR="00000000" w:rsidRDefault="002D3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8A9" w:rsidRDefault="006038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8A9" w:rsidRDefault="006038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8A9" w:rsidRDefault="006038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25860B6"/>
    <w:lvl w:ilvl="0">
      <w:start w:val="1"/>
      <w:numFmt w:val="bullet"/>
      <w:pStyle w:val="ListBullet4"/>
      <w:lvlText w:val=""/>
      <w:lvlJc w:val="left"/>
      <w:pPr>
        <w:tabs>
          <w:tab w:val="num" w:pos="1209"/>
        </w:tabs>
        <w:ind w:left="1209"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2MNU" w:val=" 2"/>
    <w:docVar w:name="AMACTMNU" w:val=" 1"/>
    <w:docVar w:name="AMPLURMNU" w:val=" 1"/>
    <w:docVar w:name="CJMNU" w:val="1"/>
    <w:docVar w:name="CODEMNU" w:val=" 2"/>
    <w:docVar w:name="COM2KEY" w:val="LIBE"/>
    <w:docVar w:name="COMKEY" w:val="AFET"/>
    <w:docVar w:name="CONTRIBUTIONMNU" w:val=" 1"/>
    <w:docVar w:name="CVA" w:val="16"/>
    <w:docVar w:name="DOC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16"/>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588505 HideTWBInt;}}{\*\rsidtbl \rsid24658\rsid223860\rsid735077\rsid1718133\rsid2892074\rsid3565327_x000d__x000a_\rsid4666813\rsid6641733\rsid7823322\rsid9636012\rsid10298529\rsid10377208\rsid11215221\rsid11549030\rsid12154954\rsid14382809\rsid14424199\rsid15204470\rsid15285974\rsid15950462\rsid16324206\rsid16588505\rsid16662270}{\mmathPr\mmathFont34\mbrkBin0_x000d__x000a_\mbrkBinSub0\msmallFrac0\mdispDef1\mlMargin0\mrMargin0\mdefJc1\mwrapIndent1440\mintLim0\mnaryLim1}{\info{\author VENDE Valerie}{\operator VENDE Valerie}{\creatim\yr2024\mo2\dy21\hr16\min50}{\revtim\yr2024\mo2\dy21\hr16\min50}{\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588505\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0298529 \chftnsep _x000d__x000a_\par }}{\*\ftnsepc \ltrpar \pard\plain \ltrpar\ql \li0\ri0\widctlpar\wrapdefault\aspalpha\aspnum\faauto\adjustright\rin0\lin0\itap0 \rtlch\fcs1 \af0\afs20\alang1025 \ltrch\fcs0 \fs24\lang2057\langfe2057\cgrid\langnp2057\langfenp2057 {\rtlch\fcs1 \af0 _x000d__x000a_\ltrch\fcs0 \insrsid10298529 \chftnsepc _x000d__x000a_\par }}{\*\aftnsep \ltrpar \pard\plain \ltrpar\ql \li0\ri0\widctlpar\wrapdefault\aspalpha\aspnum\faauto\adjustright\rin0\lin0\itap0 \rtlch\fcs1 \af0\afs20\alang1025 \ltrch\fcs0 \fs24\lang2057\langfe2057\cgrid\langnp2057\langfenp2057 {\rtlch\fcs1 \af0 _x000d__x000a_\ltrch\fcs0 \insrsid10298529 \chftnsep _x000d__x000a_\par }}{\*\aftnsepc \ltrpar \pard\plain \ltrpar\ql \li0\ri0\widctlpar\wrapdefault\aspalpha\aspnum\faauto\adjustright\rin0\lin0\itap0 \rtlch\fcs1 \af0\afs20\alang1025 \ltrch\fcs0 \fs24\lang2057\langfe2057\cgrid\langnp2057\langfenp2057 {\rtlch\fcs1 \af0 _x000d__x000a_\ltrch\fcs0 \insrsid102985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588505\charrsid13580811 {\*\bkmkstart ReplaceBookmark}#}{\rtlch\fcs1 \af1 \ltrch\fcs0 _x000d__x000a_\cs17\v\f1\fs20\cf15\insrsid16588505\charrsid13580811 &gt;&gt;&gt;CVAR@@AmendA}{\rtlch\fcs1 \af0 \ltrch\fcs0 \insrsid16588505\charrsid1358081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10_x000d__x000a_24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74702 HideTWBExt;}{_x000d__x000a_\s18\ql \li0\ri0\sa120\nowidctlpar\wrapdefault\aspalpha\aspnum\faauto\adjustright\rin0\lin0\itap0 \rtlch\fcs1 \af0\afs20\alang1025 \ltrch\fcs0 \fs24\lang2057\langfe2057\cgrid\langnp2057\langfenp2057 \sbasedon0 \snext18 \spriority0 \styrsid15674702 _x000d__x000a_Normal6a;}{\s19\ql \li0\ri0\nowidctlpar\wrapdefault\aspalpha\aspnum\faauto\adjustright\rin0\lin0\itap0 \rtlch\fcs1 \af0\afs20\alang1025 \ltrch\fcs0 \b\fs24\lang2057\langfe2057\cgrid\langnp2057\langfenp2057 \sbasedon0 \snext19 \spriority0 \styrsid15674702 _x000d__x000a_NormalBold;}{\*\cs20 \additive \v\f1\fs20\cf15 \spriority0 \styrsid15674702 HideTWBInt;}{\s21\qr \li0\ri0\sb240\sa240\nowidctlpar\wrapdefault\aspalpha\aspnum\faauto\adjustright\rin0\lin0\itap0 \rtlch\fcs1 \af0\afs20\alang1025 \ltrch\fcs0 _x000d__x000a_\fs24\lang2057\langfe2057\cgrid\langnp2057\langfenp2057 \sbasedon0 \snext21 \spriority0 \styrsid15674702 AmOrLang;}{\s22\qc \li0\ri0\sa240\nowidctlpar\wrapdefault\aspalpha\aspnum\faauto\adjustright\rin0\lin0\itap0 \rtlch\fcs1 \af0\afs20\alang1025 _x000d__x000a_\ltrch\fcs0 \i\fs24\lang2057\langfe2057\cgrid\langnp2057\langfenp2057 \sbasedon0 \snext22 \spriority0 \styrsid1567470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674702 AmNumberTabs;}{\s24\ql \li0\ri0\sb240\nowidctlpar\wrapdefault\aspalpha\aspnum\faauto\adjustright\rin0\lin0\itap0 \rtlch\fcs1 _x000d__x000a_\af0\afs20\alang1025 \ltrch\fcs0 \b\fs24\lang2057\langfe2057\cgrid\langnp2057\langfenp2057 \sbasedon0 \snext24 \spriority0 \styrsid15674702 NormalBold12b;}}{\*\rsidtbl \rsid24658\rsid223860\rsid735077\rsid1718133\rsid2892074\rsid3565327\rsid3740316_x000d__x000a_\rsid4666813\rsid6641733\rsid7823322\rsid9636012\rsid10377208\rsid11215221\rsid11549030\rsid12154954\rsid14382809\rsid14424199\rsid15204470\rsid15285974\rsid15674702\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15674702\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3740316 \chftnsep _x000d__x000a_\par }}{\*\ftnsepc \ltrpar \pard\plain \ltrpar\ql \li0\ri0\widctlpar\wrapdefault\aspalpha\aspnum\faauto\adjustright\rin0\lin0\itap0 \rtlch\fcs1 \af0\afs20\alang1025 \ltrch\fcs0 \fs24\lang2057\langfe2057\cgrid\langnp2057\langfenp2057 {\rtlch\fcs1 \af0 _x000d__x000a_\ltrch\fcs0 \insrsid3740316 \chftnsepc _x000d__x000a_\par }}{\*\aftnsep \ltrpar \pard\plain \ltrpar\ql \li0\ri0\widctlpar\wrapdefault\aspalpha\aspnum\faauto\adjustright\rin0\lin0\itap0 \rtlch\fcs1 \af0\afs20\alang1025 \ltrch\fcs0 \fs24\lang2057\langfe2057\cgrid\langnp2057\langfenp2057 {\rtlch\fcs1 \af0 _x000d__x000a_\ltrch\fcs0 \insrsid3740316 \chftnsep _x000d__x000a_\par }}{\*\aftnsepc \ltrpar \pard\plain \ltrpar\ql \li0\ri0\widctlpar\wrapdefault\aspalpha\aspnum\faauto\adjustright\rin0\lin0\itap0 \rtlch\fcs1 \af0\afs20\alang1025 \ltrch\fcs0 \fs24\lang2057\langfe2057\cgrid\langnp2057\langfenp2057 {\rtlch\fcs1 \af0 _x000d__x000a_\ltrch\fcs0 \insrsid37403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674702 \rtlch\fcs1 _x000d__x000a_\af0\afs20\alang1025 \ltrch\fcs0 \b\fs24\lang2057\langfe2057\cgrid\langnp2057\langfenp2057 {\rtlch\fcs1 \af0 \ltrch\fcs0 \cs17\b0\v\fs20\cf9\lang1024\langfe1024\loch\af1\hich\af1\dbch\af31501\noproof\insrsid15674702\charrsid4930716 {\*\bkmkstart restartA}_x000d__x000a_\hich\af1\dbch\af31501\loch\f1 &lt;AmendA&gt;}{\rtlch\fcs1 \af0 \ltrch\fcs0 \insrsid15674702\charrsid4930716 Amendment\tab \tab }{\rtlch\fcs1 \af0 \ltrch\fcs0 _x000d__x000a_\cs17\b0\v\fs20\cf9\lang1024\langfe1024\loch\af1\hich\af1\dbch\af31501\noproof\insrsid15674702\charrsid4930716 \hich\af1\dbch\af31501\loch\f1 &lt;NumAmA&gt;}{\rtlch\fcs1 \af0 \ltrch\fcs0 \insrsid15674702\charrsid4930716 #}{\rtlch\fcs1 \af1 \ltrch\fcs0 _x000d__x000a_\cs20\v\f1\fs20\cf15\insrsid15674702\charrsid4930716 ENMIENDA@NRAM@}{\rtlch\fcs1 \af0 \ltrch\fcs0 \insrsid15674702\charrsid4930716 #}{\rtlch\fcs1 \af0 \ltrch\fcs0 _x000d__x000a_\cs17\b0\v\fs20\cf9\lang1024\langfe1024\loch\af1\hich\af1\dbch\af31501\noproof\insrsid15674702\charrsid4930716 \hich\af1\dbch\af31501\loch\f1 &lt;/NumAmA&gt;}{\rtlch\fcs1 \af0 \ltrch\fcs0 \insrsid15674702\charrsid4930716 _x000d__x000a_\par }\pard\plain \ltrpar\s24\ql \li0\ri0\sb240\keepn\nowidctlpar\wrapdefault\aspalpha\aspnum\faauto\adjustright\rin0\lin0\itap0\pararsid15674702 \rtlch\fcs1 \af0\afs20\alang1025 \ltrch\fcs0 \b\fs24\lang2057\langfe2057\cgrid\langnp2057\langfenp2057 {_x000d__x000a_\rtlch\fcs1 \af0 \ltrch\fcs0 \cs17\b0\v\fs20\cf9\lang1024\langfe1024\loch\af1\hich\af1\dbch\af31501\noproof\insrsid15674702\charrsid4930716 \hich\af1\dbch\af31501\loch\f1 &lt;DocAmend&gt;}{\rtlch\fcs1 \af0 \ltrch\fcs0 \insrsid15674702\charrsid4930716 _x000d__x000a_Draft legislative resolution}{\rtlch\fcs1 \af0 \ltrch\fcs0 \cs17\b0\v\fs20\cf9\lang1024\langfe1024\loch\af1\hich\af1\dbch\af31501\noproof\insrsid15674702\charrsid4930716 \hich\af1\dbch\af31501\loch\f1 &lt;/DocAmend&gt;}{\rtlch\fcs1 \af0 \ltrch\fcs0 _x000d__x000a_\insrsid15674702\charrsid4930716 _x000d__x000a_\par }\pard\plain \ltrpar\s19\ql \li0\ri0\nowidctlpar\wrapdefault\aspalpha\aspnum\faauto\adjustright\rin0\lin0\itap0\pararsid15674702 \rtlch\fcs1 \af0\afs20\alang1025 \ltrch\fcs0 \b\fs24\lang2057\langfe2057\cgrid\langnp2057\langfenp2057 {\rtlch\fcs1 \af0 _x000d__x000a_\ltrch\fcs0 \cs17\b0\v\fs20\cf9\lang1024\langfe1024\loch\af1\hich\af1\dbch\af31501\noproof\insrsid15674702\charrsid4930716 \hich\af1\dbch\af31501\loch\f1 &lt;Article&gt;}{\rtlch\fcs1 \af0 \ltrch\fcs0 \cf10\insrsid15674702\charrsid4930716 \u9668\'3f}{_x000d__x000a_\rtlch\fcs1 \af0 \ltrch\fcs0 \insrsid15674702\charrsid4930716 #}{\rtlch\fcs1 \af1 \ltrch\fcs0 \cs20\v\f1\fs20\cf15\insrsid15674702\charrsid4930716 TVTRESPART@RESPART@}{\rtlch\fcs1 \af0 \ltrch\fcs0 \insrsid15674702\charrsid4930716 #}{\rtlch\fcs1 \af0 _x000d__x000a_\ltrch\fcs0 \cf10\insrsid15674702\charrsid4930716 \u9658\'3f}{\rtlch\fcs1 \af0 \ltrch\fcs0 \cs17\b0\v\fs20\cf9\lang1024\langfe1024\loch\af1\hich\af1\dbch\af31501\noproof\insrsid15674702\charrsid4930716 \hich\af1\dbch\af31501\loch\f1 &lt;/Article&gt;}{_x000d__x000a_\rtlch\fcs1 \af0 \ltrch\fcs0 \insrsid15674702\charrsid4930716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5674702\charrsid4930716 Draft legislative resolution\cell Amendment\cell }\pard\plain \ltrpar_x000d__x000a_\ql \li0\ri0\widctlpar\intbl\wrapdefault\aspalpha\aspnum\faauto\adjustright\rin0\lin0 \rtlch\fcs1 \af0\afs20\alang1025 \ltrch\fcs0 \fs24\lang2057\langfe2057\cgrid\langnp2057\langfenp2057 {\rtlch\fcs1 \af0 \ltrch\fcs0 \insrsid15674702\charrsid4930716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5674702\charrsid4930716 ##\cell ##}{\rtlch\fcs1 \af0\afs24 \ltrch\fcs0 \insrsid15674702\charrsid4930716 \cell }\pard\plain \ltrpar\ql \li0\ri0\widctlpar\intbl\wrapdefault\aspalpha\aspnum\faauto\adjustright\rin0\lin0 \rtlch\fcs1 _x000d__x000a_\af0\afs20\alang1025 \ltrch\fcs0 \fs24\lang2057\langfe2057\cgrid\langnp2057\langfenp2057 {\rtlch\fcs1 \af0 \ltrch\fcs0 \insrsid15674702\charrsid4930716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674702 \rtlch\fcs1 \af0\afs20\alang1025 \ltrch\fcs0 \fs24\lang2057\langfe2057\cgrid\langnp2057\langfenp2057 {\rtlch\fcs1 \af0 \ltrch\fcs0 _x000d__x000a_\insrsid15674702\charrsid4930716 Or. }{\rtlch\fcs1 \af0 \ltrch\fcs0 \cs17\v\fs20\cf9\lang1024\langfe1024\loch\af1\hich\af1\dbch\af31501\noproof\insrsid15674702\charrsid4930716 \hich\af1\dbch\af31501\loch\f1 &lt;Original&gt;}{\rtlch\fcs1 \af0 \ltrch\fcs0 _x000d__x000a_\insrsid15674702\charrsid4930716 #}{\rtlch\fcs1 \af1 \ltrch\fcs0 \cs20\v\f1\fs20\cf15\insrsid15674702\charrsid4930716 MNU[OPTORLANG][ORLANGMORE]@CHOICE@AMPLURMNU}{\rtlch\fcs1 \af0 \ltrch\fcs0 \insrsid15674702\charrsid4930716 #}{\rtlch\fcs1 \af0 _x000d__x000a_\ltrch\fcs0 \cs17\v\fs20\cf9\lang1024\langfe1024\loch\af1\hich\af1\dbch\af31501\noproof\insrsid15674702\charrsid4930716 \hich\af1\dbch\af31501\loch\f1 &lt;/Original&gt;}{\rtlch\fcs1 \af0 \ltrch\fcs0 \insrsid15674702\charrsid4930716 _x000d__x000a_\par }\pard\plain \ltrpar\ql \li0\ri0\widctlpar\wrapdefault\aspalpha\aspnum\faauto\adjustright\rin0\lin0\itap0\pararsid15674702 \rtlch\fcs1 \af0\afs20\alang1025 \ltrch\fcs0 \fs24\lang2057\langfe2057\cgrid\langnp2057\langfenp2057 {\rtlch\fcs1 \af0 \ltrch\fcs0 _x000d__x000a_\cs17\v\fs20\cf9\lang1024\langfe1024\loch\af1\hich\af1\dbch\af31501\noproof\insrsid15674702\charrsid4930716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01_x000d__x000a_57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5273867\rsid6641733\rsid7823322\rsid9636012\rsid10377208_x000d__x000a_\rsid11215221\rsid11549030\rsid12154954\rsid14382809\rsid14424199\rsid14619798\rsid15204470\rsid15285974\rsid15950462\rsid16324206\rsid16662270}{\mmathPr\mmathFont34\mbrkBin0\mbrkBinSub0\msmallFrac0\mdispDef1\mlMargin0\mrMargin0\mdefJc1\mwrapIndent1440_x000d__x000a_\mintLim0\mnaryLim1}{\info{\author DE HAAN Marjolein}{\operator DE HAAN Marjolein}{\creatim\yr2024\mo3\dy25\hr13\min34}{\revtim\yr2024\mo3\dy25\hr13\min34}{\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7\pgbrdrhead\pgbrdrfoot\splytwnine\ftnlytwnine\htmautsp\nolnhtadjtbl\useltbaln\alntblind\lytcalctblwd\lyttblrtgr\lnbrkrule\nobrkwrptbl\snaptogridincell\allowfieldendsel\wrppunct_x000d__x000a_\asianbrkrule\nojkernpunct\rsidroot5273867\newtblstyruls\nogrowautofit\usenormstyforlist\noindnmbrts\felnbrelev\nocxsptable\indrlsweleven\noafcnsttbl\afelev\utinl\hwelev\spltpgpar\notcvasp\notbrkcnstfrctbl\notvatxbx\krnprsnet\cachedcolbal _x000d__x000a_\nouicompat \fet0{\*\wgrffmtfilter 013f}\nofeaturethrottle1\ilfomacatclnup0{\*\template C:\\Users\\mdehaan\\AppData\\Local\\Temp\\Blank1.dotx}{\*\ftnsep \ltrpar \pard\plain \ltrpar_x000d__x000a_\ql \li0\ri0\widctlpar\wrapdefault\aspalpha\aspnum\faauto\adjustright\rin0\lin0\itap0 \rtlch\fcs1 \af0\afs20\alang1025 \ltrch\fcs0 \fs24\lang2057\langfe2057\cgrid\langnp2057\langfenp2057 {\rtlch\fcs1 \af0 \ltrch\fcs0 \insrsid14619798 \chftnsep _x000d__x000a_\par }}{\*\ftnsepc \ltrpar \pard\plain \ltrpar\ql \li0\ri0\widctlpar\wrapdefault\aspalpha\aspnum\faauto\adjustright\rin0\lin0\itap0 \rtlch\fcs1 \af0\afs20\alang1025 \ltrch\fcs0 \fs24\lang2057\langfe2057\cgrid\langnp2057\langfenp2057 {\rtlch\fcs1 \af0 _x000d__x000a_\ltrch\fcs0 \insrsid14619798 \chftnsepc _x000d__x000a_\par }}{\*\aftnsep \ltrpar \pard\plain \ltrpar\ql \li0\ri0\widctlpar\wrapdefault\aspalpha\aspnum\faauto\adjustright\rin0\lin0\itap0 \rtlch\fcs1 \af0\afs20\alang1025 \ltrch\fcs0 \fs24\lang2057\langfe2057\cgrid\langnp2057\langfenp2057 {\rtlch\fcs1 \af0 _x000d__x000a_\ltrch\fcs0 \insrsid14619798 \chftnsep _x000d__x000a_\par }}{\*\aftnsepc \ltrpar \pard\plain \ltrpar\ql \li0\ri0\widctlpar\wrapdefault\aspalpha\aspnum\faauto\adjustright\rin0\lin0\itap0 \rtlch\fcs1 \af0\afs20\alang1025 \ltrch\fcs0 \fs24\lang2057\langfe2057\cgrid\langnp2057\langfenp2057 {\rtlch\fcs1 \af0 _x000d__x000a_\ltrch\fcs0 \insrsid14619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5273867 _x000d__x000a_\rtlch\fcs1 \af0\afs20\alang1025 \ltrch\fcs0 \fs24\lang2057\langfe2057\cgrid\langnp2057\langfenp2057 {\rtlch\fcs1 \af0 \ltrch\fcs0 \insrsid5273867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4_x000d__x000a_dfd7b0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8607 HideTWBExt;}{_x000d__x000a_\s18\ql \li0\ri0\sa120\nowidctlpar\wrapdefault\aspalpha\aspnum\faauto\adjustright\rin0\lin0\itap0 \rtlch\fcs1 \af0\afs20\alang1025 \ltrch\fcs0 \fs24\lang2057\langfe2057\cgrid\langnp2057\langfenp2057 \sbasedon0 \snext18 \spriority0 \styrsid218607 _x000d__x000a_Normal6a;}{\s19\ql \li0\ri0\nowidctlpar\wrapdefault\aspalpha\aspnum\faauto\adjustright\rin0\lin0\itap0 \rtlch\fcs1 \af0\afs20\alang1025 \ltrch\fcs0 \b\fs24\lang2057\langfe2057\cgrid\langnp2057\langfenp2057 \sbasedon0 \snext19 \spriority0 \styrsid218607 _x000d__x000a_NormalBold;}{\s20\ql \li0\ri0\sa240\nowidctlpar\wrapdefault\aspalpha\aspnum\faauto\adjustright\rin0\lin0\itap0 \rtlch\fcs1 \af0\afs20\alang1025 \ltrch\fcs0 \i\fs24\lang2057\langfe2057\cgrid\langnp2057\langfenp2057 _x000d__x000a_\sbasedon0 \snext20 \spriority0 \styrsid218607 AmJustText;}{\s21\qc \li0\ri0\sb240\sa240\nowidctlpar\wrapdefault\aspalpha\aspnum\faauto\adjustright\rin0\lin0\itap0 \rtlch\fcs1 \af0\afs20\alang1025 \ltrch\fcs0 _x000d__x000a_\i\fs24\lang2057\langfe2057\cgrid\langnp2057\langfenp2057 \sbasedon0 \snext21 \spriority0 \styrsid218607 AmCrossRef;}{\*\cs22 \additive \v\f1\fs20\cf15 \spriority0 \styrsid218607 HideTWBInt;}{_x000d__x000a_\s23\qc \li0\ri0\sb240\sa240\keepn\nowidctlpar\wrapdefault\aspalpha\aspnum\faauto\adjustright\rin0\lin0\itap0 \rtlch\fcs1 \af0\afs20\alang1025 \ltrch\fcs0 \i\fs24\lang2057\langfe2057\cgrid\langnp2057\langfenp2057 _x000d__x000a_\sbasedon0 \snext20 \spriority0 \styrsid218607 AmJustTitle;}{\s24\qr \li0\ri0\sb240\sa240\nowidctlpar\wrapdefault\aspalpha\aspnum\faauto\adjustright\rin0\lin0\itap0 \rtlch\fcs1 \af0\afs20\alang1025 \ltrch\fcs0 _x000d__x000a_\fs24\lang2057\langfe2057\cgrid\langnp2057\langfenp2057 \sbasedon0 \snext24 \spriority0 \styrsid218607 AmOrLang;}{\s25\qc \li0\ri0\sa240\nowidctlpar\wrapdefault\aspalpha\aspnum\faauto\adjustright\rin0\lin0\itap0 \rtlch\fcs1 \af0\afs20\alang1025 _x000d__x000a_\ltrch\fcs0 \i\fs24\lang2057\langfe2057\cgrid\langnp2057\langfenp2057 \sbasedon0 \snext25 \spriority0 \styrsid21860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8607 AmNumberTabs;}{\s27\ql \li0\ri0\sb240\nowidctlpar\wrapdefault\aspalpha\aspnum\faauto\adjustright\rin0\lin0\itap0 \rtlch\fcs1 _x000d__x000a_\af0\afs20\alang1025 \ltrch\fcs0 \b\fs24\lang2057\langfe2057\cgrid\langnp2057\langfenp2057 \sbasedon0 \snext27 \spriority0 \styrsid218607 NormalBold12b;}}{\*\rsidtbl \rsid24658\rsid218607\rsid223860\rsid735077\rsid1718133\rsid1796933\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VENDE Valerie}{\operator VENDE Valerie}{\creatim\yr2024\mo2\dy21\hr16\min31}{\revtim\yr2024\mo2\dy21\hr16\min31}{\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viewnobound1\snaptogridincell\allowfieldendsel_x000d__x000a_\wrppunct\asianbrkrule\nojkernpunct\rsidroot218607\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796933 \chftnsep _x000d__x000a_\par }}{\*\ftnsepc \ltrpar \pard\plain \ltrpar\ql \li0\ri0\widctlpar\wrapdefault\aspalpha\aspnum\faauto\adjustright\rin0\lin0\itap0 \rtlch\fcs1 \af0\afs20\alang1025 \ltrch\fcs0 \fs24\lang2057\langfe2057\cgrid\langnp2057\langfenp2057 {\rtlch\fcs1 \af0 _x000d__x000a_\ltrch\fcs0 \insrsid1796933 \chftnsepc _x000d__x000a_\par }}{\*\aftnsep \ltrpar \pard\plain \ltrpar\ql \li0\ri0\widctlpar\wrapdefault\aspalpha\aspnum\faauto\adjustright\rin0\lin0\itap0 \rtlch\fcs1 \af0\afs20\alang1025 \ltrch\fcs0 \fs24\lang2057\langfe2057\cgrid\langnp2057\langfenp2057 {\rtlch\fcs1 \af0 _x000d__x000a_\ltrch\fcs0 \insrsid1796933 \chftnsep _x000d__x000a_\par }}{\*\aftnsepc \ltrpar \pard\plain \ltrpar\ql \li0\ri0\widctlpar\wrapdefault\aspalpha\aspnum\faauto\adjustright\rin0\lin0\itap0 \rtlch\fcs1 \af0\afs20\alang1025 \ltrch\fcs0 \fs24\lang2057\langfe2057\cgrid\langnp2057\langfenp2057 {\rtlch\fcs1 \af0 _x000d__x000a_\ltrch\fcs0 \insrsid179693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8607 \rtlch\fcs1 _x000d__x000a_\af0\afs20\alang1025 \ltrch\fcs0 \b\fs24\lang2057\langfe2057\cgrid\langnp2057\langfenp2057 {\rtlch\fcs1 \af0 \ltrch\fcs0 \cs17\b0\v\fs20\cf9\lang1024\langfe1024\loch\af1\hich\af1\dbch\af31501\noproof\insrsid218607\charrsid4930716 {\*\bkmkstart restartB}_x000d__x000a_\hich\af1\dbch\af31501\loch\f1 &lt;AmendB&gt;}{\rtlch\fcs1 \af0 \ltrch\fcs0 \insrsid218607\charrsid4930716 Amendment\tab \tab }{\rtlch\fcs1 \af0 \ltrch\fcs0 _x000d__x000a_\cs17\b0\v\fs20\cf9\lang1024\langfe1024\loch\af1\hich\af1\dbch\af31501\noproof\insrsid218607\charrsid4930716 \hich\af1\dbch\af31501\loch\f1 &lt;NumAmB&gt;}{\rtlch\fcs1 \af0 \ltrch\fcs0 \insrsid218607\charrsid4930716 #}{\rtlch\fcs1 \af1 \ltrch\fcs0 _x000d__x000a_\cs22\v\f1\fs20\cf15\insrsid218607\charrsid4930716 ENMIENDA@NRAM@}{\rtlch\fcs1 \af0 \ltrch\fcs0 \insrsid218607\charrsid4930716 #}{\rtlch\fcs1 \af0 \ltrch\fcs0 _x000d__x000a_\cs17\b0\v\fs20\cf9\lang1024\langfe1024\loch\af1\hich\af1\dbch\af31501\noproof\insrsid218607\charrsid4930716 \hich\af1\dbch\af31501\loch\f1 &lt;/NumAmB&gt;}{\rtlch\fcs1 \af0 \ltrch\fcs0 \insrsid218607\charrsid4930716 _x000d__x000a_\par }\pard\plain \ltrpar\s27\ql \li0\ri0\sb240\keepn\nowidctlpar\wrapdefault\aspalpha\aspnum\faauto\adjustright\rin0\lin0\itap0\pararsid218607 \rtlch\fcs1 \af0\afs20\alang1025 \ltrch\fcs0 \b\fs24\lang2057\langfe2057\cgrid\langnp2057\langfenp2057 {\rtlch\fcs1 _x000d__x000a_\af0 \ltrch\fcs0 \cs17\b0\v\fs20\cf9\lang1024\langfe1024\loch\af1\hich\af1\dbch\af31501\noproof\insrsid218607\charrsid4930716 \hich\af1\dbch\af31501\loch\f1 &lt;DocAmend&gt;}{\rtlch\fcs1 \af0 \ltrch\fcs0 \insrsid218607\charrsid4930716 #}{\rtlch\fcs1 \af1 _x000d__x000a_\ltrch\fcs0 \cs22\v\f1\fs20\cf15\insrsid218607\charrsid4930716 MNU[OPTPROPOSALCOD][OPTPROPOSALCNS][OPTPROPOSALNLE][OPTPROPOSALINL]@CHOICE@CODEMNU}{\rtlch\fcs1 \af0 \ltrch\fcs0 \insrsid218607\charrsid4930716 ##}{\rtlch\fcs1 \af1 \ltrch\fcs0 _x000d__x000a_\cs22\v\f1\fs20\cf15\insrsid218607\charrsid4930716 MNU[AMACTYES][NOTAPP]@CHOICE@AMACTMNU}{\rtlch\fcs1 \af0 \ltrch\fcs0 \insrsid218607\charrsid4930716 #}{\rtlch\fcs1 \af0 \ltrch\fcs0 _x000d__x000a_\cs17\b0\v\fs20\cf9\lang1024\langfe1024\loch\af1\hich\af1\dbch\af31501\noproof\insrsid218607\charrsid4930716 \hich\af1\dbch\af31501\loch\f1 &lt;/DocAmend&gt;}{\rtlch\fcs1 \af0 \ltrch\fcs0 \insrsid218607\charrsid4930716 _x000d__x000a_\par }\pard\plain \ltrpar\s19\ql \li0\ri0\keepn\nowidctlpar\wrapdefault\aspalpha\aspnum\faauto\adjustright\rin0\lin0\itap0\pararsid218607 \rtlch\fcs1 \af0\afs20\alang1025 \ltrch\fcs0 \b\fs24\lang2057\langfe2057\cgrid\langnp2057\langfenp2057 {\rtlch\fcs1 \af0 _x000d__x000a_\ltrch\fcs0 \cs17\b0\v\fs20\cf9\lang1024\langfe1024\loch\af1\hich\af1\dbch\af31501\noproof\insrsid218607\charrsid4930716 \hich\af1\dbch\af31501\loch\f1 &lt;Article&gt;}{\rtlch\fcs1 \af0 \ltrch\fcs0 \insrsid218607\charrsid4930716 #}{\rtlch\fcs1 \af1 \ltrch\fcs0 _x000d__x000a_\cs22\v\f1\fs20\cf15\insrsid218607\charrsid4930716 MNU[AMACTPARTYES][AMACTPARTNO]@CHOICE@AMACTMNU}{\rtlch\fcs1 \af0 \ltrch\fcs0 \insrsid218607\charrsid4930716 #}{\rtlch\fcs1 \af0 \ltrch\fcs0 _x000d__x000a_\cs17\b0\v\fs20\cf9\lang1024\langfe1024\loch\af1\hich\af1\dbch\af31501\noproof\insrsid218607\charrsid4930716 \hich\af1\dbch\af31501\loch\f1 &lt;/Article&gt;}{\rtlch\fcs1 \af0 \ltrch\fcs0 \insrsid218607\charrsid4930716 _x000d__x000a_\par }\pard\plain \ltrpar\ql \li0\ri0\keepn\widctlpar\wrapdefault\aspalpha\aspnum\faauto\adjustright\rin0\lin0\itap0\pararsid218607 \rtlch\fcs1 \af0\afs20\alang1025 \ltrch\fcs0 \fs24\lang2057\langfe2057\cgrid\langnp2057\langfenp2057 {\rtlch\fcs1 \af0 _x000d__x000a_\ltrch\fcs0 \cs17\v\fs20\cf9\lang1024\langfe1024\loch\af1\hich\af1\dbch\af31501\noproof\insrsid218607\charrsid4930716 \hich\af1\dbch\af31501\loch\f1 &lt;DocAmend2&gt;&lt;OptDel&gt;}{\rtlch\fcs1 \af0 \ltrch\fcs0 \insrsid218607\charrsid4930716 #}{\rtlch\fcs1 \af1 _x000d__x000a_\ltrch\fcs0 \cs22\v\f1\fs20\cf15\insrsid218607\charrsid4930716 MNU[OPTNRACTYES][NOTAPP]@CHOICE@AMACTMNU}{\rtlch\fcs1 \af0 \ltrch\fcs0 \insrsid218607\charrsid4930716 #}{\rtlch\fcs1 \af0 \ltrch\fcs0 _x000d__x000a_\cs17\v\fs20\cf9\lang1024\langfe1024\loch\af1\hich\af1\dbch\af31501\noproof\insrsid218607\charrsid4930716 \hich\af1\dbch\af31501\loch\f1 &lt;/OptDel&gt;&lt;/DocAmend2&gt;}{\rtlch\fcs1 \af0 \ltrch\fcs0 \insrsid218607\charrsid4930716 _x000d__x000a_\par }\pard \ltrpar\ql \li0\ri0\widctlpar\wrapdefault\aspalpha\aspnum\faauto\adjustright\rin0\lin0\itap0\pararsid218607 {\rtlch\fcs1 \af0 \ltrch\fcs0 \cs17\v\fs20\cf9\lang1024\langfe1024\loch\af1\hich\af1\dbch\af31501\noproof\insrsid218607\charrsid4930716 _x000d__x000a_\hich\af1\dbch\af31501\loch\f1 &lt;Article2&gt;&lt;OptDel&gt;}{\rtlch\fcs1 \af0 \ltrch\fcs0 \insrsid218607\charrsid4930716 #}{\rtlch\fcs1 \af1 \ltrch\fcs0 \cs22\v\f1\fs20\cf15\insrsid218607\charrsid4930716 MNU[OPTACTPARTYES][NOTAPP]@CHOICE@AMACTMNU}{\rtlch\fcs1 \af0 _x000d__x000a_\ltrch\fcs0 \insrsid218607\charrsid4930716 #}{\rtlch\fcs1 \af0 \ltrch\fcs0 \cs17\v\fs20\cf9\lang1024\langfe1024\loch\af1\hich\af1\dbch\af31501\noproof\insrsid218607\charrsid4930716 \hich\af1\dbch\af31501\loch\f1 &lt;/OptDel&gt;&lt;/Article2&gt;}{\rtlch\fcs1 \af0 _x000d__x000a_\ltrch\fcs0 \insrsid218607\charrsid4930716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218607\charrsid4930716 #}{\rtlch\fcs1 \af1 \ltrch\fcs0 \cs22\v\f1\fs20\cf15\insrsid218607\charrsid4930716 MNU[OPTLEFTAMACT][LEFTPROP]@CHOICE@AMACTMNU}{\rtlch\fcs1 \af0 \ltrch\fcs0 \insrsid218607\charrsid4930716 #\cell Amendment\cell _x000d__x000a_}\pard\plain \ltrpar\ql \li0\ri0\widctlpar\intbl\wrapdefault\aspalpha\aspnum\faauto\adjustright\rin0\lin0 \rtlch\fcs1 \af0\afs20\alang1025 \ltrch\fcs0 \fs24\lang2057\langfe2057\cgrid\langnp2057\langfenp2057 {\rtlch\fcs1 \af0 \ltrch\fcs0 _x000d__x000a_\insrsid218607\charrsid4930716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218607\charrsid4930716 ##\cell ##}{\rtlch\fcs1 \af0\afs24 \ltrch\fcs0 \insrsid218607\charrsid4930716 \cell }\pard\plain \ltrpar\ql \li0\ri0\widctlpar\intbl\wrapdefault\aspalpha\aspnum\faauto\adjustright\rin0\lin0 \rtlch\fcs1 _x000d__x000a_\af0\afs20\alang1025 \ltrch\fcs0 \fs24\lang2057\langfe2057\cgrid\langnp2057\langfenp2057 {\rtlch\fcs1 \af0 \ltrch\fcs0 \insrsid218607\charrsid4930716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18607 \rtlch\fcs1 \af0\afs20\alang1025 \ltrch\fcs0 \fs24\lang2057\langfe2057\cgrid\langnp2057\langfenp2057 {\rtlch\fcs1 \af0 \ltrch\fcs0 _x000d__x000a_\insrsid218607\charrsid4930716 Or. }{\rtlch\fcs1 \af0 \ltrch\fcs0 \cs17\v\fs20\cf9\lang1024\langfe1024\loch\af1\hich\af1\dbch\af31501\noproof\insrsid218607\charrsid4930716 \hich\af1\dbch\af31501\loch\f1 &lt;Original&gt;}{\rtlch\fcs1 \af0 \ltrch\fcs0 _x000d__x000a_\insrsid218607\charrsid4930716 #}{\rtlch\fcs1 \af1 \ltrch\fcs0 \cs22\v\f1\fs20\cf15\insrsid218607\charrsid4930716 MNU[OPTORLANG][ORLANGMORE]@CHOICE@AMPLURMNU}{\rtlch\fcs1 \af0 \ltrch\fcs0 \insrsid218607\charrsid4930716 #}{\rtlch\fcs1 \af0 \ltrch\fcs0 _x000d__x000a_\cs17\v\fs20\cf9\lang1024\langfe1024\loch\af1\hich\af1\dbch\af31501\noproof\insrsid218607\charrsid4930716 \hich\af1\dbch\af31501\loch\f1 &lt;/Original&gt;}{\rtlch\fcs1 \af0 \ltrch\fcs0 \insrsid218607\charrsid4930716 _x000d__x000a_\par }\pard\plain \ltrpar\s21\qc \li0\ri0\sb240\sa240\nowidctlpar\wrapdefault\aspalpha\aspnum\faauto\adjustright\rin0\lin0\itap0\pararsid218607 \rtlch\fcs1 \af0\afs20\alang1025 \ltrch\fcs0 \i\fs24\lang2057\langfe2057\cgrid\langnp2057\langfenp2057 {\rtlch\fcs1 _x000d__x000a_\af0 \ltrch\fcs0 \cs17\i0\v\fs20\cf9\lang1024\langfe1024\loch\af1\hich\af1\dbch\af31501\noproof\insrsid218607\charrsid4930716 \hich\af1\dbch\af31501\loch\f1 &lt;OptDel&gt;}{\rtlch\fcs1 \af0 \ltrch\fcs0 \insrsid218607\charrsid4930716 #}{\rtlch\fcs1 \af1 _x000d__x000a_\ltrch\fcs0 \cs22\v\f1\fs20\cf15\insrsid218607\charrsid4930716 MNU[CROSSREFNO][CROSSREFYES]@CHOICE@}{\rtlch\fcs1 \af0 \ltrch\fcs0 \insrsid218607\charrsid4930716 #}{\rtlch\fcs1 \af0 \ltrch\fcs0 _x000d__x000a_\cs17\i0\v\fs20\cf9\lang1024\langfe1024\loch\af1\hich\af1\dbch\af31501\noproof\insrsid218607\charrsid4930716 \hich\af1\dbch\af31501\loch\f1 &lt;/OptDel&gt;}{\rtlch\fcs1 \af0 \ltrch\fcs0 \insrsid218607\charrsid4930716 _x000d__x000a_\par }\pard\plain \ltrpar\s23\qc \li0\ri0\sb240\sa240\keepn\nowidctlpar\wrapdefault\aspalpha\aspnum\faauto\adjustright\rin0\lin0\itap0\pararsid218607 \rtlch\fcs1 \af0\afs20\alang1025 \ltrch\fcs0 \i\fs24\lang2057\langfe2057\cgrid\langnp2057\langfenp2057 {_x000d__x000a_\rtlch\fcs1 \af0 \ltrch\fcs0 \cs17\i0\v\fs20\cf9\lang1024\langfe1024\loch\af1\hich\af1\dbch\af31501\noproof\insrsid218607\charrsid4930716 \hich\af1\dbch\af31501\loch\f1 &lt;TitreJust&gt;}{\rtlch\fcs1 \af0 \ltrch\fcs0 \insrsid218607\charrsid4930716 Justification_x000d__x000a_}{\rtlch\fcs1 \af0 \ltrch\fcs0 \cs17\i0\v\fs20\cf9\lang1024\langfe1024\loch\af1\hich\af1\dbch\af31501\noproof\insrsid218607\charrsid4930716 \hich\af1\dbch\af31501\loch\f1 &lt;/TitreJust&gt;}{\rtlch\fcs1 \af0 \ltrch\fcs0 \insrsid218607\charrsid4930716 _x000d__x000a_\par }\pard\plain \ltrpar\s20\ql \li0\ri0\sa240\nowidctlpar\wrapdefault\aspalpha\aspnum\faauto\adjustright\rin0\lin0\itap0\pararsid218607 \rtlch\fcs1 \af0\afs20\alang1025 \ltrch\fcs0 \i\fs24\lang2057\langfe2057\cgrid\langnp2057\langfenp2057 {\rtlch\fcs1 \af0 _x000d__x000a_\ltrch\fcs0 \cs17\i0\v\fs20\cf9\lang1024\langfe1024\loch\af1\hich\af1\dbch\af31501\noproof\insrsid218607\charrsid4930716 \hich\af1\dbch\af31501\loch\f1 &lt;OptDelPrev&gt;}{\rtlch\fcs1 \af0 \ltrch\fcs0 \insrsid218607\charrsid4930716 #}{\rtlch\fcs1 \af1 _x000d__x000a_\ltrch\fcs0 \cs22\v\f1\fs20\cf15\insrsid218607\charrsid4930716 MNU[TEXTJUSTYES][TEXTJUSTNO]@CHOICE@}{\rtlch\fcs1 \af0 \ltrch\fcs0 \insrsid218607\charrsid4930716 #}{\rtlch\fcs1 \af0 \ltrch\fcs0 _x000d__x000a_\cs17\i0\v\fs20\cf9\lang1024\langfe1024\loch\af1\hich\af1\dbch\af31501\noproof\insrsid218607\charrsid4930716 \hich\af1\dbch\af31501\loch\f1 &lt;/OptDelPrev&gt;}{\rtlch\fcs1 \af0 \ltrch\fcs0 \insrsid218607\charrsid4930716 _x000d__x000a_\par }\pard\plain \ltrpar\ql \li0\ri0\widctlpar\wrapdefault\aspalpha\aspnum\faauto\adjustright\rin0\lin0\itap0\pararsid218607 \rtlch\fcs1 \af0\afs20\alang1025 \ltrch\fcs0 \fs24\lang2057\langfe2057\cgrid\langnp2057\langfenp2057 {\rtlch\fcs1 \af0 \ltrch\fcs0 _x000d__x000a_\cs17\v\fs20\cf9\lang1024\langfe1024\loch\af1\hich\af1\dbch\af31501\noproof\insrsid218607\charrsid4930716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1_x000d__x000a_ca03db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7366 HideTWBExt;}{_x000d__x000a_\s18\ql \li0\ri0\sa120\nowidctlpar\wrapdefault\aspalpha\aspnum\faauto\adjustright\rin0\lin0\itap0 \rtlch\fcs1 \af0\afs20\alang1025 \ltrch\fcs0 \fs24\lang2057\langfe2057\cgrid\langnp2057\langfenp2057 \sbasedon0 \snext18 \spriority0 \styrsid16147366 _x000d__x000a_Normal6a;}{\s19\ql \li0\ri0\nowidctlpar\wrapdefault\aspalpha\aspnum\faauto\adjustright\rin0\lin0\itap0 \rtlch\fcs1 \af0\afs20\alang1025 \ltrch\fcs0 \b\fs24\lang2057\langfe2057\cgrid\langnp2057\langfenp2057 \sbasedon0 \snext19 \spriority0 \styrsid16147366 _x000d__x000a_NormalBold;}{\s20\ql \li0\ri0\sa240\nowidctlpar\wrapdefault\aspalpha\aspnum\faauto\adjustright\rin0\lin0\itap0 \rtlch\fcs1 \af0\afs20\alang1025 \ltrch\fcs0 \i\fs24\lang2057\langfe2057\cgrid\langnp2057\langfenp2057 _x000d__x000a_\sbasedon0 \snext20 \spriority0 \styrsid16147366 AmJustText;}{\s21\qc \li0\ri0\sb240\sa240\nowidctlpar\wrapdefault\aspalpha\aspnum\faauto\adjustright\rin0\lin0\itap0 \rtlch\fcs1 \af0\afs20\alang1025 \ltrch\fcs0 _x000d__x000a_\i\fs24\lang2057\langfe2057\cgrid\langnp2057\langfenp2057 \sbasedon0 \snext21 \spriority0 \styrsid16147366 AmCrossRef;}{\*\cs22 \additive \v\f1\fs20\cf15 \spriority0 \styrsid16147366 HideTWBInt;}{_x000d__x000a_\s23\qc \li0\ri0\sb240\sa240\keepn\nowidctlpar\wrapdefault\aspalpha\aspnum\faauto\adjustright\rin0\lin0\itap0 \rtlch\fcs1 \af0\afs20\alang1025 \ltrch\fcs0 \i\fs24\lang2057\langfe2057\cgrid\langnp2057\langfenp2057 _x000d__x000a_\sbasedon0 \snext20 \spriority0 \styrsid16147366 AmJustTitle;}{\s24\qr \li0\ri0\sb240\sa240\nowidctlpar\wrapdefault\aspalpha\aspnum\faauto\adjustright\rin0\lin0\itap0 \rtlch\fcs1 \af0\afs20\alang1025 \ltrch\fcs0 _x000d__x000a_\fs24\lang2057\langfe2057\cgrid\langnp2057\langfenp2057 \sbasedon0 \snext24 \spriority0 \styrsid16147366 AmOrLang;}{\s25\qc \li0\ri0\sa240\nowidctlpar\wrapdefault\aspalpha\aspnum\faauto\adjustright\rin0\lin0\itap0 \rtlch\fcs1 \af0\afs20\alang1025 _x000d__x000a_\ltrch\fcs0 \i\fs24\lang2057\langfe2057\cgrid\langnp2057\langfenp2057 \sbasedon0 \snext25 \spriority0 \styrsid161473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7366 AmNumberTabs;}{\s27\ql \li0\ri0\sb240\nowidctlpar\wrapdefault\aspalpha\aspnum\faauto\adjustright\rin0\lin0\itap0 \rtlch\fcs1 _x000d__x000a_\af0\afs20\alang1025 \ltrch\fcs0 \b\fs24\lang2057\langfe2057\cgrid\langnp2057\langfenp2057 \sbasedon0 \snext27 \spriority0 \styrsid16147366 NormalBold12b;}}{\*\rsidtbl \rsid24658\rsid223860\rsid735077\rsid1718133\rsid2892074\rsid3565327\rsid4666813_x000d__x000a_\rsid6641733\rsid7823322\rsid9636012\rsid10377208\rsid11215221\rsid11549030\rsid12154954\rsid12529283\rsid14382809\rsid14424199\rsid15204470\rsid15285974\rsid15950462\rsid16147366\rsid16324206\rsid16662270}{\mmathPr\mmathFont34\mbrkBin0\mbrkBinSub0_x000d__x000a_\msmallFrac0\mdispDef1\mlMargin0\mrMargin0\mdefJc1\mwrapIndent1440\mintLim0\mnaryLim1}{\info{\author VENDE Valerie}{\operator VENDE Valerie}{\creatim\yr2024\mo2\dy21\hr16\min50}{\revtim\yr2024\mo2\dy21\hr16\min50}{\version1}{\edmins0}{\nofpages1}_x000d__x000a_{\nofwords111}{\nofchars621}{\nofcharsws6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7366\newtblstyruls\nogrowautofit\usenormstyforlist\noindnmbrts\felnbrelev\nocxsptable\indrlsweleven\noafcnsttbl\afelev\utinl\hwelev\spltpgpar\notcvasp\notbrkcnstfrctbl\notvatxbx\krnprsnet\cachedcolbal _x000d__x000a_\nouicompat \fet0{\*\wgrffmtfilter 013f}\nofeaturethrottle1\ilfomacatclnup0{\*\template C:\\Users\\vvende\\AppData\\Local\\Temp\\Blank1.dotx}{\*\ftnsep \ltrpar \pard\plain \ltrpar_x000d__x000a_\ql \li0\ri0\widctlpar\wrapdefault\aspalpha\aspnum\faauto\adjustright\rin0\lin0\itap0 \rtlch\fcs1 \af0\afs20\alang1025 \ltrch\fcs0 \fs24\lang2057\langfe2057\cgrid\langnp2057\langfenp2057 {\rtlch\fcs1 \af0 \ltrch\fcs0 \insrsid12529283 \chftnsep _x000d__x000a_\par }}{\*\ftnsepc \ltrpar \pard\plain \ltrpar\ql \li0\ri0\widctlpar\wrapdefault\aspalpha\aspnum\faauto\adjustright\rin0\lin0\itap0 \rtlch\fcs1 \af0\afs20\alang1025 \ltrch\fcs0 \fs24\lang2057\langfe2057\cgrid\langnp2057\langfenp2057 {\rtlch\fcs1 \af0 _x000d__x000a_\ltrch\fcs0 \insrsid12529283 \chftnsepc _x000d__x000a_\par }}{\*\aftnsep \ltrpar \pard\plain \ltrpar\ql \li0\ri0\widctlpar\wrapdefault\aspalpha\aspnum\faauto\adjustright\rin0\lin0\itap0 \rtlch\fcs1 \af0\afs20\alang1025 \ltrch\fcs0 \fs24\lang2057\langfe2057\cgrid\langnp2057\langfenp2057 {\rtlch\fcs1 \af0 _x000d__x000a_\ltrch\fcs0 \insrsid12529283 \chftnsep _x000d__x000a_\par }}{\*\aftnsepc \ltrpar \pard\plain \ltrpar\ql \li0\ri0\widctlpar\wrapdefault\aspalpha\aspnum\faauto\adjustright\rin0\lin0\itap0 \rtlch\fcs1 \af0\afs20\alang1025 \ltrch\fcs0 \fs24\lang2057\langfe2057\cgrid\langnp2057\langfenp2057 {\rtlch\fcs1 \af0 _x000d__x000a_\ltrch\fcs0 \insrsid125292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7366 \rtlch\fcs1 _x000d__x000a_\af0\afs20\alang1025 \ltrch\fcs0 \b\fs24\lang2057\langfe2057\cgrid\langnp2057\langfenp2057 {\rtlch\fcs1 \af0 \ltrch\fcs0 \cs17\b0\v\fs20\cf9\lang1024\langfe1024\loch\af1\hich\af1\dbch\af31501\noproof\insrsid16147366\charrsid13580811 {\*\bkmkstart restart}_x000d__x000a_\hich\af1\dbch\af31501\loch\f1 &lt;}{\rtlch\fcs1 \af0 \ltrch\fcs0 \cs17\b0\v\fs20\cf9\lang1024\langfe1024\loch\af1\hich\af1\dbch\af31501\noproof\insrsid16147366 \hich\af1\dbch\af31501\loch\f1 Amend}{\rtlch\fcs1 \af0 \ltrch\fcs0 _x000d__x000a_\cs17\b0\v\fs20\cf9\lang1024\langfe1024\loch\af1\hich\af1\dbch\af31501\noproof\insrsid16147366\charrsid13580811 \hich\af1\dbch\af31501\loch\f1 &gt;}{\rtlch\fcs1 \af0 \ltrch\fcs0 \insrsid16147366\charrsid13580811 Amendment\tab \tab }{\rtlch\fcs1 \af0 _x000d__x000a_\ltrch\fcs0 \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rtlch\fcs1 \af1 \ltrch\fcs0 _x000d__x000a_\cs22\v\f1\fs20\cf15\insrsid16147366\charrsid13580811 ENMIENDA@NRAM@}{\rtlch\fcs1 \af0 \ltrch\fcs0 \insrsid16147366\charrsid13580811 #}{\rtlch\fcs1 \af0 \ltrch\fcs0 _x000d__x000a_\cs17\b0\v\fs20\cf9\lang1024\langfe1024\loch\af1\hich\af1\dbch\af31501\noproof\insrsid16147366\charrsid13580811 \hich\af1\dbch\af31501\loch\f1 &lt;/}{\rtlch\fcs1 \af0 \ltrch\fcs0 _x000d__x000a_\cs17\b0\v\fs20\cf9\lang1024\langfe1024\loch\af1\hich\af1\dbch\af31501\noproof\insrsid16147366 \hich\af1\dbch\af31501\loch\f1 NumAm&gt;}{\rtlch\fcs1 \af0 \ltrch\fcs0 \insrsid16147366\charrsid13580811 _x000d__x000a_\par }\pard\plain \ltrpar\s27\ql \li0\ri0\sb240\keepn\nowidctlpar\wrapdefault\aspalpha\aspnum\faauto\adjustright\rin0\lin0\itap0\pararsid16147366 \rtlch\fcs1 \af0\afs20\alang1025 \ltrch\fcs0 \b\fs24\lang2057\langfe2057\cgrid\langnp2057\langfenp2057 {_x000d__x000a_\rtlch\fcs1 \af0 \ltrch\fcs0 \cs17\b0\v\fs20\cf9\lang1024\langfe1024\loch\af1\hich\af1\dbch\af31501\noproof\insrsid16147366\charrsid13580811 \hich\af1\dbch\af31501\loch\f1 &lt;DocAmend&gt;}{\rtlch\fcs1 \af0 \ltrch\fcs0 \insrsid16147366\charrsid13580811 #}{_x000d__x000a_\rtlch\fcs1 \af1 \ltrch\fcs0 \cs22\v\f1\fs20\cf15\insrsid16147366\charrsid13580811 MNU[OPTPROPOSALCOD][OPTPROPOSALCNS][OPTPROPOSALNLE][OPTPROPOSALINL]@CHOICE@CODEMNU}{\rtlch\fcs1 \af0 \ltrch\fcs0 \insrsid16147366\charrsid13580811 ##}{\rtlch\fcs1 \af1 _x000d__x000a_\ltrch\fcs0 \cs22\v\f1\fs20\cf15\insrsid16147366\charrsid13580811 MNU[AMACTYES][NOTAPP]@CHOICE@AMACTMNU}{\rtlch\fcs1 \af0 \ltrch\fcs0 \insrsid16147366\charrsid13580811 #}{\rtlch\fcs1 \af0 \ltrch\fcs0 _x000d__x000a_\cs17\b0\v\fs20\cf9\lang1024\langfe1024\loch\af1\hich\af1\dbch\af31501\noproof\insrsid16147366\charrsid13580811 \hich\af1\dbch\af31501\loch\f1 &lt;/DocAmend&gt;}{\rtlch\fcs1 \af0 \ltrch\fcs0 \insrsid16147366\charrsid13580811 _x000d__x000a_\par }\pard\plain \ltrpar\s19\ql \li0\ri0\keepn\nowidctlpar\wrapdefault\aspalpha\aspnum\faauto\adjustright\rin0\lin0\itap0\pararsid16147366 \rtlch\fcs1 \af0\afs20\alang1025 \ltrch\fcs0 \b\fs24\lang2057\langfe2057\cgrid\langnp2057\langfenp2057 {\rtlch\fcs1 _x000d__x000a_\af0 \ltrch\fcs0 \cs17\b0\v\fs20\cf9\lang1024\langfe1024\loch\af1\hich\af1\dbch\af31501\noproof\insrsid16147366\charrsid13580811 \hich\af1\dbch\af31501\loch\f1 &lt;Article&gt;}{\rtlch\fcs1 \af0 \ltrch\fcs0 \insrsid16147366\charrsid13580811 #}{\rtlch\fcs1 \af1 _x000d__x000a_\ltrch\fcs0 \cs22\v\f1\fs20\cf15\insrsid16147366\charrsid13580811 MNU[AMACTPARTYES][AMACTPARTNO]@CHOICE@AMACTMNU}{\rtlch\fcs1 \af0 \ltrch\fcs0 \insrsid16147366\charrsid13580811 #}{\rtlch\fcs1 \af0 \ltrch\fcs0 _x000d__x000a_\cs17\b0\v\fs20\cf9\lang1024\langfe1024\loch\af1\hich\af1\dbch\af31501\noproof\insrsid16147366\charrsid13580811 \hich\af1\dbch\af31501\loch\f1 &lt;/Article&gt;}{\rtlch\fcs1 \af0 \ltrch\fcs0 \insrsid16147366\charrsid13580811 _x000d__x000a_\par }\pard\plain \ltrpar\ql \li0\ri0\keepn\widctlpar\wrapdefault\aspalpha\aspnum\faauto\adjustright\rin0\lin0\itap0\pararsid16147366 \rtlch\fcs1 \af0\afs20\alang1025 \ltrch\fcs0 \fs24\lang2057\langfe2057\cgrid\langnp2057\langfenp2057 {\rtlch\fcs1 \af0 _x000d__x000a_\ltrch\fcs0 \cs17\v\fs20\cf9\lang1024\langfe1024\loch\af1\hich\af1\dbch\af31501\noproof\insrsid16147366\charrsid13580811 \hich\af1\dbch\af31501\loch\f1 &lt;DocAmend2&gt;&lt;OptDel&gt;}{\rtlch\fcs1 \af0 \ltrch\fcs0 \insrsid16147366\charrsid13580811 #}{\rtlch\fcs1 _x000d__x000a_\af1 \ltrch\fcs0 \cs22\v\f1\fs20\cf15\insrsid16147366\charrsid13580811 MNU[OPTNRACTYES][NOTAPP]@CHOICE@AMACTMNU}{\rtlch\fcs1 \af0 \ltrch\fcs0 \insrsid16147366\charrsid13580811 #}{\rtlch\fcs1 \af0 \ltrch\fcs0 _x000d__x000a_\cs17\v\fs20\cf9\lang1024\langfe1024\loch\af1\hich\af1\dbch\af31501\noproof\insrsid16147366\charrsid13580811 \hich\af1\dbch\af31501\loch\f1 &lt;/OptDel&gt;&lt;/DocAmend2&gt;}{\rtlch\fcs1 \af0 \ltrch\fcs0 \insrsid16147366\charrsid13580811 _x000d__x000a_\par }\pard \ltrpar\ql \li0\ri0\widctlpar\wrapdefault\aspalpha\aspnum\faauto\adjustright\rin0\lin0\itap0\pararsid16147366 {\rtlch\fcs1 \af0 \ltrch\fcs0 _x000d__x000a_\cs17\v\fs20\cf9\lang1024\langfe1024\loch\af1\hich\af1\dbch\af31501\noproof\insrsid16147366\charrsid13580811 \hich\af1\dbch\af31501\loch\f1 &lt;Article2&gt;&lt;OptDel&gt;}{\rtlch\fcs1 \af0 \ltrch\fcs0 \insrsid16147366\charrsid13580811 #}{\rtlch\fcs1 \af1 \ltrch\fcs0 _x000d__x000a_\cs22\v\f1\fs20\cf15\insrsid16147366\charrsid13580811 MNU[OPTACTPARTYES][NOTAPP]@CHOICE@AMACTMNU}{\rtlch\fcs1 \af0 \ltrch\fcs0 \insrsid16147366\charrsid13580811 #}{\rtlch\fcs1 \af0 \ltrch\fcs0 _x000d__x000a_\cs17\v\fs20\cf9\lang1024\langfe1024\loch\af1\hich\af1\dbch\af31501\noproof\insrsid16147366\charrsid13580811 \hich\af1\dbch\af31501\loch\f1 &lt;/OptDel&gt;&lt;/Article2&gt;}{\rtlch\fcs1 \af0 \ltrch\fcs0 \insrsid16147366\charrsid13580811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6147366\charrsid13580811 \cell }\pard\plain \ltrpar\ql \li0\ri0\widctlpar\intbl\wrapdefault\aspalpha\aspnum\faauto\adjustright\rin0\lin0 _x000d__x000a_\rtlch\fcs1 \af0\afs20\alang1025 \ltrch\fcs0 \fs24\lang2057\langfe2057\cgrid\langnp2057\langfenp2057 {\rtlch\fcs1 \af0 \ltrch\fcs0 \insrsid16147366\charrsid13580811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6147366\charrsid13580811 #}{\rtlch\fcs1 \af1 \ltrch\fcs0 \cs22\v\f1\fs20\cf15\insrsid16147366\charrsid13580811 MNU[OPTLEFTAMACT][LEFTPROP]@CHOICE@AMACTMNU}{\rtlch\fcs1 \af0 \ltrch\fcs0 \insrsid16147366\charrsid13580811 #\cell Amendment\cell _x000d__x000a_}\pard\plain \ltrpar\ql \li0\ri0\widctlpar\intbl\wrapdefault\aspalpha\aspnum\faauto\adjustright\rin0\lin0 \rtlch\fcs1 \af0\afs20\alang1025 \ltrch\fcs0 \fs24\lang2057\langfe2057\cgrid\langnp2057\langfenp2057 {\rtlch\fcs1 \af0 \ltrch\fcs0 _x000d__x000a_\insrsid16147366\charrsid13580811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6147366\charrsid13580811 ##\cell ##}{\rtlch\fcs1 \af0\afs24 \ltrch\fcs0 \insrsid16147366\charrsid13580811 \cell }\pard\plain \ltrpar_x000d__x000a_\ql \li0\ri0\widctlpar\intbl\wrapdefault\aspalpha\aspnum\faauto\adjustright\rin0\lin0 \rtlch\fcs1 \af0\afs20\alang1025 \ltrch\fcs0 \fs24\lang2057\langfe2057\cgrid\langnp2057\langfenp2057 {\rtlch\fcs1 \af0 \ltrch\fcs0 \insrsid16147366\charrsid13580811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7366 \rtlch\fcs1 \af0\afs20\alang1025 \ltrch\fcs0 \fs24\lang2057\langfe2057\cgrid\langnp2057\langfenp2057 {\rtlch\fcs1 \af0 \ltrch\fcs0 _x000d__x000a_\insrsid16147366\charrsid13580811 Or. }{\rtlch\fcs1 \af0 \ltrch\fcs0 \cs17\v\fs20\cf9\lang1024\langfe1024\loch\af1\hich\af1\dbch\af31501\noproof\insrsid16147366\charrsid13580811 \hich\af1\dbch\af31501\loch\f1 &lt;Original&gt;}{\rtlch\fcs1 \af0 \ltrch\fcs0 _x000d__x000a_\insrsid16147366\charrsid13580811 #}{\rtlch\fcs1 \af1 \ltrch\fcs0 \cs22\v\f1\fs20\cf15\insrsid16147366\charrsid13580811 MNU[OPTORLANG][ORLANGMORE]@CHOICE@AMPLURMNU}{\rtlch\fcs1 \af0 \ltrch\fcs0 \insrsid16147366\charrsid13580811 #}{\rtlch\fcs1 \af0 _x000d__x000a_\ltrch\fcs0 \cs17\v\fs20\cf9\lang1024\langfe1024\loch\af1\hich\af1\dbch\af31501\noproof\insrsid16147366\charrsid13580811 \hich\af1\dbch\af31501\loch\f1 &lt;/Original&gt;}{\rtlch\fcs1 \af0 \ltrch\fcs0 \insrsid16147366\charrsid13580811 _x000d__x000a_\par }\pard\plain \ltrpar\s21\qc \li0\ri0\sb240\sa240\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OptDel&gt;}{\rtlch\fcs1 \af0 \ltrch\fcs0 \insrsid16147366\charrsid13580811 #}{_x000d__x000a_\rtlch\fcs1 \af1 \ltrch\fcs0 \cs22\v\f1\fs20\cf15\insrsid16147366\charrsid13580811 MNU[CROSSREFNO][CROSSREFYES]@CHOICE@}{\rtlch\fcs1 \af0 \ltrch\fcs0 \insrsid16147366\charrsid13580811 #}{\rtlch\fcs1 \af0 \ltrch\fcs0 _x000d__x000a_\cs17\i0\v\fs20\cf9\lang1024\langfe1024\loch\af1\hich\af1\dbch\af31501\noproof\insrsid16147366\charrsid13580811 \hich\af1\dbch\af31501\loch\f1 &lt;/OptDel&gt;}{\rtlch\fcs1 \af0 \ltrch\fcs0 \insrsid16147366\charrsid13580811 _x000d__x000a_\par }\pard\plain \ltrpar\s23\qc \li0\ri0\sb240\sa240\keepn\nowidctlpar\wrapdefault\aspalpha\aspnum\faauto\adjustright\rin0\lin0\itap0\pararsid16147366 \rtlch\fcs1 \af0\afs20\alang1025 \ltrch\fcs0 \i\fs24\lang2057\langfe2057\cgrid\langnp2057\langfenp2057 {_x000d__x000a_\rtlch\fcs1 \af0 \ltrch\fcs0 \cs17\i0\v\fs20\cf9\lang1024\langfe1024\loch\af1\hich\af1\dbch\af31501\noproof\insrsid16147366\charrsid13580811 \hich\af1\dbch\af31501\loch\f1 &lt;TitreJust&gt;}{\rtlch\fcs1 \af0 \ltrch\fcs0 \insrsid16147366\charrsid13580811 _x000d__x000a_Justification}{\rtlch\fcs1 \af0 \ltrch\fcs0 \cs17\i0\v\fs20\cf9\lang1024\langfe1024\loch\af1\hich\af1\dbch\af31501\noproof\insrsid16147366\charrsid13580811 \hich\af1\dbch\af31501\loch\f1 &lt;/TitreJust&gt;}{\rtlch\fcs1 \af0 \ltrch\fcs0 _x000d__x000a_\insrsid16147366\charrsid13580811 _x000d__x000a_\par }\pard\plain \ltrpar\s20\ql \li0\ri0\sa240\nowidctlpar\wrapdefault\aspalpha\aspnum\faauto\adjustright\rin0\lin0\itap0\pararsid16147366 \rtlch\fcs1 \af0\afs20\alang1025 \ltrch\fcs0 \i\fs24\lang2057\langfe2057\cgrid\langnp2057\langfenp2057 {\rtlch\fcs1 _x000d__x000a_\af0 \ltrch\fcs0 \cs17\i0\v\fs20\cf9\lang1024\langfe1024\loch\af1\hich\af1\dbch\af31501\noproof\insrsid16147366\charrsid13580811 \hich\af1\dbch\af31501\loch\f1 &lt;OptDelPrev&gt;}{\rtlch\fcs1 \af0 \ltrch\fcs0 \insrsid16147366\charrsid13580811 #}{\rtlch\fcs1 _x000d__x000a_\af1 \ltrch\fcs0 \cs22\v\f1\fs20\cf15\insrsid16147366\charrsid13580811 MNU[TEXTJUSTYES][TEXTJUSTNO]@CHOICE@}{\rtlch\fcs1 \af0 \ltrch\fcs0 \insrsid16147366\charrsid13580811 #}{\rtlch\fcs1 \af0 \ltrch\fcs0 _x000d__x000a_\cs17\i0\v\fs20\cf9\lang1024\langfe1024\loch\af1\hich\af1\dbch\af31501\noproof\insrsid16147366\charrsid13580811 \hich\af1\dbch\af31501\loch\f1 &lt;/OptDelPrev&gt;}{\rtlch\fcs1 \af0 \ltrch\fcs0 \insrsid16147366\charrsid13580811 _x000d__x000a_\par }\pard\plain \ltrpar\ql \li0\ri0\widctlpar\wrapdefault\aspalpha\aspnum\faauto\adjustright\rin0\lin0\itap0\pararsid16147366 \rtlch\fcs1 \af0\afs20\alang1025 \ltrch\fcs0 \fs24\lang2057\langfe2057\cgrid\langnp2057\langfenp2057 {\rtlch\fcs1 \af0 \ltrch\fcs0 _x000d__x000a_\cs17\v\fs20\cf9\lang1024\langfe1024\loch\af1\hich\af1\dbch\af31501\noproof\insrsid16147366\charrsid13580811 \hich\af1\dbch\af31501\loch\f1 &lt;/}{\rtlch\fcs1 \af0 \ltrch\fcs0 _x000d__x000a_\cs17\v\fs20\cf9\lang1024\langfe1024\loch\af1\hich\af1\dbch\af31501\noproof\insrsid16147366 \hich\af1\dbch\af31501\loch\f1 Amend}{\rtlch\fcs1 \af0 \ltrch\fcs0 _x000d__x000a_\cs17\v\fs20\cf9\lang1024\langfe1024\loch\af1\hich\af1\dbch\af31501\noproof\insrsid16147366\charrsid1358081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e_x000d__x000a_9eaedd6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69473 HideTWBExt;}{_x000d__x000a_\s18\ql \li0\ri0\sa120\nowidctlpar\wrapdefault\aspalpha\aspnum\faauto\adjustright\rin0\lin0\itap0 \rtlch\fcs1 \af0\afs20\alang1025 \ltrch\fcs0 \fs24\lang2057\langfe2057\cgrid\langnp2057\langfenp2057 \sbasedon0 \snext18 \spriority0 \styrsid8469473 _x000d__x000a_Normal6a;}{\s19\ql \li0\ri0\nowidctlpar\wrapdefault\aspalpha\aspnum\faauto\adjustright\rin0\lin0\itap0 \rtlch\fcs1 \af0\afs20\alang1025 \ltrch\fcs0 \b\fs24\lang2057\langfe2057\cgrid\langnp2057\langfenp2057 \sbasedon0 \snext19 \spriority0 \styrsid8469473 _x000d__x000a_NormalBold;}{\s20\qc \li0\ri0\sa240\nowidctlpar\wrapdefault\aspalpha\aspnum\faauto\adjustright\rin0\lin0\itap0 \rtlch\fcs1 \af0\afs20\alang1025 \ltrch\fcs0 \i\fs24\lang2057\langfe2057\cgrid\langnp2057\langfenp2057 _x000d__x000a_\sbasedon0 \snext20 \spriority0 \styrsid846947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69473 AmNumberTabs;}{\s22\ql \li0\ri0\sb240\nowidctlpar\wrapdefault\aspalpha\aspnum\faauto\adjustright\rin0\lin0\itap0 \rtlch\fcs1 _x000d__x000a_\af0\afs20\alang1025 \ltrch\fcs0 \b\fs24\lang2057\langfe2057\cgrid\langnp2057\langfenp2057 \sbasedon0 \snext22 \spriority0 \styrsid8469473 NormalBold12b;}}{\*\rsidtbl \rsid24658\rsid223860\rsid735077\rsid1718133\rsid2892074\rsid3565327\rsid4423141_x000d__x000a_\rsid4666813\rsid6641733\rsid7823322\rsid846947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DE HAAN Marjolein}{\operator DE HAAN Marjolein}{\creatim\yr2024\mo3\dy25\hr13\min35}{\revtim\yr2024\mo3\dy25\hr13\min35}{\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7\pgbrdrhead\pgbrdrfoot\splytwnine\ftnlytwnine\htmautsp\nolnhtadjtbl\useltbaln\alntblind\lytcalctblwd\lyttblrtgr\lnbrkrule\nobrkwrptbl\snaptogridincell\allowfieldendsel\wrppunct_x000d__x000a_\asianbrkrule\nojkernpunct\rsidroot8469473\newtblstyruls\nogrowautofit\usenormstyforlist\noindnmbrts\felnbrelev\nocxsptable\indrlsweleven\noafcnsttbl\afelev\utinl\hwelev\spltpgpar\notcvasp\notbrkcnstfrctbl\notvatxbx\krnprsnet\cachedcolbal _x000d__x000a_\nouicompat \fet0{\*\wgrffmtfilter 013f}\nofeaturethrottle1\ilfomacatclnup0{\*\template C:\\Users\\mdehaan\\AppData\\Local\\Temp\\Blank1.dotx}{\*\ftnsep \ltrpar \pard\plain \ltrpar_x000d__x000a_\ql \li0\ri0\widctlpar\wrapdefault\aspalpha\aspnum\faauto\adjustright\rin0\lin0\itap0 \rtlch\fcs1 \af0\afs20\alang1025 \ltrch\fcs0 \fs24\lang2057\langfe2057\cgrid\langnp2057\langfenp2057 {\rtlch\fcs1 \af0 \ltrch\fcs0 \insrsid4423141 \chftnsep _x000d__x000a_\par }}{\*\ftnsepc \ltrpar \pard\plain \ltrpar\ql \li0\ri0\widctlpar\wrapdefault\aspalpha\aspnum\faauto\adjustright\rin0\lin0\itap0 \rtlch\fcs1 \af0\afs20\alang1025 \ltrch\fcs0 \fs24\lang2057\langfe2057\cgrid\langnp2057\langfenp2057 {\rtlch\fcs1 \af0 _x000d__x000a_\ltrch\fcs0 \insrsid4423141 \chftnsepc _x000d__x000a_\par }}{\*\aftnsep \ltrpar \pard\plain \ltrpar\ql \li0\ri0\widctlpar\wrapdefault\aspalpha\aspnum\faauto\adjustright\rin0\lin0\itap0 \rtlch\fcs1 \af0\afs20\alang1025 \ltrch\fcs0 \fs24\lang2057\langfe2057\cgrid\langnp2057\langfenp2057 {\rtlch\fcs1 \af0 _x000d__x000a_\ltrch\fcs0 \insrsid4423141 \chftnsep _x000d__x000a_\par }}{\*\aftnsepc \ltrpar \pard\plain \ltrpar\ql \li0\ri0\widctlpar\wrapdefault\aspalpha\aspnum\faauto\adjustright\rin0\lin0\itap0 \rtlch\fcs1 \af0\afs20\alang1025 \ltrch\fcs0 \fs24\lang2057\langfe2057\cgrid\langnp2057\langfenp2057 {\rtlch\fcs1 \af0 _x000d__x000a_\ltrch\fcs0 \insrsid44231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69473 \rtlch\fcs1 _x000d__x000a_\af0\afs20\alang1025 \ltrch\fcs0 \b\fs24\lang2057\langfe2057\cgrid\langnp2057\langfenp2057 {\rtlch\fcs1 \af0 \ltrch\fcs0 \cs17\b0\v\fs20\cf9\lang1024\langfe1024\loch\af1\hich\af1\dbch\af31501\noproof\insrsid8469473\charrsid15879488 {\*\bkmkstart restartA}_x000d__x000a_\hich\af1\dbch\af31501\loch\f1 &lt;AmendA&gt;}{\rtlch\fcs1 \af0 \ltrch\fcs0 \insrsid8469473\charrsid15879488 [ZAMENDMENT]\tab \tab }{\rtlch\fcs1 \af0 \ltrch\fcs0 _x000d__x000a_\cs17\b0\v\fs20\cf9\lang1024\langfe1024\loch\af1\hich\af1\dbch\af31501\noproof\insrsid8469473\charrsid15879488 \hich\af1\dbch\af31501\loch\f1 &lt;NumAmA&gt;}{\rtlch\fcs1 \af0 \ltrch\fcs0 \insrsid8469473\charrsid15879488 [ZNRAM]}{\rtlch\fcs1 \af0 \ltrch\fcs0 _x000d__x000a_\cs17\b0\v\fs20\cf9\lang1024\langfe1024\loch\af1\hich\af1\dbch\af31501\noproof\insrsid8469473\charrsid15879488 \hich\af1\dbch\af31501\loch\f1 &lt;/NumAmA&gt;}{\rtlch\fcs1 \af0 \ltrch\fcs0 \insrsid8469473\charrsid15879488 _x000d__x000a_\par }\pard\plain \ltrpar\s22\ql \li0\ri0\sb240\keepn\nowidctlpar\wrapdefault\aspalpha\aspnum\faauto\adjustright\rin0\lin0\itap0\pararsid8469473 \rtlch\fcs1 \af0\afs20\alang1025 \ltrch\fcs0 \b\fs24\lang2057\langfe2057\cgrid\langnp2057\langfenp2057 {_x000d__x000a_\rtlch\fcs1 \af0 \ltrch\fcs0 \cs17\b0\v\fs20\cf9\lang1024\langfe1024\loch\af1\hich\af1\dbch\af31501\noproof\langnp1036\insrsid8469473\charrsid11356624 \hich\af1\dbch\af31501\loch\f1 &lt;DocAmend&gt;}{\rtlch\fcs1 \af0 \ltrch\fcs0 _x000d__x000a_\lang1036\langfe2057\langnp1036\insrsid8469473\charrsid11356624 [ZRESOLUTION]}{\rtlch\fcs1 \af0 \ltrch\fcs0 \cs17\b0\v\fs20\cf9\lang1024\langfe1024\loch\af1\hich\af1\dbch\af31501\noproof\langnp1036\insrsid8469473\charrsid11356624 _x000d__x000a_\hich\af1\dbch\af31501\loch\f1 &lt;/DocAmend&gt;}{\rtlch\fcs1 \af0 \ltrch\fcs0 \lang1036\langfe2057\langnp1036\insrsid8469473\charrsid11356624 _x000d__x000a_\par }\pard\plain \ltrpar\s19\ql \li0\ri0\nowidctlpar\wrapdefault\aspalpha\aspnum\faauto\adjustright\rin0\lin0\itap0\pararsid8469473 \rtlch\fcs1 \af0\afs20\alang1025 \ltrch\fcs0 \b\fs24\lang2057\langfe2057\cgrid\langnp2057\langfenp2057 {\rtlch\fcs1 \af0 _x000d__x000a_\ltrch\fcs0 \cs17\b0\v\fs20\cf9\lang1024\langfe1024\loch\af1\hich\af1\dbch\af31501\noproof\langnp1036\insrsid8469473\charrsid11356624 \hich\af1\dbch\af31501\loch\f1 &lt;Article&gt;}{\rtlch\fcs1 \af0 \ltrch\fcs0 _x000d__x000a_\lang1036\langfe2057\langnp1036\insrsid8469473\charrsid11356624 [ZRESPART]}{\rtlch\fcs1 \af0 \ltrch\fcs0 \cs17\b0\v\fs20\cf9\lang1024\langfe1024\loch\af1\hich\af1\dbch\af31501\noproof\langnp1036\insrsid8469473\charrsid11356624 _x000d__x000a_\hich\af1\dbch\af31501\loch\f1 &lt;/Article&gt;}{\rtlch\fcs1 \af0 \ltrch\fcs0 \lang1036\langfe2057\langnp1036\insrsid846947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69473\charrsid11356624 \cell }\pard \ltrpar_x000d__x000a_\ql \li0\ri0\widctlpar\intbl\wrapdefault\aspalpha\aspnum\faauto\adjustright\rin0\lin0 {\rtlch\fcs1 \af0 \ltrch\fcs0 \insrsid8469473\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69473\charrsid15879488 [ZLEFTA]\cell [ZRIGHT]\cell }\pard\plain \ltrpar\ql \li0\ri0\widctlpar\intbl\wrapdefault\aspalpha\aspnum\faauto\adjustright\rin0\lin0 _x000d__x000a_\rtlch\fcs1 \af0\afs20\alang1025 \ltrch\fcs0 \fs24\lang2057\langfe2057\cgrid\langnp2057\langfenp2057 {\rtlch\fcs1 \af0 \ltrch\fcs0 \insrsid846947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69473\charrsid15879488 [ZTEXTL]\cell [ZTEXTR]}{\rtlch\fcs1 \af0\afs24 \ltrch\fcs0 \insrsid8469473\charrsid15879488 \cell }\pard\plain \ltrpar\ql \li0\ri0\widctlpar\intbl\wrapdefault\aspalpha\aspnum\faauto\adjustright\rin0\lin0 \rtlch\fcs1 _x000d__x000a_\af0\afs20\alang1025 \ltrch\fcs0 \fs24\lang2057\langfe2057\cgrid\langnp2057\langfenp2057 {\rtlch\fcs1 \af0 \ltrch\fcs0 \insrsid846947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69473 {\rtlch\fcs1 \af0 \ltrch\fcs0 \cs17\v\fs20\cf9\lang1024\langfe1024\loch\af1\hich\af1\dbch\af31501\noproof\insrsid8469473\charrsid15879488 _x000d__x000a_\hich\af1\dbch\af31501\loch\f1 &lt;/AmendA&gt;}{\rtlch\fcs1 \af0 \ltrch\fcs0 \insrsid846947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9addb0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297191 HideTWBExt;}{_x000d__x000a_\s18\ql \li0\ri0\sa120\nowidctlpar\wrapdefault\aspalpha\aspnum\faauto\adjustright\rin0\lin0\itap0 \rtlch\fcs1 \af0\afs20\alang1025 \ltrch\fcs0 \fs24\lang2057\langfe2057\cgrid\langnp2057\langfenp2057 \sbasedon0 \snext18 \spriority0 \styrsid15297191 _x000d__x000a_Normal6a;}{\s19\ql \li0\ri0\nowidctlpar\wrapdefault\aspalpha\aspnum\faauto\adjustright\rin0\lin0\itap0 \rtlch\fcs1 \af0\afs20\alang1025 \ltrch\fcs0 \b\fs24\lang2057\langfe2057\cgrid\langnp2057\langfenp2057 \sbasedon0 \snext19 \spriority0 \styrsid15297191 _x000d__x000a_NormalBold;}{\s20\ql \li0\ri0\sa240\nowidctlpar\wrapdefault\aspalpha\aspnum\faauto\adjustright\rin0\lin0\itap0 \rtlch\fcs1 \af0\afs20\alang1025 \ltrch\fcs0 \i\fs24\lang2057\langfe2057\cgrid\langnp2057\langfenp2057 _x000d__x000a_\sbasedon0 \snext20 \spriority0 \styrsid15297191 AmJustText;}{\s21\qc \li0\ri0\sb240\sa240\nowidctlpar\wrapdefault\aspalpha\aspnum\faauto\adjustright\rin0\lin0\itap0 \rtlch\fcs1 \af0\afs20\alang1025 \ltrch\fcs0 _x000d__x000a_\i\fs24\lang2057\langfe2057\cgrid\langnp2057\langfenp2057 \sbasedon0 \snext21 \spriority0 \styrsid15297191 AmCrossRef;}{\s22\qc \li0\ri0\sb240\sa240\keepn\nowidctlpar\wrapdefault\aspalpha\aspnum\faauto\adjustright\rin0\lin0\itap0 \rtlch\fcs1 _x000d__x000a_\af0\afs20\alang1025 \ltrch\fcs0 \i\fs24\lang2057\langfe2057\cgrid\langnp2057\langfenp2057 \sbasedon0 \snext20 \spriority0 \styrsid15297191 AmJustTitle;}{\s23\qc \li0\ri0\sa240\nowidctlpar\wrapdefault\aspalpha\aspnum\faauto\adjustright\rin0\lin0\itap0 _x000d__x000a_\rtlch\fcs1 \af0\afs20\alang1025 \ltrch\fcs0 \i\fs24\lang2057\langfe2057\cgrid\langnp2057\langfenp2057 \sbasedon0 \snext23 \spriority0 \styrsid1529719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297191 AmNumberTabs;}{\s25\ql \li0\ri0\sb240\nowidctlpar\wrapdefault\aspalpha\aspnum\faauto\adjustright\rin0\lin0\itap0 \rtlch\fcs1 _x000d__x000a_\af0\afs20\alang1025 \ltrch\fcs0 \b\fs24\lang2057\langfe2057\cgrid\langnp2057\langfenp2057 \sbasedon0 \snext25 \spriority0 \styrsid15297191 NormalBold12b;}}{\*\rsidtbl \rsid24658\rsid223860\rsid735077\rsid1718133\rsid2892074\rsid3565327\rsid4666813_x000d__x000a_\rsid6641733\rsid7823322\rsid9636012\rsid10377208\rsid11215221\rsid11549030\rsid12154954\rsid14382809\rsid14424199\rsid14904088\rsid15204470\rsid15285974\rsid15297191\rsid15950462\rsid16324206\rsid16662270}{\mmathPr\mmathFont34\mbrkBin0\mbrkBinSub0_x000d__x000a_\msmallFrac0\mdispDef1\mlMargin0\mrMargin0\mdefJc1\mwrapIndent1440\mintLim0\mnaryLim1}{\info{\author DE HAAN Marjolein}{\operator DE HAAN Marjolein}{\creatim\yr2024\mo3\dy25\hr13\min35}{\revtim\yr2024\mo3\dy25\hr13\min35}{\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7\pgbrdrhead\pgbrdrfoot\splytwnine\ftnlytwnine\htmautsp\nolnhtadjtbl\useltbaln\alntblind\lytcalctblwd\lyttblrtgr\lnbrkrule\nobrkwrptbl\snaptogridincell\allowfieldendsel\wrppunct_x000d__x000a_\asianbrkrule\nojkernpunct\rsidroot15297191\newtblstyruls\nogrowautofit\usenormstyforlist\noindnmbrts\felnbrelev\nocxsptable\indrlsweleven\noafcnsttbl\afelev\utinl\hwelev\spltpgpar\notcvasp\notbrkcnstfrctbl\notvatxbx\krnprsnet\cachedcolbal _x000d__x000a_\nouicompat \fet0{\*\wgrffmtfilter 013f}\nofeaturethrottle1\ilfomacatclnup0{\*\template C:\\Users\\mdehaan\\AppData\\Local\\Temp\\Blank1.dotx}{\*\ftnsep \ltrpar \pard\plain \ltrpar_x000d__x000a_\ql \li0\ri0\widctlpar\wrapdefault\aspalpha\aspnum\faauto\adjustright\rin0\lin0\itap0 \rtlch\fcs1 \af0\afs20\alang1025 \ltrch\fcs0 \fs24\lang2057\langfe2057\cgrid\langnp2057\langfenp2057 {\rtlch\fcs1 \af0 \ltrch\fcs0 \insrsid14904088 \chftnsep _x000d__x000a_\par }}{\*\ftnsepc \ltrpar \pard\plain \ltrpar\ql \li0\ri0\widctlpar\wrapdefault\aspalpha\aspnum\faauto\adjustright\rin0\lin0\itap0 \rtlch\fcs1 \af0\afs20\alang1025 \ltrch\fcs0 \fs24\lang2057\langfe2057\cgrid\langnp2057\langfenp2057 {\rtlch\fcs1 \af0 _x000d__x000a_\ltrch\fcs0 \insrsid14904088 \chftnsepc _x000d__x000a_\par }}{\*\aftnsep \ltrpar \pard\plain \ltrpar\ql \li0\ri0\widctlpar\wrapdefault\aspalpha\aspnum\faauto\adjustright\rin0\lin0\itap0 \rtlch\fcs1 \af0\afs20\alang1025 \ltrch\fcs0 \fs24\lang2057\langfe2057\cgrid\langnp2057\langfenp2057 {\rtlch\fcs1 \af0 _x000d__x000a_\ltrch\fcs0 \insrsid14904088 \chftnsep _x000d__x000a_\par }}{\*\aftnsepc \ltrpar \pard\plain \ltrpar\ql \li0\ri0\widctlpar\wrapdefault\aspalpha\aspnum\faauto\adjustright\rin0\lin0\itap0 \rtlch\fcs1 \af0\afs20\alang1025 \ltrch\fcs0 \fs24\lang2057\langfe2057\cgrid\langnp2057\langfenp2057 {\rtlch\fcs1 \af0 _x000d__x000a_\ltrch\fcs0 \insrsid149040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297191 \rtlch\fcs1 _x000d__x000a_\af0\afs20\alang1025 \ltrch\fcs0 \b\fs24\lang2057\langfe2057\cgrid\langnp2057\langfenp2057 {\rtlch\fcs1 \af0 \ltrch\fcs0 \cs17\b0\v\fs20\cf9\lang1024\langfe1024\loch\af1\hich\af1\dbch\af31501\noproof\insrsid15297191\charrsid15879488 {\*\bkmkstart restartB_x000d__x000a_}\hich\af1\dbch\af31501\loch\f1 &lt;AmendB&gt;}{\rtlch\fcs1 \af0 \ltrch\fcs0 \insrsid15297191\charrsid15879488 [ZAMENDMENT]\tab \tab }{\rtlch\fcs1 \af0 \ltrch\fcs0 _x000d__x000a_\cs17\b0\v\fs20\cf9\lang1024\langfe1024\loch\af1\hich\af1\dbch\af31501\noproof\insrsid15297191\charrsid15879488 \hich\af1\dbch\af31501\loch\f1 &lt;NumAmB&gt;}{\rtlch\fcs1 \af0 \ltrch\fcs0 \insrsid15297191\charrsid15879488 [ZNRAM]}{\rtlch\fcs1 \af0 \ltrch\fcs0 _x000d__x000a_\cs17\b0\v\fs20\cf9\lang1024\langfe1024\loch\af1\hich\af1\dbch\af31501\noproof\insrsid15297191\charrsid15879488 \hich\af1\dbch\af31501\loch\f1 &lt;/NumAmB&gt;}{\rtlch\fcs1 \af0 \ltrch\fcs0 \insrsid15297191\charrsid15879488 _x000d__x000a_\par }\pard\plain \ltrpar\s25\ql \li0\ri0\sb240\keepn\nowidctlpar\wrapdefault\aspalpha\aspnum\faauto\adjustright\rin0\lin0\itap0\pararsid15297191 \rtlch\fcs1 \af0\afs20\alang1025 \ltrch\fcs0 \b\fs24\lang2057\langfe2057\cgrid\langnp2057\langfenp2057 {_x000d__x000a_\rtlch\fcs1 \af0 \ltrch\fcs0 \cs17\b0\v\fs20\cf9\lang1024\langfe1024\loch\af1\hich\af1\dbch\af31501\noproof\insrsid15297191\charrsid15879488 \hich\af1\dbch\af31501\loch\f1 &lt;DocAmend&gt;}{\rtlch\fcs1 \af0 \ltrch\fcs0 \insrsid15297191\charrsid15879488 _x000d__x000a_[ZPROPOSAL][ZAMACT]}{\rtlch\fcs1 \af0 \ltrch\fcs0 \cs17\b0\v\fs20\cf9\lang1024\langfe1024\loch\af1\hich\af1\dbch\af31501\noproof\insrsid15297191\charrsid15879488 \hich\af1\dbch\af31501\loch\f1 &lt;/DocAmend&gt;}{\rtlch\fcs1 \af0 \ltrch\fcs0 _x000d__x000a_\insrsid15297191\charrsid15879488 _x000d__x000a_\par }\pard\plain \ltrpar\s19\ql \li0\ri0\keepn\nowidctlpar\wrapdefault\aspalpha\aspnum\faauto\adjustright\rin0\lin0\itap0\pararsid15297191 \rtlch\fcs1 \af0\afs20\alang1025 \ltrch\fcs0 \b\fs24\lang2057\langfe2057\cgrid\langnp2057\langfenp2057 {\rtlch\fcs1 _x000d__x000a_\af0 \ltrch\fcs0 \cs17\b0\v\fs20\cf9\lang1024\langfe1024\loch\af1\hich\af1\dbch\af31501\noproof\insrsid15297191\charrsid15879488 \hich\af1\dbch\af31501\loch\f1 &lt;Article&gt;}{\rtlch\fcs1 \af0 \ltrch\fcs0 \insrsid15297191\charrsid15879488 [ZAMPART]}{_x000d__x000a_\rtlch\fcs1 \af0 \ltrch\fcs0 \cs17\b0\v\fs20\cf9\lang1024\langfe1024\loch\af1\hich\af1\dbch\af31501\noproof\insrsid15297191\charrsid15879488 \hich\af1\dbch\af31501\loch\f1 &lt;/Article&gt;}{\rtlch\fcs1 \af0 \ltrch\fcs0 \insrsid15297191\charrsid15879488 _x000d__x000a_\par }\pard\plain \ltrpar\ql \li0\ri0\keepn\widctlpar\wrapdefault\aspalpha\aspnum\faauto\adjustright\rin0\lin0\itap0\pararsid15297191 \rtlch\fcs1 \af0\afs20\alang1025 \ltrch\fcs0 \fs24\lang2057\langfe2057\cgrid\langnp2057\langfenp2057 {\rtlch\fcs1 \af0 _x000d__x000a_\ltrch\fcs0 \cs17\v\fs20\cf9\lang1024\langfe1024\loch\af1\hich\af1\dbch\af31501\noproof\insrsid15297191\charrsid15879488 \hich\af1\dbch\af31501\loch\f1 &lt;DocAmend2&gt;&lt;OptDel&gt;}{\rtlch\fcs1 \af0 \ltrch\fcs0 \insrsid15297191\charrsid15879488 [ZNRACT]}{_x000d__x000a_\rtlch\fcs1 \af0 \ltrch\fcs0 \cs17\v\fs20\cf9\lang1024\langfe1024\loch\af1\hich\af1\dbch\af31501\noproof\insrsid15297191\charrsid15879488 \hich\af1\dbch\af31501\loch\f1 &lt;/OptDel&gt;&lt;/DocAmend2&gt;}{\rtlch\fcs1 \af0 \ltrch\fcs0 \insrsid15297191\charrsid15879488 _x000d__x000a__x000d__x000a_\par }\pard \ltrpar\ql \li0\ri0\widctlpar\wrapdefault\aspalpha\aspnum\faauto\adjustright\rin0\lin0\itap0\pararsid15297191 {\rtlch\fcs1 \af0 \ltrch\fcs0 _x000d__x000a_\cs17\v\fs20\cf9\lang1024\langfe1024\loch\af1\hich\af1\dbch\af31501\noproof\langnp1036\insrsid15297191\charrsid11356624 \hich\af1\dbch\af31501\loch\f1 &lt;Article2&gt;&lt;OptDel&gt;}{\rtlch\fcs1 \af0 \ltrch\fcs0 _x000d__x000a_\lang1036\langfe2057\langnp1036\insrsid15297191\charrsid11356624 [ZACTPART]}{\rtlch\fcs1 \af0 \ltrch\fcs0 \cs17\v\fs20\cf9\lang1024\langfe1024\loch\af1\hich\af1\dbch\af31501\noproof\langnp1036\insrsid15297191\charrsid11356624 _x000d__x000a_\hich\af1\dbch\af31501\loch\f1 &lt;/OptDel&gt;&lt;/Article2&gt;}{\rtlch\fcs1 \af0 \ltrch\fcs0 \lang1036\langfe2057\langnp1036\insrsid15297191\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297191\charrsid11356624 \cell }\pard \ltrpar\ql \li0\ri0\widctlpar\intbl\wrapdefault\aspalpha\aspnum\faauto\adjustright\rin0\lin0 {\rtlch\fcs1 \af0 \ltrch\fcs0 \insrsid15297191\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297191\charrsid15879488 [ZLEFTB]\cell [ZRIGHT]\cell }\pard\plain \ltrpar\ql \li0\ri0\widctlpar\intbl\wrapdefault\aspalpha\aspnum\faauto\adjustright\rin0\lin0 \rtlch\fcs1 \af0\afs20\alang1025 \ltrch\fcs0 _x000d__x000a_\fs24\lang2057\langfe2057\cgrid\langnp2057\langfenp2057 {\rtlch\fcs1 \af0 \ltrch\fcs0 \insrsid15297191\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297191\charrsid15879488 [ZTEXTL]\cell [ZTEXTR]}{\rtlch\fcs1 \af0\afs24 \ltrch\fcs0 \insrsid15297191\charrsid15879488 \cell }\pard\plain \ltrpar\ql \li0\ri0\widctlpar\intbl\wrapdefault\aspalpha\aspnum\faauto\adjustright\rin0\lin0 \rtlch\fcs1 _x000d__x000a_\af0\afs20\alang1025 \ltrch\fcs0 \fs24\lang2057\langfe2057\cgrid\langnp2057\langfenp2057 {\rtlch\fcs1 \af0 \ltrch\fcs0 \insrsid15297191\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297191 \rtlch\fcs1 \af0\afs20\alang1025 \ltrch\fcs0 \i\fs24\lang2057\langfe2057\cgrid\langnp2057\langfenp2057 {\rtlch\fcs1 \af0 \ltrch\fcs0 _x000d__x000a_\cs17\i0\v\fs20\cf9\lang1024\langfe1024\loch\af1\hich\af1\dbch\af31501\noproof\insrsid15297191\charrsid15879488 \hich\af1\dbch\af31501\loch\f1 &lt;OptDel&gt;}{\rtlch\fcs1 \af0 \ltrch\fcs0 \insrsid15297191\charrsid15879488 [ZCROSSREF]}{\rtlch\fcs1 \af0 _x000d__x000a_\ltrch\fcs0 \cs17\i0\v\fs20\cf9\lang1024\langfe1024\loch\af1\hich\af1\dbch\af31501\noproof\insrsid15297191\charrsid15879488 \hich\af1\dbch\af31501\loch\f1 &lt;/OptDel&gt;}{\rtlch\fcs1 \af0 \ltrch\fcs0 \insrsid15297191\charrsid15879488 _x000d__x000a_\par }\pard\plain \ltrpar\s22\qc \li0\ri0\sb240\sa240\keepn\nowidctlpar\wrapdefault\aspalpha\aspnum\faauto\adjustright\rin0\lin0\itap0\pararsid15297191 \rtlch\fcs1 \af0\afs20\alang1025 \ltrch\fcs0 \i\fs24\lang2057\langfe2057\cgrid\langnp2057\langfenp2057 {_x000d__x000a_\rtlch\fcs1 \af0 \ltrch\fcs0 \cs17\i0\v\fs20\cf9\lang1024\langfe1024\loch\af1\hich\af1\dbch\af31501\noproof\insrsid15297191\charrsid15879488 \hich\af1\dbch\af31501\loch\f1 &lt;TitreJust&gt;}{\rtlch\fcs1 \af0 \ltrch\fcs0 \insrsid15297191\charrsid15879488 _x000d__x000a_[ZJUSTIFICATION]}{\rtlch\fcs1 \af0 \ltrch\fcs0 \cs17\i0\v\fs20\cf9\lang1024\langfe1024\loch\af1\hich\af1\dbch\af31501\noproof\insrsid15297191\charrsid15879488 \hich\af1\dbch\af31501\loch\f1 &lt;/TitreJust&gt;}{\rtlch\fcs1 \af0 \ltrch\fcs0 _x000d__x000a_\insrsid15297191\charrsid15879488 _x000d__x000a_\par }\pard\plain \ltrpar\s20\ql \li0\ri0\sa240\nowidctlpar\wrapdefault\aspalpha\aspnum\faauto\adjustright\rin0\lin0\itap0\pararsid15297191 \rtlch\fcs1 \af0\afs20\alang1025 \ltrch\fcs0 \i\fs24\lang2057\langfe2057\cgrid\langnp2057\langfenp2057 {\rtlch\fcs1 _x000d__x000a_\af0 \ltrch\fcs0 \cs17\i0\v\fs20\cf9\lang1024\langfe1024\loch\af1\hich\af1\dbch\af31501\noproof\insrsid15297191\charrsid15879488 \hich\af1\dbch\af31501\loch\f1 &lt;OptDelPrev&gt;}{\rtlch\fcs1 \af0 \ltrch\fcs0 \insrsid15297191\charrsid15879488 [ZTEXTJUST]}{_x000d__x000a_\rtlch\fcs1 \af0 \ltrch\fcs0 \cs17\i0\v\fs20\cf9\lang1024\langfe1024\loch\af1\hich\af1\dbch\af31501\noproof\insrsid15297191\charrsid15879488 \hich\af1\dbch\af31501\loch\f1 &lt;/OptDelPrev&gt;}{\rtlch\fcs1 \af0 \ltrch\fcs0 \insrsid15297191\charrsid15879488 _x000d__x000a__x000d__x000a_\par }\pard\plain \ltrpar\ql \li0\ri0\widctlpar\wrapdefault\aspalpha\aspnum\faauto\adjustright\rin0\lin0\itap0\pararsid15297191 \rtlch\fcs1 \af0\afs20\alang1025 \ltrch\fcs0 \fs24\lang2057\langfe2057\cgrid\langnp2057\langfenp2057 {\rtlch\fcs1 \af0 \ltrch\fcs0 _x000d__x000a_\cs17\v\fs20\cf9\lang1024\langfe1024\loch\af1\hich\af1\dbch\af31501\noproof\insrsid15297191\charrsid15879488 \hich\af1\dbch\af31501\loch\f1 &lt;/AmendB&gt;}{\rtlch\fcs1 \af0 \ltrch\fcs0 \insrsid15297191\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12_x000d__x000a_8ae0b0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3\fbidi \froman\fcharset238\fprq2 Times New Roman CE;}{\f334\fbidi \froman\fcharset204\fprq2 Times New Roman Cyr;}_x000d__x000a_{\f336\fbidi \froman\fcharset161\fprq2 Times New Roman Greek;}{\f337\fbidi \froman\fcharset162\fprq2 Times New Roman Tur;}{\f338\fbidi \froman\fcharset177\fprq2 Times New Roman (Hebrew);}{\f339\fbidi \froman\fcharset178\fprq2 Times New Roman (Arabic);}_x000d__x000a_{\f340\fbidi \froman\fcharset186\fprq2 Times New Roman Baltic;}{\f341\fbidi \froman\fcharset163\fprq2 Times New Roman (Vietnamese);}{\f343\fbidi \fswiss\fcharset238\fprq2 Arial CE;}{\f344\fbidi \fswiss\fcharset204\fprq2 Arial Cyr;}_x000d__x000a_{\f346\fbidi \fswiss\fcharset161\fprq2 Arial Greek;}{\f347\fbidi \fswiss\fcharset162\fprq2 Arial Tur;}{\f348\fbidi \fswiss\fcharset177\fprq2 Arial (Hebrew);}{\f349\fbidi \fswiss\fcharset178\fprq2 Arial (Arabic);}_x000d__x000a_{\f350\fbidi \fswiss\fcharset186\fprq2 Arial Baltic;}{\f351\fbidi \fswiss\fcharset163\fprq2 Arial (Vietnamese);}{\f673\fbidi \froman\fcharset238\fprq2 Cambria Math CE;}{\f674\fbidi \froman\fcharset204\fprq2 Cambria Math Cyr;}_x000d__x000a_{\f676\fbidi \froman\fcharset161\fprq2 Cambria Math Greek;}{\f677\fbidi \froman\fcharset162\fprq2 Cambria Math Tur;}{\f680\fbidi \froman\fcharset186\fprq2 Cambria Math Baltic;}{\f68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47918 HideTWBExt;}{_x000d__x000a_\s18\ql \li0\ri0\sa120\nowidctlpar\wrapdefault\aspalpha\aspnum\faauto\adjustright\rin0\lin0\itap0 \rtlch\fcs1 \af0\afs20\alang1025 \ltrch\fcs0 \fs24\lang2057\langfe2057\cgrid\langnp2057\langfenp2057 \sbasedon0 \snext18 \spriority0 \styrsid1247918 _x000d__x000a_Normal6a;}{\s19\ql \li0\ri0\nowidctlpar\wrapdefault\aspalpha\aspnum\faauto\adjustright\rin0\lin0\itap0 \rtlch\fcs1 \af0\afs20\alang1025 \ltrch\fcs0 \b\fs24\lang2057\langfe2057\cgrid\langnp2057\langfenp2057 \sbasedon0 \snext19 \spriority0 \styrsid1247918 _x000d__x000a_NormalBold;}{\s20\ql \li0\ri0\sa240\nowidctlpar\wrapdefault\aspalpha\aspnum\faauto\adjustright\rin0\lin0\itap0 \rtlch\fcs1 \af0\afs20\alang1025 \ltrch\fcs0 \i\fs24\lang2057\langfe2057\cgrid\langnp2057\langfenp2057 _x000d__x000a_\sbasedon0 \snext20 \spriority0 \styrsid1247918 AmJustText;}{\s21\qc \li0\ri0\sb240\sa240\nowidctlpar\wrapdefault\aspalpha\aspnum\faauto\adjustright\rin0\lin0\itap0 \rtlch\fcs1 \af0\afs20\alang1025 \ltrch\fcs0 _x000d__x000a_\i\fs24\lang2057\langfe2057\cgrid\langnp2057\langfenp2057 \sbasedon0 \snext21 \spriority0 \styrsid1247918 AmCrossRef;}{\s22\qc \li0\ri0\sb240\sa240\keepn\nowidctlpar\wrapdefault\aspalpha\aspnum\faauto\adjustright\rin0\lin0\itap0 \rtlch\fcs1 _x000d__x000a_\af0\afs20\alang1025 \ltrch\fcs0 \i\fs24\lang2057\langfe2057\cgrid\langnp2057\langfenp2057 \sbasedon0 \snext20 \spriority0 \styrsid1247918 AmJustTitle;}{\s23\qc \li0\ri0\sa240\nowidctlpar\wrapdefault\aspalpha\aspnum\faauto\adjustright\rin0\lin0\itap0 _x000d__x000a_\rtlch\fcs1 \af0\afs20\alang1025 \ltrch\fcs0 \i\fs24\lang2057\langfe2057\cgrid\langnp2057\langfenp2057 \sbasedon0 \snext23 \spriority0 \styrsid1247918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47918 AmNumberTabs;}{\s25\ql \li0\ri0\sb240\nowidctlpar\wrapdefault\aspalpha\aspnum\faauto\adjustright\rin0\lin0\itap0 \rtlch\fcs1 _x000d__x000a_\af0\afs20\alang1025 \ltrch\fcs0 \b\fs24\lang2057\langfe2057\cgrid\langnp2057\langfenp2057 \sbasedon0 \snext25 \spriority0 \styrsid1247918 NormalBold12b;}}{\*\rsidtbl \rsid24658\rsid223860\rsid735077\rsid1247918\rsid1718133\rsid2892074\rsid3565327_x000d__x000a_\rsid4666813\rsid6641733\rsid7823322\rsid9636012\rsid10377208\rsid11215221\rsid11549030\rsid12154954\rsid12276815\rsid14382809\rsid14424199\rsid15204470\rsid15285974\rsid15950462\rsid16324206\rsid16662270}{\mmathPr\mmathFont34\mbrkBin0\mbrkBinSub0_x000d__x000a_\msmallFrac0\mdispDef1\mlMargin0\mrMargin0\mdefJc1\mwrapIndent1440\mintLim0\mnaryLim1}{\info{\author DE HAAN Marjolein}{\operator DE HAAN Marjolein}{\creatim\yr2024\mo3\dy25\hr13\min35}{\revtim\yr2024\mo3\dy25\hr13\min35}{\version1}{\edmins0}{\nofpages1}_x000d__x000a_{\nofwords55}{\nofchars317}{\nofcharsws37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17\pgbrdrhead\pgbrdrfoot\splytwnine\ftnlytwnine\htmautsp\nolnhtadjtbl\useltbaln\alntblind\lytcalctblwd\lyttblrtgr\lnbrkrule\nobrkwrptbl\snaptogridincell\allowfieldendsel\wrppunct_x000d__x000a_\asianbrkrule\nojkernpunct\rsidroot1247918\newtblstyruls\nogrowautofit\usenormstyforlist\noindnmbrts\felnbrelev\nocxsptable\indrlsweleven\noafcnsttbl\afelev\utinl\hwelev\spltpgpar\notcvasp\notbrkcnstfrctbl\notvatxbx\krnprsnet\cachedcolbal _x000d__x000a_\nouicompat \fet0{\*\wgrffmtfilter 013f}\nofeaturethrottle1\ilfomacatclnup0{\*\template C:\\Users\\mdehaan\\AppData\\Local\\Temp\\Blank1.dotx}{\*\ftnsep \ltrpar \pard\plain \ltrpar_x000d__x000a_\ql \li0\ri0\widctlpar\wrapdefault\aspalpha\aspnum\faauto\adjustright\rin0\lin0\itap0 \rtlch\fcs1 \af0\afs20\alang1025 \ltrch\fcs0 \fs24\lang2057\langfe2057\cgrid\langnp2057\langfenp2057 {\rtlch\fcs1 \af0 \ltrch\fcs0 \insrsid12276815 \chftnsep _x000d__x000a_\par }}{\*\ftnsepc \ltrpar \pard\plain \ltrpar\ql \li0\ri0\widctlpar\wrapdefault\aspalpha\aspnum\faauto\adjustright\rin0\lin0\itap0 \rtlch\fcs1 \af0\afs20\alang1025 \ltrch\fcs0 \fs24\lang2057\langfe2057\cgrid\langnp2057\langfenp2057 {\rtlch\fcs1 \af0 _x000d__x000a_\ltrch\fcs0 \insrsid12276815 \chftnsepc _x000d__x000a_\par }}{\*\aftnsep \ltrpar \pard\plain \ltrpar\ql \li0\ri0\widctlpar\wrapdefault\aspalpha\aspnum\faauto\adjustright\rin0\lin0\itap0 \rtlch\fcs1 \af0\afs20\alang1025 \ltrch\fcs0 \fs24\lang2057\langfe2057\cgrid\langnp2057\langfenp2057 {\rtlch\fcs1 \af0 _x000d__x000a_\ltrch\fcs0 \insrsid12276815 \chftnsep _x000d__x000a_\par }}{\*\aftnsepc \ltrpar \pard\plain \ltrpar\ql \li0\ri0\widctlpar\wrapdefault\aspalpha\aspnum\faauto\adjustright\rin0\lin0\itap0 \rtlch\fcs1 \af0\afs20\alang1025 \ltrch\fcs0 \fs24\lang2057\langfe2057\cgrid\langnp2057\langfenp2057 {\rtlch\fcs1 \af0 _x000d__x000a_\ltrch\fcs0 \insrsid122768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47918 \rtlch\fcs1 _x000d__x000a_\af0\afs20\alang1025 \ltrch\fcs0 \b\fs24\lang2057\langfe2057\cgrid\langnp2057\langfenp2057 {\rtlch\fcs1 \af0 \ltrch\fcs0 \cs17\b0\v\fs20\cf9\lang1024\langfe1024\loch\af1\hich\af1\dbch\af31501\noproof\insrsid1247918\charrsid15879488 {\*\bkmkstart restartB}_x000d__x000a_\hich\af1\dbch\af31501\loch\f1 &lt;AmendB&gt;}{\rtlch\fcs1 \af0 \ltrch\fcs0 \insrsid1247918\charrsid15879488 [ZAMENDMENT]\tab \tab }{\rtlch\fcs1 \af0 \ltrch\fcs0 _x000d__x000a_\cs17\b0\v\fs20\cf9\lang1024\langfe1024\loch\af1\hich\af1\dbch\af31501\noproof\insrsid1247918\charrsid15879488 \hich\af1\dbch\af31501\loch\f1 &lt;NumAmB&gt;}{\rtlch\fcs1 \af0 \ltrch\fcs0 \insrsid1247918\charrsid15879488 [ZNRAM]}{\rtlch\fcs1 \af0 \ltrch\fcs0 _x000d__x000a_\cs17\b0\v\fs20\cf9\lang1024\langfe1024\loch\af1\hich\af1\dbch\af31501\noproof\insrsid1247918\charrsid15879488 \hich\af1\dbch\af31501\loch\f1 &lt;/NumAmB&gt;}{\rtlch\fcs1 \af0 \ltrch\fcs0 \insrsid1247918\charrsid15879488 _x000d__x000a_\par }\pard\plain \ltrpar\s25\ql \li0\ri0\sb240\keepn\nowidctlpar\wrapdefault\aspalpha\aspnum\faauto\adjustright\rin0\lin0\itap0\pararsid1247918 \rtlch\fcs1 \af0\afs20\alang1025 \ltrch\fcs0 \b\fs24\lang2057\langfe2057\cgrid\langnp2057\langfenp2057 {_x000d__x000a_\rtlch\fcs1 \af0 \ltrch\fcs0 \cs17\b0\v\fs20\cf9\lang1024\langfe1024\loch\af1\hich\af1\dbch\af31501\noproof\insrsid1247918\charrsid15879488 \hich\af1\dbch\af31501\loch\f1 &lt;DocAmend&gt;}{\rtlch\fcs1 \af0 \ltrch\fcs0 \insrsid1247918\charrsid15879488 _x000d__x000a_[ZPROPOSAL][ZAMACT]}{\rtlch\fcs1 \af0 \ltrch\fcs0 \cs17\b0\v\fs20\cf9\lang1024\langfe1024\loch\af1\hich\af1\dbch\af31501\noproof\insrsid1247918\charrsid15879488 \hich\af1\dbch\af31501\loch\f1 &lt;/DocAmend&gt;}{\rtlch\fcs1 \af0 \ltrch\fcs0 _x000d__x000a_\insrsid1247918\charrsid15879488 _x000d__x000a_\par }\pard\plain \ltrpar\s19\ql \li0\ri0\keepn\nowidctlpar\wrapdefault\aspalpha\aspnum\faauto\adjustright\rin0\lin0\itap0\pararsid1247918 \rtlch\fcs1 \af0\afs20\alang1025 \ltrch\fcs0 \b\fs24\lang2057\langfe2057\cgrid\langnp2057\langfenp2057 {\rtlch\fcs1 \af0 _x000d__x000a_\ltrch\fcs0 \cs17\b0\v\fs20\cf9\lang1024\langfe1024\loch\af1\hich\af1\dbch\af31501\noproof\insrsid1247918\charrsid15879488 \hich\af1\dbch\af31501\loch\f1 &lt;Article&gt;}{\rtlch\fcs1 \af0 \ltrch\fcs0 \insrsid1247918\charrsid15879488 [ZAMPART]}{\rtlch\fcs1 \af0 _x000d__x000a_\ltrch\fcs0 \cs17\b0\v\fs20\cf9\lang1024\langfe1024\loch\af1\hich\af1\dbch\af31501\noproof\insrsid1247918\charrsid15879488 \hich\af1\dbch\af31501\loch\f1 &lt;/Article&gt;}{\rtlch\fcs1 \af0 \ltrch\fcs0 \insrsid1247918\charrsid15879488 _x000d__x000a_\par }\pard\plain \ltrpar\ql \li0\ri0\keepn\widctlpar\wrapdefault\aspalpha\aspnum\faauto\adjustright\rin0\lin0\itap0\pararsid1247918 \rtlch\fcs1 \af0\afs20\alang1025 \ltrch\fcs0 \fs24\lang2057\langfe2057\cgrid\langnp2057\langfenp2057 {\rtlch\fcs1 \af0 _x000d__x000a_\ltrch\fcs0 \cs17\v\fs20\cf9\lang1024\langfe1024\loch\af1\hich\af1\dbch\af31501\noproof\insrsid1247918\charrsid15879488 \hich\af1\dbch\af31501\loch\f1 &lt;DocAmend2&gt;&lt;OptDel&gt;}{\rtlch\fcs1 \af0 \ltrch\fcs0 \insrsid1247918\charrsid15879488 [ZNRACT]}{_x000d__x000a_\rtlch\fcs1 \af0 \ltrch\fcs0 \cs17\v\fs20\cf9\lang1024\langfe1024\loch\af1\hich\af1\dbch\af31501\noproof\insrsid1247918\charrsid15879488 \hich\af1\dbch\af31501\loch\f1 &lt;/OptDel&gt;&lt;/DocAmend2&gt;}{\rtlch\fcs1 \af0 \ltrch\fcs0 \insrsid1247918\charrsid15879488 _x000d__x000a__x000d__x000a_\par }\pard \ltrpar\ql \li0\ri0\widctlpar\wrapdefault\aspalpha\aspnum\faauto\adjustright\rin0\lin0\itap0\pararsid1247918 {\rtlch\fcs1 \af0 \ltrch\fcs0 _x000d__x000a_\cs17\v\fs20\cf9\lang1024\langfe1024\loch\af1\hich\af1\dbch\af31501\noproof\langnp1036\insrsid1247918\charrsid11356624 \hich\af1\dbch\af31501\loch\f1 &lt;Article2&gt;&lt;OptDel&gt;}{\rtlch\fcs1 \af0 \ltrch\fcs0 _x000d__x000a_\lang1036\langfe2057\langnp1036\insrsid1247918\charrsid11356624 [ZACTPART]}{\rtlch\fcs1 \af0 \ltrch\fcs0 \cs17\v\fs20\cf9\lang1024\langfe1024\loch\af1\hich\af1\dbch\af31501\noproof\langnp1036\insrsid1247918\charrsid11356624 \hich\af1\dbch\af31501\loch\f1 _x000d__x000a_&lt;/OptDel&gt;&lt;/Article2&gt;}{\rtlch\fcs1 \af0 \ltrch\fcs0 \lang1036\langfe2057\langnp1036\insrsid1247918\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47918\charrsid11356624 \cell }\pard \ltrpar\ql \li0\ri0\widctlpar\intbl\wrapdefault\aspalpha\aspnum\faauto\adjustright\rin0\lin0 {\rtlch\fcs1 \af0 \ltrch\fcs0 \insrsid1247918\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47918\charrsid15879488 [ZLEFTB]\cell [ZRIGHT]\cell }\pard\plain \ltrpar\ql \li0\ri0\widctlpar\intbl\wrapdefault\aspalpha\aspnum\faauto\adjustright\rin0\lin0 \rtlch\fcs1 \af0\afs20\alang1025 \ltrch\fcs0 _x000d__x000a_\fs24\lang2057\langfe2057\cgrid\langnp2057\langfenp2057 {\rtlch\fcs1 \af0 \ltrch\fcs0 \insrsid1247918\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47918\charrsid15879488 [ZTEXTL]\cell [ZTEXTR]}{\rtlch\fcs1 \af0\afs24 \ltrch\fcs0 \insrsid1247918\charrsid15879488 \cell }\pard\plain \ltrpar\ql \li0\ri0\widctlpar\intbl\wrapdefault\aspalpha\aspnum\faauto\adjustright\rin0\lin0 \rtlch\fcs1 _x000d__x000a_\af0\afs20\alang1025 \ltrch\fcs0 \fs24\lang2057\langfe2057\cgrid\langnp2057\langfenp2057 {\rtlch\fcs1 \af0 \ltrch\fcs0 \insrsid1247918\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47918 \rtlch\fcs1 \af0\afs20\alang1025 \ltrch\fcs0 \i\fs24\lang2057\langfe2057\cgrid\langnp2057\langfenp2057 {\rtlch\fcs1 \af0 \ltrch\fcs0 _x000d__x000a_\cs17\i0\v\fs20\cf9\lang1024\langfe1024\loch\af1\hich\af1\dbch\af31501\noproof\insrsid1247918\charrsid15879488 \hich\af1\dbch\af31501\loch\f1 &lt;OptDel&gt;}{\rtlch\fcs1 \af0 \ltrch\fcs0 \insrsid1247918\charrsid15879488 [ZCROSSREF]}{\rtlch\fcs1 \af0 _x000d__x000a_\ltrch\fcs0 \cs17\i0\v\fs20\cf9\lang1024\langfe1024\loch\af1\hich\af1\dbch\af31501\noproof\insrsid1247918\charrsid15879488 \hich\af1\dbch\af31501\loch\f1 &lt;/OptDel&gt;}{\rtlch\fcs1 \af0 \ltrch\fcs0 \insrsid1247918\charrsid15879488 _x000d__x000a_\par }\pard\plain \ltrpar\s22\qc \li0\ri0\sb240\sa240\keepn\nowidctlpar\wrapdefault\aspalpha\aspnum\faauto\adjustright\rin0\lin0\itap0\pararsid1247918 \rtlch\fcs1 \af0\afs20\alang1025 \ltrch\fcs0 \i\fs24\lang2057\langfe2057\cgrid\langnp2057\langfenp2057 {_x000d__x000a_\rtlch\fcs1 \af0 \ltrch\fcs0 \cs17\i0\v\fs20\cf9\lang1024\langfe1024\loch\af1\hich\af1\dbch\af31501\noproof\insrsid1247918\charrsid15879488 \hich\af1\dbch\af31501\loch\f1 &lt;TitreJust&gt;}{\rtlch\fcs1 \af0 \ltrch\fcs0 \insrsid1247918\charrsid15879488 _x000d__x000a_[ZJUSTIFICATION]}{\rtlch\fcs1 \af0 \ltrch\fcs0 \cs17\i0\v\fs20\cf9\lang1024\langfe1024\loch\af1\hich\af1\dbch\af31501\noproof\insrsid1247918\charrsid15879488 \hich\af1\dbch\af31501\loch\f1 &lt;/TitreJust&gt;}{\rtlch\fcs1 \af0 \ltrch\fcs0 _x000d__x000a_\insrsid1247918\charrsid15879488 _x000d__x000a_\par }\pard\plain \ltrpar\s20\ql \li0\ri0\sa240\nowidctlpar\wrapdefault\aspalpha\aspnum\faauto\adjustright\rin0\lin0\itap0\pararsid1247918 \rtlch\fcs1 \af0\afs20\alang1025 \ltrch\fcs0 \i\fs24\lang2057\langfe2057\cgrid\langnp2057\langfenp2057 {\rtlch\fcs1 \af0 _x000d__x000a_\ltrch\fcs0 \cs17\i0\v\fs20\cf9\lang1024\langfe1024\loch\af1\hich\af1\dbch\af31501\noproof\insrsid1247918\charrsid15879488 \hich\af1\dbch\af31501\loch\f1 &lt;OptDelPrev&gt;}{\rtlch\fcs1 \af0 \ltrch\fcs0 \insrsid1247918\charrsid15879488 [ZTEXTJUST]}{\rtlch\fcs1 _x000d__x000a_\af0 \ltrch\fcs0 \cs17\i0\v\fs20\cf9\lang1024\langfe1024\loch\af1\hich\af1\dbch\af31501\noproof\insrsid1247918\charrsid15879488 \hich\af1\dbch\af31501\loch\f1 &lt;/OptDelPrev&gt;}{\rtlch\fcs1 \af0 \ltrch\fcs0 \insrsid1247918\charrsid15879488 _x000d__x000a_\par }\pard\plain \ltrpar\ql \li0\ri0\widctlpar\wrapdefault\aspalpha\aspnum\faauto\adjustright\rin0\lin0\itap0\pararsid1247918 \rtlch\fcs1 \af0\afs20\alang1025 \ltrch\fcs0 \fs24\lang2057\langfe2057\cgrid\langnp2057\langfenp2057 {\rtlch\fcs1 \af0 \ltrch\fcs0 _x000d__x000a_\cs17\v\fs20\cf9\lang1024\langfe1024\loch\af1\hich\af1\dbch\af31501\noproof\insrsid1247918\charrsid15879488 \hich\af1\dbch\af31501\loch\f1 &lt;/AmendB&gt;}{\rtlch\fcs1 \af0 \ltrch\fcs0 \insrsid1247918\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5_x000d__x000a_a9dab07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9"/>
    <w:docVar w:name="TITLECNSMNU" w:val=" 1"/>
    <w:docVar w:name="TVTACTPART" w:val="Article 19 – paragraph 3"/>
    <w:docVar w:name="TVTAMACTPART" w:val="Article 1 – paragraph 1 – point 10"/>
    <w:docVar w:name="TXTLANGUE" w:val="NL"/>
    <w:docVar w:name="TXTLANGUEMIN" w:val="nl"/>
    <w:docVar w:name="TXTNRC" w:val="0015/2024"/>
    <w:docVar w:name="TXTNRCOM" w:val="(2023)930"/>
    <w:docVar w:name="TXTNRDIR" w:val="(EU) 2015/637"/>
    <w:docVar w:name="TXTNRFIRSTAM" w:val="1"/>
    <w:docVar w:name="TXTNRLASTAM" w:val="16"/>
    <w:docVar w:name="TXTNRPE" w:val="758.853"/>
    <w:docVar w:name="TXTNRPROC" w:val="2023/0441"/>
    <w:docVar w:name="TXTPEorAP" w:val="PE"/>
    <w:docVar w:name="TXTROUTE" w:val="AD\1299352NL.docx"/>
    <w:docVar w:name="TXTVERSION" w:val="02-00"/>
  </w:docVars>
  <w:rsids>
    <w:rsidRoot w:val="00222D54"/>
    <w:rsid w:val="00026559"/>
    <w:rsid w:val="00027FA8"/>
    <w:rsid w:val="00037518"/>
    <w:rsid w:val="0004333E"/>
    <w:rsid w:val="0004474F"/>
    <w:rsid w:val="00082EC4"/>
    <w:rsid w:val="000D44A6"/>
    <w:rsid w:val="00122C05"/>
    <w:rsid w:val="00134974"/>
    <w:rsid w:val="00141CD7"/>
    <w:rsid w:val="00147FBF"/>
    <w:rsid w:val="001616BD"/>
    <w:rsid w:val="001820A9"/>
    <w:rsid w:val="0018789C"/>
    <w:rsid w:val="001A0556"/>
    <w:rsid w:val="001B0A1E"/>
    <w:rsid w:val="001C0886"/>
    <w:rsid w:val="001D5154"/>
    <w:rsid w:val="001E3AC4"/>
    <w:rsid w:val="001F4539"/>
    <w:rsid w:val="0020077A"/>
    <w:rsid w:val="00207509"/>
    <w:rsid w:val="00213B07"/>
    <w:rsid w:val="00221197"/>
    <w:rsid w:val="00222D54"/>
    <w:rsid w:val="0023131B"/>
    <w:rsid w:val="00251B68"/>
    <w:rsid w:val="002537B8"/>
    <w:rsid w:val="002A67EE"/>
    <w:rsid w:val="002B2BC5"/>
    <w:rsid w:val="002B2C72"/>
    <w:rsid w:val="002D3573"/>
    <w:rsid w:val="002D3B48"/>
    <w:rsid w:val="00304EA8"/>
    <w:rsid w:val="00341A99"/>
    <w:rsid w:val="00360FAA"/>
    <w:rsid w:val="0038294E"/>
    <w:rsid w:val="003858C5"/>
    <w:rsid w:val="003A2F84"/>
    <w:rsid w:val="003C7390"/>
    <w:rsid w:val="003E1280"/>
    <w:rsid w:val="003F128E"/>
    <w:rsid w:val="0040055C"/>
    <w:rsid w:val="00487596"/>
    <w:rsid w:val="004B3A53"/>
    <w:rsid w:val="004C2A0D"/>
    <w:rsid w:val="004E1B62"/>
    <w:rsid w:val="004F1D2F"/>
    <w:rsid w:val="00502B76"/>
    <w:rsid w:val="00513F6F"/>
    <w:rsid w:val="00516E52"/>
    <w:rsid w:val="00522B51"/>
    <w:rsid w:val="00524707"/>
    <w:rsid w:val="005539B7"/>
    <w:rsid w:val="00571233"/>
    <w:rsid w:val="005F45A0"/>
    <w:rsid w:val="006038A9"/>
    <w:rsid w:val="00613134"/>
    <w:rsid w:val="00626D52"/>
    <w:rsid w:val="00643DA8"/>
    <w:rsid w:val="00657D5C"/>
    <w:rsid w:val="00683DD1"/>
    <w:rsid w:val="00691B1C"/>
    <w:rsid w:val="006A0F0A"/>
    <w:rsid w:val="006A48AA"/>
    <w:rsid w:val="006B1267"/>
    <w:rsid w:val="006D292E"/>
    <w:rsid w:val="006F3B42"/>
    <w:rsid w:val="00712462"/>
    <w:rsid w:val="00716BAA"/>
    <w:rsid w:val="0078423E"/>
    <w:rsid w:val="0078548A"/>
    <w:rsid w:val="007A4B51"/>
    <w:rsid w:val="007B7CE3"/>
    <w:rsid w:val="007F187F"/>
    <w:rsid w:val="00817D13"/>
    <w:rsid w:val="00820C7D"/>
    <w:rsid w:val="00833D11"/>
    <w:rsid w:val="00836FD3"/>
    <w:rsid w:val="008375A8"/>
    <w:rsid w:val="00872A52"/>
    <w:rsid w:val="00876A73"/>
    <w:rsid w:val="0089388A"/>
    <w:rsid w:val="008F3DB0"/>
    <w:rsid w:val="00904864"/>
    <w:rsid w:val="009052FE"/>
    <w:rsid w:val="009215FC"/>
    <w:rsid w:val="00924555"/>
    <w:rsid w:val="009269FD"/>
    <w:rsid w:val="009368B3"/>
    <w:rsid w:val="00982B83"/>
    <w:rsid w:val="009857B4"/>
    <w:rsid w:val="0099178F"/>
    <w:rsid w:val="009B2544"/>
    <w:rsid w:val="009E7319"/>
    <w:rsid w:val="00A076E1"/>
    <w:rsid w:val="00A71228"/>
    <w:rsid w:val="00A74E25"/>
    <w:rsid w:val="00AB4D27"/>
    <w:rsid w:val="00AC2A60"/>
    <w:rsid w:val="00AD49D0"/>
    <w:rsid w:val="00AD5932"/>
    <w:rsid w:val="00B00EE6"/>
    <w:rsid w:val="00B476DC"/>
    <w:rsid w:val="00B556CD"/>
    <w:rsid w:val="00B62D4B"/>
    <w:rsid w:val="00B735E3"/>
    <w:rsid w:val="00B904FA"/>
    <w:rsid w:val="00BA3E40"/>
    <w:rsid w:val="00BD1F76"/>
    <w:rsid w:val="00BE20CF"/>
    <w:rsid w:val="00C22327"/>
    <w:rsid w:val="00C335C6"/>
    <w:rsid w:val="00C36610"/>
    <w:rsid w:val="00C4219C"/>
    <w:rsid w:val="00C510FC"/>
    <w:rsid w:val="00C52A28"/>
    <w:rsid w:val="00C709B7"/>
    <w:rsid w:val="00C75E98"/>
    <w:rsid w:val="00C81C5B"/>
    <w:rsid w:val="00C83B35"/>
    <w:rsid w:val="00D25CF2"/>
    <w:rsid w:val="00D377B5"/>
    <w:rsid w:val="00D56CE0"/>
    <w:rsid w:val="00D6254D"/>
    <w:rsid w:val="00D67D0A"/>
    <w:rsid w:val="00D74FD1"/>
    <w:rsid w:val="00D943A5"/>
    <w:rsid w:val="00D9581F"/>
    <w:rsid w:val="00DB56E4"/>
    <w:rsid w:val="00DE444B"/>
    <w:rsid w:val="00E03C69"/>
    <w:rsid w:val="00E27F01"/>
    <w:rsid w:val="00E35335"/>
    <w:rsid w:val="00E62025"/>
    <w:rsid w:val="00E77FF5"/>
    <w:rsid w:val="00E94D64"/>
    <w:rsid w:val="00EA3802"/>
    <w:rsid w:val="00EF1432"/>
    <w:rsid w:val="00EF33D5"/>
    <w:rsid w:val="00F15744"/>
    <w:rsid w:val="00F24D40"/>
    <w:rsid w:val="00F8696F"/>
    <w:rsid w:val="00FC4B53"/>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263127"/>
  <w15:chartTrackingRefBased/>
  <w15:docId w15:val="{A3C0A60C-E01A-413F-B0DC-6E4B122E3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semiHidden/>
    <w:unhideWhenUsed/>
    <w:qFormat/>
    <w:rsid w:val="00D377B5"/>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ListBullet4">
    <w:name w:val="List Bullet 4"/>
    <w:basedOn w:val="Normal"/>
    <w:unhideWhenUsed/>
    <w:rsid w:val="006F3B42"/>
    <w:pPr>
      <w:widowControl/>
      <w:numPr>
        <w:numId w:val="1"/>
      </w:numPr>
      <w:spacing w:before="120" w:after="120"/>
      <w:contextualSpacing/>
      <w:jc w:val="both"/>
    </w:pPr>
    <w:rPr>
      <w:rFonts w:eastAsiaTheme="minorHAnsi"/>
      <w:szCs w:val="22"/>
      <w:lang w:eastAsia="en-US"/>
    </w:rPr>
  </w:style>
  <w:style w:type="paragraph" w:styleId="Footer">
    <w:name w:val="footer"/>
    <w:basedOn w:val="Normal"/>
    <w:link w:val="FooterChar"/>
    <w:rsid w:val="00C510FC"/>
    <w:pPr>
      <w:tabs>
        <w:tab w:val="center" w:pos="4513"/>
        <w:tab w:val="right" w:pos="9026"/>
      </w:tabs>
    </w:pPr>
  </w:style>
  <w:style w:type="character" w:customStyle="1" w:styleId="FooterChar">
    <w:name w:val="Footer Char"/>
    <w:basedOn w:val="DefaultParagraphFont"/>
    <w:link w:val="Footer"/>
    <w:rsid w:val="00C510FC"/>
    <w:rPr>
      <w:sz w:val="24"/>
      <w:szCs w:val="24"/>
    </w:rPr>
  </w:style>
  <w:style w:type="character" w:customStyle="1" w:styleId="Heading3Char">
    <w:name w:val="Heading 3 Char"/>
    <w:basedOn w:val="DefaultParagraphFont"/>
    <w:link w:val="Heading3"/>
    <w:semiHidden/>
    <w:rsid w:val="00D377B5"/>
    <w:rPr>
      <w:rFonts w:asciiTheme="majorHAnsi" w:eastAsiaTheme="majorEastAsia" w:hAnsiTheme="majorHAnsi" w:cstheme="majorBidi"/>
      <w:color w:val="1F4D78" w:themeColor="accent1" w:themeShade="7F"/>
      <w:sz w:val="24"/>
      <w:szCs w:val="24"/>
    </w:rPr>
  </w:style>
  <w:style w:type="character" w:customStyle="1" w:styleId="AmNumberTabsChar">
    <w:name w:val="AmNumberTabs Char"/>
    <w:basedOn w:val="DefaultParagraphFont"/>
    <w:link w:val="AmNumberTabs"/>
    <w:rsid w:val="006038A9"/>
    <w:rPr>
      <w:b/>
      <w:sz w:val="24"/>
    </w:rPr>
  </w:style>
  <w:style w:type="character" w:customStyle="1" w:styleId="NormalBold12bChar">
    <w:name w:val="NormalBold12b Char"/>
    <w:basedOn w:val="AmNumberTabsChar"/>
    <w:link w:val="NormalBold12b"/>
    <w:rsid w:val="006038A9"/>
    <w:rPr>
      <w:b/>
      <w:sz w:val="24"/>
    </w:rPr>
  </w:style>
  <w:style w:type="paragraph" w:styleId="BalloonText">
    <w:name w:val="Balloon Text"/>
    <w:basedOn w:val="Normal"/>
    <w:link w:val="BalloonTextChar"/>
    <w:semiHidden/>
    <w:unhideWhenUsed/>
    <w:rsid w:val="006038A9"/>
    <w:rPr>
      <w:rFonts w:ascii="Segoe UI" w:hAnsi="Segoe UI" w:cs="Segoe UI"/>
      <w:sz w:val="18"/>
      <w:szCs w:val="18"/>
    </w:rPr>
  </w:style>
  <w:style w:type="character" w:customStyle="1" w:styleId="BalloonTextChar">
    <w:name w:val="Balloon Text Char"/>
    <w:basedOn w:val="DefaultParagraphFont"/>
    <w:link w:val="BalloonText"/>
    <w:semiHidden/>
    <w:rsid w:val="006038A9"/>
    <w:rPr>
      <w:rFonts w:ascii="Segoe UI" w:hAnsi="Segoe UI" w:cs="Segoe UI"/>
      <w:sz w:val="18"/>
      <w:szCs w:val="18"/>
      <w:lang w:val="nl-NL"/>
    </w:rPr>
  </w:style>
  <w:style w:type="paragraph" w:customStyle="1" w:styleId="RollCallSymbols14pt">
    <w:name w:val="RollCallSymbols14pt"/>
    <w:basedOn w:val="Normal"/>
    <w:rsid w:val="006038A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6038A9"/>
    <w:pPr>
      <w:tabs>
        <w:tab w:val="center" w:pos="284"/>
        <w:tab w:val="left" w:pos="426"/>
      </w:tabs>
    </w:pPr>
    <w:rPr>
      <w:snapToGrid w:val="0"/>
      <w:szCs w:val="20"/>
      <w:lang w:eastAsia="en-US"/>
    </w:rPr>
  </w:style>
  <w:style w:type="paragraph" w:customStyle="1" w:styleId="RollCallVotes">
    <w:name w:val="RollCallVotes"/>
    <w:basedOn w:val="Normal"/>
    <w:rsid w:val="006038A9"/>
    <w:pPr>
      <w:spacing w:before="120" w:after="120"/>
      <w:jc w:val="center"/>
    </w:pPr>
    <w:rPr>
      <w:b/>
      <w:bCs/>
      <w:snapToGrid w:val="0"/>
      <w:sz w:val="16"/>
      <w:szCs w:val="20"/>
      <w:lang w:eastAsia="en-US"/>
    </w:rPr>
  </w:style>
  <w:style w:type="paragraph" w:customStyle="1" w:styleId="RollCallTable">
    <w:name w:val="RollCallTable"/>
    <w:basedOn w:val="Normal"/>
    <w:rsid w:val="006038A9"/>
    <w:pPr>
      <w:spacing w:before="120" w:after="120"/>
    </w:pPr>
    <w:rPr>
      <w:snapToGrid w:val="0"/>
      <w:sz w:val="16"/>
      <w:szCs w:val="20"/>
      <w:lang w:eastAsia="en-US"/>
    </w:rPr>
  </w:style>
  <w:style w:type="paragraph" w:customStyle="1" w:styleId="Normal24a">
    <w:name w:val="Normal24a"/>
    <w:basedOn w:val="Normal"/>
    <w:rsid w:val="006038A9"/>
    <w:pPr>
      <w:spacing w:after="480"/>
    </w:pPr>
    <w:rPr>
      <w:szCs w:val="20"/>
    </w:rPr>
  </w:style>
  <w:style w:type="paragraph" w:customStyle="1" w:styleId="NormalBoldCenter">
    <w:name w:val="NormalBoldCenter"/>
    <w:basedOn w:val="Normal"/>
    <w:rsid w:val="006038A9"/>
    <w:pPr>
      <w:jc w:val="center"/>
    </w:pPr>
    <w:rPr>
      <w:b/>
      <w:szCs w:val="20"/>
    </w:rPr>
  </w:style>
  <w:style w:type="paragraph" w:customStyle="1" w:styleId="Titel">
    <w:name w:val="Titel"/>
    <w:rsid w:val="006038A9"/>
    <w:pPr>
      <w:widowControl w:val="0"/>
      <w:tabs>
        <w:tab w:val="left" w:pos="432"/>
        <w:tab w:val="left" w:pos="576"/>
      </w:tabs>
      <w:suppressAutoHyphens/>
    </w:pPr>
    <w:rPr>
      <w:b/>
      <w:snapToGrid w:val="0"/>
      <w:sz w:val="29"/>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4E261E-C62E-4E10-A32F-74C61676D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6590</Words>
  <Characters>39257</Characters>
  <Application>Microsoft Office Word</Application>
  <DocSecurity>0</DocSecurity>
  <Lines>1396</Lines>
  <Paragraphs>392</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2024-04-04T14:51:00Z</dcterms:created>
  <dcterms:modified xsi:type="dcterms:W3CDTF">2024-04-04T14:51:00Z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1299352</vt:lpwstr>
  </property>
  <property fmtid="{D5CDD505-2E9C-101B-9397-08002B2CF9AE}" pid="4" name="&lt;Model&gt;">
    <vt:lpwstr>PA_Legam</vt:lpwstr>
  </property>
  <property fmtid="{D5CDD505-2E9C-101B-9397-08002B2CF9AE}" pid="5" name="&lt;ModelCod&gt;">
    <vt:lpwstr>\\eiciLUXpr1\pdocep$\DocEP\DOCS\General\PA\PA_Leg\PA_Legam.dotx(19/12/2022 06:51:18)</vt:lpwstr>
  </property>
  <property fmtid="{D5CDD505-2E9C-101B-9397-08002B2CF9AE}" pid="6" name="&lt;ModelTra&gt;">
    <vt:lpwstr>\\eiciLUXpr1\pdocep$\DocEP\TRANSFIL\EN\PA_Legam.EN(21/03/2023 16:53:01)</vt:lpwstr>
  </property>
  <property fmtid="{D5CDD505-2E9C-101B-9397-08002B2CF9AE}" pid="7" name="&lt;Type&gt;">
    <vt:lpwstr>AD</vt:lpwstr>
  </property>
  <property fmtid="{D5CDD505-2E9C-101B-9397-08002B2CF9AE}" pid="8" name="Bookout">
    <vt:lpwstr>OK - 2024/04/04 16:50</vt:lpwstr>
  </property>
  <property fmtid="{D5CDD505-2E9C-101B-9397-08002B2CF9AE}" pid="9" name="Created with">
    <vt:lpwstr>9.17.1 Build [20240201]</vt:lpwstr>
  </property>
  <property fmtid="{D5CDD505-2E9C-101B-9397-08002B2CF9AE}" pid="10" name="FooterPath">
    <vt:lpwstr>AD\1299352NL.docx</vt:lpwstr>
  </property>
  <property fmtid="{D5CDD505-2E9C-101B-9397-08002B2CF9AE}" pid="11" name="LastEdited with">
    <vt:lpwstr>9.17.2 Build [20240301]</vt:lpwstr>
  </property>
  <property fmtid="{D5CDD505-2E9C-101B-9397-08002B2CF9AE}" pid="12" name="PE number">
    <vt:lpwstr>758.853</vt:lpwstr>
  </property>
  <property fmtid="{D5CDD505-2E9C-101B-9397-08002B2CF9AE}" pid="13" name="SDLStudio">
    <vt:lpwstr/>
  </property>
  <property fmtid="{D5CDD505-2E9C-101B-9397-08002B2CF9AE}" pid="14" name="SendToEpades">
    <vt:lpwstr>OK - 2024/02/21 22:17</vt:lpwstr>
  </property>
</Properties>
</file>