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B17DB" w:rsidRPr="00DE4C22" w:rsidTr="0004333E">
        <w:trPr>
          <w:trHeight w:hRule="exact" w:val="1418"/>
        </w:trPr>
        <w:tc>
          <w:tcPr>
            <w:tcW w:w="6804" w:type="dxa"/>
            <w:shd w:val="clear" w:color="auto" w:fill="auto"/>
            <w:vAlign w:val="center"/>
          </w:tcPr>
          <w:p w:rsidR="00BA3E40" w:rsidRPr="00DE4C22" w:rsidRDefault="00DE4C22" w:rsidP="0004333E">
            <w:pPr>
              <w:pStyle w:val="EPName"/>
            </w:pPr>
            <w:r w:rsidRPr="00DE4C22">
              <w:t>Parlament Europejski</w:t>
            </w:r>
          </w:p>
          <w:p w:rsidR="00BA3E40" w:rsidRPr="00DE4C22" w:rsidRDefault="00DE4C22" w:rsidP="00E35335">
            <w:pPr>
              <w:pStyle w:val="EPTerm"/>
            </w:pPr>
            <w:r w:rsidRPr="00DE4C22">
              <w:t>2019-2024</w:t>
            </w:r>
          </w:p>
        </w:tc>
        <w:tc>
          <w:tcPr>
            <w:tcW w:w="2268" w:type="dxa"/>
            <w:shd w:val="clear" w:color="auto" w:fill="auto"/>
          </w:tcPr>
          <w:p w:rsidR="00BA3E40" w:rsidRPr="00DE4C22" w:rsidRDefault="00DE4C22" w:rsidP="0004333E">
            <w:pPr>
              <w:pStyle w:val="EPLogo"/>
            </w:pPr>
            <w:r w:rsidRPr="00DE4C2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E4C22" w:rsidRDefault="00F24D40" w:rsidP="00F24D40">
      <w:pPr>
        <w:pStyle w:val="LineTop"/>
      </w:pPr>
    </w:p>
    <w:p w:rsidR="00F24D40" w:rsidRPr="00DE4C22" w:rsidRDefault="00DE4C22" w:rsidP="00F24D40">
      <w:pPr>
        <w:pStyle w:val="EPBody"/>
      </w:pPr>
      <w:r w:rsidRPr="00DE4C22">
        <w:rPr>
          <w:rStyle w:val="HideTWBExt"/>
        </w:rPr>
        <w:t>&lt;</w:t>
      </w:r>
      <w:r w:rsidRPr="00DE4C22">
        <w:rPr>
          <w:rStyle w:val="HideTWBExt"/>
          <w:i w:val="0"/>
        </w:rPr>
        <w:t>Commission</w:t>
      </w:r>
      <w:r w:rsidRPr="00DE4C22">
        <w:rPr>
          <w:rStyle w:val="HideTWBExt"/>
        </w:rPr>
        <w:t>&gt;</w:t>
      </w:r>
      <w:r w:rsidRPr="00DE4C22">
        <w:rPr>
          <w:rStyle w:val="HideTWBInt"/>
          <w:color w:val="auto"/>
        </w:rPr>
        <w:t>{AFET}</w:t>
      </w:r>
      <w:r w:rsidRPr="00DE4C22">
        <w:t>Komisja Spraw Zagranicznych</w:t>
      </w:r>
      <w:r w:rsidRPr="00DE4C22">
        <w:rPr>
          <w:rStyle w:val="HideTWBExt"/>
        </w:rPr>
        <w:t>&lt;/</w:t>
      </w:r>
      <w:r w:rsidRPr="00DE4C22">
        <w:rPr>
          <w:rStyle w:val="HideTWBExt"/>
          <w:i w:val="0"/>
        </w:rPr>
        <w:t>Commission</w:t>
      </w:r>
      <w:r w:rsidRPr="00DE4C22">
        <w:rPr>
          <w:rStyle w:val="HideTWBExt"/>
        </w:rPr>
        <w:t>&gt;</w:t>
      </w:r>
    </w:p>
    <w:p w:rsidR="00F24D40" w:rsidRPr="00DE4C22" w:rsidRDefault="00F24D40" w:rsidP="00F24D40">
      <w:pPr>
        <w:pStyle w:val="LineBottom"/>
      </w:pPr>
    </w:p>
    <w:p w:rsidR="00DB56E4" w:rsidRPr="00DE4C22" w:rsidRDefault="00DE4C22" w:rsidP="00DB56E4">
      <w:pPr>
        <w:pStyle w:val="CoverReference"/>
      </w:pPr>
      <w:r w:rsidRPr="00DE4C22">
        <w:rPr>
          <w:rStyle w:val="HideTWBExt"/>
          <w:b w:val="0"/>
        </w:rPr>
        <w:t>&lt;RefProc&gt;</w:t>
      </w:r>
      <w:r w:rsidRPr="00DE4C22">
        <w:t>2023/0441</w:t>
      </w:r>
      <w:r w:rsidRPr="00DE4C22">
        <w:rPr>
          <w:rStyle w:val="HideTWBExt"/>
          <w:b w:val="0"/>
        </w:rPr>
        <w:t>&lt;/RefProc&gt;&lt;RefTypeProc&gt;</w:t>
      </w:r>
      <w:r w:rsidRPr="00DE4C22">
        <w:t>(CNS)</w:t>
      </w:r>
      <w:r w:rsidRPr="00DE4C22">
        <w:rPr>
          <w:rStyle w:val="HideTWBExt"/>
          <w:b w:val="0"/>
        </w:rPr>
        <w:t>&lt;/RefTypeProc&gt;</w:t>
      </w:r>
    </w:p>
    <w:p w:rsidR="00DB56E4" w:rsidRPr="00DE4C22" w:rsidRDefault="00DE4C22" w:rsidP="00DB56E4">
      <w:pPr>
        <w:pStyle w:val="CoverDate"/>
      </w:pPr>
      <w:r w:rsidRPr="00DE4C22">
        <w:rPr>
          <w:rStyle w:val="HideTWBExt"/>
        </w:rPr>
        <w:t>&lt;Date&gt;</w:t>
      </w:r>
      <w:r w:rsidRPr="00DE4C22">
        <w:rPr>
          <w:rStyle w:val="HideTWBInt"/>
          <w:color w:val="auto"/>
        </w:rPr>
        <w:t>{21/03/2024}</w:t>
      </w:r>
      <w:r w:rsidRPr="00DE4C22">
        <w:t>21.3.2024</w:t>
      </w:r>
      <w:r w:rsidRPr="00DE4C22">
        <w:rPr>
          <w:rStyle w:val="HideTWBExt"/>
        </w:rPr>
        <w:t>&lt;/Date&gt;</w:t>
      </w:r>
    </w:p>
    <w:p w:rsidR="00DB56E4" w:rsidRPr="00DE4C22" w:rsidRDefault="00DE4C22" w:rsidP="00DB56E4">
      <w:pPr>
        <w:pStyle w:val="CoverDocType24a"/>
      </w:pPr>
      <w:r w:rsidRPr="00DE4C22">
        <w:rPr>
          <w:rStyle w:val="HideTWBExt"/>
          <w:b w:val="0"/>
        </w:rPr>
        <w:t>&lt;TitreType&gt;</w:t>
      </w:r>
      <w:r w:rsidRPr="00DE4C22">
        <w:t>OPINIA</w:t>
      </w:r>
      <w:r w:rsidRPr="00DE4C22">
        <w:rPr>
          <w:rStyle w:val="HideTWBExt"/>
          <w:b w:val="0"/>
        </w:rPr>
        <w:t>&lt;/TitreType&gt;</w:t>
      </w:r>
    </w:p>
    <w:p w:rsidR="00DB56E4" w:rsidRPr="00DE4C22" w:rsidRDefault="00DE4C22" w:rsidP="00DB56E4">
      <w:pPr>
        <w:pStyle w:val="CoverNormal24a"/>
      </w:pPr>
      <w:r w:rsidRPr="00DE4C22">
        <w:rPr>
          <w:rStyle w:val="HideTWBExt"/>
        </w:rPr>
        <w:t>&lt;CommissionResp&gt;</w:t>
      </w:r>
      <w:r w:rsidRPr="00DE4C22">
        <w:t xml:space="preserve">Komisji Spraw </w:t>
      </w:r>
      <w:r w:rsidRPr="00DE4C22">
        <w:t>Zagranicznych</w:t>
      </w:r>
      <w:r w:rsidRPr="00DE4C22">
        <w:rPr>
          <w:rStyle w:val="HideTWBExt"/>
        </w:rPr>
        <w:t>&lt;/CommissionResp&gt;</w:t>
      </w:r>
    </w:p>
    <w:p w:rsidR="00DB56E4" w:rsidRPr="00DE4C22" w:rsidRDefault="00DE4C22" w:rsidP="00DB56E4">
      <w:pPr>
        <w:pStyle w:val="CoverNormal24a"/>
      </w:pPr>
      <w:r w:rsidRPr="00DE4C22">
        <w:rPr>
          <w:rStyle w:val="HideTWBExt"/>
        </w:rPr>
        <w:t>&lt;CommissionInt&gt;</w:t>
      </w:r>
      <w:r w:rsidRPr="00DE4C22">
        <w:t>dla Komisji Wolności Obywatelskich, Sprawiedliwości i Spraw Wewnętrznych</w:t>
      </w:r>
      <w:r w:rsidRPr="00DE4C22">
        <w:rPr>
          <w:rStyle w:val="HideTWBExt"/>
        </w:rPr>
        <w:t>&lt;/CommissionInt&gt;</w:t>
      </w:r>
    </w:p>
    <w:p w:rsidR="00DB56E4" w:rsidRPr="00DE4C22" w:rsidRDefault="00DE4C22" w:rsidP="00DB56E4">
      <w:pPr>
        <w:pStyle w:val="CoverNormal"/>
      </w:pPr>
      <w:r w:rsidRPr="00DE4C22">
        <w:rPr>
          <w:rStyle w:val="HideTWBExt"/>
        </w:rPr>
        <w:t>&lt;Titre&gt;</w:t>
      </w:r>
      <w:r w:rsidRPr="00DE4C22">
        <w:t>w sprawie wniosku dotyczącego dyrektywy Rady zmieniającej dyrektywę (UE) 2015/637 w sprawie środków koordynacji i </w:t>
      </w:r>
      <w:r w:rsidRPr="00DE4C22">
        <w:t>współpracy mających ułatwić ochronę konsularną niereprezentowanych obywateli Unii w państwach trzecich oraz dyrektywę (UE) 2019/997 ustanawiającą unijny tymczasowy dokument podróży</w:t>
      </w:r>
      <w:r w:rsidRPr="00DE4C22">
        <w:rPr>
          <w:rStyle w:val="HideTWBExt"/>
        </w:rPr>
        <w:t>&lt;/Titre&gt;</w:t>
      </w:r>
    </w:p>
    <w:p w:rsidR="00DB56E4" w:rsidRPr="00DE4C22" w:rsidRDefault="00DE4C22" w:rsidP="00DB56E4">
      <w:pPr>
        <w:pStyle w:val="CoverNormal24a"/>
      </w:pPr>
      <w:r w:rsidRPr="00DE4C22">
        <w:rPr>
          <w:rStyle w:val="HideTWBExt"/>
        </w:rPr>
        <w:t>&lt;DocRef&gt;</w:t>
      </w:r>
      <w:r w:rsidRPr="00DE4C22">
        <w:t>(COM(2023)930 – C9</w:t>
      </w:r>
      <w:r w:rsidRPr="00DE4C22">
        <w:noBreakHyphen/>
        <w:t>0015/2024 – 2023/0441(CNS))</w:t>
      </w:r>
      <w:r w:rsidRPr="00DE4C22">
        <w:rPr>
          <w:rStyle w:val="HideTWBExt"/>
        </w:rPr>
        <w:t>&lt;/DocRef&gt;</w:t>
      </w:r>
    </w:p>
    <w:p w:rsidR="00DB56E4" w:rsidRPr="00DE4C22" w:rsidRDefault="00DE4C22" w:rsidP="00DB56E4">
      <w:pPr>
        <w:pStyle w:val="CoverNormal24a"/>
      </w:pPr>
      <w:r w:rsidRPr="00DE4C22">
        <w:t xml:space="preserve">Sprawozdawca komisji opiniodawczej (*): </w:t>
      </w:r>
      <w:r w:rsidRPr="00DE4C22">
        <w:rPr>
          <w:rStyle w:val="HideTWBExt"/>
        </w:rPr>
        <w:t>&lt;Depute&gt;</w:t>
      </w:r>
      <w:r w:rsidRPr="00DE4C22">
        <w:t>Nacho Sánchez Amor</w:t>
      </w:r>
      <w:r w:rsidRPr="00DE4C22">
        <w:rPr>
          <w:rStyle w:val="HideTWBExt"/>
        </w:rPr>
        <w:t>&lt;/Depute&gt;</w:t>
      </w:r>
    </w:p>
    <w:p w:rsidR="00487596" w:rsidRPr="00DE4C22" w:rsidRDefault="00DE4C22" w:rsidP="00487596">
      <w:pPr>
        <w:pStyle w:val="CoverNormal"/>
      </w:pPr>
      <w:r w:rsidRPr="00DE4C22">
        <w:t>(*)</w:t>
      </w:r>
      <w:r w:rsidRPr="00DE4C22">
        <w:tab/>
        <w:t>Zaangażowana komisja – art. 57 Regulaminu</w:t>
      </w:r>
    </w:p>
    <w:p w:rsidR="004339AD" w:rsidRPr="00DE4C22" w:rsidRDefault="004339AD" w:rsidP="00487596">
      <w:pPr>
        <w:pStyle w:val="CoverNormal"/>
      </w:pPr>
    </w:p>
    <w:p w:rsidR="00DB56E4" w:rsidRPr="00DE4C22" w:rsidRDefault="00DE4C22" w:rsidP="0004474F">
      <w:pPr>
        <w:tabs>
          <w:tab w:val="center" w:pos="4677"/>
        </w:tabs>
      </w:pPr>
      <w:r w:rsidRPr="00DE4C22">
        <w:br w:type="page"/>
      </w:r>
      <w:r w:rsidRPr="00DE4C22">
        <w:lastRenderedPageBreak/>
        <w:t>PA_Legam</w:t>
      </w:r>
    </w:p>
    <w:p w:rsidR="00DB56E4" w:rsidRPr="00DE4C22" w:rsidRDefault="00DE4C22" w:rsidP="00DB56E4">
      <w:pPr>
        <w:pStyle w:val="PageHeadingNotTOC"/>
      </w:pPr>
      <w:r w:rsidRPr="00DE4C22">
        <w:br w:type="page"/>
      </w:r>
      <w:r w:rsidRPr="00DE4C22">
        <w:lastRenderedPageBreak/>
        <w:t>ZWIĘZŁE UZASADNIENIE</w:t>
      </w:r>
    </w:p>
    <w:p w:rsidR="00221197" w:rsidRPr="00DE4C22" w:rsidRDefault="00DE4C22" w:rsidP="00221197">
      <w:pPr>
        <w:pStyle w:val="Normal12a"/>
        <w:rPr>
          <w:bCs/>
        </w:rPr>
      </w:pPr>
      <w:r w:rsidRPr="00DE4C22">
        <w:t>Wniosek Komisji przewiduje znaczne rozszerzenie roli i działań Europejskiej Służby Działań Zewnętrzny</w:t>
      </w:r>
      <w:r w:rsidRPr="00DE4C22">
        <w:t>ch (ESDZ) i delegatur Unii Europejskiej oraz zawiera nowe i zmienione przepisy dotyczące gotowości i reagowania na sytuacje kryzysowe poza Unią Europejską.</w:t>
      </w:r>
    </w:p>
    <w:p w:rsidR="00221197" w:rsidRPr="00DE4C22" w:rsidRDefault="00DE4C22" w:rsidP="00221197">
      <w:pPr>
        <w:pStyle w:val="Normal12a"/>
        <w:rPr>
          <w:bCs/>
        </w:rPr>
      </w:pPr>
      <w:r w:rsidRPr="00DE4C22">
        <w:t>Zgodnie z pkt I.3 załącznika VI do Regulaminu nadzór nad ESDZ i jej poszczególnymi służbami, w tym n</w:t>
      </w:r>
      <w:r w:rsidRPr="00DE4C22">
        <w:t>ad organizacją i funkcjonowaniem delegatur UE i Centrum Reagowania Kryzysowego ESDZ, wchodzi w zakres wyłącznych kompetencji Komisji Spraw Zagranicznych (AFET). Do obowiązków delegatur UE należy także wdrażanie prawa obywateli Unii do ochrony na terytorium</w:t>
      </w:r>
      <w:r w:rsidRPr="00DE4C22">
        <w:t xml:space="preserve"> państw trzecich, o którym mowa w art. 35 Traktatu o Unii Europejskiej.</w:t>
      </w:r>
    </w:p>
    <w:p w:rsidR="00221197" w:rsidRPr="00DE4C22" w:rsidRDefault="00DE4C22" w:rsidP="00221197">
      <w:pPr>
        <w:pStyle w:val="Normal12a"/>
        <w:rPr>
          <w:bCs/>
        </w:rPr>
      </w:pPr>
      <w:r w:rsidRPr="00DE4C22">
        <w:t>Organizację i funkcjonowanie ESDZ, delegatur UE i struktur reagowania kryzysowego określono w decyzji Rady 2010/427/UE z dnia 26 lipca 2010 r., w odniesieniu do której komisja AFET jes</w:t>
      </w:r>
      <w:r w:rsidRPr="00DE4C22">
        <w:t>t właściwa. W Strategicznym kompasie na rzecz bezpieczeństwa i obrony z 2022 r., który również podlega kompetencji komisji AFET, rozpoczęto przegląd mechanizmów reagowania kryzysowego ESDZ, w tym m.in. wsparcia konsularnego i bezpieczeństwa w terenie.</w:t>
      </w:r>
    </w:p>
    <w:p w:rsidR="00221197" w:rsidRPr="00DE4C22" w:rsidRDefault="00DE4C22" w:rsidP="00221197">
      <w:pPr>
        <w:pStyle w:val="Normal12a"/>
        <w:rPr>
          <w:bCs/>
        </w:rPr>
      </w:pPr>
      <w:r w:rsidRPr="00DE4C22">
        <w:t>15 m</w:t>
      </w:r>
      <w:r w:rsidRPr="00DE4C22">
        <w:t>arca 2023 r. Parlament przyjął zalecenie dotyczące WPZiB pod przewodnictwem komisji AFET, w którym podsumowano funkcjonowanie ESDZ i opowiedziano się na rzecz silniejszej pozycji UE w świecie (2021/2065(INI)). Obejmuje to szeroki zakres zagadnień dotyczący</w:t>
      </w:r>
      <w:r w:rsidRPr="00DE4C22">
        <w:t>ch ESDZ, w tym wsparcie Centrum Reagowania Kryzysowego UE w koordynowaniu reakcji ambasad i delegatur UE i państw członkowskich oraz usług oferowanych przez nie obywatelom UE podczas kryzysu.</w:t>
      </w:r>
    </w:p>
    <w:p w:rsidR="00DB56E4" w:rsidRPr="00DE4C22" w:rsidRDefault="00DE4C22" w:rsidP="00221197">
      <w:pPr>
        <w:pStyle w:val="Normal12a"/>
      </w:pPr>
      <w:r w:rsidRPr="00DE4C22">
        <w:t xml:space="preserve">Wniosek Komisji wynosi rolę ESDZ (oraz jej struktur zarządzania </w:t>
      </w:r>
      <w:r w:rsidRPr="00DE4C22">
        <w:t>kryzysowego i delegatur UE) na nowy poziom zaangażowania, tak aby ochrona konsularna była powiązana z rolą ESDZ w polityce zagranicznej, bezpieczeństwa i obrony, kiedy decyzje muszą być podejmowane na podstawie ocen, kontaktów z państwami trzecimi, wykorzy</w:t>
      </w:r>
      <w:r w:rsidRPr="00DE4C22">
        <w:t>stania zasobów wojskowych i innych typowych elementów WPZiB/WPBiO.</w:t>
      </w:r>
    </w:p>
    <w:p w:rsidR="00DB56E4" w:rsidRPr="00DE4C22" w:rsidRDefault="00DE4C22" w:rsidP="00DB56E4">
      <w:pPr>
        <w:pStyle w:val="AmHeadingPA"/>
      </w:pPr>
      <w:r w:rsidRPr="00DE4C22">
        <w:t>POPRAWKI</w:t>
      </w:r>
    </w:p>
    <w:p w:rsidR="00DB56E4" w:rsidRPr="00DE4C22" w:rsidRDefault="00DE4C22" w:rsidP="001E3AC4">
      <w:pPr>
        <w:pStyle w:val="Normal12a"/>
      </w:pPr>
      <w:bookmarkStart w:id="0" w:name="IntroA"/>
      <w:r w:rsidRPr="00DE4C22">
        <w:t>Komisja Spraw Zagranicznych zwraca się do Komisji Wolności Obywatelskich, Sprawiedliwości i Spraw Wewnętrznych, jako komisji przedmiotowo właściwej, o wzięcie pod uwagę co następuj</w:t>
      </w:r>
      <w:r w:rsidRPr="00DE4C22">
        <w:t>e:</w:t>
      </w:r>
    </w:p>
    <w:p w:rsidR="00DB56E4" w:rsidRPr="00DE4C22" w:rsidRDefault="00DE4C22" w:rsidP="00B5321A">
      <w:pPr>
        <w:pStyle w:val="AmNumberTabs"/>
        <w:keepNext/>
      </w:pPr>
      <w:bookmarkStart w:id="1" w:name="IntroB"/>
      <w:bookmarkEnd w:id="0"/>
      <w:r w:rsidRPr="00DE4C22">
        <w:rPr>
          <w:rStyle w:val="HideTWBExt"/>
          <w:b w:val="0"/>
        </w:rPr>
        <w:t>&lt;RepeatBlock-Amend&gt;</w:t>
      </w:r>
      <w:bookmarkEnd w:id="1"/>
    </w:p>
    <w:p w:rsidR="00692882" w:rsidRPr="00DE4C22" w:rsidRDefault="00DE4C22" w:rsidP="00692882">
      <w:pPr>
        <w:pStyle w:val="AmNumberTabs"/>
      </w:pPr>
      <w:bookmarkStart w:id="2" w:name="EndB"/>
      <w:r w:rsidRPr="00DE4C22">
        <w:rPr>
          <w:rStyle w:val="HideTWBExt"/>
        </w:rPr>
        <w:t>&lt;Amend&gt;</w:t>
      </w:r>
      <w:r w:rsidRPr="00DE4C22">
        <w:t>Poprawka</w:t>
      </w:r>
      <w:r w:rsidRPr="00DE4C22">
        <w:tab/>
      </w:r>
      <w:r w:rsidRPr="00DE4C22">
        <w:tab/>
      </w:r>
      <w:r w:rsidRPr="00DE4C22">
        <w:rPr>
          <w:rStyle w:val="HideTWBExt"/>
        </w:rPr>
        <w:t>&lt;NumAm&gt;</w:t>
      </w:r>
      <w:r w:rsidRPr="00DE4C22">
        <w:t>1</w:t>
      </w:r>
      <w:r w:rsidRPr="00DE4C22">
        <w:rPr>
          <w:rStyle w:val="HideTWBExt"/>
        </w:rPr>
        <w:t>&lt;/NumAm&gt;</w:t>
      </w:r>
    </w:p>
    <w:p w:rsidR="00692882" w:rsidRPr="00DE4C22" w:rsidRDefault="00DE4C22" w:rsidP="00692882">
      <w:pPr>
        <w:pStyle w:val="NormalBold12b"/>
      </w:pPr>
      <w:r w:rsidRPr="00DE4C22">
        <w:rPr>
          <w:rStyle w:val="HideTWBExt"/>
        </w:rPr>
        <w:t>&lt;DocAmend&gt;</w:t>
      </w:r>
      <w:r w:rsidRPr="00DE4C22">
        <w:t>Wniosek dotyczący dyrektywy</w:t>
      </w:r>
      <w:r w:rsidRPr="00DE4C22">
        <w:rPr>
          <w:rStyle w:val="HideTWBExt"/>
        </w:rPr>
        <w:t>&lt;/DocAmend&gt;</w:t>
      </w:r>
    </w:p>
    <w:p w:rsidR="00692882" w:rsidRPr="00DE4C22" w:rsidRDefault="00DE4C22" w:rsidP="00692882">
      <w:pPr>
        <w:pStyle w:val="NormalBold"/>
      </w:pPr>
      <w:r w:rsidRPr="00DE4C22">
        <w:rPr>
          <w:rStyle w:val="HideTWBExt"/>
        </w:rPr>
        <w:t>&lt;Article&gt;</w:t>
      </w:r>
      <w:r w:rsidRPr="00DE4C22">
        <w:t>Motyw 1 a (nowy)</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8E4856">
        <w:trPr>
          <w:trHeight w:hRule="exact" w:val="240"/>
          <w:jc w:val="center"/>
        </w:trPr>
        <w:tc>
          <w:tcPr>
            <w:tcW w:w="9752" w:type="dxa"/>
            <w:gridSpan w:val="2"/>
          </w:tcPr>
          <w:p w:rsidR="00692882" w:rsidRPr="00DE4C22" w:rsidRDefault="00692882" w:rsidP="008E4856"/>
        </w:tc>
      </w:tr>
      <w:tr w:rsidR="006B17DB" w:rsidRPr="00DE4C22" w:rsidTr="008E4856">
        <w:trPr>
          <w:trHeight w:val="240"/>
          <w:jc w:val="center"/>
        </w:trPr>
        <w:tc>
          <w:tcPr>
            <w:tcW w:w="4876" w:type="dxa"/>
          </w:tcPr>
          <w:p w:rsidR="00692882" w:rsidRPr="00DE4C22" w:rsidRDefault="00DE4C22" w:rsidP="008E4856">
            <w:pPr>
              <w:pStyle w:val="AmColumnHeading"/>
            </w:pPr>
            <w:r w:rsidRPr="00DE4C22">
              <w:t>Tekst proponowany przez Komisję</w:t>
            </w:r>
          </w:p>
        </w:tc>
        <w:tc>
          <w:tcPr>
            <w:tcW w:w="4876" w:type="dxa"/>
          </w:tcPr>
          <w:p w:rsidR="00692882" w:rsidRPr="00DE4C22" w:rsidRDefault="00DE4C22" w:rsidP="008E4856">
            <w:pPr>
              <w:pStyle w:val="AmColumnHeading"/>
            </w:pPr>
            <w:r w:rsidRPr="00DE4C22">
              <w:t>Poprawka</w:t>
            </w:r>
          </w:p>
        </w:tc>
      </w:tr>
      <w:tr w:rsidR="006B17DB" w:rsidRPr="00DE4C22" w:rsidTr="008E4856">
        <w:trPr>
          <w:jc w:val="center"/>
        </w:trPr>
        <w:tc>
          <w:tcPr>
            <w:tcW w:w="4876" w:type="dxa"/>
          </w:tcPr>
          <w:p w:rsidR="00692882" w:rsidRPr="00DE4C22" w:rsidRDefault="00692882" w:rsidP="008E4856">
            <w:pPr>
              <w:pStyle w:val="Normal6a"/>
            </w:pPr>
          </w:p>
        </w:tc>
        <w:tc>
          <w:tcPr>
            <w:tcW w:w="4876" w:type="dxa"/>
          </w:tcPr>
          <w:p w:rsidR="00692882" w:rsidRPr="00DE4C22" w:rsidRDefault="00DE4C22" w:rsidP="008E4856">
            <w:pPr>
              <w:pStyle w:val="Normal6a"/>
            </w:pPr>
            <w:r w:rsidRPr="00DE4C22">
              <w:rPr>
                <w:b/>
                <w:i/>
              </w:rPr>
              <w:t>(1a)</w:t>
            </w:r>
            <w:r w:rsidRPr="00DE4C22">
              <w:tab/>
            </w:r>
            <w:r w:rsidRPr="00DE4C22">
              <w:rPr>
                <w:b/>
                <w:i/>
              </w:rPr>
              <w:t xml:space="preserve">Zakres dyrektywy (UE) 2015/637 należy również rozszerzyć na </w:t>
            </w:r>
            <w:r w:rsidRPr="00DE4C22">
              <w:rPr>
                <w:b/>
                <w:i/>
              </w:rPr>
              <w:t>obywateli spoza UE. W tym kontekście osoby uznane za uchodźców i bezpaństwowcy oraz inne osoby, które nie posiadają obywatelstwa żadnego kraju, ale zamieszkują w państwie członkowskim i posiadają dokument podróży wydany przez to państwo członkowskie, są up</w:t>
            </w:r>
            <w:r w:rsidRPr="00DE4C22">
              <w:rPr>
                <w:b/>
                <w:i/>
              </w:rPr>
              <w:t>rawnione do ochrony konsularnej na takich samych warunkach jak niereprezentowani obywatele, jeśli państwo członkowskie zamieszkania nie jest reprezentowane przez organ dyplomatyczny lub konsularny.</w:t>
            </w:r>
          </w:p>
        </w:tc>
      </w:tr>
    </w:tbl>
    <w:p w:rsidR="00692882" w:rsidRPr="00DE4C22" w:rsidRDefault="00DE4C22" w:rsidP="00692882">
      <w:r w:rsidRPr="00DE4C22">
        <w:rPr>
          <w:rStyle w:val="HideTWBExt"/>
        </w:rPr>
        <w:t>&lt;/Amend&gt;</w:t>
      </w:r>
    </w:p>
    <w:p w:rsidR="00A61992" w:rsidRPr="00DE4C22" w:rsidRDefault="00DE4C22" w:rsidP="00A61992">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2</w:t>
      </w:r>
      <w:r w:rsidRPr="00DE4C22">
        <w:rPr>
          <w:rStyle w:val="HideTWBExt"/>
        </w:rPr>
        <w:t>&lt;/NumAm&gt;</w:t>
      </w:r>
    </w:p>
    <w:p w:rsidR="00A61992" w:rsidRPr="00DE4C22" w:rsidRDefault="00DE4C22" w:rsidP="00A61992">
      <w:pPr>
        <w:pStyle w:val="NormalBold12b"/>
      </w:pPr>
      <w:r w:rsidRPr="00DE4C22">
        <w:rPr>
          <w:rStyle w:val="HideTWBExt"/>
        </w:rPr>
        <w:t>&lt;DocAmend&gt;</w:t>
      </w:r>
      <w:r w:rsidRPr="00DE4C22">
        <w:t>Wnio</w:t>
      </w:r>
      <w:r w:rsidRPr="00DE4C22">
        <w:t>sek dotyczący dyrektywy</w:t>
      </w:r>
      <w:r w:rsidRPr="00DE4C22">
        <w:rPr>
          <w:rStyle w:val="HideTWBExt"/>
        </w:rPr>
        <w:t>&lt;/DocAmend&gt;</w:t>
      </w:r>
    </w:p>
    <w:p w:rsidR="00A61992" w:rsidRPr="00DE4C22" w:rsidRDefault="00DE4C22" w:rsidP="00A61992">
      <w:pPr>
        <w:pStyle w:val="NormalBold"/>
      </w:pPr>
      <w:r w:rsidRPr="00DE4C22">
        <w:rPr>
          <w:rStyle w:val="HideTWBExt"/>
        </w:rPr>
        <w:t>&lt;Article&gt;</w:t>
      </w:r>
      <w:r w:rsidRPr="00DE4C22">
        <w:t>Motyw 2</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A61992" w:rsidRPr="00DE4C22" w:rsidRDefault="00A61992" w:rsidP="000549C0"/>
        </w:tc>
      </w:tr>
      <w:tr w:rsidR="006B17DB" w:rsidRPr="00DE4C22" w:rsidTr="000549C0">
        <w:trPr>
          <w:trHeight w:val="240"/>
          <w:jc w:val="center"/>
        </w:trPr>
        <w:tc>
          <w:tcPr>
            <w:tcW w:w="4876" w:type="dxa"/>
          </w:tcPr>
          <w:p w:rsidR="00A61992" w:rsidRPr="00DE4C22" w:rsidRDefault="00DE4C22" w:rsidP="000549C0">
            <w:pPr>
              <w:pStyle w:val="AmColumnHeading"/>
            </w:pPr>
            <w:r w:rsidRPr="00DE4C22">
              <w:t>Tekst proponowany przez Komisję</w:t>
            </w:r>
          </w:p>
        </w:tc>
        <w:tc>
          <w:tcPr>
            <w:tcW w:w="4876" w:type="dxa"/>
          </w:tcPr>
          <w:p w:rsidR="00A61992" w:rsidRPr="00DE4C22" w:rsidRDefault="00DE4C22" w:rsidP="000549C0">
            <w:pPr>
              <w:pStyle w:val="AmColumnHeading"/>
            </w:pPr>
            <w:r w:rsidRPr="00DE4C22">
              <w:t>Poprawka</w:t>
            </w:r>
          </w:p>
        </w:tc>
      </w:tr>
      <w:tr w:rsidR="006B17DB" w:rsidRPr="00DE4C22" w:rsidTr="000549C0">
        <w:trPr>
          <w:jc w:val="center"/>
        </w:trPr>
        <w:tc>
          <w:tcPr>
            <w:tcW w:w="4876" w:type="dxa"/>
          </w:tcPr>
          <w:p w:rsidR="00A61992" w:rsidRPr="00DE4C22" w:rsidRDefault="00DE4C22" w:rsidP="000549C0">
            <w:pPr>
              <w:pStyle w:val="Normal6a"/>
            </w:pPr>
            <w:r w:rsidRPr="00DE4C22">
              <w:t>(2)</w:t>
            </w:r>
            <w:r w:rsidRPr="00DE4C22">
              <w:tab/>
              <w:t xml:space="preserve">Częstotliwość występowania i skala kryzysów skutkujących wnioskami o ochronę konsularną jest coraz większa. Pandemia COVID-19, kryzys </w:t>
            </w:r>
            <w:r w:rsidRPr="00DE4C22">
              <w:t>w Afganistanie, rosyjska wojna napastnicza przeciwko Ukrainie, konflikt w Sudanie, repatriacje z Izraela i ze Strefy Gazy oraz inne podobne sytuacje kryzysowe pozwoliły zidentyfikować niedociągnięcia i przemyśleć sposoby dalszego ułatwienia korzystania z p</w:t>
            </w:r>
            <w:r w:rsidRPr="00DE4C22">
              <w:t>rawa do ochrony konsularnej. Opierając się na wnioskach z tych doświadczeń oraz dążąc do uproszczenia procedur dla obywateli i organów konsularnych, należy doprecyzować i usprawnić przepisy i procedury określone w dyrektywie (UE) 2015/637, aby zwiększyć sk</w:t>
            </w:r>
            <w:r w:rsidRPr="00DE4C22">
              <w:t xml:space="preserve">uteczność udzielania ochrony konsularnej niereprezentowanym obywatelom Unii, w szczególności w sytuacjach kryzysowych. Należy jak najlepiej wykorzystać zasoby dostępne na szczeblu państw członkowskich i Unii, zarówno na </w:t>
            </w:r>
            <w:r w:rsidRPr="00DE4C22">
              <w:lastRenderedPageBreak/>
              <w:t>poziomie lokalnym w państwach trzeci</w:t>
            </w:r>
            <w:r w:rsidRPr="00DE4C22">
              <w:t>ch, jak i na poziomie stolic.</w:t>
            </w:r>
          </w:p>
        </w:tc>
        <w:tc>
          <w:tcPr>
            <w:tcW w:w="4876" w:type="dxa"/>
          </w:tcPr>
          <w:p w:rsidR="00A61992" w:rsidRPr="00DE4C22" w:rsidRDefault="00DE4C22" w:rsidP="007D49CF">
            <w:pPr>
              <w:pStyle w:val="AmColumnHeading"/>
              <w:spacing w:after="120"/>
              <w:jc w:val="left"/>
            </w:pPr>
            <w:r w:rsidRPr="00DE4C22">
              <w:rPr>
                <w:i w:val="0"/>
              </w:rPr>
              <w:lastRenderedPageBreak/>
              <w:t>(2)</w:t>
            </w:r>
            <w:r w:rsidRPr="00DE4C22">
              <w:rPr>
                <w:i w:val="0"/>
              </w:rPr>
              <w:tab/>
              <w:t xml:space="preserve">Częstotliwość występowania i skala kryzysów skutkujących wnioskami o ochronę konsularną jest coraz większa. </w:t>
            </w:r>
            <w:r w:rsidRPr="00DE4C22">
              <w:t>Pandemia COVID-19, kryzys w Afganistanie</w:t>
            </w:r>
            <w:r w:rsidRPr="00DE4C22">
              <w:rPr>
                <w:b/>
              </w:rPr>
              <w:t xml:space="preserve"> w 2021 r.</w:t>
            </w:r>
            <w:r w:rsidRPr="00DE4C22">
              <w:t>, rosyjska wojna napastnicza przeciwko Ukrainie, konflikt w Suda</w:t>
            </w:r>
            <w:r w:rsidRPr="00DE4C22">
              <w:t>nie, repatriacje z Izraela i ze Strefy Gazy</w:t>
            </w:r>
            <w:r w:rsidRPr="00DE4C22">
              <w:rPr>
                <w:b/>
              </w:rPr>
              <w:t>, mnożące się kryzysy humanitarne, klęski żywiołowe i katastrofy spowodowane przez człowieka</w:t>
            </w:r>
            <w:r w:rsidRPr="00DE4C22">
              <w:t xml:space="preserve"> oraz inne podobne sytuacje kryzysowe pozwoliły zidentyfikować niedociągnięcia i przemyśleć sposoby dalszego ułatwienia k</w:t>
            </w:r>
            <w:r w:rsidRPr="00DE4C22">
              <w:t>orzystania z prawa do ochrony konsularnej</w:t>
            </w:r>
            <w:r w:rsidRPr="00DE4C22">
              <w:rPr>
                <w:b/>
              </w:rPr>
              <w:t>.</w:t>
            </w:r>
            <w:r w:rsidRPr="00DE4C22">
              <w:rPr>
                <w:b/>
              </w:rPr>
              <w:t xml:space="preserve"> </w:t>
            </w:r>
            <w:r w:rsidRPr="00DE4C22">
              <w:rPr>
                <w:b/>
              </w:rPr>
              <w:t>Należy wzmocnić zdolność UE do reagowania na te mnożące się kryzysy, aby zaradzić wszelkim niedociągnięciom i wzmocnić nasze zdolności w zakresie gotowości, gromadzenia informacji i podejmowania decyzji przed sytu</w:t>
            </w:r>
            <w:r w:rsidRPr="00DE4C22">
              <w:rPr>
                <w:b/>
              </w:rPr>
              <w:t>acjami kryzysowymi i w ich trakcie</w:t>
            </w:r>
            <w:r w:rsidRPr="00DE4C22">
              <w:rPr>
                <w:b/>
              </w:rPr>
              <w:t>.</w:t>
            </w:r>
            <w:r w:rsidRPr="00DE4C22">
              <w:t xml:space="preserve"> </w:t>
            </w:r>
            <w:r w:rsidRPr="00DE4C22">
              <w:rPr>
                <w:i w:val="0"/>
              </w:rPr>
              <w:t xml:space="preserve">Opierając się na wnioskach z tych doświadczeń oraz dążąc do uproszczenia procedur dla obywateli </w:t>
            </w:r>
            <w:r w:rsidRPr="00DE4C22">
              <w:rPr>
                <w:i w:val="0"/>
              </w:rPr>
              <w:lastRenderedPageBreak/>
              <w:t>i organów konsularnych, należy doprecyzować i usprawnić przepisy i procedury określone w dyrektywie (UE) 2015/637, aby zwięk</w:t>
            </w:r>
            <w:r w:rsidRPr="00DE4C22">
              <w:rPr>
                <w:i w:val="0"/>
              </w:rPr>
              <w:t>szyć skuteczność udzielania ochrony konsularnej niereprezentowanym obywatelom Unii, w szczególności w sytuacjach kryzysowych. Należy jak najlepiej wykorzystać zasoby dostępne na szczeblu państw członkowskich i Unii, zarówno na poziomie lokalnym w państwach</w:t>
            </w:r>
            <w:r w:rsidRPr="00DE4C22">
              <w:rPr>
                <w:i w:val="0"/>
              </w:rPr>
              <w:t xml:space="preserve"> trzecich, jak i na poziomie stolic.</w:t>
            </w:r>
          </w:p>
        </w:tc>
      </w:tr>
    </w:tbl>
    <w:p w:rsidR="00A61992" w:rsidRPr="00DE4C22" w:rsidRDefault="00DE4C22" w:rsidP="00A61992">
      <w:r w:rsidRPr="00DE4C22">
        <w:rPr>
          <w:rStyle w:val="HideTWBExt"/>
        </w:rPr>
        <w:lastRenderedPageBreak/>
        <w:t>&lt;/Amend&gt;</w:t>
      </w:r>
    </w:p>
    <w:p w:rsidR="00F866BA" w:rsidRPr="00DE4C22" w:rsidRDefault="00DE4C22" w:rsidP="00F866BA">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3</w:t>
      </w:r>
      <w:r w:rsidRPr="00DE4C22">
        <w:rPr>
          <w:rStyle w:val="HideTWBExt"/>
        </w:rPr>
        <w:t>&lt;/NumAm&gt;</w:t>
      </w:r>
    </w:p>
    <w:p w:rsidR="00F866BA" w:rsidRPr="00DE4C22" w:rsidRDefault="00DE4C22" w:rsidP="00F866BA">
      <w:pPr>
        <w:pStyle w:val="NormalBold12b"/>
      </w:pPr>
      <w:r w:rsidRPr="00DE4C22">
        <w:rPr>
          <w:rStyle w:val="HideTWBExt"/>
        </w:rPr>
        <w:t>&lt;DocAmend&gt;</w:t>
      </w:r>
      <w:r w:rsidRPr="00DE4C22">
        <w:t>Wniosek dotyczący dyrektywy</w:t>
      </w:r>
      <w:r w:rsidRPr="00DE4C22">
        <w:rPr>
          <w:rStyle w:val="HideTWBExt"/>
        </w:rPr>
        <w:t>&lt;/DocAmend&gt;</w:t>
      </w:r>
    </w:p>
    <w:p w:rsidR="00F866BA" w:rsidRPr="00DE4C22" w:rsidRDefault="00DE4C22" w:rsidP="00F866BA">
      <w:pPr>
        <w:pStyle w:val="NormalBold"/>
      </w:pPr>
      <w:r w:rsidRPr="00DE4C22">
        <w:rPr>
          <w:rStyle w:val="HideTWBExt"/>
        </w:rPr>
        <w:t>&lt;Article&gt;</w:t>
      </w:r>
      <w:r w:rsidRPr="00DE4C22">
        <w:t>Motyw 4</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F866BA" w:rsidRPr="00DE4C22" w:rsidRDefault="00F866BA" w:rsidP="000549C0"/>
        </w:tc>
      </w:tr>
      <w:tr w:rsidR="006B17DB" w:rsidRPr="00DE4C22" w:rsidTr="000549C0">
        <w:trPr>
          <w:trHeight w:val="240"/>
          <w:jc w:val="center"/>
        </w:trPr>
        <w:tc>
          <w:tcPr>
            <w:tcW w:w="4876" w:type="dxa"/>
          </w:tcPr>
          <w:p w:rsidR="00F866BA" w:rsidRPr="00DE4C22" w:rsidRDefault="00DE4C22" w:rsidP="000549C0">
            <w:pPr>
              <w:pStyle w:val="AmColumnHeading"/>
            </w:pPr>
            <w:r w:rsidRPr="00DE4C22">
              <w:t>Tekst proponowany przez Komisję</w:t>
            </w:r>
          </w:p>
        </w:tc>
        <w:tc>
          <w:tcPr>
            <w:tcW w:w="4876" w:type="dxa"/>
          </w:tcPr>
          <w:p w:rsidR="00F866BA" w:rsidRPr="00DE4C22" w:rsidRDefault="00DE4C22" w:rsidP="000549C0">
            <w:pPr>
              <w:pStyle w:val="AmColumnHeading"/>
            </w:pPr>
            <w:r w:rsidRPr="00DE4C22">
              <w:t>Poprawka</w:t>
            </w:r>
          </w:p>
        </w:tc>
      </w:tr>
      <w:tr w:rsidR="006B17DB" w:rsidRPr="00DE4C22" w:rsidTr="000549C0">
        <w:trPr>
          <w:jc w:val="center"/>
        </w:trPr>
        <w:tc>
          <w:tcPr>
            <w:tcW w:w="4876" w:type="dxa"/>
          </w:tcPr>
          <w:p w:rsidR="00F866BA" w:rsidRPr="00DE4C22" w:rsidRDefault="00DE4C22" w:rsidP="000549C0">
            <w:pPr>
              <w:pStyle w:val="Normal6a"/>
            </w:pPr>
            <w:r w:rsidRPr="00DE4C22">
              <w:t>(4)</w:t>
            </w:r>
            <w:r w:rsidRPr="00DE4C22">
              <w:tab/>
              <w:t xml:space="preserve">Mając na uwadze zwiększenie pewności prawa dla </w:t>
            </w:r>
            <w:r w:rsidRPr="00DE4C22">
              <w:t>organów konsularnych i obywateli, należy określić bardziej szczegółowe kryteria, pomagające ocenić, czy obywatela Unii należy uznać za niereprezentowanego i w związku z tym za kwalifikującego się do otrzymania ochrony konsularnej od państwa członkowskiego,</w:t>
            </w:r>
            <w:r w:rsidRPr="00DE4C22">
              <w:t xml:space="preserve"> do którego organów konsularnych się zwrócono. Kryteria te powinny być dostatecznie elastyczne i należy je stosować w świetle uwarunkowań lokalnych, takich jak łatwość podróżowania lub sytuacja w zakresie bezpieczeństwa w danym państwie trzecim. Istotnymi </w:t>
            </w:r>
            <w:r w:rsidRPr="00DE4C22">
              <w:t>czynnikami powinny pozostać w tym kontekście dostępność i bliskość.</w:t>
            </w:r>
          </w:p>
        </w:tc>
        <w:tc>
          <w:tcPr>
            <w:tcW w:w="4876" w:type="dxa"/>
          </w:tcPr>
          <w:p w:rsidR="00F866BA" w:rsidRPr="00DE4C22" w:rsidRDefault="00DE4C22" w:rsidP="007D49CF">
            <w:pPr>
              <w:pStyle w:val="AmColumnHeading"/>
              <w:spacing w:after="120"/>
              <w:jc w:val="left"/>
            </w:pPr>
            <w:r w:rsidRPr="00DE4C22">
              <w:rPr>
                <w:i w:val="0"/>
              </w:rPr>
              <w:t>(4)</w:t>
            </w:r>
            <w:r w:rsidRPr="00DE4C22">
              <w:rPr>
                <w:i w:val="0"/>
              </w:rPr>
              <w:tab/>
              <w:t>Mając na uwadze zwiększenie pewności prawa dla organów konsularnych i obywateli, należy określić bardziej szczegółowe kryteria, pomagające ocenić, czy obywatela Unii należy uznać za ni</w:t>
            </w:r>
            <w:r w:rsidRPr="00DE4C22">
              <w:rPr>
                <w:i w:val="0"/>
              </w:rPr>
              <w:t xml:space="preserve">ereprezentowanego i w związku z tym za kwalifikującego się do otrzymania ochrony konsularnej od państwa członkowskiego, do którego organów konsularnych się zwrócono. </w:t>
            </w:r>
            <w:r w:rsidRPr="00DE4C22">
              <w:t xml:space="preserve">Kryteria te powinny być dostatecznie </w:t>
            </w:r>
            <w:r w:rsidRPr="00DE4C22">
              <w:rPr>
                <w:b/>
              </w:rPr>
              <w:t xml:space="preserve">pragmatyczne, </w:t>
            </w:r>
            <w:r w:rsidRPr="00DE4C22">
              <w:t>elastyczne i należy je stosować w świet</w:t>
            </w:r>
            <w:r w:rsidRPr="00DE4C22">
              <w:t>le uwarunkowań lokalnych, takich jak łatwość podróżowania lub sytuacja w zakresie bezpieczeństwa w danym państwie trzecim.</w:t>
            </w:r>
            <w:r w:rsidRPr="00DE4C22">
              <w:rPr>
                <w:i w:val="0"/>
              </w:rPr>
              <w:t xml:space="preserve"> Istotnymi czynnikami powinny pozostać w tym kontekście dostępność i bliskość.</w:t>
            </w:r>
          </w:p>
        </w:tc>
      </w:tr>
    </w:tbl>
    <w:p w:rsidR="00F866BA" w:rsidRPr="00DE4C22" w:rsidRDefault="00DE4C22" w:rsidP="00F866BA">
      <w:r w:rsidRPr="00DE4C22">
        <w:rPr>
          <w:rStyle w:val="HideTWBExt"/>
        </w:rPr>
        <w:t>&lt;/Amend&gt;</w:t>
      </w:r>
    </w:p>
    <w:p w:rsidR="00F866BA" w:rsidRPr="00DE4C22" w:rsidRDefault="00DE4C22" w:rsidP="00F866BA">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4</w:t>
      </w:r>
      <w:r w:rsidRPr="00DE4C22">
        <w:rPr>
          <w:rStyle w:val="HideTWBExt"/>
        </w:rPr>
        <w:t>&lt;/NumAm&gt;</w:t>
      </w:r>
    </w:p>
    <w:p w:rsidR="00F866BA" w:rsidRPr="00DE4C22" w:rsidRDefault="00DE4C22" w:rsidP="00F866BA">
      <w:pPr>
        <w:pStyle w:val="NormalBold12b"/>
      </w:pPr>
      <w:r w:rsidRPr="00DE4C22">
        <w:rPr>
          <w:rStyle w:val="HideTWBExt"/>
        </w:rPr>
        <w:t>&lt;DocAmend&gt;</w:t>
      </w:r>
      <w:r w:rsidRPr="00DE4C22">
        <w:t>W</w:t>
      </w:r>
      <w:r w:rsidRPr="00DE4C22">
        <w:t>niosek dotyczący dyrektywy</w:t>
      </w:r>
      <w:r w:rsidRPr="00DE4C22">
        <w:rPr>
          <w:rStyle w:val="HideTWBExt"/>
        </w:rPr>
        <w:t>&lt;/DocAmend&gt;</w:t>
      </w:r>
    </w:p>
    <w:p w:rsidR="00F866BA" w:rsidRPr="00DE4C22" w:rsidRDefault="00DE4C22" w:rsidP="00F866BA">
      <w:pPr>
        <w:pStyle w:val="NormalBold"/>
      </w:pPr>
      <w:r w:rsidRPr="00DE4C22">
        <w:rPr>
          <w:rStyle w:val="HideTWBExt"/>
        </w:rPr>
        <w:t>&lt;Article&gt;</w:t>
      </w:r>
      <w:r w:rsidRPr="00DE4C22">
        <w:t>Motyw 10</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F866BA" w:rsidRPr="00DE4C22" w:rsidRDefault="00F866BA" w:rsidP="000549C0"/>
        </w:tc>
      </w:tr>
      <w:tr w:rsidR="006B17DB" w:rsidRPr="00DE4C22" w:rsidTr="000549C0">
        <w:trPr>
          <w:trHeight w:val="240"/>
          <w:jc w:val="center"/>
        </w:trPr>
        <w:tc>
          <w:tcPr>
            <w:tcW w:w="4876" w:type="dxa"/>
          </w:tcPr>
          <w:p w:rsidR="00F866BA" w:rsidRPr="00DE4C22" w:rsidRDefault="00DE4C22" w:rsidP="000549C0">
            <w:pPr>
              <w:pStyle w:val="AmColumnHeading"/>
            </w:pPr>
            <w:r w:rsidRPr="00DE4C22">
              <w:t>Tekst proponowany przez Komisję</w:t>
            </w:r>
          </w:p>
        </w:tc>
        <w:tc>
          <w:tcPr>
            <w:tcW w:w="4876" w:type="dxa"/>
          </w:tcPr>
          <w:p w:rsidR="00F866BA" w:rsidRPr="00DE4C22" w:rsidRDefault="00DE4C22" w:rsidP="000549C0">
            <w:pPr>
              <w:pStyle w:val="AmColumnHeading"/>
            </w:pPr>
            <w:r w:rsidRPr="00DE4C22">
              <w:t>Poprawka</w:t>
            </w:r>
          </w:p>
        </w:tc>
      </w:tr>
      <w:tr w:rsidR="006B17DB" w:rsidRPr="00DE4C22" w:rsidTr="000549C0">
        <w:trPr>
          <w:jc w:val="center"/>
        </w:trPr>
        <w:tc>
          <w:tcPr>
            <w:tcW w:w="4876" w:type="dxa"/>
          </w:tcPr>
          <w:p w:rsidR="00F866BA" w:rsidRPr="00DE4C22" w:rsidRDefault="00DE4C22" w:rsidP="000549C0">
            <w:pPr>
              <w:pStyle w:val="Normal6a"/>
            </w:pPr>
            <w:r w:rsidRPr="00DE4C22">
              <w:lastRenderedPageBreak/>
              <w:t>(10)</w:t>
            </w:r>
            <w:r w:rsidRPr="00DE4C22">
              <w:tab/>
              <w:t xml:space="preserve">Jeżeli sytuacja kryzysowa spowodowała dużą liczbę wniosków o ochronę konsularną, ambasady i konsulaty państw członkowskich reprezentowanych </w:t>
            </w:r>
            <w:r w:rsidRPr="00DE4C22">
              <w:t xml:space="preserve">w danym państwie trzecim powinny mieć możliwość wyrażenia zgody na rozdzielenie wniosków w oparciu o dostępne zdolności w celu jak najlepszego wykorzystania tych zdolności. W tym celu </w:t>
            </w:r>
            <w:r w:rsidRPr="00DE4C22">
              <w:rPr>
                <w:b/>
                <w:i/>
              </w:rPr>
              <w:t>mogą</w:t>
            </w:r>
            <w:r w:rsidRPr="00DE4C22">
              <w:t xml:space="preserve"> one uzyskać wsparcie ze strony delegatur Unii.</w:t>
            </w:r>
          </w:p>
        </w:tc>
        <w:tc>
          <w:tcPr>
            <w:tcW w:w="4876" w:type="dxa"/>
          </w:tcPr>
          <w:p w:rsidR="00F866BA" w:rsidRPr="00DE4C22" w:rsidRDefault="00DE4C22" w:rsidP="000549C0">
            <w:pPr>
              <w:pStyle w:val="Normal6a"/>
            </w:pPr>
            <w:r w:rsidRPr="00DE4C22">
              <w:t>(10)</w:t>
            </w:r>
            <w:r w:rsidRPr="00DE4C22">
              <w:tab/>
              <w:t>Jeżeli sytuacja</w:t>
            </w:r>
            <w:r w:rsidRPr="00DE4C22">
              <w:t xml:space="preserve"> kryzysowa spowodowała dużą liczbę wniosków o ochronę konsularną, ambasady i konsulaty państw członkowskich reprezentowanych w danym państwie trzecim powinny mieć możliwość wyrażenia zgody na rozdzielenie wniosków w oparciu o dostępne zdolności w celu jak </w:t>
            </w:r>
            <w:r w:rsidRPr="00DE4C22">
              <w:t xml:space="preserve">najlepszego wykorzystania tych zdolności. W tym celu </w:t>
            </w:r>
            <w:r w:rsidRPr="00DE4C22">
              <w:rPr>
                <w:b/>
                <w:i/>
              </w:rPr>
              <w:t>powinny</w:t>
            </w:r>
            <w:r w:rsidRPr="00DE4C22">
              <w:t xml:space="preserve"> one uzyskać wsparcie ze strony delegatur Unii.</w:t>
            </w:r>
          </w:p>
        </w:tc>
      </w:tr>
    </w:tbl>
    <w:p w:rsidR="00F866BA" w:rsidRPr="00DE4C22" w:rsidRDefault="00DE4C22" w:rsidP="00F866BA">
      <w:r w:rsidRPr="00DE4C22">
        <w:rPr>
          <w:rStyle w:val="HideTWBExt"/>
        </w:rPr>
        <w:t>&lt;/Amend&gt;</w:t>
      </w:r>
    </w:p>
    <w:p w:rsidR="006033AB" w:rsidRPr="00DE4C22" w:rsidRDefault="00DE4C22" w:rsidP="006033AB">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5</w:t>
      </w:r>
      <w:r w:rsidRPr="00DE4C22">
        <w:rPr>
          <w:rStyle w:val="HideTWBExt"/>
        </w:rPr>
        <w:t>&lt;/NumAm&gt;</w:t>
      </w:r>
    </w:p>
    <w:p w:rsidR="006033AB" w:rsidRPr="00DE4C22" w:rsidRDefault="00DE4C22" w:rsidP="006033AB">
      <w:pPr>
        <w:pStyle w:val="NormalBold12b"/>
      </w:pPr>
      <w:r w:rsidRPr="00DE4C22">
        <w:rPr>
          <w:rStyle w:val="HideTWBExt"/>
        </w:rPr>
        <w:t>&lt;DocAmend&gt;</w:t>
      </w:r>
      <w:r w:rsidRPr="00DE4C22">
        <w:t>Wniosek dotyczący dyrektywy</w:t>
      </w:r>
      <w:r w:rsidRPr="00DE4C22">
        <w:rPr>
          <w:rStyle w:val="HideTWBExt"/>
        </w:rPr>
        <w:t>&lt;/DocAmend&gt;</w:t>
      </w:r>
    </w:p>
    <w:p w:rsidR="006033AB" w:rsidRPr="00DE4C22" w:rsidRDefault="00DE4C22" w:rsidP="006033AB">
      <w:pPr>
        <w:pStyle w:val="NormalBold"/>
      </w:pPr>
      <w:r w:rsidRPr="00DE4C22">
        <w:rPr>
          <w:rStyle w:val="HideTWBExt"/>
        </w:rPr>
        <w:t>&lt;Article&gt;</w:t>
      </w:r>
      <w:r w:rsidRPr="00DE4C22">
        <w:t>Motyw 19</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6033AB" w:rsidRPr="00DE4C22" w:rsidRDefault="006033AB" w:rsidP="000549C0"/>
        </w:tc>
      </w:tr>
      <w:tr w:rsidR="006B17DB" w:rsidRPr="00DE4C22" w:rsidTr="000549C0">
        <w:trPr>
          <w:trHeight w:val="240"/>
          <w:jc w:val="center"/>
        </w:trPr>
        <w:tc>
          <w:tcPr>
            <w:tcW w:w="4876" w:type="dxa"/>
          </w:tcPr>
          <w:p w:rsidR="006033AB" w:rsidRPr="00DE4C22" w:rsidRDefault="00DE4C22" w:rsidP="000549C0">
            <w:pPr>
              <w:pStyle w:val="AmColumnHeading"/>
            </w:pPr>
            <w:r w:rsidRPr="00DE4C22">
              <w:t xml:space="preserve">Tekst proponowany przez </w:t>
            </w:r>
            <w:r w:rsidRPr="00DE4C22">
              <w:t>Komisję</w:t>
            </w:r>
          </w:p>
        </w:tc>
        <w:tc>
          <w:tcPr>
            <w:tcW w:w="4876" w:type="dxa"/>
          </w:tcPr>
          <w:p w:rsidR="006033AB" w:rsidRPr="00DE4C22" w:rsidRDefault="00DE4C22" w:rsidP="000549C0">
            <w:pPr>
              <w:pStyle w:val="AmColumnHeading"/>
            </w:pPr>
            <w:r w:rsidRPr="00DE4C22">
              <w:t>Poprawka</w:t>
            </w:r>
          </w:p>
        </w:tc>
      </w:tr>
      <w:tr w:rsidR="006B17DB" w:rsidRPr="00DE4C22" w:rsidTr="000549C0">
        <w:trPr>
          <w:jc w:val="center"/>
        </w:trPr>
        <w:tc>
          <w:tcPr>
            <w:tcW w:w="4876" w:type="dxa"/>
          </w:tcPr>
          <w:p w:rsidR="006033AB" w:rsidRPr="00DE4C22" w:rsidRDefault="00DE4C22" w:rsidP="006033AB">
            <w:pPr>
              <w:pStyle w:val="Normal6a"/>
            </w:pPr>
            <w:r w:rsidRPr="00DE4C22">
              <w:t>(19)</w:t>
            </w:r>
            <w:r w:rsidRPr="00DE4C22">
              <w:tab/>
              <w:t xml:space="preserve">Aby zapewnić gotowość na wypadek ewentualnych kryzysów konsularnych wiążących się z koniecznością udzielenia pomocy niereprezentowanym obywatelom, lokalna współpraca konsularna między państwami członkowskimi i delegaturami Unii </w:t>
            </w:r>
            <w:r w:rsidRPr="00DE4C22">
              <w:t xml:space="preserve">w państwach trzecich powinna przewidywać wymianę informacji dotyczących kwestii istotnych dla takich obywateli, w tym ich bezpieczeństwa, ustanowienie wspólnych konsularnych planów ewentualnościowych oraz organizację ćwiczeń konsularnych. W tym kontekście </w:t>
            </w:r>
            <w:r w:rsidRPr="00DE4C22">
              <w:t>szczególnie istotne może być włączenie do takiej lokalnej współpracy – na etapie koordynowania gotowości na kryzysy konsularne i reagowania w przypadku takiego kryzysu – organów konsularnych niereprezentowanych państw członkowskich.</w:t>
            </w:r>
          </w:p>
        </w:tc>
        <w:tc>
          <w:tcPr>
            <w:tcW w:w="4876" w:type="dxa"/>
          </w:tcPr>
          <w:p w:rsidR="006033AB" w:rsidRPr="00DE4C22" w:rsidRDefault="00DE4C22" w:rsidP="006033AB">
            <w:pPr>
              <w:pStyle w:val="Normal6a"/>
            </w:pPr>
            <w:r w:rsidRPr="00DE4C22">
              <w:t>(19)</w:t>
            </w:r>
            <w:r w:rsidRPr="00DE4C22">
              <w:tab/>
              <w:t>Aby zapewnić gotow</w:t>
            </w:r>
            <w:r w:rsidRPr="00DE4C22">
              <w:t>ość na wypadek ewentualnych kryzysów konsularnych wiążących się z koniecznością udzielenia pomocy niereprezentowanym obywatelom</w:t>
            </w:r>
            <w:r w:rsidRPr="00DE4C22">
              <w:rPr>
                <w:b/>
                <w:i/>
              </w:rPr>
              <w:t xml:space="preserve"> – w tym klęsk żywiołowych</w:t>
            </w:r>
            <w:r w:rsidRPr="00DE4C22">
              <w:t>,</w:t>
            </w:r>
            <w:r w:rsidRPr="00DE4C22">
              <w:rPr>
                <w:b/>
                <w:i/>
              </w:rPr>
              <w:t xml:space="preserve"> niepokojów politycznych lub ataków terrorystycznych –</w:t>
            </w:r>
            <w:r w:rsidRPr="00DE4C22">
              <w:t xml:space="preserve"> lokalna współpraca konsularna między państwami </w:t>
            </w:r>
            <w:r w:rsidRPr="00DE4C22">
              <w:t>członkowskimi i delegaturami Unii w państwach trzecich powinna przewidywać wymianę informacji dotyczących kwestii istotnych dla takich obywateli, w tym ich bezpieczeństwa, ustanowienie wspólnych konsularnych planów ewentualnościowych</w:t>
            </w:r>
            <w:r w:rsidRPr="00DE4C22">
              <w:rPr>
                <w:b/>
                <w:i/>
              </w:rPr>
              <w:t xml:space="preserve"> i mechanizmów szybkieg</w:t>
            </w:r>
            <w:r w:rsidRPr="00DE4C22">
              <w:rPr>
                <w:b/>
                <w:i/>
              </w:rPr>
              <w:t>o reagowania</w:t>
            </w:r>
            <w:r w:rsidRPr="00DE4C22">
              <w:t xml:space="preserve"> oraz organizację ćwiczeń konsularnych. W tym kontekście szczególnie istotne może być włączenie do takiej lokalnej współpracy – na etapie koordynowania gotowości na kryzysy konsularne i reagowania w przypadku takiego kryzysu – organów konsularn</w:t>
            </w:r>
            <w:r w:rsidRPr="00DE4C22">
              <w:t>ych niereprezentowanych państw członkowskich.</w:t>
            </w:r>
          </w:p>
        </w:tc>
      </w:tr>
    </w:tbl>
    <w:p w:rsidR="006033AB" w:rsidRPr="00DE4C22" w:rsidRDefault="00DE4C22" w:rsidP="006033AB">
      <w:r w:rsidRPr="00DE4C22">
        <w:rPr>
          <w:rStyle w:val="HideTWBExt"/>
        </w:rPr>
        <w:t>&lt;/Amend&gt;</w:t>
      </w:r>
    </w:p>
    <w:p w:rsidR="00930496" w:rsidRPr="00DE4C22" w:rsidRDefault="00DE4C22" w:rsidP="00930496">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6</w:t>
      </w:r>
      <w:r w:rsidRPr="00DE4C22">
        <w:rPr>
          <w:rStyle w:val="HideTWBExt"/>
        </w:rPr>
        <w:t>&lt;/NumAm&gt;</w:t>
      </w:r>
    </w:p>
    <w:p w:rsidR="00930496" w:rsidRPr="00DE4C22" w:rsidRDefault="00DE4C22" w:rsidP="00930496">
      <w:pPr>
        <w:pStyle w:val="NormalBold12b"/>
      </w:pPr>
      <w:r w:rsidRPr="00DE4C22">
        <w:rPr>
          <w:rStyle w:val="HideTWBExt"/>
        </w:rPr>
        <w:lastRenderedPageBreak/>
        <w:t>&lt;DocAmend&gt;</w:t>
      </w:r>
      <w:r w:rsidRPr="00DE4C22">
        <w:t>Wniosek dotyczący dyrektywy</w:t>
      </w:r>
      <w:r w:rsidRPr="00DE4C22">
        <w:rPr>
          <w:rStyle w:val="HideTWBExt"/>
        </w:rPr>
        <w:t>&lt;/DocAmend&gt;</w:t>
      </w:r>
    </w:p>
    <w:p w:rsidR="00930496" w:rsidRPr="00DE4C22" w:rsidRDefault="00DE4C22" w:rsidP="00930496">
      <w:pPr>
        <w:pStyle w:val="NormalBold"/>
      </w:pPr>
      <w:r w:rsidRPr="00DE4C22">
        <w:rPr>
          <w:rStyle w:val="HideTWBExt"/>
        </w:rPr>
        <w:t>&lt;Article&gt;</w:t>
      </w:r>
      <w:r w:rsidRPr="00DE4C22">
        <w:t>Motyw 23</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930496" w:rsidRPr="00DE4C22" w:rsidRDefault="00930496" w:rsidP="000549C0"/>
        </w:tc>
      </w:tr>
      <w:tr w:rsidR="006B17DB" w:rsidRPr="00DE4C22" w:rsidTr="000549C0">
        <w:trPr>
          <w:trHeight w:val="240"/>
          <w:jc w:val="center"/>
        </w:trPr>
        <w:tc>
          <w:tcPr>
            <w:tcW w:w="4876" w:type="dxa"/>
          </w:tcPr>
          <w:p w:rsidR="00930496" w:rsidRPr="00DE4C22" w:rsidRDefault="00DE4C22" w:rsidP="000549C0">
            <w:pPr>
              <w:pStyle w:val="AmColumnHeading"/>
            </w:pPr>
            <w:r w:rsidRPr="00DE4C22">
              <w:t>Tekst proponowany przez Komisję</w:t>
            </w:r>
          </w:p>
        </w:tc>
        <w:tc>
          <w:tcPr>
            <w:tcW w:w="4876" w:type="dxa"/>
          </w:tcPr>
          <w:p w:rsidR="00930496" w:rsidRPr="00DE4C22" w:rsidRDefault="00DE4C22" w:rsidP="000549C0">
            <w:pPr>
              <w:pStyle w:val="AmColumnHeading"/>
            </w:pPr>
            <w:r w:rsidRPr="00DE4C22">
              <w:t>Poprawka</w:t>
            </w:r>
          </w:p>
        </w:tc>
      </w:tr>
      <w:tr w:rsidR="006B17DB" w:rsidRPr="00DE4C22" w:rsidTr="000549C0">
        <w:trPr>
          <w:jc w:val="center"/>
        </w:trPr>
        <w:tc>
          <w:tcPr>
            <w:tcW w:w="4876" w:type="dxa"/>
          </w:tcPr>
          <w:p w:rsidR="00930496" w:rsidRPr="00DE4C22" w:rsidRDefault="00DE4C22" w:rsidP="000549C0">
            <w:pPr>
              <w:pStyle w:val="Normal6a"/>
            </w:pPr>
            <w:r w:rsidRPr="00DE4C22">
              <w:t>(23)</w:t>
            </w:r>
            <w:r w:rsidRPr="00DE4C22">
              <w:tab/>
              <w:t xml:space="preserve">Aby zapewnić skuteczną koordynację </w:t>
            </w:r>
            <w:r w:rsidRPr="00DE4C22">
              <w:t>pomocy konsularnej, należy, w stosownych przypadkach, uwzględnić we wspólnych konsularnych planach ewentualnościowych role i obowiązki państw wiodących, tj. państw członkowskich reprezentowanych w danym państwie trzecim, które odpowiadają za koordynację po</w:t>
            </w:r>
            <w:r w:rsidRPr="00DE4C22">
              <w:t>mocy dla niereprezentowanych obywateli w okresie kryzysu i kierowanie taką pomocą. Ponadto wspólne konsularne plany ewentualnościowe powinny być poddawane corocznej ocenie w kontekście ćwiczeń konsularnych. Pozwoli to zagwarantować stałą adekwatność takich</w:t>
            </w:r>
            <w:r w:rsidRPr="00DE4C22">
              <w:t xml:space="preserve"> planów. Jednocześnie przez wspólne konsularne plany ewentualnościowe nie należy rozumieć planów, które zastępują istniejące krajowe plany ewentualnościowe poszczególnych państw członkowskich lub które mają wpływ na ich odpowiedzialność za udzielanie pomoc</w:t>
            </w:r>
            <w:r w:rsidRPr="00DE4C22">
              <w:t>y konsularnej swoim obywatelom.</w:t>
            </w:r>
          </w:p>
        </w:tc>
        <w:tc>
          <w:tcPr>
            <w:tcW w:w="4876" w:type="dxa"/>
          </w:tcPr>
          <w:p w:rsidR="00930496" w:rsidRPr="00DE4C22" w:rsidRDefault="00DE4C22" w:rsidP="00930496">
            <w:pPr>
              <w:pStyle w:val="Normal6a"/>
            </w:pPr>
            <w:r w:rsidRPr="00DE4C22">
              <w:t>(23)</w:t>
            </w:r>
            <w:r w:rsidRPr="00DE4C22">
              <w:tab/>
              <w:t>Aby zapewnić skuteczną koordynację pomocy konsularnej, należy, w stosownych przypadkach, uwzględnić we wspólnych konsularnych planach ewentualnościowych role i obowiązki państw wiodących, tj. państw członkowskich reprez</w:t>
            </w:r>
            <w:r w:rsidRPr="00DE4C22">
              <w:t>entowanych w danym państwie trzecim, które odpowiadają za koordynację pomocy dla niereprezentowanych obywateli w okresie kryzysu i kierowanie taką pomocą. Ponadto wspólne konsularne plany ewentualnościowe powinny być poddawane corocznej ocenie</w:t>
            </w:r>
            <w:r w:rsidRPr="00DE4C22">
              <w:rPr>
                <w:b/>
                <w:i/>
              </w:rPr>
              <w:t>, lub częstsz</w:t>
            </w:r>
            <w:r w:rsidRPr="00DE4C22">
              <w:rPr>
                <w:b/>
                <w:i/>
              </w:rPr>
              <w:t>ej, jeśli zaistnieją nadzwyczajne okoliczności, które tego wymagają,</w:t>
            </w:r>
            <w:r w:rsidRPr="00DE4C22">
              <w:t xml:space="preserve"> w kontekście ćwiczeń konsularnych. Pozwoli to zagwarantować stałą adekwatność takich planów. Jednocześnie przez wspólne konsularne plany ewentualnościowe nie należy rozumieć planów, które</w:t>
            </w:r>
            <w:r w:rsidRPr="00DE4C22">
              <w:t xml:space="preserve"> zastępują istniejące krajowe plany ewentualnościowe poszczególnych państw członkowskich lub które mają wpływ na ich odpowiedzialność za udzielanie pomocy konsularnej swoim obywatelom</w:t>
            </w:r>
            <w:r w:rsidRPr="00DE4C22">
              <w:rPr>
                <w:b/>
                <w:i/>
              </w:rPr>
              <w:t xml:space="preserve">, ale spójne podejście, które może dodatkowo pomóc w koordynacji działań </w:t>
            </w:r>
            <w:r w:rsidRPr="00DE4C22">
              <w:rPr>
                <w:b/>
                <w:i/>
              </w:rPr>
              <w:t>reprezentowanych państw członkowskich</w:t>
            </w:r>
            <w:r w:rsidRPr="00DE4C22">
              <w:t>.</w:t>
            </w:r>
          </w:p>
        </w:tc>
      </w:tr>
    </w:tbl>
    <w:p w:rsidR="00930496" w:rsidRPr="00DE4C22" w:rsidRDefault="00DE4C22" w:rsidP="00930496">
      <w:r w:rsidRPr="00DE4C22">
        <w:rPr>
          <w:rStyle w:val="HideTWBExt"/>
        </w:rPr>
        <w:t>&lt;/Amend&gt;</w:t>
      </w:r>
    </w:p>
    <w:p w:rsidR="000150B4" w:rsidRPr="00DE4C22" w:rsidRDefault="00DE4C22" w:rsidP="000150B4">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7</w:t>
      </w:r>
      <w:r w:rsidRPr="00DE4C22">
        <w:rPr>
          <w:rStyle w:val="HideTWBExt"/>
        </w:rPr>
        <w:t>&lt;/NumAm&gt;</w:t>
      </w:r>
    </w:p>
    <w:p w:rsidR="000150B4" w:rsidRPr="00DE4C22" w:rsidRDefault="00DE4C22" w:rsidP="000150B4">
      <w:pPr>
        <w:pStyle w:val="NormalBold12b"/>
      </w:pPr>
      <w:r w:rsidRPr="00DE4C22">
        <w:rPr>
          <w:rStyle w:val="HideTWBExt"/>
        </w:rPr>
        <w:t>&lt;DocAmend&gt;</w:t>
      </w:r>
      <w:r w:rsidRPr="00DE4C22">
        <w:t>Wniosek dotyczący dyrektywy</w:t>
      </w:r>
      <w:r w:rsidRPr="00DE4C22">
        <w:rPr>
          <w:rStyle w:val="HideTWBExt"/>
        </w:rPr>
        <w:t>&lt;/DocAmend&gt;</w:t>
      </w:r>
    </w:p>
    <w:p w:rsidR="000150B4" w:rsidRPr="00DE4C22" w:rsidRDefault="00DE4C22" w:rsidP="000150B4">
      <w:pPr>
        <w:pStyle w:val="NormalBold"/>
      </w:pPr>
      <w:r w:rsidRPr="00DE4C22">
        <w:rPr>
          <w:rStyle w:val="HideTWBExt"/>
        </w:rPr>
        <w:t>&lt;Article&gt;</w:t>
      </w:r>
      <w:r w:rsidRPr="00DE4C22">
        <w:t>Motyw 25</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0150B4" w:rsidRPr="00DE4C22" w:rsidRDefault="000150B4" w:rsidP="000549C0"/>
        </w:tc>
      </w:tr>
      <w:tr w:rsidR="006B17DB" w:rsidRPr="00DE4C22" w:rsidTr="000549C0">
        <w:trPr>
          <w:trHeight w:val="240"/>
          <w:jc w:val="center"/>
        </w:trPr>
        <w:tc>
          <w:tcPr>
            <w:tcW w:w="4876" w:type="dxa"/>
          </w:tcPr>
          <w:p w:rsidR="000150B4" w:rsidRPr="00DE4C22" w:rsidRDefault="00DE4C22" w:rsidP="000549C0">
            <w:pPr>
              <w:pStyle w:val="AmColumnHeading"/>
            </w:pPr>
            <w:r w:rsidRPr="00DE4C22">
              <w:t>Tekst proponowany przez Komisję</w:t>
            </w:r>
          </w:p>
        </w:tc>
        <w:tc>
          <w:tcPr>
            <w:tcW w:w="4876" w:type="dxa"/>
          </w:tcPr>
          <w:p w:rsidR="000150B4" w:rsidRPr="00DE4C22" w:rsidRDefault="00DE4C22" w:rsidP="000549C0">
            <w:pPr>
              <w:pStyle w:val="AmColumnHeading"/>
            </w:pPr>
            <w:r w:rsidRPr="00DE4C22">
              <w:t>Poprawka</w:t>
            </w:r>
          </w:p>
        </w:tc>
      </w:tr>
      <w:tr w:rsidR="006B17DB" w:rsidRPr="00DE4C22" w:rsidTr="000549C0">
        <w:trPr>
          <w:jc w:val="center"/>
        </w:trPr>
        <w:tc>
          <w:tcPr>
            <w:tcW w:w="4876" w:type="dxa"/>
          </w:tcPr>
          <w:p w:rsidR="000150B4" w:rsidRPr="00DE4C22" w:rsidRDefault="00DE4C22" w:rsidP="000549C0">
            <w:pPr>
              <w:pStyle w:val="Normal6a"/>
            </w:pPr>
            <w:r w:rsidRPr="00DE4C22">
              <w:t>(25)</w:t>
            </w:r>
            <w:r w:rsidRPr="00DE4C22">
              <w:tab/>
            </w:r>
            <w:r w:rsidRPr="00DE4C22">
              <w:t xml:space="preserve">Zalecenia dla podróżnych, tj. informacje wydawane przez państwa członkowskie odnośnie do względnego bezpieczeństwa podróży do określonych państw trzecich, </w:t>
            </w:r>
            <w:r w:rsidRPr="00DE4C22">
              <w:rPr>
                <w:b/>
                <w:i/>
              </w:rPr>
              <w:t>umożliwiają</w:t>
            </w:r>
            <w:r w:rsidRPr="00DE4C22">
              <w:t xml:space="preserve"> podróżnym </w:t>
            </w:r>
            <w:r w:rsidRPr="00DE4C22">
              <w:lastRenderedPageBreak/>
              <w:t>podejmowanie świadomych decyzji o konkretnym miejscu docelowym podróży, w tym w</w:t>
            </w:r>
            <w:r w:rsidRPr="00DE4C22">
              <w:t xml:space="preserve"> państwach trzecich, w których ich państwo członkowskie obywatelstwa nie jest reprezentowane. Wydawanie zaleceń dla podróżnych należy do obowiązków państw członkowskich, powinny one jednak koordynować swoje działania w tym zakresie, zwłaszcza w kontekście </w:t>
            </w:r>
            <w:r w:rsidRPr="00DE4C22">
              <w:rPr>
                <w:b/>
                <w:i/>
              </w:rPr>
              <w:t>sytuacji kryzysowych</w:t>
            </w:r>
            <w:r w:rsidRPr="00DE4C22">
              <w:t>, mając na uwadze zagwarantowanie</w:t>
            </w:r>
            <w:r w:rsidRPr="00DE4C22">
              <w:rPr>
                <w:b/>
                <w:i/>
              </w:rPr>
              <w:t>, w miarę możliwości,</w:t>
            </w:r>
            <w:r w:rsidRPr="00DE4C22">
              <w:t xml:space="preserve"> spójnego poziomu udzielanych zaleceń. Taka koordynacja mogłaby obejmować uzgodnienie wspólnej struktury poziomów ryzyka wskazywanych w zaleceniach dla podróżnych, z wykorzystaniem b</w:t>
            </w:r>
            <w:r w:rsidRPr="00DE4C22">
              <w:t xml:space="preserve">ezpiecznej platformy ESDZ. </w:t>
            </w:r>
            <w:r w:rsidRPr="00DE4C22">
              <w:rPr>
                <w:b/>
                <w:i/>
              </w:rPr>
              <w:t>W miarę możliwości</w:t>
            </w:r>
            <w:r w:rsidRPr="00DE4C22">
              <w:t xml:space="preserve"> taka koordynacja powinna odbywać się na wczesnym etapie, gdy państwa członkowskie planują zmienić poziom zaleceń dla podróżnych.</w:t>
            </w:r>
          </w:p>
        </w:tc>
        <w:tc>
          <w:tcPr>
            <w:tcW w:w="4876" w:type="dxa"/>
          </w:tcPr>
          <w:p w:rsidR="000150B4" w:rsidRPr="00DE4C22" w:rsidRDefault="00DE4C22" w:rsidP="007D49CF">
            <w:pPr>
              <w:pStyle w:val="AmColumnHeading"/>
              <w:spacing w:after="120"/>
              <w:jc w:val="left"/>
            </w:pPr>
            <w:r w:rsidRPr="00DE4C22">
              <w:rPr>
                <w:i w:val="0"/>
              </w:rPr>
              <w:lastRenderedPageBreak/>
              <w:t>(25)</w:t>
            </w:r>
            <w:r w:rsidRPr="00DE4C22">
              <w:rPr>
                <w:i w:val="0"/>
              </w:rPr>
              <w:tab/>
            </w:r>
            <w:r w:rsidRPr="00DE4C22">
              <w:t>Zalecenia dla podróżnych, tj. informacje wydawane przez państwa członkowskie</w:t>
            </w:r>
            <w:r w:rsidRPr="00DE4C22">
              <w:t xml:space="preserve"> odnośnie do względnego bezpieczeństwa podróży do określonych państw trzecich</w:t>
            </w:r>
            <w:r w:rsidRPr="00DE4C22">
              <w:rPr>
                <w:b/>
              </w:rPr>
              <w:t xml:space="preserve"> należy regularnie </w:t>
            </w:r>
            <w:r w:rsidRPr="00DE4C22">
              <w:rPr>
                <w:b/>
              </w:rPr>
              <w:lastRenderedPageBreak/>
              <w:t>aktualizować</w:t>
            </w:r>
            <w:r w:rsidRPr="00DE4C22">
              <w:t xml:space="preserve">, </w:t>
            </w:r>
            <w:r w:rsidRPr="00DE4C22">
              <w:rPr>
                <w:b/>
              </w:rPr>
              <w:t>aby umożliwić</w:t>
            </w:r>
            <w:r w:rsidRPr="00DE4C22">
              <w:t xml:space="preserve"> podróżnym podejmowanie świadomych decyzji o konkretnym miejscu docelowym podróży, w tym w państwach trzecich, w których ich państwo </w:t>
            </w:r>
            <w:r w:rsidRPr="00DE4C22">
              <w:t>członkowskie obywatelstwa nie jest reprezentowane.</w:t>
            </w:r>
            <w:r w:rsidRPr="00DE4C22">
              <w:rPr>
                <w:i w:val="0"/>
              </w:rPr>
              <w:t xml:space="preserve"> </w:t>
            </w:r>
            <w:r w:rsidRPr="00DE4C22">
              <w:t xml:space="preserve">Wydawanie zaleceń dla podróżnych należy do obowiązków państw członkowskich, powinny one jednak koordynować swoje działania w tym zakresie, zwłaszcza w kontekście </w:t>
            </w:r>
            <w:r w:rsidRPr="00DE4C22">
              <w:rPr>
                <w:b/>
              </w:rPr>
              <w:t>kryzysów</w:t>
            </w:r>
            <w:r w:rsidRPr="00DE4C22">
              <w:t xml:space="preserve">, mając na uwadze zagwarantowanie </w:t>
            </w:r>
            <w:r w:rsidRPr="00DE4C22">
              <w:t>spójnego poziomu udzielanych zaleceń.</w:t>
            </w:r>
            <w:r w:rsidRPr="00DE4C22">
              <w:rPr>
                <w:i w:val="0"/>
              </w:rPr>
              <w:t xml:space="preserve"> Taka koordynacja mogłaby obejmować uzgodnienie wspólnej struktury poziomów ryzyka wskazywanych w zaleceniach dla podróżnych, z wykorzystaniem bezpiecznej platformy ESDZ.</w:t>
            </w:r>
            <w:r w:rsidRPr="00DE4C22">
              <w:t xml:space="preserve"> Taka koordynacja powinna odbywać się na wczesnym</w:t>
            </w:r>
            <w:r w:rsidRPr="00DE4C22">
              <w:t xml:space="preserve"> etapie, gdy państwa członkowskie planują zmienić poziom zaleceń dla podróżnych.</w:t>
            </w:r>
          </w:p>
        </w:tc>
      </w:tr>
    </w:tbl>
    <w:p w:rsidR="000150B4" w:rsidRPr="00DE4C22" w:rsidRDefault="00DE4C22" w:rsidP="000150B4">
      <w:r w:rsidRPr="00DE4C22">
        <w:rPr>
          <w:rStyle w:val="HideTWBExt"/>
        </w:rPr>
        <w:lastRenderedPageBreak/>
        <w:t>&lt;/Amend&gt;</w:t>
      </w:r>
    </w:p>
    <w:p w:rsidR="00E35335" w:rsidRPr="00DE4C22" w:rsidRDefault="00DE4C22" w:rsidP="0004333E">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8</w:t>
      </w:r>
      <w:r w:rsidRPr="00DE4C22">
        <w:rPr>
          <w:rStyle w:val="HideTWBExt"/>
          <w:b w:val="0"/>
        </w:rPr>
        <w:t>&lt;/NumAm&gt;</w:t>
      </w:r>
    </w:p>
    <w:p w:rsidR="00E35335" w:rsidRPr="00DE4C22" w:rsidRDefault="00DE4C22" w:rsidP="0004333E">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04333E">
      <w:pPr>
        <w:pStyle w:val="NormalBold"/>
        <w:keepNext/>
      </w:pPr>
      <w:r w:rsidRPr="00DE4C22">
        <w:rPr>
          <w:rStyle w:val="HideTWBExt"/>
          <w:b w:val="0"/>
        </w:rPr>
        <w:t>&lt;Article&gt;</w:t>
      </w:r>
      <w:r w:rsidRPr="00DE4C22">
        <w:t>Motyw 26</w:t>
      </w:r>
      <w:r w:rsidRPr="00DE4C2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DB56E4">
        <w:trPr>
          <w:jc w:val="center"/>
        </w:trPr>
        <w:tc>
          <w:tcPr>
            <w:tcW w:w="9752" w:type="dxa"/>
            <w:gridSpan w:val="2"/>
          </w:tcPr>
          <w:p w:rsidR="00E35335" w:rsidRPr="00DE4C22" w:rsidRDefault="00E35335" w:rsidP="00DB56E4">
            <w:pPr>
              <w:keepNext/>
            </w:pPr>
          </w:p>
        </w:tc>
      </w:tr>
      <w:tr w:rsidR="006B17DB" w:rsidRPr="00DE4C22" w:rsidTr="00DB56E4">
        <w:trPr>
          <w:jc w:val="center"/>
        </w:trPr>
        <w:tc>
          <w:tcPr>
            <w:tcW w:w="4876" w:type="dxa"/>
          </w:tcPr>
          <w:p w:rsidR="00E35335" w:rsidRPr="00DE4C22" w:rsidRDefault="00DE4C22" w:rsidP="00E35335">
            <w:pPr>
              <w:pStyle w:val="AmColumnHeading"/>
              <w:keepNext/>
            </w:pPr>
            <w:r w:rsidRPr="00DE4C22">
              <w:t>Tekst proponowany przez Komisję</w:t>
            </w:r>
          </w:p>
        </w:tc>
        <w:tc>
          <w:tcPr>
            <w:tcW w:w="4876" w:type="dxa"/>
          </w:tcPr>
          <w:p w:rsidR="00E35335" w:rsidRPr="00DE4C22" w:rsidRDefault="00DE4C22" w:rsidP="00DB56E4">
            <w:pPr>
              <w:pStyle w:val="AmColumnHeading"/>
              <w:keepNext/>
            </w:pPr>
            <w:r w:rsidRPr="00DE4C22">
              <w:t>Poprawka</w:t>
            </w:r>
          </w:p>
        </w:tc>
      </w:tr>
      <w:tr w:rsidR="006B17DB" w:rsidRPr="00DE4C22" w:rsidTr="00DB56E4">
        <w:trPr>
          <w:jc w:val="center"/>
        </w:trPr>
        <w:tc>
          <w:tcPr>
            <w:tcW w:w="4876" w:type="dxa"/>
          </w:tcPr>
          <w:p w:rsidR="00E35335" w:rsidRPr="00DE4C22" w:rsidRDefault="00DE4C22" w:rsidP="00E47C8E">
            <w:pPr>
              <w:pStyle w:val="Normal6a"/>
            </w:pPr>
            <w:r w:rsidRPr="00DE4C22">
              <w:t xml:space="preserve">(26) </w:t>
            </w:r>
            <w:r w:rsidRPr="00DE4C22">
              <w:t xml:space="preserve">Skuteczna koordynacja ma zasadnicze znaczenie dla zapewnienia skutecznego reagowania kryzysowego. Aby zapewnienie takiej koordynacji było możliwe, państwa członkowskie </w:t>
            </w:r>
            <w:r w:rsidRPr="00DE4C22">
              <w:rPr>
                <w:b/>
                <w:i/>
              </w:rPr>
              <w:t>powinny</w:t>
            </w:r>
            <w:r w:rsidRPr="00DE4C22">
              <w:t xml:space="preserve"> być wspierane przez Centrum Reagowania Kryzysowego ESDZ oraz przez Centrum Koord</w:t>
            </w:r>
            <w:r w:rsidRPr="00DE4C22">
              <w:t>ynacji Reagowania Kryzysowego Komisji. Skoordynowane reagowanie Unii w sytuacjach kryzysowych jest szczególnie ważne w przypadkach wymagających ewakuacji, ponieważ pozwala zapewnić skuteczne udzielanie dostępnego wsparcia oraz optymalne wykorzystanie dostę</w:t>
            </w:r>
            <w:r w:rsidRPr="00DE4C22">
              <w:t xml:space="preserve">pnych możliwości ewakuacji. Z tego powodu informacje na temat dostępnych możliwości ewakuacji powinny jak </w:t>
            </w:r>
            <w:r w:rsidRPr="00DE4C22">
              <w:lastRenderedPageBreak/>
              <w:t>najszybciej wzajemnie przekazywane, również w przypadku operacji ratowniczych i ewakuacyjnych z wykorzystaniem zasobów wojskowych.</w:t>
            </w:r>
          </w:p>
        </w:tc>
        <w:tc>
          <w:tcPr>
            <w:tcW w:w="4876" w:type="dxa"/>
          </w:tcPr>
          <w:p w:rsidR="00E35335" w:rsidRPr="00DE4C22" w:rsidRDefault="00DE4C22" w:rsidP="00E47C8E">
            <w:pPr>
              <w:pStyle w:val="Normal6a"/>
              <w:rPr>
                <w:szCs w:val="24"/>
              </w:rPr>
            </w:pPr>
            <w:r w:rsidRPr="00DE4C22">
              <w:lastRenderedPageBreak/>
              <w:t>(26) Skuteczna koor</w:t>
            </w:r>
            <w:r w:rsidRPr="00DE4C22">
              <w:t xml:space="preserve">dynacja ma zasadnicze znaczenie dla zapewnienia skutecznego reagowania kryzysowego. Aby zapewnienie takiej koordynacji było możliwe, państwa członkowskie </w:t>
            </w:r>
            <w:r w:rsidRPr="00DE4C22">
              <w:rPr>
                <w:b/>
                <w:i/>
              </w:rPr>
              <w:t>muszą</w:t>
            </w:r>
            <w:r w:rsidRPr="00DE4C22">
              <w:t xml:space="preserve"> być wspierane przez Centrum Reagowania Kryzysowego ESDZ oraz przez Centrum Koordynacji Reagowani</w:t>
            </w:r>
            <w:r w:rsidRPr="00DE4C22">
              <w:t>a Kryzysowego Komisji</w:t>
            </w:r>
            <w:r w:rsidRPr="00DE4C22">
              <w:rPr>
                <w:b/>
                <w:i/>
              </w:rPr>
              <w:t xml:space="preserve"> i otrzymywać od nich terminowe informacje</w:t>
            </w:r>
            <w:r w:rsidRPr="00DE4C22">
              <w:t>. Skoordynowane reagowanie Unii w sytuacjach kryzysowych jest szczególnie ważne w przypadkach wymagających ewakuacji, ponieważ pozwala zapewnić</w:t>
            </w:r>
            <w:r w:rsidRPr="00DE4C22">
              <w:rPr>
                <w:b/>
                <w:i/>
              </w:rPr>
              <w:t xml:space="preserve"> szybkie i</w:t>
            </w:r>
            <w:r w:rsidRPr="00DE4C22">
              <w:t xml:space="preserve"> skuteczne udzielanie dostępnego wsparci</w:t>
            </w:r>
            <w:r w:rsidRPr="00DE4C22">
              <w:t xml:space="preserve">a oraz optymalne wykorzystanie dostępnych możliwości ewakuacji. Z tego powodu </w:t>
            </w:r>
            <w:r w:rsidRPr="00DE4C22">
              <w:rPr>
                <w:b/>
                <w:i/>
              </w:rPr>
              <w:lastRenderedPageBreak/>
              <w:t xml:space="preserve">odpowiednie </w:t>
            </w:r>
            <w:r w:rsidRPr="00DE4C22">
              <w:t xml:space="preserve">informacje </w:t>
            </w:r>
            <w:r w:rsidRPr="00DE4C22">
              <w:rPr>
                <w:b/>
                <w:i/>
              </w:rPr>
              <w:t xml:space="preserve">z pierwszej ręki, np. </w:t>
            </w:r>
            <w:r w:rsidRPr="00DE4C22">
              <w:t>na temat dostępnych możliwości ewakuacji</w:t>
            </w:r>
            <w:r w:rsidRPr="00DE4C22">
              <w:rPr>
                <w:b/>
                <w:i/>
              </w:rPr>
              <w:t>,</w:t>
            </w:r>
            <w:r w:rsidRPr="00DE4C22">
              <w:t xml:space="preserve"> powinny </w:t>
            </w:r>
            <w:r w:rsidRPr="00DE4C22">
              <w:rPr>
                <w:b/>
                <w:i/>
              </w:rPr>
              <w:t xml:space="preserve">być </w:t>
            </w:r>
            <w:r w:rsidRPr="00DE4C22">
              <w:t>jak najszybciej wzajemnie przekazywane</w:t>
            </w:r>
            <w:r w:rsidRPr="00DE4C22">
              <w:rPr>
                <w:b/>
                <w:i/>
              </w:rPr>
              <w:t>, aby umożliwić szybką i skuteczną reakcj</w:t>
            </w:r>
            <w:r w:rsidRPr="00DE4C22">
              <w:rPr>
                <w:b/>
                <w:i/>
              </w:rPr>
              <w:t>ę</w:t>
            </w:r>
            <w:r w:rsidRPr="00DE4C22">
              <w:t xml:space="preserve">, również w przypadku operacji ratowniczych i ewakuacyjnych z wykorzystaniem zasobów wojskowych. </w:t>
            </w:r>
            <w:r w:rsidRPr="00DE4C22">
              <w:rPr>
                <w:b/>
                <w:i/>
              </w:rPr>
              <w:t>W związku z tym ESDZ powinna mieć możliwość otrzymywania od państw członkowskich automatycznych i bieżących informacji na temat sytuacji w państwach trzecich.</w:t>
            </w:r>
          </w:p>
        </w:tc>
      </w:tr>
    </w:tbl>
    <w:p w:rsidR="00E35335" w:rsidRPr="00DE4C22" w:rsidRDefault="00DE4C22" w:rsidP="0004333E">
      <w:r w:rsidRPr="00DE4C22">
        <w:rPr>
          <w:rStyle w:val="HideTWBExt"/>
        </w:rPr>
        <w:lastRenderedPageBreak/>
        <w:t>&lt;/Amend&gt;</w:t>
      </w:r>
    </w:p>
    <w:p w:rsidR="00B5321A" w:rsidRPr="00DE4C22" w:rsidRDefault="00DE4C22" w:rsidP="00B5321A">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9</w:t>
      </w:r>
      <w:r w:rsidRPr="00DE4C22">
        <w:rPr>
          <w:rStyle w:val="HideTWBExt"/>
        </w:rPr>
        <w:t>&lt;/NumAm&gt;</w:t>
      </w:r>
    </w:p>
    <w:p w:rsidR="00B5321A" w:rsidRPr="00DE4C22" w:rsidRDefault="00DE4C22" w:rsidP="00B5321A">
      <w:pPr>
        <w:pStyle w:val="NormalBold12b"/>
      </w:pPr>
      <w:r w:rsidRPr="00DE4C22">
        <w:rPr>
          <w:rStyle w:val="HideTWBExt"/>
        </w:rPr>
        <w:t>&lt;DocAmend&gt;</w:t>
      </w:r>
      <w:r w:rsidRPr="00DE4C22">
        <w:t>Wniosek dotyczący dyrektywy</w:t>
      </w:r>
      <w:r w:rsidRPr="00DE4C22">
        <w:rPr>
          <w:rStyle w:val="HideTWBExt"/>
        </w:rPr>
        <w:t>&lt;/DocAmend&gt;</w:t>
      </w:r>
    </w:p>
    <w:p w:rsidR="00B5321A" w:rsidRPr="00DE4C22" w:rsidRDefault="00DE4C22" w:rsidP="00B5321A">
      <w:pPr>
        <w:pStyle w:val="NormalBold"/>
      </w:pPr>
      <w:r w:rsidRPr="00DE4C22">
        <w:rPr>
          <w:rStyle w:val="HideTWBExt"/>
        </w:rPr>
        <w:t>&lt;Article&gt;</w:t>
      </w:r>
      <w:r w:rsidRPr="00DE4C22">
        <w:t>Motyw 28</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B5321A" w:rsidRPr="00DE4C22" w:rsidRDefault="00B5321A" w:rsidP="000549C0"/>
        </w:tc>
      </w:tr>
      <w:tr w:rsidR="006B17DB" w:rsidRPr="00DE4C22" w:rsidTr="000549C0">
        <w:trPr>
          <w:trHeight w:val="240"/>
          <w:jc w:val="center"/>
        </w:trPr>
        <w:tc>
          <w:tcPr>
            <w:tcW w:w="4876" w:type="dxa"/>
          </w:tcPr>
          <w:p w:rsidR="00B5321A" w:rsidRPr="00DE4C22" w:rsidRDefault="00DE4C22" w:rsidP="000549C0">
            <w:pPr>
              <w:pStyle w:val="AmColumnHeading"/>
            </w:pPr>
            <w:r w:rsidRPr="00DE4C22">
              <w:t>Tekst proponowany przez Komisję</w:t>
            </w:r>
          </w:p>
        </w:tc>
        <w:tc>
          <w:tcPr>
            <w:tcW w:w="4876" w:type="dxa"/>
          </w:tcPr>
          <w:p w:rsidR="00B5321A" w:rsidRPr="00DE4C22" w:rsidRDefault="00DE4C22" w:rsidP="000549C0">
            <w:pPr>
              <w:pStyle w:val="AmColumnHeading"/>
            </w:pPr>
            <w:r w:rsidRPr="00DE4C22">
              <w:t>Poprawka</w:t>
            </w:r>
          </w:p>
        </w:tc>
      </w:tr>
      <w:tr w:rsidR="006B17DB" w:rsidRPr="00DE4C22" w:rsidTr="000549C0">
        <w:trPr>
          <w:jc w:val="center"/>
        </w:trPr>
        <w:tc>
          <w:tcPr>
            <w:tcW w:w="4876" w:type="dxa"/>
          </w:tcPr>
          <w:p w:rsidR="00B5321A" w:rsidRPr="00DE4C22" w:rsidRDefault="00DE4C22" w:rsidP="000549C0">
            <w:pPr>
              <w:pStyle w:val="Normal6a"/>
            </w:pPr>
            <w:r w:rsidRPr="00DE4C22">
              <w:t>(28)</w:t>
            </w:r>
            <w:r w:rsidRPr="00DE4C22">
              <w:tab/>
              <w:t xml:space="preserve">Wspólne zespoły konsularne powinny opierać się na </w:t>
            </w:r>
            <w:r w:rsidRPr="00DE4C22">
              <w:rPr>
                <w:b/>
                <w:i/>
              </w:rPr>
              <w:t>zasadach dobrowolnego udziału,</w:t>
            </w:r>
            <w:r w:rsidRPr="00DE4C22">
              <w:t xml:space="preserve"> solidarności z reprezentowanymi państwami członkowskimi, równości w odniesieniu do decyzji w sprawie wewnętrznych struktur roboczych, prostoty pod względem składu zespołów, podziału kosztów – każde państwo członkowskie, instytucja lub organ Unii ponoszą w</w:t>
            </w:r>
            <w:r w:rsidRPr="00DE4C22">
              <w:t>łasne koszty operacyjne, elastyczności, widoczności skoordynowanej reakcji Unii oraz otwartości w relacjach z danymi państwami trzecimi.</w:t>
            </w:r>
          </w:p>
        </w:tc>
        <w:tc>
          <w:tcPr>
            <w:tcW w:w="4876" w:type="dxa"/>
          </w:tcPr>
          <w:p w:rsidR="00B5321A" w:rsidRPr="00DE4C22" w:rsidRDefault="00DE4C22" w:rsidP="007D49CF">
            <w:pPr>
              <w:pStyle w:val="AmColumnHeading"/>
              <w:spacing w:after="120"/>
              <w:jc w:val="left"/>
            </w:pPr>
            <w:r w:rsidRPr="00DE4C22">
              <w:rPr>
                <w:i w:val="0"/>
              </w:rPr>
              <w:t>(28)</w:t>
            </w:r>
            <w:r w:rsidRPr="00DE4C22">
              <w:rPr>
                <w:i w:val="0"/>
              </w:rPr>
              <w:tab/>
            </w:r>
            <w:r w:rsidRPr="00DE4C22">
              <w:t xml:space="preserve">Wspólne zespoły konsularne powinny opierać się na </w:t>
            </w:r>
            <w:r w:rsidRPr="00DE4C22">
              <w:rPr>
                <w:b/>
              </w:rPr>
              <w:t>zasadzie</w:t>
            </w:r>
            <w:r w:rsidRPr="00DE4C22">
              <w:t xml:space="preserve"> solidarności z reprezentowanymi państwami członkowskimi</w:t>
            </w:r>
            <w:r w:rsidRPr="00DE4C22">
              <w:t>, równości w odniesieniu do decyzji w sprawie wewnętrznych struktur roboczych, prostoty pod względem składu zespołów, podziału kosztów – każde państwo członkowskie, instytucja lub organ Unii ponoszą własne koszty operacyjne, elastyczności, widoczności skoo</w:t>
            </w:r>
            <w:r w:rsidRPr="00DE4C22">
              <w:t>rdynowanej reakcji Unii oraz otwartości w relacjach z danymi państwami trzecimi.</w:t>
            </w:r>
          </w:p>
        </w:tc>
      </w:tr>
    </w:tbl>
    <w:p w:rsidR="00041A4B" w:rsidRPr="00DE4C22" w:rsidRDefault="00DE4C22" w:rsidP="00041A4B">
      <w:pPr>
        <w:rPr>
          <w:rStyle w:val="HideTWBExt"/>
        </w:rPr>
      </w:pPr>
      <w:r w:rsidRPr="00DE4C22">
        <w:rPr>
          <w:rStyle w:val="HideTWBExt"/>
        </w:rPr>
        <w:t>&lt;/Amend&gt;</w:t>
      </w:r>
    </w:p>
    <w:p w:rsidR="000629C1" w:rsidRPr="00DE4C22" w:rsidRDefault="00DE4C22" w:rsidP="000629C1">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10</w:t>
      </w:r>
      <w:r w:rsidRPr="00DE4C22">
        <w:rPr>
          <w:rStyle w:val="HideTWBExt"/>
        </w:rPr>
        <w:t>&lt;/NumAm&gt;</w:t>
      </w:r>
    </w:p>
    <w:p w:rsidR="000629C1" w:rsidRPr="00DE4C22" w:rsidRDefault="00DE4C22" w:rsidP="000629C1">
      <w:pPr>
        <w:pStyle w:val="NormalBold12b"/>
      </w:pPr>
      <w:r w:rsidRPr="00DE4C22">
        <w:rPr>
          <w:rStyle w:val="HideTWBExt"/>
        </w:rPr>
        <w:t>&lt;DocAmend&gt;</w:t>
      </w:r>
      <w:r w:rsidRPr="00DE4C22">
        <w:t>Wniosek dotyczący dyrektywy</w:t>
      </w:r>
      <w:r w:rsidRPr="00DE4C22">
        <w:rPr>
          <w:rStyle w:val="HideTWBExt"/>
        </w:rPr>
        <w:t>&lt;/DocAmend&gt;</w:t>
      </w:r>
    </w:p>
    <w:p w:rsidR="000629C1" w:rsidRPr="00DE4C22" w:rsidRDefault="00DE4C22" w:rsidP="000629C1">
      <w:pPr>
        <w:pStyle w:val="NormalBold"/>
      </w:pPr>
      <w:r w:rsidRPr="00DE4C22">
        <w:rPr>
          <w:rStyle w:val="HideTWBExt"/>
        </w:rPr>
        <w:t>&lt;Article&gt;</w:t>
      </w:r>
      <w:r w:rsidRPr="00DE4C22">
        <w:t>Motyw 30</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0629C1" w:rsidRPr="00DE4C22" w:rsidRDefault="000629C1" w:rsidP="000549C0"/>
        </w:tc>
      </w:tr>
      <w:tr w:rsidR="006B17DB" w:rsidRPr="00DE4C22" w:rsidTr="000549C0">
        <w:trPr>
          <w:trHeight w:val="240"/>
          <w:jc w:val="center"/>
        </w:trPr>
        <w:tc>
          <w:tcPr>
            <w:tcW w:w="4876" w:type="dxa"/>
          </w:tcPr>
          <w:p w:rsidR="000629C1" w:rsidRPr="00DE4C22" w:rsidRDefault="00DE4C22" w:rsidP="000549C0">
            <w:pPr>
              <w:pStyle w:val="AmColumnHeading"/>
            </w:pPr>
            <w:r w:rsidRPr="00DE4C22">
              <w:t>Tekst proponowany przez Komisję</w:t>
            </w:r>
          </w:p>
        </w:tc>
        <w:tc>
          <w:tcPr>
            <w:tcW w:w="4876" w:type="dxa"/>
          </w:tcPr>
          <w:p w:rsidR="000629C1" w:rsidRPr="00DE4C22" w:rsidRDefault="00DE4C22" w:rsidP="000549C0">
            <w:pPr>
              <w:pStyle w:val="AmColumnHeading"/>
            </w:pPr>
            <w:r w:rsidRPr="00DE4C22">
              <w:t>Poprawka</w:t>
            </w:r>
          </w:p>
        </w:tc>
      </w:tr>
      <w:tr w:rsidR="006B17DB" w:rsidRPr="00DE4C22" w:rsidTr="000549C0">
        <w:trPr>
          <w:jc w:val="center"/>
        </w:trPr>
        <w:tc>
          <w:tcPr>
            <w:tcW w:w="4876" w:type="dxa"/>
          </w:tcPr>
          <w:p w:rsidR="000629C1" w:rsidRPr="00DE4C22" w:rsidRDefault="00DE4C22" w:rsidP="000549C0">
            <w:pPr>
              <w:pStyle w:val="Normal6a"/>
            </w:pPr>
            <w:r w:rsidRPr="00DE4C22">
              <w:t>(30)</w:t>
            </w:r>
            <w:r w:rsidRPr="00DE4C22">
              <w:tab/>
            </w:r>
            <w:r w:rsidRPr="00DE4C22">
              <w:t xml:space="preserve">Ważnym aspektem udzielania wsparcia obywatelom Unii znajdującym się w potrzebie, jest zapewnienie im wiarygodnych informacji o tym, jak </w:t>
            </w:r>
            <w:r w:rsidRPr="00DE4C22">
              <w:lastRenderedPageBreak/>
              <w:t xml:space="preserve">korzystać z pomocy konsularnej w państwach trzecich. Służby Komisji i ESDZ powinny </w:t>
            </w:r>
            <w:r w:rsidRPr="00DE4C22">
              <w:rPr>
                <w:b/>
                <w:i/>
              </w:rPr>
              <w:t>przyczyniać się do realizacji tego ce</w:t>
            </w:r>
            <w:r w:rsidRPr="00DE4C22">
              <w:rPr>
                <w:b/>
                <w:i/>
              </w:rPr>
              <w:t>lu poprzez rozpowszechnianie istotnych informacji</w:t>
            </w:r>
            <w:r w:rsidRPr="00DE4C22">
              <w:t xml:space="preserve">, w tym </w:t>
            </w:r>
            <w:r w:rsidRPr="00DE4C22">
              <w:rPr>
                <w:b/>
                <w:i/>
              </w:rPr>
              <w:t>informacji</w:t>
            </w:r>
            <w:r w:rsidRPr="00DE4C22">
              <w:t xml:space="preserve">, które państwa członkowskie </w:t>
            </w:r>
            <w:r w:rsidRPr="00DE4C22">
              <w:rPr>
                <w:b/>
                <w:i/>
              </w:rPr>
              <w:t>powinny udostępniać</w:t>
            </w:r>
            <w:r w:rsidRPr="00DE4C22">
              <w:t xml:space="preserve"> na temat swoich sieci konsularnych i państw trzecich, w których dokonały one praktycznych ustaleń dotyczących podziału odpowiedzialności za </w:t>
            </w:r>
            <w:r w:rsidRPr="00DE4C22">
              <w:t>udzielanie niereprezentowanym obywatelom ochrony konsularnej. Dla ułatwienia przetwarzania takich informacji, należy je przekazywać w formacie nadającym się do odczytu maszynowego.</w:t>
            </w:r>
          </w:p>
        </w:tc>
        <w:tc>
          <w:tcPr>
            <w:tcW w:w="4876" w:type="dxa"/>
          </w:tcPr>
          <w:p w:rsidR="000629C1" w:rsidRPr="00DE4C22" w:rsidRDefault="00DE4C22" w:rsidP="007D49CF">
            <w:pPr>
              <w:pStyle w:val="AmColumnHeading"/>
              <w:spacing w:after="120"/>
              <w:jc w:val="left"/>
            </w:pPr>
            <w:r w:rsidRPr="00DE4C22">
              <w:rPr>
                <w:i w:val="0"/>
              </w:rPr>
              <w:lastRenderedPageBreak/>
              <w:t>(30)</w:t>
            </w:r>
            <w:r w:rsidRPr="00DE4C22">
              <w:rPr>
                <w:i w:val="0"/>
              </w:rPr>
              <w:tab/>
            </w:r>
            <w:r w:rsidRPr="00DE4C22">
              <w:t xml:space="preserve">Ważnym aspektem udzielania wsparcia obywatelom Unii znajdującym się w potrzebie, jest zapewnienie im wiarygodnych </w:t>
            </w:r>
            <w:r w:rsidRPr="00DE4C22">
              <w:rPr>
                <w:b/>
              </w:rPr>
              <w:t xml:space="preserve">i łatwo dostępnych </w:t>
            </w:r>
            <w:r w:rsidRPr="00DE4C22">
              <w:lastRenderedPageBreak/>
              <w:t>informacji o tym, jak korzystać z pomocy konsularnej w państwach trzecich</w:t>
            </w:r>
            <w:r w:rsidRPr="00DE4C22">
              <w:rPr>
                <w:b/>
              </w:rPr>
              <w:t>, z uwzględnieniem możliwości kontaktu cyfrowego</w:t>
            </w:r>
            <w:r w:rsidRPr="00DE4C22">
              <w:t xml:space="preserve">. </w:t>
            </w:r>
            <w:r w:rsidRPr="00DE4C22">
              <w:t xml:space="preserve">Służby Komisji i ESDZ powinny </w:t>
            </w:r>
            <w:r w:rsidRPr="00DE4C22">
              <w:rPr>
                <w:b/>
              </w:rPr>
              <w:t>rozpowszechniać w ścisłej współpracy z państwami członkowskimi istotne informacje</w:t>
            </w:r>
            <w:r w:rsidRPr="00DE4C22">
              <w:t xml:space="preserve">, w tym </w:t>
            </w:r>
            <w:r w:rsidRPr="00DE4C22">
              <w:rPr>
                <w:b/>
              </w:rPr>
              <w:t>informacje</w:t>
            </w:r>
            <w:r w:rsidRPr="00DE4C22">
              <w:t xml:space="preserve">, które państwa członkowskie </w:t>
            </w:r>
            <w:r w:rsidRPr="00DE4C22">
              <w:rPr>
                <w:b/>
              </w:rPr>
              <w:t>udostępniły</w:t>
            </w:r>
            <w:r w:rsidRPr="00DE4C22">
              <w:t xml:space="preserve"> na temat swoich sieci konsularnych i państw trzecich, w których dokonały one praktyczn</w:t>
            </w:r>
            <w:r w:rsidRPr="00DE4C22">
              <w:t>ych ustaleń dotyczących podziału odpowiedzialności za udzielanie niereprezentowanym obywatelom ochrony konsularnej.</w:t>
            </w:r>
            <w:r w:rsidRPr="00DE4C22">
              <w:rPr>
                <w:i w:val="0"/>
              </w:rPr>
              <w:t xml:space="preserve"> Dla ułatwienia przetwarzania takich informacji, należy je przekazywać w formacie nadającym się do odczytu maszynowego.</w:t>
            </w:r>
          </w:p>
        </w:tc>
      </w:tr>
    </w:tbl>
    <w:p w:rsidR="000629C1" w:rsidRPr="00DE4C22" w:rsidRDefault="00DE4C22" w:rsidP="000629C1">
      <w:r w:rsidRPr="00DE4C22">
        <w:rPr>
          <w:rStyle w:val="HideTWBExt"/>
        </w:rPr>
        <w:lastRenderedPageBreak/>
        <w:t>&lt;/Amend&gt;</w:t>
      </w:r>
    </w:p>
    <w:p w:rsidR="00041A4B" w:rsidRPr="00DE4C22" w:rsidRDefault="00DE4C22" w:rsidP="00041A4B">
      <w:pPr>
        <w:pStyle w:val="AmNumberTabs"/>
        <w:keepNext/>
      </w:pPr>
      <w:bookmarkStart w:id="3" w:name="restart"/>
      <w:r w:rsidRPr="00DE4C22">
        <w:rPr>
          <w:rStyle w:val="HideTWBExt"/>
          <w:b w:val="0"/>
        </w:rPr>
        <w:t>&lt;Amend&gt;</w:t>
      </w:r>
      <w:r w:rsidRPr="00DE4C22">
        <w:t>Popr</w:t>
      </w:r>
      <w:r w:rsidRPr="00DE4C22">
        <w:t>awka</w:t>
      </w:r>
      <w:r w:rsidRPr="00DE4C22">
        <w:tab/>
      </w:r>
      <w:r w:rsidRPr="00DE4C22">
        <w:tab/>
      </w:r>
      <w:r w:rsidRPr="00DE4C22">
        <w:rPr>
          <w:rStyle w:val="HideTWBExt"/>
          <w:b w:val="0"/>
        </w:rPr>
        <w:t>&lt;NumAm&gt;</w:t>
      </w:r>
      <w:r w:rsidRPr="00DE4C22">
        <w:t>11</w:t>
      </w:r>
      <w:r w:rsidRPr="00DE4C22">
        <w:rPr>
          <w:rStyle w:val="HideTWBExt"/>
          <w:b w:val="0"/>
        </w:rPr>
        <w:t>&lt;/NumAm&gt;</w:t>
      </w:r>
    </w:p>
    <w:p w:rsidR="00041A4B" w:rsidRPr="00DE4C22" w:rsidRDefault="00DE4C22" w:rsidP="00041A4B">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041A4B" w:rsidRPr="00DE4C22" w:rsidRDefault="00DE4C22" w:rsidP="00041A4B">
      <w:pPr>
        <w:pStyle w:val="NormalBold"/>
        <w:keepNext/>
      </w:pPr>
      <w:r w:rsidRPr="00DE4C22">
        <w:rPr>
          <w:rStyle w:val="HideTWBExt"/>
          <w:b w:val="0"/>
        </w:rPr>
        <w:t>&lt;Article&gt;</w:t>
      </w:r>
      <w:r w:rsidRPr="00DE4C22">
        <w:t>Motyw 30 a (nowy)</w:t>
      </w:r>
      <w:r w:rsidRPr="00DE4C2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549C0">
        <w:trPr>
          <w:jc w:val="center"/>
        </w:trPr>
        <w:tc>
          <w:tcPr>
            <w:tcW w:w="9752" w:type="dxa"/>
            <w:gridSpan w:val="2"/>
          </w:tcPr>
          <w:p w:rsidR="00041A4B" w:rsidRPr="00DE4C22" w:rsidRDefault="00041A4B" w:rsidP="000549C0">
            <w:pPr>
              <w:keepNext/>
            </w:pPr>
          </w:p>
        </w:tc>
      </w:tr>
      <w:tr w:rsidR="006B17DB" w:rsidRPr="00DE4C22" w:rsidTr="000549C0">
        <w:trPr>
          <w:jc w:val="center"/>
        </w:trPr>
        <w:tc>
          <w:tcPr>
            <w:tcW w:w="4876" w:type="dxa"/>
          </w:tcPr>
          <w:p w:rsidR="00041A4B" w:rsidRPr="00DE4C22" w:rsidRDefault="00DE4C22" w:rsidP="000549C0">
            <w:pPr>
              <w:pStyle w:val="AmColumnHeading"/>
              <w:keepNext/>
            </w:pPr>
            <w:r w:rsidRPr="00DE4C22">
              <w:t>Tekst proponowany przez Komisję</w:t>
            </w:r>
          </w:p>
        </w:tc>
        <w:tc>
          <w:tcPr>
            <w:tcW w:w="4876" w:type="dxa"/>
          </w:tcPr>
          <w:p w:rsidR="00041A4B" w:rsidRPr="00DE4C22" w:rsidRDefault="00DE4C22" w:rsidP="000549C0">
            <w:pPr>
              <w:pStyle w:val="AmColumnHeading"/>
              <w:keepNext/>
            </w:pPr>
            <w:r w:rsidRPr="00DE4C22">
              <w:t>Poprawka</w:t>
            </w:r>
          </w:p>
        </w:tc>
      </w:tr>
      <w:tr w:rsidR="006B17DB" w:rsidRPr="00DE4C22" w:rsidTr="000549C0">
        <w:trPr>
          <w:jc w:val="center"/>
        </w:trPr>
        <w:tc>
          <w:tcPr>
            <w:tcW w:w="4876" w:type="dxa"/>
          </w:tcPr>
          <w:p w:rsidR="00041A4B" w:rsidRPr="00DE4C22" w:rsidRDefault="00DE4C22" w:rsidP="000549C0">
            <w:pPr>
              <w:pStyle w:val="Normal6a"/>
            </w:pPr>
            <w:r w:rsidRPr="00DE4C22">
              <w:t xml:space="preserve"> </w:t>
            </w:r>
          </w:p>
        </w:tc>
        <w:tc>
          <w:tcPr>
            <w:tcW w:w="4876" w:type="dxa"/>
          </w:tcPr>
          <w:p w:rsidR="00041A4B" w:rsidRPr="00DE4C22" w:rsidRDefault="00DE4C22" w:rsidP="00392B04">
            <w:pPr>
              <w:pStyle w:val="Normal6a"/>
              <w:rPr>
                <w:szCs w:val="24"/>
              </w:rPr>
            </w:pPr>
            <w:r w:rsidRPr="00DE4C22">
              <w:rPr>
                <w:b/>
                <w:i/>
              </w:rPr>
              <w:t>(30a)</w:t>
            </w:r>
            <w:r w:rsidRPr="00DE4C22">
              <w:tab/>
            </w:r>
            <w:r w:rsidRPr="00DE4C22">
              <w:rPr>
                <w:b/>
                <w:i/>
              </w:rPr>
              <w:t xml:space="preserve">Państwa członkowskie i właściwe organy UE dopilnowują, by informacje dla obywateli dotyczące </w:t>
            </w:r>
            <w:r w:rsidRPr="00DE4C22">
              <w:rPr>
                <w:b/>
                <w:i/>
              </w:rPr>
              <w:t xml:space="preserve">ochrony konsularnej były aktualne i łatwo dostępne na platformach cyfrowych, w tym w aplikacjach mobilnych, tak aby obywatele UE mieli w każdej chwili szybki i łatwy dostęp do informacji i kanałów kontaktowych. W tym celu należy ustanowić usługę nadawania </w:t>
            </w:r>
            <w:r w:rsidRPr="00DE4C22">
              <w:rPr>
                <w:b/>
                <w:i/>
              </w:rPr>
              <w:t>komunikatów ostrzegawczych, tak aby obywatele UE otrzymywali tematyczne wiadomości dotyczące przysługujących im praw i sposobów korzystania z nich za pośrednictwem natychmiastowych powiadomień po przybyciu do państwa trzeciego, a także komunikatów ostrzega</w:t>
            </w:r>
            <w:r w:rsidRPr="00DE4C22">
              <w:rPr>
                <w:b/>
                <w:i/>
              </w:rPr>
              <w:t xml:space="preserve">wczych w przypadku kryzysu. Ponadto należy rozważyć utworzenie zmienionego i ulepszonego wspólnego portalu UE dotyczącego ochrony konsularnej, zawierającego wszystkie </w:t>
            </w:r>
            <w:r w:rsidRPr="00DE4C22">
              <w:rPr>
                <w:b/>
                <w:i/>
              </w:rPr>
              <w:lastRenderedPageBreak/>
              <w:t>istotne informacje, instrukcje dotyczące pilnych sytuacji oraz informacje kontaktowe isto</w:t>
            </w:r>
            <w:r w:rsidRPr="00DE4C22">
              <w:rPr>
                <w:b/>
                <w:i/>
              </w:rPr>
              <w:t>tne dla delegatur UE i organów konsularnych w państwach trzecich.</w:t>
            </w:r>
          </w:p>
        </w:tc>
      </w:tr>
    </w:tbl>
    <w:p w:rsidR="00041A4B" w:rsidRPr="00DE4C22" w:rsidRDefault="00DE4C22" w:rsidP="00041A4B">
      <w:r w:rsidRPr="00DE4C22">
        <w:rPr>
          <w:rStyle w:val="HideTWBExt"/>
        </w:rPr>
        <w:lastRenderedPageBreak/>
        <w:t>&lt;/Amend&gt;</w:t>
      </w:r>
      <w:bookmarkEnd w:id="3"/>
    </w:p>
    <w:p w:rsidR="00192ECC" w:rsidRPr="00DE4C22" w:rsidRDefault="00DE4C22" w:rsidP="00192ECC">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12</w:t>
      </w:r>
      <w:r w:rsidRPr="00DE4C22">
        <w:rPr>
          <w:rStyle w:val="HideTWBExt"/>
        </w:rPr>
        <w:t>&lt;/NumAm&gt;</w:t>
      </w:r>
    </w:p>
    <w:p w:rsidR="00192ECC" w:rsidRPr="00DE4C22" w:rsidRDefault="00DE4C22" w:rsidP="00192ECC">
      <w:pPr>
        <w:pStyle w:val="NormalBold12b"/>
      </w:pPr>
      <w:r w:rsidRPr="00DE4C22">
        <w:rPr>
          <w:rStyle w:val="HideTWBExt"/>
        </w:rPr>
        <w:t>&lt;DocAmend&gt;</w:t>
      </w:r>
      <w:r w:rsidRPr="00DE4C22">
        <w:t>Wniosek dotyczący dyrektywy</w:t>
      </w:r>
      <w:r w:rsidRPr="00DE4C22">
        <w:rPr>
          <w:rStyle w:val="HideTWBExt"/>
        </w:rPr>
        <w:t>&lt;/DocAmend&gt;</w:t>
      </w:r>
    </w:p>
    <w:p w:rsidR="00192ECC" w:rsidRPr="00DE4C22" w:rsidRDefault="00DE4C22" w:rsidP="00192ECC">
      <w:pPr>
        <w:pStyle w:val="NormalBold"/>
      </w:pPr>
      <w:r w:rsidRPr="00DE4C22">
        <w:rPr>
          <w:rStyle w:val="HideTWBExt"/>
        </w:rPr>
        <w:t>&lt;Article&gt;</w:t>
      </w:r>
      <w:r w:rsidRPr="00DE4C22">
        <w:t>Motyw 31</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192ECC" w:rsidRPr="00DE4C22" w:rsidRDefault="00192ECC" w:rsidP="000549C0"/>
        </w:tc>
      </w:tr>
      <w:tr w:rsidR="006B17DB" w:rsidRPr="00DE4C22" w:rsidTr="000549C0">
        <w:trPr>
          <w:trHeight w:val="240"/>
          <w:jc w:val="center"/>
        </w:trPr>
        <w:tc>
          <w:tcPr>
            <w:tcW w:w="4876" w:type="dxa"/>
          </w:tcPr>
          <w:p w:rsidR="00192ECC" w:rsidRPr="00DE4C22" w:rsidRDefault="00DE4C22" w:rsidP="000549C0">
            <w:pPr>
              <w:pStyle w:val="AmColumnHeading"/>
            </w:pPr>
            <w:r w:rsidRPr="00DE4C22">
              <w:t>Tekst proponowany przez Komisję</w:t>
            </w:r>
          </w:p>
        </w:tc>
        <w:tc>
          <w:tcPr>
            <w:tcW w:w="4876" w:type="dxa"/>
          </w:tcPr>
          <w:p w:rsidR="00192ECC" w:rsidRPr="00DE4C22" w:rsidRDefault="00DE4C22" w:rsidP="000549C0">
            <w:pPr>
              <w:pStyle w:val="AmColumnHeading"/>
            </w:pPr>
            <w:r w:rsidRPr="00DE4C22">
              <w:t>Poprawka</w:t>
            </w:r>
          </w:p>
        </w:tc>
      </w:tr>
      <w:tr w:rsidR="006B17DB" w:rsidRPr="00DE4C22" w:rsidTr="000549C0">
        <w:trPr>
          <w:jc w:val="center"/>
        </w:trPr>
        <w:tc>
          <w:tcPr>
            <w:tcW w:w="4876" w:type="dxa"/>
          </w:tcPr>
          <w:p w:rsidR="00192ECC" w:rsidRPr="00DE4C22" w:rsidRDefault="00DE4C22" w:rsidP="000549C0">
            <w:pPr>
              <w:pStyle w:val="Normal6a"/>
            </w:pPr>
            <w:r w:rsidRPr="00DE4C22">
              <w:t>(31)</w:t>
            </w:r>
            <w:r w:rsidRPr="00DE4C22">
              <w:tab/>
              <w:t xml:space="preserve">Państwa </w:t>
            </w:r>
            <w:r w:rsidRPr="00DE4C22">
              <w:t xml:space="preserve">członkowskie powinny wprowadzić dodatkowe środki, aby dalej przyczyniać się do szerzenia wiedzy obywateli Unii na temat ich prawa do ochrony konsularnej, również z uwzględnieniem szczególnych potrzeb osób z niepełnosprawnościami. </w:t>
            </w:r>
            <w:r w:rsidRPr="00DE4C22">
              <w:rPr>
                <w:b/>
                <w:i/>
              </w:rPr>
              <w:t>Jednym z możliwych sposobó</w:t>
            </w:r>
            <w:r w:rsidRPr="00DE4C22">
              <w:rPr>
                <w:b/>
                <w:i/>
              </w:rPr>
              <w:t>w szerzenia</w:t>
            </w:r>
            <w:r w:rsidRPr="00DE4C22">
              <w:t xml:space="preserve"> wiedzy obywateli o prawie do ochrony przez organy dyplomatyczne i konsularne</w:t>
            </w:r>
            <w:r w:rsidRPr="00DE4C22">
              <w:rPr>
                <w:b/>
                <w:i/>
              </w:rPr>
              <w:t xml:space="preserve"> byłoby</w:t>
            </w:r>
            <w:r w:rsidRPr="00DE4C22">
              <w:t xml:space="preserve">, biorąc pod uwagę ograniczone koszty, jakie są z tym związane, </w:t>
            </w:r>
            <w:r w:rsidRPr="00DE4C22">
              <w:rPr>
                <w:b/>
                <w:i/>
              </w:rPr>
              <w:t>zamieszczenie</w:t>
            </w:r>
            <w:r w:rsidRPr="00DE4C22">
              <w:t xml:space="preserve"> treści art. 23 TFUE w paszportach wydawanych przez państwa członkowskie, co zostało</w:t>
            </w:r>
            <w:r w:rsidRPr="00DE4C22">
              <w:t xml:space="preserve"> już zarekomendowane w zaleceniu Komisji C(2007) 5841</w:t>
            </w:r>
            <w:r w:rsidRPr="00DE4C22">
              <w:rPr>
                <w:vertAlign w:val="superscript"/>
              </w:rPr>
              <w:t>5</w:t>
            </w:r>
            <w:r w:rsidRPr="00DE4C22">
              <w:t>. Państwa członkowskie mogłyby również udostępniać informacje na temat prawa do ochrony konsularnej, jakie przysługuje niereprezentowanym obywatelom, w zaleceniach dla podróżnych oraz w trakcie kampanii</w:t>
            </w:r>
            <w:r w:rsidRPr="00DE4C22">
              <w:t xml:space="preserve"> związanych z pomocą konsularną. Państwa członkowskie mogłyby ponadto nawiązać współpracę z dostawcami usług transportu pasażerskiego i węzłami transportowymi, za pośrednictwem których możliwe są podróże do państw trzecich, na przykład zwracając się do nic</w:t>
            </w:r>
            <w:r w:rsidRPr="00DE4C22">
              <w:t>h o dodawanie istotnych informacji na temat prawa do ochrony konsularnej w materiałach informacyjnych udostępnianych klientom.</w:t>
            </w:r>
          </w:p>
        </w:tc>
        <w:tc>
          <w:tcPr>
            <w:tcW w:w="4876" w:type="dxa"/>
          </w:tcPr>
          <w:p w:rsidR="00192ECC" w:rsidRPr="00DE4C22" w:rsidRDefault="00DE4C22" w:rsidP="000549C0">
            <w:pPr>
              <w:pStyle w:val="Normal6a"/>
            </w:pPr>
            <w:r w:rsidRPr="00DE4C22">
              <w:t>(31)</w:t>
            </w:r>
            <w:r w:rsidRPr="00DE4C22">
              <w:tab/>
              <w:t>Państwa członkowskie powinny wprowadzić dodatkowe środki, aby dalej przyczyniać się do szerzenia wiedzy obywateli Unii na te</w:t>
            </w:r>
            <w:r w:rsidRPr="00DE4C22">
              <w:t xml:space="preserve">mat ich prawa do ochrony konsularnej, również z uwzględnieniem szczególnych potrzeb osób z niepełnosprawnościami. </w:t>
            </w:r>
            <w:r w:rsidRPr="00DE4C22">
              <w:rPr>
                <w:b/>
                <w:i/>
              </w:rPr>
              <w:t>Szerzenie</w:t>
            </w:r>
            <w:r w:rsidRPr="00DE4C22">
              <w:t xml:space="preserve"> wiedzy obywateli o prawie do ochrony przez organy dyplomatyczne i konsularne, biorąc pod uwagę ograniczone koszty, jakie są z tym zw</w:t>
            </w:r>
            <w:r w:rsidRPr="00DE4C22">
              <w:t xml:space="preserve">iązane, </w:t>
            </w:r>
            <w:r w:rsidRPr="00DE4C22">
              <w:rPr>
                <w:b/>
                <w:i/>
              </w:rPr>
              <w:t>powinno polegać na zamieszczaniu</w:t>
            </w:r>
            <w:r w:rsidRPr="00DE4C22">
              <w:t xml:space="preserve"> treści art. 23 TFUE w paszportach wydawanych przez państwa członkowskie, co zostało już zarekomendowane w zaleceniu Komisji C(2007) 5841</w:t>
            </w:r>
            <w:r w:rsidRPr="00DE4C22">
              <w:rPr>
                <w:vertAlign w:val="superscript"/>
              </w:rPr>
              <w:t>5</w:t>
            </w:r>
            <w:r w:rsidRPr="00DE4C22">
              <w:t>. Państwa członkowskie mogłyby również udostępniać informacje na temat prawa d</w:t>
            </w:r>
            <w:r w:rsidRPr="00DE4C22">
              <w:t>o ochrony konsularnej, jakie przysługuje niereprezentowanym obywatelom, w zaleceniach dla podróżnych oraz w trakcie kampanii związanych z pomocą konsularną. Państwa członkowskie mogłyby ponadto nawiązać współpracę z dostawcami usług transportu pasażerskieg</w:t>
            </w:r>
            <w:r w:rsidRPr="00DE4C22">
              <w:t>o i węzłami transportowymi, za pośrednictwem których możliwe są podróże do państw trzecich, na przykład zwracając się do nich o dodawanie istotnych informacji na temat prawa do ochrony konsularnej w materiałach informacyjnych udostępnianych klientom.</w:t>
            </w:r>
          </w:p>
        </w:tc>
      </w:tr>
      <w:tr w:rsidR="006B17DB" w:rsidRPr="00DE4C22" w:rsidTr="000549C0">
        <w:trPr>
          <w:jc w:val="center"/>
        </w:trPr>
        <w:tc>
          <w:tcPr>
            <w:tcW w:w="4876" w:type="dxa"/>
          </w:tcPr>
          <w:p w:rsidR="00192ECC" w:rsidRPr="00DE4C22" w:rsidRDefault="00DE4C22" w:rsidP="000549C0">
            <w:pPr>
              <w:pStyle w:val="Normal6a"/>
            </w:pPr>
            <w:r w:rsidRPr="00DE4C22">
              <w:rPr>
                <w:b/>
                <w:i/>
              </w:rPr>
              <w:t>____</w:t>
            </w:r>
            <w:r w:rsidRPr="00DE4C22">
              <w:rPr>
                <w:b/>
                <w:i/>
              </w:rPr>
              <w:t>_____________</w:t>
            </w:r>
          </w:p>
        </w:tc>
        <w:tc>
          <w:tcPr>
            <w:tcW w:w="4876" w:type="dxa"/>
          </w:tcPr>
          <w:p w:rsidR="00192ECC" w:rsidRPr="00DE4C22" w:rsidRDefault="00DE4C22" w:rsidP="000549C0">
            <w:pPr>
              <w:pStyle w:val="Normal6a"/>
            </w:pPr>
            <w:r w:rsidRPr="00DE4C22">
              <w:rPr>
                <w:b/>
                <w:i/>
              </w:rPr>
              <w:t>_________________</w:t>
            </w:r>
          </w:p>
        </w:tc>
      </w:tr>
      <w:tr w:rsidR="006B17DB" w:rsidRPr="00DE4C22" w:rsidTr="000549C0">
        <w:trPr>
          <w:jc w:val="center"/>
        </w:trPr>
        <w:tc>
          <w:tcPr>
            <w:tcW w:w="4876" w:type="dxa"/>
          </w:tcPr>
          <w:p w:rsidR="00192ECC" w:rsidRPr="00DE4C22" w:rsidRDefault="00DE4C22" w:rsidP="000549C0">
            <w:pPr>
              <w:pStyle w:val="Normal6a"/>
            </w:pPr>
            <w:r w:rsidRPr="00DE4C22">
              <w:rPr>
                <w:vertAlign w:val="superscript"/>
              </w:rPr>
              <w:lastRenderedPageBreak/>
              <w:t>5</w:t>
            </w:r>
            <w:r w:rsidRPr="00DE4C22">
              <w:t xml:space="preserve"> Zalecenie Komisji C(2007) 5841 z dnia 5 grudnia 2007 r. w sprawie zamieszczania w paszportach treści art. 20 TWE (Dz.U. L 118 z 6.5.2008, s. 30, ELI: https://eur-lex.europa.eu/eli/reco/2008/355/oj?locale=pl#).</w:t>
            </w:r>
          </w:p>
        </w:tc>
        <w:tc>
          <w:tcPr>
            <w:tcW w:w="4876" w:type="dxa"/>
          </w:tcPr>
          <w:p w:rsidR="00192ECC" w:rsidRPr="00DE4C22" w:rsidRDefault="00DE4C22" w:rsidP="000549C0">
            <w:pPr>
              <w:pStyle w:val="Normal6a"/>
            </w:pPr>
            <w:r w:rsidRPr="00DE4C22">
              <w:rPr>
                <w:vertAlign w:val="superscript"/>
              </w:rPr>
              <w:t>5</w:t>
            </w:r>
            <w:r w:rsidRPr="00DE4C22">
              <w:t xml:space="preserve"> Zalecenie</w:t>
            </w:r>
            <w:r w:rsidRPr="00DE4C22">
              <w:t xml:space="preserve"> Komisji C(2007) 5841 z dnia 5 grudnia 2007 r. w sprawie zamieszczania w paszportach treści art. 20 TWE (Dz.U. L 118 z 6.5.2008, s. 30, ELI: https://eur-lex.europa.eu/eli/reco/2008/355/oj?locale=pl#).</w:t>
            </w:r>
          </w:p>
        </w:tc>
      </w:tr>
    </w:tbl>
    <w:p w:rsidR="00192ECC" w:rsidRPr="00DE4C22" w:rsidRDefault="00DE4C22" w:rsidP="00192ECC">
      <w:r w:rsidRPr="00DE4C22">
        <w:rPr>
          <w:rStyle w:val="HideTWBExt"/>
        </w:rPr>
        <w:t>&lt;/Amend&gt;</w:t>
      </w:r>
    </w:p>
    <w:p w:rsidR="00192ECC" w:rsidRPr="00DE4C22" w:rsidRDefault="00DE4C22" w:rsidP="00192ECC">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13</w:t>
      </w:r>
      <w:r w:rsidRPr="00DE4C22">
        <w:rPr>
          <w:rStyle w:val="HideTWBExt"/>
        </w:rPr>
        <w:t>&lt;/NumAm&gt;</w:t>
      </w:r>
    </w:p>
    <w:p w:rsidR="00192ECC" w:rsidRPr="00DE4C22" w:rsidRDefault="00DE4C22" w:rsidP="00192ECC">
      <w:pPr>
        <w:pStyle w:val="NormalBold12b"/>
      </w:pPr>
      <w:r w:rsidRPr="00DE4C22">
        <w:rPr>
          <w:rStyle w:val="HideTWBExt"/>
        </w:rPr>
        <w:t>&lt;DocAmend&gt;</w:t>
      </w:r>
      <w:r w:rsidRPr="00DE4C22">
        <w:t>Wniosek dotyczący dyrektywy</w:t>
      </w:r>
      <w:r w:rsidRPr="00DE4C22">
        <w:rPr>
          <w:rStyle w:val="HideTWBExt"/>
        </w:rPr>
        <w:t>&lt;/DocAmend&gt;</w:t>
      </w:r>
    </w:p>
    <w:p w:rsidR="00192ECC" w:rsidRPr="00DE4C22" w:rsidRDefault="00DE4C22" w:rsidP="00192ECC">
      <w:pPr>
        <w:pStyle w:val="NormalBold"/>
      </w:pPr>
      <w:r w:rsidRPr="00DE4C22">
        <w:rPr>
          <w:rStyle w:val="HideTWBExt"/>
        </w:rPr>
        <w:t>&lt;Article&gt;</w:t>
      </w:r>
      <w:r w:rsidRPr="00DE4C22">
        <w:t>Motyw 32</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192ECC" w:rsidRPr="00DE4C22" w:rsidRDefault="00192ECC" w:rsidP="000549C0"/>
        </w:tc>
      </w:tr>
      <w:tr w:rsidR="006B17DB" w:rsidRPr="00DE4C22" w:rsidTr="000549C0">
        <w:trPr>
          <w:trHeight w:val="240"/>
          <w:jc w:val="center"/>
        </w:trPr>
        <w:tc>
          <w:tcPr>
            <w:tcW w:w="4876" w:type="dxa"/>
          </w:tcPr>
          <w:p w:rsidR="00192ECC" w:rsidRPr="00DE4C22" w:rsidRDefault="00DE4C22" w:rsidP="000549C0">
            <w:pPr>
              <w:pStyle w:val="AmColumnHeading"/>
            </w:pPr>
            <w:r w:rsidRPr="00DE4C22">
              <w:t>Tekst proponowany przez Komisję</w:t>
            </w:r>
          </w:p>
        </w:tc>
        <w:tc>
          <w:tcPr>
            <w:tcW w:w="4876" w:type="dxa"/>
          </w:tcPr>
          <w:p w:rsidR="00192ECC" w:rsidRPr="00DE4C22" w:rsidRDefault="00DE4C22" w:rsidP="000549C0">
            <w:pPr>
              <w:pStyle w:val="AmColumnHeading"/>
            </w:pPr>
            <w:r w:rsidRPr="00DE4C22">
              <w:t>Poprawka</w:t>
            </w:r>
          </w:p>
        </w:tc>
      </w:tr>
      <w:tr w:rsidR="006B17DB" w:rsidRPr="00DE4C22" w:rsidTr="000549C0">
        <w:trPr>
          <w:jc w:val="center"/>
        </w:trPr>
        <w:tc>
          <w:tcPr>
            <w:tcW w:w="4876" w:type="dxa"/>
          </w:tcPr>
          <w:p w:rsidR="00192ECC" w:rsidRPr="00DE4C22" w:rsidRDefault="00DE4C22" w:rsidP="000549C0">
            <w:pPr>
              <w:pStyle w:val="Normal6a"/>
            </w:pPr>
            <w:r w:rsidRPr="00DE4C22">
              <w:t>(32)</w:t>
            </w:r>
            <w:r w:rsidRPr="00DE4C22">
              <w:tab/>
              <w:t xml:space="preserve">Przepisy finansowe dyrektywy (UE) 2015/637 należy dostosować w celu uproszczenia procedury zwrotu kosztów oraz utrzymania podziału obciążeń </w:t>
            </w:r>
            <w:r w:rsidRPr="00DE4C22">
              <w:t>finansowych. W szczególności niereprezentowani obywatele powinni mieć możliwość bezpośredniego zwrotu kosztów za usługi świadczone przez państwo członkowskie udzielające pomocy, na takich samych warunkach jakie obowiązują obywateli tego państwa członkowski</w:t>
            </w:r>
            <w:r w:rsidRPr="00DE4C22">
              <w:t>ego, co ma na celu uniknięcie obciążeń administracyjnych wynikających z ubiegania się o zwrot kosztów od państwa członkowskiego, którego obywatelstwo posiada dany obywatel. Co więcej, państwa członkowskie powinny mieć również możliwość odstąpienia od obcią</w:t>
            </w:r>
            <w:r w:rsidRPr="00DE4C22">
              <w:t>żania takimi kosztami. W niektórych sytuacjach niereprezentowani obywatele mogą nie mieć możliwości uiszczenia opłaty w momencie składania wniosku o pomoc, zwłaszcza gdy skradziono im środki pieniężne i środki umożliwiające dostęp do środków finansowych, w</w:t>
            </w:r>
            <w:r w:rsidRPr="00DE4C22">
              <w:t> związku z czym konieczne jest zapewnienie, aby organy konsularne państwa członkowskiego udzielającego pomocy mogły wymagać od nich podpisania zobowiązania do zwrotu. Na podstawie takiego zobowiązania organy państwa członkowskiego udzielającego pomocy mogą</w:t>
            </w:r>
            <w:r w:rsidRPr="00DE4C22">
              <w:t xml:space="preserve"> zwrócić się o zwrot kosztów </w:t>
            </w:r>
            <w:r w:rsidRPr="00DE4C22">
              <w:lastRenderedPageBreak/>
              <w:t xml:space="preserve">po upływie </w:t>
            </w:r>
            <w:r w:rsidRPr="00DE4C22">
              <w:rPr>
                <w:b/>
                <w:i/>
              </w:rPr>
              <w:t>czterech tygodni</w:t>
            </w:r>
            <w:r w:rsidRPr="00DE4C22">
              <w:t xml:space="preserve"> od chwili udzielenia pomocy.</w:t>
            </w:r>
          </w:p>
        </w:tc>
        <w:tc>
          <w:tcPr>
            <w:tcW w:w="4876" w:type="dxa"/>
          </w:tcPr>
          <w:p w:rsidR="00192ECC" w:rsidRPr="00DE4C22" w:rsidRDefault="00DE4C22" w:rsidP="000549C0">
            <w:pPr>
              <w:pStyle w:val="Normal6a"/>
            </w:pPr>
            <w:r w:rsidRPr="00DE4C22">
              <w:lastRenderedPageBreak/>
              <w:t>(32)</w:t>
            </w:r>
            <w:r w:rsidRPr="00DE4C22">
              <w:tab/>
              <w:t>Przepisy finansowe dyrektywy (UE) 2015/637 należy dostosować w celu uproszczenia procedury zwrotu kosztów oraz utrzymania podziału obciążeń finansowych. W szczególno</w:t>
            </w:r>
            <w:r w:rsidRPr="00DE4C22">
              <w:t>ści niereprezentowani obywatele powinni mieć możliwość bezpośredniego zwrotu kosztów za usługi świadczone przez państwo członkowskie udzielające pomocy, na takich samych warunkach jakie obowiązują obywateli tego państwa członkowskiego, co ma na celu unikni</w:t>
            </w:r>
            <w:r w:rsidRPr="00DE4C22">
              <w:t>ęcie obciążeń administracyjnych wynikających z ubiegania się o zwrot kosztów od państwa członkowskiego, którego obywatelstwo posiada dany obywatel. Co więcej, państwa członkowskie powinny mieć również możliwość odstąpienia od obciążania takimi kosztami. W </w:t>
            </w:r>
            <w:r w:rsidRPr="00DE4C22">
              <w:t>niektórych sytuacjach niereprezentowani obywatele mogą nie mieć możliwości uiszczenia opłaty w momencie składania wniosku o pomoc, zwłaszcza gdy skradziono im środki pieniężne i środki umożliwiające dostęp do środków finansowych, w związku z czym konieczne</w:t>
            </w:r>
            <w:r w:rsidRPr="00DE4C22">
              <w:t xml:space="preserve"> jest zapewnienie, aby organy konsularne państwa członkowskiego udzielającego pomocy mogły wymagać od nich podpisania zobowiązania do zwrotu. Na podstawie takiego zobowiązania organy państwa członkowskiego udzielającego pomocy mogą zwrócić się o zwrot kosz</w:t>
            </w:r>
            <w:r w:rsidRPr="00DE4C22">
              <w:t xml:space="preserve">tów </w:t>
            </w:r>
            <w:r w:rsidRPr="00DE4C22">
              <w:lastRenderedPageBreak/>
              <w:t xml:space="preserve">po upływie </w:t>
            </w:r>
            <w:r w:rsidRPr="00DE4C22">
              <w:rPr>
                <w:b/>
                <w:i/>
              </w:rPr>
              <w:t>trzech miesięcy</w:t>
            </w:r>
            <w:r w:rsidRPr="00DE4C22">
              <w:t xml:space="preserve"> od chwili udzielenia pomocy.</w:t>
            </w:r>
          </w:p>
        </w:tc>
      </w:tr>
    </w:tbl>
    <w:p w:rsidR="00192ECC" w:rsidRPr="00DE4C22" w:rsidRDefault="00DE4C22" w:rsidP="00192ECC">
      <w:r w:rsidRPr="00DE4C22">
        <w:rPr>
          <w:rStyle w:val="HideTWBExt"/>
        </w:rPr>
        <w:lastRenderedPageBreak/>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14</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Motyw 34 a (nowy)</w:t>
      </w:r>
      <w:r w:rsidRPr="00DE4C22">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E03C69">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 </w:t>
            </w:r>
          </w:p>
        </w:tc>
        <w:tc>
          <w:tcPr>
            <w:tcW w:w="4876" w:type="dxa"/>
          </w:tcPr>
          <w:p w:rsidR="00E35335" w:rsidRPr="00DE4C22" w:rsidRDefault="00DE4C22" w:rsidP="0004333E">
            <w:pPr>
              <w:pStyle w:val="Normal6a"/>
              <w:rPr>
                <w:szCs w:val="24"/>
              </w:rPr>
            </w:pPr>
            <w:r w:rsidRPr="00DE4C22">
              <w:rPr>
                <w:b/>
                <w:i/>
              </w:rPr>
              <w:t>(34a)</w:t>
            </w:r>
            <w:r w:rsidRPr="00DE4C22">
              <w:tab/>
            </w:r>
            <w:r w:rsidRPr="00DE4C22">
              <w:rPr>
                <w:b/>
                <w:i/>
              </w:rPr>
              <w:t xml:space="preserve">Oprócz </w:t>
            </w:r>
            <w:r w:rsidRPr="00DE4C22">
              <w:rPr>
                <w:b/>
                <w:i/>
              </w:rPr>
              <w:t>dochodów ze zwrotów dokonywanych przez państwa członkowskie należy odpowiednio zwiększyć budżet i zasoby kadrowe ESDZ, aby zagwarantować właściwe wykonywanie obowiązków w zakresie udzielania pomocy lub ochrony obywatelom UE. Skutki ciągłych kryzysów i konf</w:t>
            </w:r>
            <w:r w:rsidRPr="00DE4C22">
              <w:rPr>
                <w:b/>
                <w:i/>
              </w:rPr>
              <w:t>liktów na całym świecie mogą wiązać się z ryzykiem przeciążenia ochrony lub pomocy konsularnej państw członkowskich, zwłaszcza podczas poważnego kryzysu. ESDZ i delegatury Unii, które przyjęły coraz większą rolę w tym zakresie, odgrywają kluczową rolę koor</w:t>
            </w:r>
            <w:r w:rsidRPr="00DE4C22">
              <w:rPr>
                <w:b/>
                <w:i/>
              </w:rPr>
              <w:t>dynującą w terenie.</w:t>
            </w:r>
          </w:p>
        </w:tc>
      </w:tr>
    </w:tbl>
    <w:p w:rsidR="00E35335" w:rsidRPr="00DE4C22" w:rsidRDefault="00DE4C22" w:rsidP="00E35335">
      <w:r w:rsidRPr="00DE4C22">
        <w:rPr>
          <w:rStyle w:val="HideTWBExt"/>
        </w:rPr>
        <w:t>&lt;/Amend&gt;</w:t>
      </w:r>
    </w:p>
    <w:p w:rsidR="00192ECC" w:rsidRPr="00DE4C22" w:rsidRDefault="00DE4C22" w:rsidP="00192ECC">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15</w:t>
      </w:r>
      <w:r w:rsidRPr="00DE4C22">
        <w:rPr>
          <w:rStyle w:val="HideTWBExt"/>
        </w:rPr>
        <w:t>&lt;/NumAm&gt;</w:t>
      </w:r>
    </w:p>
    <w:p w:rsidR="00192ECC" w:rsidRPr="00DE4C22" w:rsidRDefault="00DE4C22" w:rsidP="00192ECC">
      <w:pPr>
        <w:pStyle w:val="NormalBold12b"/>
      </w:pPr>
      <w:r w:rsidRPr="00DE4C22">
        <w:rPr>
          <w:rStyle w:val="HideTWBExt"/>
        </w:rPr>
        <w:t>&lt;DocAmend&gt;</w:t>
      </w:r>
      <w:r w:rsidRPr="00DE4C22">
        <w:t>Wniosek dotyczący dyrektywy</w:t>
      </w:r>
      <w:r w:rsidRPr="00DE4C22">
        <w:rPr>
          <w:rStyle w:val="HideTWBExt"/>
        </w:rPr>
        <w:t>&lt;/DocAmend&gt;</w:t>
      </w:r>
    </w:p>
    <w:p w:rsidR="00192ECC" w:rsidRPr="00DE4C22" w:rsidRDefault="00DE4C22" w:rsidP="00192ECC">
      <w:pPr>
        <w:pStyle w:val="NormalBold"/>
      </w:pPr>
      <w:r w:rsidRPr="00DE4C22">
        <w:rPr>
          <w:rStyle w:val="HideTWBExt"/>
        </w:rPr>
        <w:t>&lt;Article&gt;</w:t>
      </w:r>
      <w:r w:rsidRPr="00DE4C22">
        <w:t>Motyw 37 a (nowy)</w:t>
      </w:r>
      <w:r w:rsidRPr="00DE4C2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192ECC" w:rsidRPr="00DE4C22" w:rsidRDefault="00192ECC" w:rsidP="000549C0"/>
        </w:tc>
      </w:tr>
      <w:tr w:rsidR="006B17DB" w:rsidRPr="00DE4C22" w:rsidTr="000549C0">
        <w:trPr>
          <w:trHeight w:val="240"/>
          <w:jc w:val="center"/>
        </w:trPr>
        <w:tc>
          <w:tcPr>
            <w:tcW w:w="4876" w:type="dxa"/>
          </w:tcPr>
          <w:p w:rsidR="00192ECC" w:rsidRPr="00DE4C22" w:rsidRDefault="00DE4C22" w:rsidP="000549C0">
            <w:pPr>
              <w:pStyle w:val="AmColumnHeading"/>
            </w:pPr>
            <w:r w:rsidRPr="00DE4C22">
              <w:t>Tekst proponowany przez Komisję</w:t>
            </w:r>
          </w:p>
        </w:tc>
        <w:tc>
          <w:tcPr>
            <w:tcW w:w="4876" w:type="dxa"/>
          </w:tcPr>
          <w:p w:rsidR="00192ECC" w:rsidRPr="00DE4C22" w:rsidRDefault="00DE4C22" w:rsidP="000549C0">
            <w:pPr>
              <w:pStyle w:val="AmColumnHeading"/>
            </w:pPr>
            <w:r w:rsidRPr="00DE4C22">
              <w:t>Poprawka</w:t>
            </w:r>
          </w:p>
        </w:tc>
      </w:tr>
      <w:tr w:rsidR="006B17DB" w:rsidRPr="00DE4C22" w:rsidTr="000549C0">
        <w:trPr>
          <w:jc w:val="center"/>
        </w:trPr>
        <w:tc>
          <w:tcPr>
            <w:tcW w:w="4876" w:type="dxa"/>
          </w:tcPr>
          <w:p w:rsidR="00192ECC" w:rsidRPr="00DE4C22" w:rsidRDefault="00192ECC" w:rsidP="000549C0">
            <w:pPr>
              <w:pStyle w:val="Normal6a"/>
            </w:pPr>
          </w:p>
        </w:tc>
        <w:tc>
          <w:tcPr>
            <w:tcW w:w="4876" w:type="dxa"/>
          </w:tcPr>
          <w:p w:rsidR="00192ECC" w:rsidRPr="00DE4C22" w:rsidRDefault="00DE4C22" w:rsidP="007D49CF">
            <w:pPr>
              <w:pStyle w:val="AmColumnHeading"/>
              <w:spacing w:after="120"/>
              <w:jc w:val="left"/>
            </w:pPr>
            <w:r w:rsidRPr="00DE4C22">
              <w:rPr>
                <w:b/>
              </w:rPr>
              <w:t>(37a)</w:t>
            </w:r>
            <w:r w:rsidRPr="00DE4C22">
              <w:tab/>
            </w:r>
            <w:r w:rsidRPr="00DE4C22">
              <w:rPr>
                <w:b/>
                <w:bCs/>
              </w:rPr>
              <w:t xml:space="preserve">W kontekście reagowania kryzysowego należy </w:t>
            </w:r>
            <w:r w:rsidRPr="00DE4C22">
              <w:rPr>
                <w:b/>
                <w:bCs/>
              </w:rPr>
              <w:t>przypomnieć, że Strategiczny kompas na rzecz bezpieczeństwa i obrony, zatwierdzony przez Radę Europejską 24 marca 2022 r., ustanowił rozwój unijnej zdolności szybkiego rozmieszczania, z przewidywanym stanem liczebnym 5000 żołnierzy, którzy będą wykorzystyw</w:t>
            </w:r>
            <w:r w:rsidRPr="00DE4C22">
              <w:rPr>
                <w:b/>
                <w:bCs/>
              </w:rPr>
              <w:t xml:space="preserve">ani na różnych etapach operacji w środowisku nieprzyjaznym, początkowo skoncentrowanej na operacjach </w:t>
            </w:r>
            <w:r w:rsidRPr="00DE4C22">
              <w:rPr>
                <w:b/>
                <w:bCs/>
              </w:rPr>
              <w:lastRenderedPageBreak/>
              <w:t>ratunkowych i ewakuacyjnych w ramach skoordynowanego reagowania kryzysowego.</w:t>
            </w:r>
          </w:p>
        </w:tc>
      </w:tr>
    </w:tbl>
    <w:p w:rsidR="00192ECC" w:rsidRPr="00DE4C22" w:rsidRDefault="00DE4C22" w:rsidP="00192ECC">
      <w:r w:rsidRPr="00DE4C22">
        <w:rPr>
          <w:rStyle w:val="HideTWBExt"/>
        </w:rPr>
        <w:lastRenderedPageBreak/>
        <w:t>&lt;/Amend&gt;</w:t>
      </w:r>
    </w:p>
    <w:p w:rsidR="00544FA5" w:rsidRPr="00DE4C22" w:rsidRDefault="00DE4C22" w:rsidP="00544FA5">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16</w:t>
      </w:r>
      <w:r w:rsidRPr="00DE4C22">
        <w:rPr>
          <w:rStyle w:val="HideTWBExt"/>
        </w:rPr>
        <w:t>&lt;/NumAm&gt;</w:t>
      </w:r>
    </w:p>
    <w:p w:rsidR="00544FA5" w:rsidRPr="00DE4C22" w:rsidRDefault="00DE4C22" w:rsidP="00544FA5">
      <w:pPr>
        <w:pStyle w:val="NormalBold12b"/>
      </w:pPr>
      <w:r w:rsidRPr="00DE4C22">
        <w:rPr>
          <w:rStyle w:val="HideTWBExt"/>
        </w:rPr>
        <w:t>&lt;DocAmend&gt;</w:t>
      </w:r>
      <w:r w:rsidRPr="00DE4C22">
        <w:t xml:space="preserve">Wniosek dotyczący </w:t>
      </w:r>
      <w:r w:rsidRPr="00DE4C22">
        <w:t>dyrektywy</w:t>
      </w:r>
      <w:r w:rsidRPr="00DE4C22">
        <w:rPr>
          <w:rStyle w:val="HideTWBExt"/>
        </w:rPr>
        <w:t>&lt;/DocAmend&gt;</w:t>
      </w:r>
    </w:p>
    <w:p w:rsidR="00544FA5" w:rsidRPr="00DE4C22" w:rsidRDefault="00DE4C22" w:rsidP="00544FA5">
      <w:pPr>
        <w:pStyle w:val="NormalBold"/>
      </w:pPr>
      <w:r w:rsidRPr="00DE4C22">
        <w:rPr>
          <w:rStyle w:val="HideTWBExt"/>
        </w:rPr>
        <w:t>&lt;Article&gt;</w:t>
      </w:r>
      <w:r w:rsidRPr="00DE4C22">
        <w:t>Artykuł 1 – akapit 1 – punkt -1 a (nowy)</w:t>
      </w:r>
      <w:r w:rsidRPr="00DE4C22">
        <w:rPr>
          <w:rStyle w:val="HideTWBExt"/>
        </w:rPr>
        <w:t>&lt;/Article&gt;</w:t>
      </w:r>
    </w:p>
    <w:p w:rsidR="00544FA5" w:rsidRPr="00DE4C22" w:rsidRDefault="00DE4C22" w:rsidP="00544FA5">
      <w:r w:rsidRPr="00DE4C22">
        <w:rPr>
          <w:rStyle w:val="HideTWBExt"/>
        </w:rPr>
        <w:t>&lt;DocAmend2&gt;</w:t>
      </w:r>
      <w:r w:rsidRPr="00DE4C22">
        <w:t>Dyrektywa (UE) 2015/637</w:t>
      </w:r>
      <w:r w:rsidRPr="00DE4C22">
        <w:rPr>
          <w:rStyle w:val="HideTWBExt"/>
        </w:rPr>
        <w:t>&lt;/DocAmend2&gt;</w:t>
      </w:r>
    </w:p>
    <w:p w:rsidR="00544FA5" w:rsidRPr="00DE4C22" w:rsidRDefault="00DE4C22" w:rsidP="00544FA5">
      <w:r w:rsidRPr="00DE4C22">
        <w:rPr>
          <w:rStyle w:val="HideTWBExt"/>
        </w:rPr>
        <w:t>&lt;Article2&gt;</w:t>
      </w:r>
      <w:r w:rsidRPr="00DE4C22">
        <w:t>Artykuł 4 – akapit 1 a (nowy)</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72EA">
        <w:trPr>
          <w:trHeight w:hRule="exact" w:val="240"/>
          <w:jc w:val="center"/>
        </w:trPr>
        <w:tc>
          <w:tcPr>
            <w:tcW w:w="9752" w:type="dxa"/>
            <w:gridSpan w:val="2"/>
          </w:tcPr>
          <w:p w:rsidR="00544FA5" w:rsidRPr="00DE4C22" w:rsidRDefault="00544FA5" w:rsidP="005172EA"/>
        </w:tc>
      </w:tr>
      <w:tr w:rsidR="006B17DB" w:rsidRPr="00DE4C22" w:rsidTr="005172EA">
        <w:trPr>
          <w:trHeight w:val="240"/>
          <w:jc w:val="center"/>
        </w:trPr>
        <w:tc>
          <w:tcPr>
            <w:tcW w:w="4876" w:type="dxa"/>
          </w:tcPr>
          <w:p w:rsidR="00544FA5" w:rsidRPr="00DE4C22" w:rsidRDefault="00DE4C22" w:rsidP="005172EA">
            <w:pPr>
              <w:pStyle w:val="AmColumnHeading"/>
            </w:pPr>
            <w:r w:rsidRPr="00DE4C22">
              <w:t>Tekst proponowany przez Komisję</w:t>
            </w:r>
          </w:p>
        </w:tc>
        <w:tc>
          <w:tcPr>
            <w:tcW w:w="4876" w:type="dxa"/>
          </w:tcPr>
          <w:p w:rsidR="00544FA5" w:rsidRPr="00DE4C22" w:rsidRDefault="00DE4C22" w:rsidP="005172EA">
            <w:pPr>
              <w:pStyle w:val="AmColumnHeading"/>
            </w:pPr>
            <w:r w:rsidRPr="00DE4C22">
              <w:t>Poprawka</w:t>
            </w:r>
          </w:p>
        </w:tc>
      </w:tr>
      <w:tr w:rsidR="006B17DB" w:rsidRPr="00DE4C22" w:rsidTr="005172EA">
        <w:trPr>
          <w:jc w:val="center"/>
        </w:trPr>
        <w:tc>
          <w:tcPr>
            <w:tcW w:w="4876" w:type="dxa"/>
          </w:tcPr>
          <w:p w:rsidR="00544FA5" w:rsidRPr="00DE4C22" w:rsidRDefault="00544FA5" w:rsidP="005172EA">
            <w:pPr>
              <w:pStyle w:val="Normal6a"/>
            </w:pPr>
          </w:p>
        </w:tc>
        <w:tc>
          <w:tcPr>
            <w:tcW w:w="4876" w:type="dxa"/>
          </w:tcPr>
          <w:p w:rsidR="00544FA5" w:rsidRPr="00DE4C22" w:rsidRDefault="00DE4C22" w:rsidP="005172EA">
            <w:pPr>
              <w:pStyle w:val="Normal6a"/>
            </w:pPr>
            <w:r w:rsidRPr="00DE4C22">
              <w:rPr>
                <w:b/>
                <w:i/>
              </w:rPr>
              <w:t>-1a)</w:t>
            </w:r>
            <w:r w:rsidRPr="00DE4C22">
              <w:tab/>
            </w:r>
            <w:r w:rsidRPr="00DE4C22">
              <w:rPr>
                <w:b/>
                <w:i/>
              </w:rPr>
              <w:t xml:space="preserve">w art. 4 dodaje się akapit </w:t>
            </w:r>
            <w:r w:rsidRPr="00DE4C22">
              <w:rPr>
                <w:b/>
                <w:i/>
              </w:rPr>
              <w:t>1a w brzmieniu:</w:t>
            </w:r>
          </w:p>
        </w:tc>
      </w:tr>
      <w:tr w:rsidR="006B17DB" w:rsidRPr="00DE4C22" w:rsidTr="005172EA">
        <w:trPr>
          <w:jc w:val="center"/>
        </w:trPr>
        <w:tc>
          <w:tcPr>
            <w:tcW w:w="4876" w:type="dxa"/>
          </w:tcPr>
          <w:p w:rsidR="00544FA5" w:rsidRPr="00DE4C22" w:rsidRDefault="00544FA5" w:rsidP="005172EA">
            <w:pPr>
              <w:pStyle w:val="Normal6a"/>
            </w:pPr>
          </w:p>
        </w:tc>
        <w:tc>
          <w:tcPr>
            <w:tcW w:w="4876" w:type="dxa"/>
          </w:tcPr>
          <w:p w:rsidR="00544FA5" w:rsidRPr="00DE4C22" w:rsidRDefault="00DE4C22" w:rsidP="005172EA">
            <w:pPr>
              <w:pStyle w:val="Normal6a"/>
            </w:pPr>
            <w:r w:rsidRPr="00DE4C22">
              <w:rPr>
                <w:b/>
                <w:i/>
              </w:rPr>
              <w:t>„Osoby uznane za uchodźców i bezpaństwowcy oraz inne osoby, które nie posiadają obywatelstwa żadnego kraju, ale zamieszkują w państwie członkowskim i posiadają dokument podróży wydany przez to państwo członkowskie, są uprawnione do ochron</w:t>
            </w:r>
            <w:r w:rsidRPr="00DE4C22">
              <w:rPr>
                <w:b/>
                <w:i/>
              </w:rPr>
              <w:t>y konsularnej na takich samych warunkach jak niereprezentowani obywatele, jeśli państwo członkowskie zamieszkania nie jest reprezentowane przez organ dyplomatyczny lub konsularny.”</w:t>
            </w:r>
          </w:p>
        </w:tc>
      </w:tr>
    </w:tbl>
    <w:p w:rsidR="00544FA5" w:rsidRPr="00DE4C22" w:rsidRDefault="00DE4C22" w:rsidP="00544FA5">
      <w:r w:rsidRPr="00DE4C22">
        <w:rPr>
          <w:rStyle w:val="HideTWBExt"/>
        </w:rPr>
        <w:t>&lt;/Amend&gt;</w:t>
      </w:r>
    </w:p>
    <w:p w:rsidR="00B622E6" w:rsidRPr="00DE4C22" w:rsidRDefault="00DE4C22" w:rsidP="00B622E6">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17</w:t>
      </w:r>
      <w:r w:rsidRPr="00DE4C22">
        <w:rPr>
          <w:rStyle w:val="HideTWBExt"/>
        </w:rPr>
        <w:t>&lt;/NumAm&gt;</w:t>
      </w:r>
    </w:p>
    <w:p w:rsidR="00B622E6" w:rsidRPr="00DE4C22" w:rsidRDefault="00DE4C22" w:rsidP="00B622E6">
      <w:pPr>
        <w:pStyle w:val="NormalBold12b"/>
      </w:pPr>
      <w:r w:rsidRPr="00DE4C22">
        <w:rPr>
          <w:rStyle w:val="HideTWBExt"/>
        </w:rPr>
        <w:t>&lt;DocAmend&gt;</w:t>
      </w:r>
      <w:r w:rsidRPr="00DE4C22">
        <w:t>Wniosek dotyczący dy</w:t>
      </w:r>
      <w:r w:rsidRPr="00DE4C22">
        <w:t>rektywy</w:t>
      </w:r>
      <w:r w:rsidRPr="00DE4C22">
        <w:rPr>
          <w:rStyle w:val="HideTWBExt"/>
        </w:rPr>
        <w:t>&lt;/DocAmend&gt;</w:t>
      </w:r>
    </w:p>
    <w:p w:rsidR="00B622E6" w:rsidRPr="00DE4C22" w:rsidRDefault="00DE4C22" w:rsidP="00B622E6">
      <w:pPr>
        <w:pStyle w:val="NormalBold"/>
      </w:pPr>
      <w:r w:rsidRPr="00DE4C22">
        <w:rPr>
          <w:rStyle w:val="HideTWBExt"/>
        </w:rPr>
        <w:t>&lt;Article&gt;</w:t>
      </w:r>
      <w:r w:rsidRPr="00DE4C22">
        <w:t>Artykuł 1 – akapit 1 – punkt 1</w:t>
      </w:r>
      <w:r w:rsidRPr="00DE4C22">
        <w:rPr>
          <w:rStyle w:val="HideTWBExt"/>
        </w:rPr>
        <w:t>&lt;/Article&gt;</w:t>
      </w:r>
    </w:p>
    <w:p w:rsidR="00B622E6" w:rsidRPr="00DE4C22" w:rsidRDefault="00DE4C22" w:rsidP="00B622E6">
      <w:r w:rsidRPr="00DE4C22">
        <w:rPr>
          <w:rStyle w:val="HideTWBExt"/>
        </w:rPr>
        <w:t>&lt;DocAmend2&gt;</w:t>
      </w:r>
      <w:r w:rsidRPr="00DE4C22">
        <w:t>Dyrektywa (UE) 2015/637</w:t>
      </w:r>
      <w:r w:rsidRPr="00DE4C22">
        <w:rPr>
          <w:rStyle w:val="HideTWBExt"/>
        </w:rPr>
        <w:t>&lt;/DocAmend2&gt;</w:t>
      </w:r>
    </w:p>
    <w:p w:rsidR="00B622E6" w:rsidRPr="00DE4C22" w:rsidRDefault="00DE4C22" w:rsidP="00B622E6">
      <w:r w:rsidRPr="00DE4C22">
        <w:rPr>
          <w:rStyle w:val="HideTWBExt"/>
        </w:rPr>
        <w:t>&lt;Article2&gt;</w:t>
      </w:r>
      <w:r w:rsidRPr="00DE4C22">
        <w:t>Artykuł 7 – ustęp 4 a (nowy)</w:t>
      </w:r>
      <w:r w:rsidRPr="00DE4C2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198D">
        <w:trPr>
          <w:trHeight w:hRule="exact" w:val="240"/>
          <w:jc w:val="center"/>
        </w:trPr>
        <w:tc>
          <w:tcPr>
            <w:tcW w:w="9752" w:type="dxa"/>
            <w:gridSpan w:val="2"/>
          </w:tcPr>
          <w:p w:rsidR="00B622E6" w:rsidRPr="00DE4C22" w:rsidRDefault="00B622E6" w:rsidP="000549C0"/>
        </w:tc>
      </w:tr>
      <w:tr w:rsidR="006B17DB" w:rsidRPr="00DE4C22" w:rsidTr="0051198D">
        <w:trPr>
          <w:trHeight w:val="240"/>
          <w:jc w:val="center"/>
        </w:trPr>
        <w:tc>
          <w:tcPr>
            <w:tcW w:w="4876" w:type="dxa"/>
          </w:tcPr>
          <w:p w:rsidR="00B622E6" w:rsidRPr="00DE4C22" w:rsidRDefault="00DE4C22" w:rsidP="000549C0">
            <w:pPr>
              <w:pStyle w:val="AmColumnHeading"/>
            </w:pPr>
            <w:r w:rsidRPr="00DE4C22">
              <w:t>Tekst proponowany przez Komisję</w:t>
            </w:r>
          </w:p>
        </w:tc>
        <w:tc>
          <w:tcPr>
            <w:tcW w:w="4876" w:type="dxa"/>
          </w:tcPr>
          <w:p w:rsidR="00B622E6" w:rsidRPr="00DE4C22" w:rsidRDefault="00DE4C22" w:rsidP="000549C0">
            <w:pPr>
              <w:pStyle w:val="AmColumnHeading"/>
            </w:pPr>
            <w:r w:rsidRPr="00DE4C22">
              <w:t>Poprawka</w:t>
            </w:r>
          </w:p>
        </w:tc>
      </w:tr>
      <w:tr w:rsidR="006B17DB" w:rsidRPr="00DE4C22" w:rsidTr="0051198D">
        <w:trPr>
          <w:jc w:val="center"/>
        </w:trPr>
        <w:tc>
          <w:tcPr>
            <w:tcW w:w="4876" w:type="dxa"/>
          </w:tcPr>
          <w:p w:rsidR="00B622E6" w:rsidRPr="00DE4C22" w:rsidRDefault="00B622E6" w:rsidP="000549C0">
            <w:pPr>
              <w:pStyle w:val="Normal6a"/>
            </w:pPr>
          </w:p>
        </w:tc>
        <w:tc>
          <w:tcPr>
            <w:tcW w:w="4876" w:type="dxa"/>
          </w:tcPr>
          <w:p w:rsidR="00B622E6" w:rsidRPr="00DE4C22" w:rsidRDefault="00DE4C22" w:rsidP="000549C0">
            <w:pPr>
              <w:pStyle w:val="Normal6a"/>
            </w:pPr>
            <w:r w:rsidRPr="00DE4C22">
              <w:rPr>
                <w:b/>
                <w:i/>
              </w:rPr>
              <w:t>4a.</w:t>
            </w:r>
            <w:r w:rsidRPr="00DE4C22">
              <w:rPr>
                <w:b/>
                <w:i/>
              </w:rPr>
              <w:tab/>
              <w:t xml:space="preserve">Przy udzielaniu ochrony konsularnej </w:t>
            </w:r>
            <w:r w:rsidRPr="00DE4C22">
              <w:rPr>
                <w:b/>
                <w:i/>
              </w:rPr>
              <w:t xml:space="preserve">niereprezentowanym obywatelom państwa członkowskie powinny brać pod uwagę szczególne potrzeby grup szczególnie wrażliwych i osób narażonych na dyskryminację z przyczyn, o których mowa w art. 21 Karty, tj. ze względu na płeć, rasę, kolor skóry, pochodzenie </w:t>
            </w:r>
            <w:r w:rsidRPr="00DE4C22">
              <w:rPr>
                <w:b/>
                <w:i/>
              </w:rPr>
              <w:t xml:space="preserve">etniczne lub społeczne, cechy </w:t>
            </w:r>
            <w:r w:rsidRPr="00DE4C22">
              <w:rPr>
                <w:b/>
                <w:i/>
              </w:rPr>
              <w:lastRenderedPageBreak/>
              <w:t>genetyczne, język, religię lub przekonania, poglądy polityczne lub wszelkie inne poglądy, przynależność do mniejszości narodowej, majątek, urodzenie, niepełnosprawność, wiek lub orientację seksualną.”</w:t>
            </w:r>
          </w:p>
        </w:tc>
      </w:tr>
    </w:tbl>
    <w:p w:rsidR="00B622E6" w:rsidRPr="00DE4C22" w:rsidRDefault="00DE4C22" w:rsidP="00B622E6">
      <w:r w:rsidRPr="00DE4C22">
        <w:rPr>
          <w:rStyle w:val="HideTWBExt"/>
        </w:rPr>
        <w:lastRenderedPageBreak/>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18</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4</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Artykuł 11 – ustęp 2 a (nowy)</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516E52">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 </w:t>
            </w:r>
          </w:p>
        </w:tc>
        <w:tc>
          <w:tcPr>
            <w:tcW w:w="4876" w:type="dxa"/>
          </w:tcPr>
          <w:p w:rsidR="00E35335" w:rsidRPr="00DE4C22" w:rsidRDefault="00DE4C22" w:rsidP="00680E86">
            <w:pPr>
              <w:pStyle w:val="Normal6a"/>
              <w:rPr>
                <w:szCs w:val="24"/>
              </w:rPr>
            </w:pPr>
            <w:r w:rsidRPr="00DE4C22">
              <w:rPr>
                <w:b/>
                <w:i/>
              </w:rPr>
              <w:t>2a.</w:t>
            </w:r>
            <w:r w:rsidRPr="00DE4C22">
              <w:tab/>
            </w:r>
            <w:r w:rsidRPr="00DE4C22">
              <w:rPr>
                <w:b/>
                <w:i/>
              </w:rPr>
              <w:t>Należy przydzielić ESDZ i delegaturom Unii niezbędne zasoby finansowe i kadrowe, tak aby mogły uporać się z ogólnym i dodatkowym horyzontalnym obciążeniem administracyjnym.</w:t>
            </w:r>
          </w:p>
        </w:tc>
      </w:tr>
    </w:tbl>
    <w:p w:rsidR="00E35335" w:rsidRPr="00DE4C22" w:rsidRDefault="00DE4C22" w:rsidP="00E35335">
      <w:r w:rsidRPr="00DE4C22">
        <w:rPr>
          <w:rStyle w:val="HideTWBExt"/>
        </w:rPr>
        <w:t>&lt;/Amend&gt;</w:t>
      </w:r>
    </w:p>
    <w:p w:rsidR="00680E86" w:rsidRPr="00DE4C22" w:rsidRDefault="00DE4C22" w:rsidP="00680E86">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19</w:t>
      </w:r>
      <w:r w:rsidRPr="00DE4C22">
        <w:rPr>
          <w:rStyle w:val="HideTWBExt"/>
        </w:rPr>
        <w:t>&lt;/NumAm&gt;</w:t>
      </w:r>
    </w:p>
    <w:p w:rsidR="00680E86" w:rsidRPr="00DE4C22" w:rsidRDefault="00DE4C22" w:rsidP="00680E86">
      <w:pPr>
        <w:pStyle w:val="NormalBold12b"/>
      </w:pPr>
      <w:r w:rsidRPr="00DE4C22">
        <w:rPr>
          <w:rStyle w:val="HideTWBExt"/>
        </w:rPr>
        <w:t>&lt;DocAmend&gt;</w:t>
      </w:r>
      <w:r w:rsidRPr="00DE4C22">
        <w:t xml:space="preserve">Wniosek </w:t>
      </w:r>
      <w:r w:rsidRPr="00DE4C22">
        <w:t>dotyczący dyrektywy</w:t>
      </w:r>
      <w:r w:rsidRPr="00DE4C22">
        <w:rPr>
          <w:rStyle w:val="HideTWBExt"/>
        </w:rPr>
        <w:t>&lt;/DocAmend&gt;</w:t>
      </w:r>
    </w:p>
    <w:p w:rsidR="00680E86" w:rsidRPr="00DE4C22" w:rsidRDefault="00DE4C22" w:rsidP="00680E86">
      <w:pPr>
        <w:pStyle w:val="NormalBold"/>
      </w:pPr>
      <w:r w:rsidRPr="00DE4C22">
        <w:rPr>
          <w:rStyle w:val="HideTWBExt"/>
        </w:rPr>
        <w:t>&lt;Article&gt;</w:t>
      </w:r>
      <w:r w:rsidRPr="00DE4C22">
        <w:t>Artykuł 1 – akapit 1 – punkt 4</w:t>
      </w:r>
      <w:r w:rsidRPr="00DE4C22">
        <w:rPr>
          <w:rStyle w:val="HideTWBExt"/>
        </w:rPr>
        <w:t>&lt;/Article&gt;</w:t>
      </w:r>
    </w:p>
    <w:p w:rsidR="00680E86" w:rsidRPr="00DE4C22" w:rsidRDefault="00DE4C22" w:rsidP="00680E86">
      <w:r w:rsidRPr="00DE4C22">
        <w:rPr>
          <w:rStyle w:val="HideTWBExt"/>
        </w:rPr>
        <w:t>&lt;DocAmend2&gt;</w:t>
      </w:r>
      <w:r w:rsidRPr="00DE4C22">
        <w:t>Dyrektywa (UE) 2015/637</w:t>
      </w:r>
      <w:r w:rsidRPr="00DE4C22">
        <w:rPr>
          <w:rStyle w:val="HideTWBExt"/>
        </w:rPr>
        <w:t>&lt;/DocAmend2&gt;</w:t>
      </w:r>
    </w:p>
    <w:p w:rsidR="00680E86" w:rsidRPr="00DE4C22" w:rsidRDefault="00DE4C22" w:rsidP="00680E86">
      <w:r w:rsidRPr="00DE4C22">
        <w:rPr>
          <w:rStyle w:val="HideTWBExt"/>
        </w:rPr>
        <w:t>&lt;Article2&gt;</w:t>
      </w:r>
      <w:r w:rsidRPr="00DE4C22">
        <w:t>Artykuł 13 – ustęp 1 – wprowadzenie</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680E86" w:rsidRPr="00DE4C22" w:rsidRDefault="00680E86" w:rsidP="000549C0"/>
        </w:tc>
      </w:tr>
      <w:tr w:rsidR="006B17DB" w:rsidRPr="00DE4C22" w:rsidTr="000549C0">
        <w:trPr>
          <w:trHeight w:val="240"/>
          <w:jc w:val="center"/>
        </w:trPr>
        <w:tc>
          <w:tcPr>
            <w:tcW w:w="4876" w:type="dxa"/>
          </w:tcPr>
          <w:p w:rsidR="00680E86" w:rsidRPr="00DE4C22" w:rsidRDefault="00DE4C22" w:rsidP="000549C0">
            <w:pPr>
              <w:pStyle w:val="AmColumnHeading"/>
            </w:pPr>
            <w:r w:rsidRPr="00DE4C22">
              <w:t>Tekst proponowany przez Komisję</w:t>
            </w:r>
          </w:p>
        </w:tc>
        <w:tc>
          <w:tcPr>
            <w:tcW w:w="4876" w:type="dxa"/>
          </w:tcPr>
          <w:p w:rsidR="00680E86" w:rsidRPr="00DE4C22" w:rsidRDefault="00DE4C22" w:rsidP="000549C0">
            <w:pPr>
              <w:pStyle w:val="AmColumnHeading"/>
            </w:pPr>
            <w:r w:rsidRPr="00DE4C22">
              <w:t>Poprawka</w:t>
            </w:r>
          </w:p>
        </w:tc>
      </w:tr>
      <w:tr w:rsidR="006B17DB" w:rsidRPr="00DE4C22" w:rsidTr="000549C0">
        <w:trPr>
          <w:jc w:val="center"/>
        </w:trPr>
        <w:tc>
          <w:tcPr>
            <w:tcW w:w="4876" w:type="dxa"/>
          </w:tcPr>
          <w:p w:rsidR="00680E86" w:rsidRPr="00DE4C22" w:rsidRDefault="00DE4C22" w:rsidP="000549C0">
            <w:pPr>
              <w:pStyle w:val="Normal6a"/>
            </w:pPr>
            <w:r w:rsidRPr="00DE4C22">
              <w:t>1.</w:t>
            </w:r>
            <w:r w:rsidRPr="00DE4C22">
              <w:tab/>
              <w:t xml:space="preserve">W kontekście lokalnej </w:t>
            </w:r>
            <w:r w:rsidRPr="00DE4C22">
              <w:t xml:space="preserve">współpracy konsularnej, o której mowa w art. 12, państwa członkowskie i ESDZ opracowują i uzgadniają wspólny konsularny plan ewentualnościowy dla każdego państwa trzeciego. Wspólny konsularny plan ewentualnościowy jest co roku </w:t>
            </w:r>
            <w:r w:rsidRPr="00DE4C22">
              <w:rPr>
                <w:b/>
                <w:i/>
              </w:rPr>
              <w:t>aktualizowany</w:t>
            </w:r>
            <w:r w:rsidRPr="00DE4C22">
              <w:t xml:space="preserve"> i zawiera:</w:t>
            </w:r>
          </w:p>
        </w:tc>
        <w:tc>
          <w:tcPr>
            <w:tcW w:w="4876" w:type="dxa"/>
          </w:tcPr>
          <w:p w:rsidR="00680E86" w:rsidRPr="00DE4C22" w:rsidRDefault="00DE4C22" w:rsidP="007D49CF">
            <w:pPr>
              <w:pStyle w:val="AmColumnHeading"/>
              <w:spacing w:after="120"/>
              <w:jc w:val="left"/>
            </w:pPr>
            <w:r w:rsidRPr="00DE4C22">
              <w:rPr>
                <w:i w:val="0"/>
              </w:rPr>
              <w:t>1.</w:t>
            </w:r>
            <w:r w:rsidRPr="00DE4C22">
              <w:rPr>
                <w:i w:val="0"/>
              </w:rPr>
              <w:tab/>
              <w:t>W</w:t>
            </w:r>
            <w:r w:rsidRPr="00DE4C22">
              <w:rPr>
                <w:i w:val="0"/>
              </w:rPr>
              <w:t xml:space="preserve"> kontekście lokalnej współpracy konsularnej, o której mowa w art. 12, państwa członkowskie i ESDZ opracowują i uzgadniają wspólny konsularny plan ewentualnościowy dla każdego państwa trzeciego. </w:t>
            </w:r>
            <w:r w:rsidRPr="00DE4C22">
              <w:t xml:space="preserve">Wspólny konsularny plan ewentualnościowy jest </w:t>
            </w:r>
            <w:r w:rsidRPr="00DE4C22">
              <w:rPr>
                <w:b/>
              </w:rPr>
              <w:t xml:space="preserve">aktualizowany </w:t>
            </w:r>
            <w:r w:rsidRPr="00DE4C22">
              <w:t>co</w:t>
            </w:r>
            <w:r w:rsidRPr="00DE4C22">
              <w:t xml:space="preserve"> roku </w:t>
            </w:r>
            <w:r w:rsidRPr="00DE4C22">
              <w:rPr>
                <w:b/>
              </w:rPr>
              <w:t>lub częściej, jeżeli wymagają tego nadzwyczajne okoliczności,</w:t>
            </w:r>
            <w:r w:rsidRPr="00DE4C22">
              <w:t xml:space="preserve"> i zawiera:</w:t>
            </w:r>
          </w:p>
        </w:tc>
      </w:tr>
    </w:tbl>
    <w:p w:rsidR="00680E86" w:rsidRPr="00DE4C22" w:rsidRDefault="00DE4C22" w:rsidP="00680E86">
      <w:r w:rsidRPr="00DE4C22">
        <w:rPr>
          <w:rStyle w:val="HideTWBExt"/>
        </w:rPr>
        <w:t>&lt;/Amend&gt;</w:t>
      </w:r>
    </w:p>
    <w:p w:rsidR="00680E86" w:rsidRPr="00DE4C22" w:rsidRDefault="00DE4C22" w:rsidP="00680E86">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20</w:t>
      </w:r>
      <w:r w:rsidRPr="00DE4C22">
        <w:rPr>
          <w:rStyle w:val="HideTWBExt"/>
        </w:rPr>
        <w:t>&lt;/NumAm&gt;</w:t>
      </w:r>
    </w:p>
    <w:p w:rsidR="00680E86" w:rsidRPr="00DE4C22" w:rsidRDefault="00DE4C22" w:rsidP="00680E86">
      <w:pPr>
        <w:pStyle w:val="NormalBold12b"/>
      </w:pPr>
      <w:r w:rsidRPr="00DE4C22">
        <w:rPr>
          <w:rStyle w:val="HideTWBExt"/>
        </w:rPr>
        <w:t>&lt;DocAmend&gt;</w:t>
      </w:r>
      <w:r w:rsidRPr="00DE4C22">
        <w:t>Wniosek dotyczący dyrektywy</w:t>
      </w:r>
      <w:r w:rsidRPr="00DE4C22">
        <w:rPr>
          <w:rStyle w:val="HideTWBExt"/>
        </w:rPr>
        <w:t>&lt;/DocAmend&gt;</w:t>
      </w:r>
    </w:p>
    <w:p w:rsidR="00680E86" w:rsidRPr="00DE4C22" w:rsidRDefault="00DE4C22" w:rsidP="00680E86">
      <w:pPr>
        <w:pStyle w:val="NormalBold"/>
      </w:pPr>
      <w:r w:rsidRPr="00DE4C22">
        <w:rPr>
          <w:rStyle w:val="HideTWBExt"/>
        </w:rPr>
        <w:lastRenderedPageBreak/>
        <w:t>&lt;Article&gt;</w:t>
      </w:r>
      <w:r w:rsidRPr="00DE4C22">
        <w:t>Artykuł 1 – akapit 1 – punkt 4</w:t>
      </w:r>
      <w:r w:rsidRPr="00DE4C22">
        <w:rPr>
          <w:rStyle w:val="HideTWBExt"/>
        </w:rPr>
        <w:t>&lt;/Article&gt;</w:t>
      </w:r>
    </w:p>
    <w:p w:rsidR="00680E86" w:rsidRPr="00DE4C22" w:rsidRDefault="00DE4C22" w:rsidP="00680E86">
      <w:r w:rsidRPr="00DE4C22">
        <w:rPr>
          <w:rStyle w:val="HideTWBExt"/>
        </w:rPr>
        <w:t>&lt;DocAmend2&gt;</w:t>
      </w:r>
      <w:r w:rsidRPr="00DE4C22">
        <w:t xml:space="preserve">Dyrektywa (UE) </w:t>
      </w:r>
      <w:r w:rsidRPr="00DE4C22">
        <w:t>2015/637</w:t>
      </w:r>
      <w:r w:rsidRPr="00DE4C22">
        <w:rPr>
          <w:rStyle w:val="HideTWBExt"/>
        </w:rPr>
        <w:t>&lt;/DocAmend2&gt;</w:t>
      </w:r>
    </w:p>
    <w:p w:rsidR="00680E86" w:rsidRPr="00DE4C22" w:rsidRDefault="00DE4C22" w:rsidP="00680E86">
      <w:r w:rsidRPr="00DE4C22">
        <w:rPr>
          <w:rStyle w:val="HideTWBExt"/>
        </w:rPr>
        <w:t>&lt;Article2&gt;</w:t>
      </w:r>
      <w:r w:rsidRPr="00DE4C22">
        <w:t>Artykuł 13 – ustęp 1 – litera a</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680E86" w:rsidRPr="00DE4C22" w:rsidRDefault="00680E86" w:rsidP="000549C0"/>
        </w:tc>
      </w:tr>
      <w:tr w:rsidR="006B17DB" w:rsidRPr="00DE4C22" w:rsidTr="000549C0">
        <w:trPr>
          <w:trHeight w:val="240"/>
          <w:jc w:val="center"/>
        </w:trPr>
        <w:tc>
          <w:tcPr>
            <w:tcW w:w="4876" w:type="dxa"/>
          </w:tcPr>
          <w:p w:rsidR="00680E86" w:rsidRPr="00DE4C22" w:rsidRDefault="00DE4C22" w:rsidP="000549C0">
            <w:pPr>
              <w:pStyle w:val="AmColumnHeading"/>
            </w:pPr>
            <w:r w:rsidRPr="00DE4C22">
              <w:t>Tekst proponowany przez Komisję</w:t>
            </w:r>
          </w:p>
        </w:tc>
        <w:tc>
          <w:tcPr>
            <w:tcW w:w="4876" w:type="dxa"/>
          </w:tcPr>
          <w:p w:rsidR="00680E86" w:rsidRPr="00DE4C22" w:rsidRDefault="00DE4C22" w:rsidP="000549C0">
            <w:pPr>
              <w:pStyle w:val="AmColumnHeading"/>
            </w:pPr>
            <w:r w:rsidRPr="00DE4C22">
              <w:t>Poprawka</w:t>
            </w:r>
          </w:p>
        </w:tc>
      </w:tr>
      <w:tr w:rsidR="006B17DB" w:rsidRPr="00DE4C22" w:rsidTr="000549C0">
        <w:trPr>
          <w:jc w:val="center"/>
        </w:trPr>
        <w:tc>
          <w:tcPr>
            <w:tcW w:w="4876" w:type="dxa"/>
          </w:tcPr>
          <w:p w:rsidR="00680E86" w:rsidRPr="00DE4C22" w:rsidRDefault="00DE4C22" w:rsidP="000549C0">
            <w:pPr>
              <w:pStyle w:val="Normal6a"/>
            </w:pPr>
            <w:r w:rsidRPr="00DE4C22">
              <w:t>a)</w:t>
            </w:r>
            <w:r w:rsidRPr="00DE4C22">
              <w:tab/>
              <w:t xml:space="preserve">analizę sytuacji konsularnej w danym państwie, w tym przegląd ambasad lub konsulatów państw członkowskich, szacunkową liczbę i miejsce </w:t>
            </w:r>
            <w:r w:rsidRPr="00DE4C22">
              <w:t>pobytu obywateli Unii oraz ocenę ryzyka w najbardziej prawdopodobnych scenariuszach mających wpływ na obywateli Unii;</w:t>
            </w:r>
          </w:p>
        </w:tc>
        <w:tc>
          <w:tcPr>
            <w:tcW w:w="4876" w:type="dxa"/>
          </w:tcPr>
          <w:p w:rsidR="00680E86" w:rsidRPr="00DE4C22" w:rsidRDefault="00DE4C22" w:rsidP="007D49CF">
            <w:pPr>
              <w:pStyle w:val="AmColumnHeading"/>
              <w:spacing w:after="120"/>
              <w:jc w:val="left"/>
            </w:pPr>
            <w:r w:rsidRPr="00DE4C22">
              <w:rPr>
                <w:i w:val="0"/>
              </w:rPr>
              <w:t>a)</w:t>
            </w:r>
            <w:r w:rsidRPr="00DE4C22">
              <w:rPr>
                <w:i w:val="0"/>
              </w:rPr>
              <w:tab/>
            </w:r>
            <w:r w:rsidRPr="00DE4C22">
              <w:t xml:space="preserve">analizę sytuacji konsularnej w danym państwie, w tym przegląd ambasad lub konsulatów państw członkowskich, szacunkową liczbę i miejsce </w:t>
            </w:r>
            <w:r w:rsidRPr="00DE4C22">
              <w:t>pobytu obywateli Unii oraz ocenę ryzyka w najbardziej prawdopodobnych scenariuszach mających wpływ na obywateli Unii</w:t>
            </w:r>
            <w:r w:rsidRPr="00DE4C22">
              <w:rPr>
                <w:b/>
              </w:rPr>
              <w:t>, takich jak m.in. zagrożenia o charakterze wojskowym, politycznym, przestępczym, zagrożenia dla zdrowia i klęski żywiołowe</w:t>
            </w:r>
            <w:r w:rsidRPr="00DE4C22">
              <w:t>;</w:t>
            </w:r>
          </w:p>
        </w:tc>
      </w:tr>
    </w:tbl>
    <w:p w:rsidR="00680E86" w:rsidRPr="00DE4C22" w:rsidRDefault="00DE4C22" w:rsidP="00680E86">
      <w:r w:rsidRPr="00DE4C22">
        <w:rPr>
          <w:rStyle w:val="HideTWBExt"/>
        </w:rPr>
        <w:t>&lt;/Amend&gt;</w:t>
      </w:r>
    </w:p>
    <w:p w:rsidR="00946566" w:rsidRPr="00DE4C22" w:rsidRDefault="00DE4C22" w:rsidP="00946566">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21</w:t>
      </w:r>
      <w:r w:rsidRPr="00DE4C22">
        <w:rPr>
          <w:rStyle w:val="HideTWBExt"/>
        </w:rPr>
        <w:t>&lt;/NumAm&gt;</w:t>
      </w:r>
    </w:p>
    <w:p w:rsidR="00946566" w:rsidRPr="00DE4C22" w:rsidRDefault="00DE4C22" w:rsidP="00946566">
      <w:pPr>
        <w:pStyle w:val="NormalBold12b"/>
      </w:pPr>
      <w:r w:rsidRPr="00DE4C22">
        <w:rPr>
          <w:rStyle w:val="HideTWBExt"/>
        </w:rPr>
        <w:t>&lt;DocAmend&gt;</w:t>
      </w:r>
      <w:r w:rsidRPr="00DE4C22">
        <w:t>Wniosek dotyczący dyrektywy</w:t>
      </w:r>
      <w:r w:rsidRPr="00DE4C22">
        <w:rPr>
          <w:rStyle w:val="HideTWBExt"/>
        </w:rPr>
        <w:t>&lt;/DocAmend&gt;</w:t>
      </w:r>
    </w:p>
    <w:p w:rsidR="00946566" w:rsidRPr="00DE4C22" w:rsidRDefault="00DE4C22" w:rsidP="00946566">
      <w:pPr>
        <w:pStyle w:val="NormalBold"/>
      </w:pPr>
      <w:r w:rsidRPr="00DE4C22">
        <w:rPr>
          <w:rStyle w:val="HideTWBExt"/>
        </w:rPr>
        <w:t>&lt;Article&gt;</w:t>
      </w:r>
      <w:r w:rsidRPr="00DE4C22">
        <w:t>Artykuł 1 – akapit 1 – punkt 4</w:t>
      </w:r>
      <w:r w:rsidRPr="00DE4C22">
        <w:rPr>
          <w:rStyle w:val="HideTWBExt"/>
        </w:rPr>
        <w:t>&lt;/Article&gt;</w:t>
      </w:r>
    </w:p>
    <w:p w:rsidR="00946566" w:rsidRPr="00DE4C22" w:rsidRDefault="00DE4C22" w:rsidP="00946566">
      <w:r w:rsidRPr="00DE4C22">
        <w:rPr>
          <w:rStyle w:val="HideTWBExt"/>
        </w:rPr>
        <w:t>&lt;DocAmend2&gt;</w:t>
      </w:r>
      <w:r w:rsidRPr="00DE4C22">
        <w:t>Dyrektywa (UE) 2015/637</w:t>
      </w:r>
      <w:r w:rsidRPr="00DE4C22">
        <w:rPr>
          <w:rStyle w:val="HideTWBExt"/>
        </w:rPr>
        <w:t>&lt;/DocAmend2&gt;</w:t>
      </w:r>
    </w:p>
    <w:p w:rsidR="00946566" w:rsidRPr="00DE4C22" w:rsidRDefault="00DE4C22" w:rsidP="00946566">
      <w:r w:rsidRPr="00DE4C22">
        <w:rPr>
          <w:rStyle w:val="HideTWBExt"/>
        </w:rPr>
        <w:t>&lt;Article2&gt;</w:t>
      </w:r>
      <w:r w:rsidRPr="00DE4C22">
        <w:t>Artykuł 13 – ustęp 2 – akapit 1</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946566" w:rsidRPr="00DE4C22" w:rsidRDefault="00946566" w:rsidP="000549C0"/>
        </w:tc>
      </w:tr>
      <w:tr w:rsidR="006B17DB" w:rsidRPr="00DE4C22" w:rsidTr="000549C0">
        <w:trPr>
          <w:trHeight w:val="240"/>
          <w:jc w:val="center"/>
        </w:trPr>
        <w:tc>
          <w:tcPr>
            <w:tcW w:w="4876" w:type="dxa"/>
          </w:tcPr>
          <w:p w:rsidR="00946566" w:rsidRPr="00DE4C22" w:rsidRDefault="00DE4C22" w:rsidP="000549C0">
            <w:pPr>
              <w:pStyle w:val="AmColumnHeading"/>
            </w:pPr>
            <w:r w:rsidRPr="00DE4C22">
              <w:t>Tekst proponowany pr</w:t>
            </w:r>
            <w:r w:rsidRPr="00DE4C22">
              <w:t>zez Komisję</w:t>
            </w:r>
          </w:p>
        </w:tc>
        <w:tc>
          <w:tcPr>
            <w:tcW w:w="4876" w:type="dxa"/>
          </w:tcPr>
          <w:p w:rsidR="00946566" w:rsidRPr="00DE4C22" w:rsidRDefault="00DE4C22" w:rsidP="000549C0">
            <w:pPr>
              <w:pStyle w:val="AmColumnHeading"/>
            </w:pPr>
            <w:r w:rsidRPr="00DE4C22">
              <w:t>Poprawka</w:t>
            </w:r>
          </w:p>
        </w:tc>
      </w:tr>
      <w:tr w:rsidR="006B17DB" w:rsidRPr="00DE4C22" w:rsidTr="000549C0">
        <w:trPr>
          <w:jc w:val="center"/>
        </w:trPr>
        <w:tc>
          <w:tcPr>
            <w:tcW w:w="4876" w:type="dxa"/>
          </w:tcPr>
          <w:p w:rsidR="00946566" w:rsidRPr="00DE4C22" w:rsidRDefault="00DE4C22" w:rsidP="000549C0">
            <w:pPr>
              <w:pStyle w:val="Normal6a"/>
            </w:pPr>
            <w:r w:rsidRPr="00DE4C22">
              <w:t xml:space="preserve">2. Delegatury Unii, o ile są obecne, koordynują tworzenie i uzgadnianie wspólnych konsularnych planów ewentualnościowych w oparciu o uwagi przekazane przez ambasady lub konsulaty państw członkowskich reprezentowanych w danym państwie </w:t>
            </w:r>
            <w:r w:rsidRPr="00DE4C22">
              <w:t xml:space="preserve">trzecim oraz organy konsularne niereprezentowanych państw członkowskich. Wspólne konsularne plany ewentualnościowe udostępnia się wszystkim państwom członkowskim, ESDZ i służbom Komisji. </w:t>
            </w:r>
          </w:p>
        </w:tc>
        <w:tc>
          <w:tcPr>
            <w:tcW w:w="4876" w:type="dxa"/>
          </w:tcPr>
          <w:p w:rsidR="00946566" w:rsidRPr="00DE4C22" w:rsidRDefault="00DE4C22" w:rsidP="007D49CF">
            <w:pPr>
              <w:pStyle w:val="AmColumnHeading"/>
              <w:spacing w:after="120"/>
              <w:jc w:val="left"/>
            </w:pPr>
            <w:r w:rsidRPr="00DE4C22">
              <w:rPr>
                <w:i w:val="0"/>
              </w:rPr>
              <w:t xml:space="preserve">2. Delegatury Unii, o ile są obecne, koordynują tworzenie </w:t>
            </w:r>
            <w:r w:rsidRPr="00DE4C22">
              <w:rPr>
                <w:i w:val="0"/>
              </w:rPr>
              <w:t>i uzgadnianie wspólnych konsularnych planów ewentualnościowych w oparciu o uwagi przekazane przez ambasady lub konsulaty państw członkowskich reprezentowanych w danym państwie trzecim oraz organy konsularne niereprezentowanych państw członkowskich.</w:t>
            </w:r>
            <w:r w:rsidRPr="00DE4C22">
              <w:rPr>
                <w:b/>
              </w:rPr>
              <w:t xml:space="preserve"> </w:t>
            </w:r>
            <w:r w:rsidRPr="00DE4C22">
              <w:rPr>
                <w:b/>
              </w:rPr>
              <w:t>W razie</w:t>
            </w:r>
            <w:r w:rsidRPr="00DE4C22">
              <w:rPr>
                <w:b/>
              </w:rPr>
              <w:t xml:space="preserve"> potrzeby może to obejmować współpracę z państwami trzecimi i organizacjami międzynarodowymi.</w:t>
            </w:r>
            <w:r w:rsidRPr="00DE4C22">
              <w:rPr>
                <w:b/>
              </w:rPr>
              <w:t xml:space="preserve"> </w:t>
            </w:r>
            <w:r w:rsidRPr="00DE4C22">
              <w:rPr>
                <w:i w:val="0"/>
              </w:rPr>
              <w:t>Wspólne konsularne plany ewentualnościowe udostępnia się wszystkim państwom członkowskim, ESDZ i służbom Komisji.</w:t>
            </w:r>
          </w:p>
        </w:tc>
      </w:tr>
    </w:tbl>
    <w:p w:rsidR="00946566" w:rsidRPr="00DE4C22" w:rsidRDefault="00DE4C22" w:rsidP="00946566">
      <w:r w:rsidRPr="00DE4C22">
        <w:rPr>
          <w:rStyle w:val="HideTWBExt"/>
        </w:rPr>
        <w:t>&lt;/Amend&gt;</w:t>
      </w:r>
    </w:p>
    <w:p w:rsidR="00E35335" w:rsidRPr="00DE4C22" w:rsidRDefault="00DE4C22" w:rsidP="00E35335">
      <w:pPr>
        <w:pStyle w:val="AmNumberTabs"/>
        <w:keepNext/>
      </w:pPr>
      <w:r w:rsidRPr="00DE4C22">
        <w:rPr>
          <w:rStyle w:val="HideTWBExt"/>
          <w:b w:val="0"/>
        </w:rPr>
        <w:lastRenderedPageBreak/>
        <w:t>&lt;Amend&gt;</w:t>
      </w:r>
      <w:r w:rsidRPr="00DE4C22">
        <w:t>Poprawka</w:t>
      </w:r>
      <w:r w:rsidRPr="00DE4C22">
        <w:tab/>
      </w:r>
      <w:r w:rsidRPr="00DE4C22">
        <w:tab/>
      </w:r>
      <w:r w:rsidRPr="00DE4C22">
        <w:rPr>
          <w:rStyle w:val="HideTWBExt"/>
          <w:b w:val="0"/>
        </w:rPr>
        <w:t>&lt;NumAm&gt;</w:t>
      </w:r>
      <w:r w:rsidRPr="00DE4C22">
        <w:t>22</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4</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Artykuł 13 – ustęp 5 a (nowy)</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2D3573">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 </w:t>
            </w:r>
          </w:p>
        </w:tc>
        <w:tc>
          <w:tcPr>
            <w:tcW w:w="4876" w:type="dxa"/>
          </w:tcPr>
          <w:p w:rsidR="00E35335" w:rsidRPr="00DE4C22" w:rsidRDefault="00DE4C22" w:rsidP="00577F8A">
            <w:pPr>
              <w:pStyle w:val="Normal6a"/>
              <w:rPr>
                <w:szCs w:val="24"/>
              </w:rPr>
            </w:pPr>
            <w:r w:rsidRPr="00DE4C22">
              <w:rPr>
                <w:b/>
                <w:i/>
              </w:rPr>
              <w:t>5a.</w:t>
            </w:r>
            <w:r w:rsidRPr="00DE4C22">
              <w:rPr>
                <w:b/>
                <w:i/>
              </w:rPr>
              <w:tab/>
              <w:t xml:space="preserve">Państwa </w:t>
            </w:r>
            <w:r w:rsidRPr="00DE4C22">
              <w:rPr>
                <w:b/>
                <w:i/>
              </w:rPr>
              <w:t>członkowskie podnoszą świadomość sytuacyjną delegatur Unii w państwach trzecich, w tym przez regularne dzielenie się zaktualizowanymi ocenami ryzyka i informacjami na temat możliwych zagrożeń dla bezpieczeństwa obywateli UE oraz przez wymianę informacji na</w:t>
            </w:r>
            <w:r w:rsidRPr="00DE4C22">
              <w:rPr>
                <w:b/>
                <w:i/>
              </w:rPr>
              <w:t xml:space="preserve"> temat zaleceń dla podróżnych.</w:t>
            </w:r>
          </w:p>
        </w:tc>
      </w:tr>
    </w:tbl>
    <w:p w:rsidR="00E35335" w:rsidRPr="00DE4C22" w:rsidRDefault="00DE4C22" w:rsidP="00E35335">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23</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4</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Artykuł 13 – ustęp 5 b (</w:t>
      </w:r>
      <w:r w:rsidRPr="00DE4C22">
        <w:t>nowy)</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2D3573">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 </w:t>
            </w:r>
          </w:p>
        </w:tc>
        <w:tc>
          <w:tcPr>
            <w:tcW w:w="4876" w:type="dxa"/>
          </w:tcPr>
          <w:p w:rsidR="00E35335" w:rsidRPr="00DE4C22" w:rsidRDefault="00DE4C22" w:rsidP="00577F8A">
            <w:pPr>
              <w:pStyle w:val="Normal6a"/>
              <w:rPr>
                <w:szCs w:val="24"/>
              </w:rPr>
            </w:pPr>
            <w:r w:rsidRPr="00DE4C22">
              <w:rPr>
                <w:b/>
                <w:i/>
              </w:rPr>
              <w:t>5b.</w:t>
            </w:r>
            <w:r w:rsidRPr="00DE4C22">
              <w:tab/>
            </w:r>
            <w:r w:rsidRPr="00DE4C22">
              <w:rPr>
                <w:b/>
                <w:i/>
              </w:rPr>
              <w:t xml:space="preserve">ESDZ, w ścisłej współpracy z państwami członkowskimi, oferuje urzędnikom unijnym oraz personelowi dyplomatycznemu i konsularnemu państw członkowskich szkolenia z gotowości, symulacji i </w:t>
            </w:r>
            <w:r w:rsidRPr="00DE4C22">
              <w:rPr>
                <w:b/>
                <w:i/>
              </w:rPr>
              <w:t>reagowania na sytuacje kryzysowe, służące poprawie ich umiejętności zarządzania kryzysowego i zdolności do oferowania pomocy obywatelom UE za granicą.</w:t>
            </w:r>
          </w:p>
        </w:tc>
      </w:tr>
    </w:tbl>
    <w:p w:rsidR="00E35335" w:rsidRPr="00DE4C22" w:rsidRDefault="00DE4C22" w:rsidP="00E35335">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24</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w:t>
      </w:r>
      <w:r w:rsidRPr="00DE4C22">
        <w:t>tykuł 1 – akapit 1 – punkt 5</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Artykuł 13 a – ustęp 2</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78423E">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3B0009">
            <w:pPr>
              <w:pStyle w:val="Normal6a"/>
            </w:pPr>
            <w:r w:rsidRPr="00DE4C22">
              <w:t>2.</w:t>
            </w:r>
            <w:r w:rsidRPr="00DE4C22">
              <w:tab/>
              <w:t xml:space="preserve">W razie potrzeby państwa członkowskie mogą być wspierane przez wspólne zespoły </w:t>
            </w:r>
            <w:r w:rsidRPr="00DE4C22">
              <w:t>konsularne składające się z ekspertów z państw członkowskich, w szczególności z państw członkowskich niereprezentowanych w państwie trzecim dotkniętym sytuacją kryzysową, przez ESDZ i służby Komisji. Wspólne zespoły konsularne są do dyspozycji w razie koni</w:t>
            </w:r>
            <w:r w:rsidRPr="00DE4C22">
              <w:t>eczności szybkiego rozmieszczenia w państwach trzecich dotkniętych kryzysem konsularnym.</w:t>
            </w:r>
          </w:p>
        </w:tc>
        <w:tc>
          <w:tcPr>
            <w:tcW w:w="4876" w:type="dxa"/>
          </w:tcPr>
          <w:p w:rsidR="00E35335" w:rsidRPr="00DE4C22" w:rsidRDefault="00DE4C22" w:rsidP="000549C0">
            <w:pPr>
              <w:pStyle w:val="Normal6a"/>
              <w:rPr>
                <w:szCs w:val="24"/>
              </w:rPr>
            </w:pPr>
            <w:r w:rsidRPr="00DE4C22">
              <w:t>2.</w:t>
            </w:r>
            <w:r w:rsidRPr="00DE4C22">
              <w:tab/>
              <w:t>W razie potrzeby państwa członkowskie mogą być wspierane przez wspólne zespoły konsularne składające się z ekspertów z państw członkowskich, w szczególności z państ</w:t>
            </w:r>
            <w:r w:rsidRPr="00DE4C22">
              <w:t>w członkowskich niereprezentowanych w państwie trzecim dotkniętym sytuacją kryzysową, przez ESDZ i służby Komisji. Wspólne zespoły konsularne są do dyspozycji w razie konieczności szybkiego rozmieszczenia w państwach trzecich dotkniętych kryzysem konsularn</w:t>
            </w:r>
            <w:r w:rsidRPr="00DE4C22">
              <w:t xml:space="preserve">ym. </w:t>
            </w:r>
            <w:r w:rsidRPr="00DE4C22">
              <w:rPr>
                <w:b/>
                <w:i/>
              </w:rPr>
              <w:t>ESDZ i Komisja wspierają gotowość tych ekspertów i wspólnych zespołów konsularnych.</w:t>
            </w:r>
          </w:p>
        </w:tc>
      </w:tr>
    </w:tbl>
    <w:p w:rsidR="00E35335" w:rsidRPr="00DE4C22" w:rsidRDefault="00DE4C22" w:rsidP="00E35335">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25</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5</w:t>
      </w:r>
      <w:r w:rsidRPr="00DE4C22">
        <w:rPr>
          <w:rStyle w:val="HideTWBExt"/>
          <w:b w:val="0"/>
        </w:rPr>
        <w:t>&lt;/Article&gt;</w:t>
      </w:r>
    </w:p>
    <w:p w:rsidR="00E35335" w:rsidRPr="00DE4C22" w:rsidRDefault="00DE4C22" w:rsidP="00E35335">
      <w:pPr>
        <w:keepNext/>
      </w:pPr>
      <w:r w:rsidRPr="00DE4C22">
        <w:rPr>
          <w:rStyle w:val="HideTWBExt"/>
        </w:rPr>
        <w:t>&lt;DocAmend2&gt;</w:t>
      </w:r>
      <w:r w:rsidRPr="00DE4C22">
        <w:t xml:space="preserve">Dyrektywa </w:t>
      </w:r>
      <w:r w:rsidRPr="00DE4C22">
        <w:t>(UE) 2015/637</w:t>
      </w:r>
      <w:r w:rsidRPr="00DE4C22">
        <w:rPr>
          <w:rStyle w:val="HideTWBExt"/>
        </w:rPr>
        <w:t>&lt;/DocAmend2&gt;</w:t>
      </w:r>
    </w:p>
    <w:p w:rsidR="00E35335" w:rsidRPr="00DE4C22" w:rsidRDefault="00DE4C22" w:rsidP="00E35335">
      <w:r w:rsidRPr="00DE4C22">
        <w:rPr>
          <w:rStyle w:val="HideTWBExt"/>
        </w:rPr>
        <w:t>&lt;Article2&gt;</w:t>
      </w:r>
      <w:r w:rsidRPr="00DE4C22">
        <w:t>Artykuł 13 a – ustęp 4</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78423E">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78423E">
            <w:pPr>
              <w:pStyle w:val="Normal6a"/>
            </w:pPr>
            <w:r w:rsidRPr="00DE4C22">
              <w:t>4.</w:t>
            </w:r>
            <w:r w:rsidRPr="00DE4C22">
              <w:tab/>
              <w:t xml:space="preserve">Udzielając pomocy, państwa członkowskie mogą </w:t>
            </w:r>
            <w:r w:rsidRPr="00DE4C22">
              <w:rPr>
                <w:b/>
                <w:i/>
              </w:rPr>
              <w:t>w stosownych przypadkach ubiegać się o </w:t>
            </w:r>
            <w:r w:rsidRPr="00DE4C22">
              <w:t>wsparcie z</w:t>
            </w:r>
            <w:r w:rsidRPr="00DE4C22">
              <w:rPr>
                <w:b/>
                <w:i/>
              </w:rPr>
              <w:t> </w:t>
            </w:r>
            <w:r w:rsidRPr="00DE4C22">
              <w:t xml:space="preserve">instrumentów unijnych, takich jak struktury </w:t>
            </w:r>
            <w:r w:rsidRPr="00DE4C22">
              <w:t>zarządzania kryzysowego ESDZ i</w:t>
            </w:r>
            <w:r w:rsidRPr="00DE4C22">
              <w:rPr>
                <w:b/>
                <w:i/>
              </w:rPr>
              <w:t> </w:t>
            </w:r>
            <w:r w:rsidRPr="00DE4C22">
              <w:t>jej Centrum Reagowania Kryzysowego</w:t>
            </w:r>
            <w:r w:rsidRPr="00DE4C22">
              <w:rPr>
                <w:b/>
                <w:i/>
              </w:rPr>
              <w:t xml:space="preserve"> oraz, za pośrednictwem</w:t>
            </w:r>
            <w:r w:rsidRPr="00DE4C22">
              <w:t xml:space="preserve"> Centrum Koordynacji Reagowania Kryzysowego </w:t>
            </w:r>
            <w:r w:rsidRPr="00DE4C22">
              <w:rPr>
                <w:b/>
                <w:i/>
              </w:rPr>
              <w:t>ustanowionego</w:t>
            </w:r>
            <w:r w:rsidRPr="00DE4C22">
              <w:t xml:space="preserve"> na mocy art.</w:t>
            </w:r>
            <w:r w:rsidRPr="00DE4C22">
              <w:rPr>
                <w:b/>
                <w:i/>
              </w:rPr>
              <w:t> </w:t>
            </w:r>
            <w:r w:rsidRPr="00DE4C22">
              <w:t>7 decyzji nr</w:t>
            </w:r>
            <w:r w:rsidRPr="00DE4C22">
              <w:rPr>
                <w:b/>
                <w:i/>
              </w:rPr>
              <w:t> </w:t>
            </w:r>
            <w:r w:rsidRPr="00DE4C22">
              <w:t xml:space="preserve">1313/2013/UE, </w:t>
            </w:r>
            <w:r w:rsidRPr="00DE4C22">
              <w:rPr>
                <w:b/>
                <w:i/>
              </w:rPr>
              <w:t>z Unijnego Mechanizmu</w:t>
            </w:r>
            <w:r w:rsidRPr="00DE4C22">
              <w:t xml:space="preserve"> Ochrony Ludności.</w:t>
            </w:r>
            <w:r w:rsidRPr="00DE4C22">
              <w:rPr>
                <w:b/>
                <w:i/>
              </w:rPr>
              <w:t>”;</w:t>
            </w:r>
          </w:p>
        </w:tc>
        <w:tc>
          <w:tcPr>
            <w:tcW w:w="4876" w:type="dxa"/>
          </w:tcPr>
          <w:p w:rsidR="00E35335" w:rsidRPr="00DE4C22" w:rsidRDefault="00DE4C22" w:rsidP="0078423E">
            <w:pPr>
              <w:pStyle w:val="Normal6a"/>
              <w:rPr>
                <w:szCs w:val="24"/>
              </w:rPr>
            </w:pPr>
            <w:r w:rsidRPr="00DE4C22">
              <w:t>4.</w:t>
            </w:r>
            <w:r w:rsidRPr="00DE4C22">
              <w:tab/>
              <w:t>Udzielając pomocy, państw</w:t>
            </w:r>
            <w:r w:rsidRPr="00DE4C22">
              <w:t xml:space="preserve">a członkowskie mogą </w:t>
            </w:r>
            <w:r w:rsidRPr="00DE4C22">
              <w:rPr>
                <w:b/>
                <w:i/>
              </w:rPr>
              <w:t xml:space="preserve">otrzymać </w:t>
            </w:r>
            <w:r w:rsidRPr="00DE4C22">
              <w:t>wsparcie z</w:t>
            </w:r>
            <w:r w:rsidRPr="00DE4C22">
              <w:rPr>
                <w:b/>
                <w:i/>
              </w:rPr>
              <w:t xml:space="preserve"> </w:t>
            </w:r>
            <w:r w:rsidRPr="00DE4C22">
              <w:t>instrumentów unijnych, takich jak struktury zarządzania kryzysowego ESDZ i</w:t>
            </w:r>
            <w:r w:rsidRPr="00DE4C22">
              <w:rPr>
                <w:b/>
                <w:i/>
              </w:rPr>
              <w:t xml:space="preserve"> </w:t>
            </w:r>
            <w:r w:rsidRPr="00DE4C22">
              <w:t>jej Centrum Reagowania Kryzysowego</w:t>
            </w:r>
            <w:r w:rsidRPr="00DE4C22">
              <w:rPr>
                <w:b/>
                <w:i/>
              </w:rPr>
              <w:t>. Państwa członkowskie mogą również zaangażować</w:t>
            </w:r>
            <w:r w:rsidRPr="00DE4C22">
              <w:t xml:space="preserve"> Centrum Koordynacji Reagowania Kryzysowego </w:t>
            </w:r>
            <w:r w:rsidRPr="00DE4C22">
              <w:rPr>
                <w:b/>
                <w:i/>
              </w:rPr>
              <w:t>ustanowione</w:t>
            </w:r>
            <w:r w:rsidRPr="00DE4C22">
              <w:t xml:space="preserve"> na m</w:t>
            </w:r>
            <w:r w:rsidRPr="00DE4C22">
              <w:t>ocy art.</w:t>
            </w:r>
            <w:r w:rsidRPr="00DE4C22">
              <w:rPr>
                <w:b/>
                <w:i/>
              </w:rPr>
              <w:t xml:space="preserve"> </w:t>
            </w:r>
            <w:r w:rsidRPr="00DE4C22">
              <w:t>7 decyzji nr</w:t>
            </w:r>
            <w:r w:rsidRPr="00DE4C22">
              <w:rPr>
                <w:b/>
                <w:i/>
              </w:rPr>
              <w:t xml:space="preserve"> </w:t>
            </w:r>
            <w:r w:rsidRPr="00DE4C22">
              <w:t xml:space="preserve">1313/2013/UE, </w:t>
            </w:r>
            <w:r w:rsidRPr="00DE4C22">
              <w:rPr>
                <w:b/>
                <w:i/>
              </w:rPr>
              <w:t>Unijny Mechanizm</w:t>
            </w:r>
            <w:r w:rsidRPr="00DE4C22">
              <w:t xml:space="preserve"> Ochrony Ludności</w:t>
            </w:r>
            <w:r w:rsidRPr="00DE4C22">
              <w:rPr>
                <w:b/>
                <w:i/>
              </w:rPr>
              <w:t xml:space="preserve"> oraz, w stosownych przypadkach, misje i operacje UE w ramach wspólnej polityki bezpieczeństwa i obrony, a także unijną zdolność szybkiego rozmieszczania, przewidzianą w Strategicznym kompasie na rzecz bezpieczeństwa i obrony</w:t>
            </w:r>
            <w:r w:rsidRPr="00DE4C22">
              <w:t>.</w:t>
            </w:r>
          </w:p>
        </w:tc>
      </w:tr>
    </w:tbl>
    <w:p w:rsidR="00E35335" w:rsidRPr="00DE4C22" w:rsidRDefault="00DE4C22" w:rsidP="00E35335">
      <w:r w:rsidRPr="00DE4C22">
        <w:rPr>
          <w:rStyle w:val="HideTWBExt"/>
        </w:rPr>
        <w:t>&lt;/Amend&gt;</w:t>
      </w:r>
    </w:p>
    <w:p w:rsidR="00E35335" w:rsidRPr="00DE4C22" w:rsidRDefault="00DE4C22" w:rsidP="00E35335">
      <w:pPr>
        <w:pStyle w:val="AmNumberTabs"/>
        <w:keepNext/>
      </w:pPr>
      <w:r w:rsidRPr="00DE4C22">
        <w:rPr>
          <w:rStyle w:val="HideTWBExt"/>
          <w:b w:val="0"/>
        </w:rPr>
        <w:lastRenderedPageBreak/>
        <w:t>&lt;Amend&gt;</w:t>
      </w:r>
      <w:r w:rsidRPr="00DE4C22">
        <w:t>Poprawka</w:t>
      </w:r>
      <w:r w:rsidRPr="00DE4C22">
        <w:tab/>
      </w:r>
      <w:r w:rsidRPr="00DE4C22">
        <w:tab/>
      </w:r>
      <w:r w:rsidRPr="00DE4C22">
        <w:rPr>
          <w:rStyle w:val="HideTWBExt"/>
          <w:b w:val="0"/>
        </w:rPr>
        <w:t>&lt;N</w:t>
      </w:r>
      <w:r w:rsidRPr="00DE4C22">
        <w:rPr>
          <w:rStyle w:val="HideTWBExt"/>
          <w:b w:val="0"/>
        </w:rPr>
        <w:t>umAm&gt;</w:t>
      </w:r>
      <w:r w:rsidRPr="00DE4C22">
        <w:t>26</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6</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Rozdział 2a – Artykuł 13b – ustęp 1 – wprowadzenie</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6F3B42">
            <w:pPr>
              <w:pStyle w:val="AmColumnHeading"/>
              <w:keepNext/>
            </w:pPr>
            <w:r w:rsidRPr="00DE4C22">
              <w:t>Tekst proponowany pr</w:t>
            </w:r>
            <w:r w:rsidRPr="00DE4C22">
              <w:t>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6F3B42">
            <w:pPr>
              <w:pStyle w:val="Normal6a"/>
            </w:pPr>
            <w:r w:rsidRPr="00DE4C22">
              <w:t>1.</w:t>
            </w:r>
            <w:r w:rsidRPr="00DE4C22">
              <w:tab/>
              <w:t xml:space="preserve">Co najmniej raz w roku państwa członkowskie przekazują </w:t>
            </w:r>
            <w:r w:rsidRPr="00DE4C22">
              <w:rPr>
                <w:b/>
                <w:i/>
              </w:rPr>
              <w:t>Komisji i Wysokiemu Przedstawicielowi Unii do Spraw Zagranicznych</w:t>
            </w:r>
            <w:r w:rsidRPr="00DE4C22">
              <w:t xml:space="preserve"> i</w:t>
            </w:r>
            <w:r w:rsidRPr="00DE4C22">
              <w:rPr>
                <w:b/>
                <w:i/>
              </w:rPr>
              <w:t> Polityki Bezpieczeństwa</w:t>
            </w:r>
            <w:r w:rsidRPr="00DE4C22">
              <w:t xml:space="preserve"> następujące informacje:</w:t>
            </w:r>
          </w:p>
        </w:tc>
        <w:tc>
          <w:tcPr>
            <w:tcW w:w="4876" w:type="dxa"/>
          </w:tcPr>
          <w:p w:rsidR="00E35335" w:rsidRPr="00DE4C22" w:rsidRDefault="00DE4C22" w:rsidP="006F3B42">
            <w:pPr>
              <w:pStyle w:val="Normal6a"/>
              <w:rPr>
                <w:szCs w:val="24"/>
              </w:rPr>
            </w:pPr>
            <w:r w:rsidRPr="00DE4C22">
              <w:t>1.</w:t>
            </w:r>
            <w:r w:rsidRPr="00DE4C22">
              <w:tab/>
              <w:t xml:space="preserve">Co najmniej raz w roku państwa członkowskie przekazują </w:t>
            </w:r>
            <w:r w:rsidRPr="00DE4C22">
              <w:rPr>
                <w:b/>
                <w:i/>
              </w:rPr>
              <w:t>ESDZ</w:t>
            </w:r>
            <w:r w:rsidRPr="00DE4C22">
              <w:t xml:space="preserve"> i</w:t>
            </w:r>
            <w:r w:rsidRPr="00DE4C22">
              <w:rPr>
                <w:b/>
                <w:i/>
              </w:rPr>
              <w:t xml:space="preserve"> Komisji</w:t>
            </w:r>
            <w:r w:rsidRPr="00DE4C22">
              <w:t xml:space="preserve"> następujące informacje:</w:t>
            </w:r>
          </w:p>
        </w:tc>
      </w:tr>
    </w:tbl>
    <w:p w:rsidR="00E35335" w:rsidRPr="00DE4C22" w:rsidRDefault="00DE4C22" w:rsidP="00E35335">
      <w:r w:rsidRPr="00DE4C22">
        <w:rPr>
          <w:rStyle w:val="HideTWBExt"/>
        </w:rPr>
        <w:t>&lt;/Amend&gt;</w:t>
      </w:r>
    </w:p>
    <w:p w:rsidR="000549C0" w:rsidRPr="00DE4C22" w:rsidRDefault="00DE4C22" w:rsidP="000549C0">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27</w:t>
      </w:r>
      <w:r w:rsidRPr="00DE4C22">
        <w:rPr>
          <w:rStyle w:val="HideTWBExt"/>
        </w:rPr>
        <w:t>&lt;/NumAm&gt;</w:t>
      </w:r>
    </w:p>
    <w:p w:rsidR="000549C0" w:rsidRPr="00DE4C22" w:rsidRDefault="00DE4C22" w:rsidP="000549C0">
      <w:pPr>
        <w:pStyle w:val="NormalBold12b"/>
      </w:pPr>
      <w:r w:rsidRPr="00DE4C22">
        <w:rPr>
          <w:rStyle w:val="HideTWBExt"/>
        </w:rPr>
        <w:t>&lt;DocAmend&gt;</w:t>
      </w:r>
      <w:r w:rsidRPr="00DE4C22">
        <w:t>Wniosek dotyczący dyrektywy</w:t>
      </w:r>
      <w:r w:rsidRPr="00DE4C22">
        <w:rPr>
          <w:rStyle w:val="HideTWBExt"/>
        </w:rPr>
        <w:t>&lt;/DocAmend&gt;</w:t>
      </w:r>
    </w:p>
    <w:p w:rsidR="000549C0" w:rsidRPr="00DE4C22" w:rsidRDefault="00DE4C22" w:rsidP="000549C0">
      <w:pPr>
        <w:pStyle w:val="NormalBold"/>
      </w:pPr>
      <w:r w:rsidRPr="00DE4C22">
        <w:rPr>
          <w:rStyle w:val="HideTWBExt"/>
        </w:rPr>
        <w:t>&lt;Article&gt;</w:t>
      </w:r>
      <w:r w:rsidRPr="00DE4C22">
        <w:t>Artykuł 1 – akapit 1 – punkt 6</w:t>
      </w:r>
      <w:r w:rsidRPr="00DE4C22">
        <w:rPr>
          <w:rStyle w:val="HideTWBExt"/>
        </w:rPr>
        <w:t>&lt;/Article&gt;</w:t>
      </w:r>
    </w:p>
    <w:p w:rsidR="000549C0" w:rsidRPr="00DE4C22" w:rsidRDefault="00DE4C22" w:rsidP="000549C0">
      <w:r w:rsidRPr="00DE4C22">
        <w:rPr>
          <w:rStyle w:val="HideTWBExt"/>
        </w:rPr>
        <w:t>&lt;DocAmend2&gt;</w:t>
      </w:r>
      <w:r w:rsidRPr="00DE4C22">
        <w:t>Dyrektywa (UE) 2015/637</w:t>
      </w:r>
      <w:r w:rsidRPr="00DE4C22">
        <w:rPr>
          <w:rStyle w:val="HideTWBExt"/>
        </w:rPr>
        <w:t>&lt;/DocAmend2&gt;</w:t>
      </w:r>
    </w:p>
    <w:p w:rsidR="000549C0" w:rsidRPr="00DE4C22" w:rsidRDefault="00DE4C22" w:rsidP="000549C0">
      <w:r w:rsidRPr="00DE4C22">
        <w:rPr>
          <w:rStyle w:val="HideTWBExt"/>
        </w:rPr>
        <w:t>&lt;Article2&gt;</w:t>
      </w:r>
      <w:r w:rsidRPr="00DE4C22">
        <w:t>Rozdział 2a – ar</w:t>
      </w:r>
      <w:r w:rsidRPr="00DE4C22">
        <w:t>tykuł 13b – ustęp 2</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0549C0">
        <w:trPr>
          <w:trHeight w:hRule="exact" w:val="240"/>
          <w:jc w:val="center"/>
        </w:trPr>
        <w:tc>
          <w:tcPr>
            <w:tcW w:w="9752" w:type="dxa"/>
            <w:gridSpan w:val="2"/>
          </w:tcPr>
          <w:p w:rsidR="000549C0" w:rsidRPr="00DE4C22" w:rsidRDefault="000549C0" w:rsidP="000549C0"/>
        </w:tc>
      </w:tr>
      <w:tr w:rsidR="006B17DB" w:rsidRPr="00DE4C22" w:rsidTr="000549C0">
        <w:trPr>
          <w:trHeight w:val="240"/>
          <w:jc w:val="center"/>
        </w:trPr>
        <w:tc>
          <w:tcPr>
            <w:tcW w:w="4876" w:type="dxa"/>
          </w:tcPr>
          <w:p w:rsidR="000549C0" w:rsidRPr="00DE4C22" w:rsidRDefault="00DE4C22" w:rsidP="000549C0">
            <w:pPr>
              <w:pStyle w:val="AmColumnHeading"/>
            </w:pPr>
            <w:r w:rsidRPr="00DE4C22">
              <w:t>Tekst proponowany przez Komisję</w:t>
            </w:r>
          </w:p>
        </w:tc>
        <w:tc>
          <w:tcPr>
            <w:tcW w:w="4876" w:type="dxa"/>
          </w:tcPr>
          <w:p w:rsidR="000549C0" w:rsidRPr="00DE4C22" w:rsidRDefault="00DE4C22" w:rsidP="000549C0">
            <w:pPr>
              <w:pStyle w:val="AmColumnHeading"/>
            </w:pPr>
            <w:r w:rsidRPr="00DE4C22">
              <w:t>Poprawka</w:t>
            </w:r>
          </w:p>
        </w:tc>
      </w:tr>
      <w:tr w:rsidR="006B17DB" w:rsidRPr="00DE4C22" w:rsidTr="000549C0">
        <w:trPr>
          <w:jc w:val="center"/>
        </w:trPr>
        <w:tc>
          <w:tcPr>
            <w:tcW w:w="4876" w:type="dxa"/>
          </w:tcPr>
          <w:p w:rsidR="000549C0" w:rsidRPr="00DE4C22" w:rsidRDefault="00DE4C22" w:rsidP="000549C0">
            <w:pPr>
              <w:pStyle w:val="Normal6a"/>
            </w:pPr>
            <w:r w:rsidRPr="00DE4C22">
              <w:t>2.</w:t>
            </w:r>
            <w:r w:rsidRPr="00DE4C22">
              <w:tab/>
              <w:t xml:space="preserve">Państwa członkowskie, służby Komisji i ESDZ podają do wiadomości publicznej informacje, o których mowa w ust. 1 lit. a), b) i </w:t>
            </w:r>
            <w:r w:rsidRPr="00DE4C22">
              <w:rPr>
                <w:b/>
                <w:i/>
              </w:rPr>
              <w:t>c</w:t>
            </w:r>
            <w:r w:rsidRPr="00DE4C22">
              <w:t xml:space="preserve">), w sposób gwarantujący spójność przekazywanych </w:t>
            </w:r>
            <w:r w:rsidRPr="00DE4C22">
              <w:t>informacji.</w:t>
            </w:r>
          </w:p>
        </w:tc>
        <w:tc>
          <w:tcPr>
            <w:tcW w:w="4876" w:type="dxa"/>
          </w:tcPr>
          <w:p w:rsidR="000549C0" w:rsidRPr="00DE4C22" w:rsidRDefault="00DE4C22" w:rsidP="007D49CF">
            <w:pPr>
              <w:pStyle w:val="AmColumnHeading"/>
              <w:spacing w:after="120"/>
              <w:jc w:val="left"/>
            </w:pPr>
            <w:r w:rsidRPr="00DE4C22">
              <w:rPr>
                <w:i w:val="0"/>
              </w:rPr>
              <w:t>2.</w:t>
            </w:r>
            <w:r w:rsidRPr="00DE4C22">
              <w:rPr>
                <w:i w:val="0"/>
              </w:rPr>
              <w:tab/>
            </w:r>
            <w:r w:rsidRPr="00DE4C22">
              <w:t>Państwa członkowskie, służby Komisji i ESDZ podają do wiadomości publicznej informacje, o których mowa w ust. 1 lit. a), b)</w:t>
            </w:r>
            <w:r w:rsidRPr="00DE4C22">
              <w:rPr>
                <w:b/>
              </w:rPr>
              <w:t>, c)</w:t>
            </w:r>
            <w:r w:rsidRPr="00DE4C22">
              <w:t xml:space="preserve"> i </w:t>
            </w:r>
            <w:r w:rsidRPr="00DE4C22">
              <w:rPr>
                <w:b/>
              </w:rPr>
              <w:t>d</w:t>
            </w:r>
            <w:r w:rsidRPr="00DE4C22">
              <w:t>), w sposób gwarantujący spójność przekazywanych informacji.</w:t>
            </w:r>
          </w:p>
        </w:tc>
      </w:tr>
    </w:tbl>
    <w:p w:rsidR="000549C0" w:rsidRPr="00DE4C22" w:rsidRDefault="00DE4C22" w:rsidP="000549C0">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28</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6</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Rozdział 2a – Artykuł 13c – ustęp 1 – wprowadzenie</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6F3B42">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w:t>
            </w:r>
            <w:r w:rsidRPr="00DE4C22">
              <w:t>awka</w:t>
            </w:r>
          </w:p>
        </w:tc>
      </w:tr>
      <w:tr w:rsidR="006B17DB" w:rsidRPr="00DE4C22" w:rsidTr="0004333E">
        <w:trPr>
          <w:jc w:val="center"/>
        </w:trPr>
        <w:tc>
          <w:tcPr>
            <w:tcW w:w="4876" w:type="dxa"/>
          </w:tcPr>
          <w:p w:rsidR="006F3B42" w:rsidRPr="00DE4C22" w:rsidRDefault="00DE4C22" w:rsidP="006F3B42">
            <w:pPr>
              <w:pStyle w:val="Normal6a"/>
            </w:pPr>
            <w:r w:rsidRPr="00DE4C22">
              <w:t>1.</w:t>
            </w:r>
            <w:r w:rsidRPr="00DE4C22">
              <w:tab/>
              <w:t>Państwa członkowskie podejmują działania, aby informować swoich obywateli o ich prawie określonym w art. 20 ust. 2 lit. c) TFUE</w:t>
            </w:r>
            <w:r w:rsidRPr="00DE4C22">
              <w:rPr>
                <w:b/>
                <w:i/>
              </w:rPr>
              <w:t>.Działania te mogą polegać w </w:t>
            </w:r>
            <w:r w:rsidRPr="00DE4C22">
              <w:t>szczególności na:</w:t>
            </w:r>
          </w:p>
          <w:p w:rsidR="00E35335" w:rsidRPr="00DE4C22" w:rsidRDefault="00E35335" w:rsidP="006F3B42">
            <w:pPr>
              <w:pStyle w:val="Normal6a"/>
            </w:pPr>
          </w:p>
        </w:tc>
        <w:tc>
          <w:tcPr>
            <w:tcW w:w="4876" w:type="dxa"/>
          </w:tcPr>
          <w:p w:rsidR="00E35335" w:rsidRPr="00DE4C22" w:rsidRDefault="00DE4C22" w:rsidP="006F3B42">
            <w:pPr>
              <w:pStyle w:val="Normal6a"/>
            </w:pPr>
            <w:r w:rsidRPr="00DE4C22">
              <w:t>1.</w:t>
            </w:r>
            <w:r w:rsidRPr="00DE4C22">
              <w:tab/>
              <w:t xml:space="preserve">Państwa członkowskie podejmują działania, aby informować swoich </w:t>
            </w:r>
            <w:r w:rsidRPr="00DE4C22">
              <w:t>obywateli o ich prawie określonym w art. 20 ust. 2 lit. c) TFUE</w:t>
            </w:r>
            <w:r w:rsidRPr="00DE4C22">
              <w:rPr>
                <w:b/>
                <w:i/>
              </w:rPr>
              <w:t xml:space="preserve">, polegające w </w:t>
            </w:r>
            <w:r w:rsidRPr="00DE4C22">
              <w:t>szczególności na:</w:t>
            </w:r>
          </w:p>
        </w:tc>
      </w:tr>
    </w:tbl>
    <w:p w:rsidR="00E35335" w:rsidRPr="00DE4C22" w:rsidRDefault="00DE4C22" w:rsidP="00E35335">
      <w:r w:rsidRPr="00DE4C22">
        <w:rPr>
          <w:rStyle w:val="HideTWBExt"/>
        </w:rPr>
        <w:lastRenderedPageBreak/>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29</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6</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w:t>
      </w:r>
      <w:r w:rsidRPr="00DE4C22">
        <w:t>tywa (UE) 2015/637</w:t>
      </w:r>
      <w:r w:rsidRPr="00DE4C22">
        <w:rPr>
          <w:rStyle w:val="HideTWBExt"/>
        </w:rPr>
        <w:t>&lt;/DocAmend2&gt;</w:t>
      </w:r>
    </w:p>
    <w:p w:rsidR="00E35335" w:rsidRPr="00DE4C22" w:rsidRDefault="00DE4C22" w:rsidP="00E35335">
      <w:r w:rsidRPr="00DE4C22">
        <w:rPr>
          <w:rStyle w:val="HideTWBExt"/>
        </w:rPr>
        <w:t>&lt;Article2&gt;</w:t>
      </w:r>
      <w:r w:rsidRPr="00DE4C22">
        <w:t>Rozdział 2a – Artykuł 13c – ustęp 1 – wprowadzenie – litera a</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6F3B42">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rPr>
                <w:b/>
                <w:i/>
              </w:rPr>
              <w:t>a)</w:t>
            </w:r>
            <w:r w:rsidRPr="00DE4C22">
              <w:rPr>
                <w:b/>
                <w:i/>
              </w:rPr>
              <w:tab/>
              <w:t>zamieszczaniu pierwszego zdania art. 23 TFUE w paszportach krajowych;</w:t>
            </w:r>
          </w:p>
        </w:tc>
        <w:tc>
          <w:tcPr>
            <w:tcW w:w="4876" w:type="dxa"/>
          </w:tcPr>
          <w:p w:rsidR="00E35335" w:rsidRPr="00DE4C22" w:rsidRDefault="00DE4C22" w:rsidP="0004333E">
            <w:pPr>
              <w:pStyle w:val="Normal6a"/>
              <w:rPr>
                <w:b/>
                <w:i/>
                <w:szCs w:val="24"/>
              </w:rPr>
            </w:pPr>
            <w:r w:rsidRPr="00DE4C22">
              <w:rPr>
                <w:b/>
                <w:i/>
              </w:rPr>
              <w:t>skreśla się</w:t>
            </w:r>
          </w:p>
        </w:tc>
      </w:tr>
    </w:tbl>
    <w:p w:rsidR="00E35335" w:rsidRPr="00DE4C22" w:rsidRDefault="00DE4C22" w:rsidP="00E35335">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30</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Artykuł 1 – akapit 1 – punkt 6</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Rozdział 2a – Artykuł 13c – ustęp 1 – wprowadzenie – litera c a (</w:t>
      </w:r>
      <w:r w:rsidRPr="00DE4C22">
        <w:t>nowa)</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F8696F">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 </w:t>
            </w:r>
          </w:p>
        </w:tc>
        <w:tc>
          <w:tcPr>
            <w:tcW w:w="4876" w:type="dxa"/>
          </w:tcPr>
          <w:p w:rsidR="00E35335" w:rsidRPr="00DE4C22" w:rsidRDefault="00DE4C22" w:rsidP="0004333E">
            <w:pPr>
              <w:pStyle w:val="Normal6a"/>
              <w:rPr>
                <w:szCs w:val="24"/>
              </w:rPr>
            </w:pPr>
            <w:r w:rsidRPr="00DE4C22">
              <w:rPr>
                <w:b/>
                <w:i/>
              </w:rPr>
              <w:t>ca)</w:t>
            </w:r>
            <w:r w:rsidRPr="00DE4C22">
              <w:rPr>
                <w:b/>
                <w:i/>
              </w:rPr>
              <w:tab/>
              <w:t>opracowaniu automatycznych systemów powiadamiania, np. w formie SMS-ów za pośrednictwem sieci telefonicznych, w celu zapewnienia wszystkim obywatelom UE podstawowych informacji kontaktowych</w:t>
            </w:r>
            <w:r w:rsidRPr="00DE4C22">
              <w:rPr>
                <w:b/>
                <w:i/>
              </w:rPr>
              <w:t xml:space="preserve"> dotyczących ochrony konsularnej po przybyciu do państwa trzeciego, a także komunikatów ostrzegawczych w przypadku kryzysu;</w:t>
            </w:r>
          </w:p>
        </w:tc>
      </w:tr>
      <w:tr w:rsidR="006B17DB" w:rsidRPr="00DE4C22" w:rsidTr="0004333E">
        <w:trPr>
          <w:jc w:val="center"/>
        </w:trPr>
        <w:tc>
          <w:tcPr>
            <w:tcW w:w="4876" w:type="dxa"/>
          </w:tcPr>
          <w:p w:rsidR="00F8696F" w:rsidRPr="00DE4C22" w:rsidRDefault="00F8696F" w:rsidP="0004333E">
            <w:pPr>
              <w:pStyle w:val="Normal6a"/>
            </w:pPr>
          </w:p>
        </w:tc>
        <w:tc>
          <w:tcPr>
            <w:tcW w:w="4876" w:type="dxa"/>
          </w:tcPr>
          <w:p w:rsidR="00F8696F" w:rsidRPr="00DE4C22" w:rsidRDefault="00F8696F" w:rsidP="000549C0">
            <w:pPr>
              <w:pStyle w:val="Normal6a"/>
              <w:rPr>
                <w:b/>
                <w:i/>
              </w:rPr>
            </w:pPr>
          </w:p>
        </w:tc>
      </w:tr>
    </w:tbl>
    <w:p w:rsidR="00E35335" w:rsidRPr="00DE4C22" w:rsidRDefault="00DE4C22" w:rsidP="00E35335">
      <w:r w:rsidRPr="00DE4C22">
        <w:rPr>
          <w:rStyle w:val="HideTWBExt"/>
        </w:rPr>
        <w:t>&lt;/Amend&gt;</w:t>
      </w:r>
    </w:p>
    <w:p w:rsidR="000549C0" w:rsidRPr="00DE4C22" w:rsidRDefault="00DE4C22" w:rsidP="000549C0">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31</w:t>
      </w:r>
      <w:r w:rsidRPr="00DE4C22">
        <w:rPr>
          <w:rStyle w:val="HideTWBExt"/>
          <w:b w:val="0"/>
        </w:rPr>
        <w:t>&lt;/NumAm&gt;</w:t>
      </w:r>
    </w:p>
    <w:p w:rsidR="000549C0" w:rsidRPr="00DE4C22" w:rsidRDefault="00DE4C22" w:rsidP="000549C0">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0549C0" w:rsidRPr="00DE4C22" w:rsidRDefault="00DE4C22" w:rsidP="000549C0">
      <w:pPr>
        <w:pStyle w:val="NormalBold"/>
        <w:keepNext/>
      </w:pPr>
      <w:r w:rsidRPr="00DE4C22">
        <w:rPr>
          <w:rStyle w:val="HideTWBExt"/>
          <w:b w:val="0"/>
        </w:rPr>
        <w:t>&lt;Article&gt;</w:t>
      </w:r>
      <w:r w:rsidRPr="00DE4C22">
        <w:t xml:space="preserve">Artykuł 1 – akapit 1 – </w:t>
      </w:r>
      <w:r w:rsidRPr="00DE4C22">
        <w:t>punkt 6</w:t>
      </w:r>
      <w:r w:rsidRPr="00DE4C22">
        <w:rPr>
          <w:rStyle w:val="HideTWBExt"/>
          <w:b w:val="0"/>
        </w:rPr>
        <w:t>&lt;/Article&gt;</w:t>
      </w:r>
    </w:p>
    <w:p w:rsidR="000549C0" w:rsidRPr="00DE4C22" w:rsidRDefault="00DE4C22" w:rsidP="000549C0">
      <w:pPr>
        <w:keepNext/>
      </w:pPr>
      <w:r w:rsidRPr="00DE4C22">
        <w:rPr>
          <w:rStyle w:val="HideTWBExt"/>
        </w:rPr>
        <w:t>&lt;DocAmend2&gt;</w:t>
      </w:r>
      <w:r w:rsidRPr="00DE4C22">
        <w:t>Dyrektywa (UE) 2015/637</w:t>
      </w:r>
      <w:r w:rsidRPr="00DE4C22">
        <w:rPr>
          <w:rStyle w:val="HideTWBExt"/>
        </w:rPr>
        <w:t>&lt;/DocAmend2&gt;</w:t>
      </w:r>
    </w:p>
    <w:p w:rsidR="000549C0" w:rsidRPr="00DE4C22" w:rsidRDefault="00DE4C22" w:rsidP="000549C0">
      <w:r w:rsidRPr="00DE4C22">
        <w:rPr>
          <w:rStyle w:val="HideTWBExt"/>
        </w:rPr>
        <w:t>&lt;Article2&gt;</w:t>
      </w:r>
      <w:r w:rsidRPr="00DE4C22">
        <w:t>Rozdział 2a – Artykuł 13c – ustęp 1 – wprowadzenie – litera c b (nowa)</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549C0">
        <w:trPr>
          <w:jc w:val="center"/>
        </w:trPr>
        <w:tc>
          <w:tcPr>
            <w:tcW w:w="9752" w:type="dxa"/>
            <w:gridSpan w:val="2"/>
          </w:tcPr>
          <w:p w:rsidR="000549C0" w:rsidRPr="00DE4C22" w:rsidRDefault="000549C0" w:rsidP="000549C0">
            <w:pPr>
              <w:keepNext/>
            </w:pPr>
          </w:p>
        </w:tc>
      </w:tr>
      <w:tr w:rsidR="006B17DB" w:rsidRPr="00DE4C22" w:rsidTr="000549C0">
        <w:trPr>
          <w:jc w:val="center"/>
        </w:trPr>
        <w:tc>
          <w:tcPr>
            <w:tcW w:w="4876" w:type="dxa"/>
          </w:tcPr>
          <w:p w:rsidR="000549C0" w:rsidRPr="00DE4C22" w:rsidRDefault="00DE4C22" w:rsidP="000549C0">
            <w:pPr>
              <w:pStyle w:val="AmColumnHeading"/>
              <w:keepNext/>
            </w:pPr>
            <w:r w:rsidRPr="00DE4C22">
              <w:t>Tekst proponowany przez Komisję</w:t>
            </w:r>
          </w:p>
        </w:tc>
        <w:tc>
          <w:tcPr>
            <w:tcW w:w="4876" w:type="dxa"/>
          </w:tcPr>
          <w:p w:rsidR="000549C0" w:rsidRPr="00DE4C22" w:rsidRDefault="00DE4C22" w:rsidP="000549C0">
            <w:pPr>
              <w:pStyle w:val="AmColumnHeading"/>
              <w:keepNext/>
            </w:pPr>
            <w:r w:rsidRPr="00DE4C22">
              <w:t>Poprawka</w:t>
            </w:r>
          </w:p>
        </w:tc>
      </w:tr>
      <w:tr w:rsidR="006B17DB" w:rsidRPr="00DE4C22" w:rsidTr="000549C0">
        <w:trPr>
          <w:jc w:val="center"/>
        </w:trPr>
        <w:tc>
          <w:tcPr>
            <w:tcW w:w="4876" w:type="dxa"/>
          </w:tcPr>
          <w:p w:rsidR="000549C0" w:rsidRPr="00DE4C22" w:rsidRDefault="000549C0" w:rsidP="000549C0">
            <w:pPr>
              <w:pStyle w:val="Normal6a"/>
            </w:pPr>
          </w:p>
        </w:tc>
        <w:tc>
          <w:tcPr>
            <w:tcW w:w="4876" w:type="dxa"/>
          </w:tcPr>
          <w:p w:rsidR="000549C0" w:rsidRPr="00DE4C22" w:rsidRDefault="00DE4C22" w:rsidP="00500FB8">
            <w:pPr>
              <w:pStyle w:val="Normal6a"/>
              <w:rPr>
                <w:b/>
                <w:i/>
              </w:rPr>
            </w:pPr>
            <w:r w:rsidRPr="00DE4C22">
              <w:rPr>
                <w:b/>
                <w:i/>
              </w:rPr>
              <w:t>cb)</w:t>
            </w:r>
            <w:r w:rsidRPr="00DE4C22">
              <w:rPr>
                <w:b/>
                <w:i/>
              </w:rPr>
              <w:tab/>
              <w:t>ponadto państwa członkowskie zamieszczają pierwsze</w:t>
            </w:r>
            <w:r w:rsidRPr="00DE4C22">
              <w:rPr>
                <w:b/>
                <w:i/>
              </w:rPr>
              <w:t xml:space="preserve"> zdanie art. 23 TFUE w paszportach krajowych.</w:t>
            </w:r>
          </w:p>
        </w:tc>
      </w:tr>
    </w:tbl>
    <w:p w:rsidR="000549C0" w:rsidRPr="00DE4C22" w:rsidRDefault="00DE4C22" w:rsidP="000549C0">
      <w:r w:rsidRPr="00DE4C22">
        <w:rPr>
          <w:rStyle w:val="HideTWBExt"/>
        </w:rPr>
        <w:lastRenderedPageBreak/>
        <w:t>&lt;/Amend&gt;</w:t>
      </w:r>
    </w:p>
    <w:p w:rsidR="00500FB8" w:rsidRPr="00DE4C22" w:rsidRDefault="00DE4C22" w:rsidP="00500FB8">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32</w:t>
      </w:r>
      <w:r w:rsidRPr="00DE4C22">
        <w:rPr>
          <w:rStyle w:val="HideTWBExt"/>
        </w:rPr>
        <w:t>&lt;/NumAm&gt;</w:t>
      </w:r>
    </w:p>
    <w:p w:rsidR="00500FB8" w:rsidRPr="00DE4C22" w:rsidRDefault="00DE4C22" w:rsidP="00500FB8">
      <w:pPr>
        <w:pStyle w:val="NormalBold12b"/>
      </w:pPr>
      <w:r w:rsidRPr="00DE4C22">
        <w:rPr>
          <w:rStyle w:val="HideTWBExt"/>
        </w:rPr>
        <w:t>&lt;DocAmend&gt;</w:t>
      </w:r>
      <w:r w:rsidRPr="00DE4C22">
        <w:t>Wniosek dotyczący dyrektywy</w:t>
      </w:r>
      <w:r w:rsidRPr="00DE4C22">
        <w:rPr>
          <w:rStyle w:val="HideTWBExt"/>
        </w:rPr>
        <w:t>&lt;/DocAmend&gt;</w:t>
      </w:r>
    </w:p>
    <w:p w:rsidR="00500FB8" w:rsidRPr="00DE4C22" w:rsidRDefault="00DE4C22" w:rsidP="00500FB8">
      <w:pPr>
        <w:pStyle w:val="NormalBold"/>
      </w:pPr>
      <w:r w:rsidRPr="00DE4C22">
        <w:rPr>
          <w:rStyle w:val="HideTWBExt"/>
        </w:rPr>
        <w:t>&lt;Article&gt;</w:t>
      </w:r>
      <w:r w:rsidRPr="00DE4C22">
        <w:t>Artykuł 1 – akapit 1 – punkt 7</w:t>
      </w:r>
      <w:r w:rsidRPr="00DE4C22">
        <w:rPr>
          <w:rStyle w:val="HideTWBExt"/>
        </w:rPr>
        <w:t>&lt;/Article&gt;</w:t>
      </w:r>
    </w:p>
    <w:p w:rsidR="00500FB8" w:rsidRPr="00DE4C22" w:rsidRDefault="00DE4C22" w:rsidP="00500FB8">
      <w:r w:rsidRPr="00DE4C22">
        <w:rPr>
          <w:rStyle w:val="HideTWBExt"/>
        </w:rPr>
        <w:t>&lt;DocAmend2&gt;</w:t>
      </w:r>
      <w:r w:rsidRPr="00DE4C22">
        <w:t>Dyrektywa (UE) 2015/637</w:t>
      </w:r>
      <w:r w:rsidRPr="00DE4C22">
        <w:rPr>
          <w:rStyle w:val="HideTWBExt"/>
        </w:rPr>
        <w:t>&lt;/DocAmend2&gt;</w:t>
      </w:r>
    </w:p>
    <w:p w:rsidR="00500FB8" w:rsidRPr="00DE4C22" w:rsidRDefault="00DE4C22" w:rsidP="00500FB8">
      <w:r w:rsidRPr="00DE4C22">
        <w:rPr>
          <w:rStyle w:val="HideTWBExt"/>
        </w:rPr>
        <w:t>&lt;Article2&gt;</w:t>
      </w:r>
      <w:r w:rsidRPr="00DE4C22">
        <w:t xml:space="preserve">Artykuł </w:t>
      </w:r>
      <w:r w:rsidRPr="00DE4C22">
        <w:t>14 – ustęp 2 – akapit 1</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72EA">
        <w:trPr>
          <w:trHeight w:hRule="exact" w:val="240"/>
          <w:jc w:val="center"/>
        </w:trPr>
        <w:tc>
          <w:tcPr>
            <w:tcW w:w="9752" w:type="dxa"/>
            <w:gridSpan w:val="2"/>
          </w:tcPr>
          <w:p w:rsidR="00500FB8" w:rsidRPr="00DE4C22" w:rsidRDefault="00500FB8" w:rsidP="005172EA"/>
        </w:tc>
      </w:tr>
      <w:tr w:rsidR="006B17DB" w:rsidRPr="00DE4C22" w:rsidTr="005172EA">
        <w:trPr>
          <w:trHeight w:val="240"/>
          <w:jc w:val="center"/>
        </w:trPr>
        <w:tc>
          <w:tcPr>
            <w:tcW w:w="4876" w:type="dxa"/>
          </w:tcPr>
          <w:p w:rsidR="00500FB8" w:rsidRPr="00DE4C22" w:rsidRDefault="00DE4C22" w:rsidP="005172EA">
            <w:pPr>
              <w:pStyle w:val="AmColumnHeading"/>
            </w:pPr>
            <w:r w:rsidRPr="00DE4C22">
              <w:t>Tekst proponowany przez Komisję</w:t>
            </w:r>
          </w:p>
        </w:tc>
        <w:tc>
          <w:tcPr>
            <w:tcW w:w="4876" w:type="dxa"/>
          </w:tcPr>
          <w:p w:rsidR="00500FB8" w:rsidRPr="00DE4C22" w:rsidRDefault="00DE4C22" w:rsidP="005172EA">
            <w:pPr>
              <w:pStyle w:val="AmColumnHeading"/>
            </w:pPr>
            <w:r w:rsidRPr="00DE4C22">
              <w:t>Poprawka</w:t>
            </w:r>
          </w:p>
        </w:tc>
      </w:tr>
      <w:tr w:rsidR="006B17DB" w:rsidRPr="00DE4C22" w:rsidTr="005172EA">
        <w:trPr>
          <w:jc w:val="center"/>
        </w:trPr>
        <w:tc>
          <w:tcPr>
            <w:tcW w:w="4876" w:type="dxa"/>
          </w:tcPr>
          <w:p w:rsidR="00500FB8" w:rsidRPr="00DE4C22" w:rsidRDefault="00DE4C22" w:rsidP="005172EA">
            <w:pPr>
              <w:pStyle w:val="Normal6a"/>
            </w:pPr>
            <w:r w:rsidRPr="00DE4C22">
              <w:t xml:space="preserve">Jeżeli niereprezentowany obywatel nie jest w stanie uiścić kosztów, o których mowa w ust. 1, na rzecz państwa członkowskiego udzielającego pomocy w chwili składania wniosku </w:t>
            </w:r>
            <w:r w:rsidRPr="00DE4C22">
              <w:t>o pomoc, państwo członkowskie udzielające pomocy może zażądać od niereprezentowanego obywatela podpisania zobowiązania do zwrotu kosztów. Na tej podstawie państwo członkowskie udzielające pomocy może zwrócić się do danego niereprezentowanego obywatela o zw</w:t>
            </w:r>
            <w:r w:rsidRPr="00DE4C22">
              <w:t xml:space="preserve">rot takich kosztów po upływie </w:t>
            </w:r>
            <w:r w:rsidRPr="00DE4C22">
              <w:rPr>
                <w:b/>
                <w:i/>
              </w:rPr>
              <w:t>czterech tygodni</w:t>
            </w:r>
            <w:r w:rsidRPr="00DE4C22">
              <w:t xml:space="preserve"> od chwili udzielenia pomocy.</w:t>
            </w:r>
          </w:p>
        </w:tc>
        <w:tc>
          <w:tcPr>
            <w:tcW w:w="4876" w:type="dxa"/>
          </w:tcPr>
          <w:p w:rsidR="00500FB8" w:rsidRPr="00DE4C22" w:rsidRDefault="00DE4C22" w:rsidP="005172EA">
            <w:pPr>
              <w:pStyle w:val="Normal6a"/>
            </w:pPr>
            <w:r w:rsidRPr="00DE4C22">
              <w:t>Jeżeli niereprezentowany obywatel nie jest w stanie uiścić kosztów, o których mowa w ust. 1, na rzecz państwa członkowskiego udzielającego pomocy w chwili składania wniosku o pomoc</w:t>
            </w:r>
            <w:r w:rsidRPr="00DE4C22">
              <w:t>, państwo członkowskie udzielające pomocy może zażądać od niereprezentowanego obywatela podpisania zobowiązania do zwrotu kosztów. Na tej podstawie państwo członkowskie udzielające pomocy może zwrócić się do danego niereprezentowanego obywatela o zwrot tak</w:t>
            </w:r>
            <w:r w:rsidRPr="00DE4C22">
              <w:t xml:space="preserve">ich kosztów po upływie </w:t>
            </w:r>
            <w:r w:rsidRPr="00DE4C22">
              <w:rPr>
                <w:b/>
                <w:i/>
              </w:rPr>
              <w:t>trzech miesięcy</w:t>
            </w:r>
            <w:r w:rsidRPr="00DE4C22">
              <w:t xml:space="preserve"> od chwili udzielenia pomocy.</w:t>
            </w:r>
          </w:p>
        </w:tc>
      </w:tr>
    </w:tbl>
    <w:p w:rsidR="00500FB8" w:rsidRPr="00DE4C22" w:rsidRDefault="00DE4C22" w:rsidP="00500FB8">
      <w:r w:rsidRPr="00DE4C22">
        <w:rPr>
          <w:rStyle w:val="HideTWBExt"/>
        </w:rPr>
        <w:t>&lt;/Amend&gt;</w:t>
      </w:r>
    </w:p>
    <w:p w:rsidR="00500FB8" w:rsidRPr="00DE4C22" w:rsidRDefault="00DE4C22" w:rsidP="00500FB8">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33</w:t>
      </w:r>
      <w:r w:rsidRPr="00DE4C22">
        <w:rPr>
          <w:rStyle w:val="HideTWBExt"/>
        </w:rPr>
        <w:t>&lt;/NumAm&gt;</w:t>
      </w:r>
    </w:p>
    <w:p w:rsidR="00500FB8" w:rsidRPr="00DE4C22" w:rsidRDefault="00DE4C22" w:rsidP="00500FB8">
      <w:pPr>
        <w:pStyle w:val="NormalBold12b"/>
      </w:pPr>
      <w:r w:rsidRPr="00DE4C22">
        <w:rPr>
          <w:rStyle w:val="HideTWBExt"/>
        </w:rPr>
        <w:t>&lt;DocAmend&gt;</w:t>
      </w:r>
      <w:r w:rsidRPr="00DE4C22">
        <w:t>Wniosek dotyczący dyrektywy</w:t>
      </w:r>
      <w:r w:rsidRPr="00DE4C22">
        <w:rPr>
          <w:rStyle w:val="HideTWBExt"/>
        </w:rPr>
        <w:t>&lt;/DocAmend&gt;</w:t>
      </w:r>
    </w:p>
    <w:p w:rsidR="00500FB8" w:rsidRPr="00DE4C22" w:rsidRDefault="00DE4C22" w:rsidP="00500FB8">
      <w:pPr>
        <w:pStyle w:val="NormalBold"/>
      </w:pPr>
      <w:r w:rsidRPr="00DE4C22">
        <w:rPr>
          <w:rStyle w:val="HideTWBExt"/>
        </w:rPr>
        <w:t>&lt;Article&gt;</w:t>
      </w:r>
      <w:r w:rsidRPr="00DE4C22">
        <w:t>Artykuł 1 – akapit 1 – punkt 7</w:t>
      </w:r>
      <w:r w:rsidRPr="00DE4C22">
        <w:rPr>
          <w:rStyle w:val="HideTWBExt"/>
        </w:rPr>
        <w:t>&lt;/Article&gt;</w:t>
      </w:r>
    </w:p>
    <w:p w:rsidR="00500FB8" w:rsidRPr="00DE4C22" w:rsidRDefault="00DE4C22" w:rsidP="00500FB8">
      <w:r w:rsidRPr="00DE4C22">
        <w:rPr>
          <w:rStyle w:val="HideTWBExt"/>
        </w:rPr>
        <w:t>&lt;DocAmend2&gt;</w:t>
      </w:r>
      <w:r w:rsidRPr="00DE4C22">
        <w:t>Dyrektywa (UE) 2015/637</w:t>
      </w:r>
      <w:r w:rsidRPr="00DE4C22">
        <w:rPr>
          <w:rStyle w:val="HideTWBExt"/>
        </w:rPr>
        <w:t>&lt;/DocAmend</w:t>
      </w:r>
      <w:r w:rsidRPr="00DE4C22">
        <w:rPr>
          <w:rStyle w:val="HideTWBExt"/>
        </w:rPr>
        <w:t>2&gt;</w:t>
      </w:r>
    </w:p>
    <w:p w:rsidR="00500FB8" w:rsidRPr="00DE4C22" w:rsidRDefault="00DE4C22" w:rsidP="00500FB8">
      <w:r w:rsidRPr="00DE4C22">
        <w:rPr>
          <w:rStyle w:val="HideTWBExt"/>
        </w:rPr>
        <w:t>&lt;Article2&gt;</w:t>
      </w:r>
      <w:r w:rsidRPr="00DE4C22">
        <w:t>Artykuł 14 – ustęp 6</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72EA">
        <w:trPr>
          <w:trHeight w:hRule="exact" w:val="240"/>
          <w:jc w:val="center"/>
        </w:trPr>
        <w:tc>
          <w:tcPr>
            <w:tcW w:w="9752" w:type="dxa"/>
            <w:gridSpan w:val="2"/>
          </w:tcPr>
          <w:p w:rsidR="00500FB8" w:rsidRPr="00DE4C22" w:rsidRDefault="00500FB8" w:rsidP="005172EA"/>
        </w:tc>
      </w:tr>
      <w:tr w:rsidR="006B17DB" w:rsidRPr="00DE4C22" w:rsidTr="005172EA">
        <w:trPr>
          <w:trHeight w:val="240"/>
          <w:jc w:val="center"/>
        </w:trPr>
        <w:tc>
          <w:tcPr>
            <w:tcW w:w="4876" w:type="dxa"/>
          </w:tcPr>
          <w:p w:rsidR="00500FB8" w:rsidRPr="00DE4C22" w:rsidRDefault="00DE4C22" w:rsidP="005172EA">
            <w:pPr>
              <w:pStyle w:val="AmColumnHeading"/>
            </w:pPr>
            <w:r w:rsidRPr="00DE4C22">
              <w:t>Tekst proponowany przez Komisję</w:t>
            </w:r>
          </w:p>
        </w:tc>
        <w:tc>
          <w:tcPr>
            <w:tcW w:w="4876" w:type="dxa"/>
          </w:tcPr>
          <w:p w:rsidR="00500FB8" w:rsidRPr="00DE4C22" w:rsidRDefault="00DE4C22" w:rsidP="005172EA">
            <w:pPr>
              <w:pStyle w:val="AmColumnHeading"/>
            </w:pPr>
            <w:r w:rsidRPr="00DE4C22">
              <w:t>Poprawka</w:t>
            </w:r>
          </w:p>
        </w:tc>
      </w:tr>
      <w:tr w:rsidR="006B17DB" w:rsidRPr="00DE4C22" w:rsidTr="005172EA">
        <w:trPr>
          <w:jc w:val="center"/>
        </w:trPr>
        <w:tc>
          <w:tcPr>
            <w:tcW w:w="4876" w:type="dxa"/>
          </w:tcPr>
          <w:p w:rsidR="00500FB8" w:rsidRPr="00DE4C22" w:rsidRDefault="00DE4C22" w:rsidP="005172EA">
            <w:pPr>
              <w:pStyle w:val="Normal6a"/>
            </w:pPr>
            <w:r w:rsidRPr="00DE4C22">
              <w:t>6.</w:t>
            </w:r>
            <w:r w:rsidRPr="00DE4C22">
              <w:tab/>
              <w:t xml:space="preserve">Komisja może przyjmować akty wykonawcze ustanawiające standardowe formularze, które mają być stosowane w przypadku zobowiązania do zwrotu, o którym mowa w ust. 2, </w:t>
            </w:r>
            <w:r w:rsidRPr="00DE4C22">
              <w:t>oraz w przypadku zwrotu kosztów przez państwo członkowskie obywatelstwa, o którym mowa w ust. 3. Te akty wykonawcze przyjmuje się zgodnie z procedurą sprawdzającą, o której mowa w art. 15a ust. 2.</w:t>
            </w:r>
          </w:p>
        </w:tc>
        <w:tc>
          <w:tcPr>
            <w:tcW w:w="4876" w:type="dxa"/>
          </w:tcPr>
          <w:p w:rsidR="00500FB8" w:rsidRPr="00DE4C22" w:rsidRDefault="00DE4C22" w:rsidP="007D49CF">
            <w:pPr>
              <w:pStyle w:val="AmColumnHeading"/>
              <w:spacing w:after="120"/>
              <w:jc w:val="left"/>
            </w:pPr>
            <w:r w:rsidRPr="00DE4C22">
              <w:rPr>
                <w:i w:val="0"/>
              </w:rPr>
              <w:t>6.</w:t>
            </w:r>
            <w:r w:rsidRPr="00DE4C22">
              <w:rPr>
                <w:i w:val="0"/>
              </w:rPr>
              <w:tab/>
            </w:r>
            <w:r w:rsidRPr="00DE4C22">
              <w:t xml:space="preserve">Komisja może przyjmować akty wykonawcze ustanawiające standardowe formularze, które </w:t>
            </w:r>
            <w:r w:rsidRPr="00DE4C22">
              <w:rPr>
                <w:b/>
              </w:rPr>
              <w:t xml:space="preserve">są dostępne w językach wszystkich państw członkowskich i </w:t>
            </w:r>
            <w:r w:rsidRPr="00DE4C22">
              <w:t>mają być stosowane w przypadku zobowiązania do zwrotu, o którym mowa w ust. 2, oraz w przypadku zwrotu kosztów prze</w:t>
            </w:r>
            <w:r w:rsidRPr="00DE4C22">
              <w:t>z państwo członkowskie obywatelstwa, o którym mowa w ust. 3.</w:t>
            </w:r>
            <w:r w:rsidRPr="00DE4C22">
              <w:rPr>
                <w:i w:val="0"/>
              </w:rPr>
              <w:t xml:space="preserve"> Te akty wykonawcze przyjmuje się zgodnie z procedurą sprawdzającą, o której mowa w art. 15a ust. 2.</w:t>
            </w:r>
          </w:p>
        </w:tc>
      </w:tr>
    </w:tbl>
    <w:p w:rsidR="00500FB8" w:rsidRPr="00DE4C22" w:rsidRDefault="00DE4C22" w:rsidP="00500FB8">
      <w:r w:rsidRPr="00DE4C22">
        <w:rPr>
          <w:rStyle w:val="HideTWBExt"/>
        </w:rPr>
        <w:lastRenderedPageBreak/>
        <w:t>&lt;/Amend&gt;</w:t>
      </w:r>
    </w:p>
    <w:p w:rsidR="00500FB8" w:rsidRPr="00DE4C22" w:rsidRDefault="00DE4C22" w:rsidP="00500FB8">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34</w:t>
      </w:r>
      <w:r w:rsidRPr="00DE4C22">
        <w:rPr>
          <w:rStyle w:val="HideTWBExt"/>
        </w:rPr>
        <w:t>&lt;/NumAm&gt;</w:t>
      </w:r>
    </w:p>
    <w:p w:rsidR="00500FB8" w:rsidRPr="00DE4C22" w:rsidRDefault="00DE4C22" w:rsidP="00500FB8">
      <w:pPr>
        <w:pStyle w:val="NormalBold12b"/>
      </w:pPr>
      <w:r w:rsidRPr="00DE4C22">
        <w:rPr>
          <w:rStyle w:val="HideTWBExt"/>
        </w:rPr>
        <w:t>&lt;DocAmend&gt;</w:t>
      </w:r>
      <w:r w:rsidRPr="00DE4C22">
        <w:t>Wniosek dotyczący dyrektywy</w:t>
      </w:r>
      <w:r w:rsidRPr="00DE4C22">
        <w:rPr>
          <w:rStyle w:val="HideTWBExt"/>
        </w:rPr>
        <w:t>&lt;/DocAmend&gt;</w:t>
      </w:r>
    </w:p>
    <w:p w:rsidR="00500FB8" w:rsidRPr="00DE4C22" w:rsidRDefault="00DE4C22" w:rsidP="00500FB8">
      <w:pPr>
        <w:pStyle w:val="NormalBold"/>
      </w:pPr>
      <w:r w:rsidRPr="00DE4C22">
        <w:rPr>
          <w:rStyle w:val="HideTWBExt"/>
        </w:rPr>
        <w:t>&lt;Article&gt;</w:t>
      </w:r>
      <w:r w:rsidRPr="00DE4C22">
        <w:t>Artykuł 1 – akapit 1 – punkt 9</w:t>
      </w:r>
      <w:r w:rsidRPr="00DE4C22">
        <w:rPr>
          <w:rStyle w:val="HideTWBExt"/>
        </w:rPr>
        <w:t>&lt;/Article&gt;</w:t>
      </w:r>
    </w:p>
    <w:p w:rsidR="00500FB8" w:rsidRPr="00DE4C22" w:rsidRDefault="00DE4C22" w:rsidP="00500FB8">
      <w:r w:rsidRPr="00DE4C22">
        <w:rPr>
          <w:rStyle w:val="HideTWBExt"/>
        </w:rPr>
        <w:t>&lt;DocAmend2&gt;</w:t>
      </w:r>
      <w:r w:rsidRPr="00DE4C22">
        <w:t>Dyrektywa (UE) 2015/637</w:t>
      </w:r>
      <w:r w:rsidRPr="00DE4C22">
        <w:rPr>
          <w:rStyle w:val="HideTWBExt"/>
        </w:rPr>
        <w:t>&lt;/DocAmend2&gt;</w:t>
      </w:r>
    </w:p>
    <w:p w:rsidR="00500FB8" w:rsidRPr="00DE4C22" w:rsidRDefault="00DE4C22" w:rsidP="00500FB8">
      <w:r w:rsidRPr="00DE4C22">
        <w:rPr>
          <w:rStyle w:val="HideTWBExt"/>
        </w:rPr>
        <w:t>&lt;Article2&gt;</w:t>
      </w:r>
      <w:r w:rsidRPr="00DE4C22">
        <w:t>Artykuł 16 a – ustęp 6</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72EA">
        <w:trPr>
          <w:trHeight w:hRule="exact" w:val="240"/>
          <w:jc w:val="center"/>
        </w:trPr>
        <w:tc>
          <w:tcPr>
            <w:tcW w:w="9752" w:type="dxa"/>
            <w:gridSpan w:val="2"/>
          </w:tcPr>
          <w:p w:rsidR="00500FB8" w:rsidRPr="00DE4C22" w:rsidRDefault="00500FB8" w:rsidP="005172EA"/>
        </w:tc>
      </w:tr>
      <w:tr w:rsidR="006B17DB" w:rsidRPr="00DE4C22" w:rsidTr="005172EA">
        <w:trPr>
          <w:trHeight w:val="240"/>
          <w:jc w:val="center"/>
        </w:trPr>
        <w:tc>
          <w:tcPr>
            <w:tcW w:w="4876" w:type="dxa"/>
          </w:tcPr>
          <w:p w:rsidR="00500FB8" w:rsidRPr="00DE4C22" w:rsidRDefault="00DE4C22" w:rsidP="005172EA">
            <w:pPr>
              <w:pStyle w:val="AmColumnHeading"/>
            </w:pPr>
            <w:r w:rsidRPr="00DE4C22">
              <w:t>Tekst proponowany przez Komisję</w:t>
            </w:r>
          </w:p>
        </w:tc>
        <w:tc>
          <w:tcPr>
            <w:tcW w:w="4876" w:type="dxa"/>
          </w:tcPr>
          <w:p w:rsidR="00500FB8" w:rsidRPr="00DE4C22" w:rsidRDefault="00DE4C22" w:rsidP="005172EA">
            <w:pPr>
              <w:pStyle w:val="AmColumnHeading"/>
            </w:pPr>
            <w:r w:rsidRPr="00DE4C22">
              <w:t>Poprawka</w:t>
            </w:r>
          </w:p>
        </w:tc>
      </w:tr>
      <w:tr w:rsidR="006B17DB" w:rsidRPr="00DE4C22" w:rsidTr="005172EA">
        <w:trPr>
          <w:jc w:val="center"/>
        </w:trPr>
        <w:tc>
          <w:tcPr>
            <w:tcW w:w="4876" w:type="dxa"/>
          </w:tcPr>
          <w:p w:rsidR="00500FB8" w:rsidRPr="00DE4C22" w:rsidRDefault="00DE4C22" w:rsidP="005172EA">
            <w:pPr>
              <w:pStyle w:val="Normal6a"/>
            </w:pPr>
            <w:r w:rsidRPr="00DE4C22">
              <w:t>6.</w:t>
            </w:r>
            <w:r w:rsidRPr="00DE4C22">
              <w:tab/>
              <w:t>Przetwarzając dane osobowe, o których mowa w ust. 5, właściwe organy</w:t>
            </w:r>
            <w:r w:rsidRPr="00DE4C22">
              <w:t xml:space="preserve"> państw członkowskich oraz instytucje i organy Unii powinny zadbać o odpowiednie i konkretne środki służące zapewnieniu ochrony interesów osób, których dane dotyczą. Wprowadzają one również wewnętrzne strategie i podejmują niezbędne środki techniczne i org</w:t>
            </w:r>
            <w:r w:rsidRPr="00DE4C22">
              <w:t>anizacyjne, aby zapobiec nieuprawnionemu dostępowi do takich danych osobowych i ich nieuprawnionemu przekazywaniu.</w:t>
            </w:r>
          </w:p>
        </w:tc>
        <w:tc>
          <w:tcPr>
            <w:tcW w:w="4876" w:type="dxa"/>
          </w:tcPr>
          <w:p w:rsidR="00500FB8" w:rsidRPr="00DE4C22" w:rsidRDefault="00DE4C22" w:rsidP="005172EA">
            <w:pPr>
              <w:pStyle w:val="Normal6a"/>
            </w:pPr>
            <w:r w:rsidRPr="00DE4C22">
              <w:t>6.</w:t>
            </w:r>
            <w:r w:rsidRPr="00DE4C22">
              <w:tab/>
              <w:t>Przetwarzając dane osobowe, o których mowa w ust. 5, właściwe organy państw członkowskich oraz instytucje i organy Unii powinny zadbać o o</w:t>
            </w:r>
            <w:r w:rsidRPr="00DE4C22">
              <w:t>dpowiednie i konkretne środki służące zapewnieniu ochrony interesów osób, których dane dotyczą. Wprowadzają one również wewnętrzne strategie i podejmują niezbędne środki techniczne i organizacyjne, aby zapobiec nieuprawnionemu dostępowi do takich danych os</w:t>
            </w:r>
            <w:r w:rsidRPr="00DE4C22">
              <w:t xml:space="preserve">obowych i ich nieuprawnionemu przekazywaniu. </w:t>
            </w:r>
            <w:r w:rsidRPr="00DE4C22">
              <w:rPr>
                <w:b/>
                <w:i/>
              </w:rPr>
              <w:t>Prawa dostępu do danych osobowych, o których mowa w ust. 5, przyznaje się wyłącznie pracownikom posiadającym paszport państwa członkowskiego UE.</w:t>
            </w:r>
          </w:p>
        </w:tc>
      </w:tr>
    </w:tbl>
    <w:p w:rsidR="00500FB8" w:rsidRPr="00DE4C22" w:rsidRDefault="00DE4C22" w:rsidP="00500FB8">
      <w:r w:rsidRPr="00DE4C22">
        <w:rPr>
          <w:rStyle w:val="HideTWBExt"/>
        </w:rPr>
        <w:t>&lt;/Amend&gt;</w:t>
      </w:r>
    </w:p>
    <w:p w:rsidR="00500FB8" w:rsidRPr="00DE4C22" w:rsidRDefault="00DE4C22" w:rsidP="00500FB8">
      <w:pPr>
        <w:pStyle w:val="AmNumberTabs"/>
      </w:pPr>
      <w:r w:rsidRPr="00DE4C22">
        <w:rPr>
          <w:rStyle w:val="HideTWBExt"/>
        </w:rPr>
        <w:t>&lt;Amend&gt;</w:t>
      </w:r>
      <w:r w:rsidRPr="00DE4C22">
        <w:t>Poprawka</w:t>
      </w:r>
      <w:r w:rsidRPr="00DE4C22">
        <w:tab/>
      </w:r>
      <w:r w:rsidRPr="00DE4C22">
        <w:tab/>
      </w:r>
      <w:r w:rsidRPr="00DE4C22">
        <w:rPr>
          <w:rStyle w:val="HideTWBExt"/>
        </w:rPr>
        <w:t>&lt;NumAm&gt;</w:t>
      </w:r>
      <w:r w:rsidRPr="00DE4C22">
        <w:t>35</w:t>
      </w:r>
      <w:r w:rsidRPr="00DE4C22">
        <w:rPr>
          <w:rStyle w:val="HideTWBExt"/>
        </w:rPr>
        <w:t>&lt;/NumAm&gt;</w:t>
      </w:r>
    </w:p>
    <w:p w:rsidR="00500FB8" w:rsidRPr="00DE4C22" w:rsidRDefault="00DE4C22" w:rsidP="00500FB8">
      <w:pPr>
        <w:pStyle w:val="NormalBold12b"/>
      </w:pPr>
      <w:r w:rsidRPr="00DE4C22">
        <w:rPr>
          <w:rStyle w:val="HideTWBExt"/>
        </w:rPr>
        <w:t>&lt;DocAmend&gt;</w:t>
      </w:r>
      <w:r w:rsidRPr="00DE4C22">
        <w:t xml:space="preserve">Wniosek </w:t>
      </w:r>
      <w:r w:rsidRPr="00DE4C22">
        <w:t>dotyczący dyrektywy</w:t>
      </w:r>
      <w:r w:rsidRPr="00DE4C22">
        <w:rPr>
          <w:rStyle w:val="HideTWBExt"/>
        </w:rPr>
        <w:t>&lt;/DocAmend&gt;</w:t>
      </w:r>
    </w:p>
    <w:p w:rsidR="00500FB8" w:rsidRPr="00DE4C22" w:rsidRDefault="00DE4C22" w:rsidP="00500FB8">
      <w:pPr>
        <w:pStyle w:val="NormalBold"/>
      </w:pPr>
      <w:r w:rsidRPr="00DE4C22">
        <w:rPr>
          <w:rStyle w:val="HideTWBExt"/>
        </w:rPr>
        <w:t>&lt;Article&gt;</w:t>
      </w:r>
      <w:r w:rsidRPr="00DE4C22">
        <w:t>Artykuł 1 – akapit 1 – punkt 9</w:t>
      </w:r>
      <w:r w:rsidRPr="00DE4C22">
        <w:rPr>
          <w:rStyle w:val="HideTWBExt"/>
        </w:rPr>
        <w:t>&lt;/Article&gt;</w:t>
      </w:r>
    </w:p>
    <w:p w:rsidR="00500FB8" w:rsidRPr="00DE4C22" w:rsidRDefault="00DE4C22" w:rsidP="00500FB8">
      <w:r w:rsidRPr="00DE4C22">
        <w:rPr>
          <w:rStyle w:val="HideTWBExt"/>
        </w:rPr>
        <w:t>&lt;DocAmend2&gt;</w:t>
      </w:r>
      <w:r w:rsidRPr="00DE4C22">
        <w:t>Dyrektywa (UE) 2015/637</w:t>
      </w:r>
      <w:r w:rsidRPr="00DE4C22">
        <w:rPr>
          <w:rStyle w:val="HideTWBExt"/>
        </w:rPr>
        <w:t>&lt;/DocAmend2&gt;</w:t>
      </w:r>
    </w:p>
    <w:p w:rsidR="00500FB8" w:rsidRPr="00DE4C22" w:rsidRDefault="00DE4C22" w:rsidP="00500FB8">
      <w:r w:rsidRPr="00DE4C22">
        <w:rPr>
          <w:rStyle w:val="HideTWBExt"/>
        </w:rPr>
        <w:t>&lt;Article2&gt;</w:t>
      </w:r>
      <w:r w:rsidRPr="00DE4C22">
        <w:t>Artykuł 16 a – ustęp 7 – akapit 1</w:t>
      </w:r>
      <w:r w:rsidRPr="00DE4C2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17DB" w:rsidRPr="00DE4C22" w:rsidTr="005172EA">
        <w:trPr>
          <w:trHeight w:hRule="exact" w:val="240"/>
          <w:jc w:val="center"/>
        </w:trPr>
        <w:tc>
          <w:tcPr>
            <w:tcW w:w="9752" w:type="dxa"/>
            <w:gridSpan w:val="2"/>
          </w:tcPr>
          <w:p w:rsidR="00500FB8" w:rsidRPr="00DE4C22" w:rsidRDefault="00500FB8" w:rsidP="005172EA"/>
        </w:tc>
      </w:tr>
      <w:tr w:rsidR="006B17DB" w:rsidRPr="00DE4C22" w:rsidTr="005172EA">
        <w:trPr>
          <w:trHeight w:val="240"/>
          <w:jc w:val="center"/>
        </w:trPr>
        <w:tc>
          <w:tcPr>
            <w:tcW w:w="4876" w:type="dxa"/>
          </w:tcPr>
          <w:p w:rsidR="00500FB8" w:rsidRPr="00DE4C22" w:rsidRDefault="00DE4C22" w:rsidP="005172EA">
            <w:pPr>
              <w:pStyle w:val="AmColumnHeading"/>
            </w:pPr>
            <w:r w:rsidRPr="00DE4C22">
              <w:t>Tekst proponowany przez Komisję</w:t>
            </w:r>
          </w:p>
        </w:tc>
        <w:tc>
          <w:tcPr>
            <w:tcW w:w="4876" w:type="dxa"/>
          </w:tcPr>
          <w:p w:rsidR="00500FB8" w:rsidRPr="00DE4C22" w:rsidRDefault="00DE4C22" w:rsidP="005172EA">
            <w:pPr>
              <w:pStyle w:val="AmColumnHeading"/>
            </w:pPr>
            <w:r w:rsidRPr="00DE4C22">
              <w:t>Poprawka</w:t>
            </w:r>
          </w:p>
        </w:tc>
      </w:tr>
      <w:tr w:rsidR="006B17DB" w:rsidRPr="00DE4C22" w:rsidTr="005172EA">
        <w:trPr>
          <w:jc w:val="center"/>
        </w:trPr>
        <w:tc>
          <w:tcPr>
            <w:tcW w:w="4876" w:type="dxa"/>
          </w:tcPr>
          <w:p w:rsidR="00500FB8" w:rsidRPr="00DE4C22" w:rsidRDefault="00DE4C22" w:rsidP="005172EA">
            <w:pPr>
              <w:pStyle w:val="Normal6a"/>
            </w:pPr>
            <w:r w:rsidRPr="00DE4C22">
              <w:t>Do celów niniejszej dyrektywy</w:t>
            </w:r>
            <w:r w:rsidRPr="00DE4C22">
              <w:t xml:space="preserve"> właściwe organy państw członkowskich przekazują dane osobowe państwu trzeciemu lub organizacji międzynarodowej wyłącznie w celu wykonania zadań, o których mowa w art. 9, 10 i 13a, oraz zgodnie z rozdziałem V rozporządzenia (UE) 2016/679.</w:t>
            </w:r>
          </w:p>
        </w:tc>
        <w:tc>
          <w:tcPr>
            <w:tcW w:w="4876" w:type="dxa"/>
          </w:tcPr>
          <w:p w:rsidR="00500FB8" w:rsidRPr="00DE4C22" w:rsidRDefault="00DE4C22" w:rsidP="005172EA">
            <w:pPr>
              <w:pStyle w:val="Normal6a"/>
            </w:pPr>
            <w:r w:rsidRPr="00DE4C22">
              <w:t>Do celów niniejsz</w:t>
            </w:r>
            <w:r w:rsidRPr="00DE4C22">
              <w:t xml:space="preserve">ej dyrektywy właściwe organy państw członkowskich przekazują dane osobowe państwu trzeciemu lub organizacji międzynarodowej wyłącznie w celu wykonania zadań, o których mowa w art. 9, 10 i 13a, oraz zgodnie z rozdziałem V rozporządzenia (UE) 2016/679. </w:t>
            </w:r>
            <w:r w:rsidRPr="00DE4C22">
              <w:rPr>
                <w:b/>
                <w:i/>
              </w:rPr>
              <w:t xml:space="preserve">Dane </w:t>
            </w:r>
            <w:r w:rsidRPr="00DE4C22">
              <w:rPr>
                <w:b/>
                <w:i/>
              </w:rPr>
              <w:t xml:space="preserve">osobowe, o których mowa w ust. 5, są wyłączone z takiego przekazywania, chyba że uzyskano </w:t>
            </w:r>
            <w:r w:rsidRPr="00DE4C22">
              <w:rPr>
                <w:b/>
                <w:i/>
              </w:rPr>
              <w:lastRenderedPageBreak/>
              <w:t>uprzednią wyraźną zgodę zainteresowanego obywatela Unii.</w:t>
            </w:r>
          </w:p>
        </w:tc>
      </w:tr>
    </w:tbl>
    <w:p w:rsidR="00500FB8" w:rsidRPr="00DE4C22" w:rsidRDefault="00DE4C22" w:rsidP="00500FB8">
      <w:r w:rsidRPr="00DE4C22">
        <w:rPr>
          <w:rStyle w:val="HideTWBExt"/>
        </w:rPr>
        <w:lastRenderedPageBreak/>
        <w:t>&lt;/Amend&gt;</w:t>
      </w:r>
    </w:p>
    <w:p w:rsidR="007C08F5" w:rsidRPr="00DE4C22" w:rsidRDefault="00DE4C22" w:rsidP="007C08F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36</w:t>
      </w:r>
      <w:r w:rsidRPr="00DE4C22">
        <w:rPr>
          <w:rStyle w:val="HideTWBExt"/>
          <w:b w:val="0"/>
        </w:rPr>
        <w:t>&lt;/NumAm&gt;</w:t>
      </w:r>
    </w:p>
    <w:p w:rsidR="007C08F5" w:rsidRPr="00DE4C22" w:rsidRDefault="00DE4C22" w:rsidP="007C08F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7C08F5" w:rsidRPr="00DE4C22" w:rsidRDefault="00DE4C22" w:rsidP="007C08F5">
      <w:pPr>
        <w:pStyle w:val="NormalBold"/>
        <w:keepNext/>
      </w:pPr>
      <w:r w:rsidRPr="00DE4C22">
        <w:rPr>
          <w:rStyle w:val="HideTWBExt"/>
          <w:b w:val="0"/>
        </w:rPr>
        <w:t>&lt;Article&gt;</w:t>
      </w:r>
      <w:r w:rsidRPr="00DE4C22">
        <w:t>Artykuł 1 – akapit 1 – punkt 9</w:t>
      </w:r>
      <w:r w:rsidRPr="00DE4C22">
        <w:rPr>
          <w:rStyle w:val="HideTWBExt"/>
          <w:b w:val="0"/>
        </w:rPr>
        <w:t>&lt;/Article&gt;</w:t>
      </w:r>
    </w:p>
    <w:p w:rsidR="007C08F5" w:rsidRPr="00DE4C22" w:rsidRDefault="00DE4C22" w:rsidP="007C08F5">
      <w:pPr>
        <w:keepNext/>
      </w:pPr>
      <w:r w:rsidRPr="00DE4C22">
        <w:rPr>
          <w:rStyle w:val="HideTWBExt"/>
        </w:rPr>
        <w:t>&lt;DocAmend2&gt;</w:t>
      </w:r>
      <w:r w:rsidRPr="00DE4C22">
        <w:t>Dyrektywa (UE) 2015/637</w:t>
      </w:r>
      <w:r w:rsidRPr="00DE4C22">
        <w:rPr>
          <w:rStyle w:val="HideTWBExt"/>
        </w:rPr>
        <w:t>&lt;/DocAmend2&gt;</w:t>
      </w:r>
    </w:p>
    <w:p w:rsidR="007C08F5" w:rsidRPr="00DE4C22" w:rsidRDefault="00DE4C22" w:rsidP="007C08F5">
      <w:r w:rsidRPr="00DE4C22">
        <w:rPr>
          <w:rStyle w:val="HideTWBExt"/>
        </w:rPr>
        <w:t>&lt;Article2&gt;</w:t>
      </w:r>
      <w:r w:rsidRPr="00DE4C22">
        <w:t>Artykuł 16 b – akapit 1 – wprowadzenie</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1D557F">
        <w:trPr>
          <w:jc w:val="center"/>
        </w:trPr>
        <w:tc>
          <w:tcPr>
            <w:tcW w:w="9752" w:type="dxa"/>
            <w:gridSpan w:val="2"/>
          </w:tcPr>
          <w:p w:rsidR="007C08F5" w:rsidRPr="00DE4C22" w:rsidRDefault="007C08F5" w:rsidP="001D557F">
            <w:pPr>
              <w:keepNext/>
            </w:pPr>
          </w:p>
        </w:tc>
      </w:tr>
      <w:tr w:rsidR="006B17DB" w:rsidRPr="00DE4C22" w:rsidTr="001D557F">
        <w:trPr>
          <w:jc w:val="center"/>
        </w:trPr>
        <w:tc>
          <w:tcPr>
            <w:tcW w:w="4876" w:type="dxa"/>
          </w:tcPr>
          <w:p w:rsidR="007C08F5" w:rsidRPr="00DE4C22" w:rsidRDefault="00DE4C22" w:rsidP="001D557F">
            <w:pPr>
              <w:pStyle w:val="AmColumnHeading"/>
              <w:keepNext/>
            </w:pPr>
            <w:r w:rsidRPr="00DE4C22">
              <w:t>Tekst proponowany przez Komisję</w:t>
            </w:r>
          </w:p>
        </w:tc>
        <w:tc>
          <w:tcPr>
            <w:tcW w:w="4876" w:type="dxa"/>
          </w:tcPr>
          <w:p w:rsidR="007C08F5" w:rsidRPr="00DE4C22" w:rsidRDefault="00DE4C22" w:rsidP="001D557F">
            <w:pPr>
              <w:pStyle w:val="AmColumnHeading"/>
              <w:keepNext/>
            </w:pPr>
            <w:r w:rsidRPr="00DE4C22">
              <w:t>Poprawka</w:t>
            </w:r>
          </w:p>
        </w:tc>
      </w:tr>
      <w:tr w:rsidR="006B17DB" w:rsidRPr="00DE4C22" w:rsidTr="001D557F">
        <w:trPr>
          <w:jc w:val="center"/>
        </w:trPr>
        <w:tc>
          <w:tcPr>
            <w:tcW w:w="4876" w:type="dxa"/>
          </w:tcPr>
          <w:p w:rsidR="007C08F5" w:rsidRPr="00DE4C22" w:rsidRDefault="00DE4C22" w:rsidP="001D557F">
            <w:pPr>
              <w:pStyle w:val="Normal6a"/>
            </w:pPr>
            <w:r w:rsidRPr="00DE4C22">
              <w:t xml:space="preserve">Państwa członkowskie zapewniają, aby niereprezentowani obywatele, których prawa wynikające z niniejszej dyrektywy naruszono, </w:t>
            </w:r>
            <w:r w:rsidRPr="00DE4C22">
              <w:rPr>
                <w:b/>
                <w:i/>
              </w:rPr>
              <w:t>dysponowali skutecznym środkiem odwoławczym</w:t>
            </w:r>
            <w:r w:rsidRPr="00DE4C22">
              <w:t xml:space="preserve"> w prawie krajowym.</w:t>
            </w:r>
          </w:p>
        </w:tc>
        <w:tc>
          <w:tcPr>
            <w:tcW w:w="4876" w:type="dxa"/>
          </w:tcPr>
          <w:p w:rsidR="007C08F5" w:rsidRPr="00DE4C22" w:rsidRDefault="00DE4C22" w:rsidP="001D557F">
            <w:pPr>
              <w:pStyle w:val="Normal6a"/>
              <w:rPr>
                <w:szCs w:val="24"/>
              </w:rPr>
            </w:pPr>
            <w:r w:rsidRPr="00DE4C22">
              <w:t>Państwa członkowskie zapewniają, aby niereprezentowani obywatele, kt</w:t>
            </w:r>
            <w:r w:rsidRPr="00DE4C22">
              <w:t xml:space="preserve">órych prawa wynikające z niniejszej dyrektywy naruszono, </w:t>
            </w:r>
            <w:r w:rsidRPr="00DE4C22">
              <w:rPr>
                <w:b/>
                <w:i/>
              </w:rPr>
              <w:t>mieli dostęp do mechanizmów wnoszenia skarg i środków odwoławczych</w:t>
            </w:r>
            <w:r w:rsidRPr="00DE4C22">
              <w:t xml:space="preserve"> w prawie krajowym.</w:t>
            </w:r>
          </w:p>
        </w:tc>
      </w:tr>
    </w:tbl>
    <w:p w:rsidR="007C08F5" w:rsidRPr="00DE4C22" w:rsidRDefault="00DE4C22" w:rsidP="007C08F5">
      <w:r w:rsidRPr="00DE4C22">
        <w:rPr>
          <w:rStyle w:val="HideTWBExt"/>
        </w:rPr>
        <w:t>&lt;/Amend&gt;</w:t>
      </w:r>
    </w:p>
    <w:p w:rsidR="00E35335" w:rsidRPr="00DE4C22" w:rsidRDefault="00DE4C22" w:rsidP="00E35335">
      <w:pPr>
        <w:pStyle w:val="AmNumberTabs"/>
        <w:keepNext/>
      </w:pPr>
      <w:r w:rsidRPr="00DE4C22">
        <w:rPr>
          <w:rStyle w:val="HideTWBExt"/>
          <w:b w:val="0"/>
        </w:rPr>
        <w:t>&lt;Amend&gt;</w:t>
      </w:r>
      <w:r w:rsidRPr="00DE4C22">
        <w:t>Poprawka</w:t>
      </w:r>
      <w:r w:rsidRPr="00DE4C22">
        <w:tab/>
      </w:r>
      <w:r w:rsidRPr="00DE4C22">
        <w:tab/>
      </w:r>
      <w:r w:rsidRPr="00DE4C22">
        <w:rPr>
          <w:rStyle w:val="HideTWBExt"/>
          <w:b w:val="0"/>
        </w:rPr>
        <w:t>&lt;NumAm&gt;</w:t>
      </w:r>
      <w:r w:rsidRPr="00DE4C22">
        <w:t>37</w:t>
      </w:r>
      <w:r w:rsidRPr="00DE4C22">
        <w:rPr>
          <w:rStyle w:val="HideTWBExt"/>
          <w:b w:val="0"/>
        </w:rPr>
        <w:t>&lt;/NumAm&gt;</w:t>
      </w:r>
    </w:p>
    <w:p w:rsidR="00E35335" w:rsidRPr="00DE4C22" w:rsidRDefault="00DE4C22" w:rsidP="00E35335">
      <w:pPr>
        <w:pStyle w:val="NormalBold12b"/>
        <w:keepNext/>
      </w:pPr>
      <w:r w:rsidRPr="00DE4C22">
        <w:rPr>
          <w:rStyle w:val="HideTWBExt"/>
          <w:b w:val="0"/>
        </w:rPr>
        <w:t>&lt;DocAmend&gt;</w:t>
      </w:r>
      <w:r w:rsidRPr="00DE4C22">
        <w:t>Wniosek dotyczący dyrektywy</w:t>
      </w:r>
      <w:r w:rsidRPr="00DE4C22">
        <w:rPr>
          <w:rStyle w:val="HideTWBExt"/>
          <w:b w:val="0"/>
        </w:rPr>
        <w:t>&lt;/DocAmend&gt;</w:t>
      </w:r>
    </w:p>
    <w:p w:rsidR="00E35335" w:rsidRPr="00DE4C22" w:rsidRDefault="00DE4C22" w:rsidP="00E35335">
      <w:pPr>
        <w:pStyle w:val="NormalBold"/>
        <w:keepNext/>
      </w:pPr>
      <w:r w:rsidRPr="00DE4C22">
        <w:rPr>
          <w:rStyle w:val="HideTWBExt"/>
          <w:b w:val="0"/>
        </w:rPr>
        <w:t>&lt;Article&gt;</w:t>
      </w:r>
      <w:r w:rsidRPr="00DE4C22">
        <w:t xml:space="preserve">Artykuł 1 </w:t>
      </w:r>
      <w:r w:rsidRPr="00DE4C22">
        <w:t>– akapit 1 – punkt 10</w:t>
      </w:r>
      <w:r w:rsidRPr="00DE4C22">
        <w:rPr>
          <w:rStyle w:val="HideTWBExt"/>
          <w:b w:val="0"/>
        </w:rPr>
        <w:t>&lt;/Article&gt;</w:t>
      </w:r>
    </w:p>
    <w:p w:rsidR="00E35335" w:rsidRPr="00DE4C22" w:rsidRDefault="00DE4C22" w:rsidP="00E35335">
      <w:pPr>
        <w:keepNext/>
      </w:pPr>
      <w:r w:rsidRPr="00DE4C22">
        <w:rPr>
          <w:rStyle w:val="HideTWBExt"/>
        </w:rPr>
        <w:t>&lt;DocAmend2&gt;</w:t>
      </w:r>
      <w:r w:rsidRPr="00DE4C22">
        <w:t>Dyrektywa (UE) 2015/637</w:t>
      </w:r>
      <w:r w:rsidRPr="00DE4C22">
        <w:rPr>
          <w:rStyle w:val="HideTWBExt"/>
        </w:rPr>
        <w:t>&lt;/DocAmend2&gt;</w:t>
      </w:r>
    </w:p>
    <w:p w:rsidR="00E35335" w:rsidRPr="00DE4C22" w:rsidRDefault="00DE4C22" w:rsidP="00E35335">
      <w:r w:rsidRPr="00DE4C22">
        <w:rPr>
          <w:rStyle w:val="HideTWBExt"/>
        </w:rPr>
        <w:t>&lt;Article2&gt;</w:t>
      </w:r>
      <w:r w:rsidRPr="00DE4C22">
        <w:t>Artykuł 19 – ustęp 3 – akapit 1</w:t>
      </w:r>
      <w:r w:rsidRPr="00DE4C22">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B17DB" w:rsidRPr="00DE4C22" w:rsidTr="0004333E">
        <w:trPr>
          <w:jc w:val="center"/>
        </w:trPr>
        <w:tc>
          <w:tcPr>
            <w:tcW w:w="9752" w:type="dxa"/>
            <w:gridSpan w:val="2"/>
          </w:tcPr>
          <w:p w:rsidR="00E35335" w:rsidRPr="00DE4C22" w:rsidRDefault="00E35335" w:rsidP="0004333E">
            <w:pPr>
              <w:keepNext/>
            </w:pPr>
          </w:p>
        </w:tc>
      </w:tr>
      <w:tr w:rsidR="006B17DB" w:rsidRPr="00DE4C22" w:rsidTr="0004333E">
        <w:trPr>
          <w:jc w:val="center"/>
        </w:trPr>
        <w:tc>
          <w:tcPr>
            <w:tcW w:w="4876" w:type="dxa"/>
          </w:tcPr>
          <w:p w:rsidR="00E35335" w:rsidRPr="00DE4C22" w:rsidRDefault="00DE4C22" w:rsidP="0004333E">
            <w:pPr>
              <w:pStyle w:val="AmColumnHeading"/>
              <w:keepNext/>
            </w:pPr>
            <w:r w:rsidRPr="00DE4C22">
              <w:t>Tekst proponowany przez Komisję</w:t>
            </w:r>
          </w:p>
        </w:tc>
        <w:tc>
          <w:tcPr>
            <w:tcW w:w="4876" w:type="dxa"/>
          </w:tcPr>
          <w:p w:rsidR="00E35335" w:rsidRPr="00DE4C22" w:rsidRDefault="00DE4C22" w:rsidP="0004333E">
            <w:pPr>
              <w:pStyle w:val="AmColumnHeading"/>
              <w:keepNext/>
            </w:pPr>
            <w:r w:rsidRPr="00DE4C22">
              <w:t>Poprawka</w:t>
            </w:r>
          </w:p>
        </w:tc>
      </w:tr>
      <w:tr w:rsidR="006B17DB" w:rsidRPr="00DE4C22" w:rsidTr="0004333E">
        <w:trPr>
          <w:jc w:val="center"/>
        </w:trPr>
        <w:tc>
          <w:tcPr>
            <w:tcW w:w="4876" w:type="dxa"/>
          </w:tcPr>
          <w:p w:rsidR="00E35335" w:rsidRPr="00DE4C22" w:rsidRDefault="00DE4C22" w:rsidP="0004333E">
            <w:pPr>
              <w:pStyle w:val="Normal6a"/>
            </w:pPr>
            <w:r w:rsidRPr="00DE4C22">
              <w:t xml:space="preserve">3. </w:t>
            </w:r>
            <w:r w:rsidRPr="00DE4C22">
              <w:rPr>
                <w:b/>
                <w:i/>
              </w:rPr>
              <w:t>Nie wcześniej niż [osiem lat</w:t>
            </w:r>
            <w:r w:rsidRPr="00DE4C22">
              <w:t xml:space="preserve"> po terminie transpozycji dyrektywy zmieniającej] Komisja dokonuje oceny niniejszej dyrektywy i przedstawia Parlamentowi Europejskiemu i Radzie sprawozdanie na temat głównych ustaleń.</w:t>
            </w:r>
          </w:p>
        </w:tc>
        <w:tc>
          <w:tcPr>
            <w:tcW w:w="4876" w:type="dxa"/>
          </w:tcPr>
          <w:p w:rsidR="00E35335" w:rsidRPr="00DE4C22" w:rsidRDefault="00DE4C22" w:rsidP="00500FB8">
            <w:pPr>
              <w:pStyle w:val="Normal6a"/>
              <w:rPr>
                <w:szCs w:val="24"/>
              </w:rPr>
            </w:pPr>
            <w:r w:rsidRPr="00DE4C22">
              <w:t xml:space="preserve">3. </w:t>
            </w:r>
            <w:r w:rsidRPr="00DE4C22">
              <w:rPr>
                <w:b/>
                <w:i/>
              </w:rPr>
              <w:t>Do dnia ... [cztery lata</w:t>
            </w:r>
            <w:r w:rsidRPr="00DE4C22">
              <w:t xml:space="preserve"> po terminie transpozycji dyrektywy zmieniają</w:t>
            </w:r>
            <w:r w:rsidRPr="00DE4C22">
              <w:t>cej]</w:t>
            </w:r>
            <w:r w:rsidRPr="00DE4C22">
              <w:rPr>
                <w:b/>
                <w:i/>
              </w:rPr>
              <w:t>, a następnie co cztery lata,</w:t>
            </w:r>
            <w:r w:rsidRPr="00DE4C22">
              <w:t xml:space="preserve"> Komisja dokonuje oceny </w:t>
            </w:r>
            <w:r w:rsidRPr="00DE4C22">
              <w:rPr>
                <w:b/>
                <w:i/>
              </w:rPr>
              <w:t>transpozycji i sto</w:t>
            </w:r>
            <w:bookmarkStart w:id="4" w:name="_GoBack"/>
            <w:bookmarkEnd w:id="4"/>
            <w:r w:rsidRPr="00DE4C22">
              <w:rPr>
                <w:b/>
                <w:i/>
              </w:rPr>
              <w:t xml:space="preserve">sowania </w:t>
            </w:r>
            <w:r w:rsidRPr="00DE4C22">
              <w:t>niniejszej dyrektywy i przedstawia Parlamentowi Europejskiemu i Radzie sprawozdanie na temat głównych ustaleń</w:t>
            </w:r>
            <w:r w:rsidRPr="00DE4C22">
              <w:rPr>
                <w:b/>
                <w:i/>
              </w:rPr>
              <w:t xml:space="preserve">, w tym ewentualnych naruszeń praw wynikających z niniejszej </w:t>
            </w:r>
            <w:r w:rsidRPr="00DE4C22">
              <w:rPr>
                <w:b/>
                <w:i/>
              </w:rPr>
              <w:t>dyrektywy</w:t>
            </w:r>
            <w:r w:rsidRPr="00DE4C22">
              <w:t>.</w:t>
            </w:r>
          </w:p>
        </w:tc>
      </w:tr>
    </w:tbl>
    <w:p w:rsidR="00E35335" w:rsidRPr="00DE4C22" w:rsidRDefault="00DE4C22" w:rsidP="00E35335">
      <w:r w:rsidRPr="00DE4C22">
        <w:rPr>
          <w:rStyle w:val="HideTWBExt"/>
        </w:rPr>
        <w:t>&lt;/Amend&gt;</w:t>
      </w:r>
    </w:p>
    <w:p w:rsidR="00DB56E4" w:rsidRPr="00DE4C22" w:rsidRDefault="00DE4C22" w:rsidP="00A22F26">
      <w:r w:rsidRPr="00DE4C22">
        <w:rPr>
          <w:rStyle w:val="HideTWBExt"/>
        </w:rPr>
        <w:t>&lt;/RepeatBlock-Amend&gt;</w:t>
      </w:r>
      <w:bookmarkEnd w:id="2"/>
    </w:p>
    <w:p w:rsidR="00284188" w:rsidRPr="00DE4C22" w:rsidRDefault="00284188" w:rsidP="00A22F26">
      <w:pPr>
        <w:sectPr w:rsidR="00284188" w:rsidRPr="00DE4C22" w:rsidSect="00C75C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84188" w:rsidRPr="00DE4C22" w:rsidRDefault="00DE4C22" w:rsidP="00284188">
      <w:pPr>
        <w:jc w:val="center"/>
        <w:outlineLvl w:val="0"/>
        <w:rPr>
          <w:rFonts w:ascii="Arial" w:hAnsi="Arial"/>
          <w:b/>
          <w:caps/>
        </w:rPr>
      </w:pPr>
      <w:bookmarkStart w:id="5" w:name="FootprintPageAD"/>
      <w:r w:rsidRPr="00DE4C22">
        <w:rPr>
          <w:rFonts w:ascii="Arial" w:hAnsi="Arial"/>
          <w:b/>
        </w:rPr>
        <w:lastRenderedPageBreak/>
        <w:t xml:space="preserve">ZAŁĄCZNIK: </w:t>
      </w:r>
      <w:r w:rsidRPr="00DE4C22">
        <w:rPr>
          <w:rFonts w:ascii="Arial" w:hAnsi="Arial"/>
          <w:b/>
          <w:caps/>
        </w:rPr>
        <w:t>Wykaz podmiotów lub osób,</w:t>
      </w:r>
    </w:p>
    <w:p w:rsidR="00284188" w:rsidRPr="00DE4C22" w:rsidRDefault="00DE4C22" w:rsidP="00284188">
      <w:pPr>
        <w:pStyle w:val="PageHeadingNotTOC"/>
        <w:rPr>
          <w:noProof/>
        </w:rPr>
      </w:pPr>
      <w:r w:rsidRPr="00DE4C22">
        <w:rPr>
          <w:caps/>
        </w:rPr>
        <w:t>od których sprawozdawca otrzymał uwagi</w:t>
      </w:r>
    </w:p>
    <w:p w:rsidR="00284188" w:rsidRPr="00DE4C22" w:rsidRDefault="00DE4C22" w:rsidP="008E4856">
      <w:pPr>
        <w:pStyle w:val="Normal24a"/>
      </w:pPr>
      <w:r w:rsidRPr="00DE4C22">
        <w:rPr>
          <w:rStyle w:val="HideTWBExt"/>
        </w:rPr>
        <w:t>&lt;FootprintIntro&gt;</w:t>
      </w:r>
      <w:r w:rsidRPr="00DE4C22">
        <w:t xml:space="preserve">Zgodnie z art. 8 załącznika I do Regulaminu sprawozdawca oświadcza, że przy sporządzaniu opinii, do czasu </w:t>
      </w:r>
      <w:r w:rsidRPr="00DE4C22">
        <w:t>przyjęcia jej w komisji, otrzymał informacje od następujących podmiotów lub osób:</w:t>
      </w:r>
      <w:r w:rsidRPr="00DE4C2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B17DB" w:rsidRPr="00DE4C22" w:rsidTr="008E4856">
        <w:tc>
          <w:tcPr>
            <w:tcW w:w="9286" w:type="dxa"/>
            <w:shd w:val="clear" w:color="auto" w:fill="auto"/>
          </w:tcPr>
          <w:p w:rsidR="00284188" w:rsidRPr="00DE4C22" w:rsidRDefault="00DE4C22" w:rsidP="00284188">
            <w:pPr>
              <w:pStyle w:val="NormalBoldCenter"/>
            </w:pPr>
            <w:r w:rsidRPr="00DE4C22">
              <w:t>Podmiot i/lub osoba</w:t>
            </w:r>
          </w:p>
        </w:tc>
      </w:tr>
      <w:tr w:rsidR="006B17DB" w:rsidRPr="00DE4C22" w:rsidTr="008E4856">
        <w:tc>
          <w:tcPr>
            <w:tcW w:w="9286" w:type="dxa"/>
            <w:shd w:val="clear" w:color="auto" w:fill="auto"/>
          </w:tcPr>
          <w:p w:rsidR="00284188" w:rsidRPr="00DE4C22" w:rsidRDefault="00DE4C22" w:rsidP="00284188">
            <w:r w:rsidRPr="00DE4C22">
              <w:t>Europejska Służba Działań Zewnętrznych</w:t>
            </w:r>
          </w:p>
        </w:tc>
      </w:tr>
      <w:tr w:rsidR="006B17DB" w:rsidRPr="00DE4C22" w:rsidTr="008E4856">
        <w:tc>
          <w:tcPr>
            <w:tcW w:w="9286" w:type="dxa"/>
            <w:shd w:val="clear" w:color="auto" w:fill="auto"/>
          </w:tcPr>
          <w:p w:rsidR="00284188" w:rsidRPr="00DE4C22" w:rsidRDefault="00DE4C22" w:rsidP="00284188">
            <w:r w:rsidRPr="00DE4C22">
              <w:t>Komisja Europejska</w:t>
            </w:r>
          </w:p>
        </w:tc>
      </w:tr>
    </w:tbl>
    <w:p w:rsidR="00284188" w:rsidRPr="00DE4C22" w:rsidRDefault="00284188" w:rsidP="008E4856"/>
    <w:p w:rsidR="00284188" w:rsidRPr="00DE4C22" w:rsidRDefault="00DE4C22" w:rsidP="008E4856">
      <w:r w:rsidRPr="00DE4C22">
        <w:t xml:space="preserve">Powyższy wykaz został sporządzony na wyłączną odpowiedzialność </w:t>
      </w:r>
      <w:r w:rsidRPr="00DE4C22">
        <w:t>sprawozdawcy.</w:t>
      </w:r>
    </w:p>
    <w:p w:rsidR="00242D6B" w:rsidRPr="00DE4C22" w:rsidRDefault="00242D6B" w:rsidP="008E4856"/>
    <w:p w:rsidR="00242D6B" w:rsidRPr="00DE4C22" w:rsidRDefault="00242D6B" w:rsidP="008E4856"/>
    <w:p w:rsidR="00284188" w:rsidRPr="00DE4C22" w:rsidRDefault="00284188" w:rsidP="00284188"/>
    <w:bookmarkEnd w:id="5"/>
    <w:p w:rsidR="008E4856" w:rsidRPr="00DE4C22" w:rsidRDefault="00DE4C22" w:rsidP="008E4856">
      <w:r w:rsidRPr="00DE4C22">
        <w:br w:type="page"/>
      </w:r>
    </w:p>
    <w:p w:rsidR="008E4856" w:rsidRPr="00DE4C22" w:rsidRDefault="00DE4C22" w:rsidP="008E4856">
      <w:pPr>
        <w:pStyle w:val="PageHeadingNotTOC"/>
      </w:pPr>
      <w:bookmarkStart w:id="6" w:name="ProcPageAD"/>
      <w:r w:rsidRPr="00DE4C22">
        <w:lastRenderedPageBreak/>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Środki koordynacji i współpracy mające ułatwić ochronę konsularną niereprezentowanych obywateli Unii w państwach trzecich</w:t>
            </w:r>
          </w:p>
        </w:tc>
      </w:tr>
      <w:tr w:rsidR="006B17DB" w:rsidRPr="00DE4C2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COM(2023)0930 – C9-0015/2024 – 2023/0441(CNS)</w:t>
            </w: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 xml:space="preserve">Komisja </w:t>
            </w:r>
            <w:r w:rsidRPr="00DE4C22">
              <w:rPr>
                <w:b/>
                <w:color w:val="000000"/>
                <w:sz w:val="20"/>
              </w:rPr>
              <w:t>przedmiotowo właściwa</w:t>
            </w:r>
          </w:p>
          <w:p w:rsidR="008E4856" w:rsidRPr="00DE4C22" w:rsidRDefault="00DE4C22">
            <w:pPr>
              <w:autoSpaceDE w:val="0"/>
              <w:autoSpaceDN w:val="0"/>
              <w:adjustRightInd w:val="0"/>
              <w:rPr>
                <w:color w:val="000000"/>
                <w:sz w:val="20"/>
                <w:szCs w:val="20"/>
              </w:rPr>
            </w:pPr>
            <w:r w:rsidRPr="00DE4C22">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LIBE</w:t>
            </w:r>
          </w:p>
          <w:p w:rsidR="008E4856" w:rsidRPr="00DE4C22" w:rsidRDefault="00DE4C22">
            <w:pPr>
              <w:autoSpaceDE w:val="0"/>
              <w:autoSpaceDN w:val="0"/>
              <w:adjustRightInd w:val="0"/>
              <w:rPr>
                <w:color w:val="000000"/>
                <w:sz w:val="20"/>
                <w:szCs w:val="20"/>
              </w:rPr>
            </w:pPr>
            <w:r w:rsidRPr="00DE4C22">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Opinia wydana przez</w:t>
            </w:r>
          </w:p>
          <w:p w:rsidR="008E4856" w:rsidRPr="00DE4C22" w:rsidRDefault="00DE4C22">
            <w:pPr>
              <w:autoSpaceDE w:val="0"/>
              <w:autoSpaceDN w:val="0"/>
              <w:adjustRightInd w:val="0"/>
              <w:rPr>
                <w:color w:val="000000"/>
                <w:sz w:val="20"/>
                <w:szCs w:val="20"/>
              </w:rPr>
            </w:pPr>
            <w:r w:rsidRPr="00DE4C22">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AFET</w:t>
            </w:r>
          </w:p>
          <w:p w:rsidR="008E4856" w:rsidRPr="00DE4C22" w:rsidRDefault="00DE4C22">
            <w:pPr>
              <w:autoSpaceDE w:val="0"/>
              <w:autoSpaceDN w:val="0"/>
              <w:adjustRightInd w:val="0"/>
              <w:rPr>
                <w:color w:val="000000"/>
                <w:sz w:val="20"/>
                <w:szCs w:val="20"/>
              </w:rPr>
            </w:pPr>
            <w:r w:rsidRPr="00DE4C22">
              <w:rPr>
                <w:color w:val="000000"/>
                <w:sz w:val="20"/>
              </w:rPr>
              <w:t>14.3.2024</w:t>
            </w: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Sprawozdawca komisji opiniodawczej</w:t>
            </w:r>
          </w:p>
          <w:p w:rsidR="008E4856" w:rsidRPr="00DE4C22" w:rsidRDefault="00DE4C22">
            <w:pPr>
              <w:autoSpaceDE w:val="0"/>
              <w:autoSpaceDN w:val="0"/>
              <w:adjustRightInd w:val="0"/>
              <w:rPr>
                <w:color w:val="000000"/>
                <w:sz w:val="20"/>
                <w:szCs w:val="20"/>
              </w:rPr>
            </w:pPr>
            <w:r w:rsidRPr="00DE4C22">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Nacho Sánchez Amor</w:t>
            </w:r>
          </w:p>
          <w:p w:rsidR="008E4856" w:rsidRPr="00DE4C22" w:rsidRDefault="00DE4C22">
            <w:pPr>
              <w:autoSpaceDE w:val="0"/>
              <w:autoSpaceDN w:val="0"/>
              <w:adjustRightInd w:val="0"/>
              <w:rPr>
                <w:color w:val="000000"/>
                <w:sz w:val="20"/>
                <w:szCs w:val="20"/>
              </w:rPr>
            </w:pPr>
            <w:r w:rsidRPr="00DE4C22">
              <w:rPr>
                <w:color w:val="000000"/>
                <w:sz w:val="20"/>
              </w:rPr>
              <w:t>20.2.2024</w:t>
            </w: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 xml:space="preserve">Rozpatrzenie w </w:t>
            </w:r>
            <w:r w:rsidRPr="00DE4C22">
              <w:rPr>
                <w:b/>
                <w:color w:val="000000"/>
                <w:sz w:val="20"/>
              </w:rPr>
              <w:t>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r>
      <w:tr w:rsidR="006B17DB" w:rsidRPr="00DE4C2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E4856" w:rsidRPr="00DE4C22" w:rsidRDefault="008E4856">
            <w:pPr>
              <w:autoSpaceDE w:val="0"/>
              <w:autoSpaceDN w:val="0"/>
              <w:adjustRightInd w:val="0"/>
              <w:rPr>
                <w:rFonts w:ascii="sans-serif" w:hAnsi="sans-serif" w:cs="sans-serif"/>
                <w:color w:val="000000"/>
              </w:rPr>
            </w:pP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w:t>
            </w:r>
          </w:p>
          <w:p w:rsidR="008E4856" w:rsidRPr="00DE4C22" w:rsidRDefault="00DE4C22">
            <w:pPr>
              <w:autoSpaceDE w:val="0"/>
              <w:autoSpaceDN w:val="0"/>
              <w:adjustRightInd w:val="0"/>
              <w:rPr>
                <w:color w:val="000000"/>
                <w:sz w:val="20"/>
                <w:szCs w:val="20"/>
              </w:rPr>
            </w:pPr>
            <w:r w:rsidRPr="00DE4C22">
              <w:rPr>
                <w:color w:val="000000"/>
                <w:sz w:val="20"/>
              </w:rPr>
              <w:t>–:</w:t>
            </w:r>
          </w:p>
          <w:p w:rsidR="008E4856" w:rsidRPr="00DE4C22" w:rsidRDefault="00DE4C22">
            <w:pPr>
              <w:autoSpaceDE w:val="0"/>
              <w:autoSpaceDN w:val="0"/>
              <w:adjustRightInd w:val="0"/>
              <w:rPr>
                <w:color w:val="000000"/>
                <w:sz w:val="20"/>
                <w:szCs w:val="20"/>
              </w:rPr>
            </w:pPr>
            <w:r w:rsidRPr="00DE4C2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43</w:t>
            </w:r>
          </w:p>
          <w:p w:rsidR="008E4856" w:rsidRPr="00DE4C22" w:rsidRDefault="00DE4C22">
            <w:pPr>
              <w:autoSpaceDE w:val="0"/>
              <w:autoSpaceDN w:val="0"/>
              <w:adjustRightInd w:val="0"/>
              <w:rPr>
                <w:color w:val="000000"/>
                <w:sz w:val="20"/>
                <w:szCs w:val="20"/>
              </w:rPr>
            </w:pPr>
            <w:r w:rsidRPr="00DE4C22">
              <w:rPr>
                <w:color w:val="000000"/>
                <w:sz w:val="20"/>
              </w:rPr>
              <w:t>3</w:t>
            </w:r>
          </w:p>
          <w:p w:rsidR="008E4856" w:rsidRPr="00DE4C22" w:rsidRDefault="00DE4C22">
            <w:pPr>
              <w:autoSpaceDE w:val="0"/>
              <w:autoSpaceDN w:val="0"/>
              <w:adjustRightInd w:val="0"/>
              <w:rPr>
                <w:color w:val="000000"/>
                <w:sz w:val="20"/>
                <w:szCs w:val="20"/>
              </w:rPr>
            </w:pPr>
            <w:r w:rsidRPr="00DE4C22">
              <w:rPr>
                <w:color w:val="000000"/>
                <w:sz w:val="20"/>
              </w:rPr>
              <w:t>4</w:t>
            </w:r>
          </w:p>
        </w:tc>
      </w:tr>
      <w:tr w:rsidR="006B17DB" w:rsidRPr="00DE4C2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 xml:space="preserve">Alviina Alametsä, Alexander Alexandrov Yordanov, Maria Arena, Traian Băsescu, Krzysztof Brejza, Reinhard Bütikofer, </w:t>
            </w:r>
            <w:r w:rsidRPr="00DE4C22">
              <w:rPr>
                <w:color w:val="000000"/>
                <w:sz w:val="20"/>
              </w:rPr>
              <w:t>Susanna Ceccardi, Włodzimierz Cimoszewicz, Katalin Cseh, Michael Gahler, Kinga Gál, Bernard Guetta, Andrius Kubilius, David Lega, Nathalie Loiseau, Leopoldo López Gil, Lukas Mandl, Thierry Mariani, David McAllister, Vangelis Meimarakis, Sven Mikser, Alessa</w:t>
            </w:r>
            <w:r w:rsidRPr="00DE4C22">
              <w:rPr>
                <w:color w:val="000000"/>
                <w:sz w:val="20"/>
              </w:rPr>
              <w:t>ndra Moretti, Matjaž Nemec, Demetris Papadakis, Tonino Picula, Thijs Reuten, Nacho Sánchez Amor, Isabel Santos, Jordi Solé, Tineke Strik, Dominik Tarczyński, Hermann Tertsch, Idoia Villanueva Ruiz, Thomas Waitz, Isabel Wiseler-Lima, Tomáš Zdechovský, Želja</w:t>
            </w:r>
            <w:r w:rsidRPr="00DE4C22">
              <w:rPr>
                <w:color w:val="000000"/>
                <w:sz w:val="20"/>
              </w:rPr>
              <w:t>na Zovko</w:t>
            </w:r>
          </w:p>
        </w:tc>
      </w:tr>
      <w:tr w:rsidR="006B17DB" w:rsidRPr="00DE4C2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Udo Bullmann, Michael Kauch, Andrey Kovatchev, Georgios Kyrtsos, Juozas Olekas, Nikos Papandreou, María Soraya Rodríguez Ramos, Mick Wallace, Javier Zarzalejos</w:t>
            </w:r>
          </w:p>
        </w:tc>
      </w:tr>
      <w:tr w:rsidR="006B17DB" w:rsidRPr="00DE4C2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b/>
                <w:bCs/>
                <w:color w:val="000000"/>
                <w:sz w:val="20"/>
                <w:szCs w:val="20"/>
              </w:rPr>
            </w:pPr>
            <w:r w:rsidRPr="00DE4C22">
              <w:rPr>
                <w:b/>
                <w:color w:val="000000"/>
                <w:sz w:val="20"/>
              </w:rPr>
              <w:t xml:space="preserve">Zastępcy (art. 209 ust. 7) obecni </w:t>
            </w:r>
            <w:r w:rsidRPr="00DE4C22">
              <w:rPr>
                <w:b/>
                <w:color w:val="000000"/>
                <w:sz w:val="20"/>
              </w:rPr>
              <w:t>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E4856" w:rsidRPr="00DE4C22" w:rsidRDefault="00DE4C22">
            <w:pPr>
              <w:autoSpaceDE w:val="0"/>
              <w:autoSpaceDN w:val="0"/>
              <w:adjustRightInd w:val="0"/>
              <w:rPr>
                <w:color w:val="000000"/>
                <w:sz w:val="20"/>
                <w:szCs w:val="20"/>
              </w:rPr>
            </w:pPr>
            <w:r w:rsidRPr="00DE4C22">
              <w:rPr>
                <w:color w:val="000000"/>
                <w:sz w:val="20"/>
              </w:rPr>
              <w:t>Theresa Bielowski, Sylvie Guillaume, Andrey Novakov, Juan Ignacio Zoido Álvarez</w:t>
            </w:r>
          </w:p>
        </w:tc>
      </w:tr>
    </w:tbl>
    <w:p w:rsidR="008E4856" w:rsidRPr="00DE4C22" w:rsidRDefault="008E4856"/>
    <w:bookmarkEnd w:id="6"/>
    <w:p w:rsidR="00284188" w:rsidRPr="00DE4C22" w:rsidRDefault="00284188" w:rsidP="008E4856">
      <w:pPr>
        <w:sectPr w:rsidR="00284188" w:rsidRPr="00DE4C22" w:rsidSect="0028418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2F26" w:rsidRPr="00DE4C22" w:rsidRDefault="00DE4C22" w:rsidP="008E4856">
      <w:pPr>
        <w:pStyle w:val="PageHeadingNotTOC"/>
      </w:pPr>
      <w:bookmarkStart w:id="7" w:name="RollCallPageAD"/>
      <w:r w:rsidRPr="00DE4C22">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17DB" w:rsidRPr="00DE4C22" w:rsidTr="000549C0">
        <w:trPr>
          <w:cantSplit/>
        </w:trPr>
        <w:tc>
          <w:tcPr>
            <w:tcW w:w="1701" w:type="dxa"/>
            <w:shd w:val="pct10" w:color="000000" w:fill="FFFFFF"/>
            <w:vAlign w:val="center"/>
          </w:tcPr>
          <w:p w:rsidR="00A22F26" w:rsidRPr="00DE4C22" w:rsidRDefault="00DE4C22" w:rsidP="000549C0">
            <w:pPr>
              <w:pStyle w:val="RollCallVotes"/>
            </w:pPr>
            <w:r w:rsidRPr="00DE4C22">
              <w:t>43</w:t>
            </w:r>
          </w:p>
        </w:tc>
        <w:tc>
          <w:tcPr>
            <w:tcW w:w="7371" w:type="dxa"/>
            <w:shd w:val="pct10" w:color="000000" w:fill="FFFFFF"/>
          </w:tcPr>
          <w:p w:rsidR="00A22F26" w:rsidRPr="00DE4C22" w:rsidRDefault="00DE4C22" w:rsidP="000549C0">
            <w:pPr>
              <w:pStyle w:val="RollCallSymbols14pt"/>
            </w:pPr>
            <w:r w:rsidRPr="00DE4C22">
              <w:t>+</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PPE</w:t>
            </w:r>
          </w:p>
        </w:tc>
        <w:tc>
          <w:tcPr>
            <w:tcW w:w="7371" w:type="dxa"/>
            <w:shd w:val="clear" w:color="auto" w:fill="FFFFFF"/>
          </w:tcPr>
          <w:p w:rsidR="00A22F26" w:rsidRPr="00DE4C22" w:rsidRDefault="00DE4C22" w:rsidP="000549C0">
            <w:pPr>
              <w:pStyle w:val="RollCallTable"/>
            </w:pPr>
            <w:r w:rsidRPr="00DE4C22">
              <w:t xml:space="preserve">Alexander Alexandrov Yordanov, </w:t>
            </w:r>
            <w:r w:rsidRPr="00DE4C22">
              <w:t>Traian Băsescu, Krzysztof Brejza, Michael Gahler, Andrey Kovatchev, Andrius Kubilius, Leopoldo López Gil, David McAllister, Lukas Mandl, Vangelis Meimarakis, Andrey Novakov, Isabel Wiseler-Lima, Javier Zarzalejos, Tomáš Zdechovský, Juan Ignacio Zoido Álvar</w:t>
            </w:r>
            <w:r w:rsidRPr="00DE4C22">
              <w:t>ez, Željana Zovko</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Renew</w:t>
            </w:r>
          </w:p>
        </w:tc>
        <w:tc>
          <w:tcPr>
            <w:tcW w:w="7371" w:type="dxa"/>
            <w:shd w:val="clear" w:color="auto" w:fill="FFFFFF"/>
          </w:tcPr>
          <w:p w:rsidR="00A22F26" w:rsidRPr="00DE4C22" w:rsidRDefault="00DE4C22" w:rsidP="000549C0">
            <w:pPr>
              <w:pStyle w:val="RollCallTable"/>
            </w:pPr>
            <w:r w:rsidRPr="00DE4C22">
              <w:t>Katalin Cseh, Bernard Guetta, Michael Kauch, Georgios Kyrtsos, Nathalie Loiseau, María Soraya Rodríguez Ramos</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S&amp;D</w:t>
            </w:r>
          </w:p>
        </w:tc>
        <w:tc>
          <w:tcPr>
            <w:tcW w:w="7371" w:type="dxa"/>
            <w:shd w:val="clear" w:color="auto" w:fill="FFFFFF"/>
          </w:tcPr>
          <w:p w:rsidR="00A22F26" w:rsidRPr="00DE4C22" w:rsidRDefault="00DE4C22" w:rsidP="000549C0">
            <w:pPr>
              <w:pStyle w:val="RollCallTable"/>
            </w:pPr>
            <w:r w:rsidRPr="00DE4C22">
              <w:t xml:space="preserve">Maria Arena, Theresa Bielowski, Udo Bullmann, Włodzimierz Cimoszewicz, Sylvie Guillaume, Sven Mikser, Alessandra </w:t>
            </w:r>
            <w:r w:rsidRPr="00DE4C22">
              <w:t>Moretti, Matjaž Nemec, Juozas Olekas, Demetris Papadakis, Nikos Papandreou, Tonino Picula, Thijs Reuten, Nacho Sánchez Amor, Isabel Santos</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The Left</w:t>
            </w:r>
          </w:p>
        </w:tc>
        <w:tc>
          <w:tcPr>
            <w:tcW w:w="7371" w:type="dxa"/>
            <w:shd w:val="clear" w:color="auto" w:fill="FFFFFF"/>
          </w:tcPr>
          <w:p w:rsidR="00A22F26" w:rsidRPr="00DE4C22" w:rsidRDefault="00DE4C22" w:rsidP="000549C0">
            <w:pPr>
              <w:pStyle w:val="RollCallTable"/>
            </w:pPr>
            <w:r w:rsidRPr="00DE4C22">
              <w:t>Idoia Villanueva Ruiz</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Verts/ALE</w:t>
            </w:r>
          </w:p>
        </w:tc>
        <w:tc>
          <w:tcPr>
            <w:tcW w:w="7371" w:type="dxa"/>
            <w:shd w:val="clear" w:color="auto" w:fill="FFFFFF"/>
          </w:tcPr>
          <w:p w:rsidR="00A22F26" w:rsidRPr="00DE4C22" w:rsidRDefault="00DE4C22" w:rsidP="000549C0">
            <w:pPr>
              <w:pStyle w:val="RollCallTable"/>
            </w:pPr>
            <w:r w:rsidRPr="00DE4C22">
              <w:t>Alviina Alametsä, Reinhard Bütikofer, Jordi Solé, Tineke Strik, Thomas Wai</w:t>
            </w:r>
            <w:r w:rsidRPr="00DE4C22">
              <w:t>tz</w:t>
            </w:r>
          </w:p>
        </w:tc>
      </w:tr>
    </w:tbl>
    <w:p w:rsidR="00A22F26" w:rsidRPr="00DE4C22"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17DB" w:rsidRPr="00DE4C22" w:rsidTr="000549C0">
        <w:trPr>
          <w:cantSplit/>
        </w:trPr>
        <w:tc>
          <w:tcPr>
            <w:tcW w:w="1701" w:type="dxa"/>
            <w:shd w:val="pct10" w:color="000000" w:fill="FFFFFF"/>
            <w:vAlign w:val="center"/>
          </w:tcPr>
          <w:p w:rsidR="00A22F26" w:rsidRPr="00DE4C22" w:rsidRDefault="00DE4C22" w:rsidP="000549C0">
            <w:pPr>
              <w:pStyle w:val="RollCallVotes"/>
            </w:pPr>
            <w:r w:rsidRPr="00DE4C22">
              <w:t>3</w:t>
            </w:r>
          </w:p>
        </w:tc>
        <w:tc>
          <w:tcPr>
            <w:tcW w:w="7371" w:type="dxa"/>
            <w:shd w:val="pct10" w:color="000000" w:fill="FFFFFF"/>
          </w:tcPr>
          <w:p w:rsidR="00A22F26" w:rsidRPr="00DE4C22" w:rsidRDefault="00DE4C22" w:rsidP="000549C0">
            <w:pPr>
              <w:pStyle w:val="RollCallSymbols14pt"/>
            </w:pPr>
            <w:r w:rsidRPr="00DE4C22">
              <w:t>-</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ECR</w:t>
            </w:r>
          </w:p>
        </w:tc>
        <w:tc>
          <w:tcPr>
            <w:tcW w:w="7371" w:type="dxa"/>
            <w:shd w:val="clear" w:color="auto" w:fill="FFFFFF"/>
          </w:tcPr>
          <w:p w:rsidR="00A22F26" w:rsidRPr="00DE4C22" w:rsidRDefault="00DE4C22" w:rsidP="000549C0">
            <w:pPr>
              <w:pStyle w:val="RollCallTable"/>
            </w:pPr>
            <w:r w:rsidRPr="00DE4C22">
              <w:t>Dominik Tarczyński, Hermann Tertsch</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ID</w:t>
            </w:r>
          </w:p>
        </w:tc>
        <w:tc>
          <w:tcPr>
            <w:tcW w:w="7371" w:type="dxa"/>
            <w:shd w:val="clear" w:color="auto" w:fill="FFFFFF"/>
          </w:tcPr>
          <w:p w:rsidR="00A22F26" w:rsidRPr="00DE4C22" w:rsidRDefault="00DE4C22" w:rsidP="000549C0">
            <w:pPr>
              <w:pStyle w:val="RollCallTable"/>
            </w:pPr>
            <w:r w:rsidRPr="00DE4C22">
              <w:t>Thierry Mariani</w:t>
            </w:r>
          </w:p>
        </w:tc>
      </w:tr>
    </w:tbl>
    <w:p w:rsidR="00A22F26" w:rsidRPr="00DE4C22" w:rsidRDefault="00A22F26" w:rsidP="000549C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B17DB" w:rsidRPr="00DE4C22" w:rsidTr="000549C0">
        <w:trPr>
          <w:cantSplit/>
        </w:trPr>
        <w:tc>
          <w:tcPr>
            <w:tcW w:w="1701" w:type="dxa"/>
            <w:shd w:val="pct10" w:color="000000" w:fill="FFFFFF"/>
            <w:vAlign w:val="center"/>
          </w:tcPr>
          <w:p w:rsidR="00A22F26" w:rsidRPr="00DE4C22" w:rsidRDefault="00DE4C22" w:rsidP="000549C0">
            <w:pPr>
              <w:pStyle w:val="RollCallVotes"/>
            </w:pPr>
            <w:r w:rsidRPr="00DE4C22">
              <w:t>4</w:t>
            </w:r>
          </w:p>
        </w:tc>
        <w:tc>
          <w:tcPr>
            <w:tcW w:w="7371" w:type="dxa"/>
            <w:shd w:val="pct10" w:color="000000" w:fill="FFFFFF"/>
          </w:tcPr>
          <w:p w:rsidR="00A22F26" w:rsidRPr="00DE4C22" w:rsidRDefault="00DE4C22" w:rsidP="000549C0">
            <w:pPr>
              <w:pStyle w:val="RollCallSymbols14pt"/>
            </w:pPr>
            <w:r w:rsidRPr="00DE4C22">
              <w:t>0</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ID</w:t>
            </w:r>
          </w:p>
        </w:tc>
        <w:tc>
          <w:tcPr>
            <w:tcW w:w="7371" w:type="dxa"/>
            <w:shd w:val="clear" w:color="auto" w:fill="FFFFFF"/>
          </w:tcPr>
          <w:p w:rsidR="00A22F26" w:rsidRPr="00DE4C22" w:rsidRDefault="00DE4C22" w:rsidP="000549C0">
            <w:pPr>
              <w:pStyle w:val="RollCallTable"/>
            </w:pPr>
            <w:r w:rsidRPr="00DE4C22">
              <w:t>Susanna Ceccardi</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NI</w:t>
            </w:r>
          </w:p>
        </w:tc>
        <w:tc>
          <w:tcPr>
            <w:tcW w:w="7371" w:type="dxa"/>
            <w:shd w:val="clear" w:color="auto" w:fill="FFFFFF"/>
          </w:tcPr>
          <w:p w:rsidR="00A22F26" w:rsidRPr="00DE4C22" w:rsidRDefault="00DE4C22" w:rsidP="000549C0">
            <w:pPr>
              <w:pStyle w:val="RollCallTable"/>
            </w:pPr>
            <w:r w:rsidRPr="00DE4C22">
              <w:t>Kinga Gál</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PPE</w:t>
            </w:r>
          </w:p>
        </w:tc>
        <w:tc>
          <w:tcPr>
            <w:tcW w:w="7371" w:type="dxa"/>
            <w:shd w:val="clear" w:color="auto" w:fill="FFFFFF"/>
          </w:tcPr>
          <w:p w:rsidR="00A22F26" w:rsidRPr="00DE4C22" w:rsidRDefault="00DE4C22" w:rsidP="000549C0">
            <w:pPr>
              <w:pStyle w:val="RollCallTable"/>
            </w:pPr>
            <w:r w:rsidRPr="00DE4C22">
              <w:t>David Lega</w:t>
            </w:r>
          </w:p>
        </w:tc>
      </w:tr>
      <w:tr w:rsidR="006B17DB" w:rsidRPr="00DE4C22" w:rsidTr="000549C0">
        <w:trPr>
          <w:cantSplit/>
        </w:trPr>
        <w:tc>
          <w:tcPr>
            <w:tcW w:w="1701" w:type="dxa"/>
            <w:shd w:val="clear" w:color="auto" w:fill="FFFFFF"/>
          </w:tcPr>
          <w:p w:rsidR="00A22F26" w:rsidRPr="00DE4C22" w:rsidRDefault="00DE4C22" w:rsidP="000549C0">
            <w:pPr>
              <w:pStyle w:val="RollCallTable"/>
            </w:pPr>
            <w:r w:rsidRPr="00DE4C22">
              <w:t>The Left</w:t>
            </w:r>
          </w:p>
        </w:tc>
        <w:tc>
          <w:tcPr>
            <w:tcW w:w="7371" w:type="dxa"/>
            <w:shd w:val="clear" w:color="auto" w:fill="FFFFFF"/>
          </w:tcPr>
          <w:p w:rsidR="00A22F26" w:rsidRPr="00DE4C22" w:rsidRDefault="00DE4C22" w:rsidP="000549C0">
            <w:pPr>
              <w:pStyle w:val="RollCallTable"/>
            </w:pPr>
            <w:r w:rsidRPr="00DE4C22">
              <w:t>Mick Wallace</w:t>
            </w:r>
          </w:p>
        </w:tc>
      </w:tr>
    </w:tbl>
    <w:p w:rsidR="00A22F26" w:rsidRPr="00DE4C22" w:rsidRDefault="00A22F26" w:rsidP="000549C0">
      <w:pPr>
        <w:pStyle w:val="Normal12a"/>
      </w:pPr>
    </w:p>
    <w:p w:rsidR="00A22F26" w:rsidRPr="00DE4C22" w:rsidRDefault="00DE4C22" w:rsidP="00A22F26">
      <w:pPr>
        <w:rPr>
          <w:szCs w:val="20"/>
        </w:rPr>
      </w:pPr>
      <w:r w:rsidRPr="00DE4C22">
        <w:t>Objaśnienie używanych znaków:</w:t>
      </w:r>
    </w:p>
    <w:p w:rsidR="00A22F26" w:rsidRPr="00DE4C22" w:rsidRDefault="00DE4C22" w:rsidP="00A22F26">
      <w:pPr>
        <w:pStyle w:val="RollCallTabs"/>
      </w:pPr>
      <w:r w:rsidRPr="00DE4C22">
        <w:t>+</w:t>
      </w:r>
      <w:r w:rsidRPr="00DE4C22">
        <w:tab/>
        <w:t>:</w:t>
      </w:r>
      <w:r w:rsidRPr="00DE4C22">
        <w:tab/>
        <w:t>za</w:t>
      </w:r>
    </w:p>
    <w:p w:rsidR="00A22F26" w:rsidRPr="00DE4C22" w:rsidRDefault="00DE4C22" w:rsidP="00A22F26">
      <w:pPr>
        <w:pStyle w:val="RollCallTabs"/>
      </w:pPr>
      <w:r w:rsidRPr="00DE4C22">
        <w:t>-</w:t>
      </w:r>
      <w:r w:rsidRPr="00DE4C22">
        <w:tab/>
        <w:t>:</w:t>
      </w:r>
      <w:r w:rsidRPr="00DE4C22">
        <w:tab/>
        <w:t>przeciw</w:t>
      </w:r>
    </w:p>
    <w:p w:rsidR="00A22F26" w:rsidRPr="00DE4C22" w:rsidRDefault="00DE4C22" w:rsidP="00A22F26">
      <w:pPr>
        <w:pStyle w:val="RollCallTabs"/>
      </w:pPr>
      <w:r w:rsidRPr="00DE4C22">
        <w:t>0</w:t>
      </w:r>
      <w:r w:rsidRPr="00DE4C22">
        <w:tab/>
        <w:t>:</w:t>
      </w:r>
      <w:r w:rsidRPr="00DE4C22">
        <w:tab/>
        <w:t>wstrzymało się</w:t>
      </w:r>
    </w:p>
    <w:p w:rsidR="00A22F26" w:rsidRPr="00DE4C22" w:rsidRDefault="00A22F26" w:rsidP="000549C0"/>
    <w:bookmarkEnd w:id="7"/>
    <w:p w:rsidR="00DB56E4" w:rsidRPr="00DE4C22" w:rsidRDefault="00DB56E4" w:rsidP="00A22F26"/>
    <w:sectPr w:rsidR="00DB56E4" w:rsidRPr="00DE4C22" w:rsidSect="002841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75C64" w:rsidRDefault="00DE4C22">
      <w:r w:rsidRPr="00C75C64">
        <w:separator/>
      </w:r>
    </w:p>
  </w:endnote>
  <w:endnote w:type="continuationSeparator" w:id="0">
    <w:p w:rsidR="00000000" w:rsidRPr="00C75C64" w:rsidRDefault="00DE4C22">
      <w:r w:rsidRPr="00C75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64" w:rsidRPr="00C75C64" w:rsidRDefault="00C75C64" w:rsidP="00C75C64">
    <w:pPr>
      <w:pStyle w:val="EPFooter"/>
    </w:pPr>
    <w:r w:rsidRPr="00C75C64">
      <w:t>PE</w:t>
    </w:r>
    <w:r w:rsidRPr="00C75C64">
      <w:rPr>
        <w:rStyle w:val="HideTWBExt"/>
      </w:rPr>
      <w:t>&lt;NoPE&gt;</w:t>
    </w:r>
    <w:r w:rsidRPr="00C75C64">
      <w:t>758.853</w:t>
    </w:r>
    <w:r w:rsidRPr="00C75C64">
      <w:rPr>
        <w:rStyle w:val="HideTWBExt"/>
      </w:rPr>
      <w:t>&lt;/NoPE&gt;&lt;Version&gt;</w:t>
    </w:r>
    <w:r w:rsidRPr="00C75C64">
      <w:t>v02-00</w:t>
    </w:r>
    <w:r w:rsidRPr="00C75C64">
      <w:rPr>
        <w:rStyle w:val="HideTWBExt"/>
      </w:rPr>
      <w:t>&lt;/Version&gt;</w:t>
    </w:r>
    <w:r w:rsidRPr="00C75C64">
      <w:tab/>
    </w:r>
    <w:r w:rsidRPr="00C75C64">
      <w:fldChar w:fldCharType="begin"/>
    </w:r>
    <w:r w:rsidRPr="00C75C64">
      <w:instrText xml:space="preserve"> PAGE  \* MERGEFORMAT </w:instrText>
    </w:r>
    <w:r w:rsidRPr="00C75C64">
      <w:fldChar w:fldCharType="separate"/>
    </w:r>
    <w:r w:rsidR="00DE4C22">
      <w:rPr>
        <w:noProof/>
      </w:rPr>
      <w:t>26</w:t>
    </w:r>
    <w:r w:rsidRPr="00C75C64">
      <w:fldChar w:fldCharType="end"/>
    </w:r>
    <w:r w:rsidRPr="00C75C64">
      <w:t>/</w:t>
    </w:r>
    <w:fldSimple w:instr=" NUMPAGES  \* MERGEFORMAT ">
      <w:r w:rsidR="00DE4C22">
        <w:rPr>
          <w:noProof/>
        </w:rPr>
        <w:t>26</w:t>
      </w:r>
    </w:fldSimple>
    <w:r w:rsidRPr="00C75C64">
      <w:tab/>
    </w:r>
    <w:r w:rsidRPr="00C75C64">
      <w:rPr>
        <w:rStyle w:val="HideTWBExt"/>
      </w:rPr>
      <w:t>&lt;PathFdR&gt;</w:t>
    </w:r>
    <w:r w:rsidRPr="00C75C64">
      <w:t>AD\1299352PL.docx</w:t>
    </w:r>
    <w:r w:rsidRPr="00C75C64">
      <w:rPr>
        <w:rStyle w:val="HideTWBExt"/>
      </w:rPr>
      <w:t>&lt;/PathFdR&gt;</w:t>
    </w:r>
  </w:p>
  <w:p w:rsidR="00F35FBA" w:rsidRPr="00C75C64" w:rsidRDefault="00C75C64" w:rsidP="00C75C64">
    <w:pPr>
      <w:pStyle w:val="EPFooter2"/>
    </w:pPr>
    <w:r w:rsidRPr="00C75C6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64" w:rsidRPr="00C75C64" w:rsidRDefault="00C75C64" w:rsidP="00C75C64">
    <w:pPr>
      <w:pStyle w:val="EPFooter"/>
    </w:pPr>
    <w:r w:rsidRPr="00C75C64">
      <w:rPr>
        <w:rStyle w:val="HideTWBExt"/>
      </w:rPr>
      <w:t>&lt;PathFdR&gt;</w:t>
    </w:r>
    <w:r w:rsidRPr="00C75C64">
      <w:t>AD\1299352PL.docx</w:t>
    </w:r>
    <w:r w:rsidRPr="00C75C64">
      <w:rPr>
        <w:rStyle w:val="HideTWBExt"/>
      </w:rPr>
      <w:t>&lt;/PathFdR&gt;</w:t>
    </w:r>
    <w:r w:rsidRPr="00C75C64">
      <w:tab/>
    </w:r>
    <w:r w:rsidRPr="00C75C64">
      <w:fldChar w:fldCharType="begin"/>
    </w:r>
    <w:r w:rsidRPr="00C75C64">
      <w:instrText xml:space="preserve"> PAGE  \* MERGEFORMAT </w:instrText>
    </w:r>
    <w:r w:rsidRPr="00C75C64">
      <w:fldChar w:fldCharType="separate"/>
    </w:r>
    <w:r w:rsidR="00DE4C22">
      <w:rPr>
        <w:noProof/>
      </w:rPr>
      <w:t>25</w:t>
    </w:r>
    <w:r w:rsidRPr="00C75C64">
      <w:fldChar w:fldCharType="end"/>
    </w:r>
    <w:r w:rsidRPr="00C75C64">
      <w:t>/</w:t>
    </w:r>
    <w:fldSimple w:instr=" NUMPAGES  \* MERGEFORMAT ">
      <w:r w:rsidR="00DE4C22">
        <w:rPr>
          <w:noProof/>
        </w:rPr>
        <w:t>26</w:t>
      </w:r>
    </w:fldSimple>
    <w:r w:rsidRPr="00C75C64">
      <w:tab/>
      <w:t>PE</w:t>
    </w:r>
    <w:r w:rsidRPr="00C75C64">
      <w:rPr>
        <w:rStyle w:val="HideTWBExt"/>
      </w:rPr>
      <w:t>&lt;NoPE&gt;</w:t>
    </w:r>
    <w:r w:rsidRPr="00C75C64">
      <w:t>758.853</w:t>
    </w:r>
    <w:r w:rsidRPr="00C75C64">
      <w:rPr>
        <w:rStyle w:val="HideTWBExt"/>
      </w:rPr>
      <w:t>&lt;/NoPE&gt;&lt;Version&gt;</w:t>
    </w:r>
    <w:r w:rsidRPr="00C75C64">
      <w:t>v02-00</w:t>
    </w:r>
    <w:r w:rsidRPr="00C75C64">
      <w:rPr>
        <w:rStyle w:val="HideTWBExt"/>
      </w:rPr>
      <w:t>&lt;/Version&gt;</w:t>
    </w:r>
  </w:p>
  <w:p w:rsidR="00F35FBA" w:rsidRPr="00C75C64" w:rsidRDefault="00C75C64" w:rsidP="00C75C64">
    <w:pPr>
      <w:pStyle w:val="EPFooter2"/>
    </w:pPr>
    <w:r w:rsidRPr="00C75C64">
      <w:tab/>
    </w:r>
    <w:r w:rsidRPr="00C75C6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64" w:rsidRPr="00C75C64" w:rsidRDefault="00C75C64" w:rsidP="00C75C64">
    <w:pPr>
      <w:pStyle w:val="EPFooter"/>
    </w:pPr>
    <w:r w:rsidRPr="00C75C64">
      <w:rPr>
        <w:rStyle w:val="HideTWBExt"/>
      </w:rPr>
      <w:t>&lt;PathFdR&gt;</w:t>
    </w:r>
    <w:r w:rsidRPr="00C75C64">
      <w:t>AD\1299352PL.docx</w:t>
    </w:r>
    <w:r w:rsidRPr="00C75C64">
      <w:rPr>
        <w:rStyle w:val="HideTWBExt"/>
      </w:rPr>
      <w:t>&lt;/PathFdR&gt;</w:t>
    </w:r>
    <w:r w:rsidRPr="00C75C64">
      <w:tab/>
    </w:r>
    <w:r w:rsidRPr="00C75C64">
      <w:tab/>
      <w:t>PE</w:t>
    </w:r>
    <w:r w:rsidRPr="00C75C64">
      <w:rPr>
        <w:rStyle w:val="HideTWBExt"/>
      </w:rPr>
      <w:t>&lt;NoPE&gt;</w:t>
    </w:r>
    <w:r w:rsidRPr="00C75C64">
      <w:t>758.853</w:t>
    </w:r>
    <w:r w:rsidRPr="00C75C64">
      <w:rPr>
        <w:rStyle w:val="HideTWBExt"/>
      </w:rPr>
      <w:t>&lt;/NoPE&gt;&lt;Version&gt;</w:t>
    </w:r>
    <w:r w:rsidRPr="00C75C64">
      <w:t>v02-00</w:t>
    </w:r>
    <w:r w:rsidRPr="00C75C64">
      <w:rPr>
        <w:rStyle w:val="HideTWBExt"/>
      </w:rPr>
      <w:t>&lt;/Version&gt;</w:t>
    </w:r>
  </w:p>
  <w:p w:rsidR="00F35FBA" w:rsidRPr="00C75C64" w:rsidRDefault="00C75C64" w:rsidP="00C75C64">
    <w:pPr>
      <w:pStyle w:val="EPFooter2"/>
    </w:pPr>
    <w:r w:rsidRPr="00C75C64">
      <w:t>PL</w:t>
    </w:r>
    <w:r w:rsidRPr="00C75C64">
      <w:tab/>
    </w:r>
    <w:r w:rsidRPr="00C75C64">
      <w:rPr>
        <w:b w:val="0"/>
        <w:i/>
        <w:color w:val="C0C0C0"/>
        <w:sz w:val="22"/>
      </w:rPr>
      <w:t>Zjednoczona w różnorodności</w:t>
    </w:r>
    <w:r w:rsidRPr="00C75C6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75C64" w:rsidRDefault="00DE4C22">
      <w:r w:rsidRPr="00C75C64">
        <w:separator/>
      </w:r>
    </w:p>
  </w:footnote>
  <w:footnote w:type="continuationSeparator" w:id="0">
    <w:p w:rsidR="00000000" w:rsidRPr="00C75C64" w:rsidRDefault="00DE4C22">
      <w:r w:rsidRPr="00C75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C22" w:rsidRDefault="00DE4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C22" w:rsidRDefault="00DE4C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C22" w:rsidRDefault="00DE4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AUTHORMF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6771971\rsid7823322\rsid938207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VENDE Valerie}{\operator VENDE Valerie}{\creatim\yr2024\mo3\dy14\hr16\min59}{\revtim\yr2024\mo3\dy14\hr16\min59}{\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971\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9382078 \chftnsep _x000d__x000a_\par }}{\*\ftnsepc \ltrpar \pard\plain \ltrpar\ql \li0\ri0\widctlpar\wrapdefault\aspalpha\aspnum\faauto\adjustright\rin0\lin0\itap0 \rtlch\fcs1 \af0\afs20\alang1025 \ltrch\fcs0 \fs24\lang2057\langfe2057\cgrid\langnp2057\langfenp2057 {\rtlch\fcs1 \af0 _x000d__x000a_\ltrch\fcs0 \insrsid9382078 \chftnsepc _x000d__x000a_\par }}{\*\aftnsep \ltrpar \pard\plain \ltrpar\ql \li0\ri0\widctlpar\wrapdefault\aspalpha\aspnum\faauto\adjustright\rin0\lin0\itap0 \rtlch\fcs1 \af0\afs20\alang1025 \ltrch\fcs0 \fs24\lang2057\langfe2057\cgrid\langnp2057\langfenp2057 {\rtlch\fcs1 \af0 _x000d__x000a_\ltrch\fcs0 \insrsid9382078 \chftnsep _x000d__x000a_\par }}{\*\aftnsepc \ltrpar \pard\plain \ltrpar\ql \li0\ri0\widctlpar\wrapdefault\aspalpha\aspnum\faauto\adjustright\rin0\lin0\itap0 \rtlch\fcs1 \af0\afs20\alang1025 \ltrch\fcs0 \fs24\lang2057\langfe2057\cgrid\langnp2057\langfenp2057 {\rtlch\fcs1 \af0 _x000d__x000a_\ltrch\fcs0 \insrsid93820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771971 _x000d__x000a_\rtlch\fcs1 \af0\afs20\alang1025 \ltrch\fcs0 \fs24\lang2057\langfe2057\cgrid\langnp2057\langfenp2057 {\rtlch\fcs1 \af0 \ltrch\fcs0 \insrsid6771971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2_x000d__x000a_a8a2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9566 HideTWBExt;}{_x000d__x000a_\s18\ql \li0\ri0\sa120\nowidctlpar\wrapdefault\aspalpha\aspnum\faauto\adjustright\rin0\lin0\itap0 \rtlch\fcs1 \af0\afs20\alang1025 \ltrch\fcs0 \fs24\lang2057\langfe2057\cgrid\langnp2057\langfenp2057 \sbasedon0 \snext18 \spriority0 \styrsid6249566 _x000d__x000a_Normal6a;}{\s19\ql \li0\ri0\nowidctlpar\wrapdefault\aspalpha\aspnum\faauto\adjustright\rin0\lin0\itap0 \rtlch\fcs1 \af0\afs20\alang1025 \ltrch\fcs0 \b\fs24\lang2057\langfe2057\cgrid\langnp2057\langfenp2057 \sbasedon0 \snext19 \spriority0 \styrsid6249566 _x000d__x000a_NormalBold;}{\s20\qc \li0\ri0\sa240\nowidctlpar\wrapdefault\aspalpha\aspnum\faauto\adjustright\rin0\lin0\itap0 \rtlch\fcs1 \af0\afs20\alang1025 \ltrch\fcs0 \i\fs24\lang2057\langfe2057\cgrid\langnp2057\langfenp2057 _x000d__x000a_\sbasedon0 \snext20 \spriority0 \styrsid6249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249566 AmNumberTabs;}{\s22\ql \li0\ri0\sb240\nowidctlpar\wrapdefault\aspalpha\aspnum\faauto\adjustright\rin0\lin0\itap0 \rtlch\fcs1 _x000d__x000a_\af0\afs20\alang1025 \ltrch\fcs0 \b\fs24\lang2057\langfe2057\cgrid\langnp2057\langfenp2057 \sbasedon0 \snext22 \spriority0 \styrsid6249566 NormalBold12b;}}{\*\rsidtbl \rsid24658\rsid223860\rsid735077\rsid1718133\rsid2892074\rsid3565327\rsid4666813_x000d__x000a_\rsid6249566\rsid6641733\rsid67050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25}{\nofchars138}{\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95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705033 \chftnsep _x000d__x000a_\par }}{\*\ftnsepc \ltrpar \pard\plain \ltrpar\ql \li0\ri0\widctlpar\wrapdefault\aspalpha\aspnum\faauto\adjustright\rin0\lin0\itap0 \rtlch\fcs1 \af0\afs20\alang1025 \ltrch\fcs0 \fs24\lang2057\langfe2057\cgrid\langnp2057\langfenp2057 {\rtlch\fcs1 \af0 _x000d__x000a_\ltrch\fcs0 \insrsid6705033 \chftnsepc _x000d__x000a_\par }}{\*\aftnsep \ltrpar \pard\plain \ltrpar\ql \li0\ri0\widctlpar\wrapdefault\aspalpha\aspnum\faauto\adjustright\rin0\lin0\itap0 \rtlch\fcs1 \af0\afs20\alang1025 \ltrch\fcs0 \fs24\lang2057\langfe2057\cgrid\langnp2057\langfenp2057 {\rtlch\fcs1 \af0 _x000d__x000a_\ltrch\fcs0 \insrsid6705033 \chftnsep _x000d__x000a_\par }}{\*\aftnsepc \ltrpar \pard\plain \ltrpar\ql \li0\ri0\widctlpar\wrapdefault\aspalpha\aspnum\faauto\adjustright\rin0\lin0\itap0 \rtlch\fcs1 \af0\afs20\alang1025 \ltrch\fcs0 \fs24\lang2057\langfe2057\cgrid\langnp2057\langfenp2057 {\rtlch\fcs1 \af0 _x000d__x000a_\ltrch\fcs0 \insrsid67050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49566 \rtlch\fcs1 _x000d__x000a_\af0\afs20\alang1025 \ltrch\fcs0 \b\fs24\lang2057\langfe2057\cgrid\langnp2057\langfenp2057 {\rtlch\fcs1 \af0 \ltrch\fcs0 \cs17\b0\v\fs20\cf9\lang1024\langfe1024\loch\af1\hich\af1\dbch\af31501\noproof\insrsid6249566\charrsid15879488 {\*\bkmkstart restartA}_x000d__x000a_\hich\af1\dbch\af31501\loch\f1 &lt;AmendA&gt;}{\rtlch\fcs1 \af0 \ltrch\fcs0 \insrsid6249566\charrsid15879488 [ZAMENDMENT]\tab \tab }{\rtlch\fcs1 \af0 \ltrch\fcs0 _x000d__x000a_\cs17\b0\v\fs20\cf9\lang1024\langfe1024\loch\af1\hich\af1\dbch\af31501\noproof\insrsid6249566\charrsid15879488 \hich\af1\dbch\af31501\loch\f1 &lt;NumAmA&gt;}{\rtlch\fcs1 \af0 \ltrch\fcs0 \insrsid6249566\charrsid15879488 [ZNRAM]}{\rtlch\fcs1 \af0 \ltrch\fcs0 _x000d__x000a_\cs17\b0\v\fs20\cf9\lang1024\langfe1024\loch\af1\hich\af1\dbch\af31501\noproof\insrsid6249566\charrsid15879488 \hich\af1\dbch\af31501\loch\f1 &lt;/NumAmA&gt;}{\rtlch\fcs1 \af0 \ltrch\fcs0 \insrsid6249566\charrsid15879488 _x000d__x000a_\par }\pard\plain \ltrpar\s22\ql \li0\ri0\sb240\keepn\nowidctlpar\wrapdefault\aspalpha\aspnum\faauto\adjustright\rin0\lin0\itap0\pararsid6249566 \rtlch\fcs1 \af0\afs20\alang1025 \ltrch\fcs0 \b\fs24\lang2057\langfe2057\cgrid\langnp2057\langfenp2057 {_x000d__x000a_\rtlch\fcs1 \af0 \ltrch\fcs0 \cs17\b0\v\fs20\cf9\lang1024\langfe1024\loch\af1\hich\af1\dbch\af31501\noproof\langnp1036\insrsid6249566\charrsid11356624 \hich\af1\dbch\af31501\loch\f1 &lt;DocAmend&gt;}{\rtlch\fcs1 \af0 \ltrch\fcs0 _x000d__x000a_\lang1036\langfe2057\langnp1036\insrsid6249566\charrsid11356624 [ZRESOLUTION]}{\rtlch\fcs1 \af0 \ltrch\fcs0 \cs17\b0\v\fs20\cf9\lang1024\langfe1024\loch\af1\hich\af1\dbch\af31501\noproof\langnp1036\insrsid6249566\charrsid11356624 _x000d__x000a_\hich\af1\dbch\af31501\loch\f1 &lt;/DocAmend&gt;}{\rtlch\fcs1 \af0 \ltrch\fcs0 \lang1036\langfe2057\langnp1036\insrsid6249566\charrsid11356624 _x000d__x000a_\par }\pard\plain \ltrpar\s19\ql \li0\ri0\nowidctlpar\wrapdefault\aspalpha\aspnum\faauto\adjustright\rin0\lin0\itap0\pararsid6249566 \rtlch\fcs1 \af0\afs20\alang1025 \ltrch\fcs0 \b\fs24\lang2057\langfe2057\cgrid\langnp2057\langfenp2057 {\rtlch\fcs1 \af0 _x000d__x000a_\ltrch\fcs0 \cs17\b0\v\fs20\cf9\lang1024\langfe1024\loch\af1\hich\af1\dbch\af31501\noproof\langnp1036\insrsid6249566\charrsid11356624 \hich\af1\dbch\af31501\loch\f1 &lt;Article&gt;}{\rtlch\fcs1 \af0 \ltrch\fcs0 _x000d__x000a_\lang1036\langfe2057\langnp1036\insrsid6249566\charrsid11356624 [ZRESPART]}{\rtlch\fcs1 \af0 \ltrch\fcs0 \cs17\b0\v\fs20\cf9\lang1024\langfe1024\loch\af1\hich\af1\dbch\af31501\noproof\langnp1036\insrsid6249566\charrsid11356624 _x000d__x000a_\hich\af1\dbch\af31501\loch\f1 &lt;/Article&gt;}{\rtlch\fcs1 \af0 \ltrch\fcs0 \lang1036\langfe2057\langnp1036\insrsid6249566\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249566\charrsid11356624 \cell }\pard \ltrpar_x000d__x000a_\ql \li0\ri0\widctlpar\intbl\wrapdefault\aspalpha\aspnum\faauto\adjustright\rin0\lin0 {\rtlch\fcs1 \af0 \ltrch\fcs0 \insrsid6249566\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249566\charrsid15879488 [ZLEFTA]\cell [ZRIGHT]\cell }\pard\plain \ltrpar\ql \li0\ri0\widctlpar\intbl\wrapdefault\aspalpha\aspnum\faauto\adjustright\rin0\lin0 _x000d__x000a_\rtlch\fcs1 \af0\afs20\alang1025 \ltrch\fcs0 \fs24\lang2057\langfe2057\cgrid\langnp2057\langfenp2057 {\rtlch\fcs1 \af0 \ltrch\fcs0 \insrsid6249566\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9566\charrsid15879488 [ZTEXTL]\cell [ZTEXTR]}{\rtlch\fcs1 \af0\afs24 \ltrch\fcs0 \insrsid6249566\charrsid15879488 \cell }\pard\plain \ltrpar\ql \li0\ri0\widctlpar\intbl\wrapdefault\aspalpha\aspnum\faauto\adjustright\rin0\lin0 \rtlch\fcs1 _x000d__x000a_\af0\afs20\alang1025 \ltrch\fcs0 \fs24\lang2057\langfe2057\cgrid\langnp2057\langfenp2057 {\rtlch\fcs1 \af0 \ltrch\fcs0 \insrsid6249566\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249566 {\rtlch\fcs1 \af0 \ltrch\fcs0 \cs17\v\fs20\cf9\lang1024\langfe1024\loch\af1\hich\af1\dbch\af31501\noproof\insrsid6249566\charrsid15879488 _x000d__x000a_\hich\af1\dbch\af31501\loch\f1 &lt;/AmendA&gt;}{\rtlch\fcs1 \af0 \ltrch\fcs0 \insrsid6249566\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8_x000d__x000a_2da7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7493 HideTWBExt;}{_x000d__x000a_\s18\ql \li0\ri0\sa120\nowidctlpar\wrapdefault\aspalpha\aspnum\faauto\adjustright\rin0\lin0\itap0 \rtlch\fcs1 \af0\afs20\alang1025 \ltrch\fcs0 \fs24\lang2057\langfe2057\cgrid\langnp2057\langfenp2057 \sbasedon0 \snext18 \spriority0 \styrsid5767493 _x000d__x000a_Normal6a;}{\s19\ql \li0\ri0\nowidctlpar\wrapdefault\aspalpha\aspnum\faauto\adjustright\rin0\lin0\itap0 \rtlch\fcs1 \af0\afs20\alang1025 \ltrch\fcs0 \b\fs24\lang2057\langfe2057\cgrid\langnp2057\langfenp2057 \sbasedon0 \snext19 \spriority0 \styrsid5767493 _x000d__x000a_NormalBold;}{\s20\ql \li0\ri0\sa240\nowidctlpar\wrapdefault\aspalpha\aspnum\faauto\adjustright\rin0\lin0\itap0 \rtlch\fcs1 \af0\afs20\alang1025 \ltrch\fcs0 \i\fs24\lang2057\langfe2057\cgrid\langnp2057\langfenp2057 _x000d__x000a_\sbasedon0 \snext20 \spriority0 \styrsid5767493 AmJustText;}{\s21\qc \li0\ri0\sb240\sa240\nowidctlpar\wrapdefault\aspalpha\aspnum\faauto\adjustright\rin0\lin0\itap0 \rtlch\fcs1 \af0\afs20\alang1025 \ltrch\fcs0 _x000d__x000a_\i\fs24\lang2057\langfe2057\cgrid\langnp2057\langfenp2057 \sbasedon0 \snext21 \spriority0 \styrsid5767493 AmCrossRef;}{\s22\qc \li0\ri0\sb240\sa240\keepn\nowidctlpar\wrapdefault\aspalpha\aspnum\faauto\adjustright\rin0\lin0\itap0 \rtlch\fcs1 _x000d__x000a_\af0\afs20\alang1025 \ltrch\fcs0 \i\fs24\lang2057\langfe2057\cgrid\langnp2057\langfenp2057 \sbasedon0 \snext20 \spriority0 \styrsid5767493 AmJustTitle;}{\s23\qc \li0\ri0\sa240\nowidctlpar\wrapdefault\aspalpha\aspnum\faauto\adjustright\rin0\lin0\itap0 _x000d__x000a_\rtlch\fcs1 \af0\afs20\alang1025 \ltrch\fcs0 \i\fs24\lang2057\langfe2057\cgrid\langnp2057\langfenp2057 \sbasedon0 \snext23 \spriority0 \styrsid57674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767493 AmNumberTabs;}{\s25\ql \li0\ri0\sb240\nowidctlpar\wrapdefault\aspalpha\aspnum\faauto\adjustright\rin0\lin0\itap0 \rtlch\fcs1 _x000d__x000a_\af0\afs20\alang1025 \ltrch\fcs0 \b\fs24\lang2057\langfe2057\cgrid\langnp2057\langfenp2057 \sbasedon0 \snext25 \spriority0 \styrsid5767493 NormalBold12b;}}{\*\rsidtbl \rsid24658\rsid223860\rsid735077\rsid1718133\rsid2892074\rsid3565327\rsid4666813_x000d__x000a_\rsid5767493\rsid62474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493\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6247478 \chftnsep _x000d__x000a_\par }}{\*\ftnsepc \ltrpar \pard\plain \ltrpar\ql \li0\ri0\widctlpar\wrapdefault\aspalpha\aspnum\faauto\adjustright\rin0\lin0\itap0 \rtlch\fcs1 \af0\afs20\alang1025 \ltrch\fcs0 \fs24\lang2057\langfe2057\cgrid\langnp2057\langfenp2057 {\rtlch\fcs1 \af0 _x000d__x000a_\ltrch\fcs0 \insrsid6247478 \chftnsepc _x000d__x000a_\par }}{\*\aftnsep \ltrpar \pard\plain \ltrpar\ql \li0\ri0\widctlpar\wrapdefault\aspalpha\aspnum\faauto\adjustright\rin0\lin0\itap0 \rtlch\fcs1 \af0\afs20\alang1025 \ltrch\fcs0 \fs24\lang2057\langfe2057\cgrid\langnp2057\langfenp2057 {\rtlch\fcs1 \af0 _x000d__x000a_\ltrch\fcs0 \insrsid6247478 \chftnsep _x000d__x000a_\par }}{\*\aftnsepc \ltrpar \pard\plain \ltrpar\ql \li0\ri0\widctlpar\wrapdefault\aspalpha\aspnum\faauto\adjustright\rin0\lin0\itap0 \rtlch\fcs1 \af0\afs20\alang1025 \ltrch\fcs0 \fs24\lang2057\langfe2057\cgrid\langnp2057\langfenp2057 {\rtlch\fcs1 \af0 _x000d__x000a_\ltrch\fcs0 \insrsid6247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767493 \rtlch\fcs1 _x000d__x000a_\af0\afs20\alang1025 \ltrch\fcs0 \b\fs24\lang2057\langfe2057\cgrid\langnp2057\langfenp2057 {\rtlch\fcs1 \af0 \ltrch\fcs0 \cs17\b0\v\fs20\cf9\lang1024\langfe1024\loch\af1\hich\af1\dbch\af31501\noproof\insrsid5767493\charrsid15879488 {\*\bkmkstart restartB}_x000d__x000a_\hich\af1\dbch\af31501\loch\f1 &lt;AmendB&gt;}{\rtlch\fcs1 \af0 \ltrch\fcs0 \insrsid5767493\charrsid15879488 [ZAMENDMENT]\tab \tab }{\rtlch\fcs1 \af0 \ltrch\fcs0 _x000d__x000a_\cs17\b0\v\fs20\cf9\lang1024\langfe1024\loch\af1\hich\af1\dbch\af31501\noproof\insrsid5767493\charrsid15879488 \hich\af1\dbch\af31501\loch\f1 &lt;NumAmB&gt;}{\rtlch\fcs1 \af0 \ltrch\fcs0 \insrsid5767493\charrsid15879488 [ZNRAM]}{\rtlch\fcs1 \af0 \ltrch\fcs0 _x000d__x000a_\cs17\b0\v\fs20\cf9\lang1024\langfe1024\loch\af1\hich\af1\dbch\af31501\noproof\insrsid5767493\charrsid15879488 \hich\af1\dbch\af31501\loch\f1 &lt;/NumAmB&gt;}{\rtlch\fcs1 \af0 \ltrch\fcs0 \insrsid5767493\charrsid15879488 _x000d__x000a_\par }\pard\plain \ltrpar\s25\ql \li0\ri0\sb240\keepn\nowidctlpar\wrapdefault\aspalpha\aspnum\faauto\adjustright\rin0\lin0\itap0\pararsid5767493 \rtlch\fcs1 \af0\afs20\alang1025 \ltrch\fcs0 \b\fs24\lang2057\langfe2057\cgrid\langnp2057\langfenp2057 {_x000d__x000a_\rtlch\fcs1 \af0 \ltrch\fcs0 \cs17\b0\v\fs20\cf9\lang1024\langfe1024\loch\af1\hich\af1\dbch\af31501\noproof\insrsid5767493\charrsid15879488 \hich\af1\dbch\af31501\loch\f1 &lt;DocAmend&gt;}{\rtlch\fcs1 \af0 \ltrch\fcs0 \insrsid5767493\charrsid15879488 _x000d__x000a_[ZPROPOSAL][ZAMACT]}{\rtlch\fcs1 \af0 \ltrch\fcs0 \cs17\b0\v\fs20\cf9\lang1024\langfe1024\loch\af1\hich\af1\dbch\af31501\noproof\insrsid5767493\charrsid15879488 \hich\af1\dbch\af31501\loch\f1 &lt;/DocAmend&gt;}{\rtlch\fcs1 \af0 \ltrch\fcs0 _x000d__x000a_\insrsid5767493\charrsid15879488 _x000d__x000a_\par }\pard\plain \ltrpar\s19\ql \li0\ri0\keepn\nowidctlpar\wrapdefault\aspalpha\aspnum\faauto\adjustright\rin0\lin0\itap0\pararsid5767493 \rtlch\fcs1 \af0\afs20\alang1025 \ltrch\fcs0 \b\fs24\lang2057\langfe2057\cgrid\langnp2057\langfenp2057 {\rtlch\fcs1 \af0 _x000d__x000a_\ltrch\fcs0 \cs17\b0\v\fs20\cf9\lang1024\langfe1024\loch\af1\hich\af1\dbch\af31501\noproof\insrsid5767493\charrsid15879488 \hich\af1\dbch\af31501\loch\f1 &lt;Article&gt;}{\rtlch\fcs1 \af0 \ltrch\fcs0 \insrsid5767493\charrsid15879488 [ZAMPART]}{\rtlch\fcs1 \af0 _x000d__x000a_\ltrch\fcs0 \cs17\b0\v\fs20\cf9\lang1024\langfe1024\loch\af1\hich\af1\dbch\af31501\noproof\insrsid5767493\charrsid15879488 \hich\af1\dbch\af31501\loch\f1 &lt;/Article&gt;}{\rtlch\fcs1 \af0 \ltrch\fcs0 \insrsid5767493\charrsid15879488 _x000d__x000a_\par }\pard\plain \ltrpar\ql \li0\ri0\keepn\widctlpar\wrapdefault\aspalpha\aspnum\faauto\adjustright\rin0\lin0\itap0\pararsid5767493 \rtlch\fcs1 \af0\afs20\alang1025 \ltrch\fcs0 \fs24\lang2057\langfe2057\cgrid\langnp2057\langfenp2057 {\rtlch\fcs1 \af0 _x000d__x000a_\ltrch\fcs0 \cs17\v\fs20\cf9\lang1024\langfe1024\loch\af1\hich\af1\dbch\af31501\noproof\insrsid5767493\charrsid15879488 \hich\af1\dbch\af31501\loch\f1 &lt;DocAmend2&gt;&lt;OptDel&gt;}{\rtlch\fcs1 \af0 \ltrch\fcs0 \insrsid5767493\charrsid15879488 [ZNRACT]}{_x000d__x000a_\rtlch\fcs1 \af0 \ltrch\fcs0 \cs17\v\fs20\cf9\lang1024\langfe1024\loch\af1\hich\af1\dbch\af31501\noproof\insrsid5767493\charrsid15879488 \hich\af1\dbch\af31501\loch\f1 &lt;/OptDel&gt;&lt;/DocAmend2&gt;}{\rtlch\fcs1 \af0 \ltrch\fcs0 \insrsid5767493\charrsid15879488 _x000d__x000a__x000d__x000a_\par }\pard \ltrpar\ql \li0\ri0\widctlpar\wrapdefault\aspalpha\aspnum\faauto\adjustright\rin0\lin0\itap0\pararsid5767493 {\rtlch\fcs1 \af0 \ltrch\fcs0 _x000d__x000a_\cs17\v\fs20\cf9\lang1024\langfe1024\loch\af1\hich\af1\dbch\af31501\noproof\langnp1036\insrsid5767493\charrsid11356624 \hich\af1\dbch\af31501\loch\f1 &lt;Article2&gt;&lt;OptDel&gt;}{\rtlch\fcs1 \af0 \ltrch\fcs0 _x000d__x000a_\lang1036\langfe2057\langnp1036\insrsid5767493\charrsid11356624 [ZACTPART]}{\rtlch\fcs1 \af0 \ltrch\fcs0 \cs17\v\fs20\cf9\lang1024\langfe1024\loch\af1\hich\af1\dbch\af31501\noproof\langnp1036\insrsid5767493\charrsid11356624 \hich\af1\dbch\af31501\loch\f1 _x000d__x000a_&lt;/OptDel&gt;&lt;/Article2&gt;}{\rtlch\fcs1 \af0 \ltrch\fcs0 \lang1036\langfe2057\langnp1036\insrsid576749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767493\charrsid11356624 \cell }\pard \ltrpar\ql \li0\ri0\widctlpar\intbl\wrapdefault\aspalpha\aspnum\faauto\adjustright\rin0\lin0 {\rtlch\fcs1 \af0 \ltrch\fcs0 \insrsid576749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767493\charrsid15879488 [ZLEFTB]\cell [ZRIGHT]\cell }\pard\plain \ltrpar\ql \li0\ri0\widctlpar\intbl\wrapdefault\aspalpha\aspnum\faauto\adjustright\rin0\lin0 \rtlch\fcs1 \af0\afs20\alang1025 \ltrch\fcs0 _x000d__x000a_\fs24\lang2057\langfe2057\cgrid\langnp2057\langfenp2057 {\rtlch\fcs1 \af0 \ltrch\fcs0 \insrsid576749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767493\charrsid15879488 [ZTEXTL]\cell [ZTEXTR]}{\rtlch\fcs1 \af0\afs24 \ltrch\fcs0 \insrsid5767493\charrsid15879488 \cell }\pard\plain \ltrpar\ql \li0\ri0\widctlpar\intbl\wrapdefault\aspalpha\aspnum\faauto\adjustright\rin0\lin0 \rtlch\fcs1 _x000d__x000a_\af0\afs20\alang1025 \ltrch\fcs0 \fs24\lang2057\langfe2057\cgrid\langnp2057\langfenp2057 {\rtlch\fcs1 \af0 \ltrch\fcs0 \insrsid576749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767493 \rtlch\fcs1 \af0\afs20\alang1025 \ltrch\fcs0 \i\fs24\lang2057\langfe2057\cgrid\langnp2057\langfenp2057 {\rtlch\fcs1 \af0 \ltrch\fcs0 _x000d__x000a_\cs17\i0\v\fs20\cf9\lang1024\langfe1024\loch\af1\hich\af1\dbch\af31501\noproof\insrsid5767493\charrsid15879488 \hich\af1\dbch\af31501\loch\f1 &lt;OptDel&gt;}{\rtlch\fcs1 \af0 \ltrch\fcs0 \insrsid5767493\charrsid15879488 [ZCROSSREF]}{\rtlch\fcs1 \af0 _x000d__x000a_\ltrch\fcs0 \cs17\i0\v\fs20\cf9\lang1024\langfe1024\loch\af1\hich\af1\dbch\af31501\noproof\insrsid5767493\charrsid15879488 \hich\af1\dbch\af31501\loch\f1 &lt;/OptDel&gt;}{\rtlch\fcs1 \af0 \ltrch\fcs0 \insrsid5767493\charrsid15879488 _x000d__x000a_\par }\pard\plain \ltrpar\s22\qc \li0\ri0\sb240\sa240\keepn\nowidctlpar\wrapdefault\aspalpha\aspnum\faauto\adjustright\rin0\lin0\itap0\pararsid5767493 \rtlch\fcs1 \af0\afs20\alang1025 \ltrch\fcs0 \i\fs24\lang2057\langfe2057\cgrid\langnp2057\langfenp2057 {_x000d__x000a_\rtlch\fcs1 \af0 \ltrch\fcs0 \cs17\i0\v\fs20\cf9\lang1024\langfe1024\loch\af1\hich\af1\dbch\af31501\noproof\insrsid5767493\charrsid15879488 \hich\af1\dbch\af31501\loch\f1 &lt;TitreJust&gt;}{\rtlch\fcs1 \af0 \ltrch\fcs0 \insrsid5767493\charrsid15879488 _x000d__x000a_[ZJUSTIFICATION]}{\rtlch\fcs1 \af0 \ltrch\fcs0 \cs17\i0\v\fs20\cf9\lang1024\langfe1024\loch\af1\hich\af1\dbch\af31501\noproof\insrsid5767493\charrsid15879488 \hich\af1\dbch\af31501\loch\f1 &lt;/TitreJust&gt;}{\rtlch\fcs1 \af0 \ltrch\fcs0 _x000d__x000a_\insrsid5767493\charrsid15879488 _x000d__x000a_\par }\pard\plain \ltrpar\s20\ql \li0\ri0\sa240\nowidctlpar\wrapdefault\aspalpha\aspnum\faauto\adjustright\rin0\lin0\itap0\pararsid5767493 \rtlch\fcs1 \af0\afs20\alang1025 \ltrch\fcs0 \i\fs24\lang2057\langfe2057\cgrid\langnp2057\langfenp2057 {\rtlch\fcs1 \af0 _x000d__x000a_\ltrch\fcs0 \cs17\i0\v\fs20\cf9\lang1024\langfe1024\loch\af1\hich\af1\dbch\af31501\noproof\insrsid5767493\charrsid15879488 \hich\af1\dbch\af31501\loch\f1 &lt;OptDelPrev&gt;}{\rtlch\fcs1 \af0 \ltrch\fcs0 \insrsid5767493\charrsid15879488 [ZTEXTJUST]}{\rtlch\fcs1 _x000d__x000a_\af0 \ltrch\fcs0 \cs17\i0\v\fs20\cf9\lang1024\langfe1024\loch\af1\hich\af1\dbch\af31501\noproof\insrsid5767493\charrsid15879488 \hich\af1\dbch\af31501\loch\f1 &lt;/OptDelPrev&gt;}{\rtlch\fcs1 \af0 \ltrch\fcs0 \insrsid5767493\charrsid15879488 _x000d__x000a_\par }\pard\plain \ltrpar\ql \li0\ri0\widctlpar\wrapdefault\aspalpha\aspnum\faauto\adjustright\rin0\lin0\itap0\pararsid5767493 \rtlch\fcs1 \af0\afs20\alang1025 \ltrch\fcs0 \fs24\lang2057\langfe2057\cgrid\langnp2057\langfenp2057 {\rtlch\fcs1 \af0 \ltrch\fcs0 _x000d__x000a_\cs17\v\fs20\cf9\lang1024\langfe1024\loch\af1\hich\af1\dbch\af31501\noproof\insrsid5767493\charrsid15879488 \hich\af1\dbch\af31501\loch\f1 &lt;/AmendB&gt;}{\rtlch\fcs1 \af0 \ltrch\fcs0 \insrsid57674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e_x000d__x000a_7aa9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61002 HideTWBExt;}{_x000d__x000a_\s18\ql \li0\ri0\sa120\nowidctlpar\wrapdefault\aspalpha\aspnum\faauto\adjustright\rin0\lin0\itap0 \rtlch\fcs1 \af0\afs20\alang1025 \ltrch\fcs0 \fs24\lang2057\langfe2057\cgrid\langnp2057\langfenp2057 \sbasedon0 \snext18 \spriority0 \styrsid8661002 _x000d__x000a_Normal6a;}{\s19\ql \li0\ri0\nowidctlpar\wrapdefault\aspalpha\aspnum\faauto\adjustright\rin0\lin0\itap0 \rtlch\fcs1 \af0\afs20\alang1025 \ltrch\fcs0 \b\fs24\lang2057\langfe2057\cgrid\langnp2057\langfenp2057 \sbasedon0 \snext19 \spriority0 \styrsid8661002 _x000d__x000a_NormalBold;}{\s20\ql \li0\ri0\sa240\nowidctlpar\wrapdefault\aspalpha\aspnum\faauto\adjustright\rin0\lin0\itap0 \rtlch\fcs1 \af0\afs20\alang1025 \ltrch\fcs0 \i\fs24\lang2057\langfe2057\cgrid\langnp2057\langfenp2057 _x000d__x000a_\sbasedon0 \snext20 \spriority0 \styrsid8661002 AmJustText;}{\s21\qc \li0\ri0\sb240\sa240\nowidctlpar\wrapdefault\aspalpha\aspnum\faauto\adjustright\rin0\lin0\itap0 \rtlch\fcs1 \af0\afs20\alang1025 \ltrch\fcs0 _x000d__x000a_\i\fs24\lang2057\langfe2057\cgrid\langnp2057\langfenp2057 \sbasedon0 \snext21 \spriority0 \styrsid8661002 AmCrossRef;}{\s22\qc \li0\ri0\sb240\sa240\keepn\nowidctlpar\wrapdefault\aspalpha\aspnum\faauto\adjustright\rin0\lin0\itap0 \rtlch\fcs1 _x000d__x000a_\af0\afs20\alang1025 \ltrch\fcs0 \i\fs24\lang2057\langfe2057\cgrid\langnp2057\langfenp2057 \sbasedon0 \snext20 \spriority0 \styrsid8661002 AmJustTitle;}{\s23\qc \li0\ri0\sa240\nowidctlpar\wrapdefault\aspalpha\aspnum\faauto\adjustright\rin0\lin0\itap0 _x000d__x000a_\rtlch\fcs1 \af0\afs20\alang1025 \ltrch\fcs0 \i\fs24\lang2057\langfe2057\cgrid\langnp2057\langfenp2057 \sbasedon0 \snext23 \spriority0 \styrsid866100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661002 AmNumberTabs;}{\s25\ql \li0\ri0\sb240\nowidctlpar\wrapdefault\aspalpha\aspnum\faauto\adjustright\rin0\lin0\itap0 \rtlch\fcs1 _x000d__x000a_\af0\afs20\alang1025 \ltrch\fcs0 \b\fs24\lang2057\langfe2057\cgrid\langnp2057\langfenp2057 \sbasedon0 \snext25 \spriority0 \styrsid8661002 NormalBold12b;}}{\*\rsidtbl \rsid24658\rsid223860\rsid735077\rsid1718133\rsid2892074\rsid3565327\rsid4666813_x000d__x000a_\rsid6641733\rsid7823322\rsid8661002\rsid9636012\rsid10377208\rsid11215221\rsid11549030\rsid12154954\rsid14382809\rsid14424199\rsid15204470\rsid15285974\rsid15427716\rsid15950462\rsid16324206\rsid16662270}{\mmathPr\mmathFont34\mbrkBin0\mbrkBinSub0_x000d__x000a_\msmallFrac0\mdispDef1\mlMargin0\mrMargin0\mdefJc1\mwrapIndent1440\mintLim0\mnaryLim1}{\info{\author VENDE Valerie}{\operator VENDE Valerie}{\creatim\yr2024\mo3\dy14\hr16\min59}{\revtim\yr2024\mo3\dy14\hr16\min59}{\version1}{\edmins0}{\nofpages1}_x000d__x000a_{\nofwords57}{\nofchars315}{\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610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5427716 \chftnsep _x000d__x000a_\par }}{\*\ftnsepc \ltrpar \pard\plain \ltrpar\ql \li0\ri0\widctlpar\wrapdefault\aspalpha\aspnum\faauto\adjustright\rin0\lin0\itap0 \rtlch\fcs1 \af0\afs20\alang1025 \ltrch\fcs0 \fs24\lang2057\langfe2057\cgrid\langnp2057\langfenp2057 {\rtlch\fcs1 \af0 _x000d__x000a_\ltrch\fcs0 \insrsid15427716 \chftnsepc _x000d__x000a_\par }}{\*\aftnsep \ltrpar \pard\plain \ltrpar\ql \li0\ri0\widctlpar\wrapdefault\aspalpha\aspnum\faauto\adjustright\rin0\lin0\itap0 \rtlch\fcs1 \af0\afs20\alang1025 \ltrch\fcs0 \fs24\lang2057\langfe2057\cgrid\langnp2057\langfenp2057 {\rtlch\fcs1 \af0 _x000d__x000a_\ltrch\fcs0 \insrsid15427716 \chftnsep _x000d__x000a_\par }}{\*\aftnsepc \ltrpar \pard\plain \ltrpar\ql \li0\ri0\widctlpar\wrapdefault\aspalpha\aspnum\faauto\adjustright\rin0\lin0\itap0 \rtlch\fcs1 \af0\afs20\alang1025 \ltrch\fcs0 \fs24\lang2057\langfe2057\cgrid\langnp2057\langfenp2057 {\rtlch\fcs1 \af0 _x000d__x000a_\ltrch\fcs0 \insrsid15427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661002 \rtlch\fcs1 _x000d__x000a_\af0\afs20\alang1025 \ltrch\fcs0 \b\fs24\lang2057\langfe2057\cgrid\langnp2057\langfenp2057 {\rtlch\fcs1 \af0 \ltrch\fcs0 \cs17\b0\v\fs20\cf9\lang1024\langfe1024\loch\af1\hich\af1\dbch\af31501\noproof\insrsid8661002\charrsid15879488 {\*\bkmkstart restartB}_x000d__x000a_\hich\af1\dbch\af31501\loch\f1 &lt;AmendB&gt;}{\rtlch\fcs1 \af0 \ltrch\fcs0 \insrsid8661002\charrsid15879488 [ZAMENDMENT]\tab \tab }{\rtlch\fcs1 \af0 \ltrch\fcs0 _x000d__x000a_\cs17\b0\v\fs20\cf9\lang1024\langfe1024\loch\af1\hich\af1\dbch\af31501\noproof\insrsid8661002\charrsid15879488 \hich\af1\dbch\af31501\loch\f1 &lt;NumAmB&gt;}{\rtlch\fcs1 \af0 \ltrch\fcs0 \insrsid8661002\charrsid15879488 [ZNRAM]}{\rtlch\fcs1 \af0 \ltrch\fcs0 _x000d__x000a_\cs17\b0\v\fs20\cf9\lang1024\langfe1024\loch\af1\hich\af1\dbch\af31501\noproof\insrsid8661002\charrsid15879488 \hich\af1\dbch\af31501\loch\f1 &lt;/NumAmB&gt;}{\rtlch\fcs1 \af0 \ltrch\fcs0 \insrsid8661002\charrsid15879488 _x000d__x000a_\par }\pard\plain \ltrpar\s25\ql \li0\ri0\sb240\keepn\nowidctlpar\wrapdefault\aspalpha\aspnum\faauto\adjustright\rin0\lin0\itap0\pararsid8661002 \rtlch\fcs1 \af0\afs20\alang1025 \ltrch\fcs0 \b\fs24\lang2057\langfe2057\cgrid\langnp2057\langfenp2057 {_x000d__x000a_\rtlch\fcs1 \af0 \ltrch\fcs0 \cs17\b0\v\fs20\cf9\lang1024\langfe1024\loch\af1\hich\af1\dbch\af31501\noproof\insrsid8661002\charrsid15879488 \hich\af1\dbch\af31501\loch\f1 &lt;DocAmend&gt;}{\rtlch\fcs1 \af0 \ltrch\fcs0 \insrsid8661002\charrsid15879488 _x000d__x000a_[ZPROPOSAL][ZAMACT]}{\rtlch\fcs1 \af0 \ltrch\fcs0 \cs17\b0\v\fs20\cf9\lang1024\langfe1024\loch\af1\hich\af1\dbch\af31501\noproof\insrsid8661002\charrsid15879488 \hich\af1\dbch\af31501\loch\f1 &lt;/DocAmend&gt;}{\rtlch\fcs1 \af0 \ltrch\fcs0 _x000d__x000a_\insrsid8661002\charrsid15879488 _x000d__x000a_\par }\pard\plain \ltrpar\s19\ql \li0\ri0\keepn\nowidctlpar\wrapdefault\aspalpha\aspnum\faauto\adjustright\rin0\lin0\itap0\pararsid8661002 \rtlch\fcs1 \af0\afs20\alang1025 \ltrch\fcs0 \b\fs24\lang2057\langfe2057\cgrid\langnp2057\langfenp2057 {\rtlch\fcs1 \af0 _x000d__x000a_\ltrch\fcs0 \cs17\b0\v\fs20\cf9\lang1024\langfe1024\loch\af1\hich\af1\dbch\af31501\noproof\insrsid8661002\charrsid15879488 \hich\af1\dbch\af31501\loch\f1 &lt;Article&gt;}{\rtlch\fcs1 \af0 \ltrch\fcs0 \insrsid8661002\charrsid15879488 [ZAMPART]}{\rtlch\fcs1 \af0 _x000d__x000a_\ltrch\fcs0 \cs17\b0\v\fs20\cf9\lang1024\langfe1024\loch\af1\hich\af1\dbch\af31501\noproof\insrsid8661002\charrsid15879488 \hich\af1\dbch\af31501\loch\f1 &lt;/Article&gt;}{\rtlch\fcs1 \af0 \ltrch\fcs0 \insrsid8661002\charrsid15879488 _x000d__x000a_\par }\pard\plain \ltrpar\ql \li0\ri0\keepn\widctlpar\wrapdefault\aspalpha\aspnum\faauto\adjustright\rin0\lin0\itap0\pararsid8661002 \rtlch\fcs1 \af0\afs20\alang1025 \ltrch\fcs0 \fs24\lang2057\langfe2057\cgrid\langnp2057\langfenp2057 {\rtlch\fcs1 \af0 _x000d__x000a_\ltrch\fcs0 \cs17\v\fs20\cf9\lang1024\langfe1024\loch\af1\hich\af1\dbch\af31501\noproof\insrsid8661002\charrsid15879488 \hich\af1\dbch\af31501\loch\f1 &lt;DocAmend2&gt;&lt;OptDel&gt;}{\rtlch\fcs1 \af0 \ltrch\fcs0 \insrsid8661002\charrsid15879488 [ZNRACT]}{_x000d__x000a_\rtlch\fcs1 \af0 \ltrch\fcs0 \cs17\v\fs20\cf9\lang1024\langfe1024\loch\af1\hich\af1\dbch\af31501\noproof\insrsid8661002\charrsid15879488 \hich\af1\dbch\af31501\loch\f1 &lt;/OptDel&gt;&lt;/DocAmend2&gt;}{\rtlch\fcs1 \af0 \ltrch\fcs0 \insrsid8661002\charrsid15879488 _x000d__x000a__x000d__x000a_\par }\pard \ltrpar\ql \li0\ri0\widctlpar\wrapdefault\aspalpha\aspnum\faauto\adjustright\rin0\lin0\itap0\pararsid8661002 {\rtlch\fcs1 \af0 \ltrch\fcs0 _x000d__x000a_\cs17\v\fs20\cf9\lang1024\langfe1024\loch\af1\hich\af1\dbch\af31501\noproof\langnp1036\insrsid8661002\charrsid11356624 \hich\af1\dbch\af31501\loch\f1 &lt;Article2&gt;&lt;OptDel&gt;}{\rtlch\fcs1 \af0 \ltrch\fcs0 _x000d__x000a_\lang1036\langfe2057\langnp1036\insrsid8661002\charrsid11356624 [ZACTPART]}{\rtlch\fcs1 \af0 \ltrch\fcs0 \cs17\v\fs20\cf9\lang1024\langfe1024\loch\af1\hich\af1\dbch\af31501\noproof\langnp1036\insrsid8661002\charrsid11356624 \hich\af1\dbch\af31501\loch\f1 _x000d__x000a_&lt;/OptDel&gt;&lt;/Article2&gt;}{\rtlch\fcs1 \af0 \ltrch\fcs0 \lang1036\langfe2057\langnp1036\insrsid866100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661002\charrsid11356624 \cell }\pard \ltrpar\ql \li0\ri0\widctlpar\intbl\wrapdefault\aspalpha\aspnum\faauto\adjustright\rin0\lin0 {\rtlch\fcs1 \af0 \ltrch\fcs0 \insrsid866100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661002\charrsid15879488 [ZLEFTB]\cell [ZRIGHT]\cell }\pard\plain \ltrpar\ql \li0\ri0\widctlpar\intbl\wrapdefault\aspalpha\aspnum\faauto\adjustright\rin0\lin0 \rtlch\fcs1 \af0\afs20\alang1025 \ltrch\fcs0 _x000d__x000a_\fs24\lang2057\langfe2057\cgrid\langnp2057\langfenp2057 {\rtlch\fcs1 \af0 \ltrch\fcs0 \insrsid866100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661002\charrsid15879488 [ZTEXTL]\cell [ZTEXTR]}{\rtlch\fcs1 \af0\afs24 \ltrch\fcs0 \insrsid8661002\charrsid15879488 \cell }\pard\plain \ltrpar\ql \li0\ri0\widctlpar\intbl\wrapdefault\aspalpha\aspnum\faauto\adjustright\rin0\lin0 \rtlch\fcs1 _x000d__x000a_\af0\afs20\alang1025 \ltrch\fcs0 \fs24\lang2057\langfe2057\cgrid\langnp2057\langfenp2057 {\rtlch\fcs1 \af0 \ltrch\fcs0 \insrsid866100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661002 \rtlch\fcs1 \af0\afs20\alang1025 \ltrch\fcs0 \i\fs24\lang2057\langfe2057\cgrid\langnp2057\langfenp2057 {\rtlch\fcs1 \af0 \ltrch\fcs0 _x000d__x000a_\cs17\i0\v\fs20\cf9\lang1024\langfe1024\loch\af1\hich\af1\dbch\af31501\noproof\insrsid8661002\charrsid15879488 \hich\af1\dbch\af31501\loch\f1 &lt;OptDel&gt;}{\rtlch\fcs1 \af0 \ltrch\fcs0 \insrsid8661002\charrsid15879488 [ZCROSSREF]}{\rtlch\fcs1 \af0 _x000d__x000a_\ltrch\fcs0 \cs17\i0\v\fs20\cf9\lang1024\langfe1024\loch\af1\hich\af1\dbch\af31501\noproof\insrsid8661002\charrsid15879488 \hich\af1\dbch\af31501\loch\f1 &lt;/OptDel&gt;}{\rtlch\fcs1 \af0 \ltrch\fcs0 \insrsid8661002\charrsid15879488 _x000d__x000a_\par }\pard\plain \ltrpar\s22\qc \li0\ri0\sb240\sa240\keepn\nowidctlpar\wrapdefault\aspalpha\aspnum\faauto\adjustright\rin0\lin0\itap0\pararsid8661002 \rtlch\fcs1 \af0\afs20\alang1025 \ltrch\fcs0 \i\fs24\lang2057\langfe2057\cgrid\langnp2057\langfenp2057 {_x000d__x000a_\rtlch\fcs1 \af0 \ltrch\fcs0 \cs17\i0\v\fs20\cf9\lang1024\langfe1024\loch\af1\hich\af1\dbch\af31501\noproof\insrsid8661002\charrsid15879488 \hich\af1\dbch\af31501\loch\f1 &lt;TitreJust&gt;}{\rtlch\fcs1 \af0 \ltrch\fcs0 \insrsid8661002\charrsid15879488 _x000d__x000a_[ZJUSTIFICATION]}{\rtlch\fcs1 \af0 \ltrch\fcs0 \cs17\i0\v\fs20\cf9\lang1024\langfe1024\loch\af1\hich\af1\dbch\af31501\noproof\insrsid8661002\charrsid15879488 \hich\af1\dbch\af31501\loch\f1 &lt;/TitreJust&gt;}{\rtlch\fcs1 \af0 \ltrch\fcs0 _x000d__x000a_\insrsid8661002\charrsid15879488 _x000d__x000a_\par }\pard\plain \ltrpar\s20\ql \li0\ri0\sa240\nowidctlpar\wrapdefault\aspalpha\aspnum\faauto\adjustright\rin0\lin0\itap0\pararsid8661002 \rtlch\fcs1 \af0\afs20\alang1025 \ltrch\fcs0 \i\fs24\lang2057\langfe2057\cgrid\langnp2057\langfenp2057 {\rtlch\fcs1 \af0 _x000d__x000a_\ltrch\fcs0 \cs17\i0\v\fs20\cf9\lang1024\langfe1024\loch\af1\hich\af1\dbch\af31501\noproof\insrsid8661002\charrsid15879488 \hich\af1\dbch\af31501\loch\f1 &lt;OptDelPrev&gt;}{\rtlch\fcs1 \af0 \ltrch\fcs0 \insrsid8661002\charrsid15879488 [ZTEXTJUST]}{\rtlch\fcs1 _x000d__x000a_\af0 \ltrch\fcs0 \cs17\i0\v\fs20\cf9\lang1024\langfe1024\loch\af1\hich\af1\dbch\af31501\noproof\insrsid8661002\charrsid15879488 \hich\af1\dbch\af31501\loch\f1 &lt;/OptDelPrev&gt;}{\rtlch\fcs1 \af0 \ltrch\fcs0 \insrsid8661002\charrsid15879488 _x000d__x000a_\par }\pard\plain \ltrpar\ql \li0\ri0\widctlpar\wrapdefault\aspalpha\aspnum\faauto\adjustright\rin0\lin0\itap0\pararsid8661002 \rtlch\fcs1 \af0\afs20\alang1025 \ltrch\fcs0 \fs24\lang2057\langfe2057\cgrid\langnp2057\langfenp2057 {\rtlch\fcs1 \af0 \ltrch\fcs0 _x000d__x000a_\cs17\v\fs20\cf9\lang1024\langfe1024\loch\af1\hich\af1\dbch\af31501\noproof\insrsid8661002\charrsid15879488 \hich\af1\dbch\af31501\loch\f1 &lt;/AmendB&gt;}{\rtlch\fcs1 \af0 \ltrch\fcs0 \insrsid866100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0_x000d__x000a_f8a4287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EN"/>
    <w:docVar w:name="TXTLANGUEMIN" w:val="en"/>
    <w:docVar w:name="TXTNRC" w:val="0015/2024"/>
    <w:docVar w:name="TXTNRCOM" w:val="(2023)930"/>
    <w:docVar w:name="TXTNRDIR" w:val="(EU) 2015/637"/>
    <w:docVar w:name="TXTNRFIRSTAM" w:val="1"/>
    <w:docVar w:name="TXTNRLASTAM" w:val="37"/>
    <w:docVar w:name="TXTNRPE" w:val="758.853"/>
    <w:docVar w:name="TXTNRPROC" w:val="2023/0441"/>
    <w:docVar w:name="TXTPEorAP" w:val="PE"/>
    <w:docVar w:name="TXTROUTE" w:val="AD\1299352EN.docx"/>
    <w:docVar w:name="TXTVERSION" w:val="02-00"/>
  </w:docVars>
  <w:rsids>
    <w:rsidRoot w:val="00222D54"/>
    <w:rsid w:val="000150B4"/>
    <w:rsid w:val="000218B5"/>
    <w:rsid w:val="00026559"/>
    <w:rsid w:val="00027FA8"/>
    <w:rsid w:val="00034F3C"/>
    <w:rsid w:val="00041A4B"/>
    <w:rsid w:val="0004333E"/>
    <w:rsid w:val="0004474F"/>
    <w:rsid w:val="000549C0"/>
    <w:rsid w:val="000629C1"/>
    <w:rsid w:val="00082EC4"/>
    <w:rsid w:val="000D44A6"/>
    <w:rsid w:val="00122C05"/>
    <w:rsid w:val="00134974"/>
    <w:rsid w:val="00141CD7"/>
    <w:rsid w:val="0016109B"/>
    <w:rsid w:val="001616BD"/>
    <w:rsid w:val="001737DB"/>
    <w:rsid w:val="001820A9"/>
    <w:rsid w:val="00192ECC"/>
    <w:rsid w:val="001A0556"/>
    <w:rsid w:val="001B0A1E"/>
    <w:rsid w:val="001C0886"/>
    <w:rsid w:val="001D5154"/>
    <w:rsid w:val="001D557F"/>
    <w:rsid w:val="001E3AC4"/>
    <w:rsid w:val="0020077A"/>
    <w:rsid w:val="00210330"/>
    <w:rsid w:val="00221197"/>
    <w:rsid w:val="00222D54"/>
    <w:rsid w:val="0023131B"/>
    <w:rsid w:val="00242D6B"/>
    <w:rsid w:val="00284188"/>
    <w:rsid w:val="002A67EE"/>
    <w:rsid w:val="002D3573"/>
    <w:rsid w:val="00304EA8"/>
    <w:rsid w:val="00341A99"/>
    <w:rsid w:val="00360FAA"/>
    <w:rsid w:val="0038294E"/>
    <w:rsid w:val="00392B04"/>
    <w:rsid w:val="003A2F84"/>
    <w:rsid w:val="003B0009"/>
    <w:rsid w:val="003C7390"/>
    <w:rsid w:val="003D295D"/>
    <w:rsid w:val="003E1280"/>
    <w:rsid w:val="003F128E"/>
    <w:rsid w:val="0040055C"/>
    <w:rsid w:val="00417768"/>
    <w:rsid w:val="0043102F"/>
    <w:rsid w:val="004339AD"/>
    <w:rsid w:val="00487596"/>
    <w:rsid w:val="004B3A53"/>
    <w:rsid w:val="004C2A0D"/>
    <w:rsid w:val="004F1D2F"/>
    <w:rsid w:val="005001CF"/>
    <w:rsid w:val="00500FB8"/>
    <w:rsid w:val="00502B76"/>
    <w:rsid w:val="0051198D"/>
    <w:rsid w:val="00513F6F"/>
    <w:rsid w:val="00516E52"/>
    <w:rsid w:val="005172EA"/>
    <w:rsid w:val="00522B51"/>
    <w:rsid w:val="00524707"/>
    <w:rsid w:val="00544FA5"/>
    <w:rsid w:val="005539B7"/>
    <w:rsid w:val="0055455A"/>
    <w:rsid w:val="00571233"/>
    <w:rsid w:val="0057333B"/>
    <w:rsid w:val="00577F8A"/>
    <w:rsid w:val="006033AB"/>
    <w:rsid w:val="00613134"/>
    <w:rsid w:val="00626D52"/>
    <w:rsid w:val="00643DA8"/>
    <w:rsid w:val="00657D5C"/>
    <w:rsid w:val="00680E86"/>
    <w:rsid w:val="00683DD1"/>
    <w:rsid w:val="00691B1C"/>
    <w:rsid w:val="00692882"/>
    <w:rsid w:val="006A0F0A"/>
    <w:rsid w:val="006A48AA"/>
    <w:rsid w:val="006B1267"/>
    <w:rsid w:val="006B17DB"/>
    <w:rsid w:val="006D292E"/>
    <w:rsid w:val="006F3B42"/>
    <w:rsid w:val="00712462"/>
    <w:rsid w:val="00716BAA"/>
    <w:rsid w:val="0078423E"/>
    <w:rsid w:val="0078548A"/>
    <w:rsid w:val="007A4B51"/>
    <w:rsid w:val="007B7CE3"/>
    <w:rsid w:val="007C08F5"/>
    <w:rsid w:val="007D49CF"/>
    <w:rsid w:val="007E13ED"/>
    <w:rsid w:val="007F187F"/>
    <w:rsid w:val="007F3FA1"/>
    <w:rsid w:val="00817D13"/>
    <w:rsid w:val="00820C7D"/>
    <w:rsid w:val="00833D11"/>
    <w:rsid w:val="00836FD3"/>
    <w:rsid w:val="008375A8"/>
    <w:rsid w:val="00854149"/>
    <w:rsid w:val="00863553"/>
    <w:rsid w:val="00872A52"/>
    <w:rsid w:val="00876A73"/>
    <w:rsid w:val="0089388A"/>
    <w:rsid w:val="008E4856"/>
    <w:rsid w:val="008F3DB0"/>
    <w:rsid w:val="00904864"/>
    <w:rsid w:val="009052FE"/>
    <w:rsid w:val="009215FC"/>
    <w:rsid w:val="00924555"/>
    <w:rsid w:val="00924C6A"/>
    <w:rsid w:val="009269FD"/>
    <w:rsid w:val="00930496"/>
    <w:rsid w:val="009368B3"/>
    <w:rsid w:val="00943BBB"/>
    <w:rsid w:val="00946566"/>
    <w:rsid w:val="009671D3"/>
    <w:rsid w:val="00982B83"/>
    <w:rsid w:val="009857B4"/>
    <w:rsid w:val="009B2544"/>
    <w:rsid w:val="009E7319"/>
    <w:rsid w:val="00A22F26"/>
    <w:rsid w:val="00A61992"/>
    <w:rsid w:val="00A71228"/>
    <w:rsid w:val="00A74E25"/>
    <w:rsid w:val="00A86CE5"/>
    <w:rsid w:val="00AC2A60"/>
    <w:rsid w:val="00AD3C03"/>
    <w:rsid w:val="00AD49D0"/>
    <w:rsid w:val="00B00EE6"/>
    <w:rsid w:val="00B30F35"/>
    <w:rsid w:val="00B476DC"/>
    <w:rsid w:val="00B5321A"/>
    <w:rsid w:val="00B556CD"/>
    <w:rsid w:val="00B622E6"/>
    <w:rsid w:val="00B62D4B"/>
    <w:rsid w:val="00B904FA"/>
    <w:rsid w:val="00BA3E40"/>
    <w:rsid w:val="00BD0196"/>
    <w:rsid w:val="00BD1F76"/>
    <w:rsid w:val="00BE20CF"/>
    <w:rsid w:val="00C22327"/>
    <w:rsid w:val="00C335C6"/>
    <w:rsid w:val="00C4219C"/>
    <w:rsid w:val="00C510FC"/>
    <w:rsid w:val="00C52A28"/>
    <w:rsid w:val="00C56819"/>
    <w:rsid w:val="00C709B7"/>
    <w:rsid w:val="00C75C64"/>
    <w:rsid w:val="00C75E98"/>
    <w:rsid w:val="00C77D57"/>
    <w:rsid w:val="00C81C5B"/>
    <w:rsid w:val="00C83B35"/>
    <w:rsid w:val="00D25CF2"/>
    <w:rsid w:val="00D377B5"/>
    <w:rsid w:val="00D56CE0"/>
    <w:rsid w:val="00D6254D"/>
    <w:rsid w:val="00D67D0A"/>
    <w:rsid w:val="00D74FD1"/>
    <w:rsid w:val="00D943A5"/>
    <w:rsid w:val="00D9581F"/>
    <w:rsid w:val="00DB56E4"/>
    <w:rsid w:val="00DD51A7"/>
    <w:rsid w:val="00DE4C22"/>
    <w:rsid w:val="00E03C69"/>
    <w:rsid w:val="00E27F01"/>
    <w:rsid w:val="00E35335"/>
    <w:rsid w:val="00E451CC"/>
    <w:rsid w:val="00E47C8E"/>
    <w:rsid w:val="00E77FF5"/>
    <w:rsid w:val="00E94D64"/>
    <w:rsid w:val="00EA3802"/>
    <w:rsid w:val="00EF1432"/>
    <w:rsid w:val="00EF33D5"/>
    <w:rsid w:val="00F15744"/>
    <w:rsid w:val="00F24D40"/>
    <w:rsid w:val="00F35FBA"/>
    <w:rsid w:val="00F831BC"/>
    <w:rsid w:val="00F866BA"/>
    <w:rsid w:val="00F8696F"/>
    <w:rsid w:val="00FC4B53"/>
    <w:rsid w:val="00FE440F"/>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9A0CC"/>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A61992"/>
    <w:rPr>
      <w:b/>
      <w:sz w:val="24"/>
      <w:lang w:val="pl-PL"/>
    </w:rPr>
  </w:style>
  <w:style w:type="character" w:customStyle="1" w:styleId="NormalBold12bChar">
    <w:name w:val="NormalBold12b Char"/>
    <w:basedOn w:val="AmNumberTabsChar"/>
    <w:link w:val="NormalBold12b"/>
    <w:rsid w:val="00A61992"/>
    <w:rPr>
      <w:b/>
      <w:sz w:val="24"/>
      <w:lang w:val="pl-PL"/>
    </w:rPr>
  </w:style>
  <w:style w:type="paragraph" w:styleId="BalloonText">
    <w:name w:val="Balloon Text"/>
    <w:basedOn w:val="Normal"/>
    <w:link w:val="BalloonTextChar"/>
    <w:semiHidden/>
    <w:unhideWhenUsed/>
    <w:rsid w:val="00E451CC"/>
    <w:rPr>
      <w:rFonts w:ascii="Segoe UI" w:hAnsi="Segoe UI" w:cs="Segoe UI"/>
      <w:sz w:val="18"/>
      <w:szCs w:val="18"/>
    </w:rPr>
  </w:style>
  <w:style w:type="character" w:customStyle="1" w:styleId="BalloonTextChar">
    <w:name w:val="Balloon Text Char"/>
    <w:basedOn w:val="DefaultParagraphFont"/>
    <w:link w:val="BalloonText"/>
    <w:semiHidden/>
    <w:rsid w:val="00E451CC"/>
    <w:rPr>
      <w:rFonts w:ascii="Segoe UI" w:hAnsi="Segoe UI" w:cs="Segoe UI"/>
      <w:sz w:val="18"/>
      <w:szCs w:val="18"/>
      <w:lang w:val="pl-PL"/>
    </w:rPr>
  </w:style>
  <w:style w:type="paragraph" w:customStyle="1" w:styleId="RollCallSymbols14pt">
    <w:name w:val="RollCallSymbols14pt"/>
    <w:basedOn w:val="Normal"/>
    <w:rsid w:val="00A22F2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22F26"/>
    <w:pPr>
      <w:tabs>
        <w:tab w:val="center" w:pos="284"/>
        <w:tab w:val="left" w:pos="426"/>
      </w:tabs>
    </w:pPr>
    <w:rPr>
      <w:snapToGrid w:val="0"/>
      <w:szCs w:val="20"/>
      <w:lang w:eastAsia="en-US"/>
    </w:rPr>
  </w:style>
  <w:style w:type="paragraph" w:customStyle="1" w:styleId="RollCallVotes">
    <w:name w:val="RollCallVotes"/>
    <w:basedOn w:val="Normal"/>
    <w:rsid w:val="00A22F26"/>
    <w:pPr>
      <w:spacing w:before="120" w:after="120"/>
      <w:jc w:val="center"/>
    </w:pPr>
    <w:rPr>
      <w:b/>
      <w:bCs/>
      <w:snapToGrid w:val="0"/>
      <w:sz w:val="16"/>
      <w:szCs w:val="20"/>
      <w:lang w:eastAsia="en-US"/>
    </w:rPr>
  </w:style>
  <w:style w:type="paragraph" w:customStyle="1" w:styleId="RollCallTable">
    <w:name w:val="RollCallTable"/>
    <w:basedOn w:val="Normal"/>
    <w:rsid w:val="00A22F26"/>
    <w:pPr>
      <w:spacing w:before="120" w:after="120"/>
    </w:pPr>
    <w:rPr>
      <w:snapToGrid w:val="0"/>
      <w:sz w:val="16"/>
      <w:szCs w:val="20"/>
      <w:lang w:eastAsia="en-US"/>
    </w:rPr>
  </w:style>
  <w:style w:type="paragraph" w:customStyle="1" w:styleId="Normal24a">
    <w:name w:val="Normal24a"/>
    <w:basedOn w:val="Normal"/>
    <w:rsid w:val="00284188"/>
    <w:pPr>
      <w:spacing w:after="480"/>
    </w:pPr>
    <w:rPr>
      <w:szCs w:val="20"/>
    </w:rPr>
  </w:style>
  <w:style w:type="paragraph" w:customStyle="1" w:styleId="NormalBoldCenter">
    <w:name w:val="NormalBoldCenter"/>
    <w:basedOn w:val="Normal"/>
    <w:rsid w:val="00284188"/>
    <w:pPr>
      <w:jc w:val="center"/>
    </w:pPr>
    <w:rPr>
      <w:b/>
      <w:szCs w:val="20"/>
    </w:rPr>
  </w:style>
  <w:style w:type="paragraph" w:customStyle="1" w:styleId="Titel">
    <w:name w:val="Titel"/>
    <w:rsid w:val="00284188"/>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90D4E-AA47-4775-B546-8734FC70E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5757</Words>
  <Characters>38594</Characters>
  <Application>Microsoft Office Word</Application>
  <DocSecurity>0</DocSecurity>
  <Lines>1444</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2024-04-05T08:23:00Z</dcterms:created>
  <dcterms:modified xsi:type="dcterms:W3CDTF">2024-04-05T08:23:00Z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Created with">
    <vt:lpwstr>9.17.1 Build [20240201]</vt:lpwstr>
  </property>
  <property fmtid="{D5CDD505-2E9C-101B-9397-08002B2CF9AE}" pid="9" name="FooterPath">
    <vt:lpwstr>AD\1299352PL.docx</vt:lpwstr>
  </property>
  <property fmtid="{D5CDD505-2E9C-101B-9397-08002B2CF9AE}" pid="10" name="LastEdited with">
    <vt:lpwstr>9.17.2 Build [20240301]</vt:lpwstr>
  </property>
  <property fmtid="{D5CDD505-2E9C-101B-9397-08002B2CF9AE}" pid="11" name="PE number">
    <vt:lpwstr>758.853</vt:lpwstr>
  </property>
  <property fmtid="{D5CDD505-2E9C-101B-9397-08002B2CF9AE}" pid="12" name="SDLStudio">
    <vt:lpwstr/>
  </property>
  <property fmtid="{D5CDD505-2E9C-101B-9397-08002B2CF9AE}" pid="13" name="SendToEpades">
    <vt:lpwstr>OK - 2024/03/21 12:12</vt:lpwstr>
  </property>
  <property fmtid="{D5CDD505-2E9C-101B-9397-08002B2CF9AE}" pid="14" name="Bookout">
    <vt:lpwstr>OK - 2024/04/05 10:23</vt:lpwstr>
  </property>
</Properties>
</file>