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950785" w:rsidTr="00C85D0F">
        <w:trPr>
          <w:trHeight w:hRule="exact" w:val="1418"/>
        </w:trPr>
        <w:tc>
          <w:tcPr>
            <w:tcW w:w="6804" w:type="dxa"/>
            <w:shd w:val="clear" w:color="auto" w:fill="auto"/>
            <w:vAlign w:val="center"/>
          </w:tcPr>
          <w:p w:rsidR="00854CAC" w:rsidRPr="00950785" w:rsidRDefault="0095015B" w:rsidP="00C85D0F">
            <w:pPr>
              <w:pStyle w:val="EPName"/>
            </w:pPr>
            <w:r w:rsidRPr="00950785">
              <w:t>Evropský parlament</w:t>
            </w:r>
          </w:p>
          <w:p w:rsidR="00854CAC" w:rsidRPr="00950785" w:rsidRDefault="00F61C4F" w:rsidP="00F61C4F">
            <w:pPr>
              <w:pStyle w:val="EPTerm"/>
            </w:pPr>
            <w:r w:rsidRPr="00950785">
              <w:t>2024-2029</w:t>
            </w:r>
          </w:p>
        </w:tc>
        <w:tc>
          <w:tcPr>
            <w:tcW w:w="2268" w:type="dxa"/>
            <w:shd w:val="clear" w:color="auto" w:fill="auto"/>
          </w:tcPr>
          <w:p w:rsidR="00854CAC" w:rsidRPr="00950785" w:rsidRDefault="00854CAC" w:rsidP="00C85D0F">
            <w:pPr>
              <w:pStyle w:val="EPLogo"/>
            </w:pPr>
            <w:r w:rsidRPr="0095078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950785" w:rsidRDefault="001746D0" w:rsidP="001746D0">
      <w:pPr>
        <w:pStyle w:val="LineTop"/>
      </w:pPr>
    </w:p>
    <w:p w:rsidR="001746D0" w:rsidRPr="00950785" w:rsidRDefault="001746D0" w:rsidP="001746D0">
      <w:pPr>
        <w:pStyle w:val="EPBody"/>
      </w:pPr>
      <w:r w:rsidRPr="00950785">
        <w:rPr>
          <w:rStyle w:val="HideTWBExt"/>
        </w:rPr>
        <w:t>&lt;</w:t>
      </w:r>
      <w:r w:rsidRPr="00950785">
        <w:rPr>
          <w:rStyle w:val="HideTWBExt"/>
          <w:i w:val="0"/>
        </w:rPr>
        <w:t>Commission</w:t>
      </w:r>
      <w:r w:rsidRPr="00950785">
        <w:rPr>
          <w:rStyle w:val="HideTWBExt"/>
        </w:rPr>
        <w:t>&gt;</w:t>
      </w:r>
      <w:r w:rsidRPr="00950785">
        <w:rPr>
          <w:rStyle w:val="HideTWBInt"/>
          <w:i w:val="0"/>
        </w:rPr>
        <w:t>{BUDG}</w:t>
      </w:r>
      <w:r w:rsidRPr="00950785">
        <w:t>Rozpočtový výbor</w:t>
      </w:r>
      <w:r w:rsidRPr="00950785">
        <w:rPr>
          <w:rStyle w:val="HideTWBExt"/>
        </w:rPr>
        <w:t>&lt;/</w:t>
      </w:r>
      <w:r w:rsidRPr="00950785">
        <w:rPr>
          <w:rStyle w:val="HideTWBExt"/>
          <w:i w:val="0"/>
        </w:rPr>
        <w:t>Commission</w:t>
      </w:r>
      <w:r w:rsidRPr="00950785">
        <w:rPr>
          <w:rStyle w:val="HideTWBExt"/>
        </w:rPr>
        <w:t>&gt;</w:t>
      </w:r>
    </w:p>
    <w:p w:rsidR="001746D0" w:rsidRPr="00950785" w:rsidRDefault="001746D0" w:rsidP="001746D0">
      <w:pPr>
        <w:pStyle w:val="LineBottom"/>
      </w:pPr>
    </w:p>
    <w:p w:rsidR="002E2F2E" w:rsidRPr="00950785" w:rsidRDefault="002E2F2E">
      <w:pPr>
        <w:pStyle w:val="CoverReference"/>
      </w:pPr>
      <w:r w:rsidRPr="00950785">
        <w:rPr>
          <w:rStyle w:val="HideTWBExt"/>
          <w:b w:val="0"/>
        </w:rPr>
        <w:t>&lt;RefProc&gt;</w:t>
      </w:r>
      <w:r w:rsidRPr="00950785">
        <w:t>2024/0274</w:t>
      </w:r>
      <w:r w:rsidRPr="00950785">
        <w:rPr>
          <w:rStyle w:val="HideTWBExt"/>
          <w:b w:val="0"/>
        </w:rPr>
        <w:t>&lt;/RefProc&gt;&lt;RefTypeProc&gt;</w:t>
      </w:r>
      <w:r w:rsidRPr="00950785">
        <w:t>(COD)</w:t>
      </w:r>
      <w:r w:rsidRPr="00950785">
        <w:rPr>
          <w:rStyle w:val="HideTWBExt"/>
          <w:b w:val="0"/>
        </w:rPr>
        <w:t>&lt;/RefTypeProc&gt;</w:t>
      </w:r>
    </w:p>
    <w:p w:rsidR="002E2F2E" w:rsidRPr="00950785" w:rsidRDefault="002E2F2E" w:rsidP="005C3654">
      <w:pPr>
        <w:pStyle w:val="CoverDate"/>
      </w:pPr>
      <w:r w:rsidRPr="00950785">
        <w:rPr>
          <w:rStyle w:val="HideTWBExt"/>
        </w:rPr>
        <w:t>&lt;Date&gt;</w:t>
      </w:r>
      <w:r w:rsidRPr="00950785">
        <w:rPr>
          <w:rStyle w:val="HideTWBInt"/>
        </w:rPr>
        <w:t>{22/11/2024}</w:t>
      </w:r>
      <w:r w:rsidRPr="00950785">
        <w:t>22.11.2024</w:t>
      </w:r>
      <w:r w:rsidRPr="00950785">
        <w:rPr>
          <w:rStyle w:val="HideTWBExt"/>
        </w:rPr>
        <w:t>&lt;/Date&gt;</w:t>
      </w:r>
    </w:p>
    <w:p w:rsidR="002E2F2E" w:rsidRPr="00950785" w:rsidRDefault="002E2F2E" w:rsidP="005C3654">
      <w:pPr>
        <w:pStyle w:val="CoverDocType24a"/>
      </w:pPr>
      <w:r w:rsidRPr="00950785">
        <w:rPr>
          <w:rStyle w:val="HideTWBExt"/>
          <w:b w:val="0"/>
        </w:rPr>
        <w:t>&lt;TitreType&gt;</w:t>
      </w:r>
      <w:r w:rsidRPr="00950785">
        <w:t>ROZPOČTOVÉ POSOUZENÍ</w:t>
      </w:r>
      <w:r w:rsidRPr="00950785">
        <w:rPr>
          <w:rStyle w:val="HideTWBExt"/>
          <w:b w:val="0"/>
        </w:rPr>
        <w:t>&lt;/TitreType&gt;</w:t>
      </w:r>
    </w:p>
    <w:p w:rsidR="002E2F2E" w:rsidRPr="00950785" w:rsidRDefault="002E2F2E">
      <w:pPr>
        <w:pStyle w:val="CoverNormal24a"/>
      </w:pPr>
      <w:r w:rsidRPr="00950785">
        <w:rPr>
          <w:rStyle w:val="HideTWBExt"/>
        </w:rPr>
        <w:t>&lt;CommissionResp&gt;</w:t>
      </w:r>
      <w:r w:rsidRPr="00950785">
        <w:t>Rozpočtového výboru</w:t>
      </w:r>
      <w:r w:rsidRPr="00950785">
        <w:rPr>
          <w:rStyle w:val="HideTWBExt"/>
        </w:rPr>
        <w:t>&lt;/CommissionResp&gt;</w:t>
      </w:r>
    </w:p>
    <w:p w:rsidR="002E2F2E" w:rsidRPr="00950785" w:rsidRDefault="002E2F2E">
      <w:pPr>
        <w:pStyle w:val="CoverNormal24a"/>
      </w:pPr>
      <w:r w:rsidRPr="00950785">
        <w:rPr>
          <w:rStyle w:val="HideTWBExt"/>
        </w:rPr>
        <w:t>&lt;CommissionInt&gt;</w:t>
      </w:r>
      <w:r w:rsidRPr="00950785">
        <w:t>pro Výbor pro zemědělství</w:t>
      </w:r>
      <w:r w:rsidR="00950785">
        <w:t xml:space="preserve"> a </w:t>
      </w:r>
      <w:r w:rsidRPr="00950785">
        <w:t>rozvoj venkova</w:t>
      </w:r>
      <w:r w:rsidRPr="00950785">
        <w:rPr>
          <w:rStyle w:val="HideTWBExt"/>
        </w:rPr>
        <w:t>&lt;/CommissionInt&gt;</w:t>
      </w:r>
    </w:p>
    <w:p w:rsidR="002E2F2E" w:rsidRPr="00950785" w:rsidRDefault="002E2F2E" w:rsidP="004A57E5">
      <w:pPr>
        <w:pStyle w:val="CoverNormal"/>
      </w:pPr>
      <w:r w:rsidRPr="00950785">
        <w:rPr>
          <w:rStyle w:val="HideTWBExt"/>
        </w:rPr>
        <w:t>&lt;Titre&gt;</w:t>
      </w:r>
      <w:r w:rsidRPr="00950785">
        <w:t>týkající se návrhu nařízení Evropského parlamentu</w:t>
      </w:r>
      <w:r w:rsidR="00950785">
        <w:t xml:space="preserve"> a </w:t>
      </w:r>
      <w:r w:rsidRPr="00950785">
        <w:t>Rady, kterým se mění nařízení (EU) 2020/2220, pokud jde</w:t>
      </w:r>
      <w:r w:rsidR="00950785">
        <w:t xml:space="preserve"> o </w:t>
      </w:r>
      <w:r w:rsidRPr="00950785">
        <w:t>zvláštní opatření</w:t>
      </w:r>
      <w:r w:rsidR="00950785">
        <w:t xml:space="preserve"> v </w:t>
      </w:r>
      <w:r w:rsidRPr="00950785">
        <w:t>rámci Evropského zemědělského fondu pro rozvoj venkova (EZFRV)</w:t>
      </w:r>
      <w:r w:rsidR="00950785">
        <w:t xml:space="preserve"> k </w:t>
      </w:r>
      <w:r w:rsidRPr="00950785">
        <w:t>poskytnutí dodatečné pomoci členským státům postiženým přírodními katastrofami</w:t>
      </w:r>
      <w:r w:rsidRPr="00950785">
        <w:rPr>
          <w:rStyle w:val="HideTWBExt"/>
        </w:rPr>
        <w:t>&lt;/Titre&gt;</w:t>
      </w:r>
    </w:p>
    <w:p w:rsidR="002E2F2E" w:rsidRPr="00950785" w:rsidRDefault="002E2F2E">
      <w:pPr>
        <w:pStyle w:val="CoverNormal24a"/>
      </w:pPr>
      <w:r w:rsidRPr="00950785">
        <w:rPr>
          <w:rStyle w:val="HideTWBExt"/>
        </w:rPr>
        <w:t>&lt;DocRef&gt;</w:t>
      </w:r>
      <w:r w:rsidRPr="00950785">
        <w:t>(COM(2024)0495 – C10</w:t>
      </w:r>
      <w:r w:rsidRPr="00950785">
        <w:noBreakHyphen/>
        <w:t>0148/2024 – 2024/0274(COD))</w:t>
      </w:r>
      <w:r w:rsidRPr="00950785">
        <w:rPr>
          <w:rStyle w:val="HideTWBExt"/>
        </w:rPr>
        <w:t>&lt;/DocRef&gt;</w:t>
      </w:r>
    </w:p>
    <w:p w:rsidR="00A72C35" w:rsidRPr="00950785" w:rsidRDefault="0054667E" w:rsidP="00FC42F1">
      <w:pPr>
        <w:pStyle w:val="CoverNormal24a"/>
      </w:pPr>
      <w:r w:rsidRPr="00950785">
        <w:t xml:space="preserve">Zpravodaj pro rozpočtové posouzení: </w:t>
      </w:r>
      <w:r w:rsidRPr="00950785">
        <w:rPr>
          <w:rStyle w:val="HideTWBExt"/>
        </w:rPr>
        <w:t>&lt;Depute&gt;</w:t>
      </w:r>
      <w:r w:rsidRPr="00950785">
        <w:t>Hélder Sousa Silva</w:t>
      </w:r>
      <w:bookmarkStart w:id="0" w:name="_GoBack"/>
      <w:bookmarkEnd w:id="0"/>
      <w:r w:rsidRPr="00950785">
        <w:rPr>
          <w:rStyle w:val="HideTWBExt"/>
        </w:rPr>
        <w:t>&lt;/Depute&gt;</w:t>
      </w:r>
    </w:p>
    <w:p w:rsidR="002E2F2E" w:rsidRPr="00950785" w:rsidRDefault="002E2F2E" w:rsidP="00E856D2">
      <w:pPr>
        <w:widowControl/>
        <w:tabs>
          <w:tab w:val="center" w:pos="4677"/>
        </w:tabs>
      </w:pPr>
      <w:r w:rsidRPr="00950785">
        <w:br w:type="page"/>
      </w:r>
      <w:r w:rsidRPr="00950785">
        <w:lastRenderedPageBreak/>
        <w:t>PA_LegEvaluation</w:t>
      </w:r>
    </w:p>
    <w:p w:rsidR="002E2F2E" w:rsidRPr="00950785" w:rsidRDefault="002E2F2E" w:rsidP="00757C4C">
      <w:pPr>
        <w:pStyle w:val="PageHeadingNotTOC"/>
      </w:pPr>
      <w:r w:rsidRPr="00950785">
        <w:br w:type="page"/>
      </w:r>
      <w:r w:rsidRPr="00950785">
        <w:lastRenderedPageBreak/>
        <w:t>ROZPOČTOVÉ POSOUZENÍ</w:t>
      </w:r>
    </w:p>
    <w:p w:rsidR="00757C4C" w:rsidRPr="00950785" w:rsidRDefault="0095015B" w:rsidP="004A57E5">
      <w:pPr>
        <w:pStyle w:val="NormalBold"/>
      </w:pPr>
      <w:r w:rsidRPr="00950785">
        <w:t>pro Výbor pro zemědělství</w:t>
      </w:r>
      <w:r w:rsidR="00950785">
        <w:t xml:space="preserve"> a </w:t>
      </w:r>
      <w:r w:rsidRPr="00950785">
        <w:t>rozvoj venkova týkající se návrhu nařízení Evropského parlamentu</w:t>
      </w:r>
      <w:r w:rsidR="00950785">
        <w:t xml:space="preserve"> a </w:t>
      </w:r>
      <w:r w:rsidRPr="00950785">
        <w:t>Rady, kterým se mění nařízení (EU) 2020/2220, pokud jde</w:t>
      </w:r>
      <w:r w:rsidR="00950785">
        <w:t xml:space="preserve"> o </w:t>
      </w:r>
      <w:r w:rsidRPr="00950785">
        <w:t>zvláštní opatření</w:t>
      </w:r>
      <w:r w:rsidR="00950785">
        <w:t xml:space="preserve"> v </w:t>
      </w:r>
      <w:r w:rsidRPr="00950785">
        <w:t>rámci Evropského zemědělského fondu pro rozvoj venkova (EZFRV)</w:t>
      </w:r>
      <w:r w:rsidR="00950785">
        <w:t xml:space="preserve"> k </w:t>
      </w:r>
      <w:r w:rsidRPr="00950785">
        <w:t>poskytnutí dodatečné pomoci členským státům postiženým přírodními katastrofami</w:t>
      </w:r>
    </w:p>
    <w:p w:rsidR="002E2F2E" w:rsidRPr="00950785" w:rsidRDefault="0095015B" w:rsidP="00757C4C">
      <w:pPr>
        <w:pStyle w:val="Normal12a"/>
        <w:rPr>
          <w:b/>
          <w:bCs/>
        </w:rPr>
      </w:pPr>
      <w:r w:rsidRPr="00950785">
        <w:rPr>
          <w:b/>
        </w:rPr>
        <w:t>(COM(2024)0495 – C10</w:t>
      </w:r>
      <w:r w:rsidRPr="00950785">
        <w:rPr>
          <w:b/>
        </w:rPr>
        <w:noBreakHyphen/>
        <w:t>0148/2024 – 2024/0274(COD))</w:t>
      </w:r>
    </w:p>
    <w:p w:rsidR="00AE79AF" w:rsidRPr="00950785" w:rsidRDefault="00AB5733" w:rsidP="00AB5733">
      <w:pPr>
        <w:pStyle w:val="Normal12a"/>
      </w:pPr>
      <w:r w:rsidRPr="00950785">
        <w:rPr>
          <w:rStyle w:val="HideTWBExt"/>
        </w:rPr>
        <w:t>&lt;Intro&gt;</w:t>
      </w:r>
      <w:r w:rsidRPr="00950785">
        <w:t>Rozpočtový výbor</w:t>
      </w:r>
      <w:r w:rsidR="00950785">
        <w:t xml:space="preserve"> v </w:t>
      </w:r>
      <w:r w:rsidRPr="00950785">
        <w:t>souladu</w:t>
      </w:r>
      <w:r w:rsidR="00950785">
        <w:t xml:space="preserve"> s </w:t>
      </w:r>
      <w:r w:rsidRPr="00950785">
        <w:t>článkem 58 jednacího řádu posoudil návrh</w:t>
      </w:r>
      <w:r w:rsidR="00950785">
        <w:t xml:space="preserve"> a </w:t>
      </w:r>
      <w:r w:rsidRPr="00950785">
        <w:t>dospěl</w:t>
      </w:r>
      <w:r w:rsidR="00950785">
        <w:t xml:space="preserve"> k </w:t>
      </w:r>
      <w:r w:rsidRPr="00950785">
        <w:t>těmto závěrům:</w:t>
      </w:r>
      <w:r w:rsidRPr="00950785">
        <w:rPr>
          <w:rStyle w:val="HideTWBExt"/>
        </w:rPr>
        <w:t>&lt;/Intro&gt;</w:t>
      </w:r>
    </w:p>
    <w:p w:rsidR="00DC42C0" w:rsidRPr="00950785" w:rsidRDefault="007A5EBE" w:rsidP="00DC42C0">
      <w:pPr>
        <w:pStyle w:val="NormalHanging12a"/>
        <w:jc w:val="both"/>
      </w:pPr>
      <w:r w:rsidRPr="00950785">
        <w:t>–</w:t>
      </w:r>
      <w:r w:rsidRPr="00950785">
        <w:tab/>
        <w:t>s ohledem na nařízení Evropského parlamentu</w:t>
      </w:r>
      <w:r w:rsidR="00950785">
        <w:t xml:space="preserve"> a </w:t>
      </w:r>
      <w:r w:rsidRPr="00950785">
        <w:t>Rady (EU, Euratom) 2024/2509 ze dne 23. září 2024, kterým se stanoví finanční pravidla pro souhrnný rozpočet Unie</w:t>
      </w:r>
      <w:r w:rsidR="00DC42C0" w:rsidRPr="00950785">
        <w:rPr>
          <w:sz w:val="20"/>
          <w:vertAlign w:val="superscript"/>
        </w:rPr>
        <w:footnoteReference w:id="1"/>
      </w:r>
      <w:r w:rsidRPr="00950785">
        <w:t>,</w:t>
      </w:r>
    </w:p>
    <w:p w:rsidR="00DC42C0" w:rsidRPr="00950785" w:rsidRDefault="00DC42C0" w:rsidP="00DC42C0">
      <w:pPr>
        <w:pStyle w:val="NormalHanging12a"/>
        <w:jc w:val="both"/>
      </w:pPr>
      <w:r w:rsidRPr="00950785">
        <w:t>–</w:t>
      </w:r>
      <w:r w:rsidRPr="00950785">
        <w:tab/>
        <w:t>s ohledem na nařízení Rady (EU, Euratom) 2020/2093 ze dne 17. prosince 2020, kterým se stanoví víceletý finanční rámec na období 2021–2027</w:t>
      </w:r>
      <w:r w:rsidRPr="00950785">
        <w:rPr>
          <w:sz w:val="20"/>
          <w:vertAlign w:val="superscript"/>
        </w:rPr>
        <w:footnoteReference w:id="2"/>
      </w:r>
      <w:r w:rsidRPr="00950785">
        <w:t>,</w:t>
      </w:r>
    </w:p>
    <w:p w:rsidR="00DC42C0" w:rsidRPr="00950785" w:rsidRDefault="00DC42C0" w:rsidP="00DC42C0">
      <w:pPr>
        <w:pStyle w:val="NormalHanging12a"/>
        <w:jc w:val="both"/>
      </w:pPr>
      <w:r w:rsidRPr="00950785">
        <w:t>–</w:t>
      </w:r>
      <w:r w:rsidRPr="00950785">
        <w:tab/>
        <w:t>s ohledem na interinstitucionální dohodu ze dne 16. prosince 2020 mezi Evropským parlamentem, Radou Evropské unie</w:t>
      </w:r>
      <w:r w:rsidR="00950785">
        <w:t xml:space="preserve"> a </w:t>
      </w:r>
      <w:r w:rsidRPr="00950785">
        <w:t>Evropskou komisí</w:t>
      </w:r>
      <w:r w:rsidR="00950785">
        <w:t xml:space="preserve"> o </w:t>
      </w:r>
      <w:r w:rsidRPr="00950785">
        <w:t>rozpočtové kázni, spolupráci</w:t>
      </w:r>
      <w:r w:rsidR="00950785">
        <w:t xml:space="preserve"> v </w:t>
      </w:r>
      <w:r w:rsidRPr="00950785">
        <w:t>rozpočtových záležitostech</w:t>
      </w:r>
      <w:r w:rsidR="00950785">
        <w:t xml:space="preserve"> a </w:t>
      </w:r>
      <w:r w:rsidRPr="00950785">
        <w:t>řádném finančním řízení, jakož</w:t>
      </w:r>
      <w:r w:rsidR="00950785">
        <w:t xml:space="preserve"> i o </w:t>
      </w:r>
      <w:r w:rsidRPr="00950785">
        <w:t>nových vlastních zdrojích, včetně plánu zavádění nových vlastních zdrojů</w:t>
      </w:r>
      <w:r w:rsidRPr="00950785">
        <w:rPr>
          <w:sz w:val="20"/>
          <w:vertAlign w:val="superscript"/>
        </w:rPr>
        <w:footnoteReference w:id="3"/>
      </w:r>
      <w:r w:rsidRPr="00950785">
        <w:t>,</w:t>
      </w:r>
    </w:p>
    <w:p w:rsidR="00DC42C0" w:rsidRPr="00950785" w:rsidRDefault="00DC42C0" w:rsidP="00DC42C0">
      <w:pPr>
        <w:pStyle w:val="NormalHanging12a"/>
        <w:jc w:val="both"/>
      </w:pPr>
      <w:r w:rsidRPr="00950785">
        <w:t>A.</w:t>
      </w:r>
      <w:r w:rsidRPr="00950785">
        <w:tab/>
        <w:t>vzhledem</w:t>
      </w:r>
      <w:r w:rsidR="00950785">
        <w:t xml:space="preserve"> k </w:t>
      </w:r>
      <w:r w:rsidRPr="00950785">
        <w:t>tomu, že nedávné přírodní katastrofy, které EU zasáhly</w:t>
      </w:r>
      <w:r w:rsidR="00950785">
        <w:t xml:space="preserve"> v </w:t>
      </w:r>
      <w:r w:rsidRPr="00950785">
        <w:t>souvislosti se změnou klimatu, měly drtivé dopady na osoby, které žijí</w:t>
      </w:r>
      <w:r w:rsidR="00950785">
        <w:t xml:space="preserve"> a </w:t>
      </w:r>
      <w:r w:rsidRPr="00950785">
        <w:t>pracují</w:t>
      </w:r>
      <w:r w:rsidR="00950785">
        <w:t xml:space="preserve"> v </w:t>
      </w:r>
      <w:r w:rsidRPr="00950785">
        <w:t>postižených venkovských regionech, neboť poničily značnou část zemědělského</w:t>
      </w:r>
      <w:r w:rsidR="00950785">
        <w:t xml:space="preserve"> a </w:t>
      </w:r>
      <w:r w:rsidRPr="00950785">
        <w:t>lesnického produkčního potenciálu,</w:t>
      </w:r>
      <w:r w:rsidR="00950785">
        <w:t xml:space="preserve"> a </w:t>
      </w:r>
      <w:r w:rsidRPr="00950785">
        <w:t>zemědělcům, majitelům lesů</w:t>
      </w:r>
      <w:r w:rsidR="00950785">
        <w:t xml:space="preserve"> a </w:t>
      </w:r>
      <w:r w:rsidRPr="00950785">
        <w:t>venkovským podnikům tak způsobily významné ztráty příjmů; vzhledem</w:t>
      </w:r>
      <w:r w:rsidR="00950785">
        <w:t xml:space="preserve"> k </w:t>
      </w:r>
      <w:r w:rsidRPr="00950785">
        <w:t>tomu, že tyto katastrofy ještě více exponovaly zranitelná místa evropského potravinového systému</w:t>
      </w:r>
      <w:r w:rsidR="00950785">
        <w:t xml:space="preserve"> a </w:t>
      </w:r>
      <w:r w:rsidRPr="00950785">
        <w:t>ohrozily potravinové zabezpečení EU</w:t>
      </w:r>
      <w:r w:rsidR="00950785">
        <w:t xml:space="preserve"> a </w:t>
      </w:r>
      <w:r w:rsidRPr="00950785">
        <w:t>dostupnost tradičních produktů;</w:t>
      </w:r>
    </w:p>
    <w:p w:rsidR="00DC42C0" w:rsidRPr="00950785" w:rsidRDefault="00DC42C0" w:rsidP="00DC42C0">
      <w:pPr>
        <w:pStyle w:val="NormalHanging12a"/>
        <w:jc w:val="both"/>
      </w:pPr>
      <w:r w:rsidRPr="00950785">
        <w:t xml:space="preserve">B. </w:t>
      </w:r>
      <w:r w:rsidRPr="00950785">
        <w:tab/>
        <w:t>vzhledem</w:t>
      </w:r>
      <w:r w:rsidR="00950785">
        <w:t xml:space="preserve"> k </w:t>
      </w:r>
      <w:r w:rsidRPr="00950785">
        <w:t>tomu, že</w:t>
      </w:r>
      <w:r w:rsidR="00950785">
        <w:t xml:space="preserve"> v </w:t>
      </w:r>
      <w:r w:rsidRPr="00950785">
        <w:t>rámci rozpočtového posouzení jsou zkoumány okamžité</w:t>
      </w:r>
      <w:r w:rsidR="00950785">
        <w:t xml:space="preserve"> i </w:t>
      </w:r>
      <w:r w:rsidRPr="00950785">
        <w:t>nepřímé důsledky iniciativ nebo legislativních návrhů pro rozpočet;</w:t>
      </w:r>
    </w:p>
    <w:p w:rsidR="00DC42C0" w:rsidRPr="00950785" w:rsidRDefault="00DC42C0" w:rsidP="00DC42C0">
      <w:pPr>
        <w:pStyle w:val="NormalHanging12a"/>
        <w:jc w:val="both"/>
      </w:pPr>
      <w:r w:rsidRPr="00950785">
        <w:t>C.</w:t>
      </w:r>
      <w:r w:rsidRPr="00950785">
        <w:tab/>
        <w:t>vzhledem</w:t>
      </w:r>
      <w:r w:rsidR="00950785">
        <w:t xml:space="preserve"> k </w:t>
      </w:r>
      <w:r w:rsidRPr="00950785">
        <w:t>tomu, že podle jednacího řádu se</w:t>
      </w:r>
      <w:r w:rsidR="00950785">
        <w:t xml:space="preserve"> v </w:t>
      </w:r>
      <w:r w:rsidRPr="00950785">
        <w:t>rámci rozpočtového posouzení vyhodnotí, zda návrh právně závazného aktu stanoví dostatečné finanční</w:t>
      </w:r>
      <w:r w:rsidR="00950785">
        <w:t xml:space="preserve"> a </w:t>
      </w:r>
      <w:r w:rsidRPr="00950785">
        <w:t>lidské zdroje</w:t>
      </w:r>
      <w:r w:rsidR="00950785">
        <w:t xml:space="preserve"> a </w:t>
      </w:r>
      <w:r w:rsidRPr="00950785">
        <w:t>jaký dopad by navržené financování mohlo mít na ostatní programy nebo politiky Unie; vzhledem</w:t>
      </w:r>
      <w:r w:rsidR="00950785">
        <w:t xml:space="preserve"> k </w:t>
      </w:r>
      <w:r w:rsidRPr="00950785">
        <w:t>tomu, že se má takto rovněž určit, zda je návrh slučitelný</w:t>
      </w:r>
      <w:r w:rsidR="00950785">
        <w:t xml:space="preserve"> s </w:t>
      </w:r>
      <w:r w:rsidRPr="00950785">
        <w:t>víceletým finančním rámcem, systémem vlastních zdrojů</w:t>
      </w:r>
      <w:r w:rsidR="00950785">
        <w:t xml:space="preserve"> a </w:t>
      </w:r>
      <w:r w:rsidRPr="00950785">
        <w:t>příslušnou interinstitucionální dohodou, jakož</w:t>
      </w:r>
      <w:r w:rsidR="00950785">
        <w:t xml:space="preserve"> i s </w:t>
      </w:r>
      <w:r w:rsidRPr="00950785">
        <w:t>rozpočtovými zásadami stanovenými</w:t>
      </w:r>
      <w:r w:rsidR="00950785">
        <w:t xml:space="preserve"> v </w:t>
      </w:r>
      <w:r w:rsidRPr="00950785">
        <w:t>nařízení Evropského parlamentu</w:t>
      </w:r>
      <w:r w:rsidR="00950785">
        <w:t xml:space="preserve"> a </w:t>
      </w:r>
      <w:r w:rsidRPr="00950785">
        <w:t>Rady (EU, Euratom) 2024/2509</w:t>
      </w:r>
      <w:r w:rsidRPr="00950785">
        <w:rPr>
          <w:rStyle w:val="FootnoteReference"/>
          <w:sz w:val="20"/>
        </w:rPr>
        <w:footnoteReference w:id="4"/>
      </w:r>
      <w:r w:rsidRPr="00950785">
        <w:t>;</w:t>
      </w:r>
    </w:p>
    <w:p w:rsidR="00DC42C0" w:rsidRPr="00950785" w:rsidRDefault="00DC42C0" w:rsidP="00DC42C0">
      <w:pPr>
        <w:pStyle w:val="NormalHanging12a"/>
        <w:jc w:val="both"/>
      </w:pPr>
      <w:r w:rsidRPr="00950785">
        <w:t>D.</w:t>
      </w:r>
      <w:r w:rsidRPr="00950785">
        <w:tab/>
        <w:t>vzhledem</w:t>
      </w:r>
      <w:r w:rsidR="00950785">
        <w:t xml:space="preserve"> k </w:t>
      </w:r>
      <w:r w:rsidRPr="00950785">
        <w:t>tomu, že Parlament usiluje</w:t>
      </w:r>
      <w:r w:rsidR="00950785">
        <w:t xml:space="preserve"> o </w:t>
      </w:r>
      <w:r w:rsidRPr="00950785">
        <w:t>sladění svých legislativních</w:t>
      </w:r>
      <w:r w:rsidR="00950785">
        <w:t xml:space="preserve"> a </w:t>
      </w:r>
      <w:r w:rsidRPr="00950785">
        <w:t xml:space="preserve">rozpočtových </w:t>
      </w:r>
      <w:r w:rsidRPr="00950785">
        <w:lastRenderedPageBreak/>
        <w:t>pravomocí, aby posílil svou institucionální úlohu</w:t>
      </w:r>
      <w:r w:rsidR="00950785">
        <w:t xml:space="preserve"> v </w:t>
      </w:r>
      <w:r w:rsidRPr="00950785">
        <w:t>rozhodovacím procesu;</w:t>
      </w:r>
    </w:p>
    <w:p w:rsidR="00DC42C0" w:rsidRPr="00950785" w:rsidRDefault="00DC42C0" w:rsidP="00DC42C0">
      <w:pPr>
        <w:pStyle w:val="NormalHanging12a"/>
        <w:jc w:val="both"/>
      </w:pPr>
      <w:r w:rsidRPr="00950785">
        <w:t>E.</w:t>
      </w:r>
      <w:r w:rsidRPr="00950785">
        <w:tab/>
        <w:t>vzhledem</w:t>
      </w:r>
      <w:r w:rsidR="00950785">
        <w:t xml:space="preserve"> k </w:t>
      </w:r>
      <w:r w:rsidRPr="00950785">
        <w:t>tomu, že Parlament požadoval</w:t>
      </w:r>
      <w:r w:rsidR="00950785">
        <w:t xml:space="preserve"> a </w:t>
      </w:r>
      <w:r w:rsidRPr="00950785">
        <w:t>podporoval předchozí iniciativy, které se úpravou kritérií způsobilosti snažily posílit schopnost rozpočtu EU reagovat na krize, aby bylo možné prostředky</w:t>
      </w:r>
      <w:r w:rsidR="00950785">
        <w:t xml:space="preserve"> z </w:t>
      </w:r>
      <w:r w:rsidRPr="00950785">
        <w:t>fondů ve sdíleném řízení přerozdělovat na jiné účely; vzhledem</w:t>
      </w:r>
      <w:r w:rsidR="00950785">
        <w:t xml:space="preserve"> k </w:t>
      </w:r>
      <w:r w:rsidRPr="00950785">
        <w:t>tomu, že se vycházelo</w:t>
      </w:r>
      <w:r w:rsidR="00950785">
        <w:t xml:space="preserve"> z </w:t>
      </w:r>
      <w:r w:rsidRPr="00950785">
        <w:t>předpokladu, že tyto úpravy nebudou mít vliv na prostředky, které byly pro členské státy předem vyhrazeny</w:t>
      </w:r>
      <w:r w:rsidR="00950785">
        <w:t xml:space="preserve"> z </w:t>
      </w:r>
      <w:r w:rsidRPr="00950785">
        <w:t>Fondu soudržnosti</w:t>
      </w:r>
      <w:r w:rsidR="00950785">
        <w:t xml:space="preserve"> a </w:t>
      </w:r>
      <w:r w:rsidRPr="00950785">
        <w:t>fondů společné zemědělské politiky;</w:t>
      </w:r>
    </w:p>
    <w:p w:rsidR="00DC42C0" w:rsidRPr="00950785" w:rsidRDefault="00DC42C0" w:rsidP="00DC42C0">
      <w:pPr>
        <w:pStyle w:val="NormalHanging12a"/>
        <w:jc w:val="both"/>
      </w:pPr>
      <w:r w:rsidRPr="00950785">
        <w:t>F.</w:t>
      </w:r>
      <w:r w:rsidRPr="00950785">
        <w:tab/>
        <w:t>vzhledem</w:t>
      </w:r>
      <w:r w:rsidR="00950785">
        <w:t xml:space="preserve"> k </w:t>
      </w:r>
      <w:r w:rsidRPr="00950785">
        <w:t>tomu, že hrozí, že některé závazky operačních programů financovaných</w:t>
      </w:r>
      <w:r w:rsidR="00950785">
        <w:t xml:space="preserve"> z </w:t>
      </w:r>
      <w:r w:rsidRPr="00950785">
        <w:t>Evropského zemědělského fondu pro rozvoj venkova (EZFRV), včetně závazků financovaných</w:t>
      </w:r>
      <w:r w:rsidR="00950785">
        <w:t xml:space="preserve"> z </w:t>
      </w:r>
      <w:r w:rsidRPr="00950785">
        <w:t>účelově vázaných příjmů</w:t>
      </w:r>
      <w:r w:rsidR="00950785">
        <w:t xml:space="preserve"> v </w:t>
      </w:r>
      <w:r w:rsidRPr="00950785">
        <w:t>rámci úvěrového systému nástroje NextGenerationEU, které jsou rozloženy</w:t>
      </w:r>
      <w:r w:rsidR="00950785">
        <w:t xml:space="preserve"> v </w:t>
      </w:r>
      <w:r w:rsidRPr="00950785">
        <w:t>deseti členských státech, budou zrušeny podle pravidla N + 3 platného právního rámce EZFRV na období 2014–2022;</w:t>
      </w:r>
    </w:p>
    <w:p w:rsidR="00DC42C0" w:rsidRPr="00950785" w:rsidRDefault="00DC42C0" w:rsidP="00DC42C0">
      <w:pPr>
        <w:pStyle w:val="NormalHanging12a"/>
        <w:jc w:val="both"/>
      </w:pPr>
      <w:r w:rsidRPr="00950785">
        <w:t>G.</w:t>
      </w:r>
      <w:r w:rsidRPr="00950785">
        <w:tab/>
        <w:t>vzhledem</w:t>
      </w:r>
      <w:r w:rsidR="00950785">
        <w:t xml:space="preserve"> k </w:t>
      </w:r>
      <w:r w:rsidRPr="00950785">
        <w:t>tomu, že legislativní změna má umožnit flexibilnější přerozdělování rozpočtových prostředků na nová opatření</w:t>
      </w:r>
      <w:r w:rsidR="00950785">
        <w:t xml:space="preserve"> v </w:t>
      </w:r>
      <w:r w:rsidRPr="00950785">
        <w:t>rámci EZFRV, aby mohla být členským státům, které byly od 1. ledna 2024 zasaženy přírodními katastrofami, poskytnuta dodatečná cílená pomoc</w:t>
      </w:r>
      <w:r w:rsidR="00950785">
        <w:t xml:space="preserve"> a </w:t>
      </w:r>
      <w:r w:rsidRPr="00950785">
        <w:t>flexibilita;</w:t>
      </w:r>
    </w:p>
    <w:p w:rsidR="00DC42C0" w:rsidRPr="00950785" w:rsidRDefault="00DC42C0" w:rsidP="00DC42C0">
      <w:pPr>
        <w:pStyle w:val="NormalHanging12a"/>
        <w:jc w:val="both"/>
      </w:pPr>
      <w:r w:rsidRPr="00950785">
        <w:t>H.</w:t>
      </w:r>
      <w:r w:rsidRPr="00950785">
        <w:tab/>
        <w:t>vzhledem</w:t>
      </w:r>
      <w:r w:rsidR="00950785">
        <w:t xml:space="preserve"> k </w:t>
      </w:r>
      <w:r w:rsidRPr="00950785">
        <w:t>tomu, že změna nařízení má především podpořit zemědělce, majitele lesů</w:t>
      </w:r>
      <w:r w:rsidR="00950785">
        <w:t xml:space="preserve"> a </w:t>
      </w:r>
      <w:r w:rsidRPr="00950785">
        <w:t>malé</w:t>
      </w:r>
      <w:r w:rsidR="00950785">
        <w:t xml:space="preserve"> a </w:t>
      </w:r>
      <w:r w:rsidRPr="00950785">
        <w:t>střední podniky (MSP), kteří byli nejvíce postiženi přírodními katastrofami, poskytnutím cílené likvidity, mimo jiné</w:t>
      </w:r>
      <w:r w:rsidR="00950785">
        <w:t xml:space="preserve"> i </w:t>
      </w:r>
      <w:r w:rsidRPr="00950785">
        <w:t>formou paušálních částek do výše 42 000 EUR na příjemce;</w:t>
      </w:r>
    </w:p>
    <w:p w:rsidR="00DC42C0" w:rsidRPr="00950785" w:rsidRDefault="00DC42C0" w:rsidP="00DC42C0">
      <w:pPr>
        <w:pStyle w:val="NormalHanging12a"/>
        <w:jc w:val="both"/>
      </w:pPr>
      <w:r w:rsidRPr="00950785">
        <w:t>1.</w:t>
      </w:r>
      <w:r w:rsidRPr="00950785">
        <w:tab/>
        <w:t>bere na vědomí prohlášení Komise, že návrh je celkově rozpočtově neutrální</w:t>
      </w:r>
      <w:r w:rsidR="00950785">
        <w:t xml:space="preserve"> a </w:t>
      </w:r>
      <w:r w:rsidRPr="00950785">
        <w:t>že se nedotkne prostředků na závazky; přes toto ujištění si však všímá řady rozpočtových důsledků;</w:t>
      </w:r>
    </w:p>
    <w:p w:rsidR="00DC42C0" w:rsidRPr="00950785" w:rsidRDefault="00DC42C0" w:rsidP="00DC42C0">
      <w:pPr>
        <w:pStyle w:val="NormalHanging12a"/>
        <w:jc w:val="both"/>
      </w:pPr>
      <w:r w:rsidRPr="00950785">
        <w:t>2.</w:t>
      </w:r>
      <w:r w:rsidRPr="00950785">
        <w:tab/>
        <w:t>připomíná, že Parlament opakovaně žádal pro Fond solidarity Evropské unie více prostředků, neboť počet</w:t>
      </w:r>
      <w:r w:rsidR="00950785">
        <w:t xml:space="preserve"> a </w:t>
      </w:r>
      <w:r w:rsidRPr="00950785">
        <w:t>intenzita přírodních katastrof se zvyšuje</w:t>
      </w:r>
      <w:r w:rsidR="00950785">
        <w:t xml:space="preserve"> a </w:t>
      </w:r>
      <w:r w:rsidRPr="00950785">
        <w:t>je nutné zrychlit</w:t>
      </w:r>
      <w:r w:rsidR="00950785">
        <w:t xml:space="preserve"> a </w:t>
      </w:r>
      <w:r w:rsidRPr="00950785">
        <w:t>zjednodušit příslušné postupy, aby se pomoc rychleji dostala</w:t>
      </w:r>
      <w:r w:rsidR="00950785">
        <w:t xml:space="preserve"> k </w:t>
      </w:r>
      <w:r w:rsidRPr="00950785">
        <w:t>postiženým členským státům</w:t>
      </w:r>
      <w:r w:rsidR="00950785">
        <w:t xml:space="preserve"> a </w:t>
      </w:r>
      <w:r w:rsidRPr="00950785">
        <w:t xml:space="preserve">regionům; </w:t>
      </w:r>
      <w:r w:rsidRPr="00950785">
        <w:rPr>
          <w:color w:val="000000"/>
        </w:rPr>
        <w:t>zdůrazňuje, že je třeba zjednodušit administrativu, aby bylo možné finanční prostředky rychle přidělovat</w:t>
      </w:r>
      <w:r w:rsidR="00950785">
        <w:rPr>
          <w:color w:val="000000"/>
        </w:rPr>
        <w:t xml:space="preserve"> a </w:t>
      </w:r>
      <w:r w:rsidRPr="00950785">
        <w:rPr>
          <w:color w:val="000000"/>
        </w:rPr>
        <w:t>zemědělcům, výrobcům tradičních produktů, lesníkům</w:t>
      </w:r>
      <w:r w:rsidR="00950785">
        <w:rPr>
          <w:color w:val="000000"/>
        </w:rPr>
        <w:t xml:space="preserve"> a </w:t>
      </w:r>
      <w:r w:rsidRPr="00950785">
        <w:rPr>
          <w:color w:val="000000"/>
        </w:rPr>
        <w:t>MSP vyplácet jednorázové částky;</w:t>
      </w:r>
    </w:p>
    <w:p w:rsidR="00DC42C0" w:rsidRPr="00950785" w:rsidRDefault="00DC42C0" w:rsidP="00DC42C0">
      <w:pPr>
        <w:pStyle w:val="NormalHanging12a"/>
        <w:jc w:val="both"/>
      </w:pPr>
      <w:r w:rsidRPr="00950785">
        <w:t>3.</w:t>
      </w:r>
      <w:r w:rsidRPr="00950785">
        <w:tab/>
        <w:t>připomíná, že Parlament soustavně kritizuje, že již rozplánované prostředky jsou používány jako nástroj reakcí na krize,</w:t>
      </w:r>
      <w:r w:rsidR="00950785">
        <w:t xml:space="preserve"> a </w:t>
      </w:r>
      <w:r w:rsidRPr="00950785">
        <w:t>poukazuje na to, že tato praxe by mohla oslabit dlouhodobé politické</w:t>
      </w:r>
      <w:r w:rsidR="00950785">
        <w:t xml:space="preserve"> a </w:t>
      </w:r>
      <w:r w:rsidRPr="00950785">
        <w:t>investiční cíle EZFRV vymezené</w:t>
      </w:r>
      <w:r w:rsidR="00950785">
        <w:t xml:space="preserve"> v </w:t>
      </w:r>
      <w:r w:rsidRPr="00950785">
        <w:t>jeho právním rámci; uznává však, že současný návrh nabízí pragmatické řešení nedostatečné flexibility</w:t>
      </w:r>
      <w:r w:rsidR="00950785">
        <w:t xml:space="preserve"> a </w:t>
      </w:r>
      <w:r w:rsidRPr="00950785">
        <w:t>kapacity rozpočtu EU ke zvládání krizí tak, aby mohl rychle reagovat na potřeby postižené populace;</w:t>
      </w:r>
    </w:p>
    <w:p w:rsidR="00DC42C0" w:rsidRPr="00950785" w:rsidRDefault="00DC42C0" w:rsidP="00DC42C0">
      <w:pPr>
        <w:pStyle w:val="NormalHanging12a"/>
        <w:jc w:val="both"/>
      </w:pPr>
      <w:r w:rsidRPr="00950785">
        <w:t>4.</w:t>
      </w:r>
      <w:r w:rsidRPr="00950785">
        <w:tab/>
        <w:t>shledává, že vzhledem</w:t>
      </w:r>
      <w:r w:rsidR="00950785">
        <w:t xml:space="preserve"> k </w:t>
      </w:r>
      <w:r w:rsidRPr="00950785">
        <w:t>tomu, že určité členské státy čerpají prostředky</w:t>
      </w:r>
      <w:r w:rsidR="00950785">
        <w:t xml:space="preserve"> z </w:t>
      </w:r>
      <w:r w:rsidRPr="00950785">
        <w:t>fondů na rozvoj venkova pomalu</w:t>
      </w:r>
      <w:r w:rsidR="00950785">
        <w:t xml:space="preserve"> a </w:t>
      </w:r>
      <w:r w:rsidRPr="00950785">
        <w:t>že míra plnění několika rozpočtových položek nedosahuje 75 %, mohou být opatření na zvýšení flexibility oprávněná;</w:t>
      </w:r>
    </w:p>
    <w:p w:rsidR="00DC42C0" w:rsidRPr="00950785" w:rsidRDefault="00DC42C0" w:rsidP="00DC42C0">
      <w:pPr>
        <w:pStyle w:val="NormalHanging12a"/>
        <w:jc w:val="both"/>
      </w:pPr>
      <w:r w:rsidRPr="00950785">
        <w:t>5.</w:t>
      </w:r>
      <w:r w:rsidRPr="00950785">
        <w:tab/>
        <w:t>s politováním konstatuje, že nebyl předložen legislativní finanční výkaz</w:t>
      </w:r>
      <w:r w:rsidR="00950785">
        <w:t xml:space="preserve"> a </w:t>
      </w:r>
      <w:r w:rsidRPr="00950785">
        <w:t>že návrh na změnu 1/2025 neobsahuje informace, které by vyjasnily</w:t>
      </w:r>
      <w:r w:rsidR="00950785">
        <w:t xml:space="preserve"> a </w:t>
      </w:r>
      <w:r w:rsidRPr="00950785">
        <w:t>kvantifikovaly důsledky pro profil plateb, jak bylo učiněno</w:t>
      </w:r>
      <w:r w:rsidR="00950785">
        <w:t xml:space="preserve"> v </w:t>
      </w:r>
      <w:r w:rsidRPr="00950785">
        <w:t>případě návrhu RESTORE</w:t>
      </w:r>
      <w:r w:rsidRPr="00950785">
        <w:rPr>
          <w:rStyle w:val="FootnoteReference"/>
        </w:rPr>
        <w:footnoteReference w:id="5"/>
      </w:r>
      <w:r w:rsidRPr="00950785">
        <w:t>; připomíná, že to má přímé důsledky pro příspěvky členských států do rozpočtu EU; vyzývá Komisi, aby tyto informace poskytla;</w:t>
      </w:r>
    </w:p>
    <w:p w:rsidR="00DC42C0" w:rsidRPr="00950785" w:rsidRDefault="00DC42C0" w:rsidP="00DC42C0">
      <w:pPr>
        <w:pStyle w:val="NormalHanging12a"/>
        <w:jc w:val="both"/>
        <w:rPr>
          <w:color w:val="000000"/>
        </w:rPr>
      </w:pPr>
      <w:r w:rsidRPr="00950785">
        <w:t>6.</w:t>
      </w:r>
      <w:r w:rsidRPr="00950785">
        <w:tab/>
        <w:t>vítá reálnou finanční pomoc pro zemědělce, včetně malých zemědělců</w:t>
      </w:r>
      <w:r w:rsidR="00950785">
        <w:t xml:space="preserve"> s </w:t>
      </w:r>
      <w:r w:rsidRPr="00950785">
        <w:t>nízkými příjmy, jakož</w:t>
      </w:r>
      <w:r w:rsidR="00950785">
        <w:t xml:space="preserve"> i </w:t>
      </w:r>
      <w:r w:rsidRPr="00950785">
        <w:t>výrobce tradičních produktů, lesníky</w:t>
      </w:r>
      <w:r w:rsidR="00950785">
        <w:t xml:space="preserve"> a </w:t>
      </w:r>
      <w:r w:rsidRPr="00950785">
        <w:t>MSP, které postihly přírodní katastrofy, např. velké povodně, sucha nebo lesní požáry, neboť tato pomoc je konkrétním projevem evropské solidarity; uznává, že je třeba rychle řešit ztráty</w:t>
      </w:r>
      <w:r w:rsidR="00950785">
        <w:t xml:space="preserve"> v </w:t>
      </w:r>
      <w:r w:rsidRPr="00950785">
        <w:t>příjmech, které</w:t>
      </w:r>
      <w:r w:rsidR="00950785">
        <w:t xml:space="preserve"> v </w:t>
      </w:r>
      <w:r w:rsidRPr="00950785">
        <w:t>důsledku nedávných ničivých katastrof, souvisejících se změnou klimatu vznikly zemědělcům, lesníkům</w:t>
      </w:r>
      <w:r w:rsidR="00950785">
        <w:t xml:space="preserve"> a </w:t>
      </w:r>
      <w:r w:rsidRPr="00950785">
        <w:t>MSP, kteří zpracovávají zemědělské</w:t>
      </w:r>
      <w:r w:rsidR="00950785">
        <w:t xml:space="preserve"> a </w:t>
      </w:r>
      <w:r w:rsidRPr="00950785">
        <w:t>lesní produkty, uvádějí je na trh nebo je vyvíjejí;</w:t>
      </w:r>
      <w:r w:rsidR="00950785">
        <w:t xml:space="preserve"> s </w:t>
      </w:r>
      <w:r w:rsidRPr="00950785">
        <w:t>potěšením konstatuje, že finanční podpora poskytovaná prostřednictvím tohoto návrhu by měla upřednostňovat podpůrná opatření založená na zásadě „obnova</w:t>
      </w:r>
      <w:r w:rsidR="00950785">
        <w:t xml:space="preserve"> k </w:t>
      </w:r>
      <w:r w:rsidRPr="00950785">
        <w:t>lepšímu“, což připraví půdu pro komplexnější</w:t>
      </w:r>
      <w:r w:rsidR="00950785">
        <w:t xml:space="preserve"> a </w:t>
      </w:r>
      <w:r w:rsidRPr="00950785">
        <w:t>preventivní podporu EU, jež by měla posílit připravenost</w:t>
      </w:r>
      <w:r w:rsidR="00950785">
        <w:t xml:space="preserve"> a </w:t>
      </w:r>
      <w:r w:rsidRPr="00950785">
        <w:t>odolnost venkovských oblastí EU;</w:t>
      </w:r>
      <w:r w:rsidRPr="00950785">
        <w:rPr>
          <w:color w:val="000000"/>
        </w:rPr>
        <w:t xml:space="preserve"> zdůrazňuje, že je nutné poskytnout dodatečnou finanční podporu pro samozásobitelské zemědělství, zemědělce</w:t>
      </w:r>
      <w:r w:rsidR="00950785">
        <w:rPr>
          <w:color w:val="000000"/>
        </w:rPr>
        <w:t xml:space="preserve"> s </w:t>
      </w:r>
      <w:r w:rsidRPr="00950785">
        <w:rPr>
          <w:color w:val="000000"/>
        </w:rPr>
        <w:t>nízkými příjmy</w:t>
      </w:r>
      <w:r w:rsidR="00950785">
        <w:rPr>
          <w:color w:val="000000"/>
        </w:rPr>
        <w:t xml:space="preserve"> a </w:t>
      </w:r>
      <w:r w:rsidRPr="00950785">
        <w:rPr>
          <w:color w:val="000000"/>
        </w:rPr>
        <w:t>výrobce tradičních produktů; upozorňuje na to, že dodatečné finanční prostředky pro venkovské oblasti by mohly být poskytnuty</w:t>
      </w:r>
      <w:r w:rsidR="00950785">
        <w:rPr>
          <w:color w:val="000000"/>
        </w:rPr>
        <w:t xml:space="preserve"> v </w:t>
      </w:r>
      <w:r w:rsidRPr="00950785">
        <w:rPr>
          <w:color w:val="000000"/>
        </w:rPr>
        <w:t>mechanismu civilní ochrany EU</w:t>
      </w:r>
      <w:r w:rsidR="00950785">
        <w:rPr>
          <w:color w:val="000000"/>
        </w:rPr>
        <w:t xml:space="preserve"> v </w:t>
      </w:r>
      <w:r w:rsidRPr="00950785">
        <w:rPr>
          <w:color w:val="000000"/>
        </w:rPr>
        <w:t>rámci ročního rozpočtu EU na rok 2025;</w:t>
      </w:r>
    </w:p>
    <w:p w:rsidR="00DC42C0" w:rsidRPr="00950785" w:rsidRDefault="00DC42C0" w:rsidP="00DC42C0">
      <w:pPr>
        <w:pStyle w:val="NormalHanging12a"/>
        <w:jc w:val="both"/>
      </w:pPr>
      <w:r w:rsidRPr="00950785">
        <w:t>7.</w:t>
      </w:r>
      <w:r w:rsidRPr="00950785">
        <w:tab/>
        <w:t>poukazuje na obecnou připomínku, že</w:t>
      </w:r>
      <w:r w:rsidR="00950785">
        <w:t xml:space="preserve"> u </w:t>
      </w:r>
      <w:r w:rsidRPr="00950785">
        <w:t>většiny typů unijních grantů se EU na financování podílí 100 %, což sice přináší efektivní výsledky, ale současně vyvstávají otázky ohledně toho, že na provádění programů</w:t>
      </w:r>
      <w:r w:rsidR="00950785">
        <w:t xml:space="preserve"> a </w:t>
      </w:r>
      <w:r w:rsidRPr="00950785">
        <w:t>politik je</w:t>
      </w:r>
      <w:r w:rsidR="00950785">
        <w:t xml:space="preserve"> k </w:t>
      </w:r>
      <w:r w:rsidRPr="00950785">
        <w:t>dispozici celkově méně prostředků,</w:t>
      </w:r>
      <w:r w:rsidR="00950785">
        <w:t xml:space="preserve"> a </w:t>
      </w:r>
      <w:r w:rsidRPr="00950785">
        <w:t>ohledně vnitrostátní, regionální</w:t>
      </w:r>
      <w:r w:rsidR="00950785">
        <w:t xml:space="preserve"> a </w:t>
      </w:r>
      <w:r w:rsidRPr="00950785">
        <w:t>místní odpovědnosti; je nicméně přesvědčen</w:t>
      </w:r>
      <w:r w:rsidR="00950785">
        <w:t xml:space="preserve"> o </w:t>
      </w:r>
      <w:r w:rsidRPr="00950785">
        <w:t>tom, že</w:t>
      </w:r>
      <w:r w:rsidR="00950785">
        <w:t xml:space="preserve"> v </w:t>
      </w:r>
      <w:r w:rsidRPr="00950785">
        <w:t>případě pomoci při katastrofách</w:t>
      </w:r>
      <w:r w:rsidR="00950785">
        <w:t xml:space="preserve"> a </w:t>
      </w:r>
      <w:r w:rsidRPr="00950785">
        <w:t>zajištění naléhavě potřebné likvidity je tato míra spolufinancování zcela na místě; zdůrazňuje, že je třeba konzultovat postižené zemědělce, lesníky, MSP</w:t>
      </w:r>
      <w:r w:rsidR="00950785">
        <w:t xml:space="preserve"> a </w:t>
      </w:r>
      <w:r w:rsidRPr="00950785">
        <w:t>zúčastněné strany, aby jim byla poskytnuta realistická</w:t>
      </w:r>
      <w:r w:rsidR="00950785">
        <w:t xml:space="preserve"> a </w:t>
      </w:r>
      <w:r w:rsidRPr="00950785">
        <w:t>cílená podpora;</w:t>
      </w:r>
    </w:p>
    <w:p w:rsidR="00DC42C0" w:rsidRPr="00950785" w:rsidRDefault="00DC42C0" w:rsidP="00DC42C0">
      <w:pPr>
        <w:pStyle w:val="NormalHanging12a"/>
        <w:jc w:val="both"/>
      </w:pPr>
      <w:r w:rsidRPr="00950785">
        <w:t>8.</w:t>
      </w:r>
      <w:r w:rsidRPr="00950785">
        <w:tab/>
        <w:t>připomíná, že pokud by byla prahová hodnota zásady „nesnižování úrovně“ dobrovolně zmírněna, mohlo by to vést</w:t>
      </w:r>
      <w:r w:rsidR="00950785">
        <w:t xml:space="preserve"> k </w:t>
      </w:r>
      <w:r w:rsidRPr="00950785">
        <w:t>omezení výdajů, které lze započítávat do příslušných „hlavních cílů“ stanovených</w:t>
      </w:r>
      <w:r w:rsidR="00950785">
        <w:t xml:space="preserve"> v </w:t>
      </w:r>
      <w:r w:rsidRPr="00950785">
        <w:t>rámci horizontálních priorit rozpočtu EU,</w:t>
      </w:r>
      <w:r w:rsidR="00950785">
        <w:t xml:space="preserve"> a </w:t>
      </w:r>
      <w:r w:rsidRPr="00950785">
        <w:t>současně by se zohlednila potřeba flexibilního přerozdělování prostředků na nová opatření</w:t>
      </w:r>
      <w:r w:rsidR="00950785">
        <w:t xml:space="preserve"> a </w:t>
      </w:r>
      <w:r w:rsidRPr="00950785">
        <w:t>stávající dílčí opatření na obnovu potenciálu zemědělské produkce, zejména tak, aby byla posílena odolnost;</w:t>
      </w:r>
    </w:p>
    <w:p w:rsidR="00DC42C0" w:rsidRPr="00950785" w:rsidRDefault="00DC42C0" w:rsidP="00DC42C0">
      <w:pPr>
        <w:pStyle w:val="NormalHanging12a"/>
        <w:jc w:val="both"/>
      </w:pPr>
      <w:r w:rsidRPr="00950785">
        <w:t>9.</w:t>
      </w:r>
      <w:r w:rsidRPr="00950785">
        <w:tab/>
        <w:t>konstatuje, že sekundárním cílem tohoto opatření je zabránit bezprostředně hrozícímu zrušení dosud nevyužitých rozpočtových závazků, které byly přijaty</w:t>
      </w:r>
      <w:r w:rsidR="00950785">
        <w:t xml:space="preserve"> v </w:t>
      </w:r>
      <w:r w:rsidRPr="00950785">
        <w:t>letech 2021</w:t>
      </w:r>
      <w:r w:rsidR="00950785">
        <w:t xml:space="preserve"> a </w:t>
      </w:r>
      <w:r w:rsidRPr="00950785">
        <w:t>2022; domnívá se, že to má důsledky pro objem dostupných prostředků</w:t>
      </w:r>
      <w:r w:rsidR="00950785">
        <w:t xml:space="preserve"> v </w:t>
      </w:r>
      <w:r w:rsidRPr="00950785">
        <w:t>rámci tzv. kroku 3a kaskádového mechanismu (složka pro zrušení závazku zvláštního nástroje EURI), který je stanoven</w:t>
      </w:r>
      <w:r w:rsidR="00950785">
        <w:t xml:space="preserve"> v </w:t>
      </w:r>
      <w:r w:rsidRPr="00950785">
        <w:t>nedávno revidovaném VFR;</w:t>
      </w:r>
    </w:p>
    <w:p w:rsidR="00DC42C0" w:rsidRPr="00950785" w:rsidRDefault="00DC42C0" w:rsidP="00DC42C0">
      <w:pPr>
        <w:pStyle w:val="NormalHanging12a"/>
        <w:jc w:val="both"/>
      </w:pPr>
      <w:r w:rsidRPr="00950785">
        <w:t>10.</w:t>
      </w:r>
      <w:r w:rsidRPr="00950785">
        <w:tab/>
        <w:t>domnívá se, že</w:t>
      </w:r>
      <w:r w:rsidR="00950785">
        <w:t xml:space="preserve"> v </w:t>
      </w:r>
      <w:r w:rsidRPr="00950785">
        <w:t>dlouhodobějším výhledu by měla propracovanější</w:t>
      </w:r>
      <w:r w:rsidR="00950785">
        <w:t xml:space="preserve"> a </w:t>
      </w:r>
      <w:r w:rsidRPr="00950785">
        <w:t>skutečná rozpočtová flexibilita umožnit ve srovnatelných případech přesuny rozpočtových prostředků, tak aby bylo možné použít hotovost dostupnou</w:t>
      </w:r>
      <w:r w:rsidR="00950785">
        <w:t xml:space="preserve"> v </w:t>
      </w:r>
      <w:r w:rsidRPr="00950785">
        <w:t>rámci příslušného výdajového nástroje</w:t>
      </w:r>
      <w:r w:rsidR="00950785">
        <w:t xml:space="preserve"> s </w:t>
      </w:r>
      <w:r w:rsidRPr="00950785">
        <w:t>vlastní rozpočtovou položkou, právním základem</w:t>
      </w:r>
      <w:r w:rsidR="00950785">
        <w:t xml:space="preserve"> a </w:t>
      </w:r>
      <w:r w:rsidRPr="00950785">
        <w:t>správním rámcem, což by byl vhodnější postup pro reakce na naléhavé situace</w:t>
      </w:r>
      <w:r w:rsidR="00950785">
        <w:t xml:space="preserve"> a </w:t>
      </w:r>
      <w:r w:rsidRPr="00950785">
        <w:t>podporu likvidity;</w:t>
      </w:r>
    </w:p>
    <w:p w:rsidR="00DC42C0" w:rsidRPr="00950785" w:rsidRDefault="00DC42C0" w:rsidP="00DC42C0">
      <w:pPr>
        <w:pStyle w:val="NormalHanging12a"/>
        <w:jc w:val="both"/>
        <w:rPr>
          <w:szCs w:val="24"/>
        </w:rPr>
      </w:pPr>
      <w:r w:rsidRPr="00950785">
        <w:t>11.</w:t>
      </w:r>
      <w:r w:rsidRPr="00950785">
        <w:tab/>
        <w:t>usuzuje, že návrh nařízení Evropského parlamentu</w:t>
      </w:r>
      <w:r w:rsidR="00950785">
        <w:t xml:space="preserve"> a </w:t>
      </w:r>
      <w:r w:rsidRPr="00950785">
        <w:t>Rady, kterým se mění nařízení (EU) 2020/2220, pokud jde</w:t>
      </w:r>
      <w:r w:rsidR="00950785">
        <w:t xml:space="preserve"> o </w:t>
      </w:r>
      <w:r w:rsidRPr="00950785">
        <w:t>zvláštní opatření</w:t>
      </w:r>
      <w:r w:rsidR="00950785">
        <w:t xml:space="preserve"> v </w:t>
      </w:r>
      <w:r w:rsidRPr="00950785">
        <w:t>rámci Evropského zemědělského fondu pro rozvoj venkova (EZFRV)</w:t>
      </w:r>
      <w:r w:rsidR="00950785">
        <w:t xml:space="preserve"> k </w:t>
      </w:r>
      <w:r w:rsidRPr="00950785">
        <w:t>poskytnutí dodatečné pomoci členským státům postiženým přírodními katastrofami, je</w:t>
      </w:r>
      <w:r w:rsidR="00950785">
        <w:t xml:space="preserve"> v </w:t>
      </w:r>
      <w:r w:rsidRPr="00950785">
        <w:t>souladu</w:t>
      </w:r>
      <w:r w:rsidR="00950785">
        <w:t xml:space="preserve"> s </w:t>
      </w:r>
      <w:r w:rsidRPr="00950785">
        <w:t>ustanoveními</w:t>
      </w:r>
      <w:r w:rsidR="00950785">
        <w:t xml:space="preserve"> v </w:t>
      </w:r>
      <w:r w:rsidRPr="00950785">
        <w:t>čl. 58 odst. 3 jednacího řádu.</w:t>
      </w:r>
    </w:p>
    <w:p w:rsidR="007A5EBE" w:rsidRPr="00950785" w:rsidRDefault="007A5EBE" w:rsidP="00DC42C0">
      <w:pPr>
        <w:pStyle w:val="NormalHanging12a"/>
        <w:jc w:val="both"/>
      </w:pPr>
    </w:p>
    <w:p w:rsidR="009C0E78" w:rsidRPr="00950785" w:rsidRDefault="009C0E78" w:rsidP="005C3654">
      <w:pPr>
        <w:sectPr w:rsidR="009C0E78" w:rsidRPr="00950785" w:rsidSect="003D474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9C0E78" w:rsidRPr="00950785" w:rsidRDefault="009C0E78" w:rsidP="0053596B">
      <w:pPr>
        <w:pStyle w:val="PageHeadingNotTOC"/>
      </w:pPr>
      <w:bookmarkStart w:id="1" w:name="FootprintPageAD"/>
      <w:r w:rsidRPr="00950785">
        <w:t>PŘÍLOHA: SUBJEKTY NEBO OSOBY,</w:t>
      </w:r>
      <w:r w:rsidRPr="00950785">
        <w:br/>
        <w:t>OD NICHŽ ZPRAVODAJ PRO ROZPOČTOVÉ POSOUZENÍ OBDRŽEL PODNĚTY</w:t>
      </w:r>
    </w:p>
    <w:p w:rsidR="009C0E78" w:rsidRPr="00950785" w:rsidRDefault="009C0E78" w:rsidP="0053596B">
      <w:pPr>
        <w:pStyle w:val="Normal24a"/>
      </w:pPr>
      <w:r w:rsidRPr="00950785">
        <w:rPr>
          <w:rStyle w:val="HideTWBExt"/>
        </w:rPr>
        <w:t>&lt;FootprintIntro&gt;</w:t>
      </w:r>
      <w:r w:rsidRPr="00950785">
        <w:t>Zpravodaj pro rozpočtové posouzení prohlašuje na svou výhradní odpovědnost, že neobdržel žádný podnět od subjektu nebo osoby, které musí být uvedeny</w:t>
      </w:r>
      <w:r w:rsidR="00950785">
        <w:t xml:space="preserve"> v </w:t>
      </w:r>
      <w:r w:rsidRPr="00950785">
        <w:t>této příloze</w:t>
      </w:r>
      <w:r w:rsidR="00950785">
        <w:t xml:space="preserve"> v </w:t>
      </w:r>
      <w:r w:rsidRPr="00950785">
        <w:t>souladu</w:t>
      </w:r>
      <w:r w:rsidR="00950785">
        <w:t xml:space="preserve"> s </w:t>
      </w:r>
      <w:r w:rsidRPr="00950785">
        <w:t>článkem 8 přílohy</w:t>
      </w:r>
      <w:r w:rsidR="00950785">
        <w:t xml:space="preserve"> I </w:t>
      </w:r>
      <w:r w:rsidRPr="00950785">
        <w:t>jednacího řádu.</w:t>
      </w:r>
      <w:r w:rsidRPr="00950785">
        <w:rPr>
          <w:rStyle w:val="HideTWBExt"/>
        </w:rPr>
        <w:t>&lt;/FootprintIntro&gt;</w:t>
      </w:r>
    </w:p>
    <w:p w:rsidR="009C0E78" w:rsidRPr="00950785" w:rsidRDefault="009C0E78" w:rsidP="009C0E78"/>
    <w:bookmarkEnd w:id="1"/>
    <w:p w:rsidR="009C0E78" w:rsidRPr="00950785" w:rsidRDefault="009C0E78" w:rsidP="005C3654">
      <w:pPr>
        <w:sectPr w:rsidR="009C0E78" w:rsidRPr="00950785" w:rsidSect="005359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C3654" w:rsidRPr="00950785" w:rsidRDefault="005C3654" w:rsidP="005C3654"/>
    <w:p w:rsidR="005C3654" w:rsidRPr="00950785" w:rsidRDefault="005C3654" w:rsidP="005C3654">
      <w:pPr>
        <w:pStyle w:val="PageHeadingNotTOC"/>
      </w:pPr>
      <w:bookmarkStart w:id="2" w:name="ProcPageAD"/>
      <w:r w:rsidRPr="00950785">
        <w:t>POSTUP VE VÝBORU POSKYTUJÍCÍM ROZPOČTOVÉ POSOUZENÍ</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Zvláštní opatření</w:t>
            </w:r>
            <w:r w:rsidR="00950785">
              <w:rPr>
                <w:color w:val="000000"/>
                <w:sz w:val="20"/>
              </w:rPr>
              <w:t xml:space="preserve"> v </w:t>
            </w:r>
            <w:r w:rsidRPr="00950785">
              <w:rPr>
                <w:color w:val="000000"/>
                <w:sz w:val="20"/>
              </w:rPr>
              <w:t>rámci Evropského zemědělského fondu pro rozvoj venkova (EZFRV)</w:t>
            </w:r>
            <w:r w:rsidR="00950785">
              <w:rPr>
                <w:color w:val="000000"/>
                <w:sz w:val="20"/>
              </w:rPr>
              <w:t xml:space="preserve"> s </w:t>
            </w:r>
            <w:r w:rsidRPr="00950785">
              <w:rPr>
                <w:color w:val="000000"/>
                <w:sz w:val="20"/>
              </w:rPr>
              <w:t>cílem poskytnout dodatečnou pomoc členským státům postiženým přírodními katastrofami</w:t>
            </w:r>
          </w:p>
        </w:tc>
      </w:tr>
      <w:tr w:rsidR="005C3654" w:rsidRPr="0095078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COM(2024)0495 – C10-0148/2024 – 2024/0274(COD)</w:t>
            </w:r>
          </w:p>
        </w:tc>
      </w:tr>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Příslušný výbor</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AGRI</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r>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BUDG</w:t>
            </w:r>
          </w:p>
          <w:p w:rsidR="005C3654" w:rsidRPr="00950785" w:rsidRDefault="005C3654">
            <w:pPr>
              <w:autoSpaceDE w:val="0"/>
              <w:autoSpaceDN w:val="0"/>
              <w:adjustRightInd w:val="0"/>
              <w:rPr>
                <w:color w:val="000000"/>
                <w:sz w:val="20"/>
              </w:rPr>
            </w:pPr>
            <w:r w:rsidRPr="00950785">
              <w:rPr>
                <w:color w:val="000000"/>
                <w:sz w:val="20"/>
              </w:rPr>
              <w:t>13.11.2024</w:t>
            </w:r>
          </w:p>
        </w:tc>
      </w:tr>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Zpravodaj(ka) pro rozpočtové posouzení</w:t>
            </w:r>
          </w:p>
          <w:p w:rsidR="005C3654" w:rsidRPr="00950785" w:rsidRDefault="005C3654">
            <w:pPr>
              <w:autoSpaceDE w:val="0"/>
              <w:autoSpaceDN w:val="0"/>
              <w:adjustRightInd w:val="0"/>
              <w:rPr>
                <w:color w:val="000000"/>
                <w:sz w:val="20"/>
              </w:rPr>
            </w:pPr>
            <w:r w:rsidRPr="00950785">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Hélder Sousa Silva</w:t>
            </w:r>
          </w:p>
          <w:p w:rsidR="005C3654" w:rsidRPr="00950785" w:rsidRDefault="005C3654">
            <w:pPr>
              <w:autoSpaceDE w:val="0"/>
              <w:autoSpaceDN w:val="0"/>
              <w:adjustRightInd w:val="0"/>
              <w:rPr>
                <w:color w:val="000000"/>
                <w:sz w:val="20"/>
              </w:rPr>
            </w:pPr>
            <w:r w:rsidRPr="00950785">
              <w:rPr>
                <w:color w:val="000000"/>
                <w:sz w:val="20"/>
              </w:rPr>
              <w:t>13.11.2024</w:t>
            </w:r>
          </w:p>
        </w:tc>
      </w:tr>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21.11.2024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r>
      <w:tr w:rsidR="005C3654" w:rsidRPr="0095078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21.11.2024</w:t>
            </w:r>
          </w:p>
        </w:tc>
        <w:tc>
          <w:tcPr>
            <w:tcW w:w="1474" w:type="dxa"/>
            <w:tcBorders>
              <w:top w:val="nil"/>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rFonts w:ascii="sans-serif" w:hAnsi="sans-serif" w:cs="sans-serif"/>
                <w:color w:val="000000"/>
                <w:szCs w:val="24"/>
              </w:rPr>
            </w:pPr>
          </w:p>
        </w:tc>
      </w:tr>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w:t>
            </w:r>
          </w:p>
          <w:p w:rsidR="005C3654" w:rsidRPr="00950785" w:rsidRDefault="005C3654">
            <w:pPr>
              <w:autoSpaceDE w:val="0"/>
              <w:autoSpaceDN w:val="0"/>
              <w:adjustRightInd w:val="0"/>
              <w:rPr>
                <w:color w:val="000000"/>
                <w:sz w:val="20"/>
              </w:rPr>
            </w:pPr>
            <w:r w:rsidRPr="00950785">
              <w:rPr>
                <w:color w:val="000000"/>
                <w:sz w:val="20"/>
              </w:rPr>
              <w:t>–:</w:t>
            </w:r>
          </w:p>
          <w:p w:rsidR="005C3654" w:rsidRPr="00950785" w:rsidRDefault="005C3654">
            <w:pPr>
              <w:autoSpaceDE w:val="0"/>
              <w:autoSpaceDN w:val="0"/>
              <w:adjustRightInd w:val="0"/>
              <w:rPr>
                <w:color w:val="000000"/>
                <w:sz w:val="20"/>
              </w:rPr>
            </w:pPr>
            <w:r w:rsidRPr="0095078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31</w:t>
            </w:r>
          </w:p>
          <w:p w:rsidR="005C3654" w:rsidRPr="00950785" w:rsidRDefault="005C3654">
            <w:pPr>
              <w:autoSpaceDE w:val="0"/>
              <w:autoSpaceDN w:val="0"/>
              <w:adjustRightInd w:val="0"/>
              <w:rPr>
                <w:color w:val="000000"/>
                <w:sz w:val="20"/>
              </w:rPr>
            </w:pPr>
            <w:r w:rsidRPr="00950785">
              <w:rPr>
                <w:color w:val="000000"/>
                <w:sz w:val="20"/>
              </w:rPr>
              <w:t>0</w:t>
            </w:r>
          </w:p>
          <w:p w:rsidR="005C3654" w:rsidRPr="00950785" w:rsidRDefault="005C3654">
            <w:pPr>
              <w:autoSpaceDE w:val="0"/>
              <w:autoSpaceDN w:val="0"/>
              <w:adjustRightInd w:val="0"/>
              <w:rPr>
                <w:color w:val="000000"/>
                <w:sz w:val="20"/>
              </w:rPr>
            </w:pPr>
            <w:r w:rsidRPr="00950785">
              <w:rPr>
                <w:color w:val="000000"/>
                <w:sz w:val="20"/>
              </w:rPr>
              <w:t>0</w:t>
            </w:r>
          </w:p>
        </w:tc>
      </w:tr>
      <w:tr w:rsidR="005C3654" w:rsidRPr="0095078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Georgios Aftias, Isabel Benjumea Benjumea, Tomasz Buczek, Tamás Deutsch, Angéline Furet, Thomas Geisel, Jean-Marc Germain, Sandra Gómez López, Fabienne Keller, Janusz Lewandowski, Giuseppe Lupo, Ignazio Roberto Marino, Fernando Navarrete Rojas, Matjaž Nemec, Danuše Nerudová, Ruggero Razza, Bogdan Rzońca, Hélder Sousa Silva, Nicolae Ştefănuță, Joachim Streit, Carla Tavares, Nils Ušakovs, Auke Zijlstra</w:t>
            </w:r>
          </w:p>
        </w:tc>
      </w:tr>
      <w:tr w:rsidR="005C3654" w:rsidRPr="0095078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Moritz Körner, Tiago Moreira de Sá</w:t>
            </w:r>
          </w:p>
        </w:tc>
      </w:tr>
      <w:tr w:rsidR="005C3654" w:rsidRPr="0095078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b/>
                <w:bCs/>
                <w:color w:val="000000"/>
                <w:sz w:val="20"/>
              </w:rPr>
            </w:pPr>
            <w:r w:rsidRPr="00950785">
              <w:rPr>
                <w:b/>
                <w:color w:val="000000"/>
                <w:sz w:val="20"/>
              </w:rPr>
              <w:t>Poslanci uvedení</w:t>
            </w:r>
            <w:r w:rsidR="00950785">
              <w:rPr>
                <w:b/>
                <w:color w:val="000000"/>
                <w:sz w:val="20"/>
              </w:rPr>
              <w:t xml:space="preserve"> v </w:t>
            </w:r>
            <w:r w:rsidRPr="00950785">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C3654" w:rsidRPr="00950785" w:rsidRDefault="005C3654">
            <w:pPr>
              <w:autoSpaceDE w:val="0"/>
              <w:autoSpaceDN w:val="0"/>
              <w:adjustRightInd w:val="0"/>
              <w:rPr>
                <w:color w:val="000000"/>
                <w:sz w:val="20"/>
              </w:rPr>
            </w:pPr>
            <w:r w:rsidRPr="00950785">
              <w:rPr>
                <w:color w:val="000000"/>
                <w:sz w:val="20"/>
              </w:rPr>
              <w:t>Christophe Bay, Udo Bullmann, Andrzej Buła, Gheorghe Falcă, Ştefan Muşoiu, Jan-Christoph Oetjen</w:t>
            </w:r>
          </w:p>
        </w:tc>
      </w:tr>
    </w:tbl>
    <w:p w:rsidR="005C3654" w:rsidRPr="00950785" w:rsidRDefault="005C3654" w:rsidP="0053596B"/>
    <w:bookmarkEnd w:id="2"/>
    <w:p w:rsidR="0053596B" w:rsidRPr="00950785" w:rsidRDefault="0053596B" w:rsidP="0053596B">
      <w:pPr>
        <w:sectPr w:rsidR="0053596B" w:rsidRPr="00950785" w:rsidSect="005359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3596B" w:rsidRPr="00950785" w:rsidRDefault="0053596B" w:rsidP="00C36610">
      <w:pPr>
        <w:pStyle w:val="PageHeadingNotTOC"/>
      </w:pPr>
      <w:bookmarkStart w:id="3" w:name="RollCallPageAD"/>
      <w:r w:rsidRPr="00950785">
        <w:t>JMENOVITÉ KONEČNÉ HLASOVÁNÍ</w:t>
      </w:r>
      <w:r w:rsidRPr="00950785">
        <w:br/>
        <w:t>VE VÝBORU POSKYTUJÍCÍM ROZPOČTOVÉ POSOUZENÍ</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596B" w:rsidRPr="00950785" w:rsidTr="0053596B">
        <w:trPr>
          <w:cantSplit/>
        </w:trPr>
        <w:tc>
          <w:tcPr>
            <w:tcW w:w="1701" w:type="dxa"/>
            <w:shd w:val="pct10" w:color="000000" w:fill="FFFFFF"/>
            <w:vAlign w:val="center"/>
          </w:tcPr>
          <w:p w:rsidR="0053596B" w:rsidRPr="00950785" w:rsidRDefault="0053596B" w:rsidP="0053596B">
            <w:pPr>
              <w:pStyle w:val="RollCallVotes"/>
            </w:pPr>
            <w:r w:rsidRPr="00950785">
              <w:t>31</w:t>
            </w:r>
          </w:p>
        </w:tc>
        <w:tc>
          <w:tcPr>
            <w:tcW w:w="7371" w:type="dxa"/>
            <w:shd w:val="pct10" w:color="000000" w:fill="FFFFFF"/>
          </w:tcPr>
          <w:p w:rsidR="0053596B" w:rsidRPr="00950785" w:rsidRDefault="0053596B" w:rsidP="003858C5">
            <w:pPr>
              <w:pStyle w:val="RollCallSymbols14pt"/>
            </w:pPr>
            <w:r w:rsidRPr="00950785">
              <w:t>+</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ECR</w:t>
            </w:r>
          </w:p>
        </w:tc>
        <w:tc>
          <w:tcPr>
            <w:tcW w:w="7371" w:type="dxa"/>
            <w:shd w:val="clear" w:color="auto" w:fill="FFFFFF"/>
          </w:tcPr>
          <w:p w:rsidR="0053596B" w:rsidRPr="00950785" w:rsidRDefault="0053596B" w:rsidP="0053596B">
            <w:pPr>
              <w:pStyle w:val="RollCallTable"/>
            </w:pPr>
            <w:r w:rsidRPr="00950785">
              <w:t>Ruggero Razza, Bogdan Rzońca</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NI</w:t>
            </w:r>
          </w:p>
        </w:tc>
        <w:tc>
          <w:tcPr>
            <w:tcW w:w="7371" w:type="dxa"/>
            <w:shd w:val="clear" w:color="auto" w:fill="FFFFFF"/>
          </w:tcPr>
          <w:p w:rsidR="0053596B" w:rsidRPr="00950785" w:rsidRDefault="0053596B" w:rsidP="0053596B">
            <w:pPr>
              <w:pStyle w:val="RollCallTable"/>
            </w:pPr>
            <w:r w:rsidRPr="00950785">
              <w:t>Thomas Geisel</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PPE</w:t>
            </w:r>
          </w:p>
        </w:tc>
        <w:tc>
          <w:tcPr>
            <w:tcW w:w="7371" w:type="dxa"/>
            <w:shd w:val="clear" w:color="auto" w:fill="FFFFFF"/>
          </w:tcPr>
          <w:p w:rsidR="0053596B" w:rsidRPr="00950785" w:rsidRDefault="0053596B" w:rsidP="0053596B">
            <w:pPr>
              <w:pStyle w:val="RollCallTable"/>
            </w:pPr>
            <w:r w:rsidRPr="00950785">
              <w:t>Georgios Aftias, Isabel Benjumea Benjumea, Andrzej Buła, Gheorghe Falcă, Janusz Lewandowski, Fernando Navarrete Rojas, Danuše Nerudová, Hélder Sousa Silva</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PfE</w:t>
            </w:r>
          </w:p>
        </w:tc>
        <w:tc>
          <w:tcPr>
            <w:tcW w:w="7371" w:type="dxa"/>
            <w:shd w:val="clear" w:color="auto" w:fill="FFFFFF"/>
          </w:tcPr>
          <w:p w:rsidR="0053596B" w:rsidRPr="00950785" w:rsidRDefault="0053596B" w:rsidP="0053596B">
            <w:pPr>
              <w:pStyle w:val="RollCallTable"/>
            </w:pPr>
            <w:r w:rsidRPr="00950785">
              <w:t>Christophe Bay, Tomasz Buczek, Tamás Deutsch, Angéline Furet, Tiago Moreira de Sá, Auke Zijlstra</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Renew</w:t>
            </w:r>
          </w:p>
        </w:tc>
        <w:tc>
          <w:tcPr>
            <w:tcW w:w="7371" w:type="dxa"/>
            <w:shd w:val="clear" w:color="auto" w:fill="FFFFFF"/>
          </w:tcPr>
          <w:p w:rsidR="0053596B" w:rsidRPr="00950785" w:rsidRDefault="0053596B" w:rsidP="0053596B">
            <w:pPr>
              <w:pStyle w:val="RollCallTable"/>
            </w:pPr>
            <w:r w:rsidRPr="00950785">
              <w:t>Fabienne Keller, Moritz Körner, Jan-Christoph Oetjen, Joachim Streit</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S&amp;D</w:t>
            </w:r>
          </w:p>
        </w:tc>
        <w:tc>
          <w:tcPr>
            <w:tcW w:w="7371" w:type="dxa"/>
            <w:shd w:val="clear" w:color="auto" w:fill="FFFFFF"/>
          </w:tcPr>
          <w:p w:rsidR="0053596B" w:rsidRPr="00950785" w:rsidRDefault="0053596B" w:rsidP="0053596B">
            <w:pPr>
              <w:pStyle w:val="RollCallTable"/>
            </w:pPr>
            <w:r w:rsidRPr="00950785">
              <w:t>Udo Bullmann, Jean-Marc Germain, Sandra Gómez López, Giuseppe Lupo, Ştefan Muşoiu, Matjaž Nemec, Carla Tavares, Nils Ušakovs</w:t>
            </w:r>
          </w:p>
        </w:tc>
      </w:tr>
      <w:tr w:rsidR="0053596B" w:rsidRPr="00950785" w:rsidTr="0053596B">
        <w:trPr>
          <w:cantSplit/>
        </w:trPr>
        <w:tc>
          <w:tcPr>
            <w:tcW w:w="1701" w:type="dxa"/>
            <w:shd w:val="clear" w:color="auto" w:fill="FFFFFF"/>
          </w:tcPr>
          <w:p w:rsidR="0053596B" w:rsidRPr="00950785" w:rsidRDefault="0053596B" w:rsidP="0053596B">
            <w:pPr>
              <w:pStyle w:val="RollCallTable"/>
            </w:pPr>
            <w:r w:rsidRPr="00950785">
              <w:t>Verts/ALE</w:t>
            </w:r>
          </w:p>
        </w:tc>
        <w:tc>
          <w:tcPr>
            <w:tcW w:w="7371" w:type="dxa"/>
            <w:shd w:val="clear" w:color="auto" w:fill="FFFFFF"/>
          </w:tcPr>
          <w:p w:rsidR="0053596B" w:rsidRPr="00950785" w:rsidRDefault="0053596B" w:rsidP="0053596B">
            <w:pPr>
              <w:pStyle w:val="RollCallTable"/>
            </w:pPr>
            <w:r w:rsidRPr="00950785">
              <w:t>Ignazio Roberto Marino, Nicolae Ştefănuță</w:t>
            </w:r>
          </w:p>
        </w:tc>
      </w:tr>
    </w:tbl>
    <w:p w:rsidR="0053596B" w:rsidRPr="00950785" w:rsidRDefault="0053596B" w:rsidP="005359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596B" w:rsidRPr="00950785" w:rsidTr="00436786">
        <w:trPr>
          <w:cantSplit/>
        </w:trPr>
        <w:tc>
          <w:tcPr>
            <w:tcW w:w="1701" w:type="dxa"/>
            <w:shd w:val="pct10" w:color="000000" w:fill="FFFFFF"/>
            <w:vAlign w:val="center"/>
          </w:tcPr>
          <w:p w:rsidR="0053596B" w:rsidRPr="00950785" w:rsidRDefault="0053596B" w:rsidP="00436786">
            <w:pPr>
              <w:pStyle w:val="RollCallVotes"/>
            </w:pPr>
            <w:r w:rsidRPr="00950785">
              <w:t>0</w:t>
            </w:r>
          </w:p>
        </w:tc>
        <w:tc>
          <w:tcPr>
            <w:tcW w:w="7371" w:type="dxa"/>
            <w:shd w:val="pct10" w:color="000000" w:fill="FFFFFF"/>
          </w:tcPr>
          <w:p w:rsidR="0053596B" w:rsidRPr="00950785" w:rsidRDefault="0053596B" w:rsidP="00436786">
            <w:pPr>
              <w:pStyle w:val="RollCallSymbols14pt"/>
            </w:pPr>
            <w:r w:rsidRPr="00950785">
              <w:t>-</w:t>
            </w:r>
          </w:p>
        </w:tc>
      </w:tr>
      <w:tr w:rsidR="0053596B" w:rsidRPr="00950785" w:rsidTr="00436786">
        <w:trPr>
          <w:cantSplit/>
        </w:trPr>
        <w:tc>
          <w:tcPr>
            <w:tcW w:w="1701" w:type="dxa"/>
            <w:shd w:val="clear" w:color="auto" w:fill="FFFFFF"/>
          </w:tcPr>
          <w:p w:rsidR="0053596B" w:rsidRPr="00950785" w:rsidRDefault="0053596B" w:rsidP="00436786">
            <w:pPr>
              <w:pStyle w:val="RollCallTable"/>
            </w:pPr>
          </w:p>
        </w:tc>
        <w:tc>
          <w:tcPr>
            <w:tcW w:w="7371" w:type="dxa"/>
            <w:shd w:val="clear" w:color="auto" w:fill="FFFFFF"/>
          </w:tcPr>
          <w:p w:rsidR="0053596B" w:rsidRPr="00950785" w:rsidRDefault="0053596B" w:rsidP="00436786">
            <w:pPr>
              <w:pStyle w:val="RollCallTable"/>
            </w:pPr>
          </w:p>
        </w:tc>
      </w:tr>
    </w:tbl>
    <w:p w:rsidR="0053596B" w:rsidRPr="00950785" w:rsidRDefault="0053596B" w:rsidP="005359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3596B" w:rsidRPr="00950785" w:rsidTr="00436786">
        <w:trPr>
          <w:cantSplit/>
        </w:trPr>
        <w:tc>
          <w:tcPr>
            <w:tcW w:w="1701" w:type="dxa"/>
            <w:shd w:val="pct10" w:color="000000" w:fill="FFFFFF"/>
            <w:vAlign w:val="center"/>
          </w:tcPr>
          <w:p w:rsidR="0053596B" w:rsidRPr="00950785" w:rsidRDefault="0053596B" w:rsidP="00436786">
            <w:pPr>
              <w:pStyle w:val="RollCallVotes"/>
            </w:pPr>
            <w:r w:rsidRPr="00950785">
              <w:t>0</w:t>
            </w:r>
          </w:p>
        </w:tc>
        <w:tc>
          <w:tcPr>
            <w:tcW w:w="7371" w:type="dxa"/>
            <w:shd w:val="pct10" w:color="000000" w:fill="FFFFFF"/>
          </w:tcPr>
          <w:p w:rsidR="0053596B" w:rsidRPr="00950785" w:rsidRDefault="0053596B" w:rsidP="00436786">
            <w:pPr>
              <w:pStyle w:val="RollCallSymbols14pt"/>
            </w:pPr>
            <w:r w:rsidRPr="00950785">
              <w:t>0</w:t>
            </w:r>
          </w:p>
        </w:tc>
      </w:tr>
      <w:tr w:rsidR="0053596B" w:rsidRPr="00950785" w:rsidTr="00436786">
        <w:trPr>
          <w:cantSplit/>
        </w:trPr>
        <w:tc>
          <w:tcPr>
            <w:tcW w:w="1701" w:type="dxa"/>
            <w:shd w:val="clear" w:color="auto" w:fill="FFFFFF"/>
          </w:tcPr>
          <w:p w:rsidR="0053596B" w:rsidRPr="00950785" w:rsidRDefault="0053596B" w:rsidP="00436786">
            <w:pPr>
              <w:pStyle w:val="RollCallTable"/>
            </w:pPr>
          </w:p>
        </w:tc>
        <w:tc>
          <w:tcPr>
            <w:tcW w:w="7371" w:type="dxa"/>
            <w:shd w:val="clear" w:color="auto" w:fill="FFFFFF"/>
          </w:tcPr>
          <w:p w:rsidR="0053596B" w:rsidRPr="00950785" w:rsidRDefault="0053596B" w:rsidP="00436786">
            <w:pPr>
              <w:pStyle w:val="RollCallTable"/>
            </w:pPr>
          </w:p>
        </w:tc>
      </w:tr>
    </w:tbl>
    <w:p w:rsidR="0053596B" w:rsidRPr="00950785" w:rsidRDefault="0053596B" w:rsidP="0053596B">
      <w:pPr>
        <w:pStyle w:val="Normal12a"/>
      </w:pPr>
    </w:p>
    <w:p w:rsidR="0053596B" w:rsidRPr="00950785" w:rsidRDefault="0053596B" w:rsidP="00B735E3">
      <w:r w:rsidRPr="00950785">
        <w:t>Význam zkratek:</w:t>
      </w:r>
    </w:p>
    <w:p w:rsidR="0053596B" w:rsidRPr="00950785" w:rsidRDefault="0053596B" w:rsidP="003858C5">
      <w:pPr>
        <w:pStyle w:val="RollCallTabs"/>
      </w:pPr>
      <w:r w:rsidRPr="00950785">
        <w:t>+</w:t>
      </w:r>
      <w:r w:rsidRPr="00950785">
        <w:tab/>
        <w:t>:</w:t>
      </w:r>
      <w:r w:rsidRPr="00950785">
        <w:tab/>
        <w:t>pro</w:t>
      </w:r>
    </w:p>
    <w:p w:rsidR="0053596B" w:rsidRPr="00950785" w:rsidRDefault="0053596B" w:rsidP="003858C5">
      <w:pPr>
        <w:pStyle w:val="RollCallTabs"/>
      </w:pPr>
      <w:r w:rsidRPr="00950785">
        <w:t>-</w:t>
      </w:r>
      <w:r w:rsidRPr="00950785">
        <w:tab/>
        <w:t>:</w:t>
      </w:r>
      <w:r w:rsidRPr="00950785">
        <w:tab/>
        <w:t>proti</w:t>
      </w:r>
    </w:p>
    <w:p w:rsidR="0053596B" w:rsidRPr="00950785" w:rsidRDefault="0053596B" w:rsidP="003858C5">
      <w:pPr>
        <w:pStyle w:val="RollCallTabs"/>
      </w:pPr>
      <w:r w:rsidRPr="00950785">
        <w:t>0</w:t>
      </w:r>
      <w:r w:rsidRPr="00950785">
        <w:tab/>
        <w:t>:</w:t>
      </w:r>
      <w:r w:rsidRPr="00950785">
        <w:tab/>
        <w:t>zdrželi se</w:t>
      </w:r>
    </w:p>
    <w:p w:rsidR="0053596B" w:rsidRPr="00950785" w:rsidRDefault="0053596B" w:rsidP="00207509"/>
    <w:bookmarkEnd w:id="3"/>
    <w:p w:rsidR="00BF0AFC" w:rsidRPr="00950785" w:rsidRDefault="00BF0AFC" w:rsidP="0053596B"/>
    <w:sectPr w:rsidR="00BF0AFC" w:rsidRPr="00950785" w:rsidSect="005359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15B" w:rsidRPr="003D474D" w:rsidRDefault="0095015B">
      <w:r w:rsidRPr="003D474D">
        <w:separator/>
      </w:r>
    </w:p>
  </w:endnote>
  <w:endnote w:type="continuationSeparator" w:id="0">
    <w:p w:rsidR="0095015B" w:rsidRPr="003D474D" w:rsidRDefault="0095015B">
      <w:r w:rsidRPr="003D47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74D" w:rsidRPr="003D474D" w:rsidRDefault="003D474D" w:rsidP="003D474D">
    <w:pPr>
      <w:pStyle w:val="EPFooter"/>
    </w:pPr>
    <w:r w:rsidRPr="003D474D">
      <w:t>PE</w:t>
    </w:r>
    <w:r w:rsidRPr="003D474D">
      <w:rPr>
        <w:rStyle w:val="HideTWBExt"/>
      </w:rPr>
      <w:t>&lt;NoPE&gt;</w:t>
    </w:r>
    <w:r w:rsidRPr="003D474D">
      <w:t>765.331</w:t>
    </w:r>
    <w:r w:rsidRPr="003D474D">
      <w:rPr>
        <w:rStyle w:val="HideTWBExt"/>
      </w:rPr>
      <w:t>&lt;/NoPE&gt;&lt;Version&gt;</w:t>
    </w:r>
    <w:r w:rsidRPr="003D474D">
      <w:t>v03-00</w:t>
    </w:r>
    <w:r w:rsidRPr="003D474D">
      <w:rPr>
        <w:rStyle w:val="HideTWBExt"/>
      </w:rPr>
      <w:t>&lt;/Version&gt;</w:t>
    </w:r>
    <w:r w:rsidRPr="003D474D">
      <w:tab/>
    </w:r>
    <w:r w:rsidRPr="003D474D">
      <w:fldChar w:fldCharType="begin"/>
    </w:r>
    <w:r w:rsidRPr="003D474D">
      <w:instrText xml:space="preserve"> PAGE  \* MERGEFORMAT </w:instrText>
    </w:r>
    <w:r w:rsidRPr="003D474D">
      <w:fldChar w:fldCharType="separate"/>
    </w:r>
    <w:r w:rsidR="00950785">
      <w:rPr>
        <w:noProof/>
      </w:rPr>
      <w:t>2</w:t>
    </w:r>
    <w:r w:rsidRPr="003D474D">
      <w:fldChar w:fldCharType="end"/>
    </w:r>
    <w:r w:rsidRPr="003D474D">
      <w:t>/</w:t>
    </w:r>
    <w:r w:rsidR="00950785">
      <w:fldChar w:fldCharType="begin"/>
    </w:r>
    <w:r w:rsidR="00950785">
      <w:instrText xml:space="preserve"> NUMPAGES  \* MERGEFORMAT </w:instrText>
    </w:r>
    <w:r w:rsidR="00950785">
      <w:fldChar w:fldCharType="separate"/>
    </w:r>
    <w:r w:rsidR="00950785">
      <w:rPr>
        <w:noProof/>
      </w:rPr>
      <w:t>9</w:t>
    </w:r>
    <w:r w:rsidR="00950785">
      <w:rPr>
        <w:noProof/>
      </w:rPr>
      <w:fldChar w:fldCharType="end"/>
    </w:r>
    <w:r w:rsidRPr="003D474D">
      <w:tab/>
    </w:r>
    <w:r w:rsidRPr="003D474D">
      <w:rPr>
        <w:rStyle w:val="HideTWBExt"/>
      </w:rPr>
      <w:t>&lt;PathFdR&gt;</w:t>
    </w:r>
    <w:r w:rsidRPr="003D474D">
      <w:t>AD\1311349CS.docx</w:t>
    </w:r>
    <w:r w:rsidRPr="003D474D">
      <w:rPr>
        <w:rStyle w:val="HideTWBExt"/>
      </w:rPr>
      <w:t>&lt;/PathFdR&gt;</w:t>
    </w:r>
  </w:p>
  <w:p w:rsidR="002E2F2E" w:rsidRPr="003D474D" w:rsidRDefault="003D474D" w:rsidP="003D474D">
    <w:pPr>
      <w:pStyle w:val="EPFooter2"/>
    </w:pPr>
    <w:r w:rsidRPr="003D474D">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74D" w:rsidRPr="003D474D" w:rsidRDefault="003D474D" w:rsidP="003D474D">
    <w:pPr>
      <w:pStyle w:val="EPFooter"/>
    </w:pPr>
    <w:r w:rsidRPr="003D474D">
      <w:rPr>
        <w:rStyle w:val="HideTWBExt"/>
      </w:rPr>
      <w:t>&lt;PathFdR&gt;</w:t>
    </w:r>
    <w:r w:rsidRPr="003D474D">
      <w:t>AD\1311349CS.docx</w:t>
    </w:r>
    <w:r w:rsidRPr="003D474D">
      <w:rPr>
        <w:rStyle w:val="HideTWBExt"/>
      </w:rPr>
      <w:t>&lt;/PathFdR&gt;</w:t>
    </w:r>
    <w:r w:rsidRPr="003D474D">
      <w:tab/>
    </w:r>
    <w:r w:rsidRPr="003D474D">
      <w:fldChar w:fldCharType="begin"/>
    </w:r>
    <w:r w:rsidRPr="003D474D">
      <w:instrText xml:space="preserve"> PAGE  \* MERGEFORMAT </w:instrText>
    </w:r>
    <w:r w:rsidRPr="003D474D">
      <w:fldChar w:fldCharType="separate"/>
    </w:r>
    <w:r w:rsidR="00950785">
      <w:rPr>
        <w:noProof/>
      </w:rPr>
      <w:t>3</w:t>
    </w:r>
    <w:r w:rsidRPr="003D474D">
      <w:fldChar w:fldCharType="end"/>
    </w:r>
    <w:r w:rsidRPr="003D474D">
      <w:t>/</w:t>
    </w:r>
    <w:r w:rsidR="00950785">
      <w:fldChar w:fldCharType="begin"/>
    </w:r>
    <w:r w:rsidR="00950785">
      <w:instrText xml:space="preserve"> NUMPAGES  \* MERGEFORMAT </w:instrText>
    </w:r>
    <w:r w:rsidR="00950785">
      <w:fldChar w:fldCharType="separate"/>
    </w:r>
    <w:r w:rsidR="00950785">
      <w:rPr>
        <w:noProof/>
      </w:rPr>
      <w:t>9</w:t>
    </w:r>
    <w:r w:rsidR="00950785">
      <w:rPr>
        <w:noProof/>
      </w:rPr>
      <w:fldChar w:fldCharType="end"/>
    </w:r>
    <w:r w:rsidRPr="003D474D">
      <w:tab/>
      <w:t>PE</w:t>
    </w:r>
    <w:r w:rsidRPr="003D474D">
      <w:rPr>
        <w:rStyle w:val="HideTWBExt"/>
      </w:rPr>
      <w:t>&lt;NoPE&gt;</w:t>
    </w:r>
    <w:r w:rsidRPr="003D474D">
      <w:t>765.331</w:t>
    </w:r>
    <w:r w:rsidRPr="003D474D">
      <w:rPr>
        <w:rStyle w:val="HideTWBExt"/>
      </w:rPr>
      <w:t>&lt;/NoPE&gt;&lt;Version&gt;</w:t>
    </w:r>
    <w:r w:rsidRPr="003D474D">
      <w:t>v03-00</w:t>
    </w:r>
    <w:r w:rsidRPr="003D474D">
      <w:rPr>
        <w:rStyle w:val="HideTWBExt"/>
      </w:rPr>
      <w:t>&lt;/Version&gt;</w:t>
    </w:r>
  </w:p>
  <w:p w:rsidR="002E2F2E" w:rsidRPr="003D474D" w:rsidRDefault="003D474D" w:rsidP="003D474D">
    <w:pPr>
      <w:pStyle w:val="EPFooter2"/>
    </w:pPr>
    <w:r w:rsidRPr="003D474D">
      <w:tab/>
    </w:r>
    <w:r w:rsidRPr="003D474D">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74D" w:rsidRPr="003D474D" w:rsidRDefault="003D474D" w:rsidP="003D474D">
    <w:pPr>
      <w:pStyle w:val="EPFooter"/>
    </w:pPr>
    <w:r w:rsidRPr="003D474D">
      <w:rPr>
        <w:rStyle w:val="HideTWBExt"/>
      </w:rPr>
      <w:t>&lt;PathFdR&gt;</w:t>
    </w:r>
    <w:r w:rsidRPr="003D474D">
      <w:t>AD\1311349CS.docx</w:t>
    </w:r>
    <w:r w:rsidRPr="003D474D">
      <w:rPr>
        <w:rStyle w:val="HideTWBExt"/>
      </w:rPr>
      <w:t>&lt;/PathFdR&gt;</w:t>
    </w:r>
    <w:r w:rsidRPr="003D474D">
      <w:tab/>
    </w:r>
    <w:r w:rsidRPr="003D474D">
      <w:tab/>
      <w:t>PE</w:t>
    </w:r>
    <w:r w:rsidRPr="003D474D">
      <w:rPr>
        <w:rStyle w:val="HideTWBExt"/>
      </w:rPr>
      <w:t>&lt;NoPE&gt;</w:t>
    </w:r>
    <w:r w:rsidRPr="003D474D">
      <w:t>765.331</w:t>
    </w:r>
    <w:r w:rsidRPr="003D474D">
      <w:rPr>
        <w:rStyle w:val="HideTWBExt"/>
      </w:rPr>
      <w:t>&lt;/NoPE&gt;&lt;Version&gt;</w:t>
    </w:r>
    <w:r w:rsidRPr="003D474D">
      <w:t>v03-00</w:t>
    </w:r>
    <w:r w:rsidRPr="003D474D">
      <w:rPr>
        <w:rStyle w:val="HideTWBExt"/>
      </w:rPr>
      <w:t>&lt;/Version&gt;</w:t>
    </w:r>
  </w:p>
  <w:p w:rsidR="002E2F2E" w:rsidRPr="003D474D" w:rsidRDefault="003D474D" w:rsidP="003D474D">
    <w:pPr>
      <w:pStyle w:val="EPFooter2"/>
    </w:pPr>
    <w:r w:rsidRPr="003D474D">
      <w:t>CS</w:t>
    </w:r>
    <w:r w:rsidRPr="003D474D">
      <w:tab/>
    </w:r>
    <w:r w:rsidRPr="003D474D">
      <w:rPr>
        <w:b w:val="0"/>
        <w:i/>
        <w:color w:val="C0C0C0"/>
        <w:sz w:val="22"/>
      </w:rPr>
      <w:t>Jednotná v rozmanitosti</w:t>
    </w:r>
    <w:r w:rsidRPr="003D474D">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15B" w:rsidRPr="003D474D" w:rsidRDefault="0095015B">
      <w:r w:rsidRPr="003D474D">
        <w:separator/>
      </w:r>
    </w:p>
  </w:footnote>
  <w:footnote w:type="continuationSeparator" w:id="0">
    <w:p w:rsidR="0095015B" w:rsidRPr="003D474D" w:rsidRDefault="0095015B">
      <w:r w:rsidRPr="003D474D">
        <w:continuationSeparator/>
      </w:r>
    </w:p>
  </w:footnote>
  <w:footnote w:id="1">
    <w:p w:rsidR="00DC42C0" w:rsidRPr="003D474D" w:rsidRDefault="00DC42C0" w:rsidP="00DC42C0">
      <w:pPr>
        <w:pStyle w:val="FootnoteText"/>
      </w:pPr>
      <w:r w:rsidRPr="003D474D">
        <w:rPr>
          <w:rStyle w:val="FootnoteReference"/>
        </w:rPr>
        <w:footnoteRef/>
      </w:r>
      <w:r w:rsidRPr="003D474D">
        <w:t xml:space="preserve"> Úř. věst. L, 2024/2509, 26.9.2024, ELI: </w:t>
      </w:r>
      <w:hyperlink r:id="rId1" w:tgtFrame="_blank" w:tooltip="Umožňuje přístup k tomuto dokumentu prostřednictvím identifikátoru ELI URI." w:history="1">
        <w:r w:rsidRPr="003D474D">
          <w:rPr>
            <w:rStyle w:val="Hyperlink"/>
          </w:rPr>
          <w:t>http://data.europa.eu/eli/reg/2024/2509/oj</w:t>
        </w:r>
      </w:hyperlink>
      <w:r w:rsidRPr="003D474D">
        <w:t>.</w:t>
      </w:r>
      <w:r w:rsidRPr="003D474D">
        <w:rPr>
          <w:rFonts w:ascii="Segoe UI" w:hAnsi="Segoe UI"/>
          <w:i/>
          <w:color w:val="333333"/>
          <w:sz w:val="21"/>
          <w:shd w:val="clear" w:color="auto" w:fill="FFFFFF"/>
        </w:rPr>
        <w:t> </w:t>
      </w:r>
    </w:p>
  </w:footnote>
  <w:footnote w:id="2">
    <w:p w:rsidR="00DC42C0" w:rsidRPr="003D474D" w:rsidRDefault="00DC42C0" w:rsidP="00DC42C0">
      <w:pPr>
        <w:pStyle w:val="FootnoteText"/>
      </w:pPr>
      <w:r w:rsidRPr="003D474D">
        <w:rPr>
          <w:rStyle w:val="FootnoteReference"/>
        </w:rPr>
        <w:footnoteRef/>
      </w:r>
      <w:r w:rsidRPr="003D474D">
        <w:t xml:space="preserve"> Úř. věst. L 433I, 22.12.2020, s. 11 ELI: </w:t>
      </w:r>
      <w:hyperlink r:id="rId2" w:history="1">
        <w:r w:rsidRPr="003D474D">
          <w:rPr>
            <w:rStyle w:val="Hyperlink"/>
          </w:rPr>
          <w:t>http://data.europa.eu/eli/reg/2020/2093/oj</w:t>
        </w:r>
      </w:hyperlink>
      <w:r w:rsidRPr="003D474D">
        <w:t>.</w:t>
      </w:r>
    </w:p>
  </w:footnote>
  <w:footnote w:id="3">
    <w:p w:rsidR="00DC42C0" w:rsidRPr="003D474D" w:rsidRDefault="00DC42C0" w:rsidP="00DC42C0">
      <w:pPr>
        <w:pStyle w:val="FootnoteText"/>
      </w:pPr>
      <w:r w:rsidRPr="003D474D">
        <w:rPr>
          <w:rStyle w:val="FootnoteReference"/>
        </w:rPr>
        <w:footnoteRef/>
      </w:r>
      <w:r w:rsidRPr="003D474D">
        <w:t xml:space="preserve"> Úř. věst. L 433I, 22.12.2020, s. 28 ELI: </w:t>
      </w:r>
      <w:hyperlink r:id="rId3" w:history="1">
        <w:r w:rsidRPr="003D474D">
          <w:rPr>
            <w:rStyle w:val="Hyperlink"/>
          </w:rPr>
          <w:t>http://data.europa.eu/eli/agree_interinstit/2020/1222/oj</w:t>
        </w:r>
      </w:hyperlink>
      <w:r w:rsidRPr="003D474D">
        <w:t>.</w:t>
      </w:r>
    </w:p>
  </w:footnote>
  <w:footnote w:id="4">
    <w:p w:rsidR="00DC42C0" w:rsidRPr="003D474D" w:rsidRDefault="00DC42C0" w:rsidP="00DC42C0">
      <w:pPr>
        <w:pStyle w:val="FootnoteText"/>
      </w:pPr>
      <w:r w:rsidRPr="003D474D">
        <w:rPr>
          <w:rStyle w:val="FootnoteReference"/>
        </w:rPr>
        <w:footnoteRef/>
      </w:r>
      <w:r w:rsidRPr="003D474D">
        <w:rPr>
          <w:b/>
          <w:i/>
        </w:rPr>
        <w:t xml:space="preserve"> </w:t>
      </w:r>
      <w:r w:rsidRPr="003D474D">
        <w:t xml:space="preserve">Úř. věst. L, 2024/2509, 26.9.2024, ELI: </w:t>
      </w:r>
      <w:hyperlink r:id="rId4" w:history="1">
        <w:r w:rsidRPr="003D474D">
          <w:rPr>
            <w:rStyle w:val="Hyperlink"/>
          </w:rPr>
          <w:t>http://data.europa.eu/eli/reg/2024/2509/oj</w:t>
        </w:r>
      </w:hyperlink>
      <w:r w:rsidRPr="003D474D">
        <w:t>.</w:t>
      </w:r>
    </w:p>
  </w:footnote>
  <w:footnote w:id="5">
    <w:p w:rsidR="00DC42C0" w:rsidRPr="003D474D" w:rsidRDefault="00DC42C0" w:rsidP="00950785">
      <w:pPr>
        <w:pStyle w:val="FootnoteText"/>
      </w:pPr>
      <w:r w:rsidRPr="003D474D">
        <w:rPr>
          <w:rStyle w:val="FootnoteReference"/>
        </w:rPr>
        <w:footnoteRef/>
      </w:r>
      <w:r w:rsidRPr="003D474D">
        <w:t xml:space="preserve"> Návrh nařízení Evropského parlamentu a Rady ze dne 21. října 2024 „RESTORE – Regionální mimořádná podpora na rekonstrukci, kterým se mění nařízení (EU) 2021/1058 a nařízení (EU) 2021/1057</w:t>
      </w:r>
      <w:r w:rsidR="00950785" w:rsidRPr="003D474D">
        <w:t>“</w:t>
      </w:r>
      <w:r w:rsidR="00950785">
        <w:t xml:space="preserve"> </w:t>
      </w:r>
      <w:r w:rsidR="00950785" w:rsidRPr="003D474D">
        <w:t>(COM(2024)0496).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B" w:rsidRDefault="005F7D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B" w:rsidRDefault="005F7D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B" w:rsidRDefault="005F7D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UTHORMFMNU" w:val=" 1"/>
    <w:docVar w:name="CJMNU" w:val="1"/>
    <w:docVar w:name="CODEMNU" w:val=" 3"/>
    <w:docVar w:name="COM2KEY" w:val="AGRI"/>
    <w:docVar w:name="COMKEY" w:val="BUDG"/>
    <w:docVar w:name="CONTRIBUTIONMNU" w:val=" 2"/>
    <w:docVar w:name="CopyToNetwork" w:val="-1"/>
    <w:docVar w:name="CVar" w:val="1"/>
    <w:docVar w:name="DOCDT" w:val="12/11/2024"/>
    <w:docVar w:name="DOCMNU" w:val=" 1"/>
    <w:docVar w:name="FONCTIONMNU" w:val=" 1"/>
    <w:docVar w:name="iNoAmend" w:val="1"/>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28731 HideTWBExt;}{\*\cs18 \additive \v\f1\fs20\cf15 _x000d__x000a_\spriority0 \styrsid14428731 HideTWBInt;}{\s19\ql \li0\ri0\nowidctlpar\wrapdefault\aspalpha\aspnum\faauto\adjustright\rin0\lin0\itap0 \rtlch\fcs1 \af0\afs20\alang1025 \ltrch\fcs0 \b\fs24\lang2057\langfe2057\cgrid\langnp2057\langfenp2057 _x000d__x000a_\sbasedon0 \snext19 \spriority0 \styrsid14428731 NormalBold;}{\s20\ql \li0\ri0\sa120\nowidctlpar\wrapdefault\aspalpha\aspnum\faauto\adjustright\rin0\lin0\itap0 \rtlch\fcs1 \af0\afs20\alang1025 \ltrch\fcs0 _x000d__x000a_\fs24\lang2057\langfe2057\cgrid\langnp2057\langfenp2057 \sbasedon0 \snext20 \spriority0 \styrsid14428731 Normal6a;}{\s21\qc \li0\ri0\sa240\nowidctlpar\wrapdefault\aspalpha\aspnum\faauto\adjustright\rin0\lin0\itap0 \rtlch\fcs1 \af0\afs20\alang1025 _x000d__x000a_\ltrch\fcs0 \i\fs24\lang2057\langfe2057\cgrid\langnp2057\langfenp2057 \sbasedon0 \snext21 \spriority0 \styrsid1442873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4428731 AmNumberTabs;}{\s23\ql \li0\ri0\sa240\nowidctlpar\wrapdefault\aspalpha\aspnum\faauto\adjustright\rin0\lin0\itap0 \rtlch\fcs1 _x000d__x000a_\af0\afs20\alang1025 \ltrch\fcs0 \i\fs24\lang2057\langfe2057\cgrid\langnp2057\langfenp2057 \sbasedon0 \snext23 \spriority0 \styrsid14428731 AmJustText;}{_x000d__x000a_\s24\qc \li0\ri0\sb240\sa240\nowidctlpar\wrapdefault\aspalpha\aspnum\faauto\adjustright\rin0\lin0\itap0 \rtlch\fcs1 \af0\afs20\alang1025 \ltrch\fcs0 \i\fs24\lang2057\langfe2057\cgrid\langnp2057\langfenp2057 _x000d__x000a_\sbasedon0 \snext24 \spriority0 \styrsid14428731 AmCrossRef;}{\s25\qc \li0\ri0\sb240\sa240\keepn\nowidctlpar\wrapdefault\aspalpha\aspnum\faauto\adjustright\rin0\lin0\itap0 \rtlch\fcs1 \af0\afs20\alang1025 \ltrch\fcs0 _x000d__x000a_\i\fs24\lang2057\langfe2057\cgrid\langnp2057\langfenp2057 \sbasedon0 \snext23 \spriority0 \styrsid14428731 AmJustTitle;}{\s26\ql \li0\ri0\sb240\nowidctlpar\wrapdefault\aspalpha\aspnum\faauto\adjustright\rin0\lin0\itap0 \rtlch\fcs1 \af0\afs20\alang1025 _x000d__x000a_\ltrch\fcs0 \b\fs24\lang2057\langfe2057\cgrid\langnp2057\langfenp2057 \sbasedon0 \snext26 \spriority0 \styrsid14428731 NormalBold12b;}}{\*\rsidtbl \rsid24658\rsid223860\rsid735077\rsid1718133\rsid2892074\rsid3565327\rsid4666813\rsid6641733\rsid7823322_x000d__x000a_\rsid9636012\rsid10377208\rsid11215221\rsid11549030\rsid12154954\rsid12217516\rsid14382809\rsid14424199\rsid14428731\rsid15204470\rsid15285974\rsid15950462\rsid16324206\rsid16662270}{\mmathPr\mmathFont34\mbrkBin0\mbrkBinSub0\msmallFrac0\mdispDef1_x000d__x000a_\mlMargin0\mrMargin0\mdefJc1\mwrapIndent1440\mintLim0\mnaryLim1}{\info{\author SMAKALOVA Sona}{\operator SMAKALOVA Sona}{\creatim\yr2024\mo12\dy2\hr14\min48}{\revtim\yr2024\mo12\dy2\hr14\min48}{\version1}{\edmins0}{\nofpages1}{\nofwords99}{\nofchars570}_x000d__x000a_{\nofcharsws6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28731\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2217516 \chftnsep _x000d__x000a_\par }}{\*\ftnsepc \ltrpar \pard\plain \ltrpar\ql \li0\ri0\widctlpar\wrapdefault\aspalpha\aspnum\faauto\adjustright\rin0\lin0\itap0 \rtlch\fcs1 \af0\afs20\alang1025 \ltrch\fcs0 \fs24\lang2057\langfe2057\cgrid\langnp2057\langfenp2057 {\rtlch\fcs1 \af0 _x000d__x000a_\ltrch\fcs0 \insrsid12217516 \chftnsepc _x000d__x000a_\par }}{\*\aftnsep \ltrpar \pard\plain \ltrpar\ql \li0\ri0\widctlpar\wrapdefault\aspalpha\aspnum\faauto\adjustright\rin0\lin0\itap0 \rtlch\fcs1 \af0\afs20\alang1025 \ltrch\fcs0 \fs24\lang2057\langfe2057\cgrid\langnp2057\langfenp2057 {\rtlch\fcs1 \af0 _x000d__x000a_\ltrch\fcs0 \insrsid12217516 \chftnsep _x000d__x000a_\par }}{\*\aftnsepc \ltrpar \pard\plain \ltrpar\ql \li0\ri0\widctlpar\wrapdefault\aspalpha\aspnum\faauto\adjustright\rin0\lin0\itap0 \rtlch\fcs1 \af0\afs20\alang1025 \ltrch\fcs0 \fs24\lang2057\langfe2057\cgrid\langnp2057\langfenp2057 {\rtlch\fcs1 \af0 _x000d__x000a_\ltrch\fcs0 \insrsid122175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428731 \rtlch\fcs1 _x000d__x000a_\af0\afs20\alang1025 \ltrch\fcs0 \b\fs24\lang2057\langfe2057\cgrid\langnp2057\langfenp2057 {\rtlch\fcs1 \af0 \ltrch\fcs0 \cs17\b0\v\fs20\cf9\lang1024\langfe1024\loch\af1\hich\af1\dbch\af31501\noproof\insrsid14428731\charrsid9765211 {\*\bkmkstart restart}_x000d__x000a_\hich\af1\dbch\af31501\loch\f1 &lt;Amend&gt;}{\rtlch\fcs1 \af0 \ltrch\fcs0 \insrsid14428731\charrsid9765211 Amendment\tab \tab }{\rtlch\fcs1 \af0 \ltrch\fcs0 _x000d__x000a_\cs17\b0\v\fs20\cf9\lang1024\langfe1024\loch\af1\hich\af1\dbch\af31501\noproof\insrsid14428731\charrsid9765211 \hich\af1\dbch\af31501\loch\f1 &lt;NumAm&gt;}{\rtlch\fcs1 \af0 \ltrch\fcs0 \insrsid14428731\charrsid9765211 #}{\rtlch\fcs1 \af0 \ltrch\fcs0 _x000d__x000a_\cs18\v\f1\fs20\cf15\insrsid14428731\charrsid9765211 ENMIENDA@NRAM@}{\rtlch\fcs1 \af0 \ltrch\fcs0 \insrsid14428731\charrsid9765211 #}{\rtlch\fcs1 \af0 \ltrch\fcs0 _x000d__x000a_\cs17\b0\v\fs20\cf9\lang1024\langfe1024\loch\af1\hich\af1\dbch\af31501\noproof\insrsid14428731\charrsid9765211 \hich\af1\dbch\af31501\loch\f1 &lt;/NumAm&gt;}{\rtlch\fcs1 \af0 \ltrch\fcs0 \insrsid14428731\charrsid9765211 _x000d__x000a_\par }\pard\plain \ltrpar\s26\ql \li0\ri0\sb240\keepn\nowidctlpar\wrapdefault\aspalpha\aspnum\faauto\adjustright\rin0\lin0\itap0\pararsid14428731 \rtlch\fcs1 \af0\afs20\alang1025 \ltrch\fcs0 \b\fs24\lang2057\langfe2057\cgrid\langnp2057\langfenp2057 {_x000d__x000a_\rtlch\fcs1 \af0 \ltrch\fcs0 \cs17\b0\v\fs20\cf9\lang1024\langfe1024\loch\af1\hich\af1\dbch\af31501\noproof\insrsid14428731\charrsid9765211 \hich\af1\dbch\af31501\loch\f1 &lt;DocAmend&gt;}{\rtlch\fcs1 \af0 \ltrch\fcs0 \insrsid14428731\charrsid9765211 #}{_x000d__x000a_\rtlch\fcs1 \af0 \ltrch\fcs0 \cs18\v\f1\fs20\cf15\insrsid14428731\charrsid9765211 MNU[PROPCOM][PROPCOUNC]@CHOICE@TITLEMNU}{\rtlch\fcs1 \af0 \ltrch\fcs0 \insrsid14428731\charrsid9765211 # for a #}{\rtlch\fcs1 \af0 \ltrch\fcs0 _x000d__x000a_\cs18\v\f1\fs20\cf15\insrsid14428731\charrsid9765211 MNU[DOC1][DOC2][DOC3][DOC4]@CHOICE@DOCMNU}{\rtlch\fcs1 \af0 \ltrch\fcs0 \insrsid14428731\charrsid9765211 ##}{\rtlch\fcs1 \af0 \ltrch\fcs0 \cs18\v\f1\fs20\cf15\insrsid14428731\charrsid9765211 _x000d__x000a_MNU[AMACTYES][NOTAPP]@CHOICE@AMACTMNU}{\rtlch\fcs1 \af0 \ltrch\fcs0 \insrsid14428731\charrsid9765211 #}{\rtlch\fcs1 \af0 \ltrch\fcs0 \cs17\b0\v\fs20\cf9\lang1024\langfe1024\loch\af1\hich\af1\dbch\af31501\noproof\insrsid14428731\charrsid9765211 _x000d__x000a_\hich\af1\dbch\af31501\loch\f1 &lt;/DocAmend&gt;}{\rtlch\fcs1 \af0 \ltrch\fcs0 \insrsid14428731\charrsid9765211 _x000d__x000a_\par }\pard\plain \ltrpar\s19\ql \li0\ri0\nowidctlpar\wrapdefault\aspalpha\aspnum\faauto\adjustright\rin0\lin0\itap0\pararsid14428731 \rtlch\fcs1 \af0\afs20\alang1025 \ltrch\fcs0 \b\fs24\lang2057\langfe2057\cgrid\langnp2057\langfenp2057 {\rtlch\fcs1 \af0 _x000d__x000a_\ltrch\fcs0 \cs17\b0\v\fs20\cf9\lang1024\langfe1024\loch\af1\hich\af1\dbch\af31501\noproof\insrsid14428731\charrsid9765211 \hich\af1\dbch\af31501\loch\f1 &lt;Article&gt;}{\rtlch\fcs1 \af0 \ltrch\fcs0 \insrsid14428731\charrsid9765211 #}{\rtlch\fcs1 \af0 _x000d__x000a_\ltrch\fcs0 \cs18\v\f1\fs20\cf15\insrsid14428731\charrsid9765211 MNU[AMACTPARTYES][AMACTPARTNO]@CHOICE@AMACTMNU}{\rtlch\fcs1 \af0 \ltrch\fcs0 \insrsid14428731\charrsid9765211 #}{\rtlch\fcs1 \af0 \ltrch\fcs0 _x000d__x000a_\cs17\b0\v\fs20\cf9\lang1024\langfe1024\loch\af1\hich\af1\dbch\af31501\noproof\insrsid14428731\charrsid9765211 \hich\af1\dbch\af31501\loch\f1 &lt;/Article&gt;}{\rtlch\fcs1 \af0 \ltrch\fcs0 \insrsid14428731\charrsid9765211 _x000d__x000a_\par }\pard\plain \ltrpar\ql \li0\ri0\keepn\widctlpar\wrapdefault\aspalpha\aspnum\faauto\adjustright\rin0\lin0\itap0\pararsid14428731 \rtlch\fcs1 \af0\afs20\alang1025 \ltrch\fcs0 \fs24\lang2057\langfe2057\cgrid\langnp2057\langfenp2057 {\rtlch\fcs1 \af0 _x000d__x000a_\ltrch\fcs0 \cs17\v\fs20\cf9\lang1024\langfe1024\loch\af1\hich\af1\dbch\af31501\noproof\insrsid14428731\charrsid9765211 \hich\af1\dbch\af31501\loch\f1 &lt;DocAmend2&gt;&lt;\hich\af1\dbch\af31501\loch\f1 OptDel&gt;}{\rtlch\fcs1 \af0 \ltrch\fcs0 _x000d__x000a_\insrsid14428731\charrsid9765211 #}{\rtlch\fcs1 \af0 \ltrch\fcs0 \cs18\v\f1\fs20\cf15\insrsid14428731\charrsid9765211 MNU[OPTNRACTYES][NOTAPP]@CHOICE@AMACTMNU}{\rtlch\fcs1 \af0 \ltrch\fcs0 \insrsid14428731\charrsid9765211 #}{\rtlch\fcs1 \af0 \ltrch\fcs0 _x000d__x000a_\cs17\v\fs20\cf9\lang1024\langfe1024\loch\af1\hich\af1\dbch\af31501\noproof\insrsid14428731\charrsid9765211 \hich\af1\dbch\af31501\loch\f1 &lt;/OptDel&gt;&lt;/DocAmend2&gt;}{\rtlch\fcs1 \af0 \ltrch\fcs0 \insrsid14428731\charrsid9765211 _x000d__x000a_\par }\pard \ltrpar\ql \li0\ri0\widctlpar\wrapdefault\aspalpha\aspnum\faauto\adjustright\rin0\lin0\itap0\pararsid14428731 {\rtlch\fcs1 \af0 \ltrch\fcs0 \cs17\v\fs20\cf9\lang1024\langfe1024\loch\af1\hich\af1\dbch\af31501\noproof\insrsid14428731\charrsid9765211 _x000d__x000a_\hich\af1\dbch\af31501\loch\f1 &lt;Article2&gt;&lt;OptDel&gt;}{\rtlch\fcs1 \af0 \ltrch\fcs0 \insrsid14428731\charrsid9765211 #}{\rtlch\fcs1 \af0 \ltrch\fcs0 \cs18\v\f1\fs20\cf15\insrsid14428731\charrsid9765211 MNU[OPTACTPARTYES][NOTAPP]@CHOICE@AMACTMNU}{\rtlch\fcs1 _x000d__x000a_\af0 \ltrch\fcs0 \insrsid14428731\charrsid9765211 #}{\rtlch\fcs1 \af0 \ltrch\fcs0 \cs17\v\fs20\cf9\lang1024\langfe1024\loch\af1\hich\af1\dbch\af31501\noproof\insrsid14428731\charrsid9765211 \hich\af1\dbch\af31501\loch\f1 &lt;/OptDel&gt;&lt;/Article2&gt;}{\rtlch\fcs1 _x000d__x000a_\af0 \ltrch\fcs0 \insrsid14428731\charrsid9765211 _x000d__x000a_\par \ltrrow}\trowd \irow0\irowband0\ltrrow\ts11\trqc\trgaph340\trleft-34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412\pard \ltrpar\ql \li0\ri0\keepn\widctlpar\intbl\wrapdefault\aspalpha\aspnum\faauto\adjustright\rin0\lin0\pararsid11085200 {\rtlch\fcs1 _x000d__x000a_\af0 \ltrch\fcs0 \insrsid14428731\charrsid9765211 \cell }\pard \ltrpar\ql \li0\ri0\widctlpar\intbl\wrapdefault\aspalpha\aspnum\faauto\adjustright\rin0\lin0 {\rtlch\fcs1 \af0 \ltrch\fcs0 \insrsid14428731\charrsid9765211 \trowd \irow0\irowband0\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4428731\charrsid9765211 #}{\rtlch\fcs1 \af0 \ltrch\fcs0 \cs18\v\f1\fs20\cf15\insrsid14428731\charrsid9765211 MNU[OPTLEFTAMACT][LEFTPROP]@CHOICE@AMACTMNU}{\rtlch\fcs1 \af0 \ltrch\fcs0 \insrsid14428731\charrsid9765211 #_x000d__x000a_\cell Amendment\cell }\pard\plain \ltrpar\ql \li0\ri0\widctlpar\intbl\wrapdefault\aspalpha\aspnum\faauto\adjustright\rin0\lin0 \rtlch\fcs1 \af0\afs20\alang1025 \ltrch\fcs0 \fs24\lang2057\langfe2057\cgrid\langnp2057\langfenp2057 {\rtlch\fcs1 \af0 _x000d__x000a_\ltrch\fcs0 \insrsid14428731\charrsid9765211 \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4428731\charrsid9765211 ##\cell ##\cell }\pard\plain \ltrpar\ql \li0\ri0\widctlpar\intbl\wrapdefault\aspalpha\aspnum\faauto\adjustright\rin0\lin0 \rtlch\fcs1 \af0\afs20\alang1025 \ltrch\fcs0 _x000d__x000a_\fs24\lang2057\langfe2057\cgrid\langnp2057\langfenp2057 {\rtlch\fcs1 \af0 \ltrch\fcs0 \insrsid14428731\charrsid9765211 \trowd \irow2\irowband2\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4\qc \li0\ri0\sb240\sa240\nowidctlpar\wrapdefault\aspalpha\aspnum\faauto\adjustright\rin0\lin0\itap0\pararsid14428731 \rtlch\fcs1 \af0\afs20\alang1025 \ltrch\fcs0 \i\fs24\lang2057\langfe2057\cgrid\langnp2057\langfenp2057 {_x000d__x000a_\rtlch\fcs1 \af0 \ltrch\fcs0 \cs17\i0\v\fs20\cf9\lang1024\langfe1024\loch\af1\hich\af1\dbch\af31501\noproof\insrsid14428731\charrsid9765211 \hich\af1\dbch\af31501\loch\f1 &lt;OptDel&gt;}{\rtlch\fcs1 \af0 \ltrch\fcs0 \insrsid14428731\charrsid9765211 #}{_x000d__x000a_\rtlch\fcs1 \af0 \ltrch\fcs0 \cs18\v\f1\fs20\cf15\insrsid14428731\charrsid9765211 MNU[CROSSREFNO][CROSSREFYES]@CHOICE@}{\rtlch\fcs1 \af0 \ltrch\fcs0 \insrsid14428731\charrsid9765211 #}{\rtlch\fcs1 \af0 \ltrch\fcs0 _x000d__x000a_\cs17\i0\v\fs20\cf9\lang1024\langfe1024\loch\af1\hich\af1\dbch\af31501\noproof\insrsid14428731\charrsid9765211 \hich\af1\dbch\af31501\loch\f1 &lt;/OptDel&gt;}{\rtlch\fcs1 \af0 \ltrch\fcs0 \insrsid14428731\charrsid9765211 _x000d__x000a_\par }\pard\plain \ltrpar\s25\qc \li0\ri0\sb240\sa240\keepn\nowidctlpar\wrapdefault\aspalpha\aspnum\faauto\adjustright\rin0\lin0\itap0\pararsid14428731 \rtlch\fcs1 \af0\afs20\alang1025 \ltrch\fcs0 \i\fs24\lang2057\langfe2057\cgrid\langnp2057\langfenp2057 {_x000d__x000a_\rtlch\fcs1 \af0 \ltrch\fcs0 \cs17\i0\v\fs20\cf9\lang1024\langfe1024\loch\af1\hich\af1\dbch\af31501\noproof\insrsid14428731\charrsid9765211 \hich\af1\dbch\af31501\loch\f1 &lt;TitreJust&gt;}{\rtlch\fcs1 \af0 \ltrch\fcs0 \insrsid14428731\charrsid9765211 _x000d__x000a_Justification}{\rtlch\fcs1 \af0 \ltrch\fcs0 \cs17\i0\v\fs20\cf9\lang1024\langfe1024\loch\af1\hich\af1\dbch\af31501\noproof\insrsid14428731\charrsid9765211 \hich\af1\dbch\af31501\loch\f1 &lt;/TitreJust&gt;}{\rtlch\fcs1 \af0 \ltrch\fcs0 _x000d__x000a_\insrsid14428731\charrsid9765211 _x000d__x000a_\par }\pard\plain \ltrpar\s23\ql \li0\ri0\sa240\nowidctlpar\wrapdefault\aspalpha\aspnum\faauto\adjustright\rin0\lin0\itap0\pararsid14428731 \rtlch\fcs1 \af0\afs20\alang1025 \ltrch\fcs0 \i\fs24\lang2057\langfe2057\cgrid\langnp2057\langfenp2057 {\rtlch\fcs1 _x000d__x000a_\af0 \ltrch\fcs0 \cs17\i0\v\fs20\cf9\lang1024\langfe1024\loch\af1\hich\af1\dbch\af31501\noproof\insrsid14428731\charrsid9765211 \hich\af1\dbch\af31501\loch\f1 &lt;OptDelPrev&gt;}{\rtlch\fcs1 \af0 \ltrch\fcs0 \insrsid14428731\charrsid9765211 #}{\rtlch\fcs1 \af0 _x000d__x000a_\ltrch\fcs0 \cs18\v\f1\fs20\cf15\insrsid14428731\charrsid9765211 MNU[TEXTJUSTYES][TEXTJUSTNO]@CHOICE@}{\rtlch\fcs1 \af0 \ltrch\fcs0 \insrsid14428731\charrsid9765211 #}{\rtlch\fcs1 \af0 \ltrch\fcs0 _x000d__x000a_\cs17\i0\v\fs20\cf9\lang1024\langfe1024\loch\af1\hich\af1\dbch\af31501\noproof\insrsid14428731\charrsid9765211 \hich\af1\dbch\af31501\loch\f1 &lt;/OptDelPrev&gt;}{\rtlch\fcs1 \af0 \ltrch\fcs0 \insrsid14428731\charrsid9765211 _x000d__x000a_\par }\pard\plain \ltrpar\ql \li0\ri0\widctlpar\wrapdefault\aspalpha\aspnum\faauto\adjustright\rin0\lin0\itap0\pararsid14428731 \rtlch\fcs1 \af0\afs20\alang1025 \ltrch\fcs0 \fs24\lang2057\langfe2057\cgrid\langnp2057\langfenp2057 {\rtlch\fcs1 \af0 \ltrch\fcs0 _x000d__x000a_\cs17\v\fs20\cf9\lang1024\langfe1024\loch\af1\hich\af1\dbch\af31501\noproof\insrsid14428731\charrsid9765211 \hich\af1\dbch\af31501\loch\f1 &lt;/Amend&gt;}{\rtlch\fcs1 \af0 \ltrch\fcs0 \insrsid1442873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8_x000d__x000a_88d8c04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10693 HideTWBExt;}{_x000d__x000a_\s18\ql \li0\ri0\nowidctlpar\wrapdefault\aspalpha\aspnum\faauto\adjustright\rin0\lin0\itap0 \rtlch\fcs1 \af0\afs20\alang1025 \ltrch\fcs0 \b\fs24\lang2057\langfe2057\cgrid\langnp2057\langfenp2057 \sbasedon0 \snext18 \spriority0 \styrsid10310693 _x000d__x000a_NormalBold;}{\s19\ql \li0\ri0\sa120\nowidctlpar\wrapdefault\aspalpha\aspnum\faauto\adjustright\rin0\lin0\itap0 \rtlch\fcs1 \af0\afs20\alang1025 \ltrch\fcs0 \fs24\lang2057\langfe2057\cgrid\langnp2057\langfenp2057 _x000d__x000a_\sbasedon0 \snext19 \spriority0 \styrsid10310693 Normal6a;}{\s20\qc \li0\ri0\sa240\nowidctlpar\wrapdefault\aspalpha\aspnum\faauto\adjustright\rin0\lin0\itap0 \rtlch\fcs1 \af0\afs20\alang1025 \ltrch\fcs0 _x000d__x000a_\i\fs24\lang2057\langfe2057\cgrid\langnp2057\langfenp2057 \sbasedon0 \snext20 \spriority0 \styrsid1031069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310693 AmNumberTabs;}{\s22\ql \li0\ri0\sa240\nowidctlpar\wrapdefault\aspalpha\aspnum\faauto\adjustright\rin0\lin0\itap0 \rtlch\fcs1 _x000d__x000a_\af0\afs20\alang1025 \ltrch\fcs0 \i\fs24\lang2057\langfe2057\cgrid\langnp2057\langfenp2057 \sbasedon0 \snext22 \spriority0 \styrsid10310693 AmJustText;}{_x000d__x000a_\s23\qc \li0\ri0\sb240\sa240\nowidctlpar\wrapdefault\aspalpha\aspnum\faauto\adjustright\rin0\lin0\itap0 \rtlch\fcs1 \af0\afs20\alang1025 \ltrch\fcs0 \i\fs24\lang2057\langfe2057\cgrid\langnp2057\langfenp2057 _x000d__x000a_\sbasedon0 \snext23 \spriority0 \styrsid10310693 AmCrossRef;}{\s24\qc \li0\ri0\sb240\sa240\keepn\nowidctlpar\wrapdefault\aspalpha\aspnum\faauto\adjustright\rin0\lin0\itap0 \rtlch\fcs1 \af0\afs20\alang1025 \ltrch\fcs0 _x000d__x000a_\i\fs24\lang2057\langfe2057\cgrid\langnp2057\langfenp2057 \sbasedon0 \snext22 \spriority0 \styrsid10310693 AmJustTitle;}{\s25\ql \li0\ri0\sb240\nowidctlpar\wrapdefault\aspalpha\aspnum\faauto\adjustright\rin0\lin0\itap0 \rtlch\fcs1 \af0\afs20\alang1025 _x000d__x000a_\ltrch\fcs0 \b\fs24\lang2057\langfe2057\cgrid\langnp2057\langfenp2057 \sbasedon0 \snext25 \spriority0 \styrsid10310693 NormalBold12b;}}{\*\rsidtbl \rsid24658\rsid223860\rsid735077\rsid1718133\rsid2892074\rsid3565327\rsid4666813\rsid6641733\rsid7823322_x000d__x000a_\rsid9636012\rsid10310693\rsid10377208\rsid11215221\rsid11549030\rsid12154954\rsid14382809\rsid14424199\rsid15204470\rsid15285974\rsid15941733\rsid15950462\rsid16324206\rsid16662270}{\mmathPr\mmathFont34\mbrkBin0\mbrkBinSub0\msmallFrac0\mdispDef1_x000d__x000a_\mlMargin0\mrMargin0\mdefJc1\mwrapIndent1440\mintLim0\mnaryLim1}{\info{\author SMAKALOVA Sona}{\operator SMAKALOVA Sona}{\creatim\yr2024\mo12\dy2\hr14\min48}{\revtim\yr2024\mo12\dy2\hr14\min48}{\version1}{\edmins0}{\nofpages1}{\nofwords54}{\nofchars313}_x000d__x000a_{\nofcharsws36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10693\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5941733 \chftnsep _x000d__x000a_\par }}{\*\ftnsepc \ltrpar \pard\plain \ltrpar\ql \li0\ri0\widctlpar\wrapdefault\aspalpha\aspnum\faauto\adjustright\rin0\lin0\itap0 \rtlch\fcs1 \af0\afs20\alang1025 \ltrch\fcs0 \fs24\lang2057\langfe2057\cgrid\langnp2057\langfenp2057 {\rtlch\fcs1 \af0 _x000d__x000a_\ltrch\fcs0 \insrsid15941733 \chftnsepc _x000d__x000a_\par }}{\*\aftnsep \ltrpar \pard\plain \ltrpar\ql \li0\ri0\widctlpar\wrapdefault\aspalpha\aspnum\faauto\adjustright\rin0\lin0\itap0 \rtlch\fcs1 \af0\afs20\alang1025 \ltrch\fcs0 \fs24\lang2057\langfe2057\cgrid\langnp2057\langfenp2057 {\rtlch\fcs1 \af0 _x000d__x000a_\ltrch\fcs0 \insrsid15941733 \chftnsep _x000d__x000a_\par }}{\*\aftnsepc \ltrpar \pard\plain \ltrpar\ql \li0\ri0\widctlpar\wrapdefault\aspalpha\aspnum\faauto\adjustright\rin0\lin0\itap0 \rtlch\fcs1 \af0\afs20\alang1025 \ltrch\fcs0 \fs24\lang2057\langfe2057\cgrid\langnp2057\langfenp2057 {\rtlch\fcs1 \af0 _x000d__x000a_\ltrch\fcs0 \insrsid15941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310693 \rtlch\fcs1 _x000d__x000a_\af0\afs20\alang1025 \ltrch\fcs0 \b\fs24\lang2057\langfe2057\cgrid\langnp2057\langfenp2057 {\rtlch\fcs1 \af0 \ltrch\fcs0 \cs17\b0\v\fs20\cf9\lang1024\langfe1024\loch\af1\hich\af1\dbch\af31501\noproof\langnp1030\insrsid10310693 {\*\bkmkstart restart}_x000d__x000a_\hich\af1\dbch\af31501\loch\f1 &lt;Amend&gt;}{\rtlch\fcs1 \af0 \ltrch\fcs0 \lang1030\langfe2057\langnp1030\insrsid10310693 [ZAMENDMENT]\tab \tab }{\rtlch\fcs1 \af0 \ltrch\fcs0 _x000d__x000a_\cs17\b0\v\fs20\cf9\lang1024\langfe1024\loch\af1\hich\af1\dbch\af31501\noproof\langnp1030\insrsid10310693 \hich\af1\dbch\af31501\loch\f1 &lt;NumAm&gt;}{\rtlch\fcs1 \af0 \ltrch\fcs0 \lang1030\langfe2057\langnp1030\insrsid10310693 [ZNRAM]}{\rtlch\fcs1 \af0 _x000d__x000a_\ltrch\fcs0 \cs17\b0\v\fs20\cf9\lang1024\langfe1024\loch\af1\hich\af1\dbch\af31501\noproof\langnp1030\insrsid10310693 \hich\af1\dbch\af31501\loch\f1 &lt;/NumAm&gt;}{\rtlch\fcs1 \af0 \ltrch\fcs0 \lang1030\langfe2057\langnp1030\insrsid10310693 _x000d__x000a_\par }\pard\plain \ltrpar\s25\ql \li0\ri0\sb240\keepn\nowidctlpar\wrapdefault\aspalpha\aspnum\faauto\adjustright\rin0\lin0\itap0\pararsid10310693 \rtlch\fcs1 \af0\afs20\alang1025 \ltrch\fcs0 \b\fs24\lang2057\langfe2057\cgrid\langnp2057\langfenp2057 {_x000d__x000a_\rtlch\fcs1 \af0 \ltrch\fcs0 \cs17\b0\v\fs20\cf9\lang1024\langfe1024\loch\af1\hich\af1\dbch\af31501\noproof\langnp1030\insrsid10310693 \hich\af1\dbch\af31501\loch\f1 &lt;DocAmend&gt;}{\rtlch\fcs1 \af0 \ltrch\fcs0 \lang1030\langfe2057\langnp1030\insrsid10310693 _x000d__x000a_[ZPROPOSAL][ZAMACT]}{\rtlch\fcs1 \af0 \ltrch\fcs0 \cs17\b0\v\fs20\cf9\lang1024\langfe1024\loch\af1\hich\af1\dbch\af31501\noproof\langnp1030\insrsid10310693 \hich\af1\dbch\af31501\loch\f1 &lt;/DocAmend&gt;}{\rtlch\fcs1 \af0 \ltrch\fcs0 _x000d__x000a_\lang1030\langfe2057\langnp1030\insrsid10310693 _x000d__x000a_\par }\pard\plain \ltrpar\s18\ql \li0\ri0\nowidctlpar\wrapdefault\aspalpha\aspnum\faauto\adjustright\rin0\lin0\itap0\pararsid10310693 \rtlch\fcs1 \af0\afs20\alang1025 \ltrch\fcs0 \b\fs24\lang2057\langfe2057\cgrid\langnp2057\langfenp2057 {\rtlch\fcs1 \af0 _x000d__x000a_\ltrch\fcs0 \cs17\b0\v\fs20\cf9\lang1024\langfe1024\loch\af1\hich\af1\dbch\af31501\noproof\langnp1030\insrsid10310693 \hich\af1\dbch\af31501\loch\f1 &lt;Article&gt;}{\rtlch\fcs1 \af0 \ltrch\fcs0 \lang1030\langfe2057\langnp1030\insrsid10310693 [ZAMPART]}{_x000d__x000a_\rtlch\fcs1 \af0 \ltrch\fcs0 \cs17\b0\v\fs20\cf9\lang1024\langfe1024\loch\af1\hich\af1\dbch\af31501\noproof\langnp1030\insrsid10310693 \hich\af1\dbch\af31501\loch\f1 &lt;/Article&gt;}{\rtlch\fcs1 \af0 \ltrch\fcs0 \lang1030\langfe2057\langnp1030\insrsid10310693 _x000d__x000a__x000d__x000a_\par }\pard\plain \ltrpar\ql \li0\ri0\keepn\widctlpar\wrapdefault\aspalpha\aspnum\faauto\adjustright\rin0\lin0\itap0\pararsid10310693 \rtlch\fcs1 \af0\afs20\alang1025 \ltrch\fcs0 \fs24\lang2057\langfe2057\cgrid\langnp2057\langfenp2057 {\rtlch\fcs1 \af0 _x000d__x000a_\ltrch\fcs0 \cs17\v\fs20\cf9\lang1024\langfe1024\loch\af1\hich\af1\dbch\af31501\noproof\langnp1030\insrsid10310693 \hich\af1\dbch\af31501\loch\f1 &lt;DocAmend2&gt;&lt;OptDel&gt;}{\rtlch\fcs1 \af0 \ltrch\fcs0 \lang1030\langfe2057\langnp1030\insrsid10310693 [ZNRACT]}{_x000d__x000a_\rtlch\fcs1 \af0 \ltrch\fcs0 \cs17\v\fs20\cf9\lang1024\langfe1024\loch\af1\hich\af1\dbch\af31501\noproof\langnp1030\insrsid10310693 \hich\af1\dbch\af31501\loch\f1 &lt;/OptDel&gt;&lt;/DocAmend2&gt;}{\rtlch\fcs1 \af0 \ltrch\fcs0 _x000d__x000a_\lang1030\langfe2057\langnp1030\insrsid10310693 _x000d__x000a_\par }\pard \ltrpar\ql \li0\ri0\widctlpar\wrapdefault\aspalpha\aspnum\faauto\adjustright\rin0\lin0\itap0\pararsid10310693 {\rtlch\fcs1 \af0 \ltrch\fcs0 \cs17\v\fs20\cf9\lang1024\langfe1024\loch\af1\hich\af1\dbch\af31501\noproof\langnp1036\insrsid10310693 _x000d__x000a_\hich\af1\dbch\af31501\loch\f1 &lt;Article2&gt;&lt;OptDel&gt;}{\rtlch\fcs1 \af0 \ltrch\fcs0 \lang1036\langfe2057\langnp1036\insrsid10310693 [ZACTPART]}{\rtlch\fcs1 \af0 \ltrch\fcs0 _x000d__x000a_\cs17\v\fs20\cf9\lang1024\langfe1024\loch\af1\hich\af1\dbch\af31501\noproof\langnp1036\insrsid10310693 \hich\af1\dbch\af31501\loch\f1 &lt;/OptDel&gt;&lt;/Article2&gt;}{\rtlch\fcs1 \af0 \ltrch\fcs0 \lang1036\langfe2057\langnp1036\insrsid10310693 _x000d__x000a_\par \ltrrow}\trowd \irow0\irowband0\ltrrow\ts11\trqc\trgaph340\trleft-34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412\pard \ltrpar\ql \li0\ri0\keepn\widctlpar\intbl\wrapdefault\aspalpha\aspnum\faauto\adjustright\rin0\lin0\pararsid11085200 {\rtlch\fcs1 _x000d__x000a_\af0 \ltrch\fcs0 \lang1036\langfe2057\langnp1036\insrsid10310693 \cell }\pard \ltrpar\ql \li0\ri0\widctlpar\intbl\wrapdefault\aspalpha\aspnum\faauto\adjustright\rin0\lin0 {\rtlch\fcs1 \af0 \ltrch\fcs0 \insrsid10310693 \trowd \irow0\irowband0\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10310693 [ZLEFT]\cell [ZRIGHT]\cell }\pard\plain \ltrpar\ql \li0\ri0\widctlpar\intbl\wrapdefault\aspalpha\aspnum\faauto\adjustright\rin0\lin0 \rtlch\fcs1 \af0\afs20\alang1025 \ltrch\fcs0 _x000d__x000a_\fs24\lang2057\langfe2057\cgrid\langnp2057\langfenp2057 {\rtlch\fcs1 \af0 \ltrch\fcs0 \insrsid10310693 \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10310693 [ZTEXTL]\cell [ZTEXTR]\cell }\pard\plain \ltrpar\ql \li0\ri0\widctlpar\intbl\wrapdefault\aspalpha\aspnum\faauto\adjustright\rin0\lin0 \rtlch\fcs1 \af0\afs20\alang1025 \ltrch\fcs0 _x000d__x000a_\fs24\lang2057\langfe2057\cgrid\langnp2057\langfenp2057 {\rtlch\fcs1 \af0 \ltrch\fcs0 \insrsid10310693 \trowd \irow2\irowband2\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10310693 \rtlch\fcs1 \af0\afs20\alang1025 \ltrch\fcs0 \i\fs24\lang2057\langfe2057\cgrid\langnp2057\langfenp2057 {_x000d__x000a_\rtlch\fcs1 \af0 \ltrch\fcs0 \cs17\i0\v\fs20\cf9\lang1024\langfe1024\loch\af1\hich\af1\dbch\af31501\noproof\insrsid10310693 \hich\af1\dbch\af31501\loch\f1 &lt;OptDel&gt;}{\rtlch\fcs1 \af0 \ltrch\fcs0 \insrsid10310693 [ZCROSSREF]}{\rtlch\fcs1 \af0 \ltrch\fcs0 _x000d__x000a_\cs17\i0\v\fs20\cf9\lang1024\langfe1024\loch\af1\hich\af1\dbch\af31501\noproof\insrsid10310693 \hich\af1\dbch\af31501\loch\f1 &lt;/OptDel&gt;}{\rtlch\fcs1 \af0 \ltrch\fcs0 \insrsid10310693 _x000d__x000a_\par }\pard\plain \ltrpar\s24\qc \li0\ri0\sb240\sa240\keepn\nowidctlpar\wrapdefault\aspalpha\aspnum\faauto\adjustright\rin0\lin0\itap0\pararsid10310693 \rtlch\fcs1 \af0\afs20\alang1025 \ltrch\fcs0 \i\fs24\lang2057\langfe2057\cgrid\langnp2057\langfenp2057 {_x000d__x000a_\rtlch\fcs1 \af0 \ltrch\fcs0 \cs17\i0\v\fs20\cf9\lang1024\langfe1024\loch\af1\hich\af1\dbch\af31501\noproof\insrsid10310693 \hich\af1\dbch\af31501\loch\f1 &lt;TitreJust&gt;}{\rtlch\fcs1 \af0 \ltrch\fcs0 \insrsid10310693 [ZJUSTIFICATION]}{\rtlch\fcs1 \af0 _x000d__x000a_\ltrch\fcs0 \cs17\i0\v\fs20\cf9\lang1024\langfe1024\loch\af1\hich\af1\dbch\af31501\noproof\insrsid10310693 \hich\af1\dbch\af31501\loch\f1 &lt;/TitreJust&gt;}{\rtlch\fcs1 \af0 \ltrch\fcs0 \insrsid10310693 _x000d__x000a_\par }\pard\plain \ltrpar\s22\ql \li0\ri0\sa240\nowidctlpar\wrapdefault\aspalpha\aspnum\faauto\adjustright\rin0\lin0\itap0\pararsid10310693 \rtlch\fcs1 \af0\afs20\alang1025 \ltrch\fcs0 \i\fs24\lang2057\langfe2057\cgrid\langnp2057\langfenp2057 {\rtlch\fcs1 _x000d__x000a_\af0 \ltrch\fcs0 \cs17\i0\v\fs20\cf9\lang1024\langfe1024\loch\af1\hich\af1\dbch\af31501\noproof\insrsid10310693 \hich\af1\dbch\af31501\loch\f1 &lt;OptDelPrev&gt;}{\rtlch\fcs1 \af0 \ltrch\fcs0 \insrsid10310693 [ZTEXTJUST]}{\rtlch\fcs1 \af0 \ltrch\fcs0 _x000d__x000a_\cs17\i0\v\fs20\cf9\lang1024\langfe1024\loch\af1\hich\af1\dbch\af31501\noproof\insrsid10310693 \hich\af1\dbch\af31501\loch\f1 &lt;/OptDelPrev&gt;}{\rtlch\fcs1 \af0 \ltrch\fcs0 \insrsid10310693 _x000d__x000a_\par }\pard\plain \ltrpar\ql \li0\ri0\widctlpar\wrapdefault\aspalpha\aspnum\faauto\adjustright\rin0\lin0\itap0\pararsid10310693 \rtlch\fcs1 \af0\afs20\alang1025 \ltrch\fcs0 \fs24\lang2057\langfe2057\cgrid\langnp2057\langfenp2057 {\rtlch\fcs1 \af0 \ltrch\fcs0 _x000d__x000a_\cs17\v\fs20\cf9\lang1024\langfe1024\loch\af1\hich\af1\dbch\af31501\noproof\insrsid10310693 \hich\af1\dbch\af31501\loch\f1 &lt;/Amend&gt;}{\rtlch\fcs1 \af0 \ltrch\fcs0 \insrsid1031069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a_x000d__x000a_f2dac04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10"/>
    <w:docVar w:name="TITLECODMNU" w:val=" 1"/>
    <w:docVar w:name="TITLEMNU" w:val=" 1"/>
    <w:docVar w:name="TVTACTPART" w:val="xx"/>
    <w:docVar w:name="TVTAMACTPART" w:val="xx"/>
    <w:docVar w:name="TXTLANGUE" w:val="CS"/>
    <w:docVar w:name="TXTLANGUEMIN" w:val="cs"/>
    <w:docVar w:name="TXTNRC" w:val="0148/2024"/>
    <w:docVar w:name="TXTNRCOM" w:val="(2024)0495"/>
    <w:docVar w:name="TXTNRFIRSTAM" w:val="1"/>
    <w:docVar w:name="TXTNRLASTAM" w:val="1"/>
    <w:docVar w:name="TXTNRPE" w:val="765.331"/>
    <w:docVar w:name="TXTNRPROC" w:val="2024/0274"/>
    <w:docVar w:name="TXTNRREG" w:val="2020/2220"/>
    <w:docVar w:name="TXTPEorAP" w:val="PE"/>
    <w:docVar w:name="TXTROUTE" w:val="AD\1311349CS.docx"/>
    <w:docVar w:name="TXTTITLE" w:val="xx"/>
    <w:docVar w:name="TXTVERSION" w:val="03-00"/>
  </w:docVars>
  <w:rsids>
    <w:rsidRoot w:val="0095015B"/>
    <w:rsid w:val="0003367A"/>
    <w:rsid w:val="000E7EBF"/>
    <w:rsid w:val="00124F60"/>
    <w:rsid w:val="00135121"/>
    <w:rsid w:val="00140BE6"/>
    <w:rsid w:val="001449F5"/>
    <w:rsid w:val="00147F4E"/>
    <w:rsid w:val="0016635E"/>
    <w:rsid w:val="00173215"/>
    <w:rsid w:val="001746D0"/>
    <w:rsid w:val="001924E4"/>
    <w:rsid w:val="001B7393"/>
    <w:rsid w:val="001D2ED9"/>
    <w:rsid w:val="001E42AF"/>
    <w:rsid w:val="001F185D"/>
    <w:rsid w:val="001F21C1"/>
    <w:rsid w:val="002D28A7"/>
    <w:rsid w:val="002E2F2E"/>
    <w:rsid w:val="002E4AA3"/>
    <w:rsid w:val="002E6F98"/>
    <w:rsid w:val="00325BCB"/>
    <w:rsid w:val="00331944"/>
    <w:rsid w:val="00332AD9"/>
    <w:rsid w:val="003402B9"/>
    <w:rsid w:val="00347D2C"/>
    <w:rsid w:val="00362463"/>
    <w:rsid w:val="00367A50"/>
    <w:rsid w:val="0037356F"/>
    <w:rsid w:val="00390EB2"/>
    <w:rsid w:val="00391AC1"/>
    <w:rsid w:val="00396A0E"/>
    <w:rsid w:val="003C2674"/>
    <w:rsid w:val="003D474D"/>
    <w:rsid w:val="003E2402"/>
    <w:rsid w:val="003E29AB"/>
    <w:rsid w:val="003E72E1"/>
    <w:rsid w:val="00450A7E"/>
    <w:rsid w:val="004667D1"/>
    <w:rsid w:val="00485C5C"/>
    <w:rsid w:val="004A57E5"/>
    <w:rsid w:val="004C28FB"/>
    <w:rsid w:val="004C44C0"/>
    <w:rsid w:val="0052544E"/>
    <w:rsid w:val="0053596B"/>
    <w:rsid w:val="0054667E"/>
    <w:rsid w:val="005940C3"/>
    <w:rsid w:val="00594C48"/>
    <w:rsid w:val="005A148B"/>
    <w:rsid w:val="005B2F11"/>
    <w:rsid w:val="005C0BDF"/>
    <w:rsid w:val="005C3654"/>
    <w:rsid w:val="005D60C6"/>
    <w:rsid w:val="005F7DDB"/>
    <w:rsid w:val="006102E7"/>
    <w:rsid w:val="00640C1B"/>
    <w:rsid w:val="00657AFB"/>
    <w:rsid w:val="006D5BF7"/>
    <w:rsid w:val="00757C4C"/>
    <w:rsid w:val="007A5EBE"/>
    <w:rsid w:val="007B5CC7"/>
    <w:rsid w:val="00825069"/>
    <w:rsid w:val="008313E7"/>
    <w:rsid w:val="00852263"/>
    <w:rsid w:val="00854CAC"/>
    <w:rsid w:val="00873BF3"/>
    <w:rsid w:val="00881E02"/>
    <w:rsid w:val="008A32C5"/>
    <w:rsid w:val="008C6203"/>
    <w:rsid w:val="008D61E7"/>
    <w:rsid w:val="008D6D73"/>
    <w:rsid w:val="008E2BE3"/>
    <w:rsid w:val="008F33FC"/>
    <w:rsid w:val="008F7002"/>
    <w:rsid w:val="0095015B"/>
    <w:rsid w:val="00950785"/>
    <w:rsid w:val="009626A8"/>
    <w:rsid w:val="0098196C"/>
    <w:rsid w:val="0099493F"/>
    <w:rsid w:val="009C0E78"/>
    <w:rsid w:val="00A16BEA"/>
    <w:rsid w:val="00A26070"/>
    <w:rsid w:val="00A312B3"/>
    <w:rsid w:val="00A47E2F"/>
    <w:rsid w:val="00A56164"/>
    <w:rsid w:val="00A72C35"/>
    <w:rsid w:val="00AB5733"/>
    <w:rsid w:val="00AC5AAD"/>
    <w:rsid w:val="00AE180F"/>
    <w:rsid w:val="00AE5581"/>
    <w:rsid w:val="00AE79AF"/>
    <w:rsid w:val="00B362F7"/>
    <w:rsid w:val="00B5456B"/>
    <w:rsid w:val="00B74B53"/>
    <w:rsid w:val="00B87BB2"/>
    <w:rsid w:val="00BC26E4"/>
    <w:rsid w:val="00BD1EAA"/>
    <w:rsid w:val="00BF0AFC"/>
    <w:rsid w:val="00BF6786"/>
    <w:rsid w:val="00C52739"/>
    <w:rsid w:val="00C827FF"/>
    <w:rsid w:val="00CC55A7"/>
    <w:rsid w:val="00CD34AC"/>
    <w:rsid w:val="00D006EE"/>
    <w:rsid w:val="00D318E7"/>
    <w:rsid w:val="00D7202C"/>
    <w:rsid w:val="00DA2C80"/>
    <w:rsid w:val="00DC42C0"/>
    <w:rsid w:val="00DC4F54"/>
    <w:rsid w:val="00DE19FF"/>
    <w:rsid w:val="00E81BA6"/>
    <w:rsid w:val="00E856D2"/>
    <w:rsid w:val="00E929A7"/>
    <w:rsid w:val="00F1738C"/>
    <w:rsid w:val="00F61C4F"/>
    <w:rsid w:val="00F8519F"/>
    <w:rsid w:val="00F96423"/>
    <w:rsid w:val="00FC228C"/>
    <w:rsid w:val="00FC42F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9C10E4F"/>
  <w15:chartTrackingRefBased/>
  <w15:docId w15:val="{1EB5CECD-A27E-4543-8366-AFFFB6647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F33FC"/>
    <w:rPr>
      <w:rFonts w:ascii="Arial" w:hAnsi="Arial" w:cs="Arial"/>
      <w:noProof/>
      <w:vanish/>
      <w:color w:val="000080"/>
      <w:sz w:val="20"/>
    </w:rPr>
  </w:style>
  <w:style w:type="paragraph" w:customStyle="1" w:styleId="EPFooter2">
    <w:name w:val="EPFooter2"/>
    <w:basedOn w:val="Normal"/>
    <w:next w:val="Normal"/>
    <w:rsid w:val="008F33F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F33FC"/>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F33FC"/>
    <w:rPr>
      <w:rFonts w:ascii="Arial" w:hAnsi="Arial"/>
      <w:vanish/>
      <w:color w:val="808080"/>
      <w:sz w:val="20"/>
    </w:rPr>
  </w:style>
  <w:style w:type="paragraph" w:customStyle="1" w:styleId="PageHeadingNotTOC">
    <w:name w:val="PageHeadingNotTOC"/>
    <w:basedOn w:val="Normal"/>
    <w:rsid w:val="008F33FC"/>
    <w:pPr>
      <w:keepNext/>
      <w:spacing w:after="480"/>
      <w:jc w:val="center"/>
    </w:pPr>
    <w:rPr>
      <w:rFonts w:ascii="Arial" w:hAnsi="Arial" w:cs="Arial"/>
      <w:b/>
    </w:rPr>
  </w:style>
  <w:style w:type="paragraph" w:customStyle="1" w:styleId="EPName">
    <w:name w:val="EPName"/>
    <w:basedOn w:val="Normal"/>
    <w:rsid w:val="008F33FC"/>
    <w:pPr>
      <w:spacing w:before="80" w:after="80"/>
    </w:pPr>
    <w:rPr>
      <w:rFonts w:ascii="Arial Narrow" w:hAnsi="Arial Narrow" w:cs="Arial"/>
      <w:b/>
      <w:sz w:val="32"/>
      <w:szCs w:val="22"/>
    </w:rPr>
  </w:style>
  <w:style w:type="paragraph" w:customStyle="1" w:styleId="CoverNormal24a">
    <w:name w:val="CoverNormal24a"/>
    <w:basedOn w:val="Normal"/>
    <w:rsid w:val="008F33FC"/>
    <w:pPr>
      <w:spacing w:after="480"/>
      <w:ind w:left="1417"/>
    </w:pPr>
  </w:style>
  <w:style w:type="paragraph" w:customStyle="1" w:styleId="CoverNormal">
    <w:name w:val="CoverNormal"/>
    <w:basedOn w:val="Normal"/>
    <w:rsid w:val="008F33FC"/>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8F33FC"/>
    <w:pPr>
      <w:spacing w:before="1080"/>
      <w:jc w:val="right"/>
    </w:pPr>
    <w:rPr>
      <w:rFonts w:ascii="Arial" w:hAnsi="Arial"/>
      <w:b/>
    </w:rPr>
  </w:style>
  <w:style w:type="paragraph" w:customStyle="1" w:styleId="CoverDocType24a">
    <w:name w:val="CoverDocType24a"/>
    <w:basedOn w:val="Normal"/>
    <w:rsid w:val="008F33FC"/>
    <w:pPr>
      <w:spacing w:after="480"/>
      <w:ind w:left="1417"/>
    </w:pPr>
    <w:rPr>
      <w:rFonts w:ascii="Arial" w:hAnsi="Arial" w:cs="Arial"/>
      <w:b/>
      <w:sz w:val="48"/>
    </w:rPr>
  </w:style>
  <w:style w:type="paragraph" w:customStyle="1" w:styleId="CoverDate">
    <w:name w:val="CoverDate"/>
    <w:basedOn w:val="Normal"/>
    <w:rsid w:val="008F33FC"/>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F33FC"/>
    <w:pPr>
      <w:jc w:val="center"/>
    </w:pPr>
    <w:rPr>
      <w:rFonts w:ascii="Arial" w:hAnsi="Arial" w:cs="Arial"/>
      <w:i/>
      <w:sz w:val="22"/>
      <w:szCs w:val="22"/>
    </w:rPr>
  </w:style>
  <w:style w:type="paragraph" w:customStyle="1" w:styleId="LineTop">
    <w:name w:val="LineTop"/>
    <w:basedOn w:val="Normal"/>
    <w:next w:val="Normal"/>
    <w:rsid w:val="008F33FC"/>
    <w:pPr>
      <w:pBdr>
        <w:top w:val="single" w:sz="4" w:space="1" w:color="auto"/>
      </w:pBdr>
      <w:jc w:val="center"/>
    </w:pPr>
    <w:rPr>
      <w:rFonts w:ascii="Arial" w:hAnsi="Arial"/>
      <w:sz w:val="16"/>
      <w:szCs w:val="16"/>
    </w:rPr>
  </w:style>
  <w:style w:type="paragraph" w:customStyle="1" w:styleId="LineBottom">
    <w:name w:val="LineBottom"/>
    <w:basedOn w:val="Normal"/>
    <w:next w:val="Normal"/>
    <w:rsid w:val="008F33FC"/>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F33FC"/>
    <w:pPr>
      <w:spacing w:after="80"/>
    </w:pPr>
    <w:rPr>
      <w:rFonts w:ascii="Arial" w:hAnsi="Arial" w:cs="Arial"/>
      <w:sz w:val="20"/>
      <w:szCs w:val="22"/>
    </w:rPr>
  </w:style>
  <w:style w:type="paragraph" w:customStyle="1" w:styleId="EPLogo">
    <w:name w:val="EPLogo"/>
    <w:basedOn w:val="Normal"/>
    <w:qFormat/>
    <w:rsid w:val="008F33FC"/>
    <w:pPr>
      <w:jc w:val="right"/>
    </w:pPr>
  </w:style>
  <w:style w:type="paragraph" w:customStyle="1" w:styleId="NormalHanging12a">
    <w:name w:val="NormalHanging12a"/>
    <w:basedOn w:val="Normal"/>
    <w:link w:val="NormalHanging12aChar"/>
    <w:rsid w:val="008F33FC"/>
    <w:pPr>
      <w:spacing w:after="240"/>
      <w:ind w:left="567" w:hanging="567"/>
    </w:pPr>
  </w:style>
  <w:style w:type="paragraph" w:customStyle="1" w:styleId="EPFooter">
    <w:name w:val="EPFooter"/>
    <w:basedOn w:val="Normal"/>
    <w:rsid w:val="008F33F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8F33FC"/>
    <w:pPr>
      <w:tabs>
        <w:tab w:val="right" w:pos="9072"/>
      </w:tabs>
    </w:pPr>
    <w:rPr>
      <w:b/>
    </w:rPr>
  </w:style>
  <w:style w:type="paragraph" w:customStyle="1" w:styleId="NormalBold">
    <w:name w:val="NormalBold"/>
    <w:basedOn w:val="Normal"/>
    <w:rsid w:val="008F33FC"/>
    <w:rPr>
      <w:b/>
    </w:rPr>
  </w:style>
  <w:style w:type="paragraph" w:customStyle="1" w:styleId="AmOrLang">
    <w:name w:val="AmOrLang"/>
    <w:basedOn w:val="Normal"/>
    <w:rsid w:val="008F33FC"/>
    <w:pPr>
      <w:spacing w:before="240" w:after="240"/>
      <w:jc w:val="right"/>
    </w:pPr>
  </w:style>
  <w:style w:type="paragraph" w:customStyle="1" w:styleId="Normal6a">
    <w:name w:val="Normal6a"/>
    <w:basedOn w:val="Normal"/>
    <w:rsid w:val="008F33FC"/>
    <w:pPr>
      <w:spacing w:after="120"/>
    </w:pPr>
  </w:style>
  <w:style w:type="paragraph" w:customStyle="1" w:styleId="AmDateTab">
    <w:name w:val="AmDateTab"/>
    <w:basedOn w:val="Normal"/>
    <w:rsid w:val="008F33FC"/>
    <w:pPr>
      <w:tabs>
        <w:tab w:val="right" w:pos="9072"/>
      </w:tabs>
    </w:pPr>
  </w:style>
  <w:style w:type="paragraph" w:customStyle="1" w:styleId="AmColumnHeading">
    <w:name w:val="AmColumnHeading"/>
    <w:basedOn w:val="Normal"/>
    <w:rsid w:val="008F33FC"/>
    <w:pPr>
      <w:spacing w:after="240"/>
      <w:jc w:val="center"/>
    </w:pPr>
    <w:rPr>
      <w:i/>
    </w:rPr>
  </w:style>
  <w:style w:type="paragraph" w:customStyle="1" w:styleId="AmNumberTabs">
    <w:name w:val="AmNumberTabs"/>
    <w:basedOn w:val="Normal"/>
    <w:rsid w:val="008F3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8F33FC"/>
    <w:pPr>
      <w:spacing w:after="240"/>
    </w:pPr>
    <w:rPr>
      <w:i/>
    </w:rPr>
  </w:style>
  <w:style w:type="paragraph" w:customStyle="1" w:styleId="AmCrossRef">
    <w:name w:val="AmCrossRef"/>
    <w:basedOn w:val="Normal"/>
    <w:rsid w:val="008F33FC"/>
    <w:pPr>
      <w:spacing w:before="240" w:after="240"/>
      <w:jc w:val="center"/>
    </w:pPr>
    <w:rPr>
      <w:i/>
    </w:rPr>
  </w:style>
  <w:style w:type="paragraph" w:customStyle="1" w:styleId="AmJustTitle">
    <w:name w:val="AmJustTitle"/>
    <w:basedOn w:val="Normal"/>
    <w:next w:val="AmJustText"/>
    <w:rsid w:val="008F33FC"/>
    <w:pPr>
      <w:keepNext/>
      <w:spacing w:before="240" w:after="240"/>
      <w:jc w:val="center"/>
    </w:pPr>
    <w:rPr>
      <w:i/>
    </w:rPr>
  </w:style>
  <w:style w:type="paragraph" w:customStyle="1" w:styleId="NormalBold12b">
    <w:name w:val="NormalBold12b"/>
    <w:basedOn w:val="Normal"/>
    <w:rsid w:val="008F33FC"/>
    <w:pPr>
      <w:spacing w:before="240"/>
    </w:pPr>
    <w:rPr>
      <w:b/>
    </w:rPr>
  </w:style>
  <w:style w:type="paragraph" w:customStyle="1" w:styleId="Normal24a">
    <w:name w:val="Normal24a"/>
    <w:basedOn w:val="Normal"/>
    <w:rsid w:val="008F33FC"/>
    <w:pPr>
      <w:spacing w:after="480"/>
    </w:pPr>
  </w:style>
  <w:style w:type="paragraph" w:customStyle="1" w:styleId="NormalBoldCenter">
    <w:name w:val="NormalBoldCenter"/>
    <w:basedOn w:val="Normal"/>
    <w:rsid w:val="008F33FC"/>
    <w:pPr>
      <w:jc w:val="center"/>
    </w:pPr>
    <w:rPr>
      <w:b/>
    </w:rPr>
  </w:style>
  <w:style w:type="paragraph" w:customStyle="1" w:styleId="Footprint12b">
    <w:name w:val="Footprint12b"/>
    <w:basedOn w:val="Normal"/>
    <w:rsid w:val="008F33FC"/>
    <w:pPr>
      <w:spacing w:before="240"/>
    </w:pPr>
    <w:rPr>
      <w:szCs w:val="24"/>
    </w:rPr>
  </w:style>
  <w:style w:type="paragraph" w:customStyle="1" w:styleId="NormalSingle">
    <w:name w:val="NormalSingle"/>
    <w:basedOn w:val="Normal"/>
    <w:qFormat/>
    <w:rsid w:val="008F33FC"/>
    <w:rPr>
      <w:szCs w:val="24"/>
    </w:rPr>
  </w:style>
  <w:style w:type="paragraph" w:styleId="Footer">
    <w:name w:val="footer"/>
    <w:basedOn w:val="Normal"/>
    <w:link w:val="FooterChar"/>
    <w:semiHidden/>
    <w:rsid w:val="00DA2C80"/>
    <w:pPr>
      <w:tabs>
        <w:tab w:val="center" w:pos="4513"/>
        <w:tab w:val="right" w:pos="9026"/>
      </w:tabs>
    </w:pPr>
  </w:style>
  <w:style w:type="character" w:customStyle="1" w:styleId="FooterChar">
    <w:name w:val="Footer Char"/>
    <w:basedOn w:val="DefaultParagraphFont"/>
    <w:link w:val="Footer"/>
    <w:semiHidden/>
    <w:rsid w:val="00DA2C80"/>
    <w:rPr>
      <w:sz w:val="24"/>
    </w:rPr>
  </w:style>
  <w:style w:type="paragraph" w:styleId="FootnoteText">
    <w:name w:val="footnote text"/>
    <w:basedOn w:val="Normal"/>
    <w:link w:val="FootnoteTextChar"/>
    <w:rsid w:val="007A5EBE"/>
    <w:rPr>
      <w:sz w:val="20"/>
    </w:rPr>
  </w:style>
  <w:style w:type="character" w:customStyle="1" w:styleId="FootnoteTextChar">
    <w:name w:val="Footnote Text Char"/>
    <w:basedOn w:val="DefaultParagraphFont"/>
    <w:link w:val="FootnoteText"/>
    <w:rsid w:val="007A5EBE"/>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7A5EBE"/>
    <w:rPr>
      <w:vertAlign w:val="superscript"/>
    </w:rPr>
  </w:style>
  <w:style w:type="character" w:styleId="Hyperlink">
    <w:name w:val="Hyperlink"/>
    <w:basedOn w:val="DefaultParagraphFont"/>
    <w:uiPriority w:val="99"/>
    <w:unhideWhenUsed/>
    <w:rsid w:val="007A5EBE"/>
    <w:rPr>
      <w:color w:val="0563C1" w:themeColor="hyperlink"/>
      <w:u w:val="single"/>
    </w:rPr>
  </w:style>
  <w:style w:type="character" w:customStyle="1" w:styleId="NormalHanging12aChar">
    <w:name w:val="NormalHanging12a Char"/>
    <w:basedOn w:val="DefaultParagraphFont"/>
    <w:link w:val="NormalHanging12a"/>
    <w:rsid w:val="00DC42C0"/>
    <w:rPr>
      <w:sz w:val="24"/>
    </w:rPr>
  </w:style>
  <w:style w:type="paragraph" w:customStyle="1" w:styleId="RollCallSymbols14pt">
    <w:name w:val="RollCallSymbols14pt"/>
    <w:basedOn w:val="Normal"/>
    <w:rsid w:val="005359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3596B"/>
    <w:pPr>
      <w:tabs>
        <w:tab w:val="center" w:pos="284"/>
        <w:tab w:val="left" w:pos="426"/>
      </w:tabs>
    </w:pPr>
    <w:rPr>
      <w:snapToGrid w:val="0"/>
      <w:lang w:eastAsia="en-US"/>
    </w:rPr>
  </w:style>
  <w:style w:type="paragraph" w:customStyle="1" w:styleId="RollCallVotes">
    <w:name w:val="RollCallVotes"/>
    <w:basedOn w:val="Normal"/>
    <w:rsid w:val="0053596B"/>
    <w:pPr>
      <w:spacing w:before="120" w:after="120"/>
      <w:jc w:val="center"/>
    </w:pPr>
    <w:rPr>
      <w:b/>
      <w:bCs/>
      <w:snapToGrid w:val="0"/>
      <w:sz w:val="16"/>
      <w:lang w:eastAsia="en-US"/>
    </w:rPr>
  </w:style>
  <w:style w:type="paragraph" w:customStyle="1" w:styleId="RollCallTable">
    <w:name w:val="RollCallTable"/>
    <w:basedOn w:val="Normal"/>
    <w:rsid w:val="0053596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1699</Words>
  <Characters>10318</Characters>
  <Application>Microsoft Office Word</Application>
  <DocSecurity>0</DocSecurity>
  <Lines>251</Lines>
  <Paragraphs>114</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European Parliament</dc:creator>
  <cp:keywords/>
  <dc:description/>
  <cp:lastModifiedBy>European Parliament</cp:lastModifiedBy>
  <cp:revision>2</cp:revision>
  <cp:lastPrinted>2004-10-28T10:33:00Z</cp:lastPrinted>
  <dcterms:created xsi:type="dcterms:W3CDTF">2024-12-09T09:55:00Z</dcterms:created>
  <dcterms:modified xsi:type="dcterms:W3CDTF">2024-12-09T09:55:00Z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1311349</vt:lpwstr>
  </property>
  <property fmtid="{D5CDD505-2E9C-101B-9397-08002B2CF9AE}" pid="6" name="&lt;Type&gt;">
    <vt:lpwstr>AD</vt:lpwstr>
  </property>
  <property fmtid="{D5CDD505-2E9C-101B-9397-08002B2CF9AE}" pid="7" name="&lt;ModelCod&gt;">
    <vt:lpwstr>\\eiciBRUpr1\pdocep$\DocEP\DOCS\General\PA\PA_Leg\PA_LegEvaluation.dotx(04/11/2024 08:39:01)</vt:lpwstr>
  </property>
  <property fmtid="{D5CDD505-2E9C-101B-9397-08002B2CF9AE}" pid="8" name="&lt;ModelTra&gt;">
    <vt:lpwstr>\\eiciBRUpr1\pdocep$\DocEP\TRANSFIL\EN\PA_LegEvaluation.EN(24/10/2024 08:43:06)</vt:lpwstr>
  </property>
  <property fmtid="{D5CDD505-2E9C-101B-9397-08002B2CF9AE}" pid="9" name="&lt;Model&gt;">
    <vt:lpwstr>PA_LegEvaluation</vt:lpwstr>
  </property>
  <property fmtid="{D5CDD505-2E9C-101B-9397-08002B2CF9AE}" pid="10" name="FooterPath">
    <vt:lpwstr>AD\1311349CS.docx</vt:lpwstr>
  </property>
  <property fmtid="{D5CDD505-2E9C-101B-9397-08002B2CF9AE}" pid="11" name="PE number">
    <vt:lpwstr>765.331</vt:lpwstr>
  </property>
  <property fmtid="{D5CDD505-2E9C-101B-9397-08002B2CF9AE}" pid="12" name="SendToEpades">
    <vt:lpwstr>OK - 2024/11/14 11:20</vt:lpwstr>
  </property>
  <property fmtid="{D5CDD505-2E9C-101B-9397-08002B2CF9AE}" pid="13" name="Bookout">
    <vt:lpwstr>OK - 2024/12/09 10:55</vt:lpwstr>
  </property>
  <property fmtid="{D5CDD505-2E9C-101B-9397-08002B2CF9AE}" pid="14" name="SDLStudio">
    <vt:lpwstr/>
  </property>
</Properties>
</file>