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854CAC" w:rsidRPr="00ED4787" w:rsidTr="00C85D0F">
        <w:trPr>
          <w:trHeight w:hRule="exact" w:val="1418"/>
        </w:trPr>
        <w:tc>
          <w:tcPr>
            <w:tcW w:w="6804" w:type="dxa"/>
            <w:shd w:val="clear" w:color="auto" w:fill="auto"/>
            <w:vAlign w:val="center"/>
          </w:tcPr>
          <w:p w:rsidR="00854CAC" w:rsidRPr="00ED4787" w:rsidRDefault="0095015B" w:rsidP="00C85D0F">
            <w:pPr>
              <w:pStyle w:val="EPName"/>
            </w:pPr>
            <w:bookmarkStart w:id="0" w:name="_GoBack"/>
            <w:bookmarkEnd w:id="0"/>
            <w:r>
              <w:t>Eiropas Parlaments</w:t>
            </w:r>
          </w:p>
          <w:p w:rsidR="00854CAC" w:rsidRPr="00ED4787" w:rsidRDefault="00F61C4F" w:rsidP="00F61C4F">
            <w:pPr>
              <w:pStyle w:val="EPTerm"/>
            </w:pPr>
            <w:r>
              <w:t>2024-2029</w:t>
            </w:r>
          </w:p>
        </w:tc>
        <w:tc>
          <w:tcPr>
            <w:tcW w:w="2268" w:type="dxa"/>
            <w:shd w:val="clear" w:color="auto" w:fill="auto"/>
          </w:tcPr>
          <w:p w:rsidR="00854CAC" w:rsidRPr="00ED4787" w:rsidRDefault="00854CAC" w:rsidP="00C85D0F">
            <w:pPr>
              <w:pStyle w:val="EPLogo"/>
            </w:pPr>
            <w:r w:rsidRPr="00ED4787">
              <w:rPr>
                <w:noProof/>
                <w:lang w:val="en-GB"/>
              </w:rPr>
              <w:drawing>
                <wp:inline distT="0" distB="0" distL="0" distR="0" wp14:anchorId="4B8BE00E" wp14:editId="501F4E6E">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1746D0" w:rsidRPr="00ED4787" w:rsidRDefault="001746D0" w:rsidP="001746D0">
      <w:pPr>
        <w:pStyle w:val="LineTop"/>
      </w:pPr>
    </w:p>
    <w:p w:rsidR="001746D0" w:rsidRPr="00ED4787" w:rsidRDefault="001746D0" w:rsidP="001746D0">
      <w:pPr>
        <w:pStyle w:val="EPBody"/>
      </w:pPr>
      <w:r>
        <w:rPr>
          <w:rStyle w:val="HideTWBExt"/>
        </w:rPr>
        <w:t>&lt;</w:t>
      </w:r>
      <w:r>
        <w:rPr>
          <w:rStyle w:val="HideTWBExt"/>
          <w:i w:val="0"/>
        </w:rPr>
        <w:t>Commission</w:t>
      </w:r>
      <w:r>
        <w:rPr>
          <w:rStyle w:val="HideTWBExt"/>
        </w:rPr>
        <w:t>&gt;</w:t>
      </w:r>
      <w:r>
        <w:rPr>
          <w:rStyle w:val="HideTWBInt"/>
          <w:i w:val="0"/>
        </w:rPr>
        <w:t>{BUDG}</w:t>
      </w:r>
      <w:r>
        <w:t>Budžeta komiteja</w:t>
      </w:r>
      <w:r>
        <w:rPr>
          <w:rStyle w:val="HideTWBExt"/>
        </w:rPr>
        <w:t>&lt;/</w:t>
      </w:r>
      <w:r>
        <w:rPr>
          <w:rStyle w:val="HideTWBExt"/>
          <w:i w:val="0"/>
        </w:rPr>
        <w:t>Commission</w:t>
      </w:r>
      <w:r>
        <w:rPr>
          <w:rStyle w:val="HideTWBExt"/>
        </w:rPr>
        <w:t>&gt;</w:t>
      </w:r>
    </w:p>
    <w:p w:rsidR="001746D0" w:rsidRPr="00ED4787" w:rsidRDefault="001746D0" w:rsidP="001746D0">
      <w:pPr>
        <w:pStyle w:val="LineBottom"/>
      </w:pPr>
    </w:p>
    <w:p w:rsidR="002E2F2E" w:rsidRPr="00ED4787" w:rsidRDefault="002E2F2E">
      <w:pPr>
        <w:pStyle w:val="CoverReference"/>
      </w:pPr>
      <w:r>
        <w:rPr>
          <w:rStyle w:val="HideTWBExt"/>
          <w:b w:val="0"/>
        </w:rPr>
        <w:t>&lt;RefProc&gt;</w:t>
      </w:r>
      <w:r>
        <w:t>2024/0274</w:t>
      </w:r>
      <w:r>
        <w:rPr>
          <w:rStyle w:val="HideTWBExt"/>
          <w:b w:val="0"/>
        </w:rPr>
        <w:t>&lt;/RefProc&gt;&lt;RefTypeProc&gt;</w:t>
      </w:r>
      <w:r>
        <w:t>(COD)</w:t>
      </w:r>
      <w:r>
        <w:rPr>
          <w:rStyle w:val="HideTWBExt"/>
          <w:b w:val="0"/>
        </w:rPr>
        <w:t>&lt;/RefTypeProc&gt;</w:t>
      </w:r>
    </w:p>
    <w:p w:rsidR="002E2F2E" w:rsidRPr="00ED4787" w:rsidRDefault="002E2F2E">
      <w:pPr>
        <w:pStyle w:val="CoverDate"/>
      </w:pPr>
      <w:r>
        <w:rPr>
          <w:rStyle w:val="HideTWBExt"/>
        </w:rPr>
        <w:t>&lt;Date&gt;</w:t>
      </w:r>
      <w:r>
        <w:rPr>
          <w:rStyle w:val="HideTWBInt"/>
        </w:rPr>
        <w:t>{22/11/2024}</w:t>
      </w:r>
      <w:r>
        <w:t>22.11.2024</w:t>
      </w:r>
      <w:r>
        <w:rPr>
          <w:rStyle w:val="HideTWBExt"/>
        </w:rPr>
        <w:t>&lt;/Date&gt;</w:t>
      </w:r>
    </w:p>
    <w:p w:rsidR="002E2F2E" w:rsidRPr="00ED4787" w:rsidRDefault="002E2F2E">
      <w:pPr>
        <w:pStyle w:val="CoverDocType24a"/>
      </w:pPr>
      <w:r>
        <w:rPr>
          <w:rStyle w:val="HideTWBExt"/>
          <w:b w:val="0"/>
        </w:rPr>
        <w:t>&lt;TitreType&gt;</w:t>
      </w:r>
      <w:r>
        <w:t>BUDŽETA IZVĒRTĒJUMS</w:t>
      </w:r>
      <w:r>
        <w:rPr>
          <w:rStyle w:val="HideTWBExt"/>
          <w:b w:val="0"/>
        </w:rPr>
        <w:t>&lt;/TitreType&gt;</w:t>
      </w:r>
    </w:p>
    <w:p w:rsidR="002E2F2E" w:rsidRPr="00ED4787" w:rsidRDefault="002E2F2E">
      <w:pPr>
        <w:pStyle w:val="CoverNormal24a"/>
      </w:pPr>
      <w:r>
        <w:rPr>
          <w:rStyle w:val="HideTWBExt"/>
        </w:rPr>
        <w:t>&lt;CommissionResp&gt;</w:t>
      </w:r>
      <w:r>
        <w:t>Sniegusi Budžeta komiteja</w:t>
      </w:r>
      <w:r>
        <w:rPr>
          <w:rStyle w:val="HideTWBExt"/>
        </w:rPr>
        <w:t>&lt;/CommissionResp&gt;</w:t>
      </w:r>
    </w:p>
    <w:p w:rsidR="002E2F2E" w:rsidRPr="00ED4787" w:rsidRDefault="002E2F2E">
      <w:pPr>
        <w:pStyle w:val="CoverNormal24a"/>
      </w:pPr>
      <w:r>
        <w:rPr>
          <w:rStyle w:val="HideTWBExt"/>
        </w:rPr>
        <w:t>&lt;CommissionInt&gt;</w:t>
      </w:r>
      <w:r>
        <w:t>Lauksaimniecības un lauku attīstības komitejai</w:t>
      </w:r>
      <w:r>
        <w:rPr>
          <w:rStyle w:val="HideTWBExt"/>
        </w:rPr>
        <w:t>&lt;/CommissionInt&gt;</w:t>
      </w:r>
    </w:p>
    <w:p w:rsidR="002E2F2E" w:rsidRPr="00ED4787" w:rsidRDefault="002E2F2E">
      <w:pPr>
        <w:pStyle w:val="CoverNormal"/>
      </w:pPr>
      <w:r>
        <w:rPr>
          <w:rStyle w:val="HideTWBExt"/>
        </w:rPr>
        <w:t>&lt;Titre&gt;</w:t>
      </w:r>
      <w:r>
        <w:t>par priekšlikumu Eiropas Parlamenta un Padomes regulai, ar ko attiecībā uz īpašiem Eiropas Lauksaimniecības fonda lauku attīstībai (ELFLA) pasākumiem, kuru mērķis ir sniegt papildu palīdzību dabas katastrofu skartajām dalībvalstīm, groza Regulu (ES) 2020/2220</w:t>
      </w:r>
      <w:r>
        <w:rPr>
          <w:rStyle w:val="HideTWBExt"/>
        </w:rPr>
        <w:t>&lt;/Titre&gt;</w:t>
      </w:r>
    </w:p>
    <w:p w:rsidR="002E2F2E" w:rsidRPr="00ED4787" w:rsidRDefault="002E2F2E">
      <w:pPr>
        <w:pStyle w:val="CoverNormal24a"/>
      </w:pPr>
      <w:r>
        <w:rPr>
          <w:rStyle w:val="HideTWBExt"/>
        </w:rPr>
        <w:t>&lt;DocRef&gt;</w:t>
      </w:r>
      <w:r>
        <w:t>(COM(2024)0495 – C10</w:t>
      </w:r>
      <w:r>
        <w:noBreakHyphen/>
        <w:t>0148/2024 – 2024/0274(COD))</w:t>
      </w:r>
      <w:r>
        <w:rPr>
          <w:rStyle w:val="HideTWBExt"/>
        </w:rPr>
        <w:t>&lt;/DocRef&gt;</w:t>
      </w:r>
    </w:p>
    <w:p w:rsidR="00A72C35" w:rsidRPr="00ED4787" w:rsidRDefault="0095015B" w:rsidP="00FC42F1">
      <w:pPr>
        <w:pStyle w:val="CoverNormal24a"/>
      </w:pPr>
      <w:r>
        <w:t xml:space="preserve">Budžeta izvērtējuma sagatavotājs: </w:t>
      </w:r>
      <w:r>
        <w:rPr>
          <w:rStyle w:val="HideTWBExt"/>
          <w:i/>
        </w:rPr>
        <w:t>&lt;Depute&gt;</w:t>
      </w:r>
      <w:r>
        <w:rPr>
          <w:i/>
        </w:rPr>
        <w:t>Hélder Sousa Silva</w:t>
      </w:r>
      <w:r>
        <w:rPr>
          <w:rStyle w:val="HideTWBExt"/>
        </w:rPr>
        <w:t>&lt;/Depute&gt;</w:t>
      </w:r>
    </w:p>
    <w:p w:rsidR="002E2F2E" w:rsidRPr="00ED4787" w:rsidRDefault="002E2F2E" w:rsidP="00E856D2">
      <w:pPr>
        <w:widowControl/>
        <w:tabs>
          <w:tab w:val="center" w:pos="4677"/>
        </w:tabs>
      </w:pPr>
      <w:r>
        <w:br w:type="page"/>
      </w:r>
      <w:r>
        <w:lastRenderedPageBreak/>
        <w:t>PA_LegEvaluation</w:t>
      </w:r>
    </w:p>
    <w:p w:rsidR="002E2F2E" w:rsidRPr="00ED4787" w:rsidRDefault="002E2F2E" w:rsidP="00757C4C">
      <w:pPr>
        <w:pStyle w:val="PageHeadingNotTOC"/>
      </w:pPr>
      <w:r>
        <w:br w:type="page"/>
      </w:r>
      <w:r>
        <w:lastRenderedPageBreak/>
        <w:t>BUDŽETA IZVĒRTĒJUMS</w:t>
      </w:r>
    </w:p>
    <w:p w:rsidR="00757C4C" w:rsidRPr="00ED4787" w:rsidRDefault="00D817C7" w:rsidP="00757C4C">
      <w:pPr>
        <w:pStyle w:val="NormalBold"/>
      </w:pPr>
      <w:r>
        <w:t>Lauksaimniecības un lauku attīstības komitejai par priekšlikumu Eiropas Parlamenta un Padomes regulai, ar ko attiecībā uz īpašiem Eiropas Lauksaimniecības fonda lauku attīstībai (ELFLA) pasākumiem, kuru mērķis ir sniegt papildu palīdzību dabas katastrofu skartajām dalībvalstīm, groza Regulu (ES) 2020/2220</w:t>
      </w:r>
    </w:p>
    <w:p w:rsidR="00D817C7" w:rsidRPr="00ED4787" w:rsidRDefault="0095015B" w:rsidP="00D817C7">
      <w:pPr>
        <w:pStyle w:val="Normal12a"/>
        <w:rPr>
          <w:b/>
          <w:bCs/>
        </w:rPr>
      </w:pPr>
      <w:r>
        <w:rPr>
          <w:b/>
        </w:rPr>
        <w:t>(COM(2024)0495 – C10</w:t>
      </w:r>
      <w:r>
        <w:rPr>
          <w:b/>
        </w:rPr>
        <w:noBreakHyphen/>
        <w:t>0148/2024 – 2024/0274(COD))</w:t>
      </w:r>
    </w:p>
    <w:p w:rsidR="00D817C7" w:rsidRPr="00ED4787" w:rsidRDefault="00D817C7" w:rsidP="00D817C7">
      <w:pPr>
        <w:pStyle w:val="Normal12a"/>
      </w:pPr>
      <w:r>
        <w:rPr>
          <w:rStyle w:val="HideTWBExt"/>
        </w:rPr>
        <w:t>&lt;Intro&gt;</w:t>
      </w:r>
      <w:r>
        <w:t>Budžeta komiteja saskaņā ar Reglamenta 58. pantu ir veikusi priekšlikuma izvērtējumu un ir secinājusi turpmāk minēto:</w:t>
      </w:r>
      <w:r>
        <w:rPr>
          <w:rStyle w:val="HideTWBExt"/>
        </w:rPr>
        <w:t>&lt;/Intro&gt;</w:t>
      </w:r>
    </w:p>
    <w:p w:rsidR="00D817C7" w:rsidRPr="00ED4787" w:rsidRDefault="00D817C7" w:rsidP="00D817C7">
      <w:pPr>
        <w:pStyle w:val="NormalHanging12a"/>
        <w:jc w:val="both"/>
      </w:pPr>
      <w:r>
        <w:t>–</w:t>
      </w:r>
      <w:r>
        <w:tab/>
        <w:t xml:space="preserve">ņemot vērā Eiropas Parlamenta un Padomes 2024. gada 23. septembra Regulu (ES, </w:t>
      </w:r>
      <w:r>
        <w:rPr>
          <w:i/>
        </w:rPr>
        <w:t>Euratom</w:t>
      </w:r>
      <w:r>
        <w:t>) 2024/2509 par finanšu noteikumiem, ko piemēro Savienības vispārējam budžetam</w:t>
      </w:r>
      <w:r w:rsidRPr="00ED4787">
        <w:rPr>
          <w:sz w:val="20"/>
          <w:vertAlign w:val="superscript"/>
        </w:rPr>
        <w:footnoteReference w:id="1"/>
      </w:r>
      <w:r>
        <w:t>,</w:t>
      </w:r>
    </w:p>
    <w:p w:rsidR="00D817C7" w:rsidRPr="00ED4787" w:rsidRDefault="00D817C7" w:rsidP="00D817C7">
      <w:pPr>
        <w:pStyle w:val="NormalHanging12a"/>
        <w:jc w:val="both"/>
      </w:pPr>
      <w:r>
        <w:t>–</w:t>
      </w:r>
      <w:r>
        <w:tab/>
        <w:t xml:space="preserve">ņemot vērā Padomes 2020. gada 17. decembra Regulu (ES, </w:t>
      </w:r>
      <w:r>
        <w:rPr>
          <w:i/>
        </w:rPr>
        <w:t>Euratom</w:t>
      </w:r>
      <w:r>
        <w:t>) 2020/2093, ar ko nosaka daudzgadu finanšu shēmu 2021.–2027. gadam</w:t>
      </w:r>
      <w:r w:rsidRPr="00ED4787">
        <w:rPr>
          <w:sz w:val="20"/>
          <w:vertAlign w:val="superscript"/>
        </w:rPr>
        <w:footnoteReference w:id="2"/>
      </w:r>
      <w:r>
        <w:t>,</w:t>
      </w:r>
    </w:p>
    <w:p w:rsidR="00D817C7" w:rsidRPr="00ED4787" w:rsidRDefault="00D817C7" w:rsidP="00D817C7">
      <w:pPr>
        <w:pStyle w:val="NormalHanging12a"/>
        <w:jc w:val="both"/>
      </w:pPr>
      <w:r>
        <w:t>–</w:t>
      </w:r>
      <w:r>
        <w:tab/>
        <w:t>ņemot vērā 2020. gada 16. decembra Iestāžu nolīgumu starp Eiropas Parlamentu, Eiropas Savienības Padomi un Eiropas Komisiju par budžeta disciplīnu, sadarbību budžeta jautājumos un pareizu finanšu pārvaldību, kā arī par jauniem pašu resursiem, tostarp par ceļvedi jaunu pašu resursu ieviešanai</w:t>
      </w:r>
      <w:r w:rsidRPr="00ED4787">
        <w:rPr>
          <w:sz w:val="20"/>
          <w:vertAlign w:val="superscript"/>
        </w:rPr>
        <w:footnoteReference w:id="3"/>
      </w:r>
      <w:r>
        <w:t>,</w:t>
      </w:r>
    </w:p>
    <w:p w:rsidR="00D817C7" w:rsidRPr="00ED4787" w:rsidRDefault="00D817C7" w:rsidP="00D817C7">
      <w:pPr>
        <w:pStyle w:val="NormalHanging12a"/>
        <w:jc w:val="both"/>
      </w:pPr>
      <w:r>
        <w:t>A.</w:t>
      </w:r>
      <w:r>
        <w:tab/>
        <w:t>tā kā nesenās dabas katastrofas ES, kas saisītas ar klimata pārmaiņām, ir postoši ietekmējušas lauku iedzīvotājus, kas dzīvo un strādā skartajos reģionos, un ir iznīcinājušas ievērojamu daudzumu lauksaimniecības un mežsaimniecības ražošanas potenciāla, kā rezultātā lauksaimniekiem, meža tiesiskajiem valdītājiem un lauku uzņēmumiem šajos reģionos ir būtiski samazinājušies ienākumi, un šo katastrofu rezultātā ir palielinājusies Eiropas pārtikas sistēmas neaizsargātība, kas apdraud ES nodrošinātību ar pārtiku un tradicionālo produktu pieejamību;</w:t>
      </w:r>
    </w:p>
    <w:p w:rsidR="00D817C7" w:rsidRPr="00ED4787" w:rsidRDefault="00D817C7" w:rsidP="00D817C7">
      <w:pPr>
        <w:pStyle w:val="NormalHanging12a"/>
        <w:jc w:val="both"/>
      </w:pPr>
      <w:r>
        <w:t xml:space="preserve">B. </w:t>
      </w:r>
      <w:r>
        <w:tab/>
        <w:t>tā kā budžeta izvērtējumā tiek pārbaudīta iniciatīvas vai tiesību akta priekšlikuma tūlītējā ietekme, kā arī netiešāka ietekme no budžeta viedokļa;</w:t>
      </w:r>
    </w:p>
    <w:p w:rsidR="00D817C7" w:rsidRPr="00ED4787" w:rsidRDefault="00D817C7" w:rsidP="00D817C7">
      <w:pPr>
        <w:pStyle w:val="NormalHanging12a"/>
        <w:jc w:val="both"/>
      </w:pPr>
      <w:r>
        <w:t>C.</w:t>
      </w:r>
      <w:r>
        <w:tab/>
        <w:t xml:space="preserve">tā kā saskaņā ar Reglamentu budžeta izvērtējumā pārbauda, vai juridiski saistoša akta priekšlikums paredz pietiekamus finanšu resursus un cilvēkresursus, un izvērtē ierosinātā finansējuma iespējamo ietekmi uz citām Savienības programmām vai rīcībpolitikām; tā kā tajā arī jānosaka, vai priekšlikums ir saderīgs ar daudzgadu finanšu shēmu, pašu resursu sistēmu un attiecīgo iestāžu nolīgumu, kā arī ar budžeta principiem, kas noteikti Eiropas Parlamenta un Padomes Regulā (ES, </w:t>
      </w:r>
      <w:r>
        <w:rPr>
          <w:i/>
          <w:iCs/>
        </w:rPr>
        <w:t>Euratom</w:t>
      </w:r>
      <w:r>
        <w:t>) 2024/2509</w:t>
      </w:r>
      <w:r w:rsidRPr="00ED4787">
        <w:rPr>
          <w:rStyle w:val="FootnoteReference"/>
          <w:sz w:val="20"/>
        </w:rPr>
        <w:footnoteReference w:id="4"/>
      </w:r>
      <w:r>
        <w:t>;</w:t>
      </w:r>
    </w:p>
    <w:p w:rsidR="00D817C7" w:rsidRPr="00ED4787" w:rsidRDefault="00D817C7" w:rsidP="00D817C7">
      <w:pPr>
        <w:pStyle w:val="NormalHanging12a"/>
        <w:jc w:val="both"/>
      </w:pPr>
      <w:r>
        <w:t>D.</w:t>
      </w:r>
      <w:r>
        <w:tab/>
        <w:t>tā kā Parlaments cenšas saskaņot savas likumdošanas un budžeta pilnvaras, lai stiprinātu savu institucionālo lomu lēmumu pieņemšanas procesā;</w:t>
      </w:r>
    </w:p>
    <w:p w:rsidR="00D817C7" w:rsidRPr="00ED4787" w:rsidRDefault="00D817C7" w:rsidP="00D817C7">
      <w:pPr>
        <w:pStyle w:val="NormalHanging12a"/>
        <w:jc w:val="both"/>
      </w:pPr>
      <w:r>
        <w:lastRenderedPageBreak/>
        <w:t>E.</w:t>
      </w:r>
      <w:r>
        <w:tab/>
        <w:t>tā kā Parlaments ir sekmējis un atbalstījis iepriekšējās iniciatīvas, kuru mērķis bija uzlabot ES budžeta spēju reaģēt krīzes situācijās un šajā nolūkā mainīt atbilstības kritērijus, ņemot vērā piešķīrumu pārprofilēšanu dalītas pārvaldības fondos; tā kā tika sagaidīts, ka šādām izmaiņām nebūtu jāietekmē Kohēzijas fonda un kopējās lauksaimniecības politikas finansējuma iepriekšējie piešķīrumi valstīm;</w:t>
      </w:r>
    </w:p>
    <w:p w:rsidR="00D817C7" w:rsidRPr="00ED4787" w:rsidRDefault="00D817C7" w:rsidP="00D817C7">
      <w:pPr>
        <w:pStyle w:val="NormalHanging12a"/>
        <w:jc w:val="both"/>
      </w:pPr>
      <w:r>
        <w:t>F.</w:t>
      </w:r>
      <w:r>
        <w:tab/>
        <w:t>tā kā daļa no ELFLA darbības programmu saistībām, tostarp tām, ko finansē no piešķirtajiem ieņēmumiem saskaņā ar</w:t>
      </w:r>
      <w:r>
        <w:rPr>
          <w:i/>
          <w:iCs/>
        </w:rPr>
        <w:t xml:space="preserve"> NextGenerationEU</w:t>
      </w:r>
      <w:r>
        <w:t xml:space="preserve"> aizņēmumu shēmu, ir sadalītas 10 dalībvalstīs un no 2024. gada oktobra pakļautas saistību atcelšanas riskam saskaņā ar N+3 noteikumu piemērojamajā ELFLA tiesiskajā regulējumā 2014.–2022. gadam;</w:t>
      </w:r>
    </w:p>
    <w:p w:rsidR="00D817C7" w:rsidRPr="00ED4787" w:rsidRDefault="00D817C7" w:rsidP="00D817C7">
      <w:pPr>
        <w:pStyle w:val="NormalHanging12a"/>
        <w:jc w:val="both"/>
      </w:pPr>
      <w:r>
        <w:t>G.</w:t>
      </w:r>
      <w:r>
        <w:tab/>
        <w:t>tā kā tiesību akta grozījums ir paredzēts, lai nodrošinātu lielāku budžeta elastību finansējuma pārdalīšanā jauniem pasākumiem saskaņā ar ELFLA nolūkā sniegt papildu mērķtiecīgu palīdzību un elastību to dabas katastrofu skartajām dalībvalstīm, kas notika laikā no 2024. gada 1. janvāra;</w:t>
      </w:r>
    </w:p>
    <w:p w:rsidR="00D817C7" w:rsidRPr="00ED4787" w:rsidRDefault="00D817C7" w:rsidP="00D817C7">
      <w:pPr>
        <w:pStyle w:val="NormalHanging12a"/>
        <w:jc w:val="both"/>
      </w:pPr>
      <w:r>
        <w:t>H.</w:t>
      </w:r>
      <w:r>
        <w:tab/>
        <w:t>tā kā grozījumu regulas galvenais mērķis ir palīdzēt lauksaimniekiem, meža tiesiskajiem valdītājiem un noteiktiem mazajiem un vidējiem uzņēmumiem (MVU), kurus visvairāk skārušas dabas katastrofas, un šajā nolūkā nodrošināt mērķtiecīgu likviditāti, tostarp izmaksājot vienreizējus maksājumus līdz pat 42 000 EUR apmērā vienam saņēmējam,</w:t>
      </w:r>
    </w:p>
    <w:p w:rsidR="00D817C7" w:rsidRPr="00ED4787" w:rsidRDefault="00D817C7" w:rsidP="00D817C7">
      <w:pPr>
        <w:pStyle w:val="NormalHanging12a"/>
        <w:jc w:val="both"/>
      </w:pPr>
      <w:r>
        <w:t>1.</w:t>
      </w:r>
      <w:r>
        <w:tab/>
        <w:t>norāda, ka saskaņā ar Komisijas apgalvojumiem priekšlikums kopumā ir budžeta ziņā neitrāls attiecībā uz saistībām; tomēr konstatē vairāku veidu ietekmi uz budžetu;</w:t>
      </w:r>
    </w:p>
    <w:p w:rsidR="00D817C7" w:rsidRPr="00ED4787" w:rsidRDefault="00D817C7" w:rsidP="00D817C7">
      <w:pPr>
        <w:pStyle w:val="NormalHanging12a"/>
        <w:jc w:val="both"/>
      </w:pPr>
      <w:r>
        <w:t>2.</w:t>
      </w:r>
      <w:r>
        <w:tab/>
        <w:t xml:space="preserve">atgādina, ka Parlaments vairākkārt ir aicinājis piešķirt apjomīgākus līdzekļus ES Solidaritātes fondam, ņemot vērā dabas katastrofu pieaugošo skaitu un intensitāti un nepieciešamību paātrināt procedūras, lai atbalsts ātrāk sasniegtu dalībvalstis un reģionus, kurus skārušas dabas katastrofas; </w:t>
      </w:r>
      <w:r>
        <w:rPr>
          <w:color w:val="000000"/>
        </w:rPr>
        <w:t>uzsver, ka ir jāīsteno administratīva vienkāršošana, lai varētu ātri pārdalīt līdzekļus un izmantot vienreizējos maksājumus lauksaimniekiem, tradicionālo produktu ražotājiem, mežsaimniekiem un MVU;</w:t>
      </w:r>
    </w:p>
    <w:p w:rsidR="00D817C7" w:rsidRPr="00ED4787" w:rsidRDefault="00D817C7" w:rsidP="00D817C7">
      <w:pPr>
        <w:pStyle w:val="NormalHanging12a"/>
        <w:jc w:val="both"/>
      </w:pPr>
      <w:r>
        <w:t>3.</w:t>
      </w:r>
      <w:r>
        <w:tab/>
        <w:t>atgādina, ka Parlaments ir vairākkārt kritizējis iepriekš plānotā finansējuma kā ārkārtas reaģēšanas instrumenta izmantošanu, un uzskata, ka šāda pieeja var apdraudēt tā ilgtermiņa politikas un investīciju mērķus, kuri paredzēti ELFLA tiesiskajā regulējumā; tomēr atzīst, ka šis priekšlikums piedāvā pragmatisku risinājumu nepietiekamai budžeta elastībai un spējai reaģēt uz krīzēm ES budžetā, lai ātri reaģētu uz krīžu skarto iedzīvotāju vajadzībām;</w:t>
      </w:r>
    </w:p>
    <w:p w:rsidR="00D817C7" w:rsidRPr="00ED4787" w:rsidRDefault="00D817C7" w:rsidP="00D817C7">
      <w:pPr>
        <w:pStyle w:val="NormalHanging12a"/>
        <w:jc w:val="both"/>
      </w:pPr>
      <w:r>
        <w:t>4.</w:t>
      </w:r>
      <w:r>
        <w:tab/>
        <w:t>atzīst, ka, ņemot vērā lauku attīstībai paredzēto līdzekļu lēnu apguvi dažās dalībvalstīs un to, ka vairākās pozīcijās izpildes līmenis ir mazāks par 75 %, elastības pasākumi var būt pamatoti;</w:t>
      </w:r>
    </w:p>
    <w:p w:rsidR="00D817C7" w:rsidRPr="00ED4787" w:rsidRDefault="00D817C7" w:rsidP="00D817C7">
      <w:pPr>
        <w:pStyle w:val="NormalHanging12a"/>
        <w:jc w:val="both"/>
      </w:pPr>
      <w:r>
        <w:t>5.</w:t>
      </w:r>
      <w:r>
        <w:tab/>
        <w:t xml:space="preserve">pauž nožēlu par to, ka nav tiesību akta finanšu pārskata un grozījumu vēstulē Nr. 1/2025 nav nevienas atsauces, kura būtu salīdzināma ar tiesību akta priekšlikumam </w:t>
      </w:r>
      <w:r>
        <w:rPr>
          <w:i/>
          <w:iCs/>
        </w:rPr>
        <w:t>RESTORE</w:t>
      </w:r>
      <w:r w:rsidRPr="00ED4787">
        <w:rPr>
          <w:rStyle w:val="FootnoteReference"/>
        </w:rPr>
        <w:footnoteReference w:id="5"/>
      </w:r>
      <w:r>
        <w:t xml:space="preserve"> pievienoto finašu pārskatu un kurā būtu precizēta un kvantitatīvi noteikta ietekme uz </w:t>
      </w:r>
      <w:r>
        <w:lastRenderedPageBreak/>
        <w:t>maksājumu profilu; atgādina, ka tas tieši ietekmē dalībvalstu iemaksas ES budžetā; prasa Komisijai sniegt šādu informāciju;</w:t>
      </w:r>
    </w:p>
    <w:p w:rsidR="00D817C7" w:rsidRPr="00ED4787" w:rsidRDefault="00D817C7" w:rsidP="00D817C7">
      <w:pPr>
        <w:pStyle w:val="NormalHanging12a"/>
        <w:jc w:val="both"/>
        <w:rPr>
          <w:color w:val="000000"/>
        </w:rPr>
      </w:pPr>
      <w:r>
        <w:t>6.</w:t>
      </w:r>
      <w:r>
        <w:tab/>
        <w:t>atzinīgi vērtē taustāmo finansiālo atbalstu lauksaimniekiem, tostarp mazajiem lauksaimniekiem ar zemiem ienākumiem un tradicionālo produktu ražotājiem, mežsaimniekiem un MVU, kas cietuši no dabas katastrofām, piemēram, smagiem plūdiem, sausuma periodiem un dabas ugunsgrēkiem, kā konkrētu Eiropas solidaritātes izpausmi; atzīst, ka ir ātri jānovērš ienākumu zaudējumi, kas neseno ar klimatu saistīto postošo katastrofu dēļ radušies ES lauksaimniekiem, mežsaimniekiem un MVU, kuri nodarbojas ar lauksaimniecības un mežsaimniecības produktu pārstrādi, tirdzniecību vai izstrādi; atzinīgi vērtē to, ka tā finansiālā atbalsta piešķiršanā, ko sniedz saskaņā ar šo priekšlikumu, par prioritāti būtu jānosaka atbalsta pasākumi, kuru pamatā ir princips “atjaunot uzlabojot”, un tādējādi jāpaver ceļš visaptverošākam un profilaktiskākam ES atbalstam, lai veicinātu sagatavotību un noturību ES lauku apvidos;</w:t>
      </w:r>
      <w:r>
        <w:rPr>
          <w:color w:val="000000"/>
        </w:rPr>
        <w:t xml:space="preserve"> uzsver, ka ir vajadzīgs papildu finansiāls atbalsts pašnodrošinājuma lauksaimniecībai, lauksaimniekiem ar zemiem ienākumiem un tradicionālo produktu ražotājiem; uzsver, ka saskaņā ar ES 2025. gada budžetā paredzēto ES civilās aizsardzības mehānismu varētu darīt pieejamu papildu finansējumu lauku apvidiem;</w:t>
      </w:r>
    </w:p>
    <w:p w:rsidR="00D817C7" w:rsidRPr="00ED4787" w:rsidRDefault="00D817C7" w:rsidP="00D817C7">
      <w:pPr>
        <w:pStyle w:val="NormalHanging12a"/>
        <w:jc w:val="both"/>
      </w:pPr>
      <w:r>
        <w:t>7.</w:t>
      </w:r>
      <w:r>
        <w:tab/>
        <w:t>atgādina par vispārējo konstatējumu, ka attiecībā uz lielāko daļu ES dotāciju finansējuma veidu ES līdzfinansējuma likme 100 % apmērā, lai gan tā nodrošina efektīvus rezultātus, rada jautājumus par to, kādēļ politikas un programmu īstenošanai pieejamās kopējās summas ir mazākas, kā arī par valstu, reģionālo un vietējo atbildību; tomēr pauž pārliecību, ka katastrofu seku likvidēšanas un steidzama likviditātes atbalsta nepieciešamības gadījumos tas ir ļoti pamatoti; uzsver, ka ir jāapspriežas ar skartajiem lauksaimniekiem, mežsaimniekiem, MVU un ieinteresētajām personām nolūkā sniegt reālistisku un mērķtiecīgu atbalstu;</w:t>
      </w:r>
    </w:p>
    <w:p w:rsidR="00D817C7" w:rsidRPr="00ED4787" w:rsidRDefault="00D817C7" w:rsidP="00D817C7">
      <w:pPr>
        <w:pStyle w:val="NormalHanging12a"/>
        <w:jc w:val="both"/>
      </w:pPr>
      <w:r>
        <w:t>8.</w:t>
      </w:r>
      <w:r>
        <w:tab/>
        <w:t>atgādina, ka, patvaļīgi pazeminot noteikumu stingrības slieksni, varētu pazemināties to izdevumu līmenis, ar ko var finansēt attiecīgos ES budžeta horizontālo prioritāšu integrēšanas mērķrādītājus, un vienlaikus atzīst, ka ir vajadzīgas šādas elastības iespējas, lai pārdalītu finansējumu minētajam jaunajam pasākumam un spēkā esošajam apakšpasākumam lauksaimnieciskās ražošanas potenciāla atjaunošanai, jo īpaši tādā veidā, kas sekmē noturību;</w:t>
      </w:r>
    </w:p>
    <w:p w:rsidR="00D817C7" w:rsidRPr="00ED4787" w:rsidRDefault="00D817C7" w:rsidP="00D817C7">
      <w:pPr>
        <w:pStyle w:val="NormalHanging12a"/>
        <w:jc w:val="both"/>
      </w:pPr>
      <w:r>
        <w:t>9.</w:t>
      </w:r>
      <w:r>
        <w:tab/>
        <w:t>konstatē, ka pasākuma sekundārais mērķis ir novērst 2021. un 2022. gadā uzņemto, bet vēl neizpildīto budžeta saistību tūlītēju atcelšanu; uzskata, ka tas ietekmē pieejamo līdzekļu līmeni kaskādes mehānisma 3.a posmā (ESAI īpašā instrumenta saistību atcelšanas nodalījumu), kas ir nostiprināts nesen pārskatītajā daudzgadu finanšu shēmas regulā;</w:t>
      </w:r>
    </w:p>
    <w:p w:rsidR="00D817C7" w:rsidRPr="00ED4787" w:rsidRDefault="00D817C7" w:rsidP="00D817C7">
      <w:pPr>
        <w:pStyle w:val="NormalHanging12a"/>
        <w:jc w:val="both"/>
      </w:pPr>
      <w:r>
        <w:t>10.</w:t>
      </w:r>
      <w:r>
        <w:tab/>
        <w:t>uzskata, ka ilgākā termiņā attīstītākai un patiesākai budžeta elastībai būtu jāļauj salīdzināmos gadījumos veikt budžeta pārvietojumus, lai izmantotu līdzekļus no īpaši paredzēta izdevumu instrumenta saskaņā ar budžeta pozīciju, juridisko pamatu un pārvaldības sistēmu, kas ir labāk piemēroti ārkārtas reaģēšanai un likviditātes atbalstam;</w:t>
      </w:r>
    </w:p>
    <w:p w:rsidR="00D817C7" w:rsidRPr="00ED4787" w:rsidRDefault="00D817C7" w:rsidP="00D817C7">
      <w:pPr>
        <w:pStyle w:val="NormalHanging12a"/>
        <w:jc w:val="both"/>
        <w:rPr>
          <w:szCs w:val="24"/>
        </w:rPr>
      </w:pPr>
      <w:r>
        <w:t>11.</w:t>
      </w:r>
      <w:r>
        <w:tab/>
        <w:t xml:space="preserve">secina, ka priekšlikums Eiropas Parlamenta un Padomes regulai, ar ko attiecībā uz īpašiem Eiropas Lauksaimniecības fonda lauku attīstībai (ELFLA) pasākumiem, kuru mērķis ir sniegt papildu palīdzību dabas katastrofu skartajām dalībvalstīm, groza Regulu </w:t>
      </w:r>
      <w:r>
        <w:lastRenderedPageBreak/>
        <w:t>(ES) 2020/2220, ir saderīgs ar Reglamenta 58. panta 3. punktā minētajiem elementiem.</w:t>
      </w:r>
    </w:p>
    <w:p w:rsidR="007A5EBE" w:rsidRPr="00ED4787" w:rsidRDefault="007A5EBE" w:rsidP="00D817C7">
      <w:pPr>
        <w:pStyle w:val="Normal12a"/>
      </w:pPr>
    </w:p>
    <w:p w:rsidR="00D817C7" w:rsidRPr="00ED4787" w:rsidRDefault="00654B6C" w:rsidP="00D817C7">
      <w:r>
        <w:br w:type="page"/>
      </w:r>
      <w:bookmarkStart w:id="1" w:name="ProcPageAD"/>
    </w:p>
    <w:p w:rsidR="00D817C7" w:rsidRPr="00ED4787" w:rsidRDefault="00D817C7" w:rsidP="00D817C7">
      <w:pPr>
        <w:pStyle w:val="PageHeadingNotTOC"/>
      </w:pPr>
      <w:r>
        <w:lastRenderedPageBreak/>
        <w:t>PIELIKUMS. VIENĪBAS VAI PERSONAS, NO KURĀM BUDŽETA IZVĒRTĒJUMA SAGATAVOTĀJS IR SAŅĒMIS PIENESUMU</w:t>
      </w:r>
    </w:p>
    <w:p w:rsidR="00D817C7" w:rsidRPr="00ED4787" w:rsidRDefault="00D817C7" w:rsidP="00D817C7">
      <w:pPr>
        <w:pStyle w:val="Normal24a"/>
      </w:pPr>
      <w:r>
        <w:rPr>
          <w:rStyle w:val="HideTWBExt"/>
        </w:rPr>
        <w:t>&lt;FootprintIntro&gt;</w:t>
      </w:r>
      <w:r>
        <w:t>Budžeta izvērtējuma sagatavotājs, pilnībā uzņemoties visu atbildību, apliecina, ka viņš nav saņēmis nekādu pienesumu no vienībām vai personām, kas būtu jānorāda šajā pielikumā saskaņā ar Reglamenta I pielikuma 8. pantu.</w:t>
      </w:r>
      <w:r>
        <w:rPr>
          <w:rStyle w:val="HideTWBExt"/>
        </w:rPr>
        <w:t>&lt;/FootprintIntro&gt;</w:t>
      </w:r>
    </w:p>
    <w:p w:rsidR="00D817C7" w:rsidRPr="00ED4787" w:rsidRDefault="00D817C7">
      <w:pPr>
        <w:widowControl/>
      </w:pPr>
      <w:r>
        <w:br w:type="page"/>
      </w:r>
    </w:p>
    <w:p w:rsidR="00654B6C" w:rsidRPr="00ED4787" w:rsidRDefault="00654B6C" w:rsidP="00D817C7">
      <w:pPr>
        <w:pStyle w:val="PageHeadingNotTOC"/>
      </w:pPr>
      <w:r>
        <w:lastRenderedPageBreak/>
        <w:t>BUDŽETA IZVĒRTĒJUMU SNIEDZOŠĀS KOMITEJAS PROCEDŪRA</w:t>
      </w:r>
    </w:p>
    <w:tbl>
      <w:tblPr>
        <w:tblW w:w="0" w:type="auto"/>
        <w:tblInd w:w="-10" w:type="dxa"/>
        <w:tblLayout w:type="fixed"/>
        <w:tblCellMar>
          <w:left w:w="0" w:type="dxa"/>
          <w:right w:w="0" w:type="dxa"/>
        </w:tblCellMar>
        <w:tblLook w:val="0000" w:firstRow="0" w:lastRow="0" w:firstColumn="0" w:lastColumn="0" w:noHBand="0" w:noVBand="0"/>
      </w:tblPr>
      <w:tblGrid>
        <w:gridCol w:w="3685"/>
        <w:gridCol w:w="1530"/>
        <w:gridCol w:w="1474"/>
        <w:gridCol w:w="1474"/>
        <w:gridCol w:w="1474"/>
      </w:tblGrid>
      <w:tr w:rsidR="00654B6C" w:rsidRPr="00ED4787">
        <w:tc>
          <w:tcPr>
            <w:tcW w:w="3685" w:type="dxa"/>
            <w:tcBorders>
              <w:top w:val="single" w:sz="8" w:space="0" w:color="000000"/>
              <w:left w:val="single" w:sz="8" w:space="0" w:color="000000"/>
              <w:bottom w:val="single" w:sz="8" w:space="0" w:color="000000"/>
              <w:right w:val="single" w:sz="8" w:space="0" w:color="000000"/>
            </w:tcBorders>
            <w:tcMar>
              <w:top w:w="79" w:type="dxa"/>
              <w:left w:w="79" w:type="dxa"/>
              <w:bottom w:w="79" w:type="dxa"/>
              <w:right w:w="79" w:type="dxa"/>
            </w:tcMar>
          </w:tcPr>
          <w:p w:rsidR="00654B6C" w:rsidRPr="00ED4787" w:rsidRDefault="00654B6C">
            <w:pPr>
              <w:autoSpaceDE w:val="0"/>
              <w:autoSpaceDN w:val="0"/>
              <w:adjustRightInd w:val="0"/>
              <w:rPr>
                <w:b/>
                <w:bCs/>
                <w:color w:val="000000"/>
                <w:sz w:val="20"/>
              </w:rPr>
            </w:pPr>
            <w:r>
              <w:rPr>
                <w:b/>
                <w:color w:val="000000"/>
                <w:sz w:val="20"/>
              </w:rPr>
              <w:t>Virsraksts</w:t>
            </w:r>
          </w:p>
        </w:tc>
        <w:tc>
          <w:tcPr>
            <w:tcW w:w="5952" w:type="dxa"/>
            <w:gridSpan w:val="4"/>
            <w:tcBorders>
              <w:top w:val="single" w:sz="8" w:space="0" w:color="000000"/>
              <w:left w:val="nil"/>
              <w:bottom w:val="single" w:sz="8" w:space="0" w:color="000000"/>
              <w:right w:val="single" w:sz="8" w:space="0" w:color="000000"/>
            </w:tcBorders>
            <w:tcMar>
              <w:top w:w="79" w:type="dxa"/>
              <w:left w:w="79" w:type="dxa"/>
              <w:bottom w:w="79" w:type="dxa"/>
              <w:right w:w="79" w:type="dxa"/>
            </w:tcMar>
          </w:tcPr>
          <w:p w:rsidR="00654B6C" w:rsidRPr="00ED4787" w:rsidRDefault="00654B6C">
            <w:pPr>
              <w:autoSpaceDE w:val="0"/>
              <w:autoSpaceDN w:val="0"/>
              <w:adjustRightInd w:val="0"/>
              <w:rPr>
                <w:color w:val="000000"/>
                <w:sz w:val="20"/>
              </w:rPr>
            </w:pPr>
            <w:r>
              <w:rPr>
                <w:color w:val="000000"/>
                <w:sz w:val="20"/>
              </w:rPr>
              <w:t>Īpaši Eiropas Lauksaimniecības fonda lauku attīstībai (ELFLA) pasākumi, kuru mērķis ir sniegt papildu palīdzību dabas katastrofu skartajām dalībvalstīm</w:t>
            </w:r>
          </w:p>
        </w:tc>
      </w:tr>
      <w:tr w:rsidR="00654B6C" w:rsidRPr="00ED4787">
        <w:tc>
          <w:tcPr>
            <w:tcW w:w="3685" w:type="dxa"/>
            <w:tcBorders>
              <w:top w:val="nil"/>
              <w:left w:val="single" w:sz="8" w:space="0" w:color="000000"/>
              <w:bottom w:val="single" w:sz="8" w:space="0" w:color="000000"/>
              <w:right w:val="single" w:sz="8" w:space="0" w:color="000000"/>
            </w:tcBorders>
            <w:tcMar>
              <w:top w:w="79" w:type="dxa"/>
              <w:left w:w="79" w:type="dxa"/>
              <w:bottom w:w="79" w:type="dxa"/>
              <w:right w:w="79" w:type="dxa"/>
            </w:tcMar>
          </w:tcPr>
          <w:p w:rsidR="00654B6C" w:rsidRPr="00ED4787" w:rsidRDefault="00654B6C">
            <w:pPr>
              <w:autoSpaceDE w:val="0"/>
              <w:autoSpaceDN w:val="0"/>
              <w:adjustRightInd w:val="0"/>
              <w:rPr>
                <w:b/>
                <w:bCs/>
                <w:color w:val="000000"/>
                <w:sz w:val="20"/>
              </w:rPr>
            </w:pPr>
            <w:r>
              <w:rPr>
                <w:b/>
                <w:color w:val="000000"/>
                <w:sz w:val="20"/>
              </w:rPr>
              <w:t>Atsauces</w:t>
            </w:r>
          </w:p>
        </w:tc>
        <w:tc>
          <w:tcPr>
            <w:tcW w:w="5952" w:type="dxa"/>
            <w:gridSpan w:val="4"/>
            <w:tcBorders>
              <w:top w:val="nil"/>
              <w:left w:val="nil"/>
              <w:bottom w:val="single" w:sz="8" w:space="0" w:color="000000"/>
              <w:right w:val="single" w:sz="8" w:space="0" w:color="000000"/>
            </w:tcBorders>
            <w:tcMar>
              <w:top w:w="79" w:type="dxa"/>
              <w:left w:w="79" w:type="dxa"/>
              <w:bottom w:w="79" w:type="dxa"/>
              <w:right w:w="79" w:type="dxa"/>
            </w:tcMar>
          </w:tcPr>
          <w:p w:rsidR="00654B6C" w:rsidRPr="00ED4787" w:rsidRDefault="00654B6C">
            <w:pPr>
              <w:autoSpaceDE w:val="0"/>
              <w:autoSpaceDN w:val="0"/>
              <w:adjustRightInd w:val="0"/>
              <w:rPr>
                <w:color w:val="000000"/>
                <w:sz w:val="20"/>
              </w:rPr>
            </w:pPr>
            <w:r>
              <w:rPr>
                <w:color w:val="000000"/>
                <w:sz w:val="20"/>
              </w:rPr>
              <w:t>COM(2024)0495 – C10-0148/2024 – 2024/0274(COD)</w:t>
            </w:r>
          </w:p>
        </w:tc>
      </w:tr>
      <w:tr w:rsidR="00654B6C" w:rsidRPr="00ED4787">
        <w:tc>
          <w:tcPr>
            <w:tcW w:w="3685" w:type="dxa"/>
            <w:tcBorders>
              <w:top w:val="single" w:sz="8" w:space="0" w:color="000000"/>
              <w:left w:val="single" w:sz="8" w:space="0" w:color="000000"/>
              <w:bottom w:val="single" w:sz="8" w:space="0" w:color="000000"/>
              <w:right w:val="single" w:sz="8" w:space="0" w:color="000000"/>
            </w:tcBorders>
            <w:tcMar>
              <w:top w:w="79" w:type="dxa"/>
              <w:left w:w="79" w:type="dxa"/>
              <w:bottom w:w="79" w:type="dxa"/>
              <w:right w:w="79" w:type="dxa"/>
            </w:tcMar>
          </w:tcPr>
          <w:p w:rsidR="00654B6C" w:rsidRPr="00ED4787" w:rsidRDefault="00654B6C">
            <w:pPr>
              <w:autoSpaceDE w:val="0"/>
              <w:autoSpaceDN w:val="0"/>
              <w:adjustRightInd w:val="0"/>
              <w:rPr>
                <w:b/>
                <w:bCs/>
                <w:color w:val="000000"/>
                <w:sz w:val="20"/>
              </w:rPr>
            </w:pPr>
            <w:r>
              <w:rPr>
                <w:b/>
                <w:color w:val="000000"/>
                <w:sz w:val="20"/>
              </w:rPr>
              <w:t>Atbildīgā komiteja</w:t>
            </w:r>
          </w:p>
        </w:tc>
        <w:tc>
          <w:tcPr>
            <w:tcW w:w="1530" w:type="dxa"/>
            <w:tcBorders>
              <w:top w:val="single" w:sz="8" w:space="0" w:color="000000"/>
              <w:left w:val="nil"/>
              <w:bottom w:val="single" w:sz="8" w:space="0" w:color="000000"/>
              <w:right w:val="nil"/>
            </w:tcBorders>
            <w:tcMar>
              <w:top w:w="79" w:type="dxa"/>
              <w:left w:w="79" w:type="dxa"/>
              <w:bottom w:w="79" w:type="dxa"/>
              <w:right w:w="79" w:type="dxa"/>
            </w:tcMar>
          </w:tcPr>
          <w:p w:rsidR="00654B6C" w:rsidRPr="00ED4787" w:rsidRDefault="00654B6C">
            <w:pPr>
              <w:autoSpaceDE w:val="0"/>
              <w:autoSpaceDN w:val="0"/>
              <w:adjustRightInd w:val="0"/>
              <w:rPr>
                <w:color w:val="000000"/>
                <w:sz w:val="20"/>
              </w:rPr>
            </w:pPr>
            <w:r>
              <w:rPr>
                <w:color w:val="000000"/>
                <w:sz w:val="20"/>
              </w:rPr>
              <w:t>AGRI</w:t>
            </w:r>
          </w:p>
        </w:tc>
        <w:tc>
          <w:tcPr>
            <w:tcW w:w="1474" w:type="dxa"/>
            <w:tcBorders>
              <w:top w:val="single" w:sz="8" w:space="0" w:color="000000"/>
              <w:left w:val="nil"/>
              <w:bottom w:val="single" w:sz="8" w:space="0" w:color="000000"/>
              <w:right w:val="nil"/>
            </w:tcBorders>
            <w:tcMar>
              <w:top w:w="79" w:type="dxa"/>
              <w:left w:w="79" w:type="dxa"/>
              <w:bottom w:w="79" w:type="dxa"/>
              <w:right w:w="79" w:type="dxa"/>
            </w:tcMar>
          </w:tcPr>
          <w:p w:rsidR="00654B6C" w:rsidRPr="00ED4787" w:rsidRDefault="00654B6C">
            <w:pPr>
              <w:autoSpaceDE w:val="0"/>
              <w:autoSpaceDN w:val="0"/>
              <w:adjustRightInd w:val="0"/>
              <w:rPr>
                <w:rFonts w:ascii="sans-serif" w:hAnsi="sans-serif" w:cs="sans-serif"/>
                <w:color w:val="000000"/>
                <w:szCs w:val="24"/>
              </w:rPr>
            </w:pPr>
          </w:p>
        </w:tc>
        <w:tc>
          <w:tcPr>
            <w:tcW w:w="1474" w:type="dxa"/>
            <w:tcBorders>
              <w:top w:val="single" w:sz="8" w:space="0" w:color="000000"/>
              <w:left w:val="nil"/>
              <w:bottom w:val="single" w:sz="8" w:space="0" w:color="000000"/>
              <w:right w:val="nil"/>
            </w:tcBorders>
            <w:tcMar>
              <w:top w:w="79" w:type="dxa"/>
              <w:left w:w="79" w:type="dxa"/>
              <w:bottom w:w="79" w:type="dxa"/>
              <w:right w:w="79" w:type="dxa"/>
            </w:tcMar>
          </w:tcPr>
          <w:p w:rsidR="00654B6C" w:rsidRPr="00ED4787" w:rsidRDefault="00654B6C">
            <w:pPr>
              <w:autoSpaceDE w:val="0"/>
              <w:autoSpaceDN w:val="0"/>
              <w:adjustRightInd w:val="0"/>
              <w:rPr>
                <w:rFonts w:ascii="sans-serif" w:hAnsi="sans-serif" w:cs="sans-serif"/>
                <w:color w:val="000000"/>
                <w:szCs w:val="24"/>
              </w:rPr>
            </w:pPr>
          </w:p>
        </w:tc>
        <w:tc>
          <w:tcPr>
            <w:tcW w:w="1474" w:type="dxa"/>
            <w:tcBorders>
              <w:top w:val="single" w:sz="8" w:space="0" w:color="000000"/>
              <w:left w:val="nil"/>
              <w:bottom w:val="single" w:sz="8" w:space="0" w:color="000000"/>
              <w:right w:val="single" w:sz="8" w:space="0" w:color="000000"/>
            </w:tcBorders>
            <w:tcMar>
              <w:top w:w="79" w:type="dxa"/>
              <w:left w:w="79" w:type="dxa"/>
              <w:bottom w:w="79" w:type="dxa"/>
              <w:right w:w="79" w:type="dxa"/>
            </w:tcMar>
          </w:tcPr>
          <w:p w:rsidR="00654B6C" w:rsidRPr="00ED4787" w:rsidRDefault="00654B6C">
            <w:pPr>
              <w:autoSpaceDE w:val="0"/>
              <w:autoSpaceDN w:val="0"/>
              <w:adjustRightInd w:val="0"/>
              <w:rPr>
                <w:rFonts w:ascii="sans-serif" w:hAnsi="sans-serif" w:cs="sans-serif"/>
                <w:color w:val="000000"/>
                <w:szCs w:val="24"/>
              </w:rPr>
            </w:pPr>
          </w:p>
        </w:tc>
      </w:tr>
      <w:tr w:rsidR="00654B6C" w:rsidRPr="00ED4787">
        <w:tc>
          <w:tcPr>
            <w:tcW w:w="3685" w:type="dxa"/>
            <w:tcBorders>
              <w:top w:val="single" w:sz="8" w:space="0" w:color="000000"/>
              <w:left w:val="single" w:sz="8" w:space="0" w:color="000000"/>
              <w:bottom w:val="single" w:sz="8" w:space="0" w:color="000000"/>
              <w:right w:val="single" w:sz="8" w:space="0" w:color="000000"/>
            </w:tcBorders>
            <w:tcMar>
              <w:top w:w="79" w:type="dxa"/>
              <w:left w:w="79" w:type="dxa"/>
              <w:bottom w:w="79" w:type="dxa"/>
              <w:right w:w="79" w:type="dxa"/>
            </w:tcMar>
          </w:tcPr>
          <w:p w:rsidR="00654B6C" w:rsidRPr="00ED4787" w:rsidRDefault="00654B6C">
            <w:pPr>
              <w:autoSpaceDE w:val="0"/>
              <w:autoSpaceDN w:val="0"/>
              <w:adjustRightInd w:val="0"/>
              <w:rPr>
                <w:color w:val="000000"/>
                <w:sz w:val="20"/>
              </w:rPr>
            </w:pPr>
            <w:r>
              <w:rPr>
                <w:color w:val="000000"/>
                <w:sz w:val="20"/>
              </w:rPr>
              <w:t>       Datums, kad paziņoja plenārsēdē</w:t>
            </w:r>
          </w:p>
        </w:tc>
        <w:tc>
          <w:tcPr>
            <w:tcW w:w="5952" w:type="dxa"/>
            <w:gridSpan w:val="4"/>
            <w:tcBorders>
              <w:top w:val="single" w:sz="8" w:space="0" w:color="000000"/>
              <w:left w:val="nil"/>
              <w:bottom w:val="single" w:sz="8" w:space="0" w:color="000000"/>
              <w:right w:val="single" w:sz="8" w:space="0" w:color="000000"/>
            </w:tcBorders>
            <w:tcMar>
              <w:top w:w="79" w:type="dxa"/>
              <w:left w:w="79" w:type="dxa"/>
              <w:bottom w:w="79" w:type="dxa"/>
              <w:right w:w="79" w:type="dxa"/>
            </w:tcMar>
          </w:tcPr>
          <w:p w:rsidR="00654B6C" w:rsidRPr="00ED4787" w:rsidRDefault="00654B6C">
            <w:pPr>
              <w:autoSpaceDE w:val="0"/>
              <w:autoSpaceDN w:val="0"/>
              <w:adjustRightInd w:val="0"/>
              <w:rPr>
                <w:color w:val="000000"/>
                <w:sz w:val="20"/>
              </w:rPr>
            </w:pPr>
            <w:r>
              <w:rPr>
                <w:color w:val="000000"/>
                <w:sz w:val="20"/>
              </w:rPr>
              <w:t>BUDG</w:t>
            </w:r>
          </w:p>
          <w:p w:rsidR="00654B6C" w:rsidRPr="00ED4787" w:rsidRDefault="00654B6C">
            <w:pPr>
              <w:autoSpaceDE w:val="0"/>
              <w:autoSpaceDN w:val="0"/>
              <w:adjustRightInd w:val="0"/>
              <w:rPr>
                <w:color w:val="000000"/>
                <w:sz w:val="20"/>
              </w:rPr>
            </w:pPr>
            <w:r>
              <w:rPr>
                <w:color w:val="000000"/>
                <w:sz w:val="20"/>
              </w:rPr>
              <w:t>13.11.2024</w:t>
            </w:r>
          </w:p>
        </w:tc>
      </w:tr>
      <w:tr w:rsidR="00654B6C" w:rsidRPr="00ED4787">
        <w:tc>
          <w:tcPr>
            <w:tcW w:w="3685" w:type="dxa"/>
            <w:tcBorders>
              <w:top w:val="single" w:sz="8" w:space="0" w:color="000000"/>
              <w:left w:val="single" w:sz="8" w:space="0" w:color="000000"/>
              <w:bottom w:val="single" w:sz="8" w:space="0" w:color="000000"/>
              <w:right w:val="single" w:sz="8" w:space="0" w:color="000000"/>
            </w:tcBorders>
            <w:tcMar>
              <w:top w:w="79" w:type="dxa"/>
              <w:left w:w="79" w:type="dxa"/>
              <w:bottom w:w="79" w:type="dxa"/>
              <w:right w:w="79" w:type="dxa"/>
            </w:tcMar>
          </w:tcPr>
          <w:p w:rsidR="00654B6C" w:rsidRPr="00ED4787" w:rsidRDefault="00654B6C">
            <w:pPr>
              <w:autoSpaceDE w:val="0"/>
              <w:autoSpaceDN w:val="0"/>
              <w:adjustRightInd w:val="0"/>
              <w:rPr>
                <w:b/>
                <w:bCs/>
                <w:color w:val="000000"/>
                <w:sz w:val="20"/>
              </w:rPr>
            </w:pPr>
            <w:r>
              <w:rPr>
                <w:b/>
                <w:color w:val="000000"/>
                <w:sz w:val="20"/>
              </w:rPr>
              <w:t>Budžeta izvērtējuma sagatavotājs(-a)</w:t>
            </w:r>
          </w:p>
          <w:p w:rsidR="00654B6C" w:rsidRPr="00ED4787" w:rsidRDefault="00654B6C">
            <w:pPr>
              <w:autoSpaceDE w:val="0"/>
              <w:autoSpaceDN w:val="0"/>
              <w:adjustRightInd w:val="0"/>
              <w:rPr>
                <w:color w:val="000000"/>
                <w:sz w:val="20"/>
              </w:rPr>
            </w:pPr>
            <w:r>
              <w:rPr>
                <w:color w:val="000000"/>
                <w:sz w:val="20"/>
              </w:rPr>
              <w:t>       Iecelšanas datums</w:t>
            </w:r>
          </w:p>
        </w:tc>
        <w:tc>
          <w:tcPr>
            <w:tcW w:w="5952" w:type="dxa"/>
            <w:gridSpan w:val="4"/>
            <w:tcBorders>
              <w:top w:val="single" w:sz="8" w:space="0" w:color="000000"/>
              <w:left w:val="nil"/>
              <w:bottom w:val="single" w:sz="8" w:space="0" w:color="000000"/>
              <w:right w:val="single" w:sz="8" w:space="0" w:color="000000"/>
            </w:tcBorders>
            <w:tcMar>
              <w:top w:w="79" w:type="dxa"/>
              <w:left w:w="79" w:type="dxa"/>
              <w:bottom w:w="79" w:type="dxa"/>
              <w:right w:w="79" w:type="dxa"/>
            </w:tcMar>
          </w:tcPr>
          <w:p w:rsidR="00654B6C" w:rsidRPr="00ED4787" w:rsidRDefault="00654B6C">
            <w:pPr>
              <w:autoSpaceDE w:val="0"/>
              <w:autoSpaceDN w:val="0"/>
              <w:adjustRightInd w:val="0"/>
              <w:rPr>
                <w:color w:val="000000"/>
                <w:sz w:val="20"/>
              </w:rPr>
            </w:pPr>
            <w:r>
              <w:rPr>
                <w:color w:val="000000"/>
                <w:sz w:val="20"/>
              </w:rPr>
              <w:t>Hélder Sousa Silva</w:t>
            </w:r>
          </w:p>
          <w:p w:rsidR="00654B6C" w:rsidRPr="00ED4787" w:rsidRDefault="00654B6C">
            <w:pPr>
              <w:autoSpaceDE w:val="0"/>
              <w:autoSpaceDN w:val="0"/>
              <w:adjustRightInd w:val="0"/>
              <w:rPr>
                <w:color w:val="000000"/>
                <w:sz w:val="20"/>
              </w:rPr>
            </w:pPr>
            <w:r>
              <w:rPr>
                <w:color w:val="000000"/>
                <w:sz w:val="20"/>
              </w:rPr>
              <w:t>13.11.2024</w:t>
            </w:r>
          </w:p>
        </w:tc>
      </w:tr>
      <w:tr w:rsidR="00654B6C" w:rsidRPr="00ED4787">
        <w:tc>
          <w:tcPr>
            <w:tcW w:w="3685" w:type="dxa"/>
            <w:tcBorders>
              <w:top w:val="single" w:sz="8" w:space="0" w:color="000000"/>
              <w:left w:val="single" w:sz="8" w:space="0" w:color="000000"/>
              <w:bottom w:val="single" w:sz="8" w:space="0" w:color="000000"/>
              <w:right w:val="single" w:sz="8" w:space="0" w:color="000000"/>
            </w:tcBorders>
            <w:tcMar>
              <w:top w:w="79" w:type="dxa"/>
              <w:left w:w="79" w:type="dxa"/>
              <w:bottom w:w="79" w:type="dxa"/>
              <w:right w:w="79" w:type="dxa"/>
            </w:tcMar>
          </w:tcPr>
          <w:p w:rsidR="00654B6C" w:rsidRPr="00ED4787" w:rsidRDefault="00654B6C">
            <w:pPr>
              <w:autoSpaceDE w:val="0"/>
              <w:autoSpaceDN w:val="0"/>
              <w:adjustRightInd w:val="0"/>
              <w:rPr>
                <w:b/>
                <w:bCs/>
                <w:color w:val="000000"/>
                <w:sz w:val="20"/>
              </w:rPr>
            </w:pPr>
            <w:r>
              <w:rPr>
                <w:b/>
                <w:color w:val="000000"/>
                <w:sz w:val="20"/>
              </w:rPr>
              <w:t>Izskatīšana komitejā</w:t>
            </w:r>
          </w:p>
        </w:tc>
        <w:tc>
          <w:tcPr>
            <w:tcW w:w="1530" w:type="dxa"/>
            <w:tcBorders>
              <w:top w:val="single" w:sz="8" w:space="0" w:color="000000"/>
              <w:left w:val="nil"/>
              <w:bottom w:val="single" w:sz="8" w:space="0" w:color="000000"/>
              <w:right w:val="nil"/>
            </w:tcBorders>
            <w:tcMar>
              <w:top w:w="79" w:type="dxa"/>
              <w:left w:w="79" w:type="dxa"/>
              <w:bottom w:w="79" w:type="dxa"/>
              <w:right w:w="79" w:type="dxa"/>
            </w:tcMar>
          </w:tcPr>
          <w:p w:rsidR="00654B6C" w:rsidRPr="00ED4787" w:rsidRDefault="00654B6C">
            <w:pPr>
              <w:autoSpaceDE w:val="0"/>
              <w:autoSpaceDN w:val="0"/>
              <w:adjustRightInd w:val="0"/>
              <w:rPr>
                <w:color w:val="000000"/>
                <w:sz w:val="20"/>
              </w:rPr>
            </w:pPr>
            <w:r>
              <w:rPr>
                <w:color w:val="000000"/>
                <w:sz w:val="20"/>
              </w:rPr>
              <w:t>21.11.2024</w:t>
            </w:r>
          </w:p>
        </w:tc>
        <w:tc>
          <w:tcPr>
            <w:tcW w:w="1474" w:type="dxa"/>
            <w:tcBorders>
              <w:top w:val="single" w:sz="8" w:space="0" w:color="000000"/>
              <w:left w:val="nil"/>
              <w:bottom w:val="single" w:sz="8" w:space="0" w:color="000000"/>
              <w:right w:val="nil"/>
            </w:tcBorders>
            <w:tcMar>
              <w:top w:w="79" w:type="dxa"/>
              <w:left w:w="79" w:type="dxa"/>
              <w:bottom w:w="79" w:type="dxa"/>
              <w:right w:w="79" w:type="dxa"/>
            </w:tcMar>
          </w:tcPr>
          <w:p w:rsidR="00654B6C" w:rsidRPr="00ED4787" w:rsidRDefault="00654B6C">
            <w:pPr>
              <w:autoSpaceDE w:val="0"/>
              <w:autoSpaceDN w:val="0"/>
              <w:adjustRightInd w:val="0"/>
              <w:rPr>
                <w:rFonts w:ascii="sans-serif" w:hAnsi="sans-serif" w:cs="sans-serif"/>
                <w:color w:val="000000"/>
                <w:szCs w:val="24"/>
              </w:rPr>
            </w:pPr>
          </w:p>
        </w:tc>
        <w:tc>
          <w:tcPr>
            <w:tcW w:w="1474" w:type="dxa"/>
            <w:tcBorders>
              <w:top w:val="single" w:sz="8" w:space="0" w:color="000000"/>
              <w:left w:val="nil"/>
              <w:bottom w:val="single" w:sz="8" w:space="0" w:color="000000"/>
              <w:right w:val="nil"/>
            </w:tcBorders>
            <w:tcMar>
              <w:top w:w="79" w:type="dxa"/>
              <w:left w:w="79" w:type="dxa"/>
              <w:bottom w:w="79" w:type="dxa"/>
              <w:right w:w="79" w:type="dxa"/>
            </w:tcMar>
          </w:tcPr>
          <w:p w:rsidR="00654B6C" w:rsidRPr="00ED4787" w:rsidRDefault="00654B6C">
            <w:pPr>
              <w:autoSpaceDE w:val="0"/>
              <w:autoSpaceDN w:val="0"/>
              <w:adjustRightInd w:val="0"/>
              <w:rPr>
                <w:rFonts w:ascii="sans-serif" w:hAnsi="sans-serif" w:cs="sans-serif"/>
                <w:color w:val="000000"/>
                <w:szCs w:val="24"/>
              </w:rPr>
            </w:pPr>
          </w:p>
        </w:tc>
        <w:tc>
          <w:tcPr>
            <w:tcW w:w="1474" w:type="dxa"/>
            <w:tcBorders>
              <w:top w:val="single" w:sz="8" w:space="0" w:color="000000"/>
              <w:left w:val="nil"/>
              <w:bottom w:val="single" w:sz="8" w:space="0" w:color="000000"/>
              <w:right w:val="single" w:sz="8" w:space="0" w:color="000000"/>
            </w:tcBorders>
            <w:tcMar>
              <w:top w:w="79" w:type="dxa"/>
              <w:left w:w="79" w:type="dxa"/>
              <w:bottom w:w="79" w:type="dxa"/>
              <w:right w:w="79" w:type="dxa"/>
            </w:tcMar>
          </w:tcPr>
          <w:p w:rsidR="00654B6C" w:rsidRPr="00ED4787" w:rsidRDefault="00654B6C">
            <w:pPr>
              <w:autoSpaceDE w:val="0"/>
              <w:autoSpaceDN w:val="0"/>
              <w:adjustRightInd w:val="0"/>
              <w:rPr>
                <w:rFonts w:ascii="sans-serif" w:hAnsi="sans-serif" w:cs="sans-serif"/>
                <w:color w:val="000000"/>
                <w:szCs w:val="24"/>
              </w:rPr>
            </w:pPr>
          </w:p>
        </w:tc>
      </w:tr>
      <w:tr w:rsidR="00654B6C" w:rsidRPr="00ED4787">
        <w:tc>
          <w:tcPr>
            <w:tcW w:w="3685" w:type="dxa"/>
            <w:tcBorders>
              <w:top w:val="nil"/>
              <w:left w:val="single" w:sz="8" w:space="0" w:color="000000"/>
              <w:bottom w:val="single" w:sz="8" w:space="0" w:color="000000"/>
              <w:right w:val="single" w:sz="8" w:space="0" w:color="000000"/>
            </w:tcBorders>
            <w:tcMar>
              <w:top w:w="79" w:type="dxa"/>
              <w:left w:w="79" w:type="dxa"/>
              <w:bottom w:w="79" w:type="dxa"/>
              <w:right w:w="79" w:type="dxa"/>
            </w:tcMar>
          </w:tcPr>
          <w:p w:rsidR="00654B6C" w:rsidRPr="00ED4787" w:rsidRDefault="00654B6C">
            <w:pPr>
              <w:autoSpaceDE w:val="0"/>
              <w:autoSpaceDN w:val="0"/>
              <w:adjustRightInd w:val="0"/>
              <w:rPr>
                <w:b/>
                <w:bCs/>
                <w:color w:val="000000"/>
                <w:sz w:val="20"/>
              </w:rPr>
            </w:pPr>
            <w:r>
              <w:rPr>
                <w:b/>
                <w:color w:val="000000"/>
                <w:sz w:val="20"/>
              </w:rPr>
              <w:t>Pieņemšanas datums</w:t>
            </w:r>
          </w:p>
        </w:tc>
        <w:tc>
          <w:tcPr>
            <w:tcW w:w="1530" w:type="dxa"/>
            <w:tcBorders>
              <w:top w:val="nil"/>
              <w:left w:val="nil"/>
              <w:bottom w:val="single" w:sz="8" w:space="0" w:color="000000"/>
              <w:right w:val="nil"/>
            </w:tcBorders>
            <w:tcMar>
              <w:top w:w="79" w:type="dxa"/>
              <w:left w:w="79" w:type="dxa"/>
              <w:bottom w:w="79" w:type="dxa"/>
              <w:right w:w="79" w:type="dxa"/>
            </w:tcMar>
          </w:tcPr>
          <w:p w:rsidR="00654B6C" w:rsidRPr="00ED4787" w:rsidRDefault="00654B6C">
            <w:pPr>
              <w:autoSpaceDE w:val="0"/>
              <w:autoSpaceDN w:val="0"/>
              <w:adjustRightInd w:val="0"/>
              <w:rPr>
                <w:color w:val="000000"/>
                <w:sz w:val="20"/>
              </w:rPr>
            </w:pPr>
            <w:r>
              <w:rPr>
                <w:color w:val="000000"/>
                <w:sz w:val="20"/>
              </w:rPr>
              <w:t>21.11.2024</w:t>
            </w:r>
          </w:p>
        </w:tc>
        <w:tc>
          <w:tcPr>
            <w:tcW w:w="1474" w:type="dxa"/>
            <w:tcBorders>
              <w:top w:val="nil"/>
              <w:left w:val="nil"/>
              <w:bottom w:val="single" w:sz="8" w:space="0" w:color="000000"/>
              <w:right w:val="nil"/>
            </w:tcBorders>
            <w:tcMar>
              <w:top w:w="79" w:type="dxa"/>
              <w:left w:w="79" w:type="dxa"/>
              <w:bottom w:w="79" w:type="dxa"/>
              <w:right w:w="79" w:type="dxa"/>
            </w:tcMar>
          </w:tcPr>
          <w:p w:rsidR="00654B6C" w:rsidRPr="00ED4787" w:rsidRDefault="00654B6C">
            <w:pPr>
              <w:autoSpaceDE w:val="0"/>
              <w:autoSpaceDN w:val="0"/>
              <w:adjustRightInd w:val="0"/>
              <w:rPr>
                <w:rFonts w:ascii="sans-serif" w:hAnsi="sans-serif" w:cs="sans-serif"/>
                <w:color w:val="000000"/>
                <w:szCs w:val="24"/>
              </w:rPr>
            </w:pPr>
          </w:p>
        </w:tc>
        <w:tc>
          <w:tcPr>
            <w:tcW w:w="1474" w:type="dxa"/>
            <w:tcBorders>
              <w:top w:val="nil"/>
              <w:left w:val="nil"/>
              <w:bottom w:val="single" w:sz="8" w:space="0" w:color="000000"/>
              <w:right w:val="nil"/>
            </w:tcBorders>
            <w:tcMar>
              <w:top w:w="79" w:type="dxa"/>
              <w:left w:w="79" w:type="dxa"/>
              <w:bottom w:w="79" w:type="dxa"/>
              <w:right w:w="79" w:type="dxa"/>
            </w:tcMar>
          </w:tcPr>
          <w:p w:rsidR="00654B6C" w:rsidRPr="00ED4787" w:rsidRDefault="00654B6C">
            <w:pPr>
              <w:autoSpaceDE w:val="0"/>
              <w:autoSpaceDN w:val="0"/>
              <w:adjustRightInd w:val="0"/>
              <w:rPr>
                <w:rFonts w:ascii="sans-serif" w:hAnsi="sans-serif" w:cs="sans-serif"/>
                <w:color w:val="000000"/>
                <w:szCs w:val="24"/>
              </w:rPr>
            </w:pPr>
          </w:p>
        </w:tc>
        <w:tc>
          <w:tcPr>
            <w:tcW w:w="1474" w:type="dxa"/>
            <w:tcBorders>
              <w:top w:val="nil"/>
              <w:left w:val="nil"/>
              <w:bottom w:val="single" w:sz="8" w:space="0" w:color="000000"/>
              <w:right w:val="single" w:sz="8" w:space="0" w:color="000000"/>
            </w:tcBorders>
            <w:tcMar>
              <w:top w:w="79" w:type="dxa"/>
              <w:left w:w="79" w:type="dxa"/>
              <w:bottom w:w="79" w:type="dxa"/>
              <w:right w:w="79" w:type="dxa"/>
            </w:tcMar>
          </w:tcPr>
          <w:p w:rsidR="00654B6C" w:rsidRPr="00ED4787" w:rsidRDefault="00654B6C">
            <w:pPr>
              <w:autoSpaceDE w:val="0"/>
              <w:autoSpaceDN w:val="0"/>
              <w:adjustRightInd w:val="0"/>
              <w:rPr>
                <w:rFonts w:ascii="sans-serif" w:hAnsi="sans-serif" w:cs="sans-serif"/>
                <w:color w:val="000000"/>
                <w:szCs w:val="24"/>
              </w:rPr>
            </w:pPr>
          </w:p>
        </w:tc>
      </w:tr>
      <w:tr w:rsidR="00654B6C" w:rsidRPr="00ED4787">
        <w:tc>
          <w:tcPr>
            <w:tcW w:w="3685" w:type="dxa"/>
            <w:tcBorders>
              <w:top w:val="single" w:sz="8" w:space="0" w:color="000000"/>
              <w:left w:val="single" w:sz="8" w:space="0" w:color="000000"/>
              <w:bottom w:val="single" w:sz="8" w:space="0" w:color="000000"/>
              <w:right w:val="single" w:sz="8" w:space="0" w:color="000000"/>
            </w:tcBorders>
            <w:tcMar>
              <w:top w:w="79" w:type="dxa"/>
              <w:left w:w="79" w:type="dxa"/>
              <w:bottom w:w="79" w:type="dxa"/>
              <w:right w:w="79" w:type="dxa"/>
            </w:tcMar>
          </w:tcPr>
          <w:p w:rsidR="00654B6C" w:rsidRPr="00ED4787" w:rsidRDefault="00654B6C">
            <w:pPr>
              <w:autoSpaceDE w:val="0"/>
              <w:autoSpaceDN w:val="0"/>
              <w:adjustRightInd w:val="0"/>
              <w:rPr>
                <w:b/>
                <w:bCs/>
                <w:color w:val="000000"/>
                <w:sz w:val="20"/>
              </w:rPr>
            </w:pPr>
            <w:r>
              <w:rPr>
                <w:b/>
                <w:color w:val="000000"/>
                <w:sz w:val="20"/>
              </w:rPr>
              <w:t>Galīgais balsojums</w:t>
            </w:r>
          </w:p>
        </w:tc>
        <w:tc>
          <w:tcPr>
            <w:tcW w:w="1530" w:type="dxa"/>
            <w:tcBorders>
              <w:top w:val="single" w:sz="8" w:space="0" w:color="000000"/>
              <w:left w:val="nil"/>
              <w:bottom w:val="single" w:sz="8" w:space="0" w:color="000000"/>
              <w:right w:val="nil"/>
            </w:tcBorders>
            <w:tcMar>
              <w:top w:w="79" w:type="dxa"/>
              <w:left w:w="79" w:type="dxa"/>
              <w:bottom w:w="79" w:type="dxa"/>
              <w:right w:w="79" w:type="dxa"/>
            </w:tcMar>
          </w:tcPr>
          <w:p w:rsidR="00654B6C" w:rsidRPr="00ED4787" w:rsidRDefault="00654B6C">
            <w:pPr>
              <w:autoSpaceDE w:val="0"/>
              <w:autoSpaceDN w:val="0"/>
              <w:adjustRightInd w:val="0"/>
              <w:rPr>
                <w:color w:val="000000"/>
                <w:sz w:val="20"/>
              </w:rPr>
            </w:pPr>
            <w:r>
              <w:rPr>
                <w:color w:val="000000"/>
                <w:sz w:val="20"/>
              </w:rPr>
              <w:t>+:</w:t>
            </w:r>
          </w:p>
          <w:p w:rsidR="00654B6C" w:rsidRPr="00ED4787" w:rsidRDefault="00654B6C">
            <w:pPr>
              <w:autoSpaceDE w:val="0"/>
              <w:autoSpaceDN w:val="0"/>
              <w:adjustRightInd w:val="0"/>
              <w:rPr>
                <w:color w:val="000000"/>
                <w:sz w:val="20"/>
              </w:rPr>
            </w:pPr>
            <w:r>
              <w:rPr>
                <w:color w:val="000000"/>
                <w:sz w:val="20"/>
              </w:rPr>
              <w:t>–:</w:t>
            </w:r>
          </w:p>
          <w:p w:rsidR="00654B6C" w:rsidRPr="00ED4787" w:rsidRDefault="00654B6C">
            <w:pPr>
              <w:autoSpaceDE w:val="0"/>
              <w:autoSpaceDN w:val="0"/>
              <w:adjustRightInd w:val="0"/>
              <w:rPr>
                <w:color w:val="000000"/>
                <w:sz w:val="20"/>
              </w:rPr>
            </w:pPr>
            <w:r>
              <w:rPr>
                <w:color w:val="000000"/>
                <w:sz w:val="20"/>
              </w:rPr>
              <w:t>0:</w:t>
            </w:r>
          </w:p>
        </w:tc>
        <w:tc>
          <w:tcPr>
            <w:tcW w:w="4422" w:type="dxa"/>
            <w:gridSpan w:val="3"/>
            <w:tcBorders>
              <w:top w:val="single" w:sz="8" w:space="0" w:color="000000"/>
              <w:left w:val="nil"/>
              <w:bottom w:val="single" w:sz="8" w:space="0" w:color="000000"/>
              <w:right w:val="single" w:sz="8" w:space="0" w:color="000000"/>
            </w:tcBorders>
            <w:tcMar>
              <w:top w:w="79" w:type="dxa"/>
              <w:left w:w="79" w:type="dxa"/>
              <w:bottom w:w="79" w:type="dxa"/>
              <w:right w:w="79" w:type="dxa"/>
            </w:tcMar>
          </w:tcPr>
          <w:p w:rsidR="00654B6C" w:rsidRPr="00ED4787" w:rsidRDefault="00654B6C">
            <w:pPr>
              <w:autoSpaceDE w:val="0"/>
              <w:autoSpaceDN w:val="0"/>
              <w:adjustRightInd w:val="0"/>
              <w:rPr>
                <w:color w:val="000000"/>
                <w:sz w:val="20"/>
              </w:rPr>
            </w:pPr>
            <w:r>
              <w:rPr>
                <w:color w:val="000000"/>
                <w:sz w:val="20"/>
              </w:rPr>
              <w:t>31</w:t>
            </w:r>
          </w:p>
          <w:p w:rsidR="00654B6C" w:rsidRPr="00ED4787" w:rsidRDefault="00654B6C">
            <w:pPr>
              <w:autoSpaceDE w:val="0"/>
              <w:autoSpaceDN w:val="0"/>
              <w:adjustRightInd w:val="0"/>
              <w:rPr>
                <w:color w:val="000000"/>
                <w:sz w:val="20"/>
              </w:rPr>
            </w:pPr>
            <w:r>
              <w:rPr>
                <w:color w:val="000000"/>
                <w:sz w:val="20"/>
              </w:rPr>
              <w:t>0</w:t>
            </w:r>
          </w:p>
          <w:p w:rsidR="00654B6C" w:rsidRPr="00ED4787" w:rsidRDefault="00654B6C">
            <w:pPr>
              <w:autoSpaceDE w:val="0"/>
              <w:autoSpaceDN w:val="0"/>
              <w:adjustRightInd w:val="0"/>
              <w:rPr>
                <w:color w:val="000000"/>
                <w:sz w:val="20"/>
              </w:rPr>
            </w:pPr>
            <w:r>
              <w:rPr>
                <w:color w:val="000000"/>
                <w:sz w:val="20"/>
              </w:rPr>
              <w:t>0</w:t>
            </w:r>
          </w:p>
        </w:tc>
      </w:tr>
      <w:tr w:rsidR="00654B6C" w:rsidRPr="00ED4787">
        <w:tc>
          <w:tcPr>
            <w:tcW w:w="3685" w:type="dxa"/>
            <w:tcBorders>
              <w:top w:val="single" w:sz="8" w:space="0" w:color="000000"/>
              <w:left w:val="single" w:sz="8" w:space="0" w:color="000000"/>
              <w:bottom w:val="single" w:sz="8" w:space="0" w:color="000000"/>
              <w:right w:val="single" w:sz="8" w:space="0" w:color="000000"/>
            </w:tcBorders>
            <w:tcMar>
              <w:top w:w="79" w:type="dxa"/>
              <w:left w:w="79" w:type="dxa"/>
              <w:bottom w:w="79" w:type="dxa"/>
              <w:right w:w="79" w:type="dxa"/>
            </w:tcMar>
          </w:tcPr>
          <w:p w:rsidR="00654B6C" w:rsidRPr="00ED4787" w:rsidRDefault="00654B6C">
            <w:pPr>
              <w:autoSpaceDE w:val="0"/>
              <w:autoSpaceDN w:val="0"/>
              <w:adjustRightInd w:val="0"/>
              <w:rPr>
                <w:b/>
                <w:bCs/>
                <w:color w:val="000000"/>
                <w:sz w:val="20"/>
              </w:rPr>
            </w:pPr>
            <w:r>
              <w:rPr>
                <w:b/>
                <w:color w:val="000000"/>
                <w:sz w:val="20"/>
              </w:rPr>
              <w:t>Komitejas locekļi, kas bija klāt galīgajā balsošanā</w:t>
            </w:r>
          </w:p>
        </w:tc>
        <w:tc>
          <w:tcPr>
            <w:tcW w:w="5952" w:type="dxa"/>
            <w:gridSpan w:val="4"/>
            <w:tcBorders>
              <w:top w:val="single" w:sz="8" w:space="0" w:color="000000"/>
              <w:left w:val="nil"/>
              <w:bottom w:val="single" w:sz="8" w:space="0" w:color="000000"/>
              <w:right w:val="single" w:sz="8" w:space="0" w:color="000000"/>
            </w:tcBorders>
            <w:tcMar>
              <w:top w:w="79" w:type="dxa"/>
              <w:left w:w="79" w:type="dxa"/>
              <w:bottom w:w="79" w:type="dxa"/>
              <w:right w:w="79" w:type="dxa"/>
            </w:tcMar>
          </w:tcPr>
          <w:p w:rsidR="00654B6C" w:rsidRPr="00ED4787" w:rsidRDefault="00654B6C">
            <w:pPr>
              <w:autoSpaceDE w:val="0"/>
              <w:autoSpaceDN w:val="0"/>
              <w:adjustRightInd w:val="0"/>
              <w:rPr>
                <w:color w:val="000000"/>
                <w:sz w:val="20"/>
              </w:rPr>
            </w:pPr>
            <w:r>
              <w:rPr>
                <w:color w:val="000000"/>
                <w:sz w:val="20"/>
              </w:rPr>
              <w:t>Georgios Aftias, Isabel Benjumea Benjumea, Tomasz Buczek, Tamás Deutsch, Angéline Furet, Thomas Geisel, Jean-Marc Germain, Sandra Gómez López, Fabienne Keller, Janusz Lewandowski, Giuseppe Lupo, Ignazio Roberto Marino, Fernando Navarrete Rojas, Matjaž Nemec, Danuše Nerudová, Ruggero Razza, Bogdan Rzońca, Hélder Sousa Silva, Nicolae Ştefănuță, Joachim Streit, Carla Tavares, Nils Ušakovs, Auke Zijlstra</w:t>
            </w:r>
          </w:p>
        </w:tc>
      </w:tr>
      <w:tr w:rsidR="00654B6C" w:rsidRPr="00ED4787">
        <w:tc>
          <w:tcPr>
            <w:tcW w:w="3685" w:type="dxa"/>
            <w:tcBorders>
              <w:top w:val="nil"/>
              <w:left w:val="single" w:sz="8" w:space="0" w:color="000000"/>
              <w:bottom w:val="single" w:sz="8" w:space="0" w:color="000000"/>
              <w:right w:val="single" w:sz="8" w:space="0" w:color="000000"/>
            </w:tcBorders>
            <w:tcMar>
              <w:top w:w="79" w:type="dxa"/>
              <w:left w:w="79" w:type="dxa"/>
              <w:bottom w:w="79" w:type="dxa"/>
              <w:right w:w="79" w:type="dxa"/>
            </w:tcMar>
          </w:tcPr>
          <w:p w:rsidR="00654B6C" w:rsidRPr="00ED4787" w:rsidRDefault="00654B6C">
            <w:pPr>
              <w:autoSpaceDE w:val="0"/>
              <w:autoSpaceDN w:val="0"/>
              <w:adjustRightInd w:val="0"/>
              <w:rPr>
                <w:b/>
                <w:bCs/>
                <w:color w:val="000000"/>
                <w:sz w:val="20"/>
              </w:rPr>
            </w:pPr>
            <w:r>
              <w:rPr>
                <w:b/>
                <w:color w:val="000000"/>
                <w:sz w:val="20"/>
              </w:rPr>
              <w:t>Aizstājēji, kas bija klāt galīgajā balsošanā</w:t>
            </w:r>
          </w:p>
        </w:tc>
        <w:tc>
          <w:tcPr>
            <w:tcW w:w="5952" w:type="dxa"/>
            <w:gridSpan w:val="4"/>
            <w:tcBorders>
              <w:top w:val="nil"/>
              <w:left w:val="nil"/>
              <w:bottom w:val="single" w:sz="8" w:space="0" w:color="000000"/>
              <w:right w:val="single" w:sz="8" w:space="0" w:color="000000"/>
            </w:tcBorders>
            <w:tcMar>
              <w:top w:w="79" w:type="dxa"/>
              <w:left w:w="79" w:type="dxa"/>
              <w:bottom w:w="79" w:type="dxa"/>
              <w:right w:w="79" w:type="dxa"/>
            </w:tcMar>
          </w:tcPr>
          <w:p w:rsidR="00654B6C" w:rsidRPr="00ED4787" w:rsidRDefault="00654B6C">
            <w:pPr>
              <w:autoSpaceDE w:val="0"/>
              <w:autoSpaceDN w:val="0"/>
              <w:adjustRightInd w:val="0"/>
              <w:rPr>
                <w:color w:val="000000"/>
                <w:sz w:val="20"/>
              </w:rPr>
            </w:pPr>
            <w:r>
              <w:rPr>
                <w:color w:val="000000"/>
                <w:sz w:val="20"/>
              </w:rPr>
              <w:t>Moritz Körner, Tiago Moreira de Sá</w:t>
            </w:r>
          </w:p>
        </w:tc>
      </w:tr>
      <w:tr w:rsidR="00654B6C" w:rsidRPr="00ED4787">
        <w:tc>
          <w:tcPr>
            <w:tcW w:w="3685" w:type="dxa"/>
            <w:tcBorders>
              <w:top w:val="nil"/>
              <w:left w:val="single" w:sz="8" w:space="0" w:color="000000"/>
              <w:bottom w:val="single" w:sz="8" w:space="0" w:color="000000"/>
              <w:right w:val="single" w:sz="8" w:space="0" w:color="000000"/>
            </w:tcBorders>
            <w:tcMar>
              <w:top w:w="79" w:type="dxa"/>
              <w:left w:w="79" w:type="dxa"/>
              <w:bottom w:w="79" w:type="dxa"/>
              <w:right w:w="79" w:type="dxa"/>
            </w:tcMar>
          </w:tcPr>
          <w:p w:rsidR="00654B6C" w:rsidRPr="00ED4787" w:rsidRDefault="00654B6C">
            <w:pPr>
              <w:autoSpaceDE w:val="0"/>
              <w:autoSpaceDN w:val="0"/>
              <w:adjustRightInd w:val="0"/>
              <w:rPr>
                <w:b/>
                <w:bCs/>
                <w:color w:val="000000"/>
                <w:sz w:val="20"/>
              </w:rPr>
            </w:pPr>
            <w:r>
              <w:rPr>
                <w:b/>
                <w:color w:val="000000"/>
                <w:sz w:val="20"/>
              </w:rPr>
              <w:t>Reglamenta 216. panta 7. punktā minētie deputāti, kas bija klāt galīgajā balsošanā</w:t>
            </w:r>
          </w:p>
        </w:tc>
        <w:tc>
          <w:tcPr>
            <w:tcW w:w="5952" w:type="dxa"/>
            <w:gridSpan w:val="4"/>
            <w:tcBorders>
              <w:top w:val="nil"/>
              <w:left w:val="nil"/>
              <w:bottom w:val="single" w:sz="8" w:space="0" w:color="000000"/>
              <w:right w:val="single" w:sz="8" w:space="0" w:color="000000"/>
            </w:tcBorders>
            <w:tcMar>
              <w:top w:w="79" w:type="dxa"/>
              <w:left w:w="79" w:type="dxa"/>
              <w:bottom w:w="79" w:type="dxa"/>
              <w:right w:w="79" w:type="dxa"/>
            </w:tcMar>
          </w:tcPr>
          <w:p w:rsidR="00654B6C" w:rsidRPr="00ED4787" w:rsidRDefault="00654B6C">
            <w:pPr>
              <w:autoSpaceDE w:val="0"/>
              <w:autoSpaceDN w:val="0"/>
              <w:adjustRightInd w:val="0"/>
              <w:rPr>
                <w:color w:val="000000"/>
                <w:sz w:val="20"/>
              </w:rPr>
            </w:pPr>
            <w:r>
              <w:rPr>
                <w:color w:val="000000"/>
                <w:sz w:val="20"/>
              </w:rPr>
              <w:t>Christophe Bay, Udo Bullmann, Andrzej Buła, Gheorghe Falcă, Ştefan Muşoiu, Jan-Christoph Oetjen</w:t>
            </w:r>
          </w:p>
        </w:tc>
      </w:tr>
    </w:tbl>
    <w:p w:rsidR="00654B6C" w:rsidRPr="00ED4787" w:rsidRDefault="00654B6C" w:rsidP="00D817C7"/>
    <w:bookmarkEnd w:id="1"/>
    <w:p w:rsidR="00D817C7" w:rsidRPr="00ED4787" w:rsidRDefault="00D817C7" w:rsidP="00654B6C">
      <w:pPr>
        <w:sectPr w:rsidR="00D817C7" w:rsidRPr="00ED4787" w:rsidSect="0070771D">
          <w:headerReference w:type="even" r:id="rId8"/>
          <w:headerReference w:type="default" r:id="rId9"/>
          <w:footerReference w:type="even" r:id="rId10"/>
          <w:footerReference w:type="default" r:id="rId11"/>
          <w:headerReference w:type="first" r:id="rId12"/>
          <w:footerReference w:type="first" r:id="rId13"/>
          <w:footnotePr>
            <w:numRestart w:val="eachSect"/>
          </w:footnotePr>
          <w:endnotePr>
            <w:numFmt w:val="decimal"/>
          </w:endnotePr>
          <w:pgSz w:w="11906" w:h="16838" w:code="9"/>
          <w:pgMar w:top="1134" w:right="1418" w:bottom="1418" w:left="1418" w:header="1134" w:footer="567" w:gutter="0"/>
          <w:cols w:space="720"/>
          <w:noEndnote/>
          <w:titlePg/>
          <w:docGrid w:linePitch="326"/>
        </w:sectPr>
      </w:pPr>
    </w:p>
    <w:p w:rsidR="00D817C7" w:rsidRPr="00ED4787" w:rsidRDefault="00D817C7" w:rsidP="00C36610">
      <w:pPr>
        <w:pStyle w:val="PageHeadingNotTOC"/>
      </w:pPr>
      <w:bookmarkStart w:id="2" w:name="RollCallPageAD"/>
      <w:r>
        <w:lastRenderedPageBreak/>
        <w:t>BUDŽETA IZVĒRTĒJUMU SNIEDZOŠĀS KOMITEJAS</w:t>
      </w:r>
      <w:r>
        <w:br/>
        <w:t>GALĪGAIS ATKLĀTAIS BALSOJUMS</w:t>
      </w:r>
    </w:p>
    <w:tbl>
      <w:tblPr>
        <w:tblW w:w="9072" w:type="dxa"/>
        <w:tblInd w:w="145" w:type="dxa"/>
        <w:tblBorders>
          <w:top w:val="double" w:sz="2" w:space="0" w:color="000000"/>
          <w:left w:val="double" w:sz="2" w:space="0" w:color="000000"/>
          <w:bottom w:val="double" w:sz="2" w:space="0" w:color="000000"/>
          <w:right w:val="double" w:sz="2" w:space="0" w:color="000000"/>
          <w:insideH w:val="single" w:sz="2" w:space="0" w:color="000000"/>
          <w:insideV w:val="single" w:sz="2" w:space="0" w:color="000000"/>
        </w:tblBorders>
        <w:tblLayout w:type="fixed"/>
        <w:tblCellMar>
          <w:left w:w="145" w:type="dxa"/>
          <w:right w:w="145" w:type="dxa"/>
        </w:tblCellMar>
        <w:tblLook w:val="0000" w:firstRow="0" w:lastRow="0" w:firstColumn="0" w:lastColumn="0" w:noHBand="0" w:noVBand="0"/>
      </w:tblPr>
      <w:tblGrid>
        <w:gridCol w:w="1701"/>
        <w:gridCol w:w="7371"/>
      </w:tblGrid>
      <w:tr w:rsidR="00D817C7" w:rsidRPr="00ED4787" w:rsidTr="00D817C7">
        <w:trPr>
          <w:cantSplit/>
        </w:trPr>
        <w:tc>
          <w:tcPr>
            <w:tcW w:w="1701" w:type="dxa"/>
            <w:shd w:val="pct10" w:color="000000" w:fill="FFFFFF"/>
            <w:vAlign w:val="center"/>
          </w:tcPr>
          <w:p w:rsidR="00D817C7" w:rsidRPr="00ED4787" w:rsidRDefault="00D817C7" w:rsidP="00D817C7">
            <w:pPr>
              <w:pStyle w:val="RollCallVotes"/>
            </w:pPr>
            <w:r>
              <w:t>31</w:t>
            </w:r>
          </w:p>
        </w:tc>
        <w:tc>
          <w:tcPr>
            <w:tcW w:w="7371" w:type="dxa"/>
            <w:shd w:val="pct10" w:color="000000" w:fill="FFFFFF"/>
          </w:tcPr>
          <w:p w:rsidR="00D817C7" w:rsidRPr="00ED4787" w:rsidRDefault="00D817C7" w:rsidP="00D817C7">
            <w:pPr>
              <w:pStyle w:val="RollCallSymbols14pt"/>
            </w:pPr>
            <w:r>
              <w:t>+</w:t>
            </w:r>
          </w:p>
        </w:tc>
      </w:tr>
      <w:tr w:rsidR="00D817C7" w:rsidRPr="00ED4787" w:rsidTr="00D817C7">
        <w:trPr>
          <w:cantSplit/>
        </w:trPr>
        <w:tc>
          <w:tcPr>
            <w:tcW w:w="1701" w:type="dxa"/>
            <w:shd w:val="clear" w:color="auto" w:fill="FFFFFF"/>
          </w:tcPr>
          <w:p w:rsidR="00D817C7" w:rsidRPr="00ED4787" w:rsidRDefault="00D817C7" w:rsidP="00D817C7">
            <w:pPr>
              <w:pStyle w:val="RollCallTable"/>
            </w:pPr>
            <w:r>
              <w:t>ECR</w:t>
            </w:r>
          </w:p>
        </w:tc>
        <w:tc>
          <w:tcPr>
            <w:tcW w:w="7371" w:type="dxa"/>
            <w:shd w:val="clear" w:color="auto" w:fill="FFFFFF"/>
          </w:tcPr>
          <w:p w:rsidR="00D817C7" w:rsidRPr="00ED4787" w:rsidRDefault="00D817C7" w:rsidP="00D817C7">
            <w:pPr>
              <w:pStyle w:val="RollCallTable"/>
            </w:pPr>
            <w:r>
              <w:t>Ruggero Razza, Bogdan Rzońca</w:t>
            </w:r>
          </w:p>
        </w:tc>
      </w:tr>
      <w:tr w:rsidR="00D817C7" w:rsidRPr="00ED4787" w:rsidTr="00D817C7">
        <w:trPr>
          <w:cantSplit/>
        </w:trPr>
        <w:tc>
          <w:tcPr>
            <w:tcW w:w="1701" w:type="dxa"/>
            <w:shd w:val="clear" w:color="auto" w:fill="FFFFFF"/>
          </w:tcPr>
          <w:p w:rsidR="00D817C7" w:rsidRPr="00ED4787" w:rsidRDefault="00D817C7" w:rsidP="00D817C7">
            <w:pPr>
              <w:pStyle w:val="RollCallTable"/>
            </w:pPr>
            <w:r>
              <w:t>NI</w:t>
            </w:r>
          </w:p>
        </w:tc>
        <w:tc>
          <w:tcPr>
            <w:tcW w:w="7371" w:type="dxa"/>
            <w:shd w:val="clear" w:color="auto" w:fill="FFFFFF"/>
          </w:tcPr>
          <w:p w:rsidR="00D817C7" w:rsidRPr="00ED4787" w:rsidRDefault="00D817C7" w:rsidP="00D817C7">
            <w:pPr>
              <w:pStyle w:val="RollCallTable"/>
            </w:pPr>
            <w:r>
              <w:t>Thomas Geisel</w:t>
            </w:r>
          </w:p>
        </w:tc>
      </w:tr>
      <w:tr w:rsidR="00D817C7" w:rsidRPr="00ED4787" w:rsidTr="00D817C7">
        <w:trPr>
          <w:cantSplit/>
        </w:trPr>
        <w:tc>
          <w:tcPr>
            <w:tcW w:w="1701" w:type="dxa"/>
            <w:shd w:val="clear" w:color="auto" w:fill="FFFFFF"/>
          </w:tcPr>
          <w:p w:rsidR="00D817C7" w:rsidRPr="00ED4787" w:rsidRDefault="00D817C7" w:rsidP="00D817C7">
            <w:pPr>
              <w:pStyle w:val="RollCallTable"/>
            </w:pPr>
            <w:r>
              <w:t>PPE</w:t>
            </w:r>
          </w:p>
        </w:tc>
        <w:tc>
          <w:tcPr>
            <w:tcW w:w="7371" w:type="dxa"/>
            <w:shd w:val="clear" w:color="auto" w:fill="FFFFFF"/>
          </w:tcPr>
          <w:p w:rsidR="00D817C7" w:rsidRPr="00ED4787" w:rsidRDefault="00D817C7" w:rsidP="00D817C7">
            <w:pPr>
              <w:pStyle w:val="RollCallTable"/>
            </w:pPr>
            <w:r>
              <w:t>Georgios Aftias, Isabel Benjumea Benjumea, Andrzej Buła, Gheorghe Falcă, Janusz Lewandowski, Fernando Navarrete Rojas, Danuše Nerudová, Hélder Sousa Silva</w:t>
            </w:r>
          </w:p>
        </w:tc>
      </w:tr>
      <w:tr w:rsidR="00D817C7" w:rsidRPr="00ED4787" w:rsidTr="00D817C7">
        <w:trPr>
          <w:cantSplit/>
        </w:trPr>
        <w:tc>
          <w:tcPr>
            <w:tcW w:w="1701" w:type="dxa"/>
            <w:shd w:val="clear" w:color="auto" w:fill="FFFFFF"/>
          </w:tcPr>
          <w:p w:rsidR="00D817C7" w:rsidRPr="00ED4787" w:rsidRDefault="00D817C7" w:rsidP="00D817C7">
            <w:pPr>
              <w:pStyle w:val="RollCallTable"/>
            </w:pPr>
            <w:r>
              <w:t>PfE</w:t>
            </w:r>
          </w:p>
        </w:tc>
        <w:tc>
          <w:tcPr>
            <w:tcW w:w="7371" w:type="dxa"/>
            <w:shd w:val="clear" w:color="auto" w:fill="FFFFFF"/>
          </w:tcPr>
          <w:p w:rsidR="00D817C7" w:rsidRPr="00ED4787" w:rsidRDefault="00D817C7" w:rsidP="00D817C7">
            <w:pPr>
              <w:pStyle w:val="RollCallTable"/>
            </w:pPr>
            <w:r>
              <w:t>Christophe Bay, Tomasz Buczek, Tamás Deutsch, Angéline Furet, Tiago Moreira de Sá, Auke Zijlstra</w:t>
            </w:r>
          </w:p>
        </w:tc>
      </w:tr>
      <w:tr w:rsidR="00D817C7" w:rsidRPr="00ED4787" w:rsidTr="00D817C7">
        <w:trPr>
          <w:cantSplit/>
        </w:trPr>
        <w:tc>
          <w:tcPr>
            <w:tcW w:w="1701" w:type="dxa"/>
            <w:shd w:val="clear" w:color="auto" w:fill="FFFFFF"/>
          </w:tcPr>
          <w:p w:rsidR="00D817C7" w:rsidRPr="00ED4787" w:rsidRDefault="00D817C7" w:rsidP="00D817C7">
            <w:pPr>
              <w:pStyle w:val="RollCallTable"/>
            </w:pPr>
            <w:r>
              <w:t>Renew</w:t>
            </w:r>
          </w:p>
        </w:tc>
        <w:tc>
          <w:tcPr>
            <w:tcW w:w="7371" w:type="dxa"/>
            <w:shd w:val="clear" w:color="auto" w:fill="FFFFFF"/>
          </w:tcPr>
          <w:p w:rsidR="00D817C7" w:rsidRPr="00ED4787" w:rsidRDefault="00D817C7" w:rsidP="00D817C7">
            <w:pPr>
              <w:pStyle w:val="RollCallTable"/>
            </w:pPr>
            <w:r>
              <w:t>Fabienne Keller, Moritz Körner, Jan-Christoph Oetjen, Joachim Streit</w:t>
            </w:r>
          </w:p>
        </w:tc>
      </w:tr>
      <w:tr w:rsidR="00D817C7" w:rsidRPr="00ED4787" w:rsidTr="00D817C7">
        <w:trPr>
          <w:cantSplit/>
        </w:trPr>
        <w:tc>
          <w:tcPr>
            <w:tcW w:w="1701" w:type="dxa"/>
            <w:shd w:val="clear" w:color="auto" w:fill="FFFFFF"/>
          </w:tcPr>
          <w:p w:rsidR="00D817C7" w:rsidRPr="00ED4787" w:rsidRDefault="00D817C7" w:rsidP="00D817C7">
            <w:pPr>
              <w:pStyle w:val="RollCallTable"/>
            </w:pPr>
            <w:r>
              <w:t>S&amp;D</w:t>
            </w:r>
          </w:p>
        </w:tc>
        <w:tc>
          <w:tcPr>
            <w:tcW w:w="7371" w:type="dxa"/>
            <w:shd w:val="clear" w:color="auto" w:fill="FFFFFF"/>
          </w:tcPr>
          <w:p w:rsidR="00D817C7" w:rsidRPr="00ED4787" w:rsidRDefault="00D817C7" w:rsidP="00D817C7">
            <w:pPr>
              <w:pStyle w:val="RollCallTable"/>
            </w:pPr>
            <w:r>
              <w:t>Udo Bullmann, Jean-Marc Germain, Sandra Gómez López, Giuseppe Lupo, Ştefan Muşoiu, Matjaž Nemec, Carla Tavares, Nils Ušakovs</w:t>
            </w:r>
          </w:p>
        </w:tc>
      </w:tr>
      <w:tr w:rsidR="00D817C7" w:rsidRPr="00ED4787" w:rsidTr="00D817C7">
        <w:trPr>
          <w:cantSplit/>
        </w:trPr>
        <w:tc>
          <w:tcPr>
            <w:tcW w:w="1701" w:type="dxa"/>
            <w:shd w:val="clear" w:color="auto" w:fill="FFFFFF"/>
          </w:tcPr>
          <w:p w:rsidR="00D817C7" w:rsidRPr="00ED4787" w:rsidRDefault="00D817C7" w:rsidP="00D817C7">
            <w:pPr>
              <w:pStyle w:val="RollCallTable"/>
            </w:pPr>
            <w:r>
              <w:t>Verts/ALE</w:t>
            </w:r>
          </w:p>
        </w:tc>
        <w:tc>
          <w:tcPr>
            <w:tcW w:w="7371" w:type="dxa"/>
            <w:shd w:val="clear" w:color="auto" w:fill="FFFFFF"/>
          </w:tcPr>
          <w:p w:rsidR="00D817C7" w:rsidRPr="00ED4787" w:rsidRDefault="00D817C7" w:rsidP="00D817C7">
            <w:pPr>
              <w:pStyle w:val="RollCallTable"/>
            </w:pPr>
            <w:r>
              <w:t>Ignazio Roberto Marino, Nicolae Ştefănuță</w:t>
            </w:r>
          </w:p>
        </w:tc>
      </w:tr>
    </w:tbl>
    <w:p w:rsidR="00D817C7" w:rsidRPr="00ED4787" w:rsidRDefault="00D817C7" w:rsidP="00147FBF"/>
    <w:tbl>
      <w:tblPr>
        <w:tblW w:w="9072" w:type="dxa"/>
        <w:tblInd w:w="145" w:type="dxa"/>
        <w:tblBorders>
          <w:top w:val="double" w:sz="2" w:space="0" w:color="000000"/>
          <w:left w:val="double" w:sz="2" w:space="0" w:color="000000"/>
          <w:bottom w:val="double" w:sz="2" w:space="0" w:color="000000"/>
          <w:right w:val="double" w:sz="2" w:space="0" w:color="000000"/>
          <w:insideH w:val="single" w:sz="2" w:space="0" w:color="000000"/>
          <w:insideV w:val="single" w:sz="2" w:space="0" w:color="000000"/>
        </w:tblBorders>
        <w:tblLayout w:type="fixed"/>
        <w:tblCellMar>
          <w:left w:w="145" w:type="dxa"/>
          <w:right w:w="145" w:type="dxa"/>
        </w:tblCellMar>
        <w:tblLook w:val="0000" w:firstRow="0" w:lastRow="0" w:firstColumn="0" w:lastColumn="0" w:noHBand="0" w:noVBand="0"/>
      </w:tblPr>
      <w:tblGrid>
        <w:gridCol w:w="1701"/>
        <w:gridCol w:w="7371"/>
      </w:tblGrid>
      <w:tr w:rsidR="00D817C7" w:rsidRPr="00ED4787" w:rsidTr="00D817C7">
        <w:trPr>
          <w:cantSplit/>
        </w:trPr>
        <w:tc>
          <w:tcPr>
            <w:tcW w:w="1701" w:type="dxa"/>
            <w:shd w:val="pct10" w:color="000000" w:fill="FFFFFF"/>
            <w:vAlign w:val="center"/>
          </w:tcPr>
          <w:p w:rsidR="00D817C7" w:rsidRPr="00ED4787" w:rsidRDefault="00D817C7" w:rsidP="00D817C7">
            <w:pPr>
              <w:pStyle w:val="RollCallVotes"/>
            </w:pPr>
            <w:r>
              <w:t>0</w:t>
            </w:r>
          </w:p>
        </w:tc>
        <w:tc>
          <w:tcPr>
            <w:tcW w:w="7371" w:type="dxa"/>
            <w:shd w:val="pct10" w:color="000000" w:fill="FFFFFF"/>
          </w:tcPr>
          <w:p w:rsidR="00D817C7" w:rsidRPr="00ED4787" w:rsidRDefault="00D817C7" w:rsidP="00D817C7">
            <w:pPr>
              <w:pStyle w:val="RollCallSymbols14pt"/>
            </w:pPr>
            <w:r>
              <w:t>-</w:t>
            </w:r>
          </w:p>
        </w:tc>
      </w:tr>
      <w:tr w:rsidR="00D817C7" w:rsidRPr="00ED4787" w:rsidTr="00D817C7">
        <w:trPr>
          <w:cantSplit/>
        </w:trPr>
        <w:tc>
          <w:tcPr>
            <w:tcW w:w="1701" w:type="dxa"/>
            <w:shd w:val="clear" w:color="auto" w:fill="FFFFFF"/>
          </w:tcPr>
          <w:p w:rsidR="00D817C7" w:rsidRPr="00ED4787" w:rsidRDefault="00D817C7" w:rsidP="00D817C7">
            <w:pPr>
              <w:pStyle w:val="RollCallTable"/>
            </w:pPr>
          </w:p>
        </w:tc>
        <w:tc>
          <w:tcPr>
            <w:tcW w:w="7371" w:type="dxa"/>
            <w:shd w:val="clear" w:color="auto" w:fill="FFFFFF"/>
          </w:tcPr>
          <w:p w:rsidR="00D817C7" w:rsidRPr="00ED4787" w:rsidRDefault="00D817C7" w:rsidP="00D817C7">
            <w:pPr>
              <w:pStyle w:val="RollCallTable"/>
            </w:pPr>
          </w:p>
        </w:tc>
      </w:tr>
    </w:tbl>
    <w:p w:rsidR="00D817C7" w:rsidRPr="00ED4787" w:rsidRDefault="00D817C7" w:rsidP="00147FBF"/>
    <w:tbl>
      <w:tblPr>
        <w:tblW w:w="9072" w:type="dxa"/>
        <w:tblInd w:w="145" w:type="dxa"/>
        <w:tblBorders>
          <w:top w:val="double" w:sz="2" w:space="0" w:color="000000"/>
          <w:left w:val="double" w:sz="2" w:space="0" w:color="000000"/>
          <w:bottom w:val="double" w:sz="2" w:space="0" w:color="000000"/>
          <w:right w:val="double" w:sz="2" w:space="0" w:color="000000"/>
          <w:insideH w:val="single" w:sz="2" w:space="0" w:color="000000"/>
          <w:insideV w:val="single" w:sz="2" w:space="0" w:color="000000"/>
        </w:tblBorders>
        <w:tblLayout w:type="fixed"/>
        <w:tblCellMar>
          <w:left w:w="145" w:type="dxa"/>
          <w:right w:w="145" w:type="dxa"/>
        </w:tblCellMar>
        <w:tblLook w:val="0000" w:firstRow="0" w:lastRow="0" w:firstColumn="0" w:lastColumn="0" w:noHBand="0" w:noVBand="0"/>
      </w:tblPr>
      <w:tblGrid>
        <w:gridCol w:w="1701"/>
        <w:gridCol w:w="7371"/>
      </w:tblGrid>
      <w:tr w:rsidR="00D817C7" w:rsidRPr="00ED4787" w:rsidTr="00D817C7">
        <w:trPr>
          <w:cantSplit/>
        </w:trPr>
        <w:tc>
          <w:tcPr>
            <w:tcW w:w="1701" w:type="dxa"/>
            <w:shd w:val="pct10" w:color="000000" w:fill="FFFFFF"/>
            <w:vAlign w:val="center"/>
          </w:tcPr>
          <w:p w:rsidR="00D817C7" w:rsidRPr="00ED4787" w:rsidRDefault="00D817C7" w:rsidP="00D817C7">
            <w:pPr>
              <w:pStyle w:val="RollCallVotes"/>
            </w:pPr>
            <w:r>
              <w:t>0</w:t>
            </w:r>
          </w:p>
        </w:tc>
        <w:tc>
          <w:tcPr>
            <w:tcW w:w="7371" w:type="dxa"/>
            <w:shd w:val="pct10" w:color="000000" w:fill="FFFFFF"/>
          </w:tcPr>
          <w:p w:rsidR="00D817C7" w:rsidRPr="00ED4787" w:rsidRDefault="00D817C7" w:rsidP="00D817C7">
            <w:pPr>
              <w:pStyle w:val="RollCallSymbols14pt"/>
            </w:pPr>
            <w:r>
              <w:t>0</w:t>
            </w:r>
          </w:p>
        </w:tc>
      </w:tr>
      <w:tr w:rsidR="00D817C7" w:rsidRPr="00ED4787" w:rsidTr="00D817C7">
        <w:trPr>
          <w:cantSplit/>
        </w:trPr>
        <w:tc>
          <w:tcPr>
            <w:tcW w:w="1701" w:type="dxa"/>
            <w:shd w:val="clear" w:color="auto" w:fill="FFFFFF"/>
          </w:tcPr>
          <w:p w:rsidR="00D817C7" w:rsidRPr="00ED4787" w:rsidRDefault="00D817C7" w:rsidP="00D817C7">
            <w:pPr>
              <w:pStyle w:val="RollCallTable"/>
            </w:pPr>
          </w:p>
        </w:tc>
        <w:tc>
          <w:tcPr>
            <w:tcW w:w="7371" w:type="dxa"/>
            <w:shd w:val="clear" w:color="auto" w:fill="FFFFFF"/>
          </w:tcPr>
          <w:p w:rsidR="00D817C7" w:rsidRPr="00ED4787" w:rsidRDefault="00D817C7" w:rsidP="00D817C7">
            <w:pPr>
              <w:pStyle w:val="RollCallTable"/>
            </w:pPr>
          </w:p>
        </w:tc>
      </w:tr>
    </w:tbl>
    <w:p w:rsidR="00D817C7" w:rsidRPr="00ED4787" w:rsidRDefault="00D817C7" w:rsidP="00147FBF">
      <w:pPr>
        <w:pStyle w:val="Normal12a"/>
      </w:pPr>
    </w:p>
    <w:p w:rsidR="00D817C7" w:rsidRPr="00ED4787" w:rsidRDefault="00D817C7" w:rsidP="00B735E3">
      <w:r>
        <w:t>Izmantoto apzīmējumu skaidrojums:</w:t>
      </w:r>
    </w:p>
    <w:p w:rsidR="00D817C7" w:rsidRPr="00ED4787" w:rsidRDefault="00D817C7" w:rsidP="003858C5">
      <w:pPr>
        <w:pStyle w:val="RollCallTabs"/>
      </w:pPr>
      <w:r>
        <w:t>+</w:t>
      </w:r>
      <w:r>
        <w:tab/>
        <w:t>:</w:t>
      </w:r>
      <w:r>
        <w:tab/>
        <w:t>par</w:t>
      </w:r>
    </w:p>
    <w:p w:rsidR="00D817C7" w:rsidRPr="00ED4787" w:rsidRDefault="00D817C7" w:rsidP="003858C5">
      <w:pPr>
        <w:pStyle w:val="RollCallTabs"/>
      </w:pPr>
      <w:r>
        <w:t>-</w:t>
      </w:r>
      <w:r>
        <w:tab/>
        <w:t>:</w:t>
      </w:r>
      <w:r>
        <w:tab/>
        <w:t>pret</w:t>
      </w:r>
    </w:p>
    <w:p w:rsidR="00D817C7" w:rsidRPr="00ED4787" w:rsidRDefault="00D817C7" w:rsidP="003858C5">
      <w:pPr>
        <w:pStyle w:val="RollCallTabs"/>
      </w:pPr>
      <w:r>
        <w:t>0</w:t>
      </w:r>
      <w:r>
        <w:tab/>
        <w:t>:</w:t>
      </w:r>
      <w:r>
        <w:tab/>
        <w:t>atturas</w:t>
      </w:r>
    </w:p>
    <w:p w:rsidR="00D817C7" w:rsidRPr="00ED4787" w:rsidRDefault="00D817C7" w:rsidP="00207509"/>
    <w:bookmarkEnd w:id="2"/>
    <w:p w:rsidR="00BF0AFC" w:rsidRPr="00ED4787" w:rsidRDefault="00BF0AFC" w:rsidP="00654B6C"/>
    <w:sectPr w:rsidR="00BF0AFC" w:rsidRPr="00ED4787" w:rsidSect="00D817C7">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95015B" w:rsidRPr="00ED4787" w:rsidRDefault="0095015B">
      <w:r w:rsidRPr="00ED4787">
        <w:separator/>
      </w:r>
    </w:p>
  </w:endnote>
  <w:endnote w:type="continuationSeparator" w:id="0">
    <w:p w:rsidR="0095015B" w:rsidRPr="00ED4787" w:rsidRDefault="0095015B">
      <w:r w:rsidRPr="00ED4787">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sans-serif">
    <w:panose1 w:val="00000000000000000000"/>
    <w:charset w:val="00"/>
    <w:family w:val="auto"/>
    <w:notTrueType/>
    <w:pitch w:val="default"/>
    <w:sig w:usb0="00000003" w:usb1="00000000" w:usb2="00000000" w:usb3="00000000" w:csb0="00000001"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altName w:val="游明朝"/>
    <w:panose1 w:val="00000000000000000000"/>
    <w:charset w:val="80"/>
    <w:family w:val="roman"/>
    <w:notTrueType/>
    <w:pitch w:val="default"/>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0771D" w:rsidRPr="00ED4787" w:rsidRDefault="0070771D" w:rsidP="0070771D">
    <w:pPr>
      <w:pStyle w:val="EPFooter"/>
    </w:pPr>
    <w:r w:rsidRPr="00ED4787">
      <w:t>PE</w:t>
    </w:r>
    <w:r w:rsidRPr="00ED4787">
      <w:rPr>
        <w:rStyle w:val="HideTWBExt"/>
      </w:rPr>
      <w:t>&lt;NoPE&gt;</w:t>
    </w:r>
    <w:r w:rsidRPr="00ED4787">
      <w:t>765.331</w:t>
    </w:r>
    <w:r w:rsidRPr="00ED4787">
      <w:rPr>
        <w:rStyle w:val="HideTWBExt"/>
      </w:rPr>
      <w:t>&lt;/NoPE&gt;&lt;Version&gt;</w:t>
    </w:r>
    <w:r w:rsidRPr="00ED4787">
      <w:t>v03-00</w:t>
    </w:r>
    <w:r w:rsidRPr="00ED4787">
      <w:rPr>
        <w:rStyle w:val="HideTWBExt"/>
      </w:rPr>
      <w:t>&lt;/Version&gt;</w:t>
    </w:r>
    <w:r w:rsidRPr="00ED4787">
      <w:tab/>
    </w:r>
    <w:r w:rsidRPr="00ED4787">
      <w:fldChar w:fldCharType="begin"/>
    </w:r>
    <w:r w:rsidRPr="00ED4787">
      <w:instrText xml:space="preserve"> PAGE  \* MERGEFORMAT </w:instrText>
    </w:r>
    <w:r w:rsidRPr="00ED4787">
      <w:fldChar w:fldCharType="separate"/>
    </w:r>
    <w:r w:rsidR="005419FD">
      <w:rPr>
        <w:noProof/>
      </w:rPr>
      <w:t>2</w:t>
    </w:r>
    <w:r w:rsidRPr="00ED4787">
      <w:fldChar w:fldCharType="end"/>
    </w:r>
    <w:r w:rsidRPr="00ED4787">
      <w:t>/</w:t>
    </w:r>
    <w:r w:rsidR="005419FD">
      <w:fldChar w:fldCharType="begin"/>
    </w:r>
    <w:r w:rsidR="005419FD">
      <w:instrText xml:space="preserve"> NUMPAGES  \* MERGEFORMAT </w:instrText>
    </w:r>
    <w:r w:rsidR="005419FD">
      <w:fldChar w:fldCharType="separate"/>
    </w:r>
    <w:r w:rsidR="005419FD">
      <w:rPr>
        <w:noProof/>
      </w:rPr>
      <w:t>9</w:t>
    </w:r>
    <w:r w:rsidR="005419FD">
      <w:rPr>
        <w:noProof/>
      </w:rPr>
      <w:fldChar w:fldCharType="end"/>
    </w:r>
    <w:r w:rsidRPr="00ED4787">
      <w:tab/>
    </w:r>
    <w:r w:rsidRPr="00ED4787">
      <w:rPr>
        <w:rStyle w:val="HideTWBExt"/>
      </w:rPr>
      <w:t>&lt;PathFdR&gt;</w:t>
    </w:r>
    <w:r w:rsidRPr="00ED4787">
      <w:t>AD\1311349LV.docx</w:t>
    </w:r>
    <w:r w:rsidRPr="00ED4787">
      <w:rPr>
        <w:rStyle w:val="HideTWBExt"/>
      </w:rPr>
      <w:t>&lt;/PathFdR&gt;</w:t>
    </w:r>
  </w:p>
  <w:p w:rsidR="002E2F2E" w:rsidRPr="00ED4787" w:rsidRDefault="0070771D" w:rsidP="0070771D">
    <w:pPr>
      <w:pStyle w:val="EPFooter2"/>
    </w:pPr>
    <w:r w:rsidRPr="00ED4787">
      <w:t>LV</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0771D" w:rsidRPr="00ED4787" w:rsidRDefault="0070771D" w:rsidP="0070771D">
    <w:pPr>
      <w:pStyle w:val="EPFooter"/>
    </w:pPr>
    <w:r w:rsidRPr="00ED4787">
      <w:rPr>
        <w:rStyle w:val="HideTWBExt"/>
      </w:rPr>
      <w:t>&lt;PathFdR&gt;</w:t>
    </w:r>
    <w:r w:rsidRPr="00ED4787">
      <w:t>AD\1311349LV.docx</w:t>
    </w:r>
    <w:r w:rsidRPr="00ED4787">
      <w:rPr>
        <w:rStyle w:val="HideTWBExt"/>
      </w:rPr>
      <w:t>&lt;/PathFdR&gt;</w:t>
    </w:r>
    <w:r w:rsidRPr="00ED4787">
      <w:tab/>
    </w:r>
    <w:r w:rsidRPr="00ED4787">
      <w:fldChar w:fldCharType="begin"/>
    </w:r>
    <w:r w:rsidRPr="00ED4787">
      <w:instrText xml:space="preserve"> PAGE  \* MERGEFORMAT </w:instrText>
    </w:r>
    <w:r w:rsidRPr="00ED4787">
      <w:fldChar w:fldCharType="separate"/>
    </w:r>
    <w:r w:rsidR="005419FD">
      <w:rPr>
        <w:noProof/>
      </w:rPr>
      <w:t>3</w:t>
    </w:r>
    <w:r w:rsidRPr="00ED4787">
      <w:fldChar w:fldCharType="end"/>
    </w:r>
    <w:r w:rsidRPr="00ED4787">
      <w:t>/</w:t>
    </w:r>
    <w:r w:rsidR="005419FD">
      <w:fldChar w:fldCharType="begin"/>
    </w:r>
    <w:r w:rsidR="005419FD">
      <w:instrText xml:space="preserve"> NUMPAGES  \* MERGEFORMAT </w:instrText>
    </w:r>
    <w:r w:rsidR="005419FD">
      <w:fldChar w:fldCharType="separate"/>
    </w:r>
    <w:r w:rsidR="005419FD">
      <w:rPr>
        <w:noProof/>
      </w:rPr>
      <w:t>9</w:t>
    </w:r>
    <w:r w:rsidR="005419FD">
      <w:rPr>
        <w:noProof/>
      </w:rPr>
      <w:fldChar w:fldCharType="end"/>
    </w:r>
    <w:r w:rsidRPr="00ED4787">
      <w:tab/>
      <w:t>PE</w:t>
    </w:r>
    <w:r w:rsidRPr="00ED4787">
      <w:rPr>
        <w:rStyle w:val="HideTWBExt"/>
      </w:rPr>
      <w:t>&lt;NoPE&gt;</w:t>
    </w:r>
    <w:r w:rsidRPr="00ED4787">
      <w:t>765.331</w:t>
    </w:r>
    <w:r w:rsidRPr="00ED4787">
      <w:rPr>
        <w:rStyle w:val="HideTWBExt"/>
      </w:rPr>
      <w:t>&lt;/NoPE&gt;&lt;Version&gt;</w:t>
    </w:r>
    <w:r w:rsidRPr="00ED4787">
      <w:t>v03-00</w:t>
    </w:r>
    <w:r w:rsidRPr="00ED4787">
      <w:rPr>
        <w:rStyle w:val="HideTWBExt"/>
      </w:rPr>
      <w:t>&lt;/Version&gt;</w:t>
    </w:r>
  </w:p>
  <w:p w:rsidR="002E2F2E" w:rsidRPr="00ED4787" w:rsidRDefault="0070771D" w:rsidP="0070771D">
    <w:pPr>
      <w:pStyle w:val="EPFooter2"/>
    </w:pPr>
    <w:r w:rsidRPr="00ED4787">
      <w:tab/>
    </w:r>
    <w:r w:rsidRPr="00ED4787">
      <w:tab/>
      <w:t>LV</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0771D" w:rsidRPr="00ED4787" w:rsidRDefault="0070771D" w:rsidP="0070771D">
    <w:pPr>
      <w:pStyle w:val="EPFooter"/>
    </w:pPr>
    <w:r w:rsidRPr="00ED4787">
      <w:rPr>
        <w:rStyle w:val="HideTWBExt"/>
      </w:rPr>
      <w:t>&lt;PathFdR&gt;</w:t>
    </w:r>
    <w:r w:rsidRPr="00ED4787">
      <w:t>AD\1311349LV.docx</w:t>
    </w:r>
    <w:r w:rsidRPr="00ED4787">
      <w:rPr>
        <w:rStyle w:val="HideTWBExt"/>
      </w:rPr>
      <w:t>&lt;/PathFdR&gt;</w:t>
    </w:r>
    <w:r w:rsidRPr="00ED4787">
      <w:tab/>
    </w:r>
    <w:r w:rsidRPr="00ED4787">
      <w:tab/>
      <w:t>PE</w:t>
    </w:r>
    <w:r w:rsidRPr="00ED4787">
      <w:rPr>
        <w:rStyle w:val="HideTWBExt"/>
      </w:rPr>
      <w:t>&lt;NoPE&gt;</w:t>
    </w:r>
    <w:r w:rsidRPr="00ED4787">
      <w:t>765.331</w:t>
    </w:r>
    <w:r w:rsidRPr="00ED4787">
      <w:rPr>
        <w:rStyle w:val="HideTWBExt"/>
      </w:rPr>
      <w:t>&lt;/NoPE&gt;&lt;Version&gt;</w:t>
    </w:r>
    <w:r w:rsidRPr="00ED4787">
      <w:t>v03-00</w:t>
    </w:r>
    <w:r w:rsidRPr="00ED4787">
      <w:rPr>
        <w:rStyle w:val="HideTWBExt"/>
      </w:rPr>
      <w:t>&lt;/Version&gt;</w:t>
    </w:r>
  </w:p>
  <w:p w:rsidR="002E2F2E" w:rsidRPr="00ED4787" w:rsidRDefault="0070771D" w:rsidP="0070771D">
    <w:pPr>
      <w:pStyle w:val="EPFooter2"/>
    </w:pPr>
    <w:r w:rsidRPr="00ED4787">
      <w:t>LV</w:t>
    </w:r>
    <w:r w:rsidRPr="00ED4787">
      <w:tab/>
    </w:r>
    <w:r w:rsidRPr="00ED4787">
      <w:rPr>
        <w:b w:val="0"/>
        <w:i/>
        <w:color w:val="C0C0C0"/>
        <w:sz w:val="22"/>
      </w:rPr>
      <w:t>Vienoti daudzveidībā</w:t>
    </w:r>
    <w:r w:rsidRPr="00ED4787">
      <w:tab/>
      <w:t>LV</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95015B" w:rsidRPr="00ED4787" w:rsidRDefault="0095015B">
      <w:r w:rsidRPr="00ED4787">
        <w:separator/>
      </w:r>
    </w:p>
  </w:footnote>
  <w:footnote w:type="continuationSeparator" w:id="0">
    <w:p w:rsidR="0095015B" w:rsidRPr="00ED4787" w:rsidRDefault="0095015B">
      <w:r w:rsidRPr="00ED4787">
        <w:continuationSeparator/>
      </w:r>
    </w:p>
  </w:footnote>
  <w:footnote w:id="1">
    <w:p w:rsidR="00D817C7" w:rsidRPr="00ED4787" w:rsidRDefault="00D817C7" w:rsidP="00D817C7">
      <w:pPr>
        <w:pStyle w:val="FootnoteText"/>
      </w:pPr>
      <w:r>
        <w:rPr>
          <w:rStyle w:val="FootnoteReference"/>
        </w:rPr>
        <w:footnoteRef/>
      </w:r>
      <w:r>
        <w:t xml:space="preserve"> OV L 2024/2509, 26.9.2024., ELI: </w:t>
      </w:r>
      <w:hyperlink r:id="rId1" w:tgtFrame="_blank" w:tooltip="Dokumentam var piekļūt ELI URI vietnē." w:history="1">
        <w:r>
          <w:rPr>
            <w:rStyle w:val="Hyperlink"/>
          </w:rPr>
          <w:t>http://data.europa.eu/eli/reg/2024/2509/oj</w:t>
        </w:r>
      </w:hyperlink>
      <w:r>
        <w:t>.</w:t>
      </w:r>
      <w:r>
        <w:rPr>
          <w:rFonts w:ascii="Segoe UI" w:hAnsi="Segoe UI"/>
          <w:i/>
          <w:color w:val="333333"/>
          <w:sz w:val="21"/>
          <w:shd w:val="clear" w:color="auto" w:fill="FFFFFF"/>
        </w:rPr>
        <w:t> </w:t>
      </w:r>
    </w:p>
  </w:footnote>
  <w:footnote w:id="2">
    <w:p w:rsidR="00D817C7" w:rsidRPr="00ED4787" w:rsidRDefault="00D817C7" w:rsidP="00D817C7">
      <w:pPr>
        <w:pStyle w:val="FootnoteText"/>
      </w:pPr>
      <w:r>
        <w:rPr>
          <w:rStyle w:val="FootnoteReference"/>
        </w:rPr>
        <w:footnoteRef/>
      </w:r>
      <w:r>
        <w:t xml:space="preserve"> OV L 433I, 22.12.2020., 11. lpp., ELI: </w:t>
      </w:r>
      <w:hyperlink r:id="rId2" w:history="1">
        <w:r>
          <w:rPr>
            <w:rStyle w:val="Hyperlink"/>
          </w:rPr>
          <w:t>http://data.europa.eu/eli/reg/2020/2093/oj</w:t>
        </w:r>
      </w:hyperlink>
      <w:r>
        <w:t>.</w:t>
      </w:r>
    </w:p>
  </w:footnote>
  <w:footnote w:id="3">
    <w:p w:rsidR="00D817C7" w:rsidRPr="00ED4787" w:rsidRDefault="00D817C7" w:rsidP="00D817C7">
      <w:pPr>
        <w:pStyle w:val="FootnoteText"/>
      </w:pPr>
      <w:r>
        <w:rPr>
          <w:rStyle w:val="FootnoteReference"/>
        </w:rPr>
        <w:footnoteRef/>
      </w:r>
      <w:r>
        <w:t xml:space="preserve"> OV L 433I, 22.12.2020., 28. lpp., ELI: </w:t>
      </w:r>
      <w:hyperlink r:id="rId3" w:history="1">
        <w:r>
          <w:rPr>
            <w:rStyle w:val="Hyperlink"/>
          </w:rPr>
          <w:t>http://data.europa.eu/eli/agree_interinstit/2020/1222/oj</w:t>
        </w:r>
      </w:hyperlink>
      <w:r>
        <w:t>.</w:t>
      </w:r>
    </w:p>
  </w:footnote>
  <w:footnote w:id="4">
    <w:p w:rsidR="00D817C7" w:rsidRPr="00ED4787" w:rsidRDefault="00D817C7" w:rsidP="00D817C7">
      <w:pPr>
        <w:pStyle w:val="FootnoteText"/>
      </w:pPr>
      <w:r>
        <w:rPr>
          <w:rStyle w:val="FootnoteReference"/>
        </w:rPr>
        <w:footnoteRef/>
      </w:r>
      <w:r>
        <w:rPr>
          <w:b/>
          <w:i/>
        </w:rPr>
        <w:t xml:space="preserve"> </w:t>
      </w:r>
      <w:r>
        <w:t xml:space="preserve">OV L 2024/2509, 26.9.2024., ELI: </w:t>
      </w:r>
      <w:hyperlink r:id="rId4" w:history="1">
        <w:r>
          <w:rPr>
            <w:rStyle w:val="Hyperlink"/>
          </w:rPr>
          <w:t>http://data.europa.eu/eli/reg/2024/2509/oj</w:t>
        </w:r>
      </w:hyperlink>
      <w:r>
        <w:t>.</w:t>
      </w:r>
    </w:p>
  </w:footnote>
  <w:footnote w:id="5">
    <w:p w:rsidR="00D817C7" w:rsidRPr="00ED4787" w:rsidRDefault="00D817C7" w:rsidP="00D817C7">
      <w:pPr>
        <w:pStyle w:val="FootnoteText"/>
      </w:pPr>
      <w:r>
        <w:rPr>
          <w:rStyle w:val="FootnoteReference"/>
        </w:rPr>
        <w:footnoteRef/>
      </w:r>
      <w:r>
        <w:t xml:space="preserve"> Priekšlikums Eiropas Parlamenta un Padomes regulai (2024. gada 21. oktobris) “</w:t>
      </w:r>
      <w:r>
        <w:rPr>
          <w:i/>
          <w:iCs/>
        </w:rPr>
        <w:t>RESTORE</w:t>
      </w:r>
      <w:r>
        <w:t>” — Reģionālais ārkārtas atbalsts rekonstrukcijai, ar ko groza Regulu (ES) 2021/1058 un Regulu (ES) 2021/1057 (COM(2024)0496).</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263C1" w:rsidRDefault="004263C1">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263C1" w:rsidRDefault="004263C1">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263C1" w:rsidRDefault="004263C1">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19"/>
  <w:mirrorMargin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oNotHyphenateCaps/>
  <w:evenAndOddHeader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hdrShapeDefaults>
    <o:shapedefaults v:ext="edit" spidmax="20481"/>
  </w:hdrShapeDefault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AMACT2MNU" w:val=" 1"/>
    <w:docVar w:name="AMACTMNU" w:val=" 1"/>
    <w:docVar w:name="CJMNU" w:val="1"/>
    <w:docVar w:name="CODEMNU" w:val=" 3"/>
    <w:docVar w:name="COM2KEY" w:val="AGRI"/>
    <w:docVar w:name="COMKEY" w:val="BUDG"/>
    <w:docVar w:name="CopyToNetwork" w:val="-1"/>
    <w:docVar w:name="CVar" w:val="1"/>
    <w:docVar w:name="DOCDT" w:val="12/11/2024"/>
    <w:docVar w:name="DOCMNU" w:val=" 1"/>
    <w:docVar w:name="iNoAmend" w:val="1"/>
    <w:docVar w:name="LastEditedSection" w:val=" 2"/>
    <w:docVar w:name="ORLANGKEY" w:val="EN"/>
    <w:docVar w:name="ORLANGMNU" w:val=" 1"/>
    <w:docVar w:name="PROPOSALCODMNU" w:val=" 1"/>
    <w:docVar w:name="RepeatBlock-AmendEN" w:val="{\rtf1\adeflang1025\ansi\ansicpg1252\uc1\adeff0\deff0\stshfdbch0\stshfloch0\stshfhich0\stshfbi0\deflang2057\deflangfe2057\themelang2057\themelangfe0\themelangcs1108{\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swiss\fcharset0\fprq2 DokChampa{\*\falt Leelawadee UI};}{\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swiss\fcharset0\fprq2 DokChampa{\*\falt Leelawadee UI};}{\f337\fbidi \froman\fcharset238\fprq2 Times New Roman CE;}{\f338\fbidi \froman\fcharset204\fprq2 Times New Roman Cyr;}_x000d__x000a_{\f340\fbidi \froman\fcharset161\fprq2 Times New Roman Greek;}{\f341\fbidi \froman\fcharset162\fprq2 Times New Roman Tur;}{\f342\fbidi \froman\fcharset177\fprq2 Times New Roman (Hebrew);}{\f343\fbidi \froman\fcharset178\fprq2 Times New Roman (Arabic);}_x000d__x000a_{\f344\fbidi \froman\fcharset186\fprq2 Times New Roman Baltic;}{\f345\fbidi \froman\fcharset163\fprq2 Times New Roman (Vietnamese);}{\f347\fbidi \fswiss\fcharset238\fprq2 Arial CE;}{\f348\fbidi \fswiss\fcharset204\fprq2 Arial Cyr;}_x000d__x000a_{\f350\fbidi \fswiss\fcharset161\fprq2 Arial Greek;}{\f351\fbidi \fswiss\fcharset162\fprq2 Arial Tur;}{\f352\fbidi \fswiss\fcharset177\fprq2 Arial (Hebrew);}{\f353\fbidi \fswiss\fcharset178\fprq2 Arial (Arabic);}_x000d__x000a_{\f354\fbidi \fswiss\fcharset186\fprq2 Arial Baltic;}{\f355\fbidi \fswiss\fcharset163\fprq2 Arial (Vietnamese);}{\f677\fbidi \froman\fcharset238\fprq2 Cambria Math CE;}{\f678\fbidi \froman\fcharset204\fprq2 Cambria Math Cyr;}_x000d__x000a_{\f680\fbidi \froman\fcharset161\fprq2 Cambria Math Greek;}{\f681\fbidi \froman\fcharset162\fprq2 Cambria Math Tur;}{\f684\fbidi \froman\fcharset186\fprq2 Cambria Math Baltic;}{\f685\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47\fbidi \fswiss\fcharset222\fprq2 DokChampa (Thai){\*\falt Leelawadee UI};}{\flominor\f31548\fbidi \froman\fcharset238\fprq2 Times New Roman CE;}{\flominor\f31549\fbidi \froman\fcharset204\fprq2 Times New Roman Cyr;}_x000d__x000a_{\flominor\f31551\fbidi \froman\fcharset161\fprq2 Times New Roman Greek;}{\flominor\f31552\fbidi \froman\fcharset162\fprq2 Times New Roman Tur;}{\flominor\f31553\fbidi \froman\fcharset177\fprq2 Times New Roman (Hebrew);}_x000d__x000a_{\flominor\f31554\fbidi \froman\fcharset178\fprq2 Times New Roman (Arabic);}{\flominor\f31555\fbidi \froman\fcharset186\fprq2 Times New Roman Baltic;}{\flominor\f31556\fbidi \froman\fcharset163\fprq2 Times New Roman (Vietnamese);}_x000d__x000a_{\fdbminor\f31558\fbidi \froman\fcharset238\fprq2 Times New Roman CE;}{\fdbminor\f31559\fbidi \froman\fcharset204\fprq2 Times New Roman Cyr;}{\fdbminor\f31561\fbidi \froman\fcharset161\fprq2 Times New Roman Greek;}_x000d__x000a_{\fdbminor\f31562\fbidi \froman\fcharset162\fprq2 Times New Roman Tur;}{\fdbminor\f31563\fbidi \froman\fcharset177\fprq2 Times New Roman (Hebrew);}{\fdbminor\f31564\fbidi \froman\fcharset178\fprq2 Times New Roman (Arabic);}_x000d__x000a_{\fdbminor\f31565\fbidi \froman\fcharset186\fprq2 Times New Roman Baltic;}{\fdbminor\f31566\fbidi \froman\fcharset163\fprq2 Times New Roman (Vietnamese);}{\fhiminor\f31568\fbidi \fswiss\fcharset238\fprq2 Calibri CE;}_x000d__x000a_{\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87\fbidi \fswiss\fcharset222\fprq2 DokChampa (Thai){\*\falt Leelawadee UI};}}{\colortbl;\red0\green0\blue0;\red0\green0\blue255;\red0\green255\blue255;_x000d__x000a_\red0\green255\blue0;\red255\green0\blue255;\red255\green0\blue0;\red255\green255\blue0;\red255\green255\blue255;\red0\green0\blue128;\red0\green128\blue128;\red0\green128\blue0;\red128\green0\blue128;\red128\green0\blue0;\red128\green128\blue0;_x000d__x000a_\red128\green128\blue128;\red192\green192\blue192;\caccentone\ctint255\cshade191\red46\green116\blue181;}{\*\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styrsid7823322 Normal;}{_x000d__x000a_\s1\ql \li0\ri0\sb240\keep\keepn\widctlpar\wrapdefault\aspalpha\aspnum\faauto\outlinelevel0\adjustright\rin0\lin0\itap0 \rtlch\fcs1 \af31503\afs32\alang1025 \ltrch\fcs0 _x000d__x000a_\fs32\cf17\lang2057\langfe2057\loch\f31502\hich\af31502\dbch\af31501\cgrid\langnp2057\langfenp2057 \sbasedon0 \snext0 \slink15 \ssemihidden \sqformat \spriority0 \styrsid223860 heading 1;}{\*\cs10 \additive \ssemihidden \sunhideused \spriority1 _x000d__x000a_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unhideused Normal Table;}{\*\cs15 \additive _x000d__x000a_\rtlch\fcs1 \af31503\afs32 \ltrch\fcs0 \fs32\cf17\loch\f31502\hich\af31502\dbch\af31501 \sbasedon10 \slink1 \slocked \ssemihidden \spriority0 \styrsid11549030 Heading 1 Char;}{_x000d__x000a_\s16\ql \li0\ri0\sa240\widctlpar\wrapdefault\aspalpha\aspnum\faauto\adjustright\rin0\lin0\itap0 \rtlch\fcs1 \af0\afs20\alang1025 \ltrch\fcs0 \fs24\lang2057\langfe2057\cgrid\langnp2057\langfenp2057 _x000d__x000a_\sbasedon0 \snext0 \ssemihidden \sunhideused \sqformat \spriority39 \styrsid223860 TOC Heading;}{\*\cs17 \additive \v\f1\fs20\cf9\lang1024\langfe1024\noproof \spriority0 \styrsid2884273 HideTWBExt;}{\*\cs18 \additive \v\f1\fs20\cf15 _x000d__x000a_\spriority0 \styrsid2884273 HideTWBInt;}{\s19\ql \li0\ri0\nowidctlpar\wrapdefault\aspalpha\aspnum\faauto\adjustright\rin0\lin0\itap0 \rtlch\fcs1 \af0\afs20\alang1025 \ltrch\fcs0 \b\fs24\lang2057\langfe2057\cgrid\langnp2057\langfenp2057 _x000d__x000a_\sbasedon0 \snext19 \spriority0 \styrsid2884273 NormalBold;}{\s20\ql \li0\ri0\sa120\nowidctlpar\wrapdefault\aspalpha\aspnum\faauto\adjustright\rin0\lin0\itap0 \rtlch\fcs1 \af0\afs20\alang1025 \ltrch\fcs0 _x000d__x000a_\fs24\lang2057\langfe2057\cgrid\langnp2057\langfenp2057 \sbasedon0 \snext20 \spriority0 \styrsid2884273 Normal6a;}{\s21\qc \li0\ri0\sa240\nowidctlpar\wrapdefault\aspalpha\aspnum\faauto\adjustright\rin0\lin0\itap0 \rtlch\fcs1 \af0\afs20\alang1025 _x000d__x000a_\ltrch\fcs0 \i\fs24\lang2057\langfe2057\cgrid\langnp2057\langfenp2057 \sbasedon0 \snext21 \spriority0 \styrsid2884273 AmColumnHeading;}{\s22\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2 \spriority0 \styrsid2884273 AmNumberTabs;}{\s23\ql \li0\ri0\sa240\nowidctlpar\wrapdefault\aspalpha\aspnum\faauto\adjustright\rin0\lin0\itap0 \rtlch\fcs1 _x000d__x000a_\af0\afs20\alang1025 \ltrch\fcs0 \i\fs24\lang2057\langfe2057\cgrid\langnp2057\langfenp2057 \sbasedon0 \snext23 \spriority0 \styrsid2884273 AmJustText;}{_x000d__x000a_\s24\qc \li0\ri0\sb240\sa240\nowidctlpar\wrapdefault\aspalpha\aspnum\faauto\adjustright\rin0\lin0\itap0 \rtlch\fcs1 \af0\afs20\alang1025 \ltrch\fcs0 \i\fs24\lang2057\langfe2057\cgrid\langnp2057\langfenp2057 \sbasedon0 \snext24 \spriority0 \styrsid2884273 _x000d__x000a_AmCrossRef;}{\s25\qc \li0\ri0\sb240\sa240\keepn\nowidctlpar\wrapdefault\aspalpha\aspnum\faauto\adjustright\rin0\lin0\itap0 \rtlch\fcs1 \af0\afs20\alang1025 \ltrch\fcs0 \i\fs24\lang2057\langfe2057\cgrid\langnp2057\langfenp2057 _x000d__x000a_\sbasedon0 \snext23 \spriority0 \styrsid2884273 AmJustTitle;}{\s26\ql \li0\ri0\sb240\nowidctlpar\wrapdefault\aspalpha\aspnum\faauto\adjustright\rin0\lin0\itap0 \rtlch\fcs1 \af0\afs20\alang1025 \ltrch\fcs0 _x000d__x000a_\b\fs24\lang2057\langfe2057\cgrid\langnp2057\langfenp2057 \sbasedon0 \snext26 \spriority0 \styrsid2884273 NormalBold12b;}}{\*\rsidtbl \rsid24658\rsid223860\rsid735077\rsid1718133\rsid2884273\rsid2892074\rsid3565327\rsid4666813\rsid6641733\rsid7823322_x000d__x000a_\rsid9636012\rsid10377208\rsid11215221\rsid11549030\rsid12154954\rsid14382809\rsid14424199\rsid14752679\rsid15204470\rsid15285974\rsid15950462\rsid16324206\rsid16662270}{\mmathPr\mmathFont34\mbrkBin0\mbrkBinSub0\msmallFrac0\mdispDef1\mlMargin0\mrMargin0_x000d__x000a_\mdefJc1\mwrapIndent1440\mintLim0\mnaryLim1}{\info{\author GLUSINA-BUTLERE Viktorija}{\operator GLUSINA-BUTLERE Viktorija}{\creatim\yr2024\mo11\dy29\hr10\min32}{\revtim\yr2024\mo11\dy29\hr10\min32}{\version1}{\edmins0}{\nofpages1}{\nofwords98}_x000d__x000a_{\nofchars571}{\nofcharsws663}{\vern109}}{\*\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4\viewscale100\pgbrdrhead\pgbrdrfoot\splytwnine\ftnlytwnine\htmautsp\nolnhtadjtbl\useltbaln\alntblind\lytcalctblwd\lyttblrtgr\lnbrkrule\nobrkwrptbl\snaptogridincell\allowfieldendsel\wrppunct_x000d__x000a_\asianbrkrule\nojkernpunct\rsidroot2884273\newtblstyruls\nogrowautofit\usenormstyforlist\noindnmbrts\felnbrelev\nocxsptable\indrlsweleven\noafcnsttbl\afelev\utinl\hwelev\spltpgpar\notcvasp\notbrkcnstfrctbl\notvatxbx\krnprsnet\cachedcolbal _x000d__x000a_\nouicompat \fet0{\*\wgrffmtfilter 013f}\nofeaturethrottle1\ilfomacatclnup0{\*\template C:\\Users\\VGLUSI~1\\AppData\\Local\\Temp\\Blank1.dotx}{\*\ftnsep \ltrpar \pard\plain \ltrpar_x000d__x000a_\ql \li0\ri0\widctlpar\wrapdefault\aspalpha\aspnum\faauto\adjustright\rin0\lin0\itap0 \rtlch\fcs1 \af0\afs20\alang1025 \ltrch\fcs0 \fs24\lang2057\langfe2057\cgrid\langnp2057\langfenp2057 {\rtlch\fcs1 \af0 \ltrch\fcs0 \insrsid14752679 \chftnsep _x000d__x000a_\par }}{\*\ftnsepc \ltrpar \pard\plain \ltrpar\ql \li0\ri0\widctlpar\wrapdefault\aspalpha\aspnum\faauto\adjustright\rin0\lin0\itap0 \rtlch\fcs1 \af0\afs20\alang1025 \ltrch\fcs0 \fs24\lang2057\langfe2057\cgrid\langnp2057\langfenp2057 {\rtlch\fcs1 \af0 _x000d__x000a_\ltrch\fcs0 \insrsid14752679 \chftnsepc _x000d__x000a_\par }}{\*\aftnsep \ltrpar \pard\plain \ltrpar\ql \li0\ri0\widctlpar\wrapdefault\aspalpha\aspnum\faauto\adjustright\rin0\lin0\itap0 \rtlch\fcs1 \af0\afs20\alang1025 \ltrch\fcs0 \fs24\lang2057\langfe2057\cgrid\langnp2057\langfenp2057 {\rtlch\fcs1 \af0 _x000d__x000a_\ltrch\fcs0 \insrsid14752679 \chftnsep _x000d__x000a_\par }}{\*\aftnsepc \ltrpar \pard\plain \ltrpar\ql \li0\ri0\widctlpar\wrapdefault\aspalpha\aspnum\faauto\adjustright\rin0\lin0\itap0 \rtlch\fcs1 \af0\afs20\alang1025 \ltrch\fcs0 \fs24\lang2057\langfe2057\cgrid\langnp2057\langfenp2057 {\rtlch\fcs1 \af0 _x000d__x000a_\ltrch\fcs0 \insrsid14752679 \chftnsepc _x000d__x000a_\par }}\ltrpar \sectd \ltrsect\psz9\linex0\headery1134\footery567\endnhere\titlepg\sectlinegrid326\sectdefaultcl\sectrsid10377208\sftnbj\sftnrestart {\headerl \ltrpar \pard\plain \ltrpar_x000d__x000a_\ql \li0\ri0\widctlpar\wrapdefault\aspalpha\aspnum\faauto\adjustright\rin0\lin0\itap0 \rtlch\fcs1 \af0\afs20\alang1025 \ltrch\fcs0 \fs24\lang2057\langfe2057\cgrid\langnp2057\langfenp2057 {\rtlch\fcs1 \af0 \ltrch\fcs0 \insrsid1718133 _x000d__x000a_\par }}{\headerr \ltrpar \pard\plain \ltrpar\ql \li0\ri0\widctlpar\wrapdefault\aspalpha\aspnum\faauto\adjustright\rin0\lin0\itap0 \rtlch\fcs1 \af0\afs20\alang1025 \ltrch\fcs0 \fs24\lang2057\langfe2057\cgrid\langnp2057\langfenp2057 {\rtlch\fcs1 \af0 _x000d__x000a_\ltrch\fcs0 \insrsid1718133 _x000d__x000a_\par }}{\footerl \ltrpar \pard\plain \ltrpar\ql \li0\ri0\widctlpar\wrapdefault\aspalpha\aspnum\faauto\adjustright\rin0\lin0\itap0 \rtlch\fcs1 \af0\afs20\alang1025 \ltrch\fcs0 \fs24\lang2057\langfe2057\cgrid\langnp2057\langfenp2057 {\rtlch\fcs1 \af0 _x000d__x000a_\ltrch\fcs0 \insrsid1718133 _x000d__x000a_\par }}{\footerr \ltrpar \pard\plain \ltrpar\ql \li0\ri0\widctlpar\wrapdefault\aspalpha\aspnum\faauto\adjustright\rin0\lin0\itap0 \rtlch\fcs1 \af0\afs20\alang1025 \ltrch\fcs0 \fs24\lang2057\langfe2057\cgrid\langnp2057\langfenp2057 {\rtlch\fcs1 \af0 _x000d__x000a_\ltrch\fcs0 \insrsid1718133 _x000d__x000a_\par }}{\headerf \ltrpar \pard\plain \ltrpar\ql \li0\ri0\widctlpar\wrapdefault\aspalpha\aspnum\faauto\adjustright\rin0\lin0\itap0 \rtlch\fcs1 \af0\afs20\alang1025 \ltrch\fcs0 \fs24\lang2057\langfe2057\cgrid\langnp2057\langfenp2057 {\rtlch\fcs1 \af0 _x000d__x000a_\ltrch\fcs0 \insrsid1718133 _x000d__x000a_\par }}{\footerf \ltrpar \pard\plain \ltrpar\ql \li0\ri0\widctlpar\wrapdefault\aspalpha\aspnum\faauto\adjustright\rin0\lin0\itap0 \rtlch\fcs1 \af0\afs20\alang1025 \ltrch\fcs0 \fs24\lang2057\langfe2057\cgrid\langnp2057\langfenp2057 {\rtlch\fcs1 \af0 _x000d__x000a_\ltrch\fcs0 \insrsid1718133 _x000d__x000a_\par }}{\*\pnseclvl1\pnucrm\pnstart1\pnindent720\pnhang {\pntxta .}}{\*\pnseclvl2\pnucltr\pnstart1\pnindent720\pnhang {\pntxta .}}{\*\pnseclvl3\pndec\pnstart1\pnindent720\pnhang {\pntxta .}}{\*\pnseclvl4\pnlcltr\pnstart1\pnindent720\pnhang {\pntxta )}}_x000d__x000a_{\*\pnseclvl5\pndec\pnstart1\pnindent720\pnhang {\pntxtb (}{\pntxta )}}{\*\pnseclvl6\pnlcltr\pnstart1\pnindent720\pnhang {\pntxtb (}{\pntxta )}}{\*\pnseclvl7\pnlcrm\pnstart1\pnindent720\pnhang {\pntxtb (}{\pntxta )}}{\*\pnseclvl8_x000d__x000a_\pnlcltr\pnstart1\pnindent720\pnhang {\pntxtb (}{\pntxta )}}{\*\pnseclvl9\pnlcrm\pnstart1\pnindent720\pnhang {\pntxtb (}{\pntxta )}}\pard\plain \ltrpar\s22\ql \li0\ri0\sb240\keepn\nowidctlpar_x000d__x000a_\tx879\tx936\tx1021\tx1077\tx1134\tx1191\tx1247\tx1304\tx1361\tx1418\tx1474\tx1531\tx1588\tx1644\tx1701\tx1758\tx1814\tx1871\tx2070\tx2126\tx3374\tx3430\wrapdefault\aspalpha\aspnum\faauto\adjustright\rin0\lin0\itap0\pararsid2884273 \rtlch\fcs1 _x000d__x000a_\af0\afs20\alang1025 \ltrch\fcs0 \b\fs24\lang2057\langfe2057\cgrid\langnp2057\langfenp2057 {\rtlch\fcs1 \af0 \ltrch\fcs0 \cs17\b0\v\fs20\cf9\lang1024\langfe1024\loch\af1\hich\af1\dbch\af31501\noproof\insrsid2884273\charrsid9765211 {\*\bkmkstart restart}_x000d__x000a_\hich\af1\dbch\af31501\loch\f1 &lt;Amend&gt;}{\rtlch\fcs1 \af0 \ltrch\fcs0 \insrsid2884273\charrsid9765211 Amendment\tab \tab }{\rtlch\fcs1 \af0 \ltrch\fcs0 _x000d__x000a_\cs17\b0\v\fs20\cf9\lang1024\langfe1024\loch\af1\hich\af1\dbch\af31501\noproof\insrsid2884273\charrsid9765211 \hich\af1\dbch\af31501\loch\f1 &lt;NumAm&gt;}{\rtlch\fcs1 \af0 \ltrch\fcs0 \insrsid2884273\charrsid9765211 #}{\rtlch\fcs1 \af0 \ltrch\fcs0 _x000d__x000a_\cs18\v\f1\fs20\cf15\insrsid2884273\charrsid9765211 ENMIENDA@NRAM@}{\rtlch\fcs1 \af0 \ltrch\fcs0 \insrsid2884273\charrsid9765211 #}{\rtlch\fcs1 \af0 \ltrch\fcs0 _x000d__x000a_\cs17\b0\v\fs20\cf9\lang1024\langfe1024\loch\af1\hich\af1\dbch\af31501\noproof\insrsid2884273\charrsid9765211 \hich\af1\dbch\af31501\loch\f1 &lt;/NumAm&gt;}{\rtlch\fcs1 \af0 \ltrch\fcs0 \insrsid2884273\charrsid9765211 _x000d__x000a_\par }\pard\plain \ltrpar\s26\ql \li0\ri0\sb240\keepn\nowidctlpar\wrapdefault\aspalpha\aspnum\faauto\adjustright\rin0\lin0\itap0\pararsid2884273 \rtlch\fcs1 \af0\afs20\alang1025 \ltrch\fcs0 \b\fs24\lang2057\langfe2057\cgrid\langnp2057\langfenp2057 {_x000d__x000a_\rtlch\fcs1 \af0 \ltrch\fcs0 \cs17\b0\v\fs20\cf9\lang1024\langfe1024\loch\af1\hich\af1\dbch\af31501\noproof\insrsid2884273\charrsid9765211 \hich\af1\dbch\af31501\loch\f1 &lt;DocAmend&gt;}{\rtlch\fcs1 \af0 \ltrch\fcs0 \insrsid2884273\charrsid9765211 #}{_x000d__x000a_\rtlch\fcs1 \af0 \ltrch\fcs0 \cs18\v\f1\fs20\cf15\insrsid2884273\charrsid9765211 MNU[PROPCOM][PROPCOUNC]@CHOICE@TITLEMNU}{\rtlch\fcs1 \af0 \ltrch\fcs0 \insrsid2884273\charrsid9765211 # for a #}{\rtlch\fcs1 \af0 \ltrch\fcs0 _x000d__x000a_\cs18\v\f1\fs20\cf15\insrsid2884273\charrsid9765211 MNU[DOC1][DOC2][DOC3][DOC4]@CHOICE@DOCMNU}{\rtlch\fcs1 \af0 \ltrch\fcs0 \insrsid2884273\charrsid9765211 ##}{\rtlch\fcs1 \af0 \ltrch\fcs0 \cs18\v\f1\fs20\cf15\insrsid2884273\charrsid9765211 _x000d__x000a_MNU[AMACTYES][NOTAPP]@CHOICE@AMACTMNU}{\rtlch\fcs1 \af0 \ltrch\fcs0 \insrsid2884273\charrsid9765211 #}{\rtlch\fcs1 \af0 \ltrch\fcs0 \cs17\b0\v\fs20\cf9\lang1024\langfe1024\loch\af1\hich\af1\dbch\af31501\noproof\insrsid2884273\charrsid9765211 _x000d__x000a_\hich\af1\dbch\af31501\loch\f1 &lt;/DocAmend&gt;}{\rtlch\fcs1 \af0 \ltrch\fcs0 \insrsid2884273\charrsid9765211 _x000d__x000a_\par }\pard\plain \ltrpar\s19\ql \li0\ri0\nowidctlpar\wrapdefault\aspalpha\aspnum\faauto\adjustright\rin0\lin0\itap0\pararsid2884273 \rtlch\fcs1 \af0\afs20\alang1025 \ltrch\fcs0 \b\fs24\lang2057\langfe2057\cgrid\langnp2057\langfenp2057 {\rtlch\fcs1 \af0 _x000d__x000a_\ltrch\fcs0 \cs17\b0\v\fs20\cf9\lang1024\langfe1024\loch\af1\hich\af1\dbch\af31501\noproof\insrsid2884273\charrsid9765211 \hich\af1\dbch\af31501\loch\f1 &lt;Article&gt;}{\rtlch\fcs1 \af0 \ltrch\fcs0 \insrsid2884273\charrsid9765211 #}{\rtlch\fcs1 \af0 _x000d__x000a_\ltrch\fcs0 \cs18\v\f1\fs20\cf15\insrsid2884273\charrsid9765211 MNU[AMACTPARTYES][AMACTPARTNO]@CHOICE@AMACTMNU}{\rtlch\fcs1 \af0 \ltrch\fcs0 \insrsid2884273\charrsid9765211 #}{\rtlch\fcs1 \af0 \ltrch\fcs0 _x000d__x000a_\cs17\b0\v\fs20\cf9\lang1024\langfe1024\loch\af1\hich\af1\dbch\af31501\noproof\insrsid2884273\charrsid9765211 \hich\af1\dbch\af31501\loch\f1 &lt;/Article&gt;}{\rtlch\fcs1 \af0 \ltrch\fcs0 \insrsid2884273\charrsid9765211 _x000d__x000a_\par }\pard\plain \ltrpar\ql \li0\ri0\keepn\widctlpar\wrapdefault\aspalpha\aspnum\faauto\adjustright\rin0\lin0\itap0\pararsid2884273 \rtlch\fcs1 \af0\afs20\alang1025 \ltrch\fcs0 \fs24\lang2057\langfe2057\cgrid\langnp2057\langfenp2057 {\rtlch\fcs1 \af0 _x000d__x000a_\ltrch\fcs0 \cs17\v\fs20\cf9\lang1024\langfe1024\loch\af1\hich\af1\dbch\af31501\noproof\insrsid2884273\charrsid9765211 \hich\af1\dbch\af31501\loch\f1 &lt;DocAmend2&gt;&lt;\hich\af1\dbch\af31501\loch\f1 OptDel&gt;}{\rtlch\fcs1 \af0 \ltrch\fcs0 _x000d__x000a_\insrsid2884273\charrsid9765211 #}{\rtlch\fcs1 \af0 \ltrch\fcs0 \cs18\v\f1\fs20\cf15\insrsid2884273\charrsid9765211 MNU[OPTNRACTYES][NOTAPP]@CHOICE@AMACTMNU}{\rtlch\fcs1 \af0 \ltrch\fcs0 \insrsid2884273\charrsid9765211 #}{\rtlch\fcs1 \af0 \ltrch\fcs0 _x000d__x000a_\cs17\v\fs20\cf9\lang1024\langfe1024\loch\af1\hich\af1\dbch\af31501\noproof\insrsid2884273\charrsid9765211 \hich\af1\dbch\af31501\loch\f1 &lt;/OptDel&gt;&lt;/DocAmend2&gt;}{\rtlch\fcs1 \af0 \ltrch\fcs0 \insrsid2884273\charrsid9765211 _x000d__x000a_\par }\pard \ltrpar\ql \li0\ri0\widctlpar\wrapdefault\aspalpha\aspnum\faauto\adjustright\rin0\lin0\itap0\pararsid2884273 {\rtlch\fcs1 \af0 \ltrch\fcs0 \cs17\v\fs20\cf9\lang1024\langfe1024\loch\af1\hich\af1\dbch\af31501\noproof\insrsid2884273\charrsid9765211 _x000d__x000a_\hich\af1\dbch\af31501\loch\f1 &lt;Article2&gt;&lt;OptDel&gt;}{\rtlch\fcs1 \af0 \ltrch\fcs0 \insrsid2884273\charrsid9765211 #}{\rtlch\fcs1 \af0 \ltrch\fcs0 \cs18\v\f1\fs20\cf15\insrsid2884273\charrsid9765211 MNU[OPTACTPARTYES][NOTAPP]@CHOICE@AMACTMNU}{\rtlch\fcs1 _x000d__x000a_\af0 \ltrch\fcs0 \insrsid2884273\charrsid9765211 #}{\rtlch\fcs1 \af0 \ltrch\fcs0 \cs17\v\fs20\cf9\lang1024\langfe1024\loch\af1\hich\af1\dbch\af31501\noproof\insrsid2884273\charrsid9765211 \hich\af1\dbch\af31501\loch\f1 &lt;/OptDel&gt;&lt;/Article2&gt;}{\rtlch\fcs1 _x000d__x000a_\af0 \ltrch\fcs0 \insrsid2884273\charrsid9765211 _x000d__x000a_\par \ltrrow}\trowd \ltrrow\ts11\trqc\trgaph340\trleft-340\trftsWidth3\trftsWidthB3\trpaddl340\trpaddr340\trpaddfl3\trpaddft3\trpaddfb3\trpaddfr3\tblrsid11085200\tbllkhdrrows\tbllkhdrcols\tbllknocolband\tblind0\tblindtype3 \clvertalt\clbrdrt\brdrtbl \clbrdrl_x000d__x000a_\brdrtbl \clbrdrb\brdrtbl \clbrdrr\brdrtbl \cltxlrtb\clftsWidth3\clwWidth9752\clshdrawnil \cellx9412\pard \ltrpar\ql \li0\ri0\keepn\widctlpar\intbl\wrapdefault\aspalpha\aspnum\faauto\adjustright\rin0\lin0\pararsid11085200 {\rtlch\fcs1 \af0 \ltrch\fcs0 _x000d__x000a_\insrsid2884273\charrsid9765211 \cell }\pard \ltrpar\ql \li0\ri0\widctlpar\intbl\wrapdefault\aspalpha\aspnum\faauto\adjustright\rin0\lin0 {\rtlch\fcs1 \af0 \ltrch\fcs0 \insrsid2884273\charrsid9765211 \trowd \ltrrow_x000d__x000a_\ts11\trqc\trgaph340\trleft-340\trftsWidth3\trftsWidthB3\trpaddl340\trpaddr340\trpaddfl3\trpaddft3\trpaddfb3\trpaddfr3\tblrsid11085200\tbllkhdrrows\tbllkhdrcols\tbllknocolband\tblind0\tblindtype3 \clvertalt\clbrdrt\brdrtbl \clbrdrl\brdrtbl \clbrdrb_x000d__x000a_\brdrtbl \clbrdrr\brdrtbl \cltxlrtb\clftsWidth3\clwWidth9752\clshdrawnil \cellx9412\row \ltrrow}\trowd \ltrrow_x000d__x000a_\ts11\trqc\trgaph340\trleft-340\trftsWidth3\trftsWidthB3\trpaddl340\trpaddr340\trpaddfl3\trpaddft3\trpaddfb3\trpaddfr3\tblrsid11085200\tbllkhdrrows\tbllkhdrcols\tbllknocolband\tblind0\tblindtype3 \clvertalt\clbrdrt\brdrtbl \clbrdrl\brdrtbl \clbrdrb_x000d__x000a_\brdrtbl \clbrdrr\brdrtbl \cltxlrtb\clftsWidth3\clwWidth4876\clshdrawnil\clhidemark \cellx4536\clvertalt\clbrdrt\brdrtbl \clbrdrl\brdrtbl \clbrdrb\brdrtbl \clbrdrr\brdrtbl \cltxlrtb\clftsWidth3\clwWidth4876\clshdrawnil\clhidemark \cellx9412_x000d__x000a_\pard\plain \ltrpar\s21\qc \li0\ri0\sa240\keepn\nowidctlpar\intbl\wrapdefault\aspalpha\aspnum\faauto\adjustright\rin0\lin0\pararsid11085200 \rtlch\fcs1 \af0\afs20\alang1025 \ltrch\fcs0 \i\fs24\lang2057\langfe2057\cgrid\langnp2057\langfenp2057 {_x000d__x000a_\rtlch\fcs1 \af0 \ltrch\fcs0 \insrsid2884273\charrsid9765211 #}{\rtlch\fcs1 \af0 \ltrch\fcs0 \cs18\v\f1\fs20\cf15\insrsid2884273\charrsid9765211 MNU[OPTLEFTAMACT][LEFTPROP]@CHOICE@AMACTMNU}{\rtlch\fcs1 \af0 \ltrch\fcs0 \insrsid2884273\charrsid9765211 #_x000d__x000a_\cell Amendment\cell }\pard\plain \ltrpar\ql \li0\ri0\widctlpar\intbl\wrapdefault\aspalpha\aspnum\faauto\adjustright\rin0\lin0 \rtlch\fcs1 \af0\afs20\alang1025 \ltrch\fcs0 \fs24\lang2057\langfe2057\cgrid\langnp2057\langfenp2057 {\rtlch\fcs1 \af0 _x000d__x000a_\ltrch\fcs0 \insrsid2884273\charrsid9765211 \trowd \ltrrow\ts11\trqc\trgaph340\trleft-340\trftsWidth3\trftsWidthB3\trpaddl340\trpaddr340\trpaddfl3\trpaddft3\trpaddfb3\trpaddfr3\tblrsid11085200\tbllkhdrrows\tbllkhdrcols\tbllknocolband\tblind0\tblindtype3 _x000d__x000a_\clvertalt\clbrdrt\brdrtbl \clbrdrl\brdrtbl \clbrdrb\brdrtbl \clbrdrr\brdrtbl \cltxlrtb\clftsWidth3\clwWidth4876\clshdrawnil\clhidemark \cellx4536\clvertalt\clbrdrt\brdrtbl \clbrdrl\brdrtbl \clbrdrb\brdrtbl \clbrdrr\brdrtbl _x000d__x000a_\cltxlrtb\clftsWidth3\clwWidth4876\clshdrawnil\clhidemark \cellx9412\row \ltrrow}\pard\plain \ltrpar\s20\ql \li0\ri0\sa120\nowidctlpar\intbl\wrapdefault\aspalpha\aspnum\faauto\adjustright\rin0\lin0\pararsid11085200 \rtlch\fcs1 \af0\afs20\alang1025 _x000d__x000a_\ltrch\fcs0 \fs24\lang2057\langfe2057\cgrid\langnp2057\langfenp2057 {\rtlch\fcs1 \af0 \ltrch\fcs0 \insrsid2884273\charrsid9765211 ##\cell ##\cell }\pard\plain \ltrpar\ql \li0\ri0\widctlpar\intbl\wrapdefault\aspalpha\aspnum\faauto\adjustright\rin0\lin0 _x000d__x000a_\rtlch\fcs1 \af0\afs20\alang1025 \ltrch\fcs0 \fs24\lang2057\langfe2057\cgrid\langnp2057\langfenp2057 {\rtlch\fcs1 \af0 \ltrch\fcs0 \insrsid2884273\charrsid9765211 \trowd \lastrow \ltrrow_x000d__x000a_\ts11\trqc\trgaph340\trleft-340\trftsWidth3\trftsWidthB3\trpaddl340\trpaddr340\trpaddfl3\trpaddft3\trpaddfb3\trpaddfr3\tblrsid11085200\tbllkhdrrows\tbllkhdrcols\tbllknocolband\tblind0\tblindtype3 \clvertalt\clbrdrt\brdrtbl \clbrdrl\brdrtbl \clbrdrb_x000d__x000a_\brdrtbl \clbrdrr\brdrtbl \cltxlrtb\clftsWidth3\clwWidth4876\clshdrawnil\clhidemark \cellx4536\clvertalt\clbrdrt\brdrtbl \clbrdrl\brdrtbl \clbrdrb\brdrtbl \clbrdrr\brdrtbl \cltxlrtb\clftsWidth3\clwWidth4876\clshdrawnil\clhidemark \cellx9412\row _x000d__x000a_}\pard\plain \ltrpar\s24\qc \li0\ri0\sb240\sa240\nowidctlpar\wrapdefault\aspalpha\aspnum\faauto\adjustright\rin0\lin0\itap0\pararsid2884273 \rtlch\fcs1 \af0\afs20\alang1025 \ltrch\fcs0 \i\fs24\lang2057\langfe2057\cgrid\langnp2057\langfenp2057 {_x000d__x000a_\rtlch\fcs1 \af0 \ltrch\fcs0 \cs17\i0\v\fs20\cf9\lang1024\langfe1024\loch\af1\hich\af1\dbch\af31501\noproof\insrsid2884273\charrsid9765211 \hich\af1\dbch\af31501\loch\f1 &lt;OptDel&gt;}{\rtlch\fcs1 \af0 \ltrch\fcs0 \insrsid2884273\charrsid9765211 #}{_x000d__x000a_\rtlch\fcs1 \af0 \ltrch\fcs0 \cs18\v\f1\fs20\cf15\insrsid2884273\charrsid9765211 MNU[CROSSREFNO][CROSSREFYES]@CHOICE@}{\rtlch\fcs1 \af0 \ltrch\fcs0 \insrsid2884273\charrsid9765211 #}{\rtlch\fcs1 \af0 \ltrch\fcs0 _x000d__x000a_\cs17\i0\v\fs20\cf9\lang1024\langfe1024\loch\af1\hich\af1\dbch\af31501\noproof\insrsid2884273\charrsid9765211 \hich\af1\dbch\af31501\loch\f1 &lt;/OptDel&gt;}{\rtlch\fcs1 \af0 \ltrch\fcs0 \insrsid2884273\charrsid9765211 _x000d__x000a_\par }\pard\plain \ltrpar\s25\qc \li0\ri0\sb240\sa240\keepn\nowidctlpar\wrapdefault\aspalpha\aspnum\faauto\adjustright\rin0\lin0\itap0\pararsid2884273 \rtlch\fcs1 \af0\afs20\alang1025 \ltrch\fcs0 \i\fs24\lang2057\langfe2057\cgrid\langnp2057\langfenp2057 {_x000d__x000a_\rtlch\fcs1 \af0 \ltrch\fcs0 \cs17\i0\v\fs20\cf9\lang1024\langfe1024\loch\af1\hich\af1\dbch\af31501\noproof\insrsid2884273\charrsid9765211 \hich\af1\dbch\af31501\loch\f1 &lt;TitreJust&gt;}{\rtlch\fcs1 \af0 \ltrch\fcs0 \insrsid2884273\charrsid9765211 _x000d__x000a_Justification}{\rtlch\fcs1 \af0 \ltrch\fcs0 \cs17\i0\v\fs20\cf9\lang1024\langfe1024\loch\af1\hich\af1\dbch\af31501\noproof\insrsid2884273\charrsid9765211 \hich\af1\dbch\af31501\loch\f1 &lt;/TitreJust&gt;}{\rtlch\fcs1 \af0 \ltrch\fcs0 _x000d__x000a_\insrsid2884273\charrsid9765211 _x000d__x000a_\par }\pard\plain \ltrpar\s23\ql \li0\ri0\sa240\nowidctlpar\wrapdefault\aspalpha\aspnum\faauto\adjustright\rin0\lin0\itap0\pararsid2884273 \rtlch\fcs1 \af0\afs20\alang1025 \ltrch\fcs0 \i\fs24\lang2057\langfe2057\cgrid\langnp2057\langfenp2057 {\rtlch\fcs1 \af0 _x000d__x000a_\ltrch\fcs0 \cs17\i0\v\fs20\cf9\lang1024\langfe1024\loch\af1\hich\af1\dbch\af31501\noproof\insrsid2884273\charrsid9765211 \hich\af1\dbch\af31501\loch\f1 &lt;OptDelPrev&gt;}{\rtlch\fcs1 \af0 \ltrch\fcs0 \insrsid2884273\charrsid9765211 #}{\rtlch\fcs1 \af0 _x000d__x000a_\ltrch\fcs0 \cs18\v\f1\fs20\cf15\insrsid2884273\charrsid9765211 MNU[TEXTJUSTYES][TEXTJUSTNO]@CHOICE@}{\rtlch\fcs1 \af0 \ltrch\fcs0 \insrsid2884273\charrsid9765211 #}{\rtlch\fcs1 \af0 \ltrch\fcs0 _x000d__x000a_\cs17\i0\v\fs20\cf9\lang1024\langfe1024\loch\af1\hich\af1\dbch\af31501\noproof\insrsid2884273\charrsid9765211 \hich\af1\dbch\af31501\loch\f1 &lt;/OptDelPrev&gt;}{\rtlch\fcs1 \af0 \ltrch\fcs0 \insrsid2884273\charrsid9765211 _x000d__x000a_\par }\pard\plain \ltrpar\ql \li0\ri0\widctlpar\wrapdefault\aspalpha\aspnum\faauto\adjustright\rin0\lin0\itap0\pararsid2884273 \rtlch\fcs1 \af0\afs20\alang1025 \ltrch\fcs0 \fs24\lang2057\langfe2057\cgrid\langnp2057\langfenp2057 {\rtlch\fcs1 \af0 \ltrch\fcs0 _x000d__x000a_\cs17\v\fs20\cf9\lang1024\langfe1024\loch\af1\hich\af1\dbch\af31501\noproof\insrsid2884273\charrsid9765211 \hich\af1\dbch\af31501\loch\f1 &lt;/Amend&gt;}{\rtlch\fcs1 \af0 \ltrch\fcs0 \insrsid2884273\charrsid16324206 {\*\bkmkend restart}_x000d__x000a_\par }\pard \ltrpar\ql \li0\ri0\widctlpar\wrapdefault\aspalpha\aspnum\faauto\adjustright\rin0\lin0\itap0\pararsid16324206 {\rtlch\fcs1 \af0 \ltrch\fcs0 \insrsid24658\charrsid16324206 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unhideused1 \lsdlocked0 Normal Table;\lsdsemihidden1 \lsdunhideused1 \lsdlocked0 Table Simple 1;_x000d__x000a_\lsdsemihidden1 \lsdunhideused1 \lsdlocked0 Table Simple 2;\lsdsemihidden1 \lsdunhideused1 \lsdlocked0 Table Simple 3;\lsdsemihidden1 \lsdunhideused1 \lsdlocked0 Table Classic 1;\lsdsemihidden1 \lsdunhideused1 \lsdlocked0 Table Classic 2;_x000d__x000a_\lsdsemihidden1 \lsdunhideused1 \lsdlocked0 Table Classic 3;\lsdsemihidden1 \lsdunhideused1 \lsdlocked0 Table Classic 4;\lsdsemihidden1 \lsdunhideused1 \lsdlocked0 Table Colorful 1;\lsdsemihidden1 \lsdunhideused1 \lsdlocked0 Table Colorful 2;_x000d__x000a_\lsdsemihidden1 \lsdunhideused1 \lsdlocked0 Table Colorful 3;\lsdsemihidden1 \lsdunhideused1 \lsdlocked0 Table Columns 1;\lsdsemihidden1 \lsdunhideused1 \lsdlocked0 Table Columns 2;\lsdsemihidden1 \lsdunhideused1 \lsdlocked0 Table Columns 3;_x000d__x000a_\lsdsemihidden1 \lsdunhideused1 \lsdlocked0 Table Columns 4;\lsdsemihidden1 \lsdunhideused1 \lsdlocked0 Table Columns 5;\lsdsemihidden1 \lsdunhideused1 \lsdlocked0 Table Grid 1;\lsdsemihidden1 \lsdunhideused1 \lsdlocked0 Table Grid 2;_x000d__x000a_\lsdsemihidden1 \lsdunhideused1 \lsdlocked0 Table Grid 3;\lsdsemihidden1 \lsdunhideused1 \lsdlocked0 Table Grid 4;\lsdsemihidden1 \lsdunhideused1 \lsdlocked0 Table Grid 5;\lsdsemihidden1 \lsdunhideused1 \lsdlocked0 Table Grid 6;_x000d__x000a_\lsdsemihidden1 \lsdunhideused1 \lsdlocked0 Table Grid 7;\lsdsemihidden1 \lsdunhideused1 \lsdlocked0 Table Grid 8;\lsdsemihidden1 \lsdunhideused1 \lsdlocked0 Table List 1;\lsdsemihidden1 \lsdunhideused1 \lsdlocked0 Table List 2;_x000d__x000a_\lsdsemihidden1 \lsdunhideused1 \lsdlocked0 Table List 3;\lsdsemihidden1 \lsdunhideused1 \lsdlocked0 Table List 4;\lsdsemihidden1 \lsdunhideused1 \lsdlocked0 Table List 5;\lsdsemihidden1 \lsdunhideused1 \lsdlocked0 Table List 6;_x000d__x000a_\lsdsemihidden1 \lsdunhideused1 \lsdlocked0 Table List 7;\lsdsemihidden1 \lsdunhideused1 \lsdlocked0 Table List 8;\lsdsemihidden1 \lsdunhideused1 \lsdlocked0 Table 3D effects 1;\lsdsemihidden1 \lsdunhideused1 \lsdlocked0 Table 3D effects 2;_x000d__x000a_\lsdsemihidden1 \lsdunhideused1 \lsdlocked0 Table 3D effects 3;\lsdsemihidden1 \lsdunhideused1 \lsdlocked0 Table Contemporary;\lsdsemihidden1 \lsdunhideused1 \lsdlocked0 Table Elegant;\lsdsemihidden1 \lsdunhideused1 \lsdlocked0 Table Professional;_x000d__x000a_\lsdsemihidden1 \lsdunhideused1 \lsdlocked0 Table Subtle 1;\lsdsemihidden1 \lsdunhideused1 \lsdlocked0 Table Subtle 2;\lsdsemihidden1 \lsdunhideused1 \lsdlocked0 Table Web 1;\lsdsemihidden1 \lsdunhideused1 \lsdlocked0 Table Web 2;_x000d__x000a_\lsdsemihidden1 \lsdunhideused1 \lsdlocked0 Table Web 3;\lsdsemihidden1 \lsdunhideused1 \lsdlocked0 Table Theme;\lsdsemihidden1 \lsdpriority99 \lsdlocked0 Placeholder Text;\lsdqformat1 \lsdpriority1 \lsdlocked0 No Spacing;_x000d__x000a_\lsdpriority60 \lsdlocked0 Light Shading;\lsdpriority61 \lsdlocked0 Light List;\lsdpriority62 \lsdlocked0 Light Grid;\lsdpriority63 \lsdlocked0 Medium Shading 1;\lsdpriority64 \lsdlocked0 Medium Shading 2;\lsdpriority65 \lsdlocked0 Medium List 1;_x000d__x000a_\lsdpriority66 \lsdlocked0 Medium List 2;\lsdpriority67 \lsdlocked0 Medium Grid 1;\lsdpriority68 \lsdlocked0 Medium Grid 2;\lsdpriority69 \lsdlocked0 Medium Grid 3;\lsdpriority70 \lsdlocked0 Dark List;\lsdpriority71 \lsdlocked0 Colorful Shading;_x000d__x000a_\lsdpriority72 \lsdlocked0 Colorful List;\lsdpriority73 \lsdlocked0 Colorful Grid;\lsdpriority60 \lsdlocked0 Light Shading Accent 1;\lsdpriority61 \lsdlocked0 Light List Accent 1;\lsdpriority62 \lsdlocked0 Light Grid Accent 1;_x000d__x000a_\lsdpriority63 \lsdlocked0 Medium Shading 1 Accent 1;\lsdpriority64 \lsdlocked0 Medium Shading 2 Accent 1;\lsdpriority65 \lsdlocked0 Medium List 1 Accent 1;\lsdsemihidden1 \lsdpriority99 \lsdlocked0 Revision;_x000d__x000a_\lsdqformat1 \lsdpriority34 \lsdlocked0 List Paragraph;\lsdqformat1 \lsdpriority29 \lsdlocked0 Quote;\lsdqformat1 \lsdpriority30 \lsdlocked0 Intense Quote;\lsdpriority66 \lsdlocked0 Medium List 2 Accent 1;\lsdpriority67 \lsdlocked0 Medium Grid 1 Accent 1;_x000d__x000a_\lsdpriority68 \lsdlocked0 Medium Grid 2 Accent 1;\lsdpriority69 \lsdlocked0 Medium Grid 3 Accent 1;\lsdpriority70 \lsdlocked0 Dark List Accent 1;\lsdpriority71 \lsdlocked0 Colorful Shading Accent 1;\lsdpriority72 \lsdlocked0 Colorful List Accent 1;_x000d__x000a_\lsdpriority73 \lsdlocked0 Colorful Grid Accent 1;\lsdpriority60 \lsdlocked0 Light Shading Accent 2;\lsdpriority61 \lsdlocked0 Light List Accent 2;\lsdpriority62 \lsdlocked0 Light Grid Accent 2;\lsdpriority63 \lsdlocked0 Medium Shading 1 Accent 2;_x000d__x000a_\lsdpriority64 \lsdlocked0 Medium Shading 2 Accent 2;\lsdpriority65 \lsdlocked0 Medium List 1 Accent 2;\lsdpriority66 \lsdlocked0 Medium List 2 Accent 2;\lsdpriority67 \lsdlocked0 Medium Grid 1 Accent 2;\lsdpriority68 \lsdlocked0 Medium Grid 2 Accent 2;_x000d__x000a_\lsdpriority69 \lsdlocked0 Medium Grid 3 Accent 2;\lsdpriority70 \lsdlocked0 Dark List Accent 2;\lsdpriority71 \lsdlocked0 Colorful Shading Accent 2;\lsdpriority72 \lsdlocked0 Colorful List Accent 2;\lsdpriority73 \lsdlocked0 Colorful Grid Accent 2;_x000d__x000a_\lsdpriority60 \lsdlocked0 Light Shading Accent 3;\lsdpriority61 \lsdlocked0 Light List Accent 3;\lsdpriority62 \lsdlocked0 Light Grid Accent 3;\lsdpriority63 \lsdlocked0 Medium Shading 1 Accent 3;\lsdpriority64 \lsdlocked0 Medium Shading 2 Accent 3;_x000d__x000a_\lsdpriority65 \lsdlocked0 Medium List 1 Accent 3;\lsdpriority66 \lsdlocked0 Medium List 2 Accent 3;\lsdpriority67 \lsdlocked0 Medium Grid 1 Accent 3;\lsdpriority68 \lsdlocked0 Medium Grid 2 Accent 3;\lsdpriority69 \lsdlocked0 Medium Grid 3 Accent 3;_x000d__x000a_\lsdpriority70 \lsdlocked0 Dark List Accent 3;\lsdpriority71 \lsdlocked0 Colorful Shading Accent 3;\lsdpriority72 \lsdlocked0 Colorful List Accent 3;\lsdpriority73 \lsdlocked0 Colorful Grid Accent 3;\lsdpriority60 \lsdlocked0 Light Shading Accent 4;_x000d__x000a_\lsdpriority61 \lsdlocked0 Light List Accent 4;\lsdpriority62 \lsdlocked0 Light Grid Accent 4;\lsdpriority63 \lsdlocked0 Medium Shading 1 Accent 4;\lsdpriority64 \lsdlocked0 Medium Shading 2 Accent 4;\lsdpriority65 \lsdlocked0 Medium List 1 Accent 4;_x000d__x000a_\lsdpriority66 \lsdlocked0 Medium List 2 Accent 4;\lsdpriority67 \lsdlocked0 Medium Grid 1 Accent 4;\lsdpriority68 \lsdlocked0 Medium Grid 2 Accent 4;\lsdpriority69 \lsdlocked0 Medium Grid 3 Accent 4;\lsdpriority70 \lsdlocked0 Dark List Accent 4;_x000d__x000a_\lsdpriority71 \lsdlocked0 Colorful Shading Accent 4;\lsdpriority72 \lsdlocked0 Colorful List Accent 4;\lsdpriority73 \lsdlocked0 Colorful Grid Accent 4;\lsdpriority60 \lsdlocked0 Light Shading Accent 5;\lsdpriority61 \lsdlocked0 Light List Accent 5;_x000d__x000a_\lsdpriority62 \lsdlocked0 Light Grid Accent 5;\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b041_x000d__x000a_a7974142db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startBrut" w:val="{\rtf1\adeflang1025\ansi\ansicpg1252\uc1\adeff0\deff0\stshfdbch0\stshfloch0\stshfhich0\stshfbi0\deflang2057\deflangfe2057\themelang2057\themelangfe0\themelangcs1108{\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swiss\fcharset0\fprq2 DokChampa{\*\falt Leelawadee UI};}{\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swiss\fcharset0\fprq2 DokChampa{\*\falt Leelawadee UI};}{\f337\fbidi \froman\fcharset238\fprq2 Times New Roman CE;}{\f338\fbidi \froman\fcharset204\fprq2 Times New Roman Cyr;}_x000d__x000a_{\f340\fbidi \froman\fcharset161\fprq2 Times New Roman Greek;}{\f341\fbidi \froman\fcharset162\fprq2 Times New Roman Tur;}{\f342\fbidi \froman\fcharset177\fprq2 Times New Roman (Hebrew);}{\f343\fbidi \froman\fcharset178\fprq2 Times New Roman (Arabic);}_x000d__x000a_{\f344\fbidi \froman\fcharset186\fprq2 Times New Roman Baltic;}{\f345\fbidi \froman\fcharset163\fprq2 Times New Roman (Vietnamese);}{\f347\fbidi \fswiss\fcharset238\fprq2 Arial CE;}{\f348\fbidi \fswiss\fcharset204\fprq2 Arial Cyr;}_x000d__x000a_{\f350\fbidi \fswiss\fcharset161\fprq2 Arial Greek;}{\f351\fbidi \fswiss\fcharset162\fprq2 Arial Tur;}{\f352\fbidi \fswiss\fcharset177\fprq2 Arial (Hebrew);}{\f353\fbidi \fswiss\fcharset178\fprq2 Arial (Arabic);}_x000d__x000a_{\f354\fbidi \fswiss\fcharset186\fprq2 Arial Baltic;}{\f355\fbidi \fswiss\fcharset163\fprq2 Arial (Vietnamese);}{\f677\fbidi \froman\fcharset238\fprq2 Cambria Math CE;}{\f678\fbidi \froman\fcharset204\fprq2 Cambria Math Cyr;}_x000d__x000a_{\f680\fbidi \froman\fcharset161\fprq2 Cambria Math Greek;}{\f681\fbidi \froman\fcharset162\fprq2 Cambria Math Tur;}{\f684\fbidi \froman\fcharset186\fprq2 Cambria Math Baltic;}{\f685\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47\fbidi \fswiss\fcharset222\fprq2 DokChampa (Thai){\*\falt Leelawadee UI};}{\flominor\f31548\fbidi \froman\fcharset238\fprq2 Times New Roman CE;}{\flominor\f31549\fbidi \froman\fcharset204\fprq2 Times New Roman Cyr;}_x000d__x000a_{\flominor\f31551\fbidi \froman\fcharset161\fprq2 Times New Roman Greek;}{\flominor\f31552\fbidi \froman\fcharset162\fprq2 Times New Roman Tur;}{\flominor\f31553\fbidi \froman\fcharset177\fprq2 Times New Roman (Hebrew);}_x000d__x000a_{\flominor\f31554\fbidi \froman\fcharset178\fprq2 Times New Roman (Arabic);}{\flominor\f31555\fbidi \froman\fcharset186\fprq2 Times New Roman Baltic;}{\flominor\f31556\fbidi \froman\fcharset163\fprq2 Times New Roman (Vietnamese);}_x000d__x000a_{\fdbminor\f31558\fbidi \froman\fcharset238\fprq2 Times New Roman CE;}{\fdbminor\f31559\fbidi \froman\fcharset204\fprq2 Times New Roman Cyr;}{\fdbminor\f31561\fbidi \froman\fcharset161\fprq2 Times New Roman Greek;}_x000d__x000a_{\fdbminor\f31562\fbidi \froman\fcharset162\fprq2 Times New Roman Tur;}{\fdbminor\f31563\fbidi \froman\fcharset177\fprq2 Times New Roman (Hebrew);}{\fdbminor\f31564\fbidi \froman\fcharset178\fprq2 Times New Roman (Arabic);}_x000d__x000a_{\fdbminor\f31565\fbidi \froman\fcharset186\fprq2 Times New Roman Baltic;}{\fdbminor\f31566\fbidi \froman\fcharset163\fprq2 Times New Roman (Vietnamese);}{\fhiminor\f31568\fbidi \fswiss\fcharset238\fprq2 Calibri CE;}_x000d__x000a_{\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87\fbidi \fswiss\fcharset222\fprq2 DokChampa (Thai){\*\falt Leelawadee UI};}}{\colortbl;\red0\green0\blue0;\red0\green0\blue255;\red0\green255\blue255;_x000d__x000a_\red0\green255\blue0;\red255\green0\blue255;\red255\green0\blue0;\red255\green255\blue0;\red255\green255\blue255;\red0\green0\blue128;\red0\green128\blue128;\red0\green128\blue0;\red128\green0\blue128;\red128\green0\blue0;\red128\green128\blue0;_x000d__x000a_\red128\green128\blue128;\red192\green192\blue192;\caccentone\ctint255\cshade191\red46\green116\blue181;}{\*\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styrsid7823322 Normal;}{_x000d__x000a_\s1\ql \li0\ri0\sb240\keep\keepn\widctlpar\wrapdefault\aspalpha\aspnum\faauto\outlinelevel0\adjustright\rin0\lin0\itap0 \rtlch\fcs1 \af31503\afs32\alang1025 \ltrch\fcs0 _x000d__x000a_\fs32\cf17\lang2057\langfe2057\loch\f31502\hich\af31502\dbch\af31501\cgrid\langnp2057\langfenp2057 \sbasedon0 \snext0 \slink15 \ssemihidden \sqformat \spriority0 \styrsid223860 heading 1;}{\*\cs10 \additive \ssemihidden \sunhideused \spriority1 _x000d__x000a_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unhideused Normal Table;}{\*\cs15 \additive _x000d__x000a_\rtlch\fcs1 \af31503\afs32 \ltrch\fcs0 \fs32\cf17\loch\f31502\hich\af31502\dbch\af31501 \sbasedon10 \slink1 \slocked \ssemihidden \spriority0 \styrsid11549030 Heading 1 Char;}{_x000d__x000a_\s16\ql \li0\ri0\sa240\widctlpar\wrapdefault\aspalpha\aspnum\faauto\adjustright\rin0\lin0\itap0 \rtlch\fcs1 \af0\afs20\alang1025 \ltrch\fcs0 \fs24\lang2057\langfe2057\cgrid\langnp2057\langfenp2057 _x000d__x000a_\sbasedon0 \snext0 \ssemihidden \sunhideused \sqformat \spriority39 \styrsid223860 TOC Heading;}{\*\cs17 \additive \v\f1\fs20\cf9\lang1024\langfe1024\noproof \spriority0 \styrsid5053196 HideTWBExt;}{_x000d__x000a_\s18\ql \li0\ri0\nowidctlpar\wrapdefault\aspalpha\aspnum\faauto\adjustright\rin0\lin0\itap0 \rtlch\fcs1 \af0\afs20\alang1025 \ltrch\fcs0 \b\fs24\lang2057\langfe2057\cgrid\langnp2057\langfenp2057 \sbasedon0 \snext18 \spriority0 \styrsid5053196 NormalBold;}_x000d__x000a_{\s19\ql \li0\ri0\sa120\nowidctlpar\wrapdefault\aspalpha\aspnum\faauto\adjustright\rin0\lin0\itap0 \rtlch\fcs1 \af0\afs20\alang1025 \ltrch\fcs0 \fs24\lang2057\langfe2057\cgrid\langnp2057\langfenp2057 \sbasedon0 \snext19 \spriority0 \styrsid5053196 _x000d__x000a_Normal6a;}{\s20\qc \li0\ri0\sa240\nowidctlpar\wrapdefault\aspalpha\aspnum\faauto\adjustright\rin0\lin0\itap0 \rtlch\fcs1 \af0\afs20\alang1025 \ltrch\fcs0 \i\fs24\lang2057\langfe2057\cgrid\langnp2057\langfenp2057 _x000d__x000a_\sbasedon0 \snext20 \spriority0 \styrsid5053196 AmColumnHeading;}{\s21\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1 \spriority0 \styrsid5053196 AmNumberTabs;}{\s22\ql \li0\ri0\sa240\nowidctlpar\wrapdefault\aspalpha\aspnum\faauto\adjustright\rin0\lin0\itap0 \rtlch\fcs1 _x000d__x000a_\af0\afs20\alang1025 \ltrch\fcs0 \i\fs24\lang2057\langfe2057\cgrid\langnp2057\langfenp2057 \sbasedon0 \snext22 \spriority0 \styrsid5053196 AmJustText;}{_x000d__x000a_\s23\qc \li0\ri0\sb240\sa240\nowidctlpar\wrapdefault\aspalpha\aspnum\faauto\adjustright\rin0\lin0\itap0 \rtlch\fcs1 \af0\afs20\alang1025 \ltrch\fcs0 \i\fs24\lang2057\langfe2057\cgrid\langnp2057\langfenp2057 \sbasedon0 \snext23 \spriority0 \styrsid5053196 _x000d__x000a_AmCrossRef;}{\s24\qc \li0\ri0\sb240\sa240\keepn\nowidctlpar\wrapdefault\aspalpha\aspnum\faauto\adjustright\rin0\lin0\itap0 \rtlch\fcs1 \af0\afs20\alang1025 \ltrch\fcs0 \i\fs24\lang2057\langfe2057\cgrid\langnp2057\langfenp2057 _x000d__x000a_\sbasedon0 \snext22 \spriority0 \styrsid5053196 AmJustTitle;}{\s25\ql \li0\ri0\sb240\nowidctlpar\wrapdefault\aspalpha\aspnum\faauto\adjustright\rin0\lin0\itap0 \rtlch\fcs1 \af0\afs20\alang1025 \ltrch\fcs0 _x000d__x000a_\b\fs24\lang2057\langfe2057\cgrid\langnp2057\langfenp2057 \sbasedon0 \snext25 \spriority0 \styrsid5053196 NormalBold12b;}}{\*\rsidtbl \rsid24658\rsid223860\rsid735077\rsid1718133\rsid2892074\rsid3565327\rsid4666813\rsid5053196\rsid6641733\rsid7823322_x000d__x000a_\rsid9636012\rsid10377208\rsid11215221\rsid11549030\rsid12154954\rsid14382809\rsid14424199\rsid14429106\rsid15204470\rsid15285974\rsid15950462\rsid16324206\rsid16662270}{\mmathPr\mmathFont34\mbrkBin0\mbrkBinSub0\msmallFrac0\mdispDef1\mlMargin0\mrMargin0_x000d__x000a_\mdefJc1\mwrapIndent1440\mintLim0\mnaryLim1}{\info{\author GLUSINA-BUTLERE Viktorija}{\operator GLUSINA-BUTLERE Viktorija}{\creatim\yr2024\mo11\dy29\hr10\min32}{\revtim\yr2024\mo11\dy29\hr10\min32}{\version1}{\edmins0}{\nofpages1}{\nofwords53}_x000d__x000a_{\nofchars314}{\nofcharsws364}{\vern109}}{\*\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4\viewscale100\pgbrdrhead\pgbrdrfoot\splytwnine\ftnlytwnine\htmautsp\nolnhtadjtbl\useltbaln\alntblind\lytcalctblwd\lyttblrtgr\lnbrkrule\nobrkwrptbl\snaptogridincell\allowfieldendsel\wrppunct_x000d__x000a_\asianbrkrule\nojkernpunct\rsidroot5053196\newtblstyruls\nogrowautofit\usenormstyforlist\noindnmbrts\felnbrelev\nocxsptable\indrlsweleven\noafcnsttbl\afelev\utinl\hwelev\spltpgpar\notcvasp\notbrkcnstfrctbl\notvatxbx\krnprsnet\cachedcolbal _x000d__x000a_\nouicompat \fet0{\*\wgrffmtfilter 013f}\nofeaturethrottle1\ilfomacatclnup0{\*\template C:\\Users\\VGLUSI~1\\AppData\\Local\\Temp\\Blank1.dotx}{\*\ftnsep \ltrpar \pard\plain \ltrpar_x000d__x000a_\ql \li0\ri0\widctlpar\wrapdefault\aspalpha\aspnum\faauto\adjustright\rin0\lin0\itap0 \rtlch\fcs1 \af0\afs20\alang1025 \ltrch\fcs0 \fs24\lang2057\langfe2057\cgrid\langnp2057\langfenp2057 {\rtlch\fcs1 \af0 \ltrch\fcs0 \insrsid14429106 \chftnsep _x000d__x000a_\par }}{\*\ftnsepc \ltrpar \pard\plain \ltrpar\ql \li0\ri0\widctlpar\wrapdefault\aspalpha\aspnum\faauto\adjustright\rin0\lin0\itap0 \rtlch\fcs1 \af0\afs20\alang1025 \ltrch\fcs0 \fs24\lang2057\langfe2057\cgrid\langnp2057\langfenp2057 {\rtlch\fcs1 \af0 _x000d__x000a_\ltrch\fcs0 \insrsid14429106 \chftnsepc _x000d__x000a_\par }}{\*\aftnsep \ltrpar \pard\plain \ltrpar\ql \li0\ri0\widctlpar\wrapdefault\aspalpha\aspnum\faauto\adjustright\rin0\lin0\itap0 \rtlch\fcs1 \af0\afs20\alang1025 \ltrch\fcs0 \fs24\lang2057\langfe2057\cgrid\langnp2057\langfenp2057 {\rtlch\fcs1 \af0 _x000d__x000a_\ltrch\fcs0 \insrsid14429106 \chftnsep _x000d__x000a_\par }}{\*\aftnsepc \ltrpar \pard\plain \ltrpar\ql \li0\ri0\widctlpar\wrapdefault\aspalpha\aspnum\faauto\adjustright\rin0\lin0\itap0 \rtlch\fcs1 \af0\afs20\alang1025 \ltrch\fcs0 \fs24\lang2057\langfe2057\cgrid\langnp2057\langfenp2057 {\rtlch\fcs1 \af0 _x000d__x000a_\ltrch\fcs0 \insrsid14429106 \chftnsepc _x000d__x000a_\par }}\ltrpar \sectd \ltrsect\psz9\linex0\headery1134\footery567\endnhere\titlepg\sectlinegrid326\sectdefaultcl\sectrsid10377208\sftnbj\sftnrestart {\headerl \ltrpar \pard\plain \ltrpar_x000d__x000a_\ql \li0\ri0\widctlpar\wrapdefault\aspalpha\aspnum\faauto\adjustright\rin0\lin0\itap0 \rtlch\fcs1 \af0\afs20\alang1025 \ltrch\fcs0 \fs24\lang2057\langfe2057\cgrid\langnp2057\langfenp2057 {\rtlch\fcs1 \af0 \ltrch\fcs0 \insrsid1718133 _x000d__x000a_\par }}{\headerr \ltrpar \pard\plain \ltrpar\ql \li0\ri0\widctlpar\wrapdefault\aspalpha\aspnum\faauto\adjustright\rin0\lin0\itap0 \rtlch\fcs1 \af0\afs20\alang1025 \ltrch\fcs0 \fs24\lang2057\langfe2057\cgrid\langnp2057\langfenp2057 {\rtlch\fcs1 \af0 _x000d__x000a_\ltrch\fcs0 \insrsid1718133 _x000d__x000a_\par }}{\footerl \ltrpar \pard\plain \ltrpar\ql \li0\ri0\widctlpar\wrapdefault\aspalpha\aspnum\faauto\adjustright\rin0\lin0\itap0 \rtlch\fcs1 \af0\afs20\alang1025 \ltrch\fcs0 \fs24\lang2057\langfe2057\cgrid\langnp2057\langfenp2057 {\rtlch\fcs1 \af0 _x000d__x000a_\ltrch\fcs0 \insrsid1718133 _x000d__x000a_\par }}{\footerr \ltrpar \pard\plain \ltrpar\ql \li0\ri0\widctlpar\wrapdefault\aspalpha\aspnum\faauto\adjustright\rin0\lin0\itap0 \rtlch\fcs1 \af0\afs20\alang1025 \ltrch\fcs0 \fs24\lang2057\langfe2057\cgrid\langnp2057\langfenp2057 {\rtlch\fcs1 \af0 _x000d__x000a_\ltrch\fcs0 \insrsid1718133 _x000d__x000a_\par }}{\headerf \ltrpar \pard\plain \ltrpar\ql \li0\ri0\widctlpar\wrapdefault\aspalpha\aspnum\faauto\adjustright\rin0\lin0\itap0 \rtlch\fcs1 \af0\afs20\alang1025 \ltrch\fcs0 \fs24\lang2057\langfe2057\cgrid\langnp2057\langfenp2057 {\rtlch\fcs1 \af0 _x000d__x000a_\ltrch\fcs0 \insrsid1718133 _x000d__x000a_\par }}{\footerf \ltrpar \pard\plain \ltrpar\ql \li0\ri0\widctlpar\wrapdefault\aspalpha\aspnum\faauto\adjustright\rin0\lin0\itap0 \rtlch\fcs1 \af0\afs20\alang1025 \ltrch\fcs0 \fs24\lang2057\langfe2057\cgrid\langnp2057\langfenp2057 {\rtlch\fcs1 \af0 _x000d__x000a_\ltrch\fcs0 \insrsid1718133 _x000d__x000a_\par }}{\*\pnseclvl1\pnucrm\pnstart1\pnindent720\pnhang {\pntxta .}}{\*\pnseclvl2\pnucltr\pnstart1\pnindent720\pnhang {\pntxta .}}{\*\pnseclvl3\pndec\pnstart1\pnindent720\pnhang {\pntxta .}}{\*\pnseclvl4\pnlcltr\pnstart1\pnindent720\pnhang {\pntxta )}}_x000d__x000a_{\*\pnseclvl5\pndec\pnstart1\pnindent720\pnhang {\pntxtb (}{\pntxta )}}{\*\pnseclvl6\pnlcltr\pnstart1\pnindent720\pnhang {\pntxtb (}{\pntxta )}}{\*\pnseclvl7\pnlcrm\pnstart1\pnindent720\pnhang {\pntxtb (}{\pntxta )}}{\*\pnseclvl8_x000d__x000a_\pnlcltr\pnstart1\pnindent720\pnhang {\pntxtb (}{\pntxta )}}{\*\pnseclvl9\pnlcrm\pnstart1\pnindent720\pnhang {\pntxtb (}{\pntxta )}}\pard\plain \ltrpar\s21\ql \li0\ri0\sb240\keepn\nowidctlpar_x000d__x000a_\tx879\tx936\tx1021\tx1077\tx1134\tx1191\tx1247\tx1304\tx1361\tx1418\tx1474\tx1531\tx1588\tx1644\tx1701\tx1758\tx1814\tx1871\tx2070\tx2126\tx3374\tx3430\wrapdefault\aspalpha\aspnum\faauto\adjustright\rin0\lin0\itap0\pararsid5053196 \rtlch\fcs1 _x000d__x000a_\af0\afs20\alang1025 \ltrch\fcs0 \b\fs24\lang2057\langfe2057\cgrid\langnp2057\langfenp2057 {\rtlch\fcs1 \af0 \ltrch\fcs0 \cs17\b0\v\fs20\cf9\lang1024\langfe1024\loch\af1\hich\af1\dbch\af31501\noproof\langnp1030\insrsid5053196 {\*\bkmkstart restart}_x000d__x000a_\hich\af1\dbch\af31501\loch\f1 &lt;Amend&gt;}{\rtlch\fcs1 \af0 \ltrch\fcs0 \lang1030\langfe2057\langnp1030\insrsid5053196 [ZAMENDMENT]\tab \tab }{\rtlch\fcs1 \af0 \ltrch\fcs0 _x000d__x000a_\cs17\b0\v\fs20\cf9\lang1024\langfe1024\loch\af1\hich\af1\dbch\af31501\noproof\langnp1030\insrsid5053196 \hich\af1\dbch\af31501\loch\f1 &lt;NumAm&gt;}{\rtlch\fcs1 \af0 \ltrch\fcs0 \lang1030\langfe2057\langnp1030\insrsid5053196 [ZNRAM]}{\rtlch\fcs1 \af0 _x000d__x000a_\ltrch\fcs0 \cs17\b0\v\fs20\cf9\lang1024\langfe1024\loch\af1\hich\af1\dbch\af31501\noproof\langnp1030\insrsid5053196 \hich\af1\dbch\af31501\loch\f1 &lt;/NumAm&gt;}{\rtlch\fcs1 \af0 \ltrch\fcs0 \lang1030\langfe2057\langnp1030\insrsid5053196 _x000d__x000a_\par }\pard\plain \ltrpar\s25\ql \li0\ri0\sb240\keepn\nowidctlpar\wrapdefault\aspalpha\aspnum\faauto\adjustright\rin0\lin0\itap0\pararsid5053196 \rtlch\fcs1 \af0\afs20\alang1025 \ltrch\fcs0 \b\fs24\lang2057\langfe2057\cgrid\langnp2057\langfenp2057 {_x000d__x000a_\rtlch\fcs1 \af0 \ltrch\fcs0 \cs17\b0\v\fs20\cf9\lang1024\langfe1024\loch\af1\hich\af1\dbch\af31501\noproof\langnp1030\insrsid5053196 \hich\af1\dbch\af31501\loch\f1 &lt;DocAmend&gt;}{\rtlch\fcs1 \af0 \ltrch\fcs0 \lang1030\langfe2057\langnp1030\insrsid5053196 _x000d__x000a_[ZPROPOSAL][ZAMACT]}{\rtlch\fcs1 \af0 \ltrch\fcs0 \cs17\b0\v\fs20\cf9\lang1024\langfe1024\loch\af1\hich\af1\dbch\af31501\noproof\langnp1030\insrsid5053196 \hich\af1\dbch\af31501\loch\f1 &lt;/DocAmend&gt;}{\rtlch\fcs1 \af0 \ltrch\fcs0 _x000d__x000a_\lang1030\langfe2057\langnp1030\insrsid5053196 _x000d__x000a_\par }\pard\plain \ltrpar\s18\ql \li0\ri0\nowidctlpar\wrapdefault\aspalpha\aspnum\faauto\adjustright\rin0\lin0\itap0\pararsid5053196 \rtlch\fcs1 \af0\afs20\alang1025 \ltrch\fcs0 \b\fs24\lang2057\langfe2057\cgrid\langnp2057\langfenp2057 {\rtlch\fcs1 \af0 _x000d__x000a_\ltrch\fcs0 \cs17\b0\v\fs20\cf9\lang1024\langfe1024\loch\af1\hich\af1\dbch\af31501\noproof\langnp1030\insrsid5053196 \hich\af1\dbch\af31501\loch\f1 &lt;Article&gt;}{\rtlch\fcs1 \af0 \ltrch\fcs0 \lang1030\langfe2057\langnp1030\insrsid5053196 [ZAMPART]}{_x000d__x000a_\rtlch\fcs1 \af0 \ltrch\fcs0 \cs17\b0\v\fs20\cf9\lang1024\langfe1024\loch\af1\hich\af1\dbch\af31501\noproof\langnp1030\insrsid5053196 \hich\af1\dbch\af31501\loch\f1 &lt;/Article&gt;}{\rtlch\fcs1 \af0 \ltrch\fcs0 \lang1030\langfe2057\langnp1030\insrsid5053196 _x000d__x000a__x000d__x000a_\par }\pard\plain \ltrpar\ql \li0\ri0\keepn\widctlpar\wrapdefault\aspalpha\aspnum\faauto\adjustright\rin0\lin0\itap0\pararsid5053196 \rtlch\fcs1 \af0\afs20\alang1025 \ltrch\fcs0 \fs24\lang2057\langfe2057\cgrid\langnp2057\langfenp2057 {\rtlch\fcs1 \af0 _x000d__x000a_\ltrch\fcs0 \cs17\v\fs20\cf9\lang1024\langfe1024\loch\af1\hich\af1\dbch\af31501\noproof\langnp1030\insrsid5053196 \hich\af1\dbch\af31501\loch\f1 &lt;DocAmend2&gt;&lt;OptDel&gt;}{\rtlch\fcs1 \af0 \ltrch\fcs0 \lang1030\langfe2057\langnp1030\insrsid5053196 [ZNRACT]}{_x000d__x000a_\rtlch\fcs1 \af0 \ltrch\fcs0 \cs17\v\fs20\cf9\lang1024\langfe1024\loch\af1\hich\af1\dbch\af31501\noproof\langnp1030\insrsid5053196 \hich\af1\dbch\af31501\loch\f1 &lt;/OptDel&gt;&lt;/DocAmend2&gt;}{\rtlch\fcs1 \af0 \ltrch\fcs0 _x000d__x000a_\lang1030\langfe2057\langnp1030\insrsid5053196 _x000d__x000a_\par }\pard \ltrpar\ql \li0\ri0\widctlpar\wrapdefault\aspalpha\aspnum\faauto\adjustright\rin0\lin0\itap0\pararsid5053196 {\rtlch\fcs1 \af0 \ltrch\fcs0 \cs17\v\fs20\cf9\lang1024\langfe1024\loch\af1\hich\af1\dbch\af31501\noproof\langnp1036\insrsid5053196 _x000d__x000a_\hich\af1\dbch\af31501\loch\f1 &lt;Article2&gt;&lt;OptDel&gt;}{\rtlch\fcs1 \af0 \ltrch\fcs0 \lang1036\langfe2057\langnp1036\insrsid5053196 [ZACTPART]}{\rtlch\fcs1 \af0 \ltrch\fcs0 _x000d__x000a_\cs17\v\fs20\cf9\lang1024\langfe1024\loch\af1\hich\af1\dbch\af31501\noproof\langnp1036\insrsid5053196 \hich\af1\dbch\af31501\loch\f1 &lt;/OptDel&gt;&lt;/Article2&gt;}{\rtlch\fcs1 \af0 \ltrch\fcs0 \lang1036\langfe2057\langnp1036\insrsid5053196 _x000d__x000a_\par \ltrrow}\trowd \irow0\irowband0\ltrrow\ts11\trqc\trgaph340\trleft-340\trftsWidth3\trftsWidthB3\trpaddl340\trpaddr340\trpaddfl3\trpaddft3\trpaddfb3\trpaddfr3\tblrsid11085200\tbllkhdrrows\tbllkhdrcols\tbllknocolband\tblind0\tblindtype3 \clvertalt\clbrdrt_x000d__x000a_\brdrtbl \clbrdrl\brdrtbl \clbrdrb\brdrtbl \clbrdrr\brdrtbl \cltxlrtb\clftsWidth3\clwWidth9752\clshdrawnil \cellx9412\pard \ltrpar\ql \li0\ri0\keepn\widctlpar\intbl\wrapdefault\aspalpha\aspnum\faauto\adjustright\rin0\lin0\pararsid11085200 {\rtlch\fcs1 _x000d__x000a_\af0 \ltrch\fcs0 \lang1036\langfe2057\langnp1036\insrsid5053196 \cell }\pard \ltrpar\ql \li0\ri0\widctlpar\intbl\wrapdefault\aspalpha\aspnum\faauto\adjustright\rin0\lin0 {\rtlch\fcs1 \af0 \ltrch\fcs0 \insrsid5053196 \trowd \irow0\irowband0\ltrrow_x000d__x000a_\ts11\trqc\trgaph340\trleft-340\trftsWidth3\trftsWidthB3\trpaddl340\trpaddr340\trpaddfl3\trpaddft3\trpaddfb3\trpaddfr3\tblrsid11085200\tbllkhdrrows\tbllkhdrcols\tbllknocolband\tblind0\tblindtype3 \clvertalt\clbrdrt\brdrtbl \clbrdrl\brdrtbl \clbrdrb_x000d__x000a_\brdrtbl \clbrdrr\brdrtbl \cltxlrtb\clftsWidth3\clwWidth9752\clshdrawnil \cellx9412\row \ltrrow}\trowd \irow1\irowband1\ltrrow_x000d__x000a_\ts11\trqc\trgaph340\trleft-340\trftsWidth3\trftsWidthB3\trpaddl340\trpaddr340\trpaddfl3\trpaddft3\trpaddfb3\trpaddfr3\tblrsid11085200\tbllkhdrrows\tbllkhdrcols\tbllknocolband\tblind0\tblindtype3 \clvertalt\clbrdrt\brdrtbl \clbrdrl\brdrtbl \clbrdrb_x000d__x000a_\brdrtbl \clbrdrr\brdrtbl \cltxlrtb\clftsWidth3\clwWidth4876\clshdrawnil\clhidemark \cellx4536\clvertalt\clbrdrt\brdrtbl \clbrdrl\brdrtbl \clbrdrb\brdrtbl \clbrdrr\brdrtbl \cltxlrtb\clftsWidth3\clwWidth4876\clshdrawnil\clhidemark \cellx9412_x000d__x000a_\pard\plain \ltrpar\s20\qc \li0\ri0\sa240\keepn\nowidctlpar\intbl\wrapdefault\aspalpha\aspnum\faauto\adjustright\rin0\lin0\pararsid11085200 \rtlch\fcs1 \af0\afs20\alang1025 \ltrch\fcs0 \i\fs24\lang2057\langfe2057\cgrid\langnp2057\langfenp2057 {_x000d__x000a_\rtlch\fcs1 \af0 \ltrch\fcs0 \insrsid5053196 [ZLEFT]\cell [ZRIGHT]\cell }\pard\plain \ltrpar\ql \li0\ri0\widctlpar\intbl\wrapdefault\aspalpha\aspnum\faauto\adjustright\rin0\lin0 \rtlch\fcs1 \af0\afs20\alang1025 \ltrch\fcs0 _x000d__x000a_\fs24\lang2057\langfe2057\cgrid\langnp2057\langfenp2057 {\rtlch\fcs1 \af0 \ltrch\fcs0 \insrsid5053196 \trowd \irow1\irowband1\ltrrow_x000d__x000a_\ts11\trqc\trgaph340\trleft-340\trftsWidth3\trftsWidthB3\trpaddl340\trpaddr340\trpaddfl3\trpaddft3\trpaddfb3\trpaddfr3\tblrsid11085200\tbllkhdrrows\tbllkhdrcols\tbllknocolband\tblind0\tblindtype3 \clvertalt\clbrdrt\brdrtbl \clbrdrl\brdrtbl \clbrdrb_x000d__x000a_\brdrtbl \clbrdrr\brdrtbl \cltxlrtb\clftsWidth3\clwWidth4876\clshdrawnil\clhidemark \cellx4536\clvertalt\clbrdrt\brdrtbl \clbrdrl\brdrtbl \clbrdrb\brdrtbl \clbrdrr\brdrtbl \cltxlrtb\clftsWidth3\clwWidth4876\clshdrawnil\clhidemark \cellx9412\row \ltrrow_x000d__x000a_}\pard\plain \ltrpar\s19\ql \li0\ri0\sa120\nowidctlpar\intbl\wrapdefault\aspalpha\aspnum\faauto\adjustright\rin0\lin0\pararsid11085200 \rtlch\fcs1 \af0\afs20\alang1025 \ltrch\fcs0 \fs24\lang2057\langfe2057\cgrid\langnp2057\langfenp2057 {\rtlch\fcs1 \af0 _x000d__x000a_\ltrch\fcs0 \insrsid5053196 [ZTEXTL]\cell [ZTEXTR]\cell }\pard\plain \ltrpar\ql \li0\ri0\widctlpar\intbl\wrapdefault\aspalpha\aspnum\faauto\adjustright\rin0\lin0 \rtlch\fcs1 \af0\afs20\alang1025 \ltrch\fcs0 _x000d__x000a_\fs24\lang2057\langfe2057\cgrid\langnp2057\langfenp2057 {\rtlch\fcs1 \af0 \ltrch\fcs0 \insrsid5053196 \trowd \irow2\irowband2\lastrow \ltrrow_x000d__x000a_\ts11\trqc\trgaph340\trleft-340\trftsWidth3\trftsWidthB3\trpaddl340\trpaddr340\trpaddfl3\trpaddft3\trpaddfb3\trpaddfr3\tblrsid11085200\tbllkhdrrows\tbllkhdrcols\tbllknocolband\tblind0\tblindtype3 \clvertalt\clbrdrt\brdrtbl \clbrdrl\brdrtbl \clbrdrb_x000d__x000a_\brdrtbl \clbrdrr\brdrtbl \cltxlrtb\clftsWidth3\clwWidth4876\clshdrawnil\clhidemark \cellx4536\clvertalt\clbrdrt\brdrtbl \clbrdrl\brdrtbl \clbrdrb\brdrtbl \clbrdrr\brdrtbl \cltxlrtb\clftsWidth3\clwWidth4876\clshdrawnil\clhidemark \cellx9412\row _x000d__x000a_}\pard\plain \ltrpar\s23\qc \li0\ri0\sb240\sa240\nowidctlpar\wrapdefault\aspalpha\aspnum\faauto\adjustright\rin0\lin0\itap0\pararsid5053196 \rtlch\fcs1 \af0\afs20\alang1025 \ltrch\fcs0 \i\fs24\lang2057\langfe2057\cgrid\langnp2057\langfenp2057 {_x000d__x000a_\rtlch\fcs1 \af0 \ltrch\fcs0 \cs17\i0\v\fs20\cf9\lang1024\langfe1024\loch\af1\hich\af1\dbch\af31501\noproof\insrsid5053196 \hich\af1\dbch\af31501\loch\f1 &lt;OptDel&gt;}{\rtlch\fcs1 \af0 \ltrch\fcs0 \insrsid5053196 [ZCROSSREF]}{\rtlch\fcs1 \af0 \ltrch\fcs0 _x000d__x000a_\cs17\i0\v\fs20\cf9\lang1024\langfe1024\loch\af1\hich\af1\dbch\af31501\noproof\insrsid5053196 \hich\af1\dbch\af31501\loch\f1 &lt;/OptDel&gt;}{\rtlch\fcs1 \af0 \ltrch\fcs0 \insrsid5053196 _x000d__x000a_\par }\pard\plain \ltrpar\s24\qc \li0\ri0\sb240\sa240\keepn\nowidctlpar\wrapdefault\aspalpha\aspnum\faauto\adjustright\rin0\lin0\itap0\pararsid5053196 \rtlch\fcs1 \af0\afs20\alang1025 \ltrch\fcs0 \i\fs24\lang2057\langfe2057\cgrid\langnp2057\langfenp2057 {_x000d__x000a_\rtlch\fcs1 \af0 \ltrch\fcs0 \cs17\i0\v\fs20\cf9\lang1024\langfe1024\loch\af1\hich\af1\dbch\af31501\noproof\insrsid5053196 \hich\af1\dbch\af31501\loch\f1 &lt;TitreJust&gt;}{\rtlch\fcs1 \af0 \ltrch\fcs0 \insrsid5053196 [ZJUSTIFICATION]}{\rtlch\fcs1 \af0 _x000d__x000a_\ltrch\fcs0 \cs17\i0\v\fs20\cf9\lang1024\langfe1024\loch\af1\hich\af1\dbch\af31501\noproof\insrsid5053196 \hich\af1\dbch\af31501\loch\f1 &lt;/TitreJust&gt;}{\rtlch\fcs1 \af0 \ltrch\fcs0 \insrsid5053196 _x000d__x000a_\par }\pard\plain \ltrpar\s22\ql \li0\ri0\sa240\nowidctlpar\wrapdefault\aspalpha\aspnum\faauto\adjustright\rin0\lin0\itap0\pararsid5053196 \rtlch\fcs1 \af0\afs20\alang1025 \ltrch\fcs0 \i\fs24\lang2057\langfe2057\cgrid\langnp2057\langfenp2057 {\rtlch\fcs1 \af0 _x000d__x000a_\ltrch\fcs0 \cs17\i0\v\fs20\cf9\lang1024\langfe1024\loch\af1\hich\af1\dbch\af31501\noproof\insrsid5053196 \hich\af1\dbch\af31501\loch\f1 &lt;OptDelPrev&gt;}{\rtlch\fcs1 \af0 \ltrch\fcs0 \insrsid5053196 [ZTEXTJUST]}{\rtlch\fcs1 \af0 \ltrch\fcs0 _x000d__x000a_\cs17\i0\v\fs20\cf9\lang1024\langfe1024\loch\af1\hich\af1\dbch\af31501\noproof\insrsid5053196 \hich\af1\dbch\af31501\loch\f1 &lt;/OptDelPrev&gt;}{\rtlch\fcs1 \af0 \ltrch\fcs0 \insrsid5053196 _x000d__x000a_\par }\pard\plain \ltrpar\ql \li0\ri0\widctlpar\wrapdefault\aspalpha\aspnum\faauto\adjustright\rin0\lin0\itap0\pararsid5053196 \rtlch\fcs1 \af0\afs20\alang1025 \ltrch\fcs0 \fs24\lang2057\langfe2057\cgrid\langnp2057\langfenp2057 {\rtlch\fcs1 \af0 \ltrch\fcs0 _x000d__x000a_\cs17\v\fs20\cf9\lang1024\langfe1024\loch\af1\hich\af1\dbch\af31501\noproof\insrsid5053196 \hich\af1\dbch\af31501\loch\f1 &lt;/Amend&gt;}{\rtlch\fcs1 \af0 \ltrch\fcs0 \insrsid5053196\charrsid16324206 {\*\bkmkend restart}_x000d__x000a_\par }\pard \ltrpar\ql \li0\ri0\widctlpar\wrapdefault\aspalpha\aspnum\faauto\adjustright\rin0\lin0\itap0\pararsid16324206 {\rtlch\fcs1 \af0 \ltrch\fcs0 \insrsid24658\charrsid16324206 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unhideused1 \lsdlocked0 Normal Table;\lsdsemihidden1 \lsdunhideused1 \lsdlocked0 Table Simple 1;_x000d__x000a_\lsdsemihidden1 \lsdunhideused1 \lsdlocked0 Table Simple 2;\lsdsemihidden1 \lsdunhideused1 \lsdlocked0 Table Simple 3;\lsdsemihidden1 \lsdunhideused1 \lsdlocked0 Table Classic 1;\lsdsemihidden1 \lsdunhideused1 \lsdlocked0 Table Classic 2;_x000d__x000a_\lsdsemihidden1 \lsdunhideused1 \lsdlocked0 Table Classic 3;\lsdsemihidden1 \lsdunhideused1 \lsdlocked0 Table Classic 4;\lsdsemihidden1 \lsdunhideused1 \lsdlocked0 Table Colorful 1;\lsdsemihidden1 \lsdunhideused1 \lsdlocked0 Table Colorful 2;_x000d__x000a_\lsdsemihidden1 \lsdunhideused1 \lsdlocked0 Table Colorful 3;\lsdsemihidden1 \lsdunhideused1 \lsdlocked0 Table Columns 1;\lsdsemihidden1 \lsdunhideused1 \lsdlocked0 Table Columns 2;\lsdsemihidden1 \lsdunhideused1 \lsdlocked0 Table Columns 3;_x000d__x000a_\lsdsemihidden1 \lsdunhideused1 \lsdlocked0 Table Columns 4;\lsdsemihidden1 \lsdunhideused1 \lsdlocked0 Table Columns 5;\lsdsemihidden1 \lsdunhideused1 \lsdlocked0 Table Grid 1;\lsdsemihidden1 \lsdunhideused1 \lsdlocked0 Table Grid 2;_x000d__x000a_\lsdsemihidden1 \lsdunhideused1 \lsdlocked0 Table Grid 3;\lsdsemihidden1 \lsdunhideused1 \lsdlocked0 Table Grid 4;\lsdsemihidden1 \lsdunhideused1 \lsdlocked0 Table Grid 5;\lsdsemihidden1 \lsdunhideused1 \lsdlocked0 Table Grid 6;_x000d__x000a_\lsdsemihidden1 \lsdunhideused1 \lsdlocked0 Table Grid 7;\lsdsemihidden1 \lsdunhideused1 \lsdlocked0 Table Grid 8;\lsdsemihidden1 \lsdunhideused1 \lsdlocked0 Table List 1;\lsdsemihidden1 \lsdunhideused1 \lsdlocked0 Table List 2;_x000d__x000a_\lsdsemihidden1 \lsdunhideused1 \lsdlocked0 Table List 3;\lsdsemihidden1 \lsdunhideused1 \lsdlocked0 Table List 4;\lsdsemihidden1 \lsdunhideused1 \lsdlocked0 Table List 5;\lsdsemihidden1 \lsdunhideused1 \lsdlocked0 Table List 6;_x000d__x000a_\lsdsemihidden1 \lsdunhideused1 \lsdlocked0 Table List 7;\lsdsemihidden1 \lsdunhideused1 \lsdlocked0 Table List 8;\lsdsemihidden1 \lsdunhideused1 \lsdlocked0 Table 3D effects 1;\lsdsemihidden1 \lsdunhideused1 \lsdlocked0 Table 3D effects 2;_x000d__x000a_\lsdsemihidden1 \lsdunhideused1 \lsdlocked0 Table 3D effects 3;\lsdsemihidden1 \lsdunhideused1 \lsdlocked0 Table Contemporary;\lsdsemihidden1 \lsdunhideused1 \lsdlocked0 Table Elegant;\lsdsemihidden1 \lsdunhideused1 \lsdlocked0 Table Professional;_x000d__x000a_\lsdsemihidden1 \lsdunhideused1 \lsdlocked0 Table Subtle 1;\lsdsemihidden1 \lsdunhideused1 \lsdlocked0 Table Subtle 2;\lsdsemihidden1 \lsdunhideused1 \lsdlocked0 Table Web 1;\lsdsemihidden1 \lsdunhideused1 \lsdlocked0 Table Web 2;_x000d__x000a_\lsdsemihidden1 \lsdunhideused1 \lsdlocked0 Table Web 3;\lsdsemihidden1 \lsdunhideused1 \lsdlocked0 Table Theme;\lsdsemihidden1 \lsdpriority99 \lsdlocked0 Placeholder Text;\lsdqformat1 \lsdpriority1 \lsdlocked0 No Spacing;_x000d__x000a_\lsdpriority60 \lsdlocked0 Light Shading;\lsdpriority61 \lsdlocked0 Light List;\lsdpriority62 \lsdlocked0 Light Grid;\lsdpriority63 \lsdlocked0 Medium Shading 1;\lsdpriority64 \lsdlocked0 Medium Shading 2;\lsdpriority65 \lsdlocked0 Medium List 1;_x000d__x000a_\lsdpriority66 \lsdlocked0 Medium List 2;\lsdpriority67 \lsdlocked0 Medium Grid 1;\lsdpriority68 \lsdlocked0 Medium Grid 2;\lsdpriority69 \lsdlocked0 Medium Grid 3;\lsdpriority70 \lsdlocked0 Dark List;\lsdpriority71 \lsdlocked0 Colorful Shading;_x000d__x000a_\lsdpriority72 \lsdlocked0 Colorful List;\lsdpriority73 \lsdlocked0 Colorful Grid;\lsdpriority60 \lsdlocked0 Light Shading Accent 1;\lsdpriority61 \lsdlocked0 Light List Accent 1;\lsdpriority62 \lsdlocked0 Light Grid Accent 1;_x000d__x000a_\lsdpriority63 \lsdlocked0 Medium Shading 1 Accent 1;\lsdpriority64 \lsdlocked0 Medium Shading 2 Accent 1;\lsdpriority65 \lsdlocked0 Medium List 1 Accent 1;\lsdsemihidden1 \lsdpriority99 \lsdlocked0 Revision;_x000d__x000a_\lsdqformat1 \lsdpriority34 \lsdlocked0 List Paragraph;\lsdqformat1 \lsdpriority29 \lsdlocked0 Quote;\lsdqformat1 \lsdpriority30 \lsdlocked0 Intense Quote;\lsdpriority66 \lsdlocked0 Medium List 2 Accent 1;\lsdpriority67 \lsdlocked0 Medium Grid 1 Accent 1;_x000d__x000a_\lsdpriority68 \lsdlocked0 Medium Grid 2 Accent 1;\lsdpriority69 \lsdlocked0 Medium Grid 3 Accent 1;\lsdpriority70 \lsdlocked0 Dark List Accent 1;\lsdpriority71 \lsdlocked0 Colorful Shading Accent 1;\lsdpriority72 \lsdlocked0 Colorful List Accent 1;_x000d__x000a_\lsdpriority73 \lsdlocked0 Colorful Grid Accent 1;\lsdpriority60 \lsdlocked0 Light Shading Accent 2;\lsdpriority61 \lsdlocked0 Light List Accent 2;\lsdpriority62 \lsdlocked0 Light Grid Accent 2;\lsdpriority63 \lsdlocked0 Medium Shading 1 Accent 2;_x000d__x000a_\lsdpriority64 \lsdlocked0 Medium Shading 2 Accent 2;\lsdpriority65 \lsdlocked0 Medium List 1 Accent 2;\lsdpriority66 \lsdlocked0 Medium List 2 Accent 2;\lsdpriority67 \lsdlocked0 Medium Grid 1 Accent 2;\lsdpriority68 \lsdlocked0 Medium Grid 2 Accent 2;_x000d__x000a_\lsdpriority69 \lsdlocked0 Medium Grid 3 Accent 2;\lsdpriority70 \lsdlocked0 Dark List Accent 2;\lsdpriority71 \lsdlocked0 Colorful Shading Accent 2;\lsdpriority72 \lsdlocked0 Colorful List Accent 2;\lsdpriority73 \lsdlocked0 Colorful Grid Accent 2;_x000d__x000a_\lsdpriority60 \lsdlocked0 Light Shading Accent 3;\lsdpriority61 \lsdlocked0 Light List Accent 3;\lsdpriority62 \lsdlocked0 Light Grid Accent 3;\lsdpriority63 \lsdlocked0 Medium Shading 1 Accent 3;\lsdpriority64 \lsdlocked0 Medium Shading 2 Accent 3;_x000d__x000a_\lsdpriority65 \lsdlocked0 Medium List 1 Accent 3;\lsdpriority66 \lsdlocked0 Medium List 2 Accent 3;\lsdpriority67 \lsdlocked0 Medium Grid 1 Accent 3;\lsdpriority68 \lsdlocked0 Medium Grid 2 Accent 3;\lsdpriority69 \lsdlocked0 Medium Grid 3 Accent 3;_x000d__x000a_\lsdpriority70 \lsdlocked0 Dark List Accent 3;\lsdpriority71 \lsdlocked0 Colorful Shading Accent 3;\lsdpriority72 \lsdlocked0 Colorful List Accent 3;\lsdpriority73 \lsdlocked0 Colorful Grid Accent 3;\lsdpriority60 \lsdlocked0 Light Shading Accent 4;_x000d__x000a_\lsdpriority61 \lsdlocked0 Light List Accent 4;\lsdpriority62 \lsdlocked0 Light Grid Accent 4;\lsdpriority63 \lsdlocked0 Medium Shading 1 Accent 4;\lsdpriority64 \lsdlocked0 Medium Shading 2 Accent 4;\lsdpriority65 \lsdlocked0 Medium List 1 Accent 4;_x000d__x000a_\lsdpriority66 \lsdlocked0 Medium List 2 Accent 4;\lsdpriority67 \lsdlocked0 Medium Grid 1 Accent 4;\lsdpriority68 \lsdlocked0 Medium Grid 2 Accent 4;\lsdpriority69 \lsdlocked0 Medium Grid 3 Accent 4;\lsdpriority70 \lsdlocked0 Dark List Accent 4;_x000d__x000a_\lsdpriority71 \lsdlocked0 Colorful Shading Accent 4;\lsdpriority72 \lsdlocked0 Colorful List Accent 4;\lsdpriority73 \lsdlocked0 Colorful Grid Accent 4;\lsdpriority60 \lsdlocked0 Light Shading Accent 5;\lsdpriority61 \lsdlocked0 Light List Accent 5;_x000d__x000a_\lsdpriority62 \lsdlocked0 Light Grid Accent 5;\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90e8_x000d__x000a_87994142db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strDocTypeID" w:val="PA_LegEvaluation"/>
    <w:docVar w:name="strSubDir" w:val="1311"/>
    <w:docVar w:name="TITLECODMNU" w:val=" 1"/>
    <w:docVar w:name="TITLEMNU" w:val=" 1"/>
    <w:docVar w:name="TVTACTPART" w:val="xx"/>
    <w:docVar w:name="TVTAMACTPART" w:val="xx"/>
    <w:docVar w:name="TXTLANGUE" w:val="LV"/>
    <w:docVar w:name="TXTLANGUEMIN" w:val="lv"/>
    <w:docVar w:name="TXTNRC" w:val="0148/2024"/>
    <w:docVar w:name="TXTNRCOM" w:val="(2024)0495"/>
    <w:docVar w:name="TXTNRFIRSTAM" w:val="1"/>
    <w:docVar w:name="TXTNRLASTAM" w:val="1"/>
    <w:docVar w:name="TXTNRPE" w:val="765.331"/>
    <w:docVar w:name="TXTNRPROC" w:val="2024/0274"/>
    <w:docVar w:name="TXTNRREG" w:val="2020/2220"/>
    <w:docVar w:name="TXTPEorAP" w:val="PE"/>
    <w:docVar w:name="TXTROUTE" w:val="AD\1311349LV.docx"/>
    <w:docVar w:name="TXTTITLE" w:val="xx"/>
    <w:docVar w:name="TXTVERSION" w:val="03-00"/>
  </w:docVars>
  <w:rsids>
    <w:rsidRoot w:val="0095015B"/>
    <w:rsid w:val="0003367A"/>
    <w:rsid w:val="000E7EBF"/>
    <w:rsid w:val="00124F60"/>
    <w:rsid w:val="00135121"/>
    <w:rsid w:val="00140BE6"/>
    <w:rsid w:val="001449F5"/>
    <w:rsid w:val="00147F4E"/>
    <w:rsid w:val="0016025B"/>
    <w:rsid w:val="0016635E"/>
    <w:rsid w:val="00173215"/>
    <w:rsid w:val="001746D0"/>
    <w:rsid w:val="001B7393"/>
    <w:rsid w:val="001D2ED9"/>
    <w:rsid w:val="001E42AF"/>
    <w:rsid w:val="001F21C1"/>
    <w:rsid w:val="002D28A7"/>
    <w:rsid w:val="002E2F2E"/>
    <w:rsid w:val="002E4AA3"/>
    <w:rsid w:val="002E6F98"/>
    <w:rsid w:val="00325BCB"/>
    <w:rsid w:val="00331944"/>
    <w:rsid w:val="00332AD9"/>
    <w:rsid w:val="003402B9"/>
    <w:rsid w:val="00347D2C"/>
    <w:rsid w:val="00362463"/>
    <w:rsid w:val="00367A50"/>
    <w:rsid w:val="0037356F"/>
    <w:rsid w:val="00390EB2"/>
    <w:rsid w:val="00391AC1"/>
    <w:rsid w:val="00396A0E"/>
    <w:rsid w:val="003E2402"/>
    <w:rsid w:val="003E29AB"/>
    <w:rsid w:val="003E72E1"/>
    <w:rsid w:val="004263C1"/>
    <w:rsid w:val="00450A7E"/>
    <w:rsid w:val="004667D1"/>
    <w:rsid w:val="00485C5C"/>
    <w:rsid w:val="004C28FB"/>
    <w:rsid w:val="004C44C0"/>
    <w:rsid w:val="0052544E"/>
    <w:rsid w:val="005419FD"/>
    <w:rsid w:val="005940C3"/>
    <w:rsid w:val="00594C48"/>
    <w:rsid w:val="005B2F11"/>
    <w:rsid w:val="005C0BDF"/>
    <w:rsid w:val="005D60C6"/>
    <w:rsid w:val="006102E7"/>
    <w:rsid w:val="00640C1B"/>
    <w:rsid w:val="00654B6C"/>
    <w:rsid w:val="00657AFB"/>
    <w:rsid w:val="006B7893"/>
    <w:rsid w:val="006D5BF7"/>
    <w:rsid w:val="0070771D"/>
    <w:rsid w:val="00757C4C"/>
    <w:rsid w:val="007A5EBE"/>
    <w:rsid w:val="007B5CC7"/>
    <w:rsid w:val="00825069"/>
    <w:rsid w:val="008313E7"/>
    <w:rsid w:val="00852263"/>
    <w:rsid w:val="00854CAC"/>
    <w:rsid w:val="00873BF3"/>
    <w:rsid w:val="008A32C5"/>
    <w:rsid w:val="008C6203"/>
    <w:rsid w:val="008D61E7"/>
    <w:rsid w:val="008E2BE3"/>
    <w:rsid w:val="008F33FC"/>
    <w:rsid w:val="008F3686"/>
    <w:rsid w:val="008F7002"/>
    <w:rsid w:val="0095015B"/>
    <w:rsid w:val="009626A8"/>
    <w:rsid w:val="0098196C"/>
    <w:rsid w:val="0099493F"/>
    <w:rsid w:val="00A16BEA"/>
    <w:rsid w:val="00A26070"/>
    <w:rsid w:val="00A312B3"/>
    <w:rsid w:val="00A47E2F"/>
    <w:rsid w:val="00A56164"/>
    <w:rsid w:val="00A72C35"/>
    <w:rsid w:val="00AB5733"/>
    <w:rsid w:val="00AC5AAD"/>
    <w:rsid w:val="00AE180F"/>
    <w:rsid w:val="00AE5581"/>
    <w:rsid w:val="00AE79AF"/>
    <w:rsid w:val="00B362F7"/>
    <w:rsid w:val="00B5456B"/>
    <w:rsid w:val="00B74B53"/>
    <w:rsid w:val="00B87BB2"/>
    <w:rsid w:val="00BC26E4"/>
    <w:rsid w:val="00BD1EAA"/>
    <w:rsid w:val="00BF0AFC"/>
    <w:rsid w:val="00BF6786"/>
    <w:rsid w:val="00C01E11"/>
    <w:rsid w:val="00C52739"/>
    <w:rsid w:val="00C827FF"/>
    <w:rsid w:val="00CA109E"/>
    <w:rsid w:val="00CC55A7"/>
    <w:rsid w:val="00CD34AC"/>
    <w:rsid w:val="00D006EE"/>
    <w:rsid w:val="00D318E7"/>
    <w:rsid w:val="00D7202C"/>
    <w:rsid w:val="00D817C7"/>
    <w:rsid w:val="00DA2C80"/>
    <w:rsid w:val="00DC4F54"/>
    <w:rsid w:val="00DE19FF"/>
    <w:rsid w:val="00E81BA6"/>
    <w:rsid w:val="00E856D2"/>
    <w:rsid w:val="00E929A7"/>
    <w:rsid w:val="00ED4787"/>
    <w:rsid w:val="00F61C4F"/>
    <w:rsid w:val="00F8519F"/>
    <w:rsid w:val="00F96423"/>
    <w:rsid w:val="00FC228C"/>
    <w:rsid w:val="00FC42F1"/>
    <w:rsid w:val="00FC6460"/>
    <w:rsid w:val="00FD0D14"/>
    <w:rsid w:val="00FD4BC4"/>
    <w:rsid w:val="00FF4B5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81"/>
    <o:shapelayout v:ext="edit">
      <o:idmap v:ext="edit" data="1"/>
    </o:shapelayout>
  </w:shapeDefaults>
  <w:decimalSymbol w:val=","/>
  <w:listSeparator w:val=";"/>
  <w14:docId w14:val="2E4E1B83"/>
  <w15:chartTrackingRefBased/>
  <w15:docId w15:val="{1EB5CECD-A27E-4543-8366-AFFFB66477C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lv-LV"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er" w:semiHidden="1"/>
    <w:lsdException w:name="caption" w:semiHidden="1" w:unhideWhenUsed="1" w:qFormat="1"/>
    <w:lsdException w:name="Title" w:qFormat="1"/>
    <w:lsdException w:name="Subtitle" w:qFormat="1"/>
    <w:lsdException w:name="Hyperlink" w:uiPriority="99"/>
    <w:lsdException w:name="Strong" w:qFormat="1"/>
    <w:lsdException w:name="Emphasis" w:qFormat="1"/>
    <w:lsdException w:name="HTML Keyboard"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331944"/>
    <w:pPr>
      <w:widowControl w:val="0"/>
    </w:pPr>
    <w:rPr>
      <w:sz w:val="24"/>
    </w:rPr>
  </w:style>
  <w:style w:type="paragraph" w:styleId="Heading1">
    <w:name w:val="heading 1"/>
    <w:basedOn w:val="Normal"/>
    <w:next w:val="Normal"/>
    <w:semiHidden/>
    <w:qFormat/>
    <w:pPr>
      <w:keepNext/>
      <w:spacing w:before="240" w:after="60"/>
      <w:outlineLvl w:val="0"/>
    </w:pPr>
    <w:rPr>
      <w:rFonts w:ascii="Arial" w:hAnsi="Arial"/>
      <w:b/>
      <w:kern w:val="28"/>
      <w:sz w:val="28"/>
    </w:rPr>
  </w:style>
  <w:style w:type="paragraph" w:styleId="Heading2">
    <w:name w:val="heading 2"/>
    <w:basedOn w:val="Normal"/>
    <w:next w:val="Normal"/>
    <w:semiHidden/>
    <w:qFormat/>
    <w:pPr>
      <w:keepNext/>
      <w:spacing w:before="240" w:after="60"/>
      <w:outlineLvl w:val="1"/>
    </w:pPr>
    <w:rPr>
      <w:rFonts w:ascii="Arial" w:hAnsi="Arial"/>
      <w:b/>
      <w:i/>
    </w:rPr>
  </w:style>
  <w:style w:type="paragraph" w:styleId="Heading3">
    <w:name w:val="heading 3"/>
    <w:basedOn w:val="Normal"/>
    <w:next w:val="Normal"/>
    <w:semiHidden/>
    <w:qFormat/>
    <w:pPr>
      <w:keepNext/>
      <w:spacing w:before="240" w:after="60"/>
      <w:outlineLvl w:val="2"/>
    </w:pPr>
    <w:rPr>
      <w:rFonts w:ascii="Arial" w:hAnsi="Arial"/>
    </w:rPr>
  </w:style>
  <w:style w:type="paragraph" w:styleId="Heading4">
    <w:name w:val="heading 4"/>
    <w:basedOn w:val="Normal"/>
    <w:next w:val="Normal"/>
    <w:semiHidden/>
    <w:qFormat/>
    <w:pPr>
      <w:keepNext/>
      <w:spacing w:before="240" w:after="60"/>
      <w:outlineLvl w:val="3"/>
    </w:pPr>
    <w:rPr>
      <w:rFonts w:ascii="Arial" w:hAnsi="Arial"/>
      <w:b/>
    </w:rPr>
  </w:style>
  <w:style w:type="paragraph" w:styleId="Heading5">
    <w:name w:val="heading 5"/>
    <w:basedOn w:val="Normal"/>
    <w:next w:val="Normal"/>
    <w:semiHidden/>
    <w:qFormat/>
    <w:pPr>
      <w:spacing w:before="240" w:after="60"/>
      <w:outlineLvl w:val="4"/>
    </w:pPr>
    <w:rPr>
      <w:sz w:val="22"/>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basedOn w:val="DefaultParagraphFont"/>
    <w:rsid w:val="008F33FC"/>
    <w:rPr>
      <w:rFonts w:ascii="Arial" w:hAnsi="Arial" w:cs="Arial"/>
      <w:noProof/>
      <w:vanish/>
      <w:color w:val="000080"/>
      <w:sz w:val="20"/>
    </w:rPr>
  </w:style>
  <w:style w:type="paragraph" w:customStyle="1" w:styleId="EPFooter2">
    <w:name w:val="EPFooter2"/>
    <w:basedOn w:val="Normal"/>
    <w:next w:val="Normal"/>
    <w:rsid w:val="008F33FC"/>
    <w:pPr>
      <w:widowControl/>
      <w:tabs>
        <w:tab w:val="center" w:pos="4535"/>
        <w:tab w:val="right" w:pos="9921"/>
      </w:tabs>
      <w:ind w:left="-850" w:right="-850"/>
    </w:pPr>
    <w:rPr>
      <w:rFonts w:ascii="Arial" w:hAnsi="Arial" w:cs="Arial"/>
      <w:b/>
      <w:sz w:val="48"/>
    </w:rPr>
  </w:style>
  <w:style w:type="paragraph" w:customStyle="1" w:styleId="Normal12a">
    <w:name w:val="Normal12a"/>
    <w:basedOn w:val="Normal"/>
    <w:rsid w:val="008F33FC"/>
    <w:pPr>
      <w:spacing w:after="240"/>
    </w:pPr>
  </w:style>
  <w:style w:type="paragraph" w:styleId="TOC1">
    <w:name w:val="toc 1"/>
    <w:basedOn w:val="Normal12a"/>
    <w:next w:val="Normal12a"/>
    <w:autoRedefine/>
    <w:semiHidden/>
  </w:style>
  <w:style w:type="paragraph" w:styleId="TOCHeading">
    <w:name w:val="TOC Heading"/>
    <w:basedOn w:val="Normal"/>
    <w:next w:val="Normal"/>
    <w:semiHidden/>
    <w:qFormat/>
    <w:pPr>
      <w:keepNext/>
      <w:spacing w:before="240" w:after="240"/>
      <w:jc w:val="center"/>
    </w:pPr>
    <w:rPr>
      <w:rFonts w:ascii="Arial" w:hAnsi="Arial"/>
      <w:b/>
    </w:rPr>
  </w:style>
  <w:style w:type="character" w:customStyle="1" w:styleId="HideTWBInt">
    <w:name w:val="HideTWBInt"/>
    <w:rsid w:val="008F33FC"/>
    <w:rPr>
      <w:rFonts w:ascii="Arial" w:hAnsi="Arial"/>
      <w:vanish/>
      <w:color w:val="808080"/>
      <w:sz w:val="20"/>
    </w:rPr>
  </w:style>
  <w:style w:type="paragraph" w:customStyle="1" w:styleId="PageHeadingNotTOC">
    <w:name w:val="PageHeadingNotTOC"/>
    <w:basedOn w:val="Normal"/>
    <w:rsid w:val="008F33FC"/>
    <w:pPr>
      <w:keepNext/>
      <w:spacing w:after="480"/>
      <w:jc w:val="center"/>
    </w:pPr>
    <w:rPr>
      <w:rFonts w:ascii="Arial" w:hAnsi="Arial" w:cs="Arial"/>
      <w:b/>
    </w:rPr>
  </w:style>
  <w:style w:type="paragraph" w:customStyle="1" w:styleId="EPName">
    <w:name w:val="EPName"/>
    <w:basedOn w:val="Normal"/>
    <w:rsid w:val="008F33FC"/>
    <w:pPr>
      <w:spacing w:before="80" w:after="80"/>
    </w:pPr>
    <w:rPr>
      <w:rFonts w:ascii="Arial Narrow" w:hAnsi="Arial Narrow" w:cs="Arial"/>
      <w:b/>
      <w:sz w:val="32"/>
      <w:szCs w:val="22"/>
    </w:rPr>
  </w:style>
  <w:style w:type="paragraph" w:customStyle="1" w:styleId="CoverNormal24a">
    <w:name w:val="CoverNormal24a"/>
    <w:basedOn w:val="Normal"/>
    <w:rsid w:val="008F33FC"/>
    <w:pPr>
      <w:spacing w:after="480"/>
      <w:ind w:left="1417"/>
    </w:pPr>
  </w:style>
  <w:style w:type="paragraph" w:customStyle="1" w:styleId="CoverNormal">
    <w:name w:val="CoverNormal"/>
    <w:basedOn w:val="Normal"/>
    <w:rsid w:val="008F33FC"/>
    <w:pPr>
      <w:ind w:left="1418"/>
    </w:pPr>
  </w:style>
  <w:style w:type="paragraph" w:styleId="Header">
    <w:name w:val="header"/>
    <w:basedOn w:val="Normal"/>
    <w:link w:val="HeaderChar"/>
    <w:semiHidden/>
    <w:rsid w:val="005C0BDF"/>
    <w:pPr>
      <w:tabs>
        <w:tab w:val="center" w:pos="4513"/>
        <w:tab w:val="right" w:pos="9026"/>
      </w:tabs>
    </w:pPr>
  </w:style>
  <w:style w:type="paragraph" w:customStyle="1" w:styleId="CoverReference">
    <w:name w:val="CoverReference"/>
    <w:basedOn w:val="Normal"/>
    <w:rsid w:val="008F33FC"/>
    <w:pPr>
      <w:spacing w:before="1080"/>
      <w:jc w:val="right"/>
    </w:pPr>
    <w:rPr>
      <w:rFonts w:ascii="Arial" w:hAnsi="Arial"/>
      <w:b/>
    </w:rPr>
  </w:style>
  <w:style w:type="paragraph" w:customStyle="1" w:styleId="CoverDocType24a">
    <w:name w:val="CoverDocType24a"/>
    <w:basedOn w:val="Normal"/>
    <w:rsid w:val="008F33FC"/>
    <w:pPr>
      <w:spacing w:after="480"/>
      <w:ind w:left="1417"/>
    </w:pPr>
    <w:rPr>
      <w:rFonts w:ascii="Arial" w:hAnsi="Arial" w:cs="Arial"/>
      <w:b/>
      <w:sz w:val="48"/>
    </w:rPr>
  </w:style>
  <w:style w:type="paragraph" w:customStyle="1" w:styleId="CoverDate">
    <w:name w:val="CoverDate"/>
    <w:basedOn w:val="Normal"/>
    <w:rsid w:val="008F33FC"/>
    <w:pPr>
      <w:spacing w:before="240" w:after="1200"/>
    </w:pPr>
  </w:style>
  <w:style w:type="table" w:styleId="TableGrid">
    <w:name w:val="Table Grid"/>
    <w:basedOn w:val="TableNormal"/>
    <w:rsid w:val="001746D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
    <w:name w:val="EPBody"/>
    <w:basedOn w:val="Normal"/>
    <w:rsid w:val="008F33FC"/>
    <w:pPr>
      <w:jc w:val="center"/>
    </w:pPr>
    <w:rPr>
      <w:rFonts w:ascii="Arial" w:hAnsi="Arial" w:cs="Arial"/>
      <w:i/>
      <w:sz w:val="22"/>
      <w:szCs w:val="22"/>
    </w:rPr>
  </w:style>
  <w:style w:type="paragraph" w:customStyle="1" w:styleId="LineTop">
    <w:name w:val="LineTop"/>
    <w:basedOn w:val="Normal"/>
    <w:next w:val="Normal"/>
    <w:rsid w:val="008F33FC"/>
    <w:pPr>
      <w:pBdr>
        <w:top w:val="single" w:sz="4" w:space="1" w:color="auto"/>
      </w:pBdr>
      <w:jc w:val="center"/>
    </w:pPr>
    <w:rPr>
      <w:rFonts w:ascii="Arial" w:hAnsi="Arial"/>
      <w:sz w:val="16"/>
      <w:szCs w:val="16"/>
    </w:rPr>
  </w:style>
  <w:style w:type="paragraph" w:customStyle="1" w:styleId="LineBottom">
    <w:name w:val="LineBottom"/>
    <w:basedOn w:val="Normal"/>
    <w:next w:val="Normal"/>
    <w:rsid w:val="008F33FC"/>
    <w:pPr>
      <w:pBdr>
        <w:bottom w:val="single" w:sz="4" w:space="1" w:color="auto"/>
      </w:pBdr>
      <w:spacing w:after="240"/>
      <w:jc w:val="center"/>
    </w:pPr>
    <w:rPr>
      <w:rFonts w:ascii="Arial" w:hAnsi="Arial"/>
      <w:sz w:val="16"/>
      <w:szCs w:val="16"/>
    </w:rPr>
  </w:style>
  <w:style w:type="paragraph" w:customStyle="1" w:styleId="EPTerm">
    <w:name w:val="EPTerm"/>
    <w:basedOn w:val="Normal"/>
    <w:next w:val="Normal"/>
    <w:rsid w:val="008F33FC"/>
    <w:pPr>
      <w:spacing w:after="80"/>
    </w:pPr>
    <w:rPr>
      <w:rFonts w:ascii="Arial" w:hAnsi="Arial" w:cs="Arial"/>
      <w:sz w:val="20"/>
      <w:szCs w:val="22"/>
    </w:rPr>
  </w:style>
  <w:style w:type="paragraph" w:customStyle="1" w:styleId="EPLogo">
    <w:name w:val="EPLogo"/>
    <w:basedOn w:val="Normal"/>
    <w:qFormat/>
    <w:rsid w:val="008F33FC"/>
    <w:pPr>
      <w:jc w:val="right"/>
    </w:pPr>
  </w:style>
  <w:style w:type="paragraph" w:customStyle="1" w:styleId="NormalHanging12a">
    <w:name w:val="NormalHanging12a"/>
    <w:basedOn w:val="Normal"/>
    <w:link w:val="NormalHanging12aChar"/>
    <w:rsid w:val="008F33FC"/>
    <w:pPr>
      <w:spacing w:after="240"/>
      <w:ind w:left="567" w:hanging="567"/>
    </w:pPr>
  </w:style>
  <w:style w:type="paragraph" w:customStyle="1" w:styleId="EPFooter">
    <w:name w:val="EPFooter"/>
    <w:basedOn w:val="Normal"/>
    <w:rsid w:val="008F33FC"/>
    <w:pPr>
      <w:tabs>
        <w:tab w:val="center" w:pos="4535"/>
        <w:tab w:val="right" w:pos="9071"/>
      </w:tabs>
      <w:spacing w:before="240" w:after="240"/>
    </w:pPr>
    <w:rPr>
      <w:color w:val="010000"/>
      <w:sz w:val="22"/>
    </w:rPr>
  </w:style>
  <w:style w:type="character" w:customStyle="1" w:styleId="HeaderChar">
    <w:name w:val="Header Char"/>
    <w:basedOn w:val="DefaultParagraphFont"/>
    <w:link w:val="Header"/>
    <w:semiHidden/>
    <w:rsid w:val="005C0BDF"/>
    <w:rPr>
      <w:sz w:val="24"/>
    </w:rPr>
  </w:style>
  <w:style w:type="paragraph" w:customStyle="1" w:styleId="AmDocTypeTab">
    <w:name w:val="AmDocTypeTab"/>
    <w:basedOn w:val="Normal"/>
    <w:rsid w:val="008F33FC"/>
    <w:pPr>
      <w:tabs>
        <w:tab w:val="right" w:pos="9072"/>
      </w:tabs>
    </w:pPr>
    <w:rPr>
      <w:b/>
    </w:rPr>
  </w:style>
  <w:style w:type="paragraph" w:customStyle="1" w:styleId="NormalBold">
    <w:name w:val="NormalBold"/>
    <w:basedOn w:val="Normal"/>
    <w:rsid w:val="008F33FC"/>
    <w:rPr>
      <w:b/>
    </w:rPr>
  </w:style>
  <w:style w:type="paragraph" w:customStyle="1" w:styleId="AmOrLang">
    <w:name w:val="AmOrLang"/>
    <w:basedOn w:val="Normal"/>
    <w:rsid w:val="008F33FC"/>
    <w:pPr>
      <w:spacing w:before="240" w:after="240"/>
      <w:jc w:val="right"/>
    </w:pPr>
  </w:style>
  <w:style w:type="paragraph" w:customStyle="1" w:styleId="Normal6a">
    <w:name w:val="Normal6a"/>
    <w:basedOn w:val="Normal"/>
    <w:rsid w:val="008F33FC"/>
    <w:pPr>
      <w:spacing w:after="120"/>
    </w:pPr>
  </w:style>
  <w:style w:type="paragraph" w:customStyle="1" w:styleId="AmDateTab">
    <w:name w:val="AmDateTab"/>
    <w:basedOn w:val="Normal"/>
    <w:rsid w:val="008F33FC"/>
    <w:pPr>
      <w:tabs>
        <w:tab w:val="right" w:pos="9072"/>
      </w:tabs>
    </w:pPr>
  </w:style>
  <w:style w:type="paragraph" w:customStyle="1" w:styleId="AmColumnHeading">
    <w:name w:val="AmColumnHeading"/>
    <w:basedOn w:val="Normal"/>
    <w:rsid w:val="008F33FC"/>
    <w:pPr>
      <w:spacing w:after="240"/>
      <w:jc w:val="center"/>
    </w:pPr>
    <w:rPr>
      <w:i/>
    </w:rPr>
  </w:style>
  <w:style w:type="paragraph" w:customStyle="1" w:styleId="AmNumberTabs">
    <w:name w:val="AmNumberTabs"/>
    <w:basedOn w:val="Normal"/>
    <w:rsid w:val="008F33FC"/>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AmJustText">
    <w:name w:val="AmJustText"/>
    <w:basedOn w:val="Normal"/>
    <w:rsid w:val="008F33FC"/>
    <w:pPr>
      <w:spacing w:after="240"/>
    </w:pPr>
    <w:rPr>
      <w:i/>
    </w:rPr>
  </w:style>
  <w:style w:type="paragraph" w:customStyle="1" w:styleId="AmCrossRef">
    <w:name w:val="AmCrossRef"/>
    <w:basedOn w:val="Normal"/>
    <w:rsid w:val="008F33FC"/>
    <w:pPr>
      <w:spacing w:before="240" w:after="240"/>
      <w:jc w:val="center"/>
    </w:pPr>
    <w:rPr>
      <w:i/>
    </w:rPr>
  </w:style>
  <w:style w:type="paragraph" w:customStyle="1" w:styleId="AmJustTitle">
    <w:name w:val="AmJustTitle"/>
    <w:basedOn w:val="Normal"/>
    <w:next w:val="AmJustText"/>
    <w:rsid w:val="008F33FC"/>
    <w:pPr>
      <w:keepNext/>
      <w:spacing w:before="240" w:after="240"/>
      <w:jc w:val="center"/>
    </w:pPr>
    <w:rPr>
      <w:i/>
    </w:rPr>
  </w:style>
  <w:style w:type="paragraph" w:customStyle="1" w:styleId="NormalBold12b">
    <w:name w:val="NormalBold12b"/>
    <w:basedOn w:val="Normal"/>
    <w:rsid w:val="008F33FC"/>
    <w:pPr>
      <w:spacing w:before="240"/>
    </w:pPr>
    <w:rPr>
      <w:b/>
    </w:rPr>
  </w:style>
  <w:style w:type="paragraph" w:customStyle="1" w:styleId="Normal24a">
    <w:name w:val="Normal24a"/>
    <w:basedOn w:val="Normal"/>
    <w:rsid w:val="008F33FC"/>
    <w:pPr>
      <w:spacing w:after="480"/>
    </w:pPr>
  </w:style>
  <w:style w:type="paragraph" w:customStyle="1" w:styleId="NormalBoldCenter">
    <w:name w:val="NormalBoldCenter"/>
    <w:basedOn w:val="Normal"/>
    <w:rsid w:val="008F33FC"/>
    <w:pPr>
      <w:jc w:val="center"/>
    </w:pPr>
    <w:rPr>
      <w:b/>
    </w:rPr>
  </w:style>
  <w:style w:type="paragraph" w:customStyle="1" w:styleId="Footprint12b">
    <w:name w:val="Footprint12b"/>
    <w:basedOn w:val="Normal"/>
    <w:rsid w:val="008F33FC"/>
    <w:pPr>
      <w:spacing w:before="240"/>
    </w:pPr>
    <w:rPr>
      <w:szCs w:val="24"/>
    </w:rPr>
  </w:style>
  <w:style w:type="paragraph" w:customStyle="1" w:styleId="NormalSingle">
    <w:name w:val="NormalSingle"/>
    <w:basedOn w:val="Normal"/>
    <w:qFormat/>
    <w:rsid w:val="008F33FC"/>
    <w:rPr>
      <w:szCs w:val="24"/>
    </w:rPr>
  </w:style>
  <w:style w:type="paragraph" w:styleId="Footer">
    <w:name w:val="footer"/>
    <w:basedOn w:val="Normal"/>
    <w:link w:val="FooterChar"/>
    <w:semiHidden/>
    <w:rsid w:val="00DA2C80"/>
    <w:pPr>
      <w:tabs>
        <w:tab w:val="center" w:pos="4513"/>
        <w:tab w:val="right" w:pos="9026"/>
      </w:tabs>
    </w:pPr>
  </w:style>
  <w:style w:type="character" w:customStyle="1" w:styleId="FooterChar">
    <w:name w:val="Footer Char"/>
    <w:basedOn w:val="DefaultParagraphFont"/>
    <w:link w:val="Footer"/>
    <w:semiHidden/>
    <w:rsid w:val="00DA2C80"/>
    <w:rPr>
      <w:sz w:val="24"/>
    </w:rPr>
  </w:style>
  <w:style w:type="paragraph" w:styleId="FootnoteText">
    <w:name w:val="footnote text"/>
    <w:basedOn w:val="Normal"/>
    <w:link w:val="FootnoteTextChar"/>
    <w:rsid w:val="007A5EBE"/>
    <w:rPr>
      <w:sz w:val="20"/>
    </w:rPr>
  </w:style>
  <w:style w:type="character" w:customStyle="1" w:styleId="FootnoteTextChar">
    <w:name w:val="Footnote Text Char"/>
    <w:basedOn w:val="DefaultParagraphFont"/>
    <w:link w:val="FootnoteText"/>
    <w:rsid w:val="007A5EBE"/>
  </w:style>
  <w:style w:type="character" w:styleId="FootnoteReference">
    <w:name w:val="footnote reference"/>
    <w:aliases w:val="Footnote Reference Superscript,Footnote symbol,Footnote,stylish,BVI fnr,Footnote symboFußnotenzeichen,Footnote sign,Footnote Reference Number,E FNZ,-E Fußnotenzeichen,Footnote#,Times 10 Point,Exposant 3 Point,Ref,de nota al pie,SUPER"/>
    <w:rsid w:val="007A5EBE"/>
    <w:rPr>
      <w:vertAlign w:val="superscript"/>
    </w:rPr>
  </w:style>
  <w:style w:type="character" w:styleId="Hyperlink">
    <w:name w:val="Hyperlink"/>
    <w:basedOn w:val="DefaultParagraphFont"/>
    <w:uiPriority w:val="99"/>
    <w:unhideWhenUsed/>
    <w:rsid w:val="007A5EBE"/>
    <w:rPr>
      <w:color w:val="0563C1" w:themeColor="hyperlink"/>
      <w:u w:val="single"/>
    </w:rPr>
  </w:style>
  <w:style w:type="character" w:customStyle="1" w:styleId="NormalHanging12aChar">
    <w:name w:val="NormalHanging12a Char"/>
    <w:basedOn w:val="DefaultParagraphFont"/>
    <w:link w:val="NormalHanging12a"/>
    <w:rsid w:val="00D817C7"/>
    <w:rPr>
      <w:sz w:val="24"/>
    </w:rPr>
  </w:style>
  <w:style w:type="paragraph" w:customStyle="1" w:styleId="RollCallSymbols14pt">
    <w:name w:val="RollCallSymbols14pt"/>
    <w:basedOn w:val="Normal"/>
    <w:rsid w:val="00D817C7"/>
    <w:pPr>
      <w:spacing w:before="120" w:after="120"/>
      <w:jc w:val="center"/>
    </w:pPr>
    <w:rPr>
      <w:rFonts w:ascii="Arial" w:hAnsi="Arial"/>
      <w:b/>
      <w:bCs/>
      <w:snapToGrid w:val="0"/>
      <w:sz w:val="28"/>
      <w:lang w:eastAsia="en-US"/>
    </w:rPr>
  </w:style>
  <w:style w:type="paragraph" w:customStyle="1" w:styleId="RollCallTabs">
    <w:name w:val="RollCallTabs"/>
    <w:basedOn w:val="Normal"/>
    <w:qFormat/>
    <w:rsid w:val="00D817C7"/>
    <w:pPr>
      <w:tabs>
        <w:tab w:val="center" w:pos="284"/>
        <w:tab w:val="left" w:pos="426"/>
      </w:tabs>
    </w:pPr>
    <w:rPr>
      <w:snapToGrid w:val="0"/>
      <w:lang w:eastAsia="en-US"/>
    </w:rPr>
  </w:style>
  <w:style w:type="paragraph" w:customStyle="1" w:styleId="RollCallVotes">
    <w:name w:val="RollCallVotes"/>
    <w:basedOn w:val="Normal"/>
    <w:rsid w:val="00D817C7"/>
    <w:pPr>
      <w:spacing w:before="120" w:after="120"/>
      <w:jc w:val="center"/>
    </w:pPr>
    <w:rPr>
      <w:b/>
      <w:bCs/>
      <w:snapToGrid w:val="0"/>
      <w:sz w:val="16"/>
      <w:lang w:eastAsia="en-US"/>
    </w:rPr>
  </w:style>
  <w:style w:type="paragraph" w:customStyle="1" w:styleId="RollCallTable">
    <w:name w:val="RollCallTable"/>
    <w:basedOn w:val="Normal"/>
    <w:rsid w:val="00D817C7"/>
    <w:pPr>
      <w:spacing w:before="120" w:after="120"/>
    </w:pPr>
    <w:rPr>
      <w:snapToGrid w:val="0"/>
      <w:sz w:val="16"/>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75055976">
      <w:bodyDiv w:val="1"/>
      <w:marLeft w:val="0"/>
      <w:marRight w:val="0"/>
      <w:marTop w:val="0"/>
      <w:marBottom w:val="0"/>
      <w:divBdr>
        <w:top w:val="none" w:sz="0" w:space="0" w:color="auto"/>
        <w:left w:val="none" w:sz="0" w:space="0" w:color="auto"/>
        <w:bottom w:val="none" w:sz="0" w:space="0" w:color="auto"/>
        <w:right w:val="none" w:sz="0" w:space="0" w:color="auto"/>
      </w:divBdr>
    </w:div>
    <w:div w:id="766393068">
      <w:bodyDiv w:val="1"/>
      <w:marLeft w:val="0"/>
      <w:marRight w:val="0"/>
      <w:marTop w:val="0"/>
      <w:marBottom w:val="0"/>
      <w:divBdr>
        <w:top w:val="none" w:sz="0" w:space="0" w:color="auto"/>
        <w:left w:val="none" w:sz="0" w:space="0" w:color="auto"/>
        <w:bottom w:val="none" w:sz="0" w:space="0" w:color="auto"/>
        <w:right w:val="none" w:sz="0" w:space="0" w:color="auto"/>
      </w:divBdr>
    </w:div>
    <w:div w:id="1654915805">
      <w:bodyDiv w:val="1"/>
      <w:marLeft w:val="0"/>
      <w:marRight w:val="0"/>
      <w:marTop w:val="0"/>
      <w:marBottom w:val="0"/>
      <w:divBdr>
        <w:top w:val="none" w:sz="0" w:space="0" w:color="auto"/>
        <w:left w:val="none" w:sz="0" w:space="0" w:color="auto"/>
        <w:bottom w:val="none" w:sz="0" w:space="0" w:color="auto"/>
        <w:right w:val="none" w:sz="0" w:space="0" w:color="auto"/>
      </w:divBdr>
    </w:div>
    <w:div w:id="2002729951">
      <w:bodyDiv w:val="1"/>
      <w:marLeft w:val="0"/>
      <w:marRight w:val="0"/>
      <w:marTop w:val="0"/>
      <w:marBottom w:val="0"/>
      <w:divBdr>
        <w:top w:val="none" w:sz="0" w:space="0" w:color="auto"/>
        <w:left w:val="none" w:sz="0" w:space="0" w:color="auto"/>
        <w:bottom w:val="none" w:sz="0" w:space="0" w:color="auto"/>
        <w:right w:val="none" w:sz="0" w:space="0" w:color="auto"/>
      </w:divBdr>
    </w:div>
    <w:div w:id="204239254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header" Target="head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fontTable" Target="fontTable.xml"/></Relationships>
</file>

<file path=word/_rels/footnotes.xml.rels><?xml version="1.0" encoding="UTF-8" standalone="yes"?>
<Relationships xmlns="http://schemas.openxmlformats.org/package/2006/relationships"><Relationship Id="rId3" Type="http://schemas.openxmlformats.org/officeDocument/2006/relationships/hyperlink" Target="http://data.europa.eu/eli/agree_interinstit/2020/1222/oj" TargetMode="External"/><Relationship Id="rId2" Type="http://schemas.openxmlformats.org/officeDocument/2006/relationships/hyperlink" Target="http://data.europa.eu/eli/reg/2020/2093/oj" TargetMode="External"/><Relationship Id="rId1" Type="http://schemas.openxmlformats.org/officeDocument/2006/relationships/hyperlink" Target="http://data.europa.eu/eli/reg/2024/2509/oj" TargetMode="External"/><Relationship Id="rId4" Type="http://schemas.openxmlformats.org/officeDocument/2006/relationships/hyperlink" Target="http://data.europa.eu/eli/reg/2024/2509/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9</Pages>
  <Words>1550</Words>
  <Characters>10438</Characters>
  <Application>Microsoft Office Word</Application>
  <DocSecurity>0</DocSecurity>
  <Lines>242</Lines>
  <Paragraphs>113</Paragraphs>
  <ScaleCrop>false</ScaleCrop>
  <HeadingPairs>
    <vt:vector size="2" baseType="variant">
      <vt:variant>
        <vt:lpstr>Title</vt:lpstr>
      </vt:variant>
      <vt:variant>
        <vt:i4>1</vt:i4>
      </vt:variant>
    </vt:vector>
  </HeadingPairs>
  <TitlesOfParts>
    <vt:vector size="1" baseType="lpstr">
      <vt:lpstr>PA_LegEvaluation</vt:lpstr>
    </vt:vector>
  </TitlesOfParts>
  <Company/>
  <LinksUpToDate>false</LinksUpToDate>
  <CharactersWithSpaces>11875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PA_LegEvaluation</dc:title>
  <dc:subject/>
  <dc:creator>European Parliament</dc:creator>
  <cp:keywords/>
  <dc:description/>
  <cp:lastModifiedBy>European Parliament</cp:lastModifiedBy>
  <cp:revision>2</cp:revision>
  <cp:lastPrinted>2004-10-28T10:33:00Z</cp:lastPrinted>
  <dcterms:created xsi:type="dcterms:W3CDTF">2024-12-04T16:25:00Z</dcterms:created>
  <dcterms:modified xsi:type="dcterms:W3CDTF">2024-12-04T16:25:00Z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LV</vt:lpwstr>
  </property>
  <property fmtid="{D5CDD505-2E9C-101B-9397-08002B2CF9AE}" pid="3" name="Created with">
    <vt:lpwstr>10.0.0 Build [20241005]</vt:lpwstr>
  </property>
  <property fmtid="{D5CDD505-2E9C-101B-9397-08002B2CF9AE}" pid="4" name="LastEdited with">
    <vt:lpwstr>10.0.0 Build [20241005]</vt:lpwstr>
  </property>
  <property fmtid="{D5CDD505-2E9C-101B-9397-08002B2CF9AE}" pid="5" name="&lt;FdR&gt;">
    <vt:lpwstr>1311349</vt:lpwstr>
  </property>
  <property fmtid="{D5CDD505-2E9C-101B-9397-08002B2CF9AE}" pid="6" name="&lt;Type&gt;">
    <vt:lpwstr>AD</vt:lpwstr>
  </property>
  <property fmtid="{D5CDD505-2E9C-101B-9397-08002B2CF9AE}" pid="7" name="&lt;ModelCod&gt;">
    <vt:lpwstr>\\eiciBRUpr1\pdocep$\DocEP\DOCS\General\PA\PA_Leg\PA_LegEvaluation.dotx(04/11/2024 08:39:01)</vt:lpwstr>
  </property>
  <property fmtid="{D5CDD505-2E9C-101B-9397-08002B2CF9AE}" pid="8" name="&lt;ModelTra&gt;">
    <vt:lpwstr>\\eiciBRUpr1\pdocep$\DocEP\TRANSFIL\EN\PA_LegEvaluation.EN(24/10/2024 08:43:06)</vt:lpwstr>
  </property>
  <property fmtid="{D5CDD505-2E9C-101B-9397-08002B2CF9AE}" pid="9" name="&lt;Model&gt;">
    <vt:lpwstr>PA_LegEvaluation</vt:lpwstr>
  </property>
  <property fmtid="{D5CDD505-2E9C-101B-9397-08002B2CF9AE}" pid="10" name="FooterPath">
    <vt:lpwstr>AD\1311349LV.docx</vt:lpwstr>
  </property>
  <property fmtid="{D5CDD505-2E9C-101B-9397-08002B2CF9AE}" pid="11" name="PE number">
    <vt:lpwstr>765.331</vt:lpwstr>
  </property>
  <property fmtid="{D5CDD505-2E9C-101B-9397-08002B2CF9AE}" pid="12" name="SendToEpades">
    <vt:lpwstr>OK - 2024/11/14 11:20</vt:lpwstr>
  </property>
  <property fmtid="{D5CDD505-2E9C-101B-9397-08002B2CF9AE}" pid="13" name="Bookout">
    <vt:lpwstr>OK - 2024/12/04 17:25</vt:lpwstr>
  </property>
  <property fmtid="{D5CDD505-2E9C-101B-9397-08002B2CF9AE}" pid="14" name="SDLStudio">
    <vt:lpwstr/>
  </property>
</Properties>
</file>