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27D06" w:rsidRPr="00FB72A1" w14:paraId="1C55EE5F" w14:textId="77777777">
        <w:trPr>
          <w:trHeight w:hRule="exact" w:val="1418"/>
        </w:trPr>
        <w:tc>
          <w:tcPr>
            <w:tcW w:w="6804" w:type="dxa"/>
            <w:shd w:val="clear" w:color="auto" w:fill="auto"/>
            <w:vAlign w:val="center"/>
          </w:tcPr>
          <w:p w14:paraId="6954B8DE" w14:textId="77777777" w:rsidR="00854CAC" w:rsidRPr="00FB72A1" w:rsidRDefault="007B6940">
            <w:pPr>
              <w:pStyle w:val="EPName"/>
            </w:pPr>
            <w:r w:rsidRPr="00FB72A1">
              <w:t>Европейски парламент</w:t>
            </w:r>
          </w:p>
          <w:p w14:paraId="724511C2" w14:textId="77777777" w:rsidR="00854CAC" w:rsidRPr="00FB72A1" w:rsidRDefault="007B6940">
            <w:pPr>
              <w:pStyle w:val="EPTerm"/>
            </w:pPr>
            <w:r w:rsidRPr="00FB72A1">
              <w:t>2024-2029</w:t>
            </w:r>
          </w:p>
        </w:tc>
        <w:tc>
          <w:tcPr>
            <w:tcW w:w="2268" w:type="dxa"/>
            <w:shd w:val="clear" w:color="auto" w:fill="auto"/>
          </w:tcPr>
          <w:p w14:paraId="5EC73C01" w14:textId="77777777" w:rsidR="00854CAC" w:rsidRPr="00FB72A1" w:rsidRDefault="007B6940">
            <w:pPr>
              <w:pStyle w:val="EPLogo"/>
            </w:pPr>
            <w:r w:rsidRPr="00FB72A1">
              <w:rPr>
                <w:noProof/>
                <w:lang w:eastAsia="ja-JP"/>
              </w:rPr>
              <w:drawing>
                <wp:inline distT="0" distB="0" distL="0" distR="0" wp14:anchorId="312BCE93" wp14:editId="78A0B1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7A67D97" w14:textId="77777777" w:rsidR="001746D0" w:rsidRPr="00FB72A1" w:rsidRDefault="001746D0" w:rsidP="001746D0">
      <w:pPr>
        <w:pStyle w:val="LineTop"/>
      </w:pPr>
    </w:p>
    <w:p w14:paraId="392CE3D8" w14:textId="77777777" w:rsidR="001746D0" w:rsidRPr="00FB72A1" w:rsidRDefault="007B6940" w:rsidP="001746D0">
      <w:pPr>
        <w:pStyle w:val="EPBody"/>
      </w:pPr>
      <w:r w:rsidRPr="00FB72A1">
        <w:rPr>
          <w:rStyle w:val="HideTWBExt"/>
        </w:rPr>
        <w:t>&lt;</w:t>
      </w:r>
      <w:r w:rsidRPr="00FB72A1">
        <w:rPr>
          <w:rStyle w:val="HideTWBExt"/>
          <w:i w:val="0"/>
        </w:rPr>
        <w:t>Commission</w:t>
      </w:r>
      <w:r w:rsidRPr="00FB72A1">
        <w:rPr>
          <w:rStyle w:val="HideTWBExt"/>
        </w:rPr>
        <w:t>&gt;</w:t>
      </w:r>
      <w:r w:rsidRPr="00FB72A1">
        <w:rPr>
          <w:rStyle w:val="HideTWBInt"/>
          <w:i w:val="0"/>
          <w:color w:val="auto"/>
        </w:rPr>
        <w:t>{BUDG}</w:t>
      </w:r>
      <w:r w:rsidRPr="00FB72A1">
        <w:t>Комисия по бюджети</w:t>
      </w:r>
      <w:r w:rsidRPr="00FB72A1">
        <w:rPr>
          <w:rStyle w:val="HideTWBExt"/>
        </w:rPr>
        <w:t>&lt;/</w:t>
      </w:r>
      <w:r w:rsidRPr="00FB72A1">
        <w:rPr>
          <w:rStyle w:val="HideTWBExt"/>
          <w:i w:val="0"/>
        </w:rPr>
        <w:t>Commission</w:t>
      </w:r>
      <w:r w:rsidRPr="00FB72A1">
        <w:rPr>
          <w:rStyle w:val="HideTWBExt"/>
        </w:rPr>
        <w:t>&gt;</w:t>
      </w:r>
    </w:p>
    <w:p w14:paraId="0A2DB515" w14:textId="77777777" w:rsidR="001746D0" w:rsidRPr="00FB72A1" w:rsidRDefault="001746D0" w:rsidP="001746D0">
      <w:pPr>
        <w:pStyle w:val="LineBottom"/>
      </w:pPr>
    </w:p>
    <w:p w14:paraId="1688916A" w14:textId="77777777" w:rsidR="002E2F2E" w:rsidRPr="00FB72A1" w:rsidRDefault="007B6940">
      <w:pPr>
        <w:pStyle w:val="CoverReference"/>
      </w:pPr>
      <w:r w:rsidRPr="00FB72A1">
        <w:rPr>
          <w:rStyle w:val="HideTWBExt"/>
          <w:b w:val="0"/>
        </w:rPr>
        <w:t>&lt;RefProc&gt;</w:t>
      </w:r>
      <w:r w:rsidRPr="00FB72A1">
        <w:t>2025/0543</w:t>
      </w:r>
      <w:r w:rsidRPr="00FB72A1">
        <w:rPr>
          <w:rStyle w:val="HideTWBExt"/>
          <w:b w:val="0"/>
        </w:rPr>
        <w:t>&lt;/RefProc&gt;&lt;RefTypeProc&gt;</w:t>
      </w:r>
      <w:r w:rsidRPr="00FB72A1">
        <w:t>(COD)</w:t>
      </w:r>
      <w:r w:rsidRPr="00FB72A1">
        <w:rPr>
          <w:rStyle w:val="HideTWBExt"/>
          <w:b w:val="0"/>
        </w:rPr>
        <w:t>&lt;/RefTypeProc&gt;</w:t>
      </w:r>
    </w:p>
    <w:p w14:paraId="103F5E7C" w14:textId="77777777" w:rsidR="002E2F2E" w:rsidRPr="00FB72A1" w:rsidRDefault="007B6940">
      <w:pPr>
        <w:pStyle w:val="CoverDate"/>
      </w:pPr>
      <w:r w:rsidRPr="00FB72A1">
        <w:rPr>
          <w:rStyle w:val="HideTWBExt"/>
        </w:rPr>
        <w:t>&lt;Date&gt;</w:t>
      </w:r>
      <w:r w:rsidRPr="00FB72A1">
        <w:rPr>
          <w:rStyle w:val="HideTWBInt"/>
          <w:color w:val="auto"/>
        </w:rPr>
        <w:t>{25/06/2026}</w:t>
      </w:r>
      <w:r w:rsidRPr="00FB72A1">
        <w:t>25.6.2026</w:t>
      </w:r>
      <w:r w:rsidRPr="00FB72A1">
        <w:rPr>
          <w:rStyle w:val="HideTWBExt"/>
        </w:rPr>
        <w:t>&lt;/Date&gt;</w:t>
      </w:r>
    </w:p>
    <w:p w14:paraId="6A187FC1" w14:textId="77777777" w:rsidR="002E2F2E" w:rsidRPr="00FB72A1" w:rsidRDefault="007B6940">
      <w:pPr>
        <w:pStyle w:val="CoverDocType24a"/>
      </w:pPr>
      <w:r w:rsidRPr="00FB72A1">
        <w:rPr>
          <w:rStyle w:val="HideTWBExt"/>
          <w:b w:val="0"/>
        </w:rPr>
        <w:t>&lt;TitreType&gt;</w:t>
      </w:r>
      <w:r w:rsidRPr="00FB72A1">
        <w:t>БЮДЖЕТНА ОЦЕНКА</w:t>
      </w:r>
      <w:r w:rsidRPr="00FB72A1">
        <w:rPr>
          <w:rStyle w:val="HideTWBExt"/>
          <w:b w:val="0"/>
        </w:rPr>
        <w:t>&lt;/TitreType&gt;</w:t>
      </w:r>
    </w:p>
    <w:p w14:paraId="48E9FE9B" w14:textId="77777777" w:rsidR="002E2F2E" w:rsidRPr="00FB72A1" w:rsidRDefault="007B6940">
      <w:pPr>
        <w:pStyle w:val="CoverNormal24a"/>
      </w:pPr>
      <w:r w:rsidRPr="00FB72A1">
        <w:rPr>
          <w:rStyle w:val="HideTWBExt"/>
        </w:rPr>
        <w:t>&lt;CommissionResp&gt;</w:t>
      </w:r>
      <w:r w:rsidRPr="00FB72A1">
        <w:t xml:space="preserve">на </w:t>
      </w:r>
      <w:r w:rsidRPr="00FB72A1">
        <w:t>комисията по бюджети</w:t>
      </w:r>
      <w:r w:rsidRPr="00FB72A1">
        <w:rPr>
          <w:rStyle w:val="HideTWBExt"/>
        </w:rPr>
        <w:t>&lt;/CommissionResp&gt;</w:t>
      </w:r>
    </w:p>
    <w:p w14:paraId="53D964F0" w14:textId="77777777" w:rsidR="002E2F2E" w:rsidRPr="00FB72A1" w:rsidRDefault="007B6940">
      <w:pPr>
        <w:pStyle w:val="CoverNormal24a"/>
      </w:pPr>
      <w:r w:rsidRPr="00FB72A1">
        <w:rPr>
          <w:rStyle w:val="HideTWBExt"/>
        </w:rPr>
        <w:t>&lt;CommissionInt&gt;</w:t>
      </w:r>
      <w:r w:rsidRPr="00FB72A1">
        <w:t>на вниманието на комисията по промишленост, изследвания и енергетика</w:t>
      </w:r>
      <w:r w:rsidRPr="00FB72A1">
        <w:rPr>
          <w:rStyle w:val="HideTWBExt"/>
        </w:rPr>
        <w:t>&lt;/CommissionInt&gt;</w:t>
      </w:r>
    </w:p>
    <w:p w14:paraId="560222DA" w14:textId="77777777" w:rsidR="004D18F2" w:rsidRPr="00FB72A1" w:rsidRDefault="007B6940" w:rsidP="004D18F2">
      <w:pPr>
        <w:pStyle w:val="CoverNormal"/>
      </w:pPr>
      <w:r w:rsidRPr="00FB72A1">
        <w:rPr>
          <w:rStyle w:val="HideTWBExt"/>
        </w:rPr>
        <w:t>&lt;Titre&gt;</w:t>
      </w:r>
      <w:r w:rsidRPr="00FB72A1">
        <w:t>относно предложението за регламент на Европейския парламент и на Съвета за създаване на Рамковата програма за научни изследвания и иновации „Хоризонт Европа“ за периода 2028–2034 година, за определяне на нейните правила за участие и разпространение на резултатите и за отмяна на Регламент (ЕС) 2021/695</w:t>
      </w:r>
    </w:p>
    <w:p w14:paraId="2AFFF2F8" w14:textId="77777777" w:rsidR="002E2F2E" w:rsidRPr="00FB72A1" w:rsidRDefault="007B6940">
      <w:pPr>
        <w:pStyle w:val="CoverNormal"/>
      </w:pPr>
      <w:r w:rsidRPr="00FB72A1">
        <w:rPr>
          <w:rStyle w:val="HideTWBExt"/>
        </w:rPr>
        <w:t>&lt;/Titre&gt;</w:t>
      </w:r>
    </w:p>
    <w:p w14:paraId="3818CB8B" w14:textId="77777777" w:rsidR="002E2F2E" w:rsidRPr="00FB72A1" w:rsidRDefault="007B6940">
      <w:pPr>
        <w:pStyle w:val="CoverNormal24a"/>
      </w:pPr>
      <w:r w:rsidRPr="00FB72A1">
        <w:rPr>
          <w:rStyle w:val="HideTWBExt"/>
        </w:rPr>
        <w:t>&lt;DocRef&gt;</w:t>
      </w:r>
      <w:r w:rsidRPr="00FB72A1">
        <w:t>(COM(2025)0543 – C10</w:t>
      </w:r>
      <w:r w:rsidRPr="00FB72A1">
        <w:noBreakHyphen/>
        <w:t>0164/2025 – 2025/0543(COD))</w:t>
      </w:r>
      <w:r w:rsidRPr="00FB72A1">
        <w:rPr>
          <w:rStyle w:val="HideTWBExt"/>
        </w:rPr>
        <w:t>&lt;/DocRef&gt;</w:t>
      </w:r>
    </w:p>
    <w:p w14:paraId="2A4556DC" w14:textId="77777777" w:rsidR="00217B7E" w:rsidRPr="00FB72A1" w:rsidRDefault="007B6940" w:rsidP="00217B7E">
      <w:pPr>
        <w:pStyle w:val="CoverNormal24a"/>
        <w:rPr>
          <w:rStyle w:val="HideTWBExt"/>
        </w:rPr>
      </w:pPr>
      <w:r w:rsidRPr="00FB72A1">
        <w:t xml:space="preserve">Докладчик по бюджетна оценка: </w:t>
      </w:r>
      <w:r w:rsidRPr="00FB72A1">
        <w:rPr>
          <w:rStyle w:val="HideTWBExt"/>
        </w:rPr>
        <w:t>&lt;Depute&gt;</w:t>
      </w:r>
      <w:r w:rsidRPr="00FB72A1">
        <w:t>Елдер Соуза Силва</w:t>
      </w:r>
      <w:r w:rsidRPr="00FB72A1">
        <w:rPr>
          <w:rStyle w:val="HideTWBExt"/>
        </w:rPr>
        <w:t>&lt;/Depute&gt;</w:t>
      </w:r>
    </w:p>
    <w:p w14:paraId="4121F4B6" w14:textId="77777777" w:rsidR="002E2F2E" w:rsidRPr="00FB72A1" w:rsidRDefault="007B6940" w:rsidP="00E856D2">
      <w:pPr>
        <w:widowControl/>
        <w:tabs>
          <w:tab w:val="center" w:pos="4677"/>
        </w:tabs>
      </w:pPr>
      <w:r w:rsidRPr="00FB72A1">
        <w:br w:type="page"/>
      </w:r>
      <w:r w:rsidRPr="00FB72A1">
        <w:lastRenderedPageBreak/>
        <w:t>PA_LegEvaluation</w:t>
      </w:r>
    </w:p>
    <w:p w14:paraId="4EB5CC33" w14:textId="77777777" w:rsidR="002E2F2E" w:rsidRPr="00FB72A1" w:rsidRDefault="007B6940" w:rsidP="00757C4C">
      <w:pPr>
        <w:pStyle w:val="PageHeadingNotTOC"/>
      </w:pPr>
      <w:r w:rsidRPr="00FB72A1">
        <w:br w:type="page"/>
        <w:t>БЮДЖЕТНА ОЦЕНКА</w:t>
      </w:r>
    </w:p>
    <w:p w14:paraId="2F679174" w14:textId="77777777" w:rsidR="004D18F2" w:rsidRPr="00FB72A1" w:rsidRDefault="007B6940" w:rsidP="004D18F2">
      <w:pPr>
        <w:pStyle w:val="NormalBold"/>
      </w:pPr>
      <w:r w:rsidRPr="00FB72A1">
        <w:t xml:space="preserve">на вниманието на комисията по промишленост, изследвания и енергетика относно предложението за регламент на Европейския парламент и на </w:t>
      </w:r>
      <w:r w:rsidRPr="00FB72A1">
        <w:t>Съвета за създаване на Рамковата програма за научни изследвания и иновации „Хоризонт Европа“ за периода 2028–2034 година, за определяне на нейните правила за участие и разпространение на резултатите и за отмяна на Регламент (ЕС) 2021/695</w:t>
      </w:r>
    </w:p>
    <w:p w14:paraId="3343C936" w14:textId="77777777" w:rsidR="004D18F2" w:rsidRPr="00FB72A1" w:rsidRDefault="007B6940" w:rsidP="004D18F2">
      <w:pPr>
        <w:pStyle w:val="NormalBold"/>
      </w:pPr>
      <w:r w:rsidRPr="00FB72A1">
        <w:t>(COM(2025)0543 – C10</w:t>
      </w:r>
      <w:r w:rsidRPr="00FB72A1">
        <w:noBreakHyphen/>
        <w:t>0164/2025 – 2025/0543(COD))</w:t>
      </w:r>
    </w:p>
    <w:p w14:paraId="4A8AEDB0" w14:textId="77777777" w:rsidR="00AE79AF" w:rsidRPr="00FB72A1" w:rsidRDefault="007B6940" w:rsidP="00006F54">
      <w:pPr>
        <w:pStyle w:val="Normal12a"/>
        <w:spacing w:before="480"/>
      </w:pPr>
      <w:r w:rsidRPr="00FB72A1">
        <w:rPr>
          <w:rStyle w:val="HideTWBExt"/>
        </w:rPr>
        <w:t>&lt;Intro&gt;</w:t>
      </w:r>
      <w:r w:rsidRPr="00FB72A1">
        <w:t>Съгласно член 58 от Правилника за дейността на ЕП комисията по бюджети извърши оценка на предложението и заключи следното:</w:t>
      </w:r>
      <w:r w:rsidRPr="00FB72A1">
        <w:rPr>
          <w:rStyle w:val="HideTWBExt"/>
        </w:rPr>
        <w:t>&lt;/Intro&gt;</w:t>
      </w:r>
    </w:p>
    <w:p w14:paraId="4ECD674E" w14:textId="77777777" w:rsidR="00CE6558" w:rsidRPr="00FB72A1" w:rsidRDefault="007B6940" w:rsidP="00CE6558">
      <w:pPr>
        <w:pStyle w:val="EPComma"/>
      </w:pPr>
      <w:r w:rsidRPr="00FB72A1">
        <w:rPr>
          <w:i/>
        </w:rPr>
        <w:t>Комисията по бюджети,</w:t>
      </w:r>
    </w:p>
    <w:p w14:paraId="39010A88" w14:textId="77777777" w:rsidR="00217B7E" w:rsidRPr="00FB72A1" w:rsidRDefault="007B6940" w:rsidP="00217B7E">
      <w:pPr>
        <w:pStyle w:val="NormalHanging12a"/>
        <w:rPr>
          <w:bCs/>
          <w:iCs/>
        </w:rPr>
      </w:pPr>
      <w:r w:rsidRPr="00FB72A1">
        <w:t>А.</w:t>
      </w:r>
      <w:r w:rsidRPr="00FB72A1">
        <w:tab/>
        <w:t xml:space="preserve">като има предвид, че в доклада на Марио Драги научните </w:t>
      </w:r>
      <w:r w:rsidRPr="00FB72A1">
        <w:t>изследвания и иновациите се посочват като един от основните двигатели на производителността и благосъстоянието на хората, способни да генерират положителни външни ефекти и да подкрепят стратегическата автономност и социалния модел на ЕС; като има предвид, че докладът подкрепя разработването на преработена и по-опростена програма, съсредоточена върху подбрани приоритети и увеличен бюджет от 200 милиарда евро; като има предвид, че в доклада на Марио Драги се подчертава недостатъчният акцент върху водещи до пр</w:t>
      </w:r>
      <w:r w:rsidRPr="00FB72A1">
        <w:t>обив иновации в настоящата система на ЕС за иновации;</w:t>
      </w:r>
    </w:p>
    <w:p w14:paraId="77FDCC29" w14:textId="77777777" w:rsidR="00217B7E" w:rsidRPr="00FB72A1" w:rsidRDefault="007B6940" w:rsidP="00217B7E">
      <w:pPr>
        <w:pStyle w:val="NormalHanging12a"/>
      </w:pPr>
      <w:r w:rsidRPr="00FB72A1">
        <w:t>Б.</w:t>
      </w:r>
      <w:r w:rsidRPr="00FB72A1">
        <w:tab/>
        <w:t>като има предвид, че междинната оценка на „Хоризонт Европа“</w:t>
      </w:r>
      <w:r w:rsidRPr="00FB72A1">
        <w:rPr>
          <w:vertAlign w:val="superscript"/>
        </w:rPr>
        <w:footnoteReference w:id="1"/>
      </w:r>
      <w:r w:rsidRPr="00FB72A1">
        <w:t xml:space="preserve"> потвърждава нейната висока европейска добавена стойност, значимост и ефективност; като има предвид, че в оценката се подчертава фактът, че въпреки увеличаването на средния процент на успеваемост от 12% в „Хоризонт 2020“ на 16,4% в „Хоризонт Европа“ (и от 9% на 14% в държавите, обхванати от разширяването), само 30% от качествените предложения са могли да бъдат финансирани, а за финансирането на всички биха били необходими допълнителни 81,8 милиарда евро;</w:t>
      </w:r>
    </w:p>
    <w:p w14:paraId="5E8E290B" w14:textId="77777777" w:rsidR="00755CD7" w:rsidRPr="00FB72A1" w:rsidRDefault="007B6940" w:rsidP="00E00D3E">
      <w:pPr>
        <w:pStyle w:val="NormalHanging12a"/>
      </w:pPr>
      <w:r w:rsidRPr="00FB72A1">
        <w:t>В.</w:t>
      </w:r>
      <w:r w:rsidRPr="00FB72A1">
        <w:tab/>
        <w:t>като има предвид, че в Декларацията от Будапеща отново се посочва значението на заделянето на 3% от БВП за научноизследователска и развойна дейност до 2030 г.; като има предвид, че през 26-те години след Декларацията от Барселона само малко на брой държави членки са постигнали тази цел; като има предвид, че програмата „Хоризонт Европа“ може да подкрепи постигането на тази цел и да привлече допълнителни средства от публични и частни субекти;</w:t>
      </w:r>
    </w:p>
    <w:p w14:paraId="0EC9776C" w14:textId="77777777" w:rsidR="00217B7E" w:rsidRPr="00FB72A1" w:rsidRDefault="007B6940" w:rsidP="00217B7E">
      <w:pPr>
        <w:pStyle w:val="NormalHanging12a"/>
      </w:pPr>
      <w:bookmarkStart w:id="0" w:name="_Hlk224037259"/>
      <w:r w:rsidRPr="00FB72A1">
        <w:t>Г.</w:t>
      </w:r>
      <w:r w:rsidRPr="00FB72A1">
        <w:tab/>
        <w:t>като има предвид, че в доклада на Енрико Лета се предлага нова „5-та свобода с цел подобряване на научните изследвания, иновациите и образованието в рамките на единния пазар“, за което е необходимо засилено и напълно функциониращо европейското научноизследователско пространство (ЕНП); като има предвид, че програмата „Хоризонт Европа“ следва да допринесе за прилагането на тази допълнителна свобода, включително чрез подкрепа за мобилността на научните работници в рамките на ЕНП;</w:t>
      </w:r>
    </w:p>
    <w:p w14:paraId="61F71757" w14:textId="77777777" w:rsidR="00217B7E" w:rsidRPr="00FB72A1" w:rsidRDefault="007B6940" w:rsidP="00217B7E">
      <w:pPr>
        <w:pStyle w:val="NormalHanging12a"/>
      </w:pPr>
      <w:r w:rsidRPr="00FB72A1">
        <w:t>Д.</w:t>
      </w:r>
      <w:r w:rsidRPr="00FB72A1">
        <w:tab/>
        <w:t>като има предвид, че е важно да се гарантира, че мобилизирането на ресурси и увеличаването на инвестициите в научни изследвания и иновации не идват изключително от публичния сектор, който следва да действа като лост за мобилизиране на частни инвестиции, като превръща научните изследвания и иновациите в привлекателни инвестиционни области за предприятията, включително малките и средните предприятия;</w:t>
      </w:r>
    </w:p>
    <w:p w14:paraId="5F474BC8" w14:textId="77777777" w:rsidR="00217B7E" w:rsidRPr="00FB72A1" w:rsidRDefault="007B6940" w:rsidP="00217B7E">
      <w:pPr>
        <w:pStyle w:val="NormalHanging12a"/>
      </w:pPr>
      <w:r w:rsidRPr="00FB72A1">
        <w:t>Е.</w:t>
      </w:r>
      <w:r w:rsidRPr="00FB72A1">
        <w:tab/>
        <w:t>като има предвид, че продължаващите различия в резултатите в областта на научните изследвания и иновациите продължават да ограничават цялостната конкурентоспособност на ЕС; като има предвид, че е необходимо засилено сближаване в рамките на ЕНП, за да се преодолее разделението в областта на иновациите и да се отключат неоползотворени високи постижения във всички държави членки;</w:t>
      </w:r>
    </w:p>
    <w:p w14:paraId="4D331611" w14:textId="77777777" w:rsidR="00217B7E" w:rsidRPr="00FB72A1" w:rsidRDefault="007B6940" w:rsidP="00217B7E">
      <w:pPr>
        <w:pStyle w:val="NormalHanging12a"/>
      </w:pPr>
      <w:r w:rsidRPr="00FB72A1">
        <w:t>Ж.</w:t>
      </w:r>
      <w:r w:rsidRPr="00FB72A1">
        <w:tab/>
        <w:t>като има предвид, че продължаващата пълномащабна война в Украйна показва значението на технологиите с двойна употреба;</w:t>
      </w:r>
    </w:p>
    <w:bookmarkEnd w:id="0"/>
    <w:p w14:paraId="3BE25EEC" w14:textId="77777777" w:rsidR="00217B7E" w:rsidRPr="00FB72A1" w:rsidRDefault="007B6940" w:rsidP="00217B7E">
      <w:pPr>
        <w:pStyle w:val="NormalHanging12a"/>
      </w:pPr>
      <w:r w:rsidRPr="00FB72A1">
        <w:t>1.</w:t>
      </w:r>
      <w:r w:rsidRPr="00FB72A1">
        <w:tab/>
        <w:t xml:space="preserve">счита, че пакетът за програмата следва да бъде увеличен от 154 милиарда евро на 200 милиарда евро (или 177 милиарда евро по цени от 2025 г.), за да се осигури на европейската икономика необходимият тласък на иновациите в ключови сектори, да се подпомогне научноизследователската база на ЕС и да се насърчат нови решения за глобалните обществени предизвикателства, за да се гарантират подходящи равнища на финансиране за всички приоритети и цели на програмата, като се подкрепи целта за заделяне на 3% от БВП за </w:t>
      </w:r>
      <w:r w:rsidRPr="00FB72A1">
        <w:t>разходи за НИРД до 2030 г.;</w:t>
      </w:r>
    </w:p>
    <w:p w14:paraId="766047EB" w14:textId="77777777" w:rsidR="00217B7E" w:rsidRPr="00FB72A1" w:rsidRDefault="007B6940" w:rsidP="00217B7E">
      <w:pPr>
        <w:pStyle w:val="NormalHanging12a"/>
      </w:pPr>
      <w:r w:rsidRPr="00FB72A1">
        <w:t>2.</w:t>
      </w:r>
      <w:r w:rsidRPr="00FB72A1">
        <w:tab/>
        <w:t>счита, че трябва да има достатъчно човешки, технически и ИТ ресурси от самото начало и през целия програмен период на предстоящата многогодишна финансова рамка за периода 2028–2034 г., за да се осигури ефективното изпълнение на програмата „Хоризонт Европа“;</w:t>
      </w:r>
    </w:p>
    <w:p w14:paraId="66B3E773" w14:textId="77777777" w:rsidR="00217B7E" w:rsidRPr="00FB72A1" w:rsidRDefault="007B6940" w:rsidP="00217B7E">
      <w:pPr>
        <w:pStyle w:val="NormalHanging12a"/>
        <w:rPr>
          <w:bCs/>
          <w:iCs/>
        </w:rPr>
      </w:pPr>
      <w:r w:rsidRPr="00FB72A1">
        <w:t>3.</w:t>
      </w:r>
      <w:r w:rsidRPr="00FB72A1">
        <w:tab/>
        <w:t>отбелязва, че научните изследвания и иновациите представляват основните двигатели на дългосрочната конкурентоспособност; поради това счита, че интервенциите по функция 2 от следващата МФР като цяло, и по-специално „Хоризонт Европа“, следва да се съсредоточат, наред с другото, върху преодоляването на различията в областта на иновациите между ЕС и световните конкуренти, за да стане ЕС по-конкурентоспособен, като се гарантира плавен преход от висококачествени научни изследвания към продаваеми решения и се пре</w:t>
      </w:r>
      <w:r w:rsidRPr="00FB72A1">
        <w:t>доставят на предприятията от ЕС технологичните предимства, от които се нуждаят, за да процъфтяват в условията на открита световна конкуренция;</w:t>
      </w:r>
    </w:p>
    <w:p w14:paraId="1EC301F8" w14:textId="77777777" w:rsidR="00217B7E" w:rsidRPr="00FB72A1" w:rsidRDefault="007B6940" w:rsidP="00217B7E">
      <w:pPr>
        <w:pStyle w:val="NormalHanging12a"/>
        <w:rPr>
          <w:bCs/>
          <w:iCs/>
        </w:rPr>
      </w:pPr>
      <w:r w:rsidRPr="00FB72A1">
        <w:t>4.</w:t>
      </w:r>
      <w:r w:rsidRPr="00FB72A1">
        <w:tab/>
        <w:t>счита, че значителни ресурси следва да бъдат насочени към технологии в областта на сигурността, изделията с двойна употреба и отбраната и проекти в областта на научните изследвания и иновациите с цел укрепване на технологичния суверенитет и устойчивост; отбелязва, че Комисията е предложила специална програма за научни изследвания, свързани с отбраната, като част от Европейския фонд за конкурентоспособност; приветства факта, че „Хоризонт Европа“ продължава да бъде посветена на подкрепата за гражданските нау</w:t>
      </w:r>
      <w:r w:rsidRPr="00FB72A1">
        <w:t>чни изследвания и научните изследвания с двойна употреба;</w:t>
      </w:r>
    </w:p>
    <w:p w14:paraId="3A2F3CBE" w14:textId="77777777" w:rsidR="00217B7E" w:rsidRPr="00FB72A1" w:rsidRDefault="007B6940" w:rsidP="00217B7E">
      <w:pPr>
        <w:pStyle w:val="NormalHanging12a"/>
      </w:pPr>
      <w:r w:rsidRPr="00FB72A1">
        <w:t>5.</w:t>
      </w:r>
      <w:r w:rsidRPr="00FB72A1">
        <w:tab/>
        <w:t>посочва, че разбивката на бюджета в член 6 включва само 7 индикативни суми на равнище позиция в сравнение с 15 за периода 2021–2027 г.; изразява загриженост във връзка с липсата на предвидим бюджет за много действия – по-специално в рамките на стълб I и стълб III – за които бенефициерите не разполагат с ясен финансов пакет; със загриженост отбелязва, че това би дало на Комисията голяма свобода да извършва промени и взема решения относно приоритетите за разходите по време на изпълнението, без никаква добаве</w:t>
      </w:r>
      <w:r w:rsidRPr="00FB72A1">
        <w:t>на стойност за изследователите, новаторите и МСП, които се възползват от програмата; препоръчва определяне на индикативни подпакети за всеки стълб и за всяка подпрограма в основния акт с цел повишаване на предвидимостта, прозрачността и демократичната отчетност;</w:t>
      </w:r>
    </w:p>
    <w:p w14:paraId="413A20F6" w14:textId="77777777" w:rsidR="00217B7E" w:rsidRPr="00FB72A1" w:rsidRDefault="007B6940" w:rsidP="00217B7E">
      <w:pPr>
        <w:pStyle w:val="NormalHanging12a"/>
      </w:pPr>
      <w:r w:rsidRPr="00FB72A1">
        <w:t>6.</w:t>
      </w:r>
      <w:r w:rsidRPr="00FB72A1">
        <w:tab/>
        <w:t xml:space="preserve">признава, че Европейският институт за иновации и технологии (EIT) подкрепя няколко поколения общности на знание и иновации (ОЗИ), като използва силата на екосистемите на научноизследователската и развойна дейност в ЕС; счита, че EIT следва да действа като фактор за успеха на ОЗИ чрез споделяне на най-добри практики, подпомагане на управлението на публични средства и създаване на добавена стойност за всички ОЗИ; призовава да се предоставят подходящи финансови и човешки ресурси на EIT, като се гарантира, че </w:t>
      </w:r>
      <w:r w:rsidRPr="00FB72A1">
        <w:t>тази децентрализирана агенция разполага с достатъчно средства, за да изпълнява бъдещия си мандат и възложените ѝ задачи;</w:t>
      </w:r>
    </w:p>
    <w:p w14:paraId="6E0F5255" w14:textId="77777777" w:rsidR="00217B7E" w:rsidRPr="00FB72A1" w:rsidRDefault="007B6940" w:rsidP="00217B7E">
      <w:pPr>
        <w:pStyle w:val="NormalHanging12a"/>
        <w:rPr>
          <w:bCs/>
          <w:iCs/>
        </w:rPr>
      </w:pPr>
      <w:r w:rsidRPr="00FB72A1">
        <w:t>7.</w:t>
      </w:r>
      <w:r w:rsidRPr="00FB72A1">
        <w:tab/>
        <w:t>отбелязва, че „Хоризонт Европа“ следва да продължи да бъде напълно автономна самостоятелна програма, като същевременно се гарантира съгласуваност и взаимно допълване с Европейски фонд за конкурентоспособност чрез хармонизирани стратегически приоритети, без да се засягат собственото ѝ управление, критериите за оценка, основани на отлични постижения, и независимите правила; подчертава, че същевременно е от жизненоважно значение „Хоризонт Европа“ да продължи да бъде координирана с всички програми на ЕС, които</w:t>
      </w:r>
      <w:r w:rsidRPr="00FB72A1">
        <w:t xml:space="preserve"> могат да имат връзка с иновациите и научните изследвания, независимо дали става въпрос за обучение, здравеопазване, привличане на инвестиции или насърчаване на капацитета за конкурентоспособност на предприятията от ЕС; отбелязва предложените полезни взаимодействия между „Хоризонт Европа“ и Европейския фонд за конкурентоспособност; споделя оценката, че двете програми следва да работят в тясно сътрудничество, за да се гарантира, че бюджетът на ЕС е в състояние да подкрепя европейските новатори – от фундамент</w:t>
      </w:r>
      <w:r w:rsidRPr="00FB72A1">
        <w:t>алните научни изследвания до пазарната реализация; подчертава във връзка с това, че всеки взаимен принос между програмите трябва да бъде надлежно отразен в декларацията за изпълнението на програмата; подчертава, че засиленото взаимно допълване между програмите не трябва да води до непропорционална сложност за бенефициентите; призовава финансирането от ЕС да бъде по-ясно, по-достъпно и по-съгласувано, за да се улесни усвояването и да се увеличи максимално въздействието на инвестициите;</w:t>
      </w:r>
    </w:p>
    <w:p w14:paraId="5CD68655" w14:textId="77777777" w:rsidR="00217B7E" w:rsidRPr="00FB72A1" w:rsidRDefault="007B6940" w:rsidP="00217B7E">
      <w:pPr>
        <w:pStyle w:val="NormalHanging12a"/>
        <w:rPr>
          <w:bCs/>
          <w:iCs/>
        </w:rPr>
      </w:pPr>
      <w:r w:rsidRPr="00FB72A1">
        <w:t>8.</w:t>
      </w:r>
      <w:r w:rsidRPr="00FB72A1">
        <w:tab/>
        <w:t>подчертава със загриженост трайните структурни различия в областта на научните изследвания и иновациите между държавите членки и призовава за увеличаване на усилията за преодоляване на тези различия в рамките на ЕС;</w:t>
      </w:r>
    </w:p>
    <w:p w14:paraId="2CEC43AC" w14:textId="77777777" w:rsidR="00217B7E" w:rsidRPr="00FB72A1" w:rsidRDefault="007B6940" w:rsidP="00217B7E">
      <w:pPr>
        <w:pStyle w:val="NormalHanging12a"/>
      </w:pPr>
      <w:r w:rsidRPr="00FB72A1">
        <w:t>9.</w:t>
      </w:r>
      <w:r w:rsidRPr="00FB72A1">
        <w:tab/>
        <w:t>признава, че гъвкавостта е важна характеристика на структурата на МФР за периода 2028–2034 г., предложена от Комисията; припомня обаче необходимостта да се осигурят предвидими и достатъчни годишни ресурси за програма „Хоризонт Европа“, като се има предвид дългосрочният характер на проектите за научни изследвания и иновации; счита, че едно индикативно разпределение на бюджетните средства за всяка позиция от програмата би гарантирало предвидимост за крайните бенефициери, без да лишава бюджетния орган от него</w:t>
      </w:r>
      <w:r w:rsidRPr="00FB72A1">
        <w:t xml:space="preserve">вите прерогативи; </w:t>
      </w:r>
    </w:p>
    <w:p w14:paraId="7EECDA53" w14:textId="77777777" w:rsidR="00217B7E" w:rsidRPr="00FB72A1" w:rsidRDefault="007B6940" w:rsidP="00217B7E">
      <w:pPr>
        <w:pStyle w:val="NormalHanging12a"/>
      </w:pPr>
      <w:r w:rsidRPr="00FB72A1">
        <w:t>10.</w:t>
      </w:r>
      <w:r w:rsidRPr="00FB72A1">
        <w:tab/>
        <w:t xml:space="preserve">изразява съжаление относно липсата на </w:t>
      </w:r>
      <w:r w:rsidRPr="00FB72A1">
        <w:t>достатъчно подробна индикативна бюджетна номенклатура, предложена в законодателната финансова и цифрова обосновка, която включва само 5 бюджетни реда в сравнение с 44 за периода 2021–2027 г.; счита, че това ще възпрепятства контрола, предвидимостта и способността на бюджетния орган прецизно да направлява политическите приоритети в рамките на годишната бюджетна процедура; изразява загриженост за това, че прекалено агрегираната структура на бюджета би улеснила драстично трансферите, които не са предмет на реш</w:t>
      </w:r>
      <w:r w:rsidRPr="00FB72A1">
        <w:t>ение от страна на бюджетния орган; препоръчва поради това една по-подробна номенклатура да отразява правилно целите и структурата на програмата и да повишава прозрачността, отчетността и парламентарния контрол; припомня, че бюджетната номенклатура трябва да се определи съгласно член 47, параграф 2 от Финансовия регламент</w:t>
      </w:r>
      <w:r w:rsidRPr="00FB72A1">
        <w:rPr>
          <w:rStyle w:val="FootnoteReference"/>
        </w:rPr>
        <w:footnoteReference w:id="2"/>
      </w:r>
      <w:r w:rsidRPr="00FB72A1">
        <w:t>, който предвижда, че всеки дял трябва да съответства на област на политиката, а всяка глава, по правило, на определена програма или дейност, в съответствие с принципите на специфичност, добро финансово управление и прозрачност; настоява, че бюджетната номенклатура съставлява неразделна част от преговорната позиция на Парламента и трябва да се обсъди в междуинституционални преговори; счита в това отношение, че законодателната обосновка за финансовото и цифровото отражение трябва да бъде част от окончателнот</w:t>
      </w:r>
      <w:r w:rsidRPr="00FB72A1">
        <w:t>о политическо споразумение;</w:t>
      </w:r>
    </w:p>
    <w:p w14:paraId="5F808EDF" w14:textId="77777777" w:rsidR="00205307" w:rsidRPr="00FB72A1" w:rsidRDefault="007B6940" w:rsidP="00205307">
      <w:pPr>
        <w:pStyle w:val="NormalHanging12a"/>
        <w:rPr>
          <w:bCs/>
          <w:iCs/>
        </w:rPr>
      </w:pPr>
      <w:r w:rsidRPr="00FB72A1">
        <w:t>11.</w:t>
      </w:r>
      <w:r w:rsidRPr="00FB72A1">
        <w:tab/>
        <w:t>настоява, че достатъчно подробното и стабилно законодателство с подходящо равнище на управление е условие за правилното вземане на бюджетни решения и адекватния парламентарен контрол по време на изпълнението на бюджета; счита, че недобре проектираният „механизъм за управление“ не може да компенсира загубата на законодателни или бюджетни правомощия на Парламента и не е подходящ за управление на програма, която подкрепя работата на границите на науката, технологията и иновациите, особено като се има предвид,</w:t>
      </w:r>
      <w:r w:rsidRPr="00FB72A1">
        <w:t xml:space="preserve"> че иновационните цикли в някои стратегически сектори се измерват в седмици или месеци, докато механизмът за управление е процедура, която отнема години;</w:t>
      </w:r>
    </w:p>
    <w:p w14:paraId="61F5F06E" w14:textId="77777777" w:rsidR="00205307" w:rsidRPr="00FB72A1" w:rsidRDefault="007B6940" w:rsidP="00205307">
      <w:pPr>
        <w:pStyle w:val="NormalHanging12a"/>
      </w:pPr>
      <w:r w:rsidRPr="00FB72A1">
        <w:t>12.</w:t>
      </w:r>
      <w:r w:rsidRPr="00FB72A1">
        <w:tab/>
        <w:t>счита, че всички съществени политически решения, включително приоритетите по отношение на разходите и разпределението на финансовите средства трябва да бъдат определени в основния акт на „Хоризонт Европа“, при пълно зачитане на прерогативите на Парламента като съзаконодател и едно от подразделенията на бюджетния орган на ЕС; припомня, че всички несъществени елементи, водещи до избор на политики, които не са включени в основния акт, трябва да бъдат приети чрез делегирани актове, включително работни програми</w:t>
      </w:r>
      <w:r w:rsidRPr="00FB72A1">
        <w:t>;</w:t>
      </w:r>
    </w:p>
    <w:p w14:paraId="3315899F" w14:textId="77777777" w:rsidR="00205307" w:rsidRPr="00FB72A1" w:rsidRDefault="007B6940" w:rsidP="00205307">
      <w:pPr>
        <w:pStyle w:val="NormalHanging12a"/>
      </w:pPr>
      <w:r w:rsidRPr="00FB72A1">
        <w:t>13.</w:t>
      </w:r>
      <w:r w:rsidRPr="00FB72A1">
        <w:tab/>
        <w:t>подчертава, че изпълнението и развитието на програмата следва да бъдат прозрачни, като същевременно се зачитат европейските ценности, и са съобразени с правата на човека и международното право, подкрепени от демократични институции;</w:t>
      </w:r>
    </w:p>
    <w:p w14:paraId="5C4D748C" w14:textId="77777777" w:rsidR="00205307" w:rsidRPr="00FB72A1" w:rsidRDefault="007B6940" w:rsidP="00205307">
      <w:pPr>
        <w:pStyle w:val="NormalHanging12a"/>
      </w:pPr>
      <w:r w:rsidRPr="00FB72A1">
        <w:t>14.</w:t>
      </w:r>
      <w:r w:rsidRPr="00FB72A1">
        <w:tab/>
        <w:t xml:space="preserve">припомня, че предложението включва възможността за използване на бюджетна гаранция; подчертава, че отражението върху бюджета на операциите по получаване и отпускане на заеми по линия на рамковата програма „Хоризонт Европа“ трябва да бъде ясно определено, прозрачно представено и внимателно наблюдавано през целия период на МФР; настоява, че всички решения, свързани с такива операции, трябва да зачитат изцяло правомощията на съзаконодателите и прерогативите на бюджетния орган; подчертава, че тези инструменти </w:t>
      </w:r>
      <w:r w:rsidRPr="00FB72A1">
        <w:t>следва да се използват стратегически за максимално увеличаване на въздействието, ефикасността и устойчивостта на финансирането от ЕС, като същевременно се гарантират пълна прозрачност, добро управление на риска и зачитане на прерогативите на бюджетния орган; припомня, че финансовите интереси на Съюза следва да бъдат защитени, наред с други мерки, чрез осигуряването на пълния достъп на OLAF, Европейската прокуратура и Европейската сметна палата до подлежащите на одит данни и до правата за разследване на Евро</w:t>
      </w:r>
      <w:r w:rsidRPr="00FB72A1">
        <w:t>пейската служба за борба с измамите и Европейската прокуратура, и правата за одит на Европейската сметна палата;</w:t>
      </w:r>
    </w:p>
    <w:p w14:paraId="227D0C42" w14:textId="77777777" w:rsidR="00205307" w:rsidRPr="00FB72A1" w:rsidRDefault="007B6940" w:rsidP="00205307">
      <w:pPr>
        <w:pStyle w:val="NormalHanging12a"/>
      </w:pPr>
      <w:r w:rsidRPr="00FB72A1">
        <w:t>15.</w:t>
      </w:r>
      <w:r w:rsidRPr="00FB72A1">
        <w:tab/>
        <w:t>подчертава, че Европейския съвет по иновациите (ЕСИ), по-специално чрез Фонда за ЕС, включително Фонда за разрастване в Европа, служи на целта за подпомагане на европейски стартиращи и разрастващи се предприятия в сферата на дълбоките технологии, които осигуряват дългосрочна стратегическа стойност за ЕС, в съответствие с целите на доклада на Драги; припомня, че ЕСИ е уникален инструмент, който обединява финансиране от бюджета на ЕС и частните инвеститори, за да се осигури достъп на дружествата до значителе</w:t>
      </w:r>
      <w:r w:rsidRPr="00FB72A1">
        <w:t>н капитал на етап стартиране, растеж и разрастване; настоятелно призовава Фондът за разрастване в Европа да продължи своята мисия в рамките на ЕСИ в следващата МФР; подчертава, че трябва да бъдат въведени предпазни мерки, за да се гарантира стабилен бюджетен контрол и да се избегне накърняване на репутацията на бюджета на ЕС; в този контекст отбелязва, че предвид уникалния характер на ЕСИ и необходимостта той да функционира в условията на бързоразвиващ се световен пазар на рисков капитал, където значителнит</w:t>
      </w:r>
      <w:r w:rsidRPr="00FB72A1">
        <w:t>е капиталови загуби са неизбежни, биха могли да се предоставят целеви изключения от Финансовия регламент, когато е необходимо, в координация с комисията по бюджети и комисията по бюджетен контрол; подчертава, че тези изключения трябва да бъдат напълно обосновани и не следва да подкопават прерогативите на Парламента като бюджетен орган; припомня значението на инвестициите в европейските стратегически сектори, включително изкуствения интелект, квантовите технологии, технологиите с двойна употреба, отбранителн</w:t>
      </w:r>
      <w:r w:rsidRPr="00FB72A1">
        <w:t>ите и чистите технологии, за да се повиши конкурентоспособността и европейската стратегическа автономност;</w:t>
      </w:r>
    </w:p>
    <w:p w14:paraId="324BFAF2" w14:textId="77777777" w:rsidR="00205307" w:rsidRPr="00FB72A1" w:rsidRDefault="007B6940" w:rsidP="00205307">
      <w:pPr>
        <w:pStyle w:val="NormalHanging12a"/>
        <w:rPr>
          <w:bCs/>
          <w:iCs/>
        </w:rPr>
      </w:pPr>
      <w:r w:rsidRPr="00FB72A1">
        <w:t>16.</w:t>
      </w:r>
      <w:r w:rsidRPr="00FB72A1">
        <w:tab/>
        <w:t>подчертава необходимостта от подкрепа за разрастващите се предприятия и подпомагане на европейските стартиращи предприятия да се ориентират в „долината на смъртта“, където липсата на пазарна реализация често води до неуспех или преместване извън ЕС; подчертава, че „Хоризонт Европа“ научните изследвания и иновациите следва да се поставят в центъра на икономическата и инвестиционната стратегия на ЕС, докато Европейският фонд за конкурентоспособност следва се съсредоточи върху ускореното разработване, внедряв</w:t>
      </w:r>
      <w:r w:rsidRPr="00FB72A1">
        <w:t>ане и промишлената конкурентоспособност и превръщането на най-силните научни изследвания и иновации в Европа в мащабно развитие и внедряване в европейски мащаб;</w:t>
      </w:r>
    </w:p>
    <w:p w14:paraId="27E6EDE2" w14:textId="77777777" w:rsidR="00205307" w:rsidRPr="00FB72A1" w:rsidRDefault="007B6940" w:rsidP="00205307">
      <w:pPr>
        <w:pStyle w:val="NormalHanging12a"/>
      </w:pPr>
      <w:r w:rsidRPr="00FB72A1">
        <w:t>17.</w:t>
      </w:r>
      <w:r w:rsidRPr="00FB72A1">
        <w:tab/>
        <w:t>припомня, че „Хоризонт Европа“ следва да включва както „отворен“ (от долу нагоре), така и „основан на публичната политика“ (от горе надолу) подход, в тясна координация и полезно взаимодействие с Европейския фонд за конкурентоспособност и неговите компоненти на политиката, особено в областта на технологиите с двойна употреба, които биха могли да бъдат разширени в рамките на ЕФК; подчертава, че такива полезни взаимодействия и съсредоточаване върху ефикасността и ефективността са абсолютно необходими за спазв</w:t>
      </w:r>
      <w:r w:rsidRPr="00FB72A1">
        <w:t>ането на принципа на добро финансово управление;</w:t>
      </w:r>
    </w:p>
    <w:p w14:paraId="6140B404" w14:textId="77777777" w:rsidR="00205307" w:rsidRPr="00FB72A1" w:rsidRDefault="007B6940" w:rsidP="00205307">
      <w:pPr>
        <w:pStyle w:val="NormalHanging12a"/>
        <w:rPr>
          <w:bCs/>
          <w:iCs/>
        </w:rPr>
      </w:pPr>
      <w:r w:rsidRPr="00FB72A1">
        <w:t>18.</w:t>
      </w:r>
      <w:r w:rsidRPr="00FB72A1">
        <w:tab/>
        <w:t>припомня, че административните процедури трябва да бъдат опростени за всички кандидати, по-специално за по-малки или средни проекти, за да се гарантира по-добро участие на МСП и стартиращите предприятия, включително намалена тежест при подаването на заявления и по-бързо отпускане на безвъзмездни средства; подчертава в тази връзка, че програмата следва да улеснява участието на всички видове заинтересовани страни, особено на нови участници, МСП, иновативни стартиращи и разрастващи се предприятия, академичнит</w:t>
      </w:r>
      <w:r w:rsidRPr="00FB72A1">
        <w:t>е среди и нови целеви групи, по-специално чрез националните точки за контакт, които трябва да взаимодействат със съответните структури за подкрепа по други програми на ЕС;</w:t>
      </w:r>
    </w:p>
    <w:p w14:paraId="0A46F125" w14:textId="77777777" w:rsidR="00205307" w:rsidRPr="00FB72A1" w:rsidRDefault="007B6940" w:rsidP="00205307">
      <w:pPr>
        <w:pStyle w:val="NormalHanging12a"/>
      </w:pPr>
      <w:r w:rsidRPr="00FB72A1">
        <w:t>19.</w:t>
      </w:r>
      <w:r w:rsidRPr="00FB72A1">
        <w:tab/>
        <w:t>подчертава, че използването на външни целеви приходи по линия на програма „Хоризонт Европа“ трябва да бъде с ясни граници, да е напълно прозрачно и да подлежи на ефективен парламентарен контрол; отбелязва в тази връзка разпоредбите, свързани с финансовите вноски от всяка участваща трета държава и други донори; подчертава, че ако водещата комисия разгледа възможността за изменение на разпоредбите, свързани с външните целеви приходи, това следва да се извърши в координация с комисията по бюджети и другите ко</w:t>
      </w:r>
      <w:r w:rsidRPr="00FB72A1">
        <w:t>мисии, за да се гарантира последователен подход;</w:t>
      </w:r>
    </w:p>
    <w:p w14:paraId="5E9DDD4D" w14:textId="77777777" w:rsidR="00205307" w:rsidRPr="00FB72A1" w:rsidRDefault="007B6940" w:rsidP="00205307">
      <w:pPr>
        <w:pStyle w:val="NormalHanging12a"/>
      </w:pPr>
      <w:r w:rsidRPr="00FB72A1">
        <w:t>20.</w:t>
      </w:r>
      <w:r w:rsidRPr="00FB72A1">
        <w:tab/>
        <w:t>припомня предложението за регламент за създаване на рамка за проследяване и изпълнение на бюджетните разходи и други хоризонтални правила за програмите и дейностите на ЕС („Регламент за изпълнението“), с който се установява единен рационализиран списък на показателите за изпълнението и разпоредбите за мониторинг и оценка, някои от които са от значение за специфичната програма „Хоризонт Европа“; припомня, че прилагането на хоризонталните принципи следва, ако е осъществимо и целесъобразно, да бъде в съответс</w:t>
      </w:r>
      <w:r w:rsidRPr="00FB72A1">
        <w:t>твие със специфичните за отделните сектори правила, както е предвидено в преработения текст на Финансовия регламент, за да се гарантира, че те се прилагат по начин, който надлежно отчита особеностите на секторните програми; подчертава, че всяка промяна в структурата, целите и допустимите за финансиране действия по програмата ще трябва да бъде отразена по подходящ начин в съответните разпоредби и в приложение I към регламента за изпълнението като част от процеса на изменение и договаряне на посочения регламе</w:t>
      </w:r>
      <w:r w:rsidRPr="00FB72A1">
        <w:t>нт; посочва, че въпреки че секторното законодателство може да допълва Регламента за изпълнението, например по отношение на оценките на програмите, то следва да остане в съответствие с разпоредбите на този регламент;</w:t>
      </w:r>
    </w:p>
    <w:p w14:paraId="693FAA0A" w14:textId="77777777" w:rsidR="00205307" w:rsidRPr="00FB72A1" w:rsidRDefault="007B6940" w:rsidP="00205307">
      <w:pPr>
        <w:ind w:left="567" w:hanging="567"/>
      </w:pPr>
      <w:r w:rsidRPr="00FB72A1">
        <w:t>21.</w:t>
      </w:r>
      <w:r w:rsidRPr="00FB72A1">
        <w:tab/>
        <w:t>счита, че отменените бюджетни кредити за научни изследвания следва да се използват повторно в пълна степен, за да се подпомогне укрепването на научноизследователския капацитет на ЕС, без изкуствено да се определят тавани на сумите – нещо, което не е предвидено във Финансовия регламент; счита също така, че обратните постъпления от финансови инструменти следва да останат на разположение в рамките на програма „Хоризонт Европа“.</w:t>
      </w:r>
    </w:p>
    <w:p w14:paraId="4A6B1E05" w14:textId="77777777" w:rsidR="00C8553D" w:rsidRPr="00FB72A1" w:rsidRDefault="00C8553D" w:rsidP="00C8553D"/>
    <w:p w14:paraId="0A6B7E3C" w14:textId="77777777" w:rsidR="00755CD7" w:rsidRPr="00FB72A1" w:rsidRDefault="00755CD7" w:rsidP="00C8553D">
      <w:pPr>
        <w:sectPr w:rsidR="00755CD7" w:rsidRPr="00FB72A1" w:rsidSect="00FB72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8D68429" w14:textId="77777777" w:rsidR="00CE73B2" w:rsidRPr="00FB72A1" w:rsidRDefault="007B6940" w:rsidP="00825069">
      <w:pPr>
        <w:pStyle w:val="Normal12a"/>
        <w:rPr>
          <w:rStyle w:val="HideTWBExt"/>
          <w:rFonts w:ascii="Times New Roman" w:hAnsi="Times New Roman"/>
          <w:noProof w:val="0"/>
          <w:vanish w:val="0"/>
          <w:color w:val="auto"/>
          <w:sz w:val="24"/>
        </w:rPr>
      </w:pPr>
      <w:r w:rsidRPr="00FB72A1">
        <w:t>В рамките на своята бюджетна оценка комисията по бюджети също така представя следните изменения на проекта на предложение.</w:t>
      </w:r>
    </w:p>
    <w:p w14:paraId="3898F3DC" w14:textId="77777777" w:rsidR="000F307C" w:rsidRPr="00FB72A1" w:rsidRDefault="007B6940" w:rsidP="00E63984">
      <w:pPr>
        <w:pStyle w:val="AmNumberTabs"/>
      </w:pPr>
      <w:r w:rsidRPr="00FB72A1">
        <w:rPr>
          <w:rStyle w:val="HideTWBExt"/>
        </w:rPr>
        <w:t>&lt;RepeatBlock-Amend&gt;</w:t>
      </w:r>
      <w:bookmarkStart w:id="1" w:name="_Hlk203492957"/>
    </w:p>
    <w:p w14:paraId="5ED00607" w14:textId="77777777" w:rsidR="000F307C" w:rsidRPr="00FB72A1" w:rsidRDefault="007B6940" w:rsidP="00E63984">
      <w:pPr>
        <w:pStyle w:val="AmNumberTabs"/>
      </w:pPr>
      <w:r w:rsidRPr="00FB72A1">
        <w:rPr>
          <w:rStyle w:val="HideTWBExt"/>
        </w:rPr>
        <w:t>&lt;Amend&gt;</w:t>
      </w:r>
      <w:r w:rsidRPr="00FB72A1">
        <w:t>Изменение</w:t>
      </w:r>
      <w:r w:rsidRPr="00FB72A1">
        <w:tab/>
      </w:r>
      <w:r w:rsidRPr="00FB72A1">
        <w:tab/>
      </w:r>
      <w:r w:rsidRPr="00FB72A1">
        <w:rPr>
          <w:rStyle w:val="HideTWBExt"/>
        </w:rPr>
        <w:t>&lt;NumAm&gt;</w:t>
      </w:r>
      <w:r w:rsidRPr="00FB72A1">
        <w:t>1</w:t>
      </w:r>
      <w:r w:rsidRPr="00FB72A1">
        <w:rPr>
          <w:rStyle w:val="HideTWBExt"/>
        </w:rPr>
        <w:t>&lt;/NumAm&gt;</w:t>
      </w:r>
    </w:p>
    <w:p w14:paraId="6D8422D7" w14:textId="77777777" w:rsidR="000F307C" w:rsidRPr="00FB72A1" w:rsidRDefault="007B6940" w:rsidP="000F307C">
      <w:pPr>
        <w:pStyle w:val="Normal12a"/>
        <w:spacing w:after="0"/>
        <w:rPr>
          <w:b/>
        </w:rPr>
      </w:pPr>
      <w:r w:rsidRPr="00FB72A1">
        <w:rPr>
          <w:rStyle w:val="HideTWBExt"/>
        </w:rPr>
        <w:t>&lt;DocAmend&gt;</w:t>
      </w:r>
      <w:r w:rsidRPr="00FB72A1">
        <w:rPr>
          <w:b/>
        </w:rPr>
        <w:t>Предложение за регламент</w:t>
      </w:r>
      <w:r w:rsidRPr="00FB72A1">
        <w:rPr>
          <w:rStyle w:val="HideTWBExt"/>
        </w:rPr>
        <w:t>&lt;/DocAmend&gt;</w:t>
      </w:r>
    </w:p>
    <w:p w14:paraId="01398C51" w14:textId="77777777" w:rsidR="000F307C" w:rsidRPr="00FB72A1" w:rsidRDefault="007B6940" w:rsidP="000F307C">
      <w:pPr>
        <w:pStyle w:val="Normal12a"/>
        <w:spacing w:after="0"/>
        <w:rPr>
          <w:b/>
        </w:rPr>
      </w:pPr>
      <w:r w:rsidRPr="00FB72A1">
        <w:rPr>
          <w:rStyle w:val="HideTWBExt"/>
        </w:rPr>
        <w:t>&lt;Article&gt;</w:t>
      </w:r>
      <w:r w:rsidRPr="00FB72A1">
        <w:rPr>
          <w:b/>
        </w:rPr>
        <w:t>Съображение 34</w:t>
      </w:r>
      <w:r w:rsidRPr="00FB72A1">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227D06" w:rsidRPr="00FB72A1" w14:paraId="0AFF8886" w14:textId="77777777">
        <w:trPr>
          <w:jc w:val="center"/>
        </w:trPr>
        <w:tc>
          <w:tcPr>
            <w:tcW w:w="9750" w:type="dxa"/>
            <w:gridSpan w:val="2"/>
          </w:tcPr>
          <w:p w14:paraId="17C8BCCB" w14:textId="77777777" w:rsidR="000F307C" w:rsidRPr="00FB72A1" w:rsidRDefault="000F307C" w:rsidP="005A2392">
            <w:pPr>
              <w:pStyle w:val="Normal6a"/>
            </w:pPr>
          </w:p>
        </w:tc>
      </w:tr>
      <w:tr w:rsidR="00227D06" w:rsidRPr="00FB72A1" w14:paraId="4DB0D936" w14:textId="77777777">
        <w:trPr>
          <w:jc w:val="center"/>
        </w:trPr>
        <w:tc>
          <w:tcPr>
            <w:tcW w:w="4875" w:type="dxa"/>
            <w:hideMark/>
          </w:tcPr>
          <w:p w14:paraId="08253451" w14:textId="77777777" w:rsidR="000F307C" w:rsidRPr="00FB72A1" w:rsidRDefault="007B6940" w:rsidP="00E00D3E">
            <w:pPr>
              <w:pStyle w:val="AmColumnHeading"/>
            </w:pPr>
            <w:r w:rsidRPr="00FB72A1">
              <w:t>Текст, предложен от Комисията</w:t>
            </w:r>
          </w:p>
        </w:tc>
        <w:tc>
          <w:tcPr>
            <w:tcW w:w="4875" w:type="dxa"/>
            <w:hideMark/>
          </w:tcPr>
          <w:p w14:paraId="1654C907" w14:textId="77777777" w:rsidR="000F307C" w:rsidRPr="00FB72A1" w:rsidRDefault="007B6940" w:rsidP="00E00D3E">
            <w:pPr>
              <w:pStyle w:val="AmColumnHeading"/>
            </w:pPr>
            <w:r w:rsidRPr="00FB72A1">
              <w:t>Изменение</w:t>
            </w:r>
          </w:p>
        </w:tc>
      </w:tr>
      <w:tr w:rsidR="00227D06" w:rsidRPr="00FB72A1" w14:paraId="4C80FB68" w14:textId="77777777" w:rsidTr="000F307C">
        <w:trPr>
          <w:jc w:val="center"/>
        </w:trPr>
        <w:tc>
          <w:tcPr>
            <w:tcW w:w="4875" w:type="dxa"/>
          </w:tcPr>
          <w:p w14:paraId="1489CFA3" w14:textId="77777777" w:rsidR="000F307C" w:rsidRPr="00FB72A1" w:rsidRDefault="007B6940" w:rsidP="005A2392">
            <w:pPr>
              <w:pStyle w:val="Normal6a"/>
            </w:pPr>
            <w:r w:rsidRPr="00FB72A1">
              <w:t>34.</w:t>
            </w:r>
            <w:r w:rsidRPr="00FB72A1">
              <w:tab/>
              <w:t xml:space="preserve">Когато подкрепата от Съюза по Програмата следва да бъде предоставена под формата на бюджетна гаранция или финансов инструмент, включително когато е </w:t>
            </w:r>
            <w:r w:rsidRPr="00FB72A1">
              <w:t>съчетана с безвъзмездна подкрепа при операция за смесено финансиране, с изключение на финансовите инструменти по линия на ЕСИ, тази подкрепа следва да се предоставя изключително чрез инструмента InvestEU на ЕФК в съответствие с приложимите правила за този инструмент.</w:t>
            </w:r>
            <w:r w:rsidRPr="00FB72A1">
              <w:rPr>
                <w:i/>
              </w:rPr>
              <w:t> </w:t>
            </w:r>
          </w:p>
        </w:tc>
        <w:tc>
          <w:tcPr>
            <w:tcW w:w="4875" w:type="dxa"/>
          </w:tcPr>
          <w:p w14:paraId="05EF684D" w14:textId="77777777" w:rsidR="000F307C" w:rsidRPr="00FB72A1" w:rsidRDefault="007B6940" w:rsidP="005A2392">
            <w:pPr>
              <w:pStyle w:val="Normal6a"/>
            </w:pPr>
            <w:r w:rsidRPr="00FB72A1">
              <w:t>34.</w:t>
            </w:r>
            <w:r w:rsidRPr="00FB72A1">
              <w:tab/>
              <w:t xml:space="preserve">Когато подкрепата от Съюза по програмата следва да бъде предоставена под формата на бюджетна гаранция или финансов инструмент, включително когато е съчетана с безвъзмездна подкрепа при операция за смесено финансиране, с изключение на финансовите инструменти по линия на ЕСИ, </w:t>
            </w:r>
            <w:r w:rsidRPr="00FB72A1">
              <w:rPr>
                <w:b/>
                <w:i/>
              </w:rPr>
              <w:t>включително Фонда за разрастване в Европа,</w:t>
            </w:r>
            <w:r w:rsidRPr="00FB72A1">
              <w:t xml:space="preserve"> тази подкрепа следва да се предоставя изключително чрез инструмента InvestEU на ЕФК в съответствие с приложимите правила за този инструмент.</w:t>
            </w:r>
          </w:p>
        </w:tc>
      </w:tr>
    </w:tbl>
    <w:p w14:paraId="0B39AFC8" w14:textId="77777777" w:rsidR="00610FA5" w:rsidRPr="00FB72A1" w:rsidRDefault="007B6940" w:rsidP="00E63984">
      <w:pPr>
        <w:pStyle w:val="AmNumberTabs"/>
        <w:rPr>
          <w:rStyle w:val="HideTWBExt"/>
        </w:rPr>
      </w:pPr>
      <w:r w:rsidRPr="00FB72A1">
        <w:rPr>
          <w:rStyle w:val="HideTWBExt"/>
        </w:rPr>
        <w:t>&lt;/Amend&gt;</w:t>
      </w:r>
    </w:p>
    <w:p w14:paraId="3F194DD1" w14:textId="77777777" w:rsidR="00976019" w:rsidRPr="00FB72A1" w:rsidRDefault="007B6940" w:rsidP="00976019">
      <w:pPr>
        <w:pStyle w:val="AmNumberTabs"/>
      </w:pPr>
      <w:r w:rsidRPr="00FB72A1">
        <w:rPr>
          <w:rStyle w:val="HideTWBExt"/>
        </w:rPr>
        <w:t>&lt;Amend&gt;</w:t>
      </w:r>
      <w:r w:rsidRPr="00FB72A1">
        <w:t>Изменение</w:t>
      </w:r>
      <w:r w:rsidRPr="00FB72A1">
        <w:tab/>
      </w:r>
      <w:r w:rsidRPr="00FB72A1">
        <w:tab/>
      </w:r>
      <w:r w:rsidRPr="00FB72A1">
        <w:rPr>
          <w:rStyle w:val="HideTWBExt"/>
        </w:rPr>
        <w:t>&lt;NumAm&gt;</w:t>
      </w:r>
      <w:r w:rsidRPr="00FB72A1">
        <w:t>2</w:t>
      </w:r>
      <w:r w:rsidRPr="00FB72A1">
        <w:rPr>
          <w:rStyle w:val="HideTWBExt"/>
        </w:rPr>
        <w:t>&lt;/NumAm&gt;</w:t>
      </w:r>
    </w:p>
    <w:p w14:paraId="48CB33AD" w14:textId="77777777" w:rsidR="00976019" w:rsidRPr="00FB72A1" w:rsidRDefault="007B6940" w:rsidP="00976019">
      <w:pPr>
        <w:pStyle w:val="Normal12a"/>
        <w:spacing w:after="0"/>
        <w:rPr>
          <w:b/>
        </w:rPr>
      </w:pPr>
      <w:r w:rsidRPr="00FB72A1">
        <w:rPr>
          <w:rStyle w:val="HideTWBExt"/>
        </w:rPr>
        <w:t>&lt;DocAmend&gt;</w:t>
      </w:r>
      <w:r w:rsidRPr="00FB72A1">
        <w:rPr>
          <w:b/>
        </w:rPr>
        <w:t>Предложение за регламент</w:t>
      </w:r>
      <w:r w:rsidRPr="00FB72A1">
        <w:rPr>
          <w:rStyle w:val="HideTWBExt"/>
        </w:rPr>
        <w:t>&lt;/DocAmend&gt;</w:t>
      </w:r>
    </w:p>
    <w:p w14:paraId="368A4B24" w14:textId="77777777" w:rsidR="00976019" w:rsidRPr="00FB72A1" w:rsidRDefault="007B6940" w:rsidP="00976019">
      <w:pPr>
        <w:pStyle w:val="Normal12a"/>
        <w:spacing w:after="0"/>
        <w:rPr>
          <w:b/>
        </w:rPr>
      </w:pPr>
      <w:r w:rsidRPr="00FB72A1">
        <w:rPr>
          <w:rStyle w:val="HideTWBExt"/>
        </w:rPr>
        <w:t>&lt;Article&gt;</w:t>
      </w:r>
      <w:r w:rsidRPr="00FB72A1">
        <w:rPr>
          <w:b/>
        </w:rPr>
        <w:t>Съображение 36 a (ново)</w:t>
      </w:r>
      <w:r w:rsidRPr="00FB72A1">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227D06" w:rsidRPr="00FB72A1" w14:paraId="04BC6BC8" w14:textId="77777777" w:rsidTr="00582163">
        <w:trPr>
          <w:jc w:val="center"/>
        </w:trPr>
        <w:tc>
          <w:tcPr>
            <w:tcW w:w="9750" w:type="dxa"/>
            <w:gridSpan w:val="2"/>
          </w:tcPr>
          <w:p w14:paraId="72716F01" w14:textId="77777777" w:rsidR="00976019" w:rsidRPr="00FB72A1" w:rsidRDefault="00976019" w:rsidP="00582163">
            <w:pPr>
              <w:pStyle w:val="Normal6a"/>
            </w:pPr>
          </w:p>
        </w:tc>
      </w:tr>
      <w:tr w:rsidR="00227D06" w:rsidRPr="00FB72A1" w14:paraId="3AC4A804" w14:textId="77777777" w:rsidTr="00582163">
        <w:trPr>
          <w:jc w:val="center"/>
        </w:trPr>
        <w:tc>
          <w:tcPr>
            <w:tcW w:w="4875" w:type="dxa"/>
            <w:hideMark/>
          </w:tcPr>
          <w:p w14:paraId="4B7F9938" w14:textId="77777777" w:rsidR="00976019" w:rsidRPr="00FB72A1" w:rsidRDefault="007B6940" w:rsidP="00582163">
            <w:pPr>
              <w:pStyle w:val="AmColumnHeading"/>
            </w:pPr>
            <w:r w:rsidRPr="00FB72A1">
              <w:t>Текст, предложен от Комисията</w:t>
            </w:r>
          </w:p>
        </w:tc>
        <w:tc>
          <w:tcPr>
            <w:tcW w:w="4875" w:type="dxa"/>
            <w:hideMark/>
          </w:tcPr>
          <w:p w14:paraId="7925D0B5" w14:textId="77777777" w:rsidR="00976019" w:rsidRPr="00FB72A1" w:rsidRDefault="007B6940" w:rsidP="00582163">
            <w:pPr>
              <w:pStyle w:val="AmColumnHeading"/>
            </w:pPr>
            <w:r w:rsidRPr="00FB72A1">
              <w:t>Изменение</w:t>
            </w:r>
          </w:p>
        </w:tc>
      </w:tr>
      <w:tr w:rsidR="00227D06" w:rsidRPr="00FB72A1" w14:paraId="391847C9" w14:textId="77777777" w:rsidTr="00582163">
        <w:trPr>
          <w:jc w:val="center"/>
        </w:trPr>
        <w:tc>
          <w:tcPr>
            <w:tcW w:w="4875" w:type="dxa"/>
          </w:tcPr>
          <w:p w14:paraId="256E6976" w14:textId="77777777" w:rsidR="00976019" w:rsidRPr="00FB72A1" w:rsidRDefault="00976019" w:rsidP="00582163">
            <w:pPr>
              <w:pStyle w:val="Normal6a"/>
            </w:pPr>
          </w:p>
        </w:tc>
        <w:tc>
          <w:tcPr>
            <w:tcW w:w="4875" w:type="dxa"/>
            <w:hideMark/>
          </w:tcPr>
          <w:p w14:paraId="17D09CB3" w14:textId="77777777" w:rsidR="00976019" w:rsidRPr="00FB72A1" w:rsidRDefault="007B6940" w:rsidP="00582163">
            <w:pPr>
              <w:pStyle w:val="Normal6a"/>
              <w:rPr>
                <w:b/>
                <w:bCs/>
                <w:i/>
                <w:iCs/>
              </w:rPr>
            </w:pPr>
            <w:r w:rsidRPr="00FB72A1">
              <w:rPr>
                <w:b/>
                <w:i/>
              </w:rPr>
              <w:t>(36a)</w:t>
            </w:r>
            <w:r w:rsidRPr="00FB72A1">
              <w:rPr>
                <w:b/>
                <w:i/>
              </w:rPr>
              <w:tab/>
              <w:t xml:space="preserve">Взаимното допълване между програмата „Хоризонт Европа“ и другите инструменти на Съюза – </w:t>
            </w:r>
            <w:r w:rsidRPr="00FB72A1">
              <w:rPr>
                <w:b/>
                <w:i/>
              </w:rPr>
              <w:t>включително Европейския фонд за конкурентоспособност, не следва да бъде за сметка на проследимостта на разходите или прерогативите на бюджетния орган. Приносът на програмата „Хоризонт Европа“ към финансирани съвместно действия следва да остане изрично определим на всички етапи от бюджетния цикъл и надлежно отразен в декларацията за изпълнението на Програмата.</w:t>
            </w:r>
          </w:p>
        </w:tc>
      </w:tr>
    </w:tbl>
    <w:p w14:paraId="7386ABCE" w14:textId="77777777" w:rsidR="00976019" w:rsidRPr="00FB72A1" w:rsidRDefault="007B6940" w:rsidP="00976019">
      <w:pPr>
        <w:pStyle w:val="AmNumberTabs"/>
      </w:pPr>
      <w:r w:rsidRPr="00FB72A1">
        <w:rPr>
          <w:rStyle w:val="HideTWBExt"/>
        </w:rPr>
        <w:t>&lt;/Amend&gt;</w:t>
      </w:r>
    </w:p>
    <w:p w14:paraId="1079EA1C" w14:textId="77777777" w:rsidR="00976019" w:rsidRPr="00FB72A1" w:rsidRDefault="00976019" w:rsidP="00E63984">
      <w:pPr>
        <w:pStyle w:val="AmNumberTabs"/>
      </w:pPr>
    </w:p>
    <w:p w14:paraId="3016F9C8" w14:textId="77777777" w:rsidR="00610FA5" w:rsidRPr="00FB72A1" w:rsidRDefault="007B6940" w:rsidP="00E63984">
      <w:pPr>
        <w:pStyle w:val="AmNumberTabs"/>
      </w:pPr>
      <w:r w:rsidRPr="00FB72A1">
        <w:rPr>
          <w:rStyle w:val="HideTWBExt"/>
        </w:rPr>
        <w:t>&lt;Amend&gt;</w:t>
      </w:r>
      <w:r w:rsidRPr="00FB72A1">
        <w:t>Изменение</w:t>
      </w:r>
      <w:r w:rsidRPr="00FB72A1">
        <w:tab/>
      </w:r>
      <w:r w:rsidRPr="00FB72A1">
        <w:tab/>
      </w:r>
      <w:r w:rsidRPr="00FB72A1">
        <w:rPr>
          <w:rStyle w:val="HideTWBExt"/>
        </w:rPr>
        <w:t>&lt;NumAm&gt;</w:t>
      </w:r>
      <w:r w:rsidRPr="00FB72A1">
        <w:t>3</w:t>
      </w:r>
      <w:r w:rsidRPr="00FB72A1">
        <w:rPr>
          <w:rStyle w:val="HideTWBExt"/>
        </w:rPr>
        <w:t>&lt;/NumAm&gt;</w:t>
      </w:r>
    </w:p>
    <w:p w14:paraId="7C793DAD" w14:textId="77777777" w:rsidR="00610FA5" w:rsidRPr="00FB72A1" w:rsidRDefault="007B6940" w:rsidP="00610FA5">
      <w:pPr>
        <w:pStyle w:val="Normal12a"/>
        <w:spacing w:after="0"/>
        <w:rPr>
          <w:b/>
        </w:rPr>
      </w:pPr>
      <w:r w:rsidRPr="00FB72A1">
        <w:rPr>
          <w:rStyle w:val="HideTWBExt"/>
        </w:rPr>
        <w:t>&lt;DocAmend&gt;</w:t>
      </w:r>
      <w:r w:rsidRPr="00FB72A1">
        <w:rPr>
          <w:b/>
        </w:rPr>
        <w:t>Предложение за регламент</w:t>
      </w:r>
      <w:r w:rsidRPr="00FB72A1">
        <w:rPr>
          <w:rStyle w:val="HideTWBExt"/>
        </w:rPr>
        <w:t>&lt;/DocAmend&gt;</w:t>
      </w:r>
    </w:p>
    <w:p w14:paraId="524015C0" w14:textId="77777777" w:rsidR="00205307" w:rsidRPr="00FB72A1" w:rsidRDefault="007B6940" w:rsidP="00205307">
      <w:pPr>
        <w:pStyle w:val="Normal12a"/>
        <w:rPr>
          <w:rFonts w:ascii="Arial" w:hAnsi="Arial" w:cs="Arial"/>
          <w:b/>
          <w:noProof/>
          <w:color w:val="000080"/>
          <w:sz w:val="20"/>
        </w:rPr>
      </w:pPr>
      <w:r w:rsidRPr="00FB72A1">
        <w:rPr>
          <w:rStyle w:val="HideTWBExt"/>
        </w:rPr>
        <w:t>&lt;Article&gt;</w:t>
      </w:r>
      <w:r w:rsidRPr="00FB72A1">
        <w:rPr>
          <w:b/>
        </w:rPr>
        <w:t>Съображение 37 б (ново)</w:t>
      </w:r>
      <w:r w:rsidRPr="00FB72A1">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7D06" w:rsidRPr="00FB72A1" w14:paraId="3609AE64" w14:textId="77777777">
        <w:trPr>
          <w:jc w:val="center"/>
        </w:trPr>
        <w:tc>
          <w:tcPr>
            <w:tcW w:w="9752" w:type="dxa"/>
            <w:gridSpan w:val="2"/>
          </w:tcPr>
          <w:p w14:paraId="7F8F42FC" w14:textId="77777777" w:rsidR="00610FA5" w:rsidRPr="00FB72A1" w:rsidRDefault="00610FA5" w:rsidP="005A2392">
            <w:pPr>
              <w:pStyle w:val="Normal6a"/>
            </w:pPr>
          </w:p>
        </w:tc>
      </w:tr>
      <w:tr w:rsidR="00227D06" w:rsidRPr="00FB72A1" w14:paraId="1E4C8A91" w14:textId="77777777">
        <w:trPr>
          <w:jc w:val="center"/>
        </w:trPr>
        <w:tc>
          <w:tcPr>
            <w:tcW w:w="4876" w:type="dxa"/>
            <w:hideMark/>
          </w:tcPr>
          <w:p w14:paraId="2C73FB16" w14:textId="77777777" w:rsidR="00610FA5" w:rsidRPr="00FB72A1" w:rsidRDefault="007B6940" w:rsidP="00E00D3E">
            <w:pPr>
              <w:pStyle w:val="AmColumnHeading"/>
            </w:pPr>
            <w:r w:rsidRPr="00FB72A1">
              <w:t xml:space="preserve">Текст, </w:t>
            </w:r>
            <w:r w:rsidRPr="00FB72A1">
              <w:t>предложен от Комисията</w:t>
            </w:r>
          </w:p>
        </w:tc>
        <w:tc>
          <w:tcPr>
            <w:tcW w:w="4876" w:type="dxa"/>
            <w:hideMark/>
          </w:tcPr>
          <w:p w14:paraId="78743CC7" w14:textId="77777777" w:rsidR="00610FA5" w:rsidRPr="00FB72A1" w:rsidRDefault="007B6940" w:rsidP="00E00D3E">
            <w:pPr>
              <w:pStyle w:val="AmColumnHeading"/>
            </w:pPr>
            <w:r w:rsidRPr="00FB72A1">
              <w:t>Изменение</w:t>
            </w:r>
          </w:p>
        </w:tc>
      </w:tr>
      <w:tr w:rsidR="00227D06" w:rsidRPr="00FB72A1" w14:paraId="6127A009" w14:textId="77777777">
        <w:trPr>
          <w:jc w:val="center"/>
        </w:trPr>
        <w:tc>
          <w:tcPr>
            <w:tcW w:w="4876" w:type="dxa"/>
            <w:hideMark/>
          </w:tcPr>
          <w:p w14:paraId="796CA248" w14:textId="77777777" w:rsidR="00610FA5" w:rsidRPr="00FB72A1" w:rsidRDefault="00610FA5" w:rsidP="005A2392">
            <w:pPr>
              <w:pStyle w:val="Normal6a"/>
            </w:pPr>
          </w:p>
        </w:tc>
        <w:tc>
          <w:tcPr>
            <w:tcW w:w="4876" w:type="dxa"/>
            <w:hideMark/>
          </w:tcPr>
          <w:p w14:paraId="579A9A8B" w14:textId="77777777" w:rsidR="00610FA5" w:rsidRPr="00FB72A1" w:rsidRDefault="007B6940" w:rsidP="005A2392">
            <w:pPr>
              <w:pStyle w:val="Normal6a"/>
              <w:rPr>
                <w:b/>
                <w:bCs/>
                <w:i/>
                <w:iCs/>
              </w:rPr>
            </w:pPr>
            <w:r w:rsidRPr="00FB72A1">
              <w:rPr>
                <w:b/>
                <w:i/>
              </w:rPr>
              <w:t>(37б)</w:t>
            </w:r>
            <w:r w:rsidRPr="00FB72A1">
              <w:rPr>
                <w:b/>
                <w:i/>
              </w:rPr>
              <w:tab/>
              <w:t>Разпоредбите на настоящия регламент, както и неговите правила за управление, следва да способстват за правилното вземане на решения от бюджетния орган и за подходящ парламентарен контрол. По-специално всяка спецификация на вътрешната структура на програмата следва да бъде надлежно отразена в бюджетната номенклатура чрез въвеждане на съответните бюджетни редове.</w:t>
            </w:r>
          </w:p>
        </w:tc>
      </w:tr>
    </w:tbl>
    <w:p w14:paraId="4833556E" w14:textId="77777777" w:rsidR="00610FA5" w:rsidRPr="00FB72A1" w:rsidRDefault="007B6940" w:rsidP="00E63984">
      <w:pPr>
        <w:pStyle w:val="AmNumberTabs"/>
      </w:pPr>
      <w:r w:rsidRPr="00FB72A1">
        <w:rPr>
          <w:rStyle w:val="HideTWBExt"/>
        </w:rPr>
        <w:t>&lt;/Amend&gt;</w:t>
      </w:r>
    </w:p>
    <w:p w14:paraId="746146D5" w14:textId="77777777" w:rsidR="00976019" w:rsidRPr="00FB72A1" w:rsidRDefault="007B6940" w:rsidP="00976019">
      <w:pPr>
        <w:pStyle w:val="AmNumberTabs"/>
      </w:pPr>
      <w:r w:rsidRPr="00FB72A1">
        <w:rPr>
          <w:rStyle w:val="HideTWBExt"/>
        </w:rPr>
        <w:t>&lt;Amend&gt;</w:t>
      </w:r>
      <w:r w:rsidRPr="00FB72A1">
        <w:t>Изменение</w:t>
      </w:r>
      <w:r w:rsidRPr="00FB72A1">
        <w:tab/>
      </w:r>
      <w:r w:rsidRPr="00FB72A1">
        <w:tab/>
      </w:r>
      <w:r w:rsidRPr="00FB72A1">
        <w:rPr>
          <w:rStyle w:val="HideTWBExt"/>
        </w:rPr>
        <w:t>&lt;NumAm&gt;</w:t>
      </w:r>
      <w:r w:rsidRPr="00FB72A1">
        <w:t>4</w:t>
      </w:r>
      <w:r w:rsidRPr="00FB72A1">
        <w:rPr>
          <w:rStyle w:val="HideTWBExt"/>
        </w:rPr>
        <w:t>&lt;/NumAm&gt;</w:t>
      </w:r>
    </w:p>
    <w:p w14:paraId="52E74C78" w14:textId="77777777" w:rsidR="00976019" w:rsidRPr="00FB72A1" w:rsidRDefault="007B6940" w:rsidP="00976019">
      <w:pPr>
        <w:pStyle w:val="Normal12a"/>
        <w:spacing w:after="0"/>
        <w:rPr>
          <w:b/>
        </w:rPr>
      </w:pPr>
      <w:r w:rsidRPr="00FB72A1">
        <w:rPr>
          <w:rStyle w:val="HideTWBExt"/>
        </w:rPr>
        <w:t>&lt;DocAmend&gt;</w:t>
      </w:r>
      <w:r w:rsidRPr="00FB72A1">
        <w:rPr>
          <w:b/>
        </w:rPr>
        <w:t>Предложение за регламент</w:t>
      </w:r>
      <w:r w:rsidRPr="00FB72A1">
        <w:rPr>
          <w:rStyle w:val="HideTWBExt"/>
        </w:rPr>
        <w:t>&lt;/DocAmend&gt;</w:t>
      </w:r>
    </w:p>
    <w:p w14:paraId="0E6D7170" w14:textId="77777777" w:rsidR="00976019" w:rsidRPr="00FB72A1" w:rsidRDefault="007B6940" w:rsidP="00976019">
      <w:pPr>
        <w:pStyle w:val="Normal12a"/>
        <w:spacing w:after="0"/>
        <w:rPr>
          <w:b/>
        </w:rPr>
      </w:pPr>
      <w:r w:rsidRPr="00FB72A1">
        <w:rPr>
          <w:rStyle w:val="HideTWBExt"/>
        </w:rPr>
        <w:t>&lt;Article&gt;</w:t>
      </w:r>
      <w:r w:rsidRPr="00FB72A1">
        <w:rPr>
          <w:b/>
        </w:rPr>
        <w:t>Съображение 37 в (ново)</w:t>
      </w:r>
      <w:r w:rsidRPr="00FB72A1">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227D06" w:rsidRPr="00FB72A1" w14:paraId="43529007" w14:textId="77777777" w:rsidTr="00582163">
        <w:trPr>
          <w:jc w:val="center"/>
        </w:trPr>
        <w:tc>
          <w:tcPr>
            <w:tcW w:w="9752" w:type="dxa"/>
            <w:gridSpan w:val="2"/>
          </w:tcPr>
          <w:p w14:paraId="17A58100" w14:textId="77777777" w:rsidR="00976019" w:rsidRPr="00FB72A1" w:rsidRDefault="00976019" w:rsidP="00582163">
            <w:pPr>
              <w:pStyle w:val="Normal6a"/>
            </w:pPr>
          </w:p>
        </w:tc>
      </w:tr>
      <w:tr w:rsidR="00227D06" w:rsidRPr="00FB72A1" w14:paraId="606D7CC4" w14:textId="77777777" w:rsidTr="00582163">
        <w:trPr>
          <w:jc w:val="center"/>
        </w:trPr>
        <w:tc>
          <w:tcPr>
            <w:tcW w:w="4876" w:type="dxa"/>
            <w:hideMark/>
          </w:tcPr>
          <w:p w14:paraId="516C2AC4" w14:textId="77777777" w:rsidR="00976019" w:rsidRPr="00FB72A1" w:rsidRDefault="007B6940" w:rsidP="00582163">
            <w:pPr>
              <w:pStyle w:val="AmColumnHeading"/>
            </w:pPr>
            <w:r w:rsidRPr="00FB72A1">
              <w:t>Текст, предложен от Комисията</w:t>
            </w:r>
          </w:p>
        </w:tc>
        <w:tc>
          <w:tcPr>
            <w:tcW w:w="4876" w:type="dxa"/>
            <w:hideMark/>
          </w:tcPr>
          <w:p w14:paraId="3DB19352" w14:textId="77777777" w:rsidR="00976019" w:rsidRPr="00FB72A1" w:rsidRDefault="007B6940" w:rsidP="00582163">
            <w:pPr>
              <w:pStyle w:val="AmColumnHeading"/>
            </w:pPr>
            <w:r w:rsidRPr="00FB72A1">
              <w:t>Изменение</w:t>
            </w:r>
          </w:p>
        </w:tc>
      </w:tr>
      <w:tr w:rsidR="00227D06" w:rsidRPr="00FB72A1" w14:paraId="392BC33C" w14:textId="77777777" w:rsidTr="00582163">
        <w:trPr>
          <w:jc w:val="center"/>
        </w:trPr>
        <w:tc>
          <w:tcPr>
            <w:tcW w:w="4876" w:type="dxa"/>
          </w:tcPr>
          <w:p w14:paraId="63584C15" w14:textId="77777777" w:rsidR="00976019" w:rsidRPr="00FB72A1" w:rsidRDefault="00976019" w:rsidP="00582163">
            <w:pPr>
              <w:pStyle w:val="Normal6a"/>
            </w:pPr>
          </w:p>
        </w:tc>
        <w:tc>
          <w:tcPr>
            <w:tcW w:w="4876" w:type="dxa"/>
            <w:shd w:val="clear" w:color="auto" w:fill="auto"/>
            <w:hideMark/>
          </w:tcPr>
          <w:p w14:paraId="4D6BBC83" w14:textId="77777777" w:rsidR="00976019" w:rsidRPr="00FB72A1" w:rsidRDefault="007B6940" w:rsidP="00582163">
            <w:pPr>
              <w:pStyle w:val="Normal6a"/>
            </w:pPr>
            <w:r w:rsidRPr="00FB72A1">
              <w:rPr>
                <w:b/>
                <w:i/>
              </w:rPr>
              <w:t>(37в)</w:t>
            </w:r>
            <w:r w:rsidRPr="00FB72A1">
              <w:rPr>
                <w:b/>
                <w:i/>
              </w:rPr>
              <w:tab/>
              <w:t xml:space="preserve">В съответствие с член 15, параграф 3 от Финансовия регламент отменените бюджетни кредити за научни изследвания се използват повторно, за да се подпомогне </w:t>
            </w:r>
            <w:r w:rsidRPr="00FB72A1">
              <w:rPr>
                <w:b/>
                <w:i/>
              </w:rPr>
              <w:t>укрепването на научноизследователския капацитет на Съюза, без превантивен таван, ограничаващ бюджетния орган в годишната бюджетна процедура.</w:t>
            </w:r>
            <w:r w:rsidRPr="00FB72A1">
              <w:t xml:space="preserve"> </w:t>
            </w:r>
          </w:p>
        </w:tc>
      </w:tr>
    </w:tbl>
    <w:p w14:paraId="5EED9FE0" w14:textId="77777777" w:rsidR="00976019" w:rsidRPr="00FB72A1" w:rsidRDefault="007B6940" w:rsidP="00976019">
      <w:pPr>
        <w:pStyle w:val="AmNumberTabs"/>
      </w:pPr>
      <w:r w:rsidRPr="00FB72A1">
        <w:rPr>
          <w:rStyle w:val="HideTWBExt"/>
        </w:rPr>
        <w:t>&lt;/Amend&gt;</w:t>
      </w:r>
    </w:p>
    <w:p w14:paraId="5D1B2E5D" w14:textId="77777777" w:rsidR="000F307C" w:rsidRPr="00FB72A1" w:rsidRDefault="000F307C" w:rsidP="00E63984">
      <w:pPr>
        <w:pStyle w:val="AmNumberTabs"/>
        <w:rPr>
          <w:rStyle w:val="HideTWBExt"/>
          <w:color w:val="auto"/>
        </w:rPr>
      </w:pPr>
    </w:p>
    <w:p w14:paraId="76CE8564" w14:textId="77777777" w:rsidR="006D16AE" w:rsidRPr="00FB72A1" w:rsidRDefault="007B6940" w:rsidP="00E63984">
      <w:pPr>
        <w:pStyle w:val="AmNumberTabs"/>
      </w:pPr>
      <w:r w:rsidRPr="00FB72A1">
        <w:rPr>
          <w:rStyle w:val="HideTWBExt"/>
        </w:rPr>
        <w:t>&lt;Amend&gt;</w:t>
      </w:r>
      <w:r w:rsidRPr="00FB72A1">
        <w:t>Изменение</w:t>
      </w:r>
      <w:r w:rsidRPr="00FB72A1">
        <w:tab/>
      </w:r>
      <w:r w:rsidRPr="00FB72A1">
        <w:tab/>
      </w:r>
      <w:r w:rsidRPr="00FB72A1">
        <w:rPr>
          <w:rStyle w:val="HideTWBExt"/>
        </w:rPr>
        <w:t>&lt;NumAm&gt;</w:t>
      </w:r>
      <w:r w:rsidRPr="00FB72A1">
        <w:t>5</w:t>
      </w:r>
      <w:r w:rsidRPr="00FB72A1">
        <w:rPr>
          <w:rStyle w:val="HideTWBExt"/>
        </w:rPr>
        <w:t>&lt;/NumAm&gt;</w:t>
      </w:r>
    </w:p>
    <w:p w14:paraId="6BE044D6" w14:textId="77777777" w:rsidR="007F1A57" w:rsidRPr="00FB72A1" w:rsidRDefault="007F1A57" w:rsidP="000F307C">
      <w:pPr>
        <w:pStyle w:val="Normal12a"/>
        <w:rPr>
          <w:rFonts w:ascii="Arial" w:hAnsi="Arial"/>
          <w:noProof/>
          <w:vanish/>
          <w:color w:val="000080"/>
          <w:sz w:val="20"/>
        </w:rPr>
      </w:pPr>
    </w:p>
    <w:p w14:paraId="15BDBB28" w14:textId="77777777" w:rsidR="006D16AE" w:rsidRPr="00FB72A1" w:rsidRDefault="007B6940" w:rsidP="00760D63">
      <w:pPr>
        <w:pStyle w:val="Normal12a"/>
        <w:spacing w:after="0"/>
        <w:rPr>
          <w:b/>
        </w:rPr>
      </w:pPr>
      <w:r w:rsidRPr="00FB72A1">
        <w:rPr>
          <w:rStyle w:val="HideTWBExt"/>
        </w:rPr>
        <w:t>&lt;DocAmend&gt;</w:t>
      </w:r>
      <w:r w:rsidRPr="00FB72A1">
        <w:rPr>
          <w:b/>
        </w:rPr>
        <w:t>Предложение за регламент</w:t>
      </w:r>
      <w:r w:rsidRPr="00FB72A1">
        <w:rPr>
          <w:rStyle w:val="HideTWBExt"/>
        </w:rPr>
        <w:t>&lt;/DocAmend&gt;</w:t>
      </w:r>
    </w:p>
    <w:p w14:paraId="2AC1B949" w14:textId="77777777" w:rsidR="00205307" w:rsidRPr="00FB72A1" w:rsidRDefault="007B6940" w:rsidP="00205307">
      <w:pPr>
        <w:pStyle w:val="Normal12a"/>
        <w:rPr>
          <w:rFonts w:ascii="Arial" w:hAnsi="Arial" w:cs="Arial"/>
          <w:b/>
          <w:noProof/>
          <w:color w:val="000080"/>
          <w:sz w:val="20"/>
        </w:rPr>
      </w:pPr>
      <w:r w:rsidRPr="00FB72A1">
        <w:rPr>
          <w:rStyle w:val="HideTWBExt"/>
        </w:rPr>
        <w:t>&lt;Article&gt;</w:t>
      </w:r>
      <w:r w:rsidRPr="00FB72A1">
        <w:rPr>
          <w:b/>
        </w:rPr>
        <w:t>Съображение 38 a (ново)</w:t>
      </w:r>
      <w:r w:rsidRPr="00FB72A1">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227D06" w:rsidRPr="00FB72A1" w14:paraId="17567606" w14:textId="77777777" w:rsidTr="005A2392">
        <w:trPr>
          <w:jc w:val="center"/>
        </w:trPr>
        <w:tc>
          <w:tcPr>
            <w:tcW w:w="9752" w:type="dxa"/>
            <w:gridSpan w:val="2"/>
          </w:tcPr>
          <w:p w14:paraId="64EDF17F" w14:textId="77777777" w:rsidR="006D16AE" w:rsidRPr="00FB72A1" w:rsidRDefault="006D16AE" w:rsidP="005A2392">
            <w:pPr>
              <w:pStyle w:val="Normal6a"/>
            </w:pPr>
          </w:p>
        </w:tc>
      </w:tr>
      <w:tr w:rsidR="00227D06" w:rsidRPr="00FB72A1" w14:paraId="37A4299E" w14:textId="77777777" w:rsidTr="005A2392">
        <w:trPr>
          <w:jc w:val="center"/>
        </w:trPr>
        <w:tc>
          <w:tcPr>
            <w:tcW w:w="4876" w:type="dxa"/>
            <w:hideMark/>
          </w:tcPr>
          <w:p w14:paraId="6AFA7255" w14:textId="77777777" w:rsidR="006D16AE" w:rsidRPr="00FB72A1" w:rsidRDefault="007B6940" w:rsidP="00E00D3E">
            <w:pPr>
              <w:pStyle w:val="AmColumnHeading"/>
            </w:pPr>
            <w:r w:rsidRPr="00FB72A1">
              <w:t>Текст, предложен от Комисията</w:t>
            </w:r>
          </w:p>
        </w:tc>
        <w:tc>
          <w:tcPr>
            <w:tcW w:w="4876" w:type="dxa"/>
            <w:hideMark/>
          </w:tcPr>
          <w:p w14:paraId="250122E3" w14:textId="77777777" w:rsidR="006D16AE" w:rsidRPr="00FB72A1" w:rsidRDefault="007B6940" w:rsidP="00E00D3E">
            <w:pPr>
              <w:pStyle w:val="AmColumnHeading"/>
            </w:pPr>
            <w:r w:rsidRPr="00FB72A1">
              <w:t>Изменение</w:t>
            </w:r>
          </w:p>
        </w:tc>
      </w:tr>
      <w:tr w:rsidR="00227D06" w:rsidRPr="00FB72A1" w14:paraId="423BDD62" w14:textId="77777777" w:rsidTr="005A2392">
        <w:trPr>
          <w:jc w:val="center"/>
        </w:trPr>
        <w:tc>
          <w:tcPr>
            <w:tcW w:w="4876" w:type="dxa"/>
            <w:hideMark/>
          </w:tcPr>
          <w:p w14:paraId="2FDD735B" w14:textId="77777777" w:rsidR="006D16AE" w:rsidRPr="00FB72A1" w:rsidRDefault="006D16AE" w:rsidP="005A2392">
            <w:pPr>
              <w:pStyle w:val="Normal6a"/>
            </w:pPr>
          </w:p>
        </w:tc>
        <w:tc>
          <w:tcPr>
            <w:tcW w:w="4876" w:type="dxa"/>
            <w:hideMark/>
          </w:tcPr>
          <w:p w14:paraId="5D9F458B" w14:textId="77777777" w:rsidR="006D16AE" w:rsidRPr="00FB72A1" w:rsidRDefault="007B6940" w:rsidP="005A2392">
            <w:pPr>
              <w:pStyle w:val="Normal6a"/>
            </w:pPr>
            <w:r w:rsidRPr="00FB72A1">
              <w:rPr>
                <w:b/>
                <w:i/>
              </w:rPr>
              <w:t>(38a)</w:t>
            </w:r>
            <w:r w:rsidRPr="00FB72A1">
              <w:rPr>
                <w:b/>
                <w:i/>
              </w:rPr>
              <w:tab/>
              <w:t>Последствията от настоящия регламент за бюджета на Съюза бяха подложени на оценка</w:t>
            </w:r>
            <w:r w:rsidRPr="00FB72A1">
              <w:rPr>
                <w:b/>
                <w:i/>
                <w:vertAlign w:val="superscript"/>
              </w:rPr>
              <w:t>+</w:t>
            </w:r>
            <w:r w:rsidRPr="00FB72A1">
              <w:rPr>
                <w:b/>
                <w:i/>
              </w:rPr>
              <w:t xml:space="preserve"> в съответствие с член 310, параграф 4 от Договора за функционирането на Европейския съюз. За нейното изпълнение следва да бъдат разпределени достатъчно финансови и човешки ресурси, като същевременно се отчитат последствията от нейното финансиране за други програми или политики на Съюза и се гарантира съвместимостта ѝ с многогодишната финансова рамка, системата на собствените ресурси и съответното междуинституционално споразу</w:t>
            </w:r>
            <w:r w:rsidRPr="00FB72A1">
              <w:rPr>
                <w:b/>
                <w:i/>
              </w:rPr>
              <w:t>мение, както и с бюджетните принципи, определени в Регламент (ЕС, Евратом) 2024/2509 на Европейския парламент и на Съвета</w:t>
            </w:r>
            <w:r w:rsidRPr="00FB72A1">
              <w:rPr>
                <w:b/>
                <w:i/>
                <w:vertAlign w:val="superscript"/>
              </w:rPr>
              <w:t>[1]</w:t>
            </w:r>
            <w:r w:rsidRPr="00FB72A1">
              <w:rPr>
                <w:b/>
                <w:i/>
              </w:rPr>
              <w:t>.</w:t>
            </w:r>
          </w:p>
        </w:tc>
      </w:tr>
      <w:tr w:rsidR="00227D06" w:rsidRPr="00FB72A1" w14:paraId="353EC997" w14:textId="77777777" w:rsidTr="005A2392">
        <w:trPr>
          <w:jc w:val="center"/>
        </w:trPr>
        <w:tc>
          <w:tcPr>
            <w:tcW w:w="4876" w:type="dxa"/>
          </w:tcPr>
          <w:p w14:paraId="0DA8C40F" w14:textId="77777777" w:rsidR="006D16AE" w:rsidRPr="00FB72A1" w:rsidRDefault="006D16AE" w:rsidP="005A2392">
            <w:pPr>
              <w:pStyle w:val="Normal6a"/>
            </w:pPr>
          </w:p>
        </w:tc>
        <w:tc>
          <w:tcPr>
            <w:tcW w:w="4876" w:type="dxa"/>
            <w:hideMark/>
          </w:tcPr>
          <w:p w14:paraId="1E76238E" w14:textId="77777777" w:rsidR="006D16AE" w:rsidRPr="00FB72A1" w:rsidRDefault="007B6940" w:rsidP="005A2392">
            <w:pPr>
              <w:pStyle w:val="Normal6a"/>
              <w:rPr>
                <w:b/>
                <w:i/>
              </w:rPr>
            </w:pPr>
            <w:r w:rsidRPr="00FB72A1">
              <w:rPr>
                <w:b/>
                <w:i/>
              </w:rPr>
              <w:t>____________________</w:t>
            </w:r>
          </w:p>
        </w:tc>
      </w:tr>
      <w:tr w:rsidR="00227D06" w:rsidRPr="00FB72A1" w14:paraId="6A4D9594" w14:textId="77777777" w:rsidTr="005A2392">
        <w:trPr>
          <w:jc w:val="center"/>
        </w:trPr>
        <w:tc>
          <w:tcPr>
            <w:tcW w:w="4876" w:type="dxa"/>
          </w:tcPr>
          <w:p w14:paraId="44C878E0" w14:textId="77777777" w:rsidR="006D16AE" w:rsidRPr="00FB72A1" w:rsidRDefault="006D16AE" w:rsidP="005A2392">
            <w:pPr>
              <w:pStyle w:val="Normal6a"/>
            </w:pPr>
          </w:p>
        </w:tc>
        <w:tc>
          <w:tcPr>
            <w:tcW w:w="4876" w:type="dxa"/>
            <w:hideMark/>
          </w:tcPr>
          <w:p w14:paraId="59D20D1A" w14:textId="77777777" w:rsidR="006D16AE" w:rsidRPr="00FB72A1" w:rsidRDefault="007B6940" w:rsidP="005A2392">
            <w:pPr>
              <w:pStyle w:val="Normal6a"/>
              <w:rPr>
                <w:b/>
                <w:bCs/>
                <w:i/>
                <w:iCs/>
              </w:rPr>
            </w:pPr>
            <w:r w:rsidRPr="00FB72A1">
              <w:rPr>
                <w:b/>
                <w:i/>
                <w:vertAlign w:val="superscript"/>
              </w:rPr>
              <w:t xml:space="preserve">+ </w:t>
            </w:r>
            <w:r w:rsidRPr="00FB72A1">
              <w:rPr>
                <w:b/>
                <w:i/>
              </w:rPr>
              <w:t xml:space="preserve">Pro memoria: </w:t>
            </w:r>
            <w:r w:rsidRPr="00FB72A1">
              <w:rPr>
                <w:b/>
                <w:i/>
              </w:rPr>
              <w:t>Бюджетна оценка на комисията по бюджети на Европейския парламент от 23 юни 2026 г. относно предложението за решение на Съвета относно Регламент на Европейския парламент и на Съвета за създаване на „Хоризонт Европа“, Рамковата програма за научни изследвания и иновации „Хоризонт Европа“, за периода 2028 – 2034 година, за определяне на нейните правила за участие и разпространение на резултатите и за отмяна на Регламент (ЕС) 2021/695 (COM (2025)0543).</w:t>
            </w:r>
          </w:p>
        </w:tc>
      </w:tr>
      <w:tr w:rsidR="00227D06" w:rsidRPr="00FB72A1" w14:paraId="09631C50" w14:textId="77777777" w:rsidTr="005A2392">
        <w:trPr>
          <w:jc w:val="center"/>
        </w:trPr>
        <w:tc>
          <w:tcPr>
            <w:tcW w:w="4876" w:type="dxa"/>
          </w:tcPr>
          <w:p w14:paraId="3D7047A0" w14:textId="77777777" w:rsidR="005A2392" w:rsidRPr="00FB72A1" w:rsidRDefault="005A2392" w:rsidP="005A2392">
            <w:pPr>
              <w:pStyle w:val="Normal6a"/>
            </w:pPr>
          </w:p>
        </w:tc>
        <w:tc>
          <w:tcPr>
            <w:tcW w:w="4876" w:type="dxa"/>
          </w:tcPr>
          <w:p w14:paraId="17789E71" w14:textId="5A55A0C0" w:rsidR="005A2392" w:rsidRPr="00FB72A1" w:rsidRDefault="007B6940" w:rsidP="005A2392">
            <w:pPr>
              <w:pStyle w:val="Normal6a"/>
              <w:rPr>
                <w:i/>
                <w:vertAlign w:val="superscript"/>
              </w:rPr>
            </w:pPr>
            <w:r w:rsidRPr="00FB72A1">
              <w:rPr>
                <w:b/>
                <w:i/>
                <w:vertAlign w:val="superscript"/>
              </w:rPr>
              <w:t>[1]</w:t>
            </w:r>
            <w:r w:rsidRPr="00FB72A1">
              <w:rPr>
                <w:b/>
                <w:i/>
              </w:rPr>
              <w:t xml:space="preserve"> Регламент (ЕС, Евратом) 2024/2509 на Европейския парламент и на Съвета от 23 септември 2024 г. за финансовите правила, приложими за общия бюджет на Съюза (OВ L, 2024/2509, 26.9.2024 г., ELI: </w:t>
            </w:r>
            <w:hyperlink r:id="rId15" w:history="1">
              <w:r w:rsidR="005A2392" w:rsidRPr="00FB72A1">
                <w:rPr>
                  <w:rStyle w:val="Hyperlink"/>
                  <w:b/>
                  <w:i/>
                  <w:color w:val="auto"/>
                </w:rPr>
                <w:t>http://data.europa.eu/eli/reg/2024/2509/oj</w:t>
              </w:r>
            </w:hyperlink>
            <w:r w:rsidRPr="00FB72A1">
              <w:rPr>
                <w:b/>
                <w:i/>
              </w:rPr>
              <w:t>).</w:t>
            </w:r>
          </w:p>
        </w:tc>
      </w:tr>
    </w:tbl>
    <w:p w14:paraId="3A41D293" w14:textId="77777777" w:rsidR="00F26123" w:rsidRPr="00FB72A1" w:rsidRDefault="007B6940" w:rsidP="00E63984">
      <w:pPr>
        <w:pStyle w:val="AmNumberTabs"/>
      </w:pPr>
      <w:r w:rsidRPr="00FB72A1">
        <w:rPr>
          <w:rStyle w:val="HideTWBExt"/>
        </w:rPr>
        <w:t>&lt;/Amend&gt;</w:t>
      </w:r>
    </w:p>
    <w:p w14:paraId="0A381D02" w14:textId="77777777" w:rsidR="00C04E9D" w:rsidRPr="00FB72A1" w:rsidRDefault="007B6940" w:rsidP="00E63984">
      <w:pPr>
        <w:pStyle w:val="AmNumberTabs"/>
      </w:pPr>
      <w:bookmarkStart w:id="2" w:name="_Hlk233194052"/>
      <w:bookmarkStart w:id="3" w:name="_Hlk233194012"/>
      <w:r w:rsidRPr="00FB72A1">
        <w:rPr>
          <w:rStyle w:val="HideTWBExt"/>
        </w:rPr>
        <w:t>&lt;Amend&gt;</w:t>
      </w:r>
      <w:r w:rsidRPr="00FB72A1">
        <w:t>Изменение</w:t>
      </w:r>
      <w:r w:rsidRPr="00FB72A1">
        <w:tab/>
      </w:r>
      <w:r w:rsidRPr="00FB72A1">
        <w:tab/>
      </w:r>
      <w:r w:rsidRPr="00FB72A1">
        <w:rPr>
          <w:rStyle w:val="HideTWBExt"/>
        </w:rPr>
        <w:t>&lt;NumAm&gt;</w:t>
      </w:r>
      <w:r w:rsidRPr="00FB72A1">
        <w:t>6</w:t>
      </w:r>
      <w:r w:rsidRPr="00FB72A1">
        <w:rPr>
          <w:rStyle w:val="HideTWBExt"/>
        </w:rPr>
        <w:t>&lt;/NumAm&gt;</w:t>
      </w:r>
    </w:p>
    <w:p w14:paraId="25BD93C5" w14:textId="77777777" w:rsidR="00C04E9D" w:rsidRPr="00FB72A1" w:rsidRDefault="007B6940" w:rsidP="00760D63">
      <w:pPr>
        <w:pStyle w:val="Normal12a"/>
        <w:spacing w:after="0"/>
        <w:rPr>
          <w:b/>
        </w:rPr>
      </w:pPr>
      <w:r w:rsidRPr="00FB72A1">
        <w:rPr>
          <w:rStyle w:val="HideTWBExt"/>
        </w:rPr>
        <w:t>&lt;DocAmend&gt;</w:t>
      </w:r>
      <w:r w:rsidRPr="00FB72A1">
        <w:rPr>
          <w:b/>
        </w:rPr>
        <w:t>Предложение за регламент</w:t>
      </w:r>
      <w:r w:rsidRPr="00FB72A1">
        <w:rPr>
          <w:rStyle w:val="HideTWBExt"/>
        </w:rPr>
        <w:t>&lt;/DocAmend&gt;</w:t>
      </w:r>
    </w:p>
    <w:p w14:paraId="74DAAF53" w14:textId="77777777" w:rsidR="00C04E9D" w:rsidRPr="00FB72A1" w:rsidRDefault="007B6940" w:rsidP="00760D63">
      <w:pPr>
        <w:pStyle w:val="Normal12a"/>
        <w:spacing w:after="0"/>
        <w:rPr>
          <w:b/>
        </w:rPr>
      </w:pPr>
      <w:r w:rsidRPr="00FB72A1">
        <w:rPr>
          <w:rStyle w:val="HideTWBExt"/>
        </w:rPr>
        <w:t>&lt;Article&gt;</w:t>
      </w:r>
      <w:r w:rsidRPr="00FB72A1">
        <w:rPr>
          <w:b/>
        </w:rPr>
        <w:t>Член 6 – параграф 1</w:t>
      </w:r>
      <w:r w:rsidRPr="00FB72A1">
        <w:rPr>
          <w:rStyle w:val="HideTWBExt"/>
        </w:rPr>
        <w:t>&lt;/Article&gt;</w:t>
      </w:r>
    </w:p>
    <w:bookmarkEnd w:id="2"/>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227D06" w:rsidRPr="00FB72A1" w14:paraId="7CF5B65A" w14:textId="77777777" w:rsidTr="00D22A96">
        <w:trPr>
          <w:jc w:val="center"/>
        </w:trPr>
        <w:tc>
          <w:tcPr>
            <w:tcW w:w="9750" w:type="dxa"/>
            <w:gridSpan w:val="2"/>
          </w:tcPr>
          <w:p w14:paraId="0484FD4A" w14:textId="77777777" w:rsidR="00C04E9D" w:rsidRPr="00FB72A1" w:rsidRDefault="00C04E9D" w:rsidP="005A2392">
            <w:pPr>
              <w:pStyle w:val="Normal6a"/>
            </w:pPr>
          </w:p>
        </w:tc>
      </w:tr>
      <w:tr w:rsidR="00227D06" w:rsidRPr="00FB72A1" w14:paraId="63DFE452" w14:textId="77777777" w:rsidTr="00D22A96">
        <w:trPr>
          <w:jc w:val="center"/>
        </w:trPr>
        <w:tc>
          <w:tcPr>
            <w:tcW w:w="4875" w:type="dxa"/>
            <w:hideMark/>
          </w:tcPr>
          <w:p w14:paraId="79619CEB" w14:textId="77777777" w:rsidR="00C04E9D" w:rsidRPr="00FB72A1" w:rsidRDefault="007B6940" w:rsidP="00E00D3E">
            <w:pPr>
              <w:pStyle w:val="AmColumnHeading"/>
            </w:pPr>
            <w:r w:rsidRPr="00FB72A1">
              <w:t>Текст, предложен от Комисията</w:t>
            </w:r>
          </w:p>
        </w:tc>
        <w:tc>
          <w:tcPr>
            <w:tcW w:w="4875" w:type="dxa"/>
            <w:hideMark/>
          </w:tcPr>
          <w:p w14:paraId="30CDD7E3" w14:textId="77777777" w:rsidR="00C04E9D" w:rsidRPr="00FB72A1" w:rsidRDefault="007B6940" w:rsidP="00E00D3E">
            <w:pPr>
              <w:pStyle w:val="AmColumnHeading"/>
            </w:pPr>
            <w:r w:rsidRPr="00FB72A1">
              <w:t>Изменение</w:t>
            </w:r>
          </w:p>
        </w:tc>
      </w:tr>
      <w:tr w:rsidR="00227D06" w:rsidRPr="00FB72A1" w14:paraId="4C245159" w14:textId="77777777" w:rsidTr="00D22A96">
        <w:trPr>
          <w:jc w:val="center"/>
        </w:trPr>
        <w:tc>
          <w:tcPr>
            <w:tcW w:w="4875" w:type="dxa"/>
          </w:tcPr>
          <w:p w14:paraId="1F471B39" w14:textId="77777777" w:rsidR="00D22A96" w:rsidRPr="00FB72A1" w:rsidRDefault="007B6940" w:rsidP="005A2392">
            <w:pPr>
              <w:pStyle w:val="Normal6a"/>
            </w:pPr>
            <w:r w:rsidRPr="00FB72A1">
              <w:t>1.</w:t>
            </w:r>
            <w:r w:rsidRPr="00FB72A1">
              <w:tab/>
            </w:r>
            <w:r w:rsidRPr="00FB72A1">
              <w:rPr>
                <w:b/>
                <w:i/>
              </w:rPr>
              <w:t>Индикативният финансов пакет</w:t>
            </w:r>
            <w:r w:rsidRPr="00FB72A1">
              <w:t xml:space="preserve"> за </w:t>
            </w:r>
            <w:r w:rsidRPr="00FB72A1">
              <w:rPr>
                <w:b/>
                <w:i/>
              </w:rPr>
              <w:t>Програмата</w:t>
            </w:r>
            <w:r w:rsidRPr="00FB72A1">
              <w:t xml:space="preserve"> за периода </w:t>
            </w:r>
            <w:r w:rsidRPr="00FB72A1">
              <w:rPr>
                <w:b/>
                <w:i/>
              </w:rPr>
              <w:t>от 1 януари 2028</w:t>
            </w:r>
            <w:r w:rsidRPr="00FB72A1">
              <w:t xml:space="preserve"> г. </w:t>
            </w:r>
            <w:r w:rsidRPr="00FB72A1">
              <w:rPr>
                <w:b/>
                <w:i/>
              </w:rPr>
              <w:t>до 31 декември 2034 г. е в размер на 175 002</w:t>
            </w:r>
            <w:r w:rsidRPr="00FB72A1">
              <w:t xml:space="preserve"> 000 000 EUR по </w:t>
            </w:r>
            <w:r w:rsidRPr="00FB72A1">
              <w:rPr>
                <w:b/>
                <w:i/>
              </w:rPr>
              <w:t>текущи цени</w:t>
            </w:r>
            <w:r w:rsidRPr="00FB72A1">
              <w:t>.</w:t>
            </w:r>
          </w:p>
        </w:tc>
        <w:tc>
          <w:tcPr>
            <w:tcW w:w="4875" w:type="dxa"/>
            <w:hideMark/>
          </w:tcPr>
          <w:p w14:paraId="05EC0FBC" w14:textId="77777777" w:rsidR="00D22A96" w:rsidRPr="00FB72A1" w:rsidRDefault="007B6940" w:rsidP="005A2392">
            <w:pPr>
              <w:pStyle w:val="Normal6a"/>
            </w:pPr>
            <w:r w:rsidRPr="00FB72A1">
              <w:t>1.</w:t>
            </w:r>
            <w:r w:rsidRPr="00FB72A1">
              <w:tab/>
            </w:r>
            <w:r w:rsidRPr="00FB72A1">
              <w:rPr>
                <w:b/>
                <w:i/>
              </w:rPr>
              <w:t>Пакетът за програмата</w:t>
            </w:r>
            <w:r w:rsidRPr="00FB72A1">
              <w:t xml:space="preserve"> за </w:t>
            </w:r>
            <w:r w:rsidRPr="00FB72A1">
              <w:rPr>
                <w:b/>
                <w:i/>
              </w:rPr>
              <w:t>изпълнението на регламента</w:t>
            </w:r>
            <w:r w:rsidRPr="00FB72A1">
              <w:t xml:space="preserve"> за периода </w:t>
            </w:r>
            <w:r w:rsidRPr="00FB72A1">
              <w:rPr>
                <w:b/>
                <w:i/>
              </w:rPr>
              <w:t>2028 – 2034</w:t>
            </w:r>
            <w:r w:rsidRPr="00FB72A1">
              <w:t xml:space="preserve"> г. </w:t>
            </w:r>
            <w:r w:rsidRPr="00FB72A1">
              <w:rPr>
                <w:b/>
                <w:i/>
              </w:rPr>
              <w:t>е 200 003 562 000 EUR по текущи цени (177 010</w:t>
            </w:r>
            <w:r w:rsidRPr="00FB72A1">
              <w:t xml:space="preserve"> 000 000 EUR по </w:t>
            </w:r>
            <w:r w:rsidRPr="00FB72A1">
              <w:rPr>
                <w:b/>
                <w:i/>
              </w:rPr>
              <w:t>цени от 2025 г.)</w:t>
            </w:r>
            <w:r w:rsidRPr="00FB72A1">
              <w:t>.</w:t>
            </w:r>
          </w:p>
        </w:tc>
      </w:tr>
    </w:tbl>
    <w:p w14:paraId="2851AA0F" w14:textId="77777777" w:rsidR="00D22A96" w:rsidRPr="00FB72A1" w:rsidRDefault="007B6940" w:rsidP="00E63984">
      <w:pPr>
        <w:pStyle w:val="AmNumberTabs"/>
      </w:pPr>
      <w:r w:rsidRPr="00FB72A1">
        <w:rPr>
          <w:rStyle w:val="HideTWBExt"/>
        </w:rPr>
        <w:t>&lt;/Amend&gt;</w:t>
      </w:r>
    </w:p>
    <w:bookmarkEnd w:id="3"/>
    <w:p w14:paraId="5FF5DC69" w14:textId="77777777" w:rsidR="00760D63" w:rsidRPr="00FB72A1" w:rsidRDefault="007B6940" w:rsidP="00E63984">
      <w:pPr>
        <w:pStyle w:val="AmNumberTabs"/>
      </w:pPr>
      <w:r w:rsidRPr="00FB72A1">
        <w:rPr>
          <w:rStyle w:val="HideTWBExt"/>
        </w:rPr>
        <w:t>&lt;Amend&gt;</w:t>
      </w:r>
      <w:r w:rsidRPr="00FB72A1">
        <w:t>Изменение</w:t>
      </w:r>
      <w:r w:rsidRPr="00FB72A1">
        <w:tab/>
      </w:r>
      <w:r w:rsidRPr="00FB72A1">
        <w:tab/>
      </w:r>
      <w:r w:rsidRPr="00FB72A1">
        <w:rPr>
          <w:rStyle w:val="HideTWBExt"/>
        </w:rPr>
        <w:t>&lt;NumAm&gt;</w:t>
      </w:r>
      <w:r w:rsidRPr="00FB72A1">
        <w:t>7</w:t>
      </w:r>
      <w:r w:rsidRPr="00FB72A1">
        <w:rPr>
          <w:rStyle w:val="HideTWBExt"/>
        </w:rPr>
        <w:t>&lt;/NumAm&gt;</w:t>
      </w:r>
    </w:p>
    <w:p w14:paraId="7615959D" w14:textId="77777777" w:rsidR="00760D63" w:rsidRPr="00FB72A1" w:rsidRDefault="007B6940" w:rsidP="00760D63">
      <w:pPr>
        <w:pStyle w:val="Normal12a"/>
        <w:spacing w:after="0"/>
        <w:rPr>
          <w:b/>
        </w:rPr>
      </w:pPr>
      <w:r w:rsidRPr="00FB72A1">
        <w:rPr>
          <w:rStyle w:val="HideTWBExt"/>
        </w:rPr>
        <w:t>&lt;DocAmend&gt;</w:t>
      </w:r>
      <w:r w:rsidRPr="00FB72A1">
        <w:rPr>
          <w:b/>
        </w:rPr>
        <w:t>Предложение за регламент</w:t>
      </w:r>
      <w:r w:rsidRPr="00FB72A1">
        <w:rPr>
          <w:rStyle w:val="HideTWBExt"/>
        </w:rPr>
        <w:t>&lt;/DocAmend&gt;</w:t>
      </w:r>
    </w:p>
    <w:p w14:paraId="35199056" w14:textId="77777777" w:rsidR="00760D63" w:rsidRPr="00FB72A1" w:rsidRDefault="007B6940" w:rsidP="00760D63">
      <w:pPr>
        <w:pStyle w:val="Normal12a"/>
        <w:spacing w:after="0"/>
        <w:rPr>
          <w:b/>
        </w:rPr>
      </w:pPr>
      <w:r w:rsidRPr="00FB72A1">
        <w:rPr>
          <w:rStyle w:val="HideTWBExt"/>
        </w:rPr>
        <w:t>&lt;Article&gt;</w:t>
      </w:r>
      <w:r w:rsidRPr="00FB72A1">
        <w:rPr>
          <w:b/>
        </w:rPr>
        <w:t>Член 7 – параграф 2 а (нов)</w:t>
      </w:r>
      <w:r w:rsidRPr="00FB72A1">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227D06" w:rsidRPr="00FB72A1" w14:paraId="44F3BAA6" w14:textId="77777777">
        <w:trPr>
          <w:jc w:val="center"/>
        </w:trPr>
        <w:tc>
          <w:tcPr>
            <w:tcW w:w="9750" w:type="dxa"/>
            <w:gridSpan w:val="2"/>
          </w:tcPr>
          <w:p w14:paraId="30C30717" w14:textId="77777777" w:rsidR="00760D63" w:rsidRPr="00FB72A1" w:rsidRDefault="00760D63" w:rsidP="005A2392">
            <w:pPr>
              <w:pStyle w:val="Normal6a"/>
            </w:pPr>
          </w:p>
        </w:tc>
      </w:tr>
      <w:tr w:rsidR="00227D06" w:rsidRPr="00FB72A1" w14:paraId="7CB22252" w14:textId="77777777">
        <w:trPr>
          <w:jc w:val="center"/>
        </w:trPr>
        <w:tc>
          <w:tcPr>
            <w:tcW w:w="4875" w:type="dxa"/>
            <w:hideMark/>
          </w:tcPr>
          <w:p w14:paraId="554C3C1C" w14:textId="77777777" w:rsidR="00760D63" w:rsidRPr="00FB72A1" w:rsidRDefault="007B6940" w:rsidP="00E00D3E">
            <w:pPr>
              <w:pStyle w:val="AmColumnHeading"/>
            </w:pPr>
            <w:r w:rsidRPr="00FB72A1">
              <w:t>Текст, предложен от Комисията</w:t>
            </w:r>
          </w:p>
        </w:tc>
        <w:tc>
          <w:tcPr>
            <w:tcW w:w="4875" w:type="dxa"/>
            <w:hideMark/>
          </w:tcPr>
          <w:p w14:paraId="68AAD4C9" w14:textId="77777777" w:rsidR="00760D63" w:rsidRPr="00FB72A1" w:rsidRDefault="007B6940" w:rsidP="00E00D3E">
            <w:pPr>
              <w:pStyle w:val="AmColumnHeading"/>
            </w:pPr>
            <w:r w:rsidRPr="00FB72A1">
              <w:t>Изменение</w:t>
            </w:r>
          </w:p>
        </w:tc>
      </w:tr>
      <w:tr w:rsidR="00227D06" w:rsidRPr="00FB72A1" w14:paraId="7D997105" w14:textId="77777777">
        <w:trPr>
          <w:jc w:val="center"/>
        </w:trPr>
        <w:tc>
          <w:tcPr>
            <w:tcW w:w="4875" w:type="dxa"/>
          </w:tcPr>
          <w:p w14:paraId="58DB94EE" w14:textId="77777777" w:rsidR="00760D63" w:rsidRPr="00FB72A1" w:rsidRDefault="00760D63" w:rsidP="005A2392">
            <w:pPr>
              <w:pStyle w:val="Normal6a"/>
            </w:pPr>
          </w:p>
        </w:tc>
        <w:tc>
          <w:tcPr>
            <w:tcW w:w="4875" w:type="dxa"/>
            <w:hideMark/>
          </w:tcPr>
          <w:p w14:paraId="7AED5316" w14:textId="77777777" w:rsidR="00760D63" w:rsidRPr="00FB72A1" w:rsidRDefault="007B6940" w:rsidP="005A2392">
            <w:pPr>
              <w:pStyle w:val="Normal6a"/>
            </w:pPr>
            <w:r w:rsidRPr="00FB72A1">
              <w:rPr>
                <w:b/>
                <w:i/>
              </w:rPr>
              <w:t>2а.</w:t>
            </w:r>
            <w:r w:rsidRPr="00FB72A1">
              <w:rPr>
                <w:b/>
                <w:i/>
              </w:rPr>
              <w:tab/>
              <w:t xml:space="preserve">[От </w:t>
            </w:r>
            <w:r w:rsidRPr="00FB72A1">
              <w:rPr>
                <w:b/>
                <w:i/>
              </w:rPr>
              <w:t xml:space="preserve">1 януари 2028 г./начална дата на програмата], чрез дерогация от първа, втора и четвърта алинея на член 212, параграф 3 от Финансовия регламент приходите, възстановяванията и събиранията от финансови инструменти, финансирани по силата на настоящия регламент и предхождащите го регламенти, обезпечени чрез Европейския фонд за конкурентоспособност, се използват за предоставяне на подкрепа от Съюза по линия на програма „Хоризонт Европа“. Чрез дерогация от член 21, параграф 3, буква е) и в съответствие с член 21, </w:t>
            </w:r>
            <w:r w:rsidRPr="00FB72A1">
              <w:rPr>
                <w:b/>
                <w:i/>
              </w:rPr>
              <w:t>параграф 5, от Финансовия регламент тези ресурси представляват външни целеви приходи за програмата „Хоризонт Европа“. Приходите, възстановяванията и събиранията от финансовите инструменти, изпълнявани от Фонда на ЕСИ, остават в баланса на Фонда на ЕСИ.</w:t>
            </w:r>
          </w:p>
        </w:tc>
      </w:tr>
    </w:tbl>
    <w:p w14:paraId="0291BABE" w14:textId="77777777" w:rsidR="00BA7BC0" w:rsidRPr="00FB72A1" w:rsidRDefault="007B6940" w:rsidP="00E63984">
      <w:pPr>
        <w:pStyle w:val="AmNumberTabs"/>
      </w:pPr>
      <w:r w:rsidRPr="00FB72A1">
        <w:rPr>
          <w:rStyle w:val="HideTWBExt"/>
        </w:rPr>
        <w:t>&lt;/Amend&gt;</w:t>
      </w:r>
    </w:p>
    <w:p w14:paraId="2BB5AA1F" w14:textId="77777777" w:rsidR="00BA7BC0" w:rsidRPr="00FB72A1" w:rsidRDefault="007B6940" w:rsidP="00E63984">
      <w:pPr>
        <w:pStyle w:val="AmNumberTabs"/>
      </w:pPr>
      <w:r w:rsidRPr="00FB72A1">
        <w:rPr>
          <w:rStyle w:val="HideTWBExt"/>
        </w:rPr>
        <w:t>&lt;Amend&gt;</w:t>
      </w:r>
      <w:r w:rsidRPr="00FB72A1">
        <w:t>Изменение</w:t>
      </w:r>
      <w:r w:rsidRPr="00FB72A1">
        <w:tab/>
      </w:r>
      <w:r w:rsidRPr="00FB72A1">
        <w:tab/>
      </w:r>
      <w:r w:rsidRPr="00FB72A1">
        <w:rPr>
          <w:rStyle w:val="HideTWBExt"/>
        </w:rPr>
        <w:t>&lt;NumAm&gt;</w:t>
      </w:r>
      <w:r w:rsidRPr="00FB72A1">
        <w:t>8</w:t>
      </w:r>
      <w:r w:rsidRPr="00FB72A1">
        <w:rPr>
          <w:rStyle w:val="HideTWBExt"/>
        </w:rPr>
        <w:t>&lt;/NumAm&gt;</w:t>
      </w:r>
    </w:p>
    <w:p w14:paraId="734C2959" w14:textId="77777777" w:rsidR="00BA7BC0" w:rsidRPr="00FB72A1" w:rsidRDefault="007B6940" w:rsidP="00BA7BC0">
      <w:pPr>
        <w:pStyle w:val="Normal12a"/>
        <w:spacing w:after="0"/>
        <w:rPr>
          <w:b/>
        </w:rPr>
      </w:pPr>
      <w:r w:rsidRPr="00FB72A1">
        <w:rPr>
          <w:rStyle w:val="HideTWBExt"/>
        </w:rPr>
        <w:t>&lt;DocAmend&gt;</w:t>
      </w:r>
      <w:r w:rsidRPr="00FB72A1">
        <w:rPr>
          <w:b/>
        </w:rPr>
        <w:t>Предложение за регламент</w:t>
      </w:r>
      <w:r w:rsidRPr="00FB72A1">
        <w:rPr>
          <w:rStyle w:val="HideTWBExt"/>
        </w:rPr>
        <w:t>&lt;/DocAmend&gt;</w:t>
      </w:r>
    </w:p>
    <w:p w14:paraId="4BDB341E" w14:textId="77777777" w:rsidR="00BA7BC0" w:rsidRPr="00FB72A1" w:rsidRDefault="007B6940" w:rsidP="00BA7BC0">
      <w:pPr>
        <w:pStyle w:val="Normal12a"/>
        <w:spacing w:after="0"/>
        <w:rPr>
          <w:b/>
        </w:rPr>
      </w:pPr>
      <w:r w:rsidRPr="00FB72A1">
        <w:rPr>
          <w:rStyle w:val="HideTWBExt"/>
        </w:rPr>
        <w:t>&lt;Article&gt;</w:t>
      </w:r>
      <w:r w:rsidRPr="00FB72A1">
        <w:rPr>
          <w:b/>
        </w:rPr>
        <w:t>Член 7 – параграф 2 б (нов)</w:t>
      </w:r>
      <w:r w:rsidRPr="00FB72A1">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227D06" w:rsidRPr="00FB72A1" w14:paraId="32E67D44" w14:textId="77777777">
        <w:trPr>
          <w:jc w:val="center"/>
        </w:trPr>
        <w:tc>
          <w:tcPr>
            <w:tcW w:w="9750" w:type="dxa"/>
            <w:gridSpan w:val="2"/>
          </w:tcPr>
          <w:p w14:paraId="336B353F" w14:textId="77777777" w:rsidR="00BA7BC0" w:rsidRPr="00FB72A1" w:rsidRDefault="00BA7BC0" w:rsidP="005A2392">
            <w:pPr>
              <w:pStyle w:val="Normal6a"/>
            </w:pPr>
          </w:p>
        </w:tc>
      </w:tr>
      <w:tr w:rsidR="00227D06" w:rsidRPr="00FB72A1" w14:paraId="579CCF19" w14:textId="77777777">
        <w:trPr>
          <w:jc w:val="center"/>
        </w:trPr>
        <w:tc>
          <w:tcPr>
            <w:tcW w:w="4875" w:type="dxa"/>
            <w:hideMark/>
          </w:tcPr>
          <w:p w14:paraId="4F606934" w14:textId="77777777" w:rsidR="00BA7BC0" w:rsidRPr="00FB72A1" w:rsidRDefault="007B6940" w:rsidP="00E00D3E">
            <w:pPr>
              <w:pStyle w:val="AmColumnHeading"/>
            </w:pPr>
            <w:r w:rsidRPr="00FB72A1">
              <w:t>Текст, предложен от Комисията</w:t>
            </w:r>
          </w:p>
        </w:tc>
        <w:tc>
          <w:tcPr>
            <w:tcW w:w="4875" w:type="dxa"/>
            <w:hideMark/>
          </w:tcPr>
          <w:p w14:paraId="40B0BF04" w14:textId="77777777" w:rsidR="00BA7BC0" w:rsidRPr="00FB72A1" w:rsidRDefault="007B6940" w:rsidP="00E00D3E">
            <w:pPr>
              <w:pStyle w:val="AmColumnHeading"/>
            </w:pPr>
            <w:r w:rsidRPr="00FB72A1">
              <w:t>Изменение</w:t>
            </w:r>
          </w:p>
        </w:tc>
      </w:tr>
      <w:tr w:rsidR="00227D06" w:rsidRPr="00FB72A1" w14:paraId="7ADAEF99" w14:textId="77777777">
        <w:trPr>
          <w:jc w:val="center"/>
        </w:trPr>
        <w:tc>
          <w:tcPr>
            <w:tcW w:w="4875" w:type="dxa"/>
          </w:tcPr>
          <w:p w14:paraId="35C1D956" w14:textId="77777777" w:rsidR="00BA7BC0" w:rsidRPr="00FB72A1" w:rsidRDefault="00BA7BC0" w:rsidP="005A2392">
            <w:pPr>
              <w:pStyle w:val="Normal6a"/>
            </w:pPr>
          </w:p>
        </w:tc>
        <w:tc>
          <w:tcPr>
            <w:tcW w:w="4875" w:type="dxa"/>
            <w:hideMark/>
          </w:tcPr>
          <w:p w14:paraId="68BB7741" w14:textId="77777777" w:rsidR="00BA7BC0" w:rsidRPr="00FB72A1" w:rsidRDefault="007B6940" w:rsidP="005A2392">
            <w:pPr>
              <w:pStyle w:val="Normal6a"/>
            </w:pPr>
            <w:r w:rsidRPr="00FB72A1">
              <w:rPr>
                <w:b/>
                <w:i/>
              </w:rPr>
              <w:t>2б.</w:t>
            </w:r>
            <w:r w:rsidRPr="00FB72A1">
              <w:rPr>
                <w:b/>
                <w:i/>
              </w:rPr>
              <w:tab/>
              <w:t xml:space="preserve">Бюджетните кредити за поети задължения, съответстващи на размера на </w:t>
            </w:r>
            <w:r w:rsidRPr="00FB72A1">
              <w:rPr>
                <w:b/>
                <w:i/>
              </w:rPr>
              <w:t>отменените бюджетни кредити в резултат на пълно или частично неизпълнение на научноизследователски проекти, се предоставят отново на настоящата програма, в контекста на бюджетната процедура, приоритетно за същата цел.</w:t>
            </w:r>
          </w:p>
        </w:tc>
      </w:tr>
    </w:tbl>
    <w:p w14:paraId="3C26AB81" w14:textId="77777777" w:rsidR="00BA7BC0" w:rsidRPr="00FB72A1" w:rsidRDefault="007B6940" w:rsidP="00BA7BC0">
      <w:pPr>
        <w:pStyle w:val="Normal12a"/>
      </w:pPr>
      <w:r w:rsidRPr="00FB72A1">
        <w:rPr>
          <w:rStyle w:val="HideTWBExt"/>
        </w:rPr>
        <w:t>&lt;/Amend&gt;</w:t>
      </w:r>
    </w:p>
    <w:p w14:paraId="328E557F" w14:textId="77777777" w:rsidR="009E64BF" w:rsidRPr="00FB72A1" w:rsidRDefault="007B6940" w:rsidP="009E64BF">
      <w:pPr>
        <w:pStyle w:val="AmNumberTabs"/>
      </w:pPr>
      <w:r w:rsidRPr="00FB72A1">
        <w:rPr>
          <w:rStyle w:val="HideTWBExt"/>
        </w:rPr>
        <w:t>&lt;Amend&gt;</w:t>
      </w:r>
      <w:r w:rsidRPr="00FB72A1">
        <w:t>Изменение</w:t>
      </w:r>
      <w:r w:rsidRPr="00FB72A1">
        <w:tab/>
      </w:r>
      <w:r w:rsidRPr="00FB72A1">
        <w:tab/>
      </w:r>
      <w:r w:rsidRPr="00FB72A1">
        <w:rPr>
          <w:rStyle w:val="HideTWBExt"/>
        </w:rPr>
        <w:t>&lt;NumAm&gt;</w:t>
      </w:r>
      <w:r w:rsidRPr="00FB72A1">
        <w:t>9</w:t>
      </w:r>
      <w:r w:rsidRPr="00FB72A1">
        <w:rPr>
          <w:rStyle w:val="HideTWBExt"/>
        </w:rPr>
        <w:t>&lt;/NumAm&gt;</w:t>
      </w:r>
    </w:p>
    <w:p w14:paraId="1972B69E" w14:textId="77777777" w:rsidR="009E64BF" w:rsidRPr="00FB72A1" w:rsidRDefault="007B6940" w:rsidP="009E64BF">
      <w:pPr>
        <w:pStyle w:val="Normal12a"/>
        <w:spacing w:after="0"/>
        <w:rPr>
          <w:b/>
        </w:rPr>
      </w:pPr>
      <w:r w:rsidRPr="00FB72A1">
        <w:rPr>
          <w:rStyle w:val="HideTWBExt"/>
        </w:rPr>
        <w:t>&lt;DocAmend&gt;</w:t>
      </w:r>
      <w:r w:rsidRPr="00FB72A1">
        <w:rPr>
          <w:b/>
        </w:rPr>
        <w:t>Предложение за регламент</w:t>
      </w:r>
      <w:r w:rsidRPr="00FB72A1">
        <w:rPr>
          <w:rStyle w:val="HideTWBExt"/>
        </w:rPr>
        <w:t>&lt;/DocAmend&gt;</w:t>
      </w:r>
    </w:p>
    <w:p w14:paraId="60D477D4" w14:textId="77777777" w:rsidR="009E64BF" w:rsidRPr="00FB72A1" w:rsidRDefault="007B6940" w:rsidP="009E64BF">
      <w:pPr>
        <w:pStyle w:val="Normal12a"/>
        <w:spacing w:after="0"/>
        <w:rPr>
          <w:b/>
        </w:rPr>
      </w:pPr>
      <w:r w:rsidRPr="00FB72A1">
        <w:rPr>
          <w:rStyle w:val="HideTWBExt"/>
        </w:rPr>
        <w:t>&lt;Article&gt;</w:t>
      </w:r>
      <w:r w:rsidRPr="00FB72A1">
        <w:rPr>
          <w:b/>
        </w:rPr>
        <w:t>Член 10 – параграф 3</w:t>
      </w:r>
      <w:r w:rsidRPr="00FB72A1">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227D06" w:rsidRPr="00FB72A1" w14:paraId="499CA907" w14:textId="77777777" w:rsidTr="003D43B7">
        <w:trPr>
          <w:jc w:val="center"/>
        </w:trPr>
        <w:tc>
          <w:tcPr>
            <w:tcW w:w="9750" w:type="dxa"/>
            <w:gridSpan w:val="2"/>
          </w:tcPr>
          <w:p w14:paraId="5205F534" w14:textId="77777777" w:rsidR="009E64BF" w:rsidRPr="00FB72A1" w:rsidRDefault="009E64BF" w:rsidP="003D43B7">
            <w:pPr>
              <w:pStyle w:val="Normal6a"/>
            </w:pPr>
          </w:p>
        </w:tc>
      </w:tr>
      <w:tr w:rsidR="00227D06" w:rsidRPr="00FB72A1" w14:paraId="15F5592D" w14:textId="77777777" w:rsidTr="003D43B7">
        <w:trPr>
          <w:jc w:val="center"/>
        </w:trPr>
        <w:tc>
          <w:tcPr>
            <w:tcW w:w="4875" w:type="dxa"/>
            <w:hideMark/>
          </w:tcPr>
          <w:p w14:paraId="1A0D42EB" w14:textId="77777777" w:rsidR="009E64BF" w:rsidRPr="00FB72A1" w:rsidRDefault="007B6940" w:rsidP="003D43B7">
            <w:pPr>
              <w:pStyle w:val="AmColumnHeading"/>
            </w:pPr>
            <w:r w:rsidRPr="00FB72A1">
              <w:t>Текст, предложен от Комисията</w:t>
            </w:r>
          </w:p>
        </w:tc>
        <w:tc>
          <w:tcPr>
            <w:tcW w:w="4875" w:type="dxa"/>
            <w:hideMark/>
          </w:tcPr>
          <w:p w14:paraId="09CCEEE4" w14:textId="77777777" w:rsidR="009E64BF" w:rsidRPr="00FB72A1" w:rsidRDefault="007B6940" w:rsidP="003D43B7">
            <w:pPr>
              <w:pStyle w:val="AmColumnHeading"/>
            </w:pPr>
            <w:r w:rsidRPr="00FB72A1">
              <w:t>Изменение</w:t>
            </w:r>
          </w:p>
        </w:tc>
      </w:tr>
      <w:tr w:rsidR="00227D06" w:rsidRPr="00FB72A1" w14:paraId="687F2E4D" w14:textId="77777777" w:rsidTr="003D43B7">
        <w:trPr>
          <w:jc w:val="center"/>
        </w:trPr>
        <w:tc>
          <w:tcPr>
            <w:tcW w:w="4875" w:type="dxa"/>
          </w:tcPr>
          <w:p w14:paraId="006ADD9B" w14:textId="77777777" w:rsidR="009E64BF" w:rsidRPr="00FB72A1" w:rsidRDefault="007B6940" w:rsidP="003D43B7">
            <w:pPr>
              <w:pStyle w:val="Normal6a"/>
            </w:pPr>
            <w:r w:rsidRPr="00FB72A1">
              <w:t>3.</w:t>
            </w:r>
            <w:r w:rsidRPr="00FB72A1">
              <w:tab/>
              <w:t xml:space="preserve">С изключение на финансовите инструменти по линия на (фонда на) ЕСИ, когато подкрепата от Съюза се </w:t>
            </w:r>
            <w:r w:rsidRPr="00FB72A1">
              <w:t xml:space="preserve">предоставя под формата на бюджетна гаранция или финансов инструмент, включително когато е съчетана с безвъзмездна подкрепа при операция за смесено финансиране, тя се предоставя изключително чрез инструмента InvestEU на Европейския фонд за конкурентоспособност и се изпълнява в съответствие с приложимите правила на инструмента InvestEU на Европейския фонд за конкурентоспособност чрез вноски или споразумения за гаранция, сключени за тази цел. Когато по Програмата се използва инструментът InvestEU на ЕФК, чрез </w:t>
            </w:r>
            <w:r w:rsidRPr="00FB72A1">
              <w:t>нея се осигурява провизирането за бюджетната гаранция и финансирането за финансовите инструменти, включително когато са съчетани с безвъзмездна подкрепа под формата на операция за смесено финансиране.</w:t>
            </w:r>
            <w:r w:rsidRPr="00FB72A1">
              <w:rPr>
                <w:i/>
              </w:rPr>
              <w:t> </w:t>
            </w:r>
          </w:p>
        </w:tc>
        <w:tc>
          <w:tcPr>
            <w:tcW w:w="4875" w:type="dxa"/>
          </w:tcPr>
          <w:p w14:paraId="1EC43703" w14:textId="77777777" w:rsidR="009E64BF" w:rsidRPr="00FB72A1" w:rsidRDefault="007B6940" w:rsidP="003D43B7">
            <w:pPr>
              <w:pStyle w:val="Normal6a"/>
            </w:pPr>
            <w:r w:rsidRPr="00FB72A1">
              <w:t>3.</w:t>
            </w:r>
            <w:r w:rsidRPr="00FB72A1">
              <w:tab/>
              <w:t xml:space="preserve">С изключение на финансовите инструменти по линия на (фонда на) ЕСИ </w:t>
            </w:r>
            <w:r w:rsidRPr="00FB72A1">
              <w:rPr>
                <w:b/>
                <w:i/>
              </w:rPr>
              <w:t>– включително Фонда за разрастване в Европа –</w:t>
            </w:r>
            <w:r w:rsidRPr="00FB72A1">
              <w:t xml:space="preserve"> когато подкрепата от Съюза се предоставя под формата на бюджетна гаранция или финансов инструмент, включително когато е съчетана с безвъзмездна подкрепа при операция за смесено финансиране, тя се предоставя изключително чрез инструмента InvestEU на Европейския фонд за конкурентоспособност и се изпълнява в съответствие с приложимите правила на инструмента InvestEU на Европейския фонд за конкурент</w:t>
            </w:r>
            <w:r w:rsidRPr="00FB72A1">
              <w:t>оспособност чрез вноски или споразумения за гаранция, сключени за тази цел. Когато по Програмата се използва инструментът InvestEU на ЕФК, чрез нея се осигурява провизирането за бюджетната гаранция и финансирането за финансовите инструменти, включително когато са съчетани с безвъзмездна подкрепа под формата на операция за смесено финансиране</w:t>
            </w:r>
            <w:r w:rsidRPr="00FB72A1">
              <w:rPr>
                <w:b/>
                <w:i/>
              </w:rPr>
              <w:t>, в рамките на максималната сума на бюджетната гаранция, установена в Регламента за ЕФК</w:t>
            </w:r>
            <w:r w:rsidRPr="00FB72A1">
              <w:t>.</w:t>
            </w:r>
            <w:r w:rsidRPr="00FB72A1">
              <w:rPr>
                <w:i/>
              </w:rPr>
              <w:t> </w:t>
            </w:r>
          </w:p>
        </w:tc>
      </w:tr>
    </w:tbl>
    <w:p w14:paraId="72203EDC" w14:textId="77777777" w:rsidR="009E64BF" w:rsidRPr="00FB72A1" w:rsidRDefault="007B6940" w:rsidP="007E03E2">
      <w:pPr>
        <w:pStyle w:val="AmNumberTabs"/>
        <w:rPr>
          <w:rStyle w:val="HideTWBExt"/>
          <w:rFonts w:ascii="Times New Roman" w:hAnsi="Times New Roman" w:cs="Times New Roman"/>
          <w:noProof w:val="0"/>
          <w:vanish w:val="0"/>
          <w:color w:val="auto"/>
          <w:sz w:val="24"/>
        </w:rPr>
      </w:pPr>
      <w:r w:rsidRPr="00FB72A1">
        <w:rPr>
          <w:rStyle w:val="HideTWBExt"/>
        </w:rPr>
        <w:t>&lt;/Amend&gt;</w:t>
      </w:r>
    </w:p>
    <w:bookmarkEnd w:id="1"/>
    <w:p w14:paraId="5A18823E" w14:textId="77777777" w:rsidR="00E81E17" w:rsidRPr="00FB72A1" w:rsidRDefault="007B6940" w:rsidP="00C878DE">
      <w:r w:rsidRPr="00FB72A1">
        <w:rPr>
          <w:rStyle w:val="HideTWBExt"/>
        </w:rPr>
        <w:t>&lt;/RepeatBlock-Amend&gt;</w:t>
      </w:r>
    </w:p>
    <w:p w14:paraId="79497C55" w14:textId="77777777" w:rsidR="00017014" w:rsidRPr="00FB72A1" w:rsidRDefault="00017014" w:rsidP="00017014">
      <w:pPr>
        <w:pStyle w:val="Footprint12b"/>
        <w:sectPr w:rsidR="00017014" w:rsidRPr="00FB72A1" w:rsidSect="00017014">
          <w:pgSz w:w="11894" w:h="15840"/>
          <w:pgMar w:top="1700" w:right="1417" w:bottom="1417" w:left="1417" w:header="720" w:footer="720" w:gutter="0"/>
          <w:cols w:space="720"/>
          <w:noEndnote/>
          <w:docGrid w:linePitch="326"/>
        </w:sectPr>
      </w:pPr>
    </w:p>
    <w:p w14:paraId="1333B3BB" w14:textId="77777777" w:rsidR="00017014" w:rsidRPr="00FB72A1" w:rsidRDefault="007B6940" w:rsidP="00017014">
      <w:pPr>
        <w:pStyle w:val="PageHeadingNotTOC"/>
      </w:pPr>
      <w:bookmarkStart w:id="4" w:name="FootprintPageAD"/>
      <w:bookmarkStart w:id="5" w:name="ProcPageAD"/>
      <w:r w:rsidRPr="00FB72A1">
        <w:t>ПРИЛОЖЕНИЕ: ДЕКЛАРАЦИЯ ЗА ИЗТОЧНИЦИТЕ НА ИНФОРМАЦИЯ</w:t>
      </w:r>
    </w:p>
    <w:p w14:paraId="4182C14F" w14:textId="77777777" w:rsidR="00017014" w:rsidRPr="00FB72A1" w:rsidRDefault="007B6940" w:rsidP="00017014">
      <w:pPr>
        <w:pStyle w:val="Normal24a"/>
      </w:pPr>
      <w:r w:rsidRPr="00FB72A1">
        <w:rPr>
          <w:rStyle w:val="HideTWBExt"/>
        </w:rPr>
        <w:t>&lt;FootprintIntro&gt;</w:t>
      </w:r>
      <w:r w:rsidRPr="00FB72A1">
        <w:t>В съответствие с член 8 от приложение I към Правилника за дейността докладчикът по бюджетна оценка декларира, че в бюджетната оценка е включена информация по свързани с предмета на досието въпроси, която в хода на изготвяне на бюджетната оценка до приемането ѝ в комисия е била предоставена от следните представители на интереси, попадащи в обхвата на Междуинституционалното споразумение за задължителен регистър за прозрачност</w:t>
      </w:r>
      <w:r w:rsidRPr="00FB72A1">
        <w:rPr>
          <w:rStyle w:val="FootnoteReference"/>
        </w:rPr>
        <w:footnoteReference w:id="3"/>
      </w:r>
      <w:r w:rsidRPr="00FB72A1">
        <w:t>, или от следните представители на публични органи на трети държави, включително техните дипломатически мисии и посолства:</w:t>
      </w:r>
      <w:r w:rsidRPr="00FB72A1">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34"/>
      </w:tblGrid>
      <w:tr w:rsidR="00227D06" w:rsidRPr="00FB72A1" w14:paraId="142F1B02" w14:textId="77777777" w:rsidTr="006F2815">
        <w:tc>
          <w:tcPr>
            <w:tcW w:w="9050" w:type="dxa"/>
            <w:gridSpan w:val="2"/>
            <w:shd w:val="clear" w:color="auto" w:fill="auto"/>
          </w:tcPr>
          <w:p w14:paraId="503ECC44" w14:textId="77777777" w:rsidR="00017014" w:rsidRPr="00FB72A1" w:rsidRDefault="007B6940" w:rsidP="006F2815">
            <w:pPr>
              <w:pStyle w:val="NormalBoldCenter"/>
            </w:pPr>
            <w:r w:rsidRPr="00FB72A1">
              <w:t>1. Представители на интереси, попадащи в обхвата на Междуинституционалното споразумение за задължителен регистър за прозрачност</w:t>
            </w:r>
          </w:p>
        </w:tc>
      </w:tr>
      <w:tr w:rsidR="00227D06" w:rsidRPr="00FB72A1" w14:paraId="20A7BBDA" w14:textId="77777777" w:rsidTr="006F2815">
        <w:tc>
          <w:tcPr>
            <w:tcW w:w="9050" w:type="dxa"/>
            <w:gridSpan w:val="2"/>
            <w:shd w:val="clear" w:color="auto" w:fill="auto"/>
          </w:tcPr>
          <w:p w14:paraId="6E2BC815" w14:textId="77777777" w:rsidR="00017014" w:rsidRPr="00FB72A1" w:rsidRDefault="007B6940" w:rsidP="006F2815">
            <w:pPr>
              <w:pStyle w:val="NormalSingle"/>
            </w:pPr>
            <w:r w:rsidRPr="00FB72A1">
              <w:t>Асоциация на бившите участници в действие „Мария Склодовска-Кюри“</w:t>
            </w:r>
          </w:p>
        </w:tc>
      </w:tr>
      <w:tr w:rsidR="00227D06" w:rsidRPr="00FB72A1" w14:paraId="35760439" w14:textId="77777777" w:rsidTr="006F2815">
        <w:trPr>
          <w:gridAfter w:val="1"/>
          <w:wAfter w:w="34" w:type="dxa"/>
        </w:trPr>
        <w:tc>
          <w:tcPr>
            <w:tcW w:w="9050" w:type="dxa"/>
            <w:shd w:val="clear" w:color="auto" w:fill="auto"/>
          </w:tcPr>
          <w:p w14:paraId="5DDE552A" w14:textId="77777777" w:rsidR="00017014" w:rsidRPr="00FB72A1" w:rsidRDefault="007B6940" w:rsidP="006F2815">
            <w:pPr>
              <w:pStyle w:val="NormalBoldCenter"/>
            </w:pPr>
            <w:r w:rsidRPr="00FB72A1">
              <w:t xml:space="preserve">2. </w:t>
            </w:r>
            <w:r w:rsidRPr="00FB72A1">
              <w:t>Представители на публични органи на трети държави, включително техните дипломатически мисии и посолства</w:t>
            </w:r>
          </w:p>
        </w:tc>
      </w:tr>
      <w:tr w:rsidR="00227D06" w:rsidRPr="00FB72A1" w14:paraId="36C6743D" w14:textId="77777777" w:rsidTr="006F2815">
        <w:trPr>
          <w:gridAfter w:val="1"/>
          <w:wAfter w:w="34" w:type="dxa"/>
        </w:trPr>
        <w:tc>
          <w:tcPr>
            <w:tcW w:w="9050" w:type="dxa"/>
            <w:shd w:val="clear" w:color="auto" w:fill="auto"/>
          </w:tcPr>
          <w:p w14:paraId="0B8CE1FE" w14:textId="77777777" w:rsidR="00446D42" w:rsidRPr="00FB72A1" w:rsidRDefault="007B6940" w:rsidP="00446D42">
            <w:pPr>
              <w:pStyle w:val="NormalBoldCenter"/>
              <w:jc w:val="left"/>
            </w:pPr>
            <w:r w:rsidRPr="00FB72A1">
              <w:t>Няма</w:t>
            </w:r>
          </w:p>
        </w:tc>
      </w:tr>
    </w:tbl>
    <w:p w14:paraId="76660D04" w14:textId="77777777" w:rsidR="00017014" w:rsidRPr="00FB72A1" w:rsidRDefault="007B6940" w:rsidP="00017014">
      <w:pPr>
        <w:pStyle w:val="Footprint12b"/>
      </w:pPr>
      <w:r w:rsidRPr="00FB72A1">
        <w:t>Списъкът по-горе е изготвен в рамките на изключителната отговорност на докладчика.</w:t>
      </w:r>
    </w:p>
    <w:p w14:paraId="440E4FE2" w14:textId="6154B473" w:rsidR="00017014" w:rsidRPr="00FB72A1" w:rsidRDefault="007B6940" w:rsidP="00017014">
      <w:pPr>
        <w:pStyle w:val="Footprint12b"/>
      </w:pPr>
      <w:r w:rsidRPr="00FB72A1">
        <w:t xml:space="preserve">Когато физически лица са идентифицирани в списъка по име, по </w:t>
      </w:r>
      <w:r w:rsidRPr="00FB72A1">
        <w:t>функция или и по двете, докладчикът декларира, че на съответните физически лица е представено Съобщение за защита на данните № 484 на Европейския парламент (</w:t>
      </w:r>
      <w:hyperlink r:id="rId16" w:tooltip="https://www.europarl.europa.eu/data-protect/index.do" w:history="1">
        <w:r w:rsidR="00017014" w:rsidRPr="00FB72A1">
          <w:rPr>
            <w:rStyle w:val="Hyperlink"/>
          </w:rPr>
          <w:t>https://www.europarl.europa.eu/data-protect/index.do</w:t>
        </w:r>
      </w:hyperlink>
      <w:r w:rsidRPr="00FB72A1">
        <w:t>), в което се определят приложимите условия за обработването на техните лични данни и правата, свързани с това обработване.</w:t>
      </w:r>
    </w:p>
    <w:bookmarkEnd w:id="4"/>
    <w:p w14:paraId="741B6DA3" w14:textId="77777777" w:rsidR="00017014" w:rsidRPr="00FB72A1" w:rsidRDefault="00017014" w:rsidP="00017014"/>
    <w:p w14:paraId="5B49EC91" w14:textId="77777777" w:rsidR="00017014" w:rsidRPr="00FB72A1" w:rsidRDefault="00017014" w:rsidP="00017014">
      <w:pPr>
        <w:sectPr w:rsidR="00017014" w:rsidRPr="00FB72A1" w:rsidSect="00017014">
          <w:pgSz w:w="11894" w:h="15840"/>
          <w:pgMar w:top="1700" w:right="1417" w:bottom="1417" w:left="1417" w:header="720" w:footer="720" w:gutter="0"/>
          <w:cols w:space="720"/>
          <w:noEndnote/>
          <w:docGrid w:linePitch="326"/>
        </w:sectPr>
      </w:pPr>
    </w:p>
    <w:p w14:paraId="3E055550" w14:textId="77777777" w:rsidR="00017014" w:rsidRPr="00FB72A1" w:rsidRDefault="007B6940" w:rsidP="008D2A3C">
      <w:pPr>
        <w:pStyle w:val="PageHeadingNotTOC"/>
      </w:pPr>
      <w:r w:rsidRPr="00FB72A1">
        <w:t>ПРОЦЕДУРА НА КОМИСИЯТА, КОМПЕТЕНТНА ЗА БЮДЖЕТНАТА ОЦЕНКА</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27D06" w:rsidRPr="00FB72A1" w14:paraId="130EFB3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DA6A158" w14:textId="77777777" w:rsidR="00017014" w:rsidRPr="00FB72A1" w:rsidRDefault="007B6940">
            <w:pPr>
              <w:autoSpaceDE w:val="0"/>
              <w:autoSpaceDN w:val="0"/>
              <w:adjustRightInd w:val="0"/>
              <w:rPr>
                <w:b/>
                <w:bCs/>
                <w:color w:val="000000"/>
                <w:sz w:val="20"/>
              </w:rPr>
            </w:pPr>
            <w:r w:rsidRPr="00FB72A1">
              <w:rPr>
                <w:b/>
                <w:color w:val="000000"/>
                <w:sz w:val="20"/>
              </w:rPr>
              <w:t>Заглавие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88B185" w14:textId="77777777" w:rsidR="00017014" w:rsidRPr="00FB72A1" w:rsidRDefault="007B6940">
            <w:pPr>
              <w:autoSpaceDE w:val="0"/>
              <w:autoSpaceDN w:val="0"/>
              <w:adjustRightInd w:val="0"/>
              <w:rPr>
                <w:color w:val="000000"/>
                <w:sz w:val="20"/>
              </w:rPr>
            </w:pPr>
            <w:r w:rsidRPr="00FB72A1">
              <w:rPr>
                <w:color w:val="000000"/>
                <w:sz w:val="20"/>
              </w:rPr>
              <w:t>Предложение за регламент на Европейския парламент и на Съвета за създаване на Рамковата програма за научни изследвания и иновации „Хоризонт Европа“ за периода 2028–2034 година, за определяне на нейните правила за участие и разпространение на резултатите и за отмяна на Регламент (ЕС) 2021/695</w:t>
            </w:r>
          </w:p>
        </w:tc>
      </w:tr>
      <w:tr w:rsidR="00227D06" w:rsidRPr="00FB72A1" w14:paraId="58D37F3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0C8DDF3" w14:textId="77777777" w:rsidR="00017014" w:rsidRPr="00FB72A1" w:rsidRDefault="007B6940">
            <w:pPr>
              <w:autoSpaceDE w:val="0"/>
              <w:autoSpaceDN w:val="0"/>
              <w:adjustRightInd w:val="0"/>
              <w:rPr>
                <w:b/>
                <w:bCs/>
                <w:color w:val="000000"/>
                <w:sz w:val="20"/>
              </w:rPr>
            </w:pPr>
            <w:r w:rsidRPr="00FB72A1">
              <w:rPr>
                <w:b/>
                <w:color w:val="000000"/>
                <w:sz w:val="20"/>
              </w:rPr>
              <w:t>Позовавания</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4F7931C" w14:textId="77777777" w:rsidR="00017014" w:rsidRPr="00FB72A1" w:rsidRDefault="007B6940">
            <w:pPr>
              <w:autoSpaceDE w:val="0"/>
              <w:autoSpaceDN w:val="0"/>
              <w:adjustRightInd w:val="0"/>
              <w:rPr>
                <w:color w:val="000000"/>
                <w:sz w:val="20"/>
              </w:rPr>
            </w:pPr>
            <w:r w:rsidRPr="00FB72A1">
              <w:rPr>
                <w:color w:val="000000"/>
                <w:sz w:val="20"/>
              </w:rPr>
              <w:t>COM(2025)0543 – C10-0164/2025 – 2025/0543(COD) Водеща комисия</w:t>
            </w:r>
          </w:p>
        </w:tc>
      </w:tr>
      <w:tr w:rsidR="00227D06" w:rsidRPr="00FB72A1" w14:paraId="26670BF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C496D5" w14:textId="77777777" w:rsidR="00017014" w:rsidRPr="00FB72A1" w:rsidRDefault="007B6940">
            <w:pPr>
              <w:autoSpaceDE w:val="0"/>
              <w:autoSpaceDN w:val="0"/>
              <w:adjustRightInd w:val="0"/>
              <w:rPr>
                <w:b/>
                <w:bCs/>
                <w:color w:val="000000"/>
                <w:sz w:val="20"/>
              </w:rPr>
            </w:pPr>
            <w:r w:rsidRPr="00FB72A1">
              <w:rPr>
                <w:b/>
                <w:color w:val="000000"/>
                <w:sz w:val="20"/>
              </w:rPr>
              <w:t>Водеща(и) комисия(и)</w:t>
            </w:r>
          </w:p>
          <w:p w14:paraId="44DB3D26" w14:textId="77777777" w:rsidR="00017014" w:rsidRPr="00FB72A1" w:rsidRDefault="007B6940">
            <w:pPr>
              <w:autoSpaceDE w:val="0"/>
              <w:autoSpaceDN w:val="0"/>
              <w:adjustRightInd w:val="0"/>
              <w:rPr>
                <w:color w:val="000000"/>
                <w:sz w:val="20"/>
              </w:rPr>
            </w:pPr>
            <w:r w:rsidRPr="00FB72A1">
              <w:rPr>
                <w:color w:val="000000"/>
                <w:sz w:val="20"/>
              </w:rPr>
              <w:t>       Дата на обявяване в заседание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9C5B77E" w14:textId="77777777" w:rsidR="00017014" w:rsidRPr="00FB72A1" w:rsidRDefault="007B6940">
            <w:pPr>
              <w:autoSpaceDE w:val="0"/>
              <w:autoSpaceDN w:val="0"/>
              <w:adjustRightInd w:val="0"/>
              <w:rPr>
                <w:color w:val="000000"/>
                <w:sz w:val="20"/>
              </w:rPr>
            </w:pPr>
            <w:r w:rsidRPr="00FB72A1">
              <w:rPr>
                <w:color w:val="000000"/>
                <w:sz w:val="20"/>
              </w:rPr>
              <w:t xml:space="preserve">Комисия по </w:t>
            </w:r>
            <w:r w:rsidRPr="00FB72A1">
              <w:rPr>
                <w:color w:val="000000"/>
                <w:sz w:val="20"/>
              </w:rPr>
              <w:t>промишленост, изследвания и енергетика (ITRE)</w:t>
            </w:r>
          </w:p>
          <w:p w14:paraId="211D2AB3" w14:textId="77777777" w:rsidR="00017014" w:rsidRPr="00FB72A1" w:rsidRDefault="007B6940">
            <w:pPr>
              <w:autoSpaceDE w:val="0"/>
              <w:autoSpaceDN w:val="0"/>
              <w:adjustRightInd w:val="0"/>
              <w:rPr>
                <w:color w:val="000000"/>
                <w:sz w:val="20"/>
              </w:rPr>
            </w:pPr>
            <w:r w:rsidRPr="00FB72A1">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6FBEB44" w14:textId="77777777" w:rsidR="00017014" w:rsidRPr="00FB72A1"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7D9287" w14:textId="77777777" w:rsidR="00017014" w:rsidRPr="00FB72A1"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16B2494" w14:textId="77777777" w:rsidR="00017014" w:rsidRPr="00FB72A1" w:rsidRDefault="00017014">
            <w:pPr>
              <w:autoSpaceDE w:val="0"/>
              <w:autoSpaceDN w:val="0"/>
              <w:adjustRightInd w:val="0"/>
              <w:rPr>
                <w:rFonts w:ascii="sans-serif" w:hAnsi="sans-serif" w:cs="sans-serif"/>
                <w:color w:val="000000"/>
              </w:rPr>
            </w:pPr>
          </w:p>
        </w:tc>
      </w:tr>
      <w:tr w:rsidR="00227D06" w:rsidRPr="00FB72A1" w14:paraId="25F3B83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421602" w14:textId="77777777" w:rsidR="00017014" w:rsidRPr="00FB72A1" w:rsidRDefault="007B6940">
            <w:pPr>
              <w:autoSpaceDE w:val="0"/>
              <w:autoSpaceDN w:val="0"/>
              <w:adjustRightInd w:val="0"/>
              <w:rPr>
                <w:b/>
                <w:bCs/>
                <w:color w:val="000000"/>
                <w:sz w:val="20"/>
              </w:rPr>
            </w:pPr>
            <w:r w:rsidRPr="00FB72A1">
              <w:rPr>
                <w:b/>
                <w:color w:val="000000"/>
                <w:sz w:val="20"/>
              </w:rPr>
              <w:t>Бюджетна оценка на</w:t>
            </w:r>
          </w:p>
          <w:p w14:paraId="3453356D" w14:textId="77777777" w:rsidR="00017014" w:rsidRPr="00FB72A1" w:rsidRDefault="007B6940">
            <w:pPr>
              <w:autoSpaceDE w:val="0"/>
              <w:autoSpaceDN w:val="0"/>
              <w:adjustRightInd w:val="0"/>
              <w:rPr>
                <w:color w:val="000000"/>
                <w:sz w:val="20"/>
              </w:rPr>
            </w:pPr>
            <w:r w:rsidRPr="00FB72A1">
              <w:rPr>
                <w:color w:val="000000"/>
                <w:sz w:val="20"/>
              </w:rPr>
              <w:t>       Дата на обявяване в заседание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735633F" w14:textId="77777777" w:rsidR="00017014" w:rsidRPr="00FB72A1" w:rsidRDefault="007B6940">
            <w:pPr>
              <w:autoSpaceDE w:val="0"/>
              <w:autoSpaceDN w:val="0"/>
              <w:adjustRightInd w:val="0"/>
              <w:rPr>
                <w:color w:val="000000"/>
                <w:sz w:val="20"/>
              </w:rPr>
            </w:pPr>
            <w:r w:rsidRPr="00FB72A1">
              <w:rPr>
                <w:color w:val="000000"/>
                <w:sz w:val="20"/>
              </w:rPr>
              <w:t>Комисия по бюджети</w:t>
            </w:r>
          </w:p>
          <w:p w14:paraId="562D611F" w14:textId="77777777" w:rsidR="00017014" w:rsidRPr="00FB72A1" w:rsidRDefault="007B6940">
            <w:pPr>
              <w:autoSpaceDE w:val="0"/>
              <w:autoSpaceDN w:val="0"/>
              <w:adjustRightInd w:val="0"/>
              <w:rPr>
                <w:color w:val="000000"/>
                <w:sz w:val="20"/>
              </w:rPr>
            </w:pPr>
            <w:r w:rsidRPr="00FB72A1">
              <w:rPr>
                <w:color w:val="000000"/>
                <w:sz w:val="20"/>
              </w:rPr>
              <w:t>23.10.2025</w:t>
            </w:r>
          </w:p>
        </w:tc>
      </w:tr>
      <w:tr w:rsidR="00227D06" w:rsidRPr="00FB72A1" w14:paraId="3D0A99F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1EE89D8" w14:textId="77777777" w:rsidR="00017014" w:rsidRPr="00FB72A1" w:rsidRDefault="007B6940">
            <w:pPr>
              <w:autoSpaceDE w:val="0"/>
              <w:autoSpaceDN w:val="0"/>
              <w:adjustRightInd w:val="0"/>
              <w:rPr>
                <w:b/>
                <w:bCs/>
                <w:color w:val="000000"/>
                <w:sz w:val="20"/>
              </w:rPr>
            </w:pPr>
            <w:r w:rsidRPr="00FB72A1">
              <w:rPr>
                <w:b/>
                <w:color w:val="000000"/>
                <w:sz w:val="20"/>
              </w:rPr>
              <w:t>Докладчик за бюджетната оценка</w:t>
            </w:r>
          </w:p>
          <w:p w14:paraId="072AECFA" w14:textId="77777777" w:rsidR="00017014" w:rsidRPr="00FB72A1" w:rsidRDefault="007B6940">
            <w:pPr>
              <w:autoSpaceDE w:val="0"/>
              <w:autoSpaceDN w:val="0"/>
              <w:adjustRightInd w:val="0"/>
              <w:rPr>
                <w:color w:val="000000"/>
                <w:sz w:val="20"/>
              </w:rPr>
            </w:pPr>
            <w:r w:rsidRPr="00FB72A1">
              <w:rPr>
                <w:color w:val="000000"/>
                <w:sz w:val="20"/>
              </w:rPr>
              <w:t>       Дата на назначаване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4D1ED91" w14:textId="77777777" w:rsidR="00017014" w:rsidRPr="00FB72A1" w:rsidRDefault="007B6940">
            <w:pPr>
              <w:autoSpaceDE w:val="0"/>
              <w:autoSpaceDN w:val="0"/>
              <w:adjustRightInd w:val="0"/>
              <w:rPr>
                <w:color w:val="000000"/>
                <w:sz w:val="20"/>
              </w:rPr>
            </w:pPr>
            <w:r w:rsidRPr="00FB72A1">
              <w:rPr>
                <w:color w:val="000000"/>
                <w:sz w:val="20"/>
              </w:rPr>
              <w:t>Елдер Соуза Силва</w:t>
            </w:r>
          </w:p>
          <w:p w14:paraId="549396BC" w14:textId="77777777" w:rsidR="00017014" w:rsidRPr="00FB72A1" w:rsidRDefault="007B6940">
            <w:pPr>
              <w:autoSpaceDE w:val="0"/>
              <w:autoSpaceDN w:val="0"/>
              <w:adjustRightInd w:val="0"/>
              <w:rPr>
                <w:color w:val="000000"/>
                <w:sz w:val="20"/>
              </w:rPr>
            </w:pPr>
            <w:r w:rsidRPr="00FB72A1">
              <w:rPr>
                <w:color w:val="000000"/>
                <w:sz w:val="20"/>
              </w:rPr>
              <w:t>13.1.2026</w:t>
            </w:r>
          </w:p>
        </w:tc>
      </w:tr>
      <w:tr w:rsidR="00227D06" w:rsidRPr="00FB72A1" w14:paraId="1FFBCC9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C07EC0" w14:textId="77777777" w:rsidR="00017014" w:rsidRPr="00FB72A1" w:rsidRDefault="007B6940">
            <w:pPr>
              <w:autoSpaceDE w:val="0"/>
              <w:autoSpaceDN w:val="0"/>
              <w:adjustRightInd w:val="0"/>
              <w:rPr>
                <w:b/>
                <w:bCs/>
                <w:color w:val="000000"/>
                <w:sz w:val="20"/>
              </w:rPr>
            </w:pPr>
            <w:r w:rsidRPr="00FB72A1">
              <w:rPr>
                <w:b/>
                <w:color w:val="000000"/>
                <w:sz w:val="20"/>
              </w:rPr>
              <w:t>Разглеждане в комисия</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5CB818A" w14:textId="77777777" w:rsidR="00017014" w:rsidRPr="00FB72A1" w:rsidRDefault="007B6940">
            <w:pPr>
              <w:autoSpaceDE w:val="0"/>
              <w:autoSpaceDN w:val="0"/>
              <w:adjustRightInd w:val="0"/>
              <w:rPr>
                <w:color w:val="000000"/>
                <w:sz w:val="20"/>
              </w:rPr>
            </w:pPr>
            <w:r w:rsidRPr="00FB72A1">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B35534B" w14:textId="77777777" w:rsidR="00017014" w:rsidRPr="00FB72A1"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C914A7" w14:textId="77777777" w:rsidR="00017014" w:rsidRPr="00FB72A1"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2A0B2F" w14:textId="77777777" w:rsidR="00017014" w:rsidRPr="00FB72A1" w:rsidRDefault="00017014">
            <w:pPr>
              <w:autoSpaceDE w:val="0"/>
              <w:autoSpaceDN w:val="0"/>
              <w:adjustRightInd w:val="0"/>
              <w:rPr>
                <w:rFonts w:ascii="sans-serif" w:hAnsi="sans-serif" w:cs="sans-serif"/>
                <w:color w:val="000000"/>
              </w:rPr>
            </w:pPr>
          </w:p>
        </w:tc>
      </w:tr>
      <w:tr w:rsidR="00227D06" w:rsidRPr="00FB72A1" w14:paraId="4EF6FA0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9E561E7" w14:textId="77777777" w:rsidR="00017014" w:rsidRPr="00FB72A1" w:rsidRDefault="007B6940">
            <w:pPr>
              <w:autoSpaceDE w:val="0"/>
              <w:autoSpaceDN w:val="0"/>
              <w:adjustRightInd w:val="0"/>
              <w:rPr>
                <w:b/>
                <w:bCs/>
                <w:color w:val="000000"/>
                <w:sz w:val="20"/>
              </w:rPr>
            </w:pPr>
            <w:r w:rsidRPr="00FB72A1">
              <w:rPr>
                <w:b/>
                <w:color w:val="000000"/>
                <w:sz w:val="20"/>
              </w:rPr>
              <w:t>Дата на приемане</w:t>
            </w:r>
          </w:p>
        </w:tc>
        <w:tc>
          <w:tcPr>
            <w:tcW w:w="1530" w:type="dxa"/>
            <w:tcBorders>
              <w:top w:val="nil"/>
              <w:left w:val="nil"/>
              <w:bottom w:val="single" w:sz="8" w:space="0" w:color="000000"/>
              <w:right w:val="nil"/>
            </w:tcBorders>
            <w:tcMar>
              <w:top w:w="79" w:type="dxa"/>
              <w:left w:w="79" w:type="dxa"/>
              <w:bottom w:w="79" w:type="dxa"/>
              <w:right w:w="79" w:type="dxa"/>
            </w:tcMar>
          </w:tcPr>
          <w:p w14:paraId="0FE99D9B" w14:textId="77777777" w:rsidR="00017014" w:rsidRPr="00FB72A1" w:rsidRDefault="007B6940">
            <w:pPr>
              <w:autoSpaceDE w:val="0"/>
              <w:autoSpaceDN w:val="0"/>
              <w:adjustRightInd w:val="0"/>
              <w:rPr>
                <w:color w:val="000000"/>
                <w:sz w:val="20"/>
              </w:rPr>
            </w:pPr>
            <w:r w:rsidRPr="00FB72A1">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1050101D" w14:textId="77777777" w:rsidR="00017014" w:rsidRPr="00FB72A1"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A86E2FA" w14:textId="77777777" w:rsidR="00017014" w:rsidRPr="00FB72A1"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3BE84BC" w14:textId="77777777" w:rsidR="00017014" w:rsidRPr="00FB72A1" w:rsidRDefault="00017014">
            <w:pPr>
              <w:autoSpaceDE w:val="0"/>
              <w:autoSpaceDN w:val="0"/>
              <w:adjustRightInd w:val="0"/>
              <w:rPr>
                <w:rFonts w:ascii="sans-serif" w:hAnsi="sans-serif" w:cs="sans-serif"/>
                <w:color w:val="000000"/>
              </w:rPr>
            </w:pPr>
          </w:p>
        </w:tc>
      </w:tr>
      <w:tr w:rsidR="00227D06" w:rsidRPr="00FB72A1" w14:paraId="1539B6A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3E40283" w14:textId="77777777" w:rsidR="00017014" w:rsidRPr="00FB72A1" w:rsidRDefault="007B6940">
            <w:pPr>
              <w:autoSpaceDE w:val="0"/>
              <w:autoSpaceDN w:val="0"/>
              <w:adjustRightInd w:val="0"/>
              <w:rPr>
                <w:b/>
                <w:bCs/>
                <w:color w:val="000000"/>
                <w:sz w:val="20"/>
              </w:rPr>
            </w:pPr>
            <w:r w:rsidRPr="00FB72A1">
              <w:rPr>
                <w:b/>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D415F78" w14:textId="77777777" w:rsidR="00017014" w:rsidRPr="00FB72A1" w:rsidRDefault="007B6940">
            <w:pPr>
              <w:autoSpaceDE w:val="0"/>
              <w:autoSpaceDN w:val="0"/>
              <w:adjustRightInd w:val="0"/>
              <w:rPr>
                <w:color w:val="000000"/>
                <w:sz w:val="20"/>
              </w:rPr>
            </w:pPr>
            <w:r w:rsidRPr="00FB72A1">
              <w:rPr>
                <w:color w:val="000000"/>
                <w:sz w:val="20"/>
              </w:rPr>
              <w:t>+:</w:t>
            </w:r>
          </w:p>
          <w:p w14:paraId="1FF82615" w14:textId="77777777" w:rsidR="00017014" w:rsidRPr="00FB72A1" w:rsidRDefault="007B6940">
            <w:pPr>
              <w:autoSpaceDE w:val="0"/>
              <w:autoSpaceDN w:val="0"/>
              <w:adjustRightInd w:val="0"/>
              <w:rPr>
                <w:color w:val="000000"/>
                <w:sz w:val="20"/>
              </w:rPr>
            </w:pPr>
            <w:r w:rsidRPr="00FB72A1">
              <w:rPr>
                <w:color w:val="000000"/>
                <w:sz w:val="20"/>
              </w:rPr>
              <w:t>–:</w:t>
            </w:r>
          </w:p>
          <w:p w14:paraId="0DD9C2E8" w14:textId="77777777" w:rsidR="00017014" w:rsidRPr="00FB72A1" w:rsidRDefault="007B6940">
            <w:pPr>
              <w:autoSpaceDE w:val="0"/>
              <w:autoSpaceDN w:val="0"/>
              <w:adjustRightInd w:val="0"/>
              <w:rPr>
                <w:color w:val="000000"/>
                <w:sz w:val="20"/>
              </w:rPr>
            </w:pPr>
            <w:r w:rsidRPr="00FB72A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16F87F" w14:textId="77777777" w:rsidR="00017014" w:rsidRPr="00FB72A1" w:rsidRDefault="007B6940">
            <w:pPr>
              <w:autoSpaceDE w:val="0"/>
              <w:autoSpaceDN w:val="0"/>
              <w:adjustRightInd w:val="0"/>
              <w:rPr>
                <w:color w:val="000000"/>
                <w:sz w:val="20"/>
              </w:rPr>
            </w:pPr>
            <w:r w:rsidRPr="00FB72A1">
              <w:rPr>
                <w:color w:val="000000"/>
                <w:sz w:val="20"/>
              </w:rPr>
              <w:t>29</w:t>
            </w:r>
          </w:p>
          <w:p w14:paraId="6A482582" w14:textId="77777777" w:rsidR="00017014" w:rsidRPr="00FB72A1" w:rsidRDefault="007B6940">
            <w:pPr>
              <w:autoSpaceDE w:val="0"/>
              <w:autoSpaceDN w:val="0"/>
              <w:adjustRightInd w:val="0"/>
              <w:rPr>
                <w:color w:val="000000"/>
                <w:sz w:val="20"/>
              </w:rPr>
            </w:pPr>
            <w:r w:rsidRPr="00FB72A1">
              <w:rPr>
                <w:color w:val="000000"/>
                <w:sz w:val="20"/>
              </w:rPr>
              <w:t>4</w:t>
            </w:r>
          </w:p>
          <w:p w14:paraId="6CD3D25A" w14:textId="77777777" w:rsidR="00017014" w:rsidRPr="00FB72A1" w:rsidRDefault="007B6940">
            <w:pPr>
              <w:autoSpaceDE w:val="0"/>
              <w:autoSpaceDN w:val="0"/>
              <w:adjustRightInd w:val="0"/>
              <w:rPr>
                <w:color w:val="000000"/>
                <w:sz w:val="20"/>
              </w:rPr>
            </w:pPr>
            <w:r w:rsidRPr="00FB72A1">
              <w:rPr>
                <w:color w:val="000000"/>
                <w:sz w:val="20"/>
              </w:rPr>
              <w:t>1</w:t>
            </w:r>
          </w:p>
        </w:tc>
      </w:tr>
    </w:tbl>
    <w:p w14:paraId="62207370" w14:textId="77777777" w:rsidR="00017014" w:rsidRPr="00FB72A1" w:rsidRDefault="00017014"/>
    <w:bookmarkEnd w:id="5"/>
    <w:p w14:paraId="11F982EE" w14:textId="77777777" w:rsidR="00784770" w:rsidRPr="00FB72A1" w:rsidRDefault="00784770" w:rsidP="00017014">
      <w:pPr>
        <w:sectPr w:rsidR="00784770" w:rsidRPr="00FB72A1" w:rsidSect="00017014">
          <w:pgSz w:w="11894" w:h="15840"/>
          <w:pgMar w:top="1700" w:right="1417" w:bottom="1417" w:left="1417" w:header="720" w:footer="720" w:gutter="0"/>
          <w:cols w:space="720"/>
          <w:noEndnote/>
          <w:docGrid w:linePitch="326"/>
        </w:sectPr>
      </w:pPr>
    </w:p>
    <w:p w14:paraId="2C20A5E0" w14:textId="77777777" w:rsidR="00784770" w:rsidRPr="00FB72A1" w:rsidRDefault="007B6940" w:rsidP="00C36610">
      <w:pPr>
        <w:pStyle w:val="PageHeadingNotTOC"/>
      </w:pPr>
      <w:bookmarkStart w:id="6" w:name="RollCallPageAD"/>
      <w:r w:rsidRPr="00FB72A1">
        <w:t>ПОИМЕННО ОКОНЧАТЕЛНО ГЛАСУВАНЕ В КОМИСИЯТА, КОМПЕТЕНТНА ЗА БЮДЖЕТНАТА ОЦЕНКА</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27D06" w:rsidRPr="00FB72A1" w14:paraId="09C5F915" w14:textId="77777777" w:rsidTr="008920AC">
        <w:trPr>
          <w:cantSplit/>
        </w:trPr>
        <w:tc>
          <w:tcPr>
            <w:tcW w:w="1701" w:type="dxa"/>
            <w:shd w:val="pct10" w:color="000000" w:fill="FFFFFF"/>
            <w:vAlign w:val="center"/>
          </w:tcPr>
          <w:p w14:paraId="7B884BCD" w14:textId="77777777" w:rsidR="00784770" w:rsidRPr="00FB72A1" w:rsidRDefault="007B6940" w:rsidP="003858C5">
            <w:pPr>
              <w:pStyle w:val="RollCallVotes"/>
            </w:pPr>
            <w:r w:rsidRPr="00FB72A1">
              <w:t>29</w:t>
            </w:r>
          </w:p>
        </w:tc>
        <w:tc>
          <w:tcPr>
            <w:tcW w:w="7371" w:type="dxa"/>
            <w:shd w:val="pct10" w:color="000000" w:fill="FFFFFF"/>
          </w:tcPr>
          <w:p w14:paraId="36D0F7FA" w14:textId="77777777" w:rsidR="00784770" w:rsidRPr="00FB72A1" w:rsidRDefault="007B6940" w:rsidP="003858C5">
            <w:pPr>
              <w:pStyle w:val="RollCallSymbols14pt"/>
            </w:pPr>
            <w:r w:rsidRPr="00FB72A1">
              <w:t>+</w:t>
            </w:r>
          </w:p>
        </w:tc>
      </w:tr>
      <w:tr w:rsidR="00227D06" w:rsidRPr="00FB72A1" w14:paraId="1684CB9E" w14:textId="77777777" w:rsidTr="008920AC">
        <w:trPr>
          <w:cantSplit/>
        </w:trPr>
        <w:tc>
          <w:tcPr>
            <w:tcW w:w="1701" w:type="dxa"/>
            <w:shd w:val="clear" w:color="auto" w:fill="FFFFFF"/>
          </w:tcPr>
          <w:p w14:paraId="0AF14425" w14:textId="77777777" w:rsidR="00784770" w:rsidRPr="00FB72A1" w:rsidRDefault="007B6940" w:rsidP="003858C5">
            <w:pPr>
              <w:pStyle w:val="RollCallTable"/>
            </w:pPr>
            <w:r w:rsidRPr="00FB72A1">
              <w:t>ЕКР</w:t>
            </w:r>
          </w:p>
        </w:tc>
        <w:tc>
          <w:tcPr>
            <w:tcW w:w="7371" w:type="dxa"/>
            <w:shd w:val="clear" w:color="auto" w:fill="FFFFFF"/>
          </w:tcPr>
          <w:p w14:paraId="64CFE4AE" w14:textId="77777777" w:rsidR="00784770" w:rsidRPr="00FB72A1" w:rsidRDefault="007B6940" w:rsidP="003858C5">
            <w:pPr>
              <w:pStyle w:val="RollCallTable"/>
            </w:pPr>
            <w:r w:rsidRPr="00FB72A1">
              <w:t xml:space="preserve">Tobiasz Bocheński, </w:t>
            </w:r>
            <w:r w:rsidRPr="00FB72A1">
              <w:t>Arkadiusz Mularczyk, Bogdan Rzońca</w:t>
            </w:r>
          </w:p>
        </w:tc>
      </w:tr>
      <w:tr w:rsidR="00227D06" w:rsidRPr="00FB72A1" w14:paraId="08565599" w14:textId="77777777" w:rsidTr="008920AC">
        <w:trPr>
          <w:cantSplit/>
        </w:trPr>
        <w:tc>
          <w:tcPr>
            <w:tcW w:w="1701" w:type="dxa"/>
            <w:shd w:val="clear" w:color="auto" w:fill="FFFFFF"/>
          </w:tcPr>
          <w:p w14:paraId="7F842F28" w14:textId="77777777" w:rsidR="00784770" w:rsidRPr="00FB72A1" w:rsidRDefault="007B6940" w:rsidP="003858C5">
            <w:pPr>
              <w:pStyle w:val="RollCallTable"/>
            </w:pPr>
            <w:r w:rsidRPr="00FB72A1">
              <w:t>ЕНП</w:t>
            </w:r>
          </w:p>
        </w:tc>
        <w:tc>
          <w:tcPr>
            <w:tcW w:w="7371" w:type="dxa"/>
            <w:shd w:val="clear" w:color="auto" w:fill="FFFFFF"/>
          </w:tcPr>
          <w:p w14:paraId="0D120BAB" w14:textId="77777777" w:rsidR="00784770" w:rsidRPr="00FB72A1" w:rsidRDefault="007B6940" w:rsidP="003858C5">
            <w:pPr>
              <w:pStyle w:val="RollCallTable"/>
            </w:pPr>
            <w:r w:rsidRPr="00FB72A1">
              <w:t>Isabel Benjumea Benjumea, Michalis Hadjipantela, Andrzej Halicki, Monika Hohlmeier, Janusz Lewandowski, Gabriel Mato, Danuše Nerudová, Karlo Ressler, Hélder Sousa Silva</w:t>
            </w:r>
          </w:p>
        </w:tc>
      </w:tr>
      <w:tr w:rsidR="00227D06" w:rsidRPr="00FB72A1" w14:paraId="346BE8C6" w14:textId="77777777" w:rsidTr="008920AC">
        <w:trPr>
          <w:cantSplit/>
        </w:trPr>
        <w:tc>
          <w:tcPr>
            <w:tcW w:w="1701" w:type="dxa"/>
            <w:shd w:val="clear" w:color="auto" w:fill="FFFFFF"/>
          </w:tcPr>
          <w:p w14:paraId="731E8414" w14:textId="77777777" w:rsidR="00784770" w:rsidRPr="00FB72A1" w:rsidRDefault="007B6940" w:rsidP="003858C5">
            <w:pPr>
              <w:pStyle w:val="RollCallTable"/>
            </w:pPr>
            <w:r w:rsidRPr="00FB72A1">
              <w:t>PfE</w:t>
            </w:r>
          </w:p>
        </w:tc>
        <w:tc>
          <w:tcPr>
            <w:tcW w:w="7371" w:type="dxa"/>
            <w:shd w:val="clear" w:color="auto" w:fill="FFFFFF"/>
          </w:tcPr>
          <w:p w14:paraId="74BDE7A0" w14:textId="77777777" w:rsidR="00784770" w:rsidRPr="00FB72A1" w:rsidRDefault="007B6940" w:rsidP="003858C5">
            <w:pPr>
              <w:pStyle w:val="RollCallTable"/>
            </w:pPr>
            <w:r w:rsidRPr="00FB72A1">
              <w:t xml:space="preserve">Tomasz Buczek, Tamás Deutsch, </w:t>
            </w:r>
            <w:r w:rsidRPr="00FB72A1">
              <w:t>Antonín Staněk</w:t>
            </w:r>
          </w:p>
        </w:tc>
      </w:tr>
      <w:tr w:rsidR="00227D06" w:rsidRPr="00FB72A1" w14:paraId="21AB2976" w14:textId="77777777" w:rsidTr="008920AC">
        <w:trPr>
          <w:cantSplit/>
        </w:trPr>
        <w:tc>
          <w:tcPr>
            <w:tcW w:w="1701" w:type="dxa"/>
            <w:shd w:val="clear" w:color="auto" w:fill="FFFFFF"/>
          </w:tcPr>
          <w:p w14:paraId="2ACDD351" w14:textId="77777777" w:rsidR="00784770" w:rsidRPr="00FB72A1" w:rsidRDefault="007B6940" w:rsidP="003858C5">
            <w:pPr>
              <w:pStyle w:val="RollCallTable"/>
            </w:pPr>
            <w:r w:rsidRPr="00FB72A1">
              <w:t>Обновяване</w:t>
            </w:r>
          </w:p>
        </w:tc>
        <w:tc>
          <w:tcPr>
            <w:tcW w:w="7371" w:type="dxa"/>
            <w:shd w:val="clear" w:color="auto" w:fill="FFFFFF"/>
          </w:tcPr>
          <w:p w14:paraId="353086AB" w14:textId="77777777" w:rsidR="00784770" w:rsidRPr="00FB72A1" w:rsidRDefault="007B6940" w:rsidP="003858C5">
            <w:pPr>
              <w:pStyle w:val="RollCallTable"/>
            </w:pPr>
            <w:r w:rsidRPr="00FB72A1">
              <w:t>Olivier Chastel, Fabienne Keller, Lucia Yar</w:t>
            </w:r>
          </w:p>
        </w:tc>
      </w:tr>
      <w:tr w:rsidR="00227D06" w:rsidRPr="00FB72A1" w14:paraId="6F757775" w14:textId="77777777" w:rsidTr="008920AC">
        <w:trPr>
          <w:cantSplit/>
        </w:trPr>
        <w:tc>
          <w:tcPr>
            <w:tcW w:w="1701" w:type="dxa"/>
            <w:shd w:val="clear" w:color="auto" w:fill="FFFFFF"/>
          </w:tcPr>
          <w:p w14:paraId="3E625774" w14:textId="77777777" w:rsidR="00784770" w:rsidRPr="00FB72A1" w:rsidRDefault="007B6940" w:rsidP="003858C5">
            <w:pPr>
              <w:pStyle w:val="RollCallTable"/>
            </w:pPr>
            <w:r w:rsidRPr="00FB72A1">
              <w:t>S&amp;D (Европейско бюро на съюзите на потребителите)</w:t>
            </w:r>
          </w:p>
        </w:tc>
        <w:tc>
          <w:tcPr>
            <w:tcW w:w="7371" w:type="dxa"/>
            <w:shd w:val="clear" w:color="auto" w:fill="FFFFFF"/>
          </w:tcPr>
          <w:p w14:paraId="5DC1D0D6" w14:textId="77777777" w:rsidR="00784770" w:rsidRPr="00FB72A1" w:rsidRDefault="007B6940" w:rsidP="003858C5">
            <w:pPr>
              <w:pStyle w:val="RollCallTable"/>
            </w:pPr>
            <w:r w:rsidRPr="00FB72A1">
              <w:t>Mohammed Chahim, Matthias Ecke, Nikolas Farantouris, Jean-Marc Germain, Sandra Gómez López, Victor Negrescu, Matjaž Nemec, Nils Ušakovs</w:t>
            </w:r>
          </w:p>
        </w:tc>
      </w:tr>
      <w:tr w:rsidR="00227D06" w:rsidRPr="00FB72A1" w14:paraId="6E71B23A" w14:textId="77777777" w:rsidTr="008920AC">
        <w:trPr>
          <w:cantSplit/>
        </w:trPr>
        <w:tc>
          <w:tcPr>
            <w:tcW w:w="1701" w:type="dxa"/>
            <w:shd w:val="clear" w:color="auto" w:fill="FFFFFF"/>
          </w:tcPr>
          <w:p w14:paraId="0874BBEB" w14:textId="77777777" w:rsidR="00784770" w:rsidRPr="00FB72A1" w:rsidRDefault="007B6940" w:rsidP="003858C5">
            <w:pPr>
              <w:pStyle w:val="RollCallTable"/>
            </w:pPr>
            <w:r w:rsidRPr="00FB72A1">
              <w:t>Verts/ALE</w:t>
            </w:r>
          </w:p>
        </w:tc>
        <w:tc>
          <w:tcPr>
            <w:tcW w:w="7371" w:type="dxa"/>
            <w:shd w:val="clear" w:color="auto" w:fill="FFFFFF"/>
          </w:tcPr>
          <w:p w14:paraId="0159D5F4" w14:textId="77777777" w:rsidR="00784770" w:rsidRPr="00FB72A1" w:rsidRDefault="007B6940" w:rsidP="003858C5">
            <w:pPr>
              <w:pStyle w:val="RollCallTable"/>
            </w:pPr>
            <w:r w:rsidRPr="00FB72A1">
              <w:t>Ignazio Roberto Marino, Rasmus Nordqvist, Nicolae Ștefănuță</w:t>
            </w:r>
          </w:p>
        </w:tc>
      </w:tr>
    </w:tbl>
    <w:p w14:paraId="1ACF4AF1" w14:textId="77777777" w:rsidR="00784770" w:rsidRPr="00FB72A1"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27D06" w:rsidRPr="00FB72A1" w14:paraId="53E084D1" w14:textId="77777777" w:rsidTr="008920AC">
        <w:trPr>
          <w:cantSplit/>
        </w:trPr>
        <w:tc>
          <w:tcPr>
            <w:tcW w:w="1701" w:type="dxa"/>
            <w:shd w:val="pct10" w:color="000000" w:fill="FFFFFF"/>
            <w:vAlign w:val="center"/>
          </w:tcPr>
          <w:p w14:paraId="1D7AC5E9" w14:textId="77777777" w:rsidR="00784770" w:rsidRPr="00FB72A1" w:rsidRDefault="007B6940" w:rsidP="003858C5">
            <w:pPr>
              <w:pStyle w:val="RollCallVotes"/>
            </w:pPr>
            <w:r w:rsidRPr="00FB72A1">
              <w:t>4</w:t>
            </w:r>
          </w:p>
        </w:tc>
        <w:tc>
          <w:tcPr>
            <w:tcW w:w="7371" w:type="dxa"/>
            <w:shd w:val="pct10" w:color="000000" w:fill="FFFFFF"/>
          </w:tcPr>
          <w:p w14:paraId="0A0744A1" w14:textId="77777777" w:rsidR="00784770" w:rsidRPr="00FB72A1" w:rsidRDefault="007B6940" w:rsidP="003858C5">
            <w:pPr>
              <w:pStyle w:val="RollCallSymbols14pt"/>
            </w:pPr>
            <w:r w:rsidRPr="00FB72A1">
              <w:t>–</w:t>
            </w:r>
          </w:p>
        </w:tc>
      </w:tr>
      <w:tr w:rsidR="00227D06" w:rsidRPr="00FB72A1" w14:paraId="7DD8B2E8" w14:textId="77777777" w:rsidTr="008920AC">
        <w:trPr>
          <w:cantSplit/>
        </w:trPr>
        <w:tc>
          <w:tcPr>
            <w:tcW w:w="1701" w:type="dxa"/>
            <w:shd w:val="clear" w:color="auto" w:fill="FFFFFF"/>
          </w:tcPr>
          <w:p w14:paraId="675425D5" w14:textId="77777777" w:rsidR="00784770" w:rsidRPr="00FB72A1" w:rsidRDefault="007B6940" w:rsidP="003858C5">
            <w:pPr>
              <w:pStyle w:val="RollCallTable"/>
            </w:pPr>
            <w:r w:rsidRPr="00FB72A1">
              <w:t>ESN</w:t>
            </w:r>
          </w:p>
        </w:tc>
        <w:tc>
          <w:tcPr>
            <w:tcW w:w="7371" w:type="dxa"/>
            <w:shd w:val="clear" w:color="auto" w:fill="FFFFFF"/>
          </w:tcPr>
          <w:p w14:paraId="223C4967" w14:textId="77777777" w:rsidR="00784770" w:rsidRPr="00FB72A1" w:rsidRDefault="007B6940" w:rsidP="003858C5">
            <w:pPr>
              <w:pStyle w:val="RollCallTable"/>
            </w:pPr>
            <w:r w:rsidRPr="00FB72A1">
              <w:t>Alexander Jungbluth</w:t>
            </w:r>
          </w:p>
        </w:tc>
      </w:tr>
      <w:tr w:rsidR="00227D06" w:rsidRPr="00FB72A1" w14:paraId="112758D4" w14:textId="77777777" w:rsidTr="008920AC">
        <w:trPr>
          <w:cantSplit/>
        </w:trPr>
        <w:tc>
          <w:tcPr>
            <w:tcW w:w="1701" w:type="dxa"/>
            <w:shd w:val="clear" w:color="auto" w:fill="FFFFFF"/>
          </w:tcPr>
          <w:p w14:paraId="7D545AD9" w14:textId="77777777" w:rsidR="00784770" w:rsidRPr="00FB72A1" w:rsidRDefault="007B6940" w:rsidP="003858C5">
            <w:pPr>
              <w:pStyle w:val="RollCallTable"/>
            </w:pPr>
            <w:r w:rsidRPr="00FB72A1">
              <w:t>NI</w:t>
            </w:r>
          </w:p>
        </w:tc>
        <w:tc>
          <w:tcPr>
            <w:tcW w:w="7371" w:type="dxa"/>
            <w:shd w:val="clear" w:color="auto" w:fill="FFFFFF"/>
          </w:tcPr>
          <w:p w14:paraId="282E3EAE" w14:textId="77777777" w:rsidR="00784770" w:rsidRPr="00FB72A1" w:rsidRDefault="007B6940" w:rsidP="003858C5">
            <w:pPr>
              <w:pStyle w:val="RollCallTable"/>
            </w:pPr>
            <w:r w:rsidRPr="00FB72A1">
              <w:t>Thomas Geisel</w:t>
            </w:r>
          </w:p>
        </w:tc>
      </w:tr>
      <w:tr w:rsidR="00227D06" w:rsidRPr="00FB72A1" w14:paraId="6B35FBE2" w14:textId="77777777" w:rsidTr="008920AC">
        <w:trPr>
          <w:cantSplit/>
        </w:trPr>
        <w:tc>
          <w:tcPr>
            <w:tcW w:w="1701" w:type="dxa"/>
            <w:shd w:val="clear" w:color="auto" w:fill="FFFFFF"/>
          </w:tcPr>
          <w:p w14:paraId="2D8778A9" w14:textId="77777777" w:rsidR="00784770" w:rsidRPr="00FB72A1" w:rsidRDefault="007B6940" w:rsidP="003858C5">
            <w:pPr>
              <w:pStyle w:val="RollCallTable"/>
            </w:pPr>
            <w:r w:rsidRPr="00FB72A1">
              <w:t>PfE</w:t>
            </w:r>
          </w:p>
        </w:tc>
        <w:tc>
          <w:tcPr>
            <w:tcW w:w="7371" w:type="dxa"/>
            <w:shd w:val="clear" w:color="auto" w:fill="FFFFFF"/>
          </w:tcPr>
          <w:p w14:paraId="412CB559" w14:textId="77777777" w:rsidR="00784770" w:rsidRPr="00FB72A1" w:rsidRDefault="007B6940" w:rsidP="003858C5">
            <w:pPr>
              <w:pStyle w:val="RollCallTable"/>
            </w:pPr>
            <w:r w:rsidRPr="00FB72A1">
              <w:t>Valérie Deloge, Aleksandar Nikolic</w:t>
            </w:r>
          </w:p>
        </w:tc>
      </w:tr>
    </w:tbl>
    <w:p w14:paraId="110D042A" w14:textId="77777777" w:rsidR="00784770" w:rsidRPr="00FB72A1"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27D06" w:rsidRPr="00FB72A1" w14:paraId="59059F47" w14:textId="77777777" w:rsidTr="008920AC">
        <w:trPr>
          <w:cantSplit/>
        </w:trPr>
        <w:tc>
          <w:tcPr>
            <w:tcW w:w="1701" w:type="dxa"/>
            <w:shd w:val="pct10" w:color="000000" w:fill="FFFFFF"/>
            <w:vAlign w:val="center"/>
          </w:tcPr>
          <w:p w14:paraId="3B658ADC" w14:textId="77777777" w:rsidR="00784770" w:rsidRPr="00FB72A1" w:rsidRDefault="007B6940" w:rsidP="003858C5">
            <w:pPr>
              <w:pStyle w:val="RollCallVotes"/>
            </w:pPr>
            <w:r w:rsidRPr="00FB72A1">
              <w:t>1</w:t>
            </w:r>
          </w:p>
        </w:tc>
        <w:tc>
          <w:tcPr>
            <w:tcW w:w="7371" w:type="dxa"/>
            <w:shd w:val="pct10" w:color="000000" w:fill="FFFFFF"/>
          </w:tcPr>
          <w:p w14:paraId="418CFE53" w14:textId="77777777" w:rsidR="00784770" w:rsidRPr="00FB72A1" w:rsidRDefault="007B6940" w:rsidP="003858C5">
            <w:pPr>
              <w:pStyle w:val="RollCallSymbols14pt"/>
            </w:pPr>
            <w:r w:rsidRPr="00FB72A1">
              <w:t>0</w:t>
            </w:r>
          </w:p>
        </w:tc>
      </w:tr>
      <w:tr w:rsidR="00227D06" w:rsidRPr="00FB72A1" w14:paraId="22F164ED" w14:textId="77777777" w:rsidTr="008920AC">
        <w:trPr>
          <w:cantSplit/>
        </w:trPr>
        <w:tc>
          <w:tcPr>
            <w:tcW w:w="1701" w:type="dxa"/>
            <w:shd w:val="clear" w:color="auto" w:fill="FFFFFF"/>
          </w:tcPr>
          <w:p w14:paraId="47BC3A90" w14:textId="77777777" w:rsidR="00784770" w:rsidRPr="00FB72A1" w:rsidRDefault="007B6940" w:rsidP="003858C5">
            <w:pPr>
              <w:pStyle w:val="RollCallTable"/>
            </w:pPr>
            <w:r w:rsidRPr="00FB72A1">
              <w:t>The Left</w:t>
            </w:r>
          </w:p>
        </w:tc>
        <w:tc>
          <w:tcPr>
            <w:tcW w:w="7371" w:type="dxa"/>
            <w:shd w:val="clear" w:color="auto" w:fill="FFFFFF"/>
          </w:tcPr>
          <w:p w14:paraId="1B1F8300" w14:textId="77777777" w:rsidR="00784770" w:rsidRPr="00FB72A1" w:rsidRDefault="007B6940" w:rsidP="003858C5">
            <w:pPr>
              <w:pStyle w:val="RollCallTable"/>
            </w:pPr>
            <w:r w:rsidRPr="00FB72A1">
              <w:t>João Oliveira</w:t>
            </w:r>
          </w:p>
        </w:tc>
      </w:tr>
    </w:tbl>
    <w:p w14:paraId="21B9AE58" w14:textId="77777777" w:rsidR="00784770" w:rsidRPr="00FB72A1" w:rsidRDefault="00784770" w:rsidP="00147FBF">
      <w:pPr>
        <w:pStyle w:val="Normal12a"/>
      </w:pPr>
    </w:p>
    <w:p w14:paraId="6B621C11" w14:textId="77777777" w:rsidR="00784770" w:rsidRPr="00FB72A1" w:rsidRDefault="007B6940" w:rsidP="00B735E3">
      <w:r w:rsidRPr="00FB72A1">
        <w:t>Легенда на използваните знаци:</w:t>
      </w:r>
    </w:p>
    <w:p w14:paraId="2DDB9790" w14:textId="77777777" w:rsidR="00784770" w:rsidRPr="00FB72A1" w:rsidRDefault="007B6940" w:rsidP="003858C5">
      <w:pPr>
        <w:pStyle w:val="RollCallTabs"/>
      </w:pPr>
      <w:r w:rsidRPr="00FB72A1">
        <w:t>+</w:t>
      </w:r>
      <w:r w:rsidRPr="00FB72A1">
        <w:tab/>
        <w:t>:</w:t>
      </w:r>
      <w:r w:rsidRPr="00FB72A1">
        <w:tab/>
        <w:t>„за“</w:t>
      </w:r>
    </w:p>
    <w:p w14:paraId="5C522BA1" w14:textId="77777777" w:rsidR="00784770" w:rsidRPr="00FB72A1" w:rsidRDefault="007B6940" w:rsidP="003858C5">
      <w:pPr>
        <w:pStyle w:val="RollCallTabs"/>
      </w:pPr>
      <w:r w:rsidRPr="00FB72A1">
        <w:t>–</w:t>
      </w:r>
      <w:r w:rsidRPr="00FB72A1">
        <w:tab/>
        <w:t>:</w:t>
      </w:r>
      <w:r w:rsidRPr="00FB72A1">
        <w:tab/>
        <w:t>„против“</w:t>
      </w:r>
    </w:p>
    <w:p w14:paraId="5760A1CB" w14:textId="77777777" w:rsidR="00784770" w:rsidRPr="00FB72A1" w:rsidRDefault="007B6940" w:rsidP="003858C5">
      <w:pPr>
        <w:pStyle w:val="RollCallTabs"/>
      </w:pPr>
      <w:r w:rsidRPr="00FB72A1">
        <w:t>0</w:t>
      </w:r>
      <w:r w:rsidRPr="00FB72A1">
        <w:tab/>
        <w:t>:</w:t>
      </w:r>
      <w:r w:rsidRPr="00FB72A1">
        <w:tab/>
      </w:r>
      <w:r w:rsidRPr="00FB72A1">
        <w:t>„въздържал се“</w:t>
      </w:r>
    </w:p>
    <w:bookmarkEnd w:id="6"/>
    <w:sectPr w:rsidR="00784770" w:rsidRPr="00FB72A1" w:rsidSect="000170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058C7" w14:textId="77777777" w:rsidR="007B6940" w:rsidRPr="00FB72A1" w:rsidRDefault="007B6940">
      <w:r w:rsidRPr="00FB72A1">
        <w:separator/>
      </w:r>
    </w:p>
  </w:endnote>
  <w:endnote w:type="continuationSeparator" w:id="0">
    <w:p w14:paraId="436BF423" w14:textId="77777777" w:rsidR="007B6940" w:rsidRPr="00FB72A1" w:rsidRDefault="007B6940">
      <w:r w:rsidRPr="00FB72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60956" w14:textId="77777777" w:rsidR="00FB72A1" w:rsidRPr="00FB72A1" w:rsidRDefault="00FB72A1" w:rsidP="00FB72A1">
    <w:pPr>
      <w:pStyle w:val="EPFooter"/>
    </w:pPr>
    <w:r w:rsidRPr="00FB72A1">
      <w:t>PE</w:t>
    </w:r>
    <w:r w:rsidRPr="00FB72A1">
      <w:rPr>
        <w:rStyle w:val="HideTWBExt"/>
      </w:rPr>
      <w:t>&lt;NoPE&gt;</w:t>
    </w:r>
    <w:r w:rsidRPr="00FB72A1">
      <w:t>782.453</w:t>
    </w:r>
    <w:r w:rsidRPr="00FB72A1">
      <w:rPr>
        <w:rStyle w:val="HideTWBExt"/>
      </w:rPr>
      <w:t>&lt;/NoPE&gt;&lt;Version&gt;</w:t>
    </w:r>
    <w:r w:rsidRPr="00FB72A1">
      <w:t>v03-00</w:t>
    </w:r>
    <w:r w:rsidRPr="00FB72A1">
      <w:rPr>
        <w:rStyle w:val="HideTWBExt"/>
      </w:rPr>
      <w:t>&lt;/Version&gt;</w:t>
    </w:r>
    <w:r w:rsidRPr="00FB72A1">
      <w:tab/>
    </w:r>
    <w:r w:rsidRPr="00FB72A1">
      <w:fldChar w:fldCharType="begin"/>
    </w:r>
    <w:r w:rsidRPr="00FB72A1">
      <w:instrText xml:space="preserve"> PAGE  \* MERGEFORMAT </w:instrText>
    </w:r>
    <w:r w:rsidRPr="00FB72A1">
      <w:fldChar w:fldCharType="separate"/>
    </w:r>
    <w:r w:rsidRPr="00FB72A1">
      <w:rPr>
        <w:noProof/>
      </w:rPr>
      <w:t>18</w:t>
    </w:r>
    <w:r w:rsidRPr="00FB72A1">
      <w:fldChar w:fldCharType="end"/>
    </w:r>
    <w:r w:rsidRPr="00FB72A1">
      <w:t>/</w:t>
    </w:r>
    <w:fldSimple w:instr=" NUMPAGES  \* MERGEFORMAT ">
      <w:r w:rsidRPr="00FB72A1">
        <w:rPr>
          <w:noProof/>
        </w:rPr>
        <w:t>18</w:t>
      </w:r>
    </w:fldSimple>
    <w:r w:rsidRPr="00FB72A1">
      <w:tab/>
    </w:r>
    <w:r w:rsidRPr="00FB72A1">
      <w:rPr>
        <w:rStyle w:val="HideTWBExt"/>
      </w:rPr>
      <w:t>&lt;PathFdR&gt;</w:t>
    </w:r>
    <w:r w:rsidRPr="00FB72A1">
      <w:t>AD\1342281BG.docx</w:t>
    </w:r>
    <w:r w:rsidRPr="00FB72A1">
      <w:rPr>
        <w:rStyle w:val="HideTWBExt"/>
      </w:rPr>
      <w:t>&lt;/PathFdR&gt;</w:t>
    </w:r>
  </w:p>
  <w:p w14:paraId="424D2E74" w14:textId="4DCC6CF2" w:rsidR="002E2F2E" w:rsidRPr="00FB72A1" w:rsidRDefault="00FB72A1" w:rsidP="00FB72A1">
    <w:pPr>
      <w:pStyle w:val="EPFooter2"/>
    </w:pPr>
    <w:r w:rsidRPr="00FB72A1">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5B997" w14:textId="77777777" w:rsidR="00FB72A1" w:rsidRPr="00FB72A1" w:rsidRDefault="00FB72A1" w:rsidP="00FB72A1">
    <w:pPr>
      <w:pStyle w:val="EPFooter"/>
    </w:pPr>
    <w:r w:rsidRPr="00FB72A1">
      <w:rPr>
        <w:rStyle w:val="HideTWBExt"/>
      </w:rPr>
      <w:t>&lt;PathFdR&gt;</w:t>
    </w:r>
    <w:r w:rsidRPr="00FB72A1">
      <w:t>AD\1342281BG.docx</w:t>
    </w:r>
    <w:r w:rsidRPr="00FB72A1">
      <w:rPr>
        <w:rStyle w:val="HideTWBExt"/>
      </w:rPr>
      <w:t>&lt;/PathFdR&gt;</w:t>
    </w:r>
    <w:r w:rsidRPr="00FB72A1">
      <w:tab/>
    </w:r>
    <w:r w:rsidRPr="00FB72A1">
      <w:fldChar w:fldCharType="begin"/>
    </w:r>
    <w:r w:rsidRPr="00FB72A1">
      <w:instrText xml:space="preserve"> PAGE  \* MERGEFORMAT </w:instrText>
    </w:r>
    <w:r w:rsidRPr="00FB72A1">
      <w:fldChar w:fldCharType="separate"/>
    </w:r>
    <w:r w:rsidRPr="00FB72A1">
      <w:rPr>
        <w:noProof/>
      </w:rPr>
      <w:t>17</w:t>
    </w:r>
    <w:r w:rsidRPr="00FB72A1">
      <w:fldChar w:fldCharType="end"/>
    </w:r>
    <w:r w:rsidRPr="00FB72A1">
      <w:t>/</w:t>
    </w:r>
    <w:fldSimple w:instr=" NUMPAGES  \* MERGEFORMAT ">
      <w:r w:rsidRPr="00FB72A1">
        <w:rPr>
          <w:noProof/>
        </w:rPr>
        <w:t>18</w:t>
      </w:r>
    </w:fldSimple>
    <w:r w:rsidRPr="00FB72A1">
      <w:tab/>
      <w:t>PE</w:t>
    </w:r>
    <w:r w:rsidRPr="00FB72A1">
      <w:rPr>
        <w:rStyle w:val="HideTWBExt"/>
      </w:rPr>
      <w:t>&lt;NoPE&gt;</w:t>
    </w:r>
    <w:r w:rsidRPr="00FB72A1">
      <w:t>782.453</w:t>
    </w:r>
    <w:r w:rsidRPr="00FB72A1">
      <w:rPr>
        <w:rStyle w:val="HideTWBExt"/>
      </w:rPr>
      <w:t>&lt;/NoPE&gt;&lt;Version&gt;</w:t>
    </w:r>
    <w:r w:rsidRPr="00FB72A1">
      <w:t>v03-00</w:t>
    </w:r>
    <w:r w:rsidRPr="00FB72A1">
      <w:rPr>
        <w:rStyle w:val="HideTWBExt"/>
      </w:rPr>
      <w:t>&lt;/Version&gt;</w:t>
    </w:r>
  </w:p>
  <w:p w14:paraId="60713137" w14:textId="26CCA747" w:rsidR="002E2F2E" w:rsidRPr="00FB72A1" w:rsidRDefault="00FB72A1" w:rsidP="00FB72A1">
    <w:pPr>
      <w:pStyle w:val="EPFooter2"/>
    </w:pPr>
    <w:r w:rsidRPr="00FB72A1">
      <w:tab/>
    </w:r>
    <w:r w:rsidRPr="00FB72A1">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D61C3" w14:textId="77777777" w:rsidR="00FB72A1" w:rsidRPr="00FB72A1" w:rsidRDefault="00FB72A1" w:rsidP="00FB72A1">
    <w:pPr>
      <w:pStyle w:val="EPFooter"/>
    </w:pPr>
    <w:r w:rsidRPr="00FB72A1">
      <w:rPr>
        <w:rStyle w:val="HideTWBExt"/>
      </w:rPr>
      <w:t>&lt;PathFdR&gt;</w:t>
    </w:r>
    <w:r w:rsidRPr="00FB72A1">
      <w:t>AD\1342281BG.docx</w:t>
    </w:r>
    <w:r w:rsidRPr="00FB72A1">
      <w:rPr>
        <w:rStyle w:val="HideTWBExt"/>
      </w:rPr>
      <w:t>&lt;/PathFdR&gt;</w:t>
    </w:r>
    <w:r w:rsidRPr="00FB72A1">
      <w:tab/>
    </w:r>
    <w:r w:rsidRPr="00FB72A1">
      <w:tab/>
      <w:t>PE</w:t>
    </w:r>
    <w:r w:rsidRPr="00FB72A1">
      <w:rPr>
        <w:rStyle w:val="HideTWBExt"/>
      </w:rPr>
      <w:t>&lt;NoPE&gt;</w:t>
    </w:r>
    <w:r w:rsidRPr="00FB72A1">
      <w:t>782.453</w:t>
    </w:r>
    <w:r w:rsidRPr="00FB72A1">
      <w:rPr>
        <w:rStyle w:val="HideTWBExt"/>
      </w:rPr>
      <w:t>&lt;/NoPE&gt;&lt;Version&gt;</w:t>
    </w:r>
    <w:r w:rsidRPr="00FB72A1">
      <w:t>v03-00</w:t>
    </w:r>
    <w:r w:rsidRPr="00FB72A1">
      <w:rPr>
        <w:rStyle w:val="HideTWBExt"/>
      </w:rPr>
      <w:t>&lt;/Version&gt;</w:t>
    </w:r>
  </w:p>
  <w:p w14:paraId="3C523EF2" w14:textId="70F48A16" w:rsidR="002E2F2E" w:rsidRPr="00FB72A1" w:rsidRDefault="00FB72A1" w:rsidP="00FB72A1">
    <w:pPr>
      <w:pStyle w:val="EPFooter2"/>
    </w:pPr>
    <w:r w:rsidRPr="00FB72A1">
      <w:t>BG</w:t>
    </w:r>
    <w:r w:rsidRPr="00FB72A1">
      <w:tab/>
    </w:r>
    <w:r w:rsidRPr="00FB72A1">
      <w:rPr>
        <w:b w:val="0"/>
        <w:i/>
        <w:color w:val="C0C0C0"/>
        <w:sz w:val="22"/>
      </w:rPr>
      <w:t>Единство в многообразието</w:t>
    </w:r>
    <w:r w:rsidRPr="00FB72A1">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1590B" w14:textId="77777777" w:rsidR="00E61C10" w:rsidRPr="00FB72A1" w:rsidRDefault="007B6940">
      <w:r w:rsidRPr="00FB72A1">
        <w:separator/>
      </w:r>
    </w:p>
  </w:footnote>
  <w:footnote w:type="continuationSeparator" w:id="0">
    <w:p w14:paraId="0BE97CCC" w14:textId="77777777" w:rsidR="00E61C10" w:rsidRPr="00FB72A1" w:rsidRDefault="007B6940">
      <w:r w:rsidRPr="00FB72A1">
        <w:continuationSeparator/>
      </w:r>
    </w:p>
  </w:footnote>
  <w:footnote w:id="1">
    <w:p w14:paraId="0C575450" w14:textId="77777777" w:rsidR="00217B7E" w:rsidRPr="00FB72A1" w:rsidRDefault="007B6940" w:rsidP="00217B7E">
      <w:pPr>
        <w:pStyle w:val="FootnoteText"/>
      </w:pPr>
      <w:r w:rsidRPr="00FB72A1">
        <w:rPr>
          <w:rStyle w:val="FootnoteReference"/>
        </w:rPr>
        <w:footnoteRef/>
      </w:r>
      <w:r w:rsidRPr="00FB72A1">
        <w:t xml:space="preserve"> Работен документ на службите на Комисията от 20 април 2025 г., озаглавен „Междинна оценка на Рамковата програма за научни изследвания и иновации „Хоризонт Европа“ (2021–2024 г.)“ (SWD (2025) 0110).</w:t>
      </w:r>
    </w:p>
  </w:footnote>
  <w:footnote w:id="2">
    <w:p w14:paraId="0D4A3178" w14:textId="76E1415C" w:rsidR="00BC5686" w:rsidRPr="00FB72A1" w:rsidRDefault="007B6940" w:rsidP="00BC5686">
      <w:pPr>
        <w:pStyle w:val="FootnoteText"/>
      </w:pPr>
      <w:r w:rsidRPr="00FB72A1">
        <w:rPr>
          <w:rStyle w:val="FootnoteReference"/>
        </w:rPr>
        <w:footnoteRef/>
      </w:r>
      <w:r w:rsidRPr="00FB72A1">
        <w:t xml:space="preserve"> Регламент (ЕС, Евратом) 2024/2509 на Европейския парламент и на Съвета от 23 септември 2024 г. за финансовите правила, приложими за общия бюджет на Съюза (OВ L, 2024/2509, ELI: </w:t>
      </w:r>
      <w:hyperlink r:id="rId1" w:tgtFrame="_blank" w:tooltip="Достъп до този документ чрез неговия идентификатор ELI URI." w:history="1">
        <w:r w:rsidR="00BC5686" w:rsidRPr="00FB72A1">
          <w:rPr>
            <w:rStyle w:val="Hyperlink"/>
          </w:rPr>
          <w:t>http://data.europa.eu/eli/reg/2024/2509/oj</w:t>
        </w:r>
      </w:hyperlink>
      <w:r w:rsidRPr="00FB72A1">
        <w:t>).</w:t>
      </w:r>
    </w:p>
    <w:p w14:paraId="7258891B" w14:textId="77777777" w:rsidR="00BC5686" w:rsidRPr="00FB72A1" w:rsidRDefault="00BC5686">
      <w:pPr>
        <w:pStyle w:val="FootnoteText"/>
      </w:pPr>
    </w:p>
  </w:footnote>
  <w:footnote w:id="3">
    <w:p w14:paraId="4990B9B5" w14:textId="0F97A4FF" w:rsidR="00017014" w:rsidRPr="00FB72A1" w:rsidRDefault="007B6940" w:rsidP="00017014">
      <w:pPr>
        <w:pStyle w:val="FootnoteText"/>
      </w:pPr>
      <w:r w:rsidRPr="00FB72A1">
        <w:rPr>
          <w:rStyle w:val="FootnoteReference"/>
        </w:rPr>
        <w:footnoteRef/>
      </w:r>
      <w:r w:rsidRPr="00FB72A1">
        <w:t xml:space="preserve"> Междуинституционално споразумение от 20 май 2021 г. между Европейския парламент, Съвета на Европейския съюз и Европейската комисия за задължителен регистър за прозрачност (ОВ L 207, 11.6.2021 г., стр. 1, ELI: </w:t>
      </w:r>
      <w:hyperlink r:id="rId2" w:tooltip="http://data.europa.eu/eli/agree_interinstit/2021/611/oj" w:history="1">
        <w:r w:rsidR="00017014" w:rsidRPr="00FB72A1">
          <w:rPr>
            <w:rStyle w:val="Hyperlink"/>
          </w:rPr>
          <w:t>http://data.europa.eu/eli/agree_interinstit/2021/611/oj</w:t>
        </w:r>
      </w:hyperlink>
      <w:r w:rsidRPr="00FB72A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C047" w14:textId="77777777" w:rsidR="007B6940" w:rsidRDefault="007B69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60BD" w14:textId="77777777" w:rsidR="007B6940" w:rsidRDefault="007B69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BABF3" w14:textId="77777777" w:rsidR="007B6940" w:rsidRDefault="007B69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5B46F140"/>
    <w:lvl w:ilvl="0" w:tplc="7FE859D6">
      <w:start w:val="1"/>
      <w:numFmt w:val="decimal"/>
      <w:lvlText w:val="%1."/>
      <w:lvlJc w:val="left"/>
      <w:pPr>
        <w:ind w:left="1080" w:hanging="720"/>
      </w:pPr>
    </w:lvl>
    <w:lvl w:ilvl="1" w:tplc="FD44C802">
      <w:start w:val="1"/>
      <w:numFmt w:val="lowerLetter"/>
      <w:lvlText w:val="%2."/>
      <w:lvlJc w:val="left"/>
      <w:pPr>
        <w:ind w:left="1440" w:hanging="360"/>
      </w:pPr>
    </w:lvl>
    <w:lvl w:ilvl="2" w:tplc="AB4AC6DC">
      <w:start w:val="1"/>
      <w:numFmt w:val="lowerRoman"/>
      <w:lvlText w:val="%3."/>
      <w:lvlJc w:val="right"/>
      <w:pPr>
        <w:ind w:left="2160" w:hanging="180"/>
      </w:pPr>
    </w:lvl>
    <w:lvl w:ilvl="3" w:tplc="91341396">
      <w:start w:val="1"/>
      <w:numFmt w:val="decimal"/>
      <w:lvlText w:val="%4."/>
      <w:lvlJc w:val="left"/>
      <w:pPr>
        <w:ind w:left="2880" w:hanging="360"/>
      </w:pPr>
    </w:lvl>
    <w:lvl w:ilvl="4" w:tplc="B442CAC8">
      <w:start w:val="1"/>
      <w:numFmt w:val="lowerLetter"/>
      <w:lvlText w:val="%5."/>
      <w:lvlJc w:val="left"/>
      <w:pPr>
        <w:ind w:left="3600" w:hanging="360"/>
      </w:pPr>
    </w:lvl>
    <w:lvl w:ilvl="5" w:tplc="ED9E624A">
      <w:start w:val="1"/>
      <w:numFmt w:val="lowerRoman"/>
      <w:lvlText w:val="%6."/>
      <w:lvlJc w:val="right"/>
      <w:pPr>
        <w:ind w:left="4320" w:hanging="180"/>
      </w:pPr>
    </w:lvl>
    <w:lvl w:ilvl="6" w:tplc="2B78F38A">
      <w:start w:val="1"/>
      <w:numFmt w:val="decimal"/>
      <w:lvlText w:val="%7."/>
      <w:lvlJc w:val="left"/>
      <w:pPr>
        <w:ind w:left="5040" w:hanging="360"/>
      </w:pPr>
    </w:lvl>
    <w:lvl w:ilvl="7" w:tplc="8B70AE78">
      <w:start w:val="1"/>
      <w:numFmt w:val="lowerLetter"/>
      <w:lvlText w:val="%8."/>
      <w:lvlJc w:val="left"/>
      <w:pPr>
        <w:ind w:left="5760" w:hanging="360"/>
      </w:pPr>
    </w:lvl>
    <w:lvl w:ilvl="8" w:tplc="A9CC8930">
      <w:start w:val="1"/>
      <w:numFmt w:val="lowerRoman"/>
      <w:lvlText w:val="%9."/>
      <w:lvlJc w:val="right"/>
      <w:pPr>
        <w:ind w:left="6480" w:hanging="180"/>
      </w:pPr>
    </w:lvl>
  </w:abstractNum>
  <w:num w:numId="1" w16cid:durableId="1430813154">
    <w:abstractNumId w:val="9"/>
  </w:num>
  <w:num w:numId="2" w16cid:durableId="2063093858">
    <w:abstractNumId w:val="9"/>
  </w:num>
  <w:num w:numId="3" w16cid:durableId="361172421">
    <w:abstractNumId w:val="7"/>
  </w:num>
  <w:num w:numId="4" w16cid:durableId="1058170178">
    <w:abstractNumId w:val="7"/>
  </w:num>
  <w:num w:numId="5" w16cid:durableId="762412137">
    <w:abstractNumId w:val="6"/>
  </w:num>
  <w:num w:numId="6" w16cid:durableId="1160076576">
    <w:abstractNumId w:val="6"/>
  </w:num>
  <w:num w:numId="7" w16cid:durableId="1498111345">
    <w:abstractNumId w:val="5"/>
  </w:num>
  <w:num w:numId="8" w16cid:durableId="1460683345">
    <w:abstractNumId w:val="5"/>
  </w:num>
  <w:num w:numId="9" w16cid:durableId="410003738">
    <w:abstractNumId w:val="4"/>
  </w:num>
  <w:num w:numId="10" w16cid:durableId="1726365935">
    <w:abstractNumId w:val="4"/>
  </w:num>
  <w:num w:numId="11" w16cid:durableId="328140655">
    <w:abstractNumId w:val="8"/>
  </w:num>
  <w:num w:numId="12" w16cid:durableId="1170947739">
    <w:abstractNumId w:val="8"/>
  </w:num>
  <w:num w:numId="13" w16cid:durableId="474568266">
    <w:abstractNumId w:val="3"/>
  </w:num>
  <w:num w:numId="14" w16cid:durableId="1462729716">
    <w:abstractNumId w:val="3"/>
  </w:num>
  <w:num w:numId="15" w16cid:durableId="1651712676">
    <w:abstractNumId w:val="2"/>
  </w:num>
  <w:num w:numId="16" w16cid:durableId="207960257">
    <w:abstractNumId w:val="2"/>
  </w:num>
  <w:num w:numId="17" w16cid:durableId="840856509">
    <w:abstractNumId w:val="1"/>
  </w:num>
  <w:num w:numId="18" w16cid:durableId="1568147373">
    <w:abstractNumId w:val="1"/>
  </w:num>
  <w:num w:numId="19" w16cid:durableId="1116365068">
    <w:abstractNumId w:val="0"/>
  </w:num>
  <w:num w:numId="20" w16cid:durableId="1814253980">
    <w:abstractNumId w:val="0"/>
  </w:num>
  <w:num w:numId="21" w16cid:durableId="566452779">
    <w:abstractNumId w:val="9"/>
  </w:num>
  <w:num w:numId="22" w16cid:durableId="1677267131">
    <w:abstractNumId w:val="7"/>
  </w:num>
  <w:num w:numId="23" w16cid:durableId="1031299402">
    <w:abstractNumId w:val="6"/>
  </w:num>
  <w:num w:numId="24" w16cid:durableId="372849107">
    <w:abstractNumId w:val="5"/>
  </w:num>
  <w:num w:numId="25" w16cid:durableId="1909460531">
    <w:abstractNumId w:val="4"/>
  </w:num>
  <w:num w:numId="26" w16cid:durableId="1494368115">
    <w:abstractNumId w:val="8"/>
  </w:num>
  <w:num w:numId="27" w16cid:durableId="1745910525">
    <w:abstractNumId w:val="3"/>
  </w:num>
  <w:num w:numId="28" w16cid:durableId="1362584610">
    <w:abstractNumId w:val="2"/>
  </w:num>
  <w:num w:numId="29" w16cid:durableId="1495027880">
    <w:abstractNumId w:val="1"/>
  </w:num>
  <w:num w:numId="30" w16cid:durableId="1793591395">
    <w:abstractNumId w:val="0"/>
  </w:num>
  <w:num w:numId="31" w16cid:durableId="397827717">
    <w:abstractNumId w:val="9"/>
  </w:num>
  <w:num w:numId="32" w16cid:durableId="301273040">
    <w:abstractNumId w:val="7"/>
  </w:num>
  <w:num w:numId="33" w16cid:durableId="1726218674">
    <w:abstractNumId w:val="6"/>
  </w:num>
  <w:num w:numId="34" w16cid:durableId="129791181">
    <w:abstractNumId w:val="5"/>
  </w:num>
  <w:num w:numId="35" w16cid:durableId="1382442453">
    <w:abstractNumId w:val="4"/>
  </w:num>
  <w:num w:numId="36" w16cid:durableId="1605922271">
    <w:abstractNumId w:val="8"/>
  </w:num>
  <w:num w:numId="37" w16cid:durableId="1559628368">
    <w:abstractNumId w:val="3"/>
  </w:num>
  <w:num w:numId="38" w16cid:durableId="1839420671">
    <w:abstractNumId w:val="2"/>
  </w:num>
  <w:num w:numId="39" w16cid:durableId="1831142025">
    <w:abstractNumId w:val="1"/>
  </w:num>
  <w:num w:numId="40" w16cid:durableId="54477856">
    <w:abstractNumId w:val="0"/>
  </w:num>
  <w:num w:numId="41" w16cid:durableId="488139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3"/>
    <w:docVar w:name="COM2KEY" w:val="ITRE"/>
    <w:docVar w:name="COMKEY" w:val="BUDG"/>
    <w:docVar w:name="CONTRIBUTIONMNU" w:val=" 1"/>
    <w:docVar w:name="CopyToNetwork" w:val="-1"/>
    <w:docVar w:name="DOCDT" w:val="19/03/2026"/>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4988 HideTWBExt;}{\*\cs18 \additive \v\f1\fs20\cf15 _x000d__x000a_\spriority0 \styrsid16734988 HideTWBInt;}{\s19\ql \li0\ri0\nowidctlpar\wrapdefault\aspalpha\aspnum\faauto\adjustright\rin0\lin0\itap0 \rtlch\fcs1 \af0\afs20\alang1025 \ltrch\fcs0 \b\fs24\lang2057\langfe2057\cgrid\langnp2057\langfenp2057 _x000d__x000a_\sbasedon0 \snext19 \spriority0 \styrsid16734988 NormalBold;}{\s20\ql \li0\ri0\sa120\nowidctlpar\wrapdefault\aspalpha\aspnum\faauto\adjustright\rin0\lin0\itap0 \rtlch\fcs1 \af0\afs20\alang1025 \ltrch\fcs0 _x000d__x000a_\fs24\lang2057\langfe2057\cgrid\langnp2057\langfenp2057 \sbasedon0 \snext20 \spriority0 \styrsid16734988 Normal6a;}{\s21\qc \li0\ri0\sa240\nowidctlpar\wrapdefault\aspalpha\aspnum\faauto\adjustright\rin0\lin0\itap0 \rtlch\fcs1 \af0\afs20\alang1025 _x000d__x000a_\ltrch\fcs0 \i\fs24\lang2057\langfe2057\cgrid\langnp2057\langfenp2057 \sbasedon0 \snext21 \spriority0 \styrsid1673498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734988 AmNumberTabs;}{\s23\ql \li0\ri0\sa240\nowidctlpar\wrapdefault\aspalpha\aspnum\faauto\adjustright\rin0\lin0\itap0 \rtlch\fcs1 _x000d__x000a_\af0\afs20\alang1025 \ltrch\fcs0 \i\fs24\lang2057\langfe2057\cgrid\langnp2057\langfenp2057 \sbasedon0 \snext23 \spriority0 \styrsid16734988 AmJustText;}{_x000d__x000a_\s24\qc \li0\ri0\sb240\sa240\nowidctlpar\wrapdefault\aspalpha\aspnum\faauto\adjustright\rin0\lin0\itap0 \rtlch\fcs1 \af0\afs20\alang1025 \ltrch\fcs0 \i\fs24\lang2057\langfe2057\cgrid\langnp2057\langfenp2057 _x000d__x000a_\sbasedon0 \snext24 \spriority0 \styrsid16734988 AmCrossRef;}{\s25\qc \li0\ri0\sb240\sa240\keepn\nowidctlpar\wrapdefault\aspalpha\aspnum\faauto\adjustright\rin0\lin0\itap0 \rtlch\fcs1 \af0\afs20\alang1025 \ltrch\fcs0 _x000d__x000a_\i\fs24\lang2057\langfe2057\cgrid\langnp2057\langfenp2057 \sbasedon0 \snext23 \spriority0 \styrsid16734988 AmJustTitle;}{\s26\ql \li0\ri0\sb240\nowidctlpar\wrapdefault\aspalpha\aspnum\faauto\adjustright\rin0\lin0\itap0 \rtlch\fcs1 \af0\afs20\alang1025 _x000d__x000a_\ltrch\fcs0 \b\fs24\lang2057\langfe2057\cgrid\langnp2057\langfenp2057 \sbasedon0 \snext26 \spriority0 \styrsid16734988 NormalBold12b;}}{\*\rsidtbl \rsid24658\rsid223860\rsid735077\rsid1718133\rsid2892074\rsid3565327\rsid4666813\rsid6641733\rsid7823322_x000d__x000a_\rsid8456582\rsid9636012\rsid10377208\rsid11215221\rsid11549030\rsid12154954\rsid13179141\rsid14382809\rsid14424199\rsid15204470\rsid15285974\rsid15950462\rsid16324206\rsid16662270\rsid16734988}{\mmathPr\mmathFont34\mbrkBin0\mbrkBinSub0\msmallFrac0_x000d__x000a_\mdispDef1\mlMargin0\mrMargin0\mdefJc1\mwrapIndent1440\mintLim0\mnaryLim1}{\info{\author ANDRINO TIZON Rosalina}{\operator ANDRINO TIZON Rosalina}{\creatim\yr2026\mo4\dy23\hr7\min51}{\revtim\yr2026\mo4\dy23\hr7\min51}{\version1}{\edmins0}{\nofpages1}_x000d__x000a_{\nofwords102}{\nofchars599}{\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4988\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8456582 \chftnsep _x000d__x000a_\par }}{\*\ftnsepc \ltrpar \pard\plain \ltrpar\ql \li0\ri0\widctlpar\wrapdefault\aspalpha\aspnum\faauto\adjustright\rin0\lin0\itap0 \rtlch\fcs1 \af0\afs20\alang1025 \ltrch\fcs0 \fs24\lang2057\langfe2057\cgrid\langnp2057\langfenp2057 {\rtlch\fcs1 \af0 _x000d__x000a_\ltrch\fcs0 \insrsid8456582 \chftnsepc _x000d__x000a_\par }}{\*\aftnsep \ltrpar \pard\plain \ltrpar\ql \li0\ri0\widctlpar\wrapdefault\aspalpha\aspnum\faauto\adjustright\rin0\lin0\itap0 \rtlch\fcs1 \af0\afs20\alang1025 \ltrch\fcs0 \fs24\lang2057\langfe2057\cgrid\langnp2057\langfenp2057 {\rtlch\fcs1 \af0 _x000d__x000a_\ltrch\fcs0 \insrsid8456582 \chftnsep _x000d__x000a_\par }}{\*\aftnsepc \ltrpar \pard\plain \ltrpar\ql \li0\ri0\widctlpar\wrapdefault\aspalpha\aspnum\faauto\adjustright\rin0\lin0\itap0 \rtlch\fcs1 \af0\afs20\alang1025 \ltrch\fcs0 \fs24\lang2057\langfe2057\cgrid\langnp2057\langfenp2057 {\rtlch\fcs1 \af0 _x000d__x000a_\ltrch\fcs0 \insrsid8456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366698 \rtlch\fcs1 _x000d__x000a_\af0\afs20\alang1025 \ltrch\fcs0 \b\fs24\lang2057\langfe2057\cgrid\langnp2057\langfenp2057 {\rtlch\fcs1 \af0 \ltrch\fcs0 \cs17\b0\v\fs20\cf9\lang1024\langfe1024\loch\af1\hich\af1\dbch\af31501\noproof\insrsid16734988\charrsid10037553 {\*\bkmkstart restart}_x000d__x000a_\hich\af1\dbch\af31501\loch\f1 &lt;Amend&gt;}{\rtlch\fcs1 \af0 \ltrch\fcs0 \insrsid16734988\charrsid10037553 Amendment\tab \tab }{\rtlch\fcs1 \af0 \ltrch\fcs0 _x000d__x000a_\cs17\b0\v\fs20\cf9\lang1024\langfe1024\loch\af1\hich\af1\dbch\af31501\noproof\insrsid16734988\charrsid10037553 \hich\af1\dbch\af31501\loch\f1 &lt;NumAm&gt;}{\rtlch\fcs1 \af0 \ltrch\fcs0 \insrsid16734988\charrsid10037553 #}{\rtlch\fcs1 \af0 \ltrch\fcs0 _x000d__x000a_\cs18\v\f1\fs20\cf15\insrsid16734988\charrsid10037553 ENMIENDA@NRAM@}{\rtlch\fcs1 \af0 \ltrch\fcs0 \insrsid16734988\charrsid10037553 #}{\rtlch\fcs1 \af0 \ltrch\fcs0 _x000d__x000a_\cs17\b0\v\fs20\cf9\lang1024\langfe1024\loch\af1\hich\af1\dbch\af31501\noproof\insrsid16734988\charrsid10037553 \hich\af1\dbch\af31501\loch\f1 &lt;/NumAm&gt;}{\rtlch\fcs1 \af0 \ltrch\fcs0 \insrsid16734988\charrsid10037553 _x000d__x000a_\par }\pard\plain \ltrpar\s26\ql \li0\ri0\sb240\keepn\nowidctlpar\wrapdefault\aspalpha\aspnum\faauto\adjustright\rin0\lin0\itap0\pararsid7366698 \rtlch\fcs1 \af0\afs20\alang1025 \ltrch\fcs0 \b\fs24\lang2057\langfe2057\cgrid\langnp2057\langfenp2057 {_x000d__x000a_\rtlch\fcs1 \af0 \ltrch\fcs0 \cs17\b0\v\fs20\cf9\lang1024\langfe1024\loch\af1\hich\af1\dbch\af31501\noproof\insrsid16734988\charrsid10037553 \hich\af1\dbch\af31501\loch\f1 &lt;DocAmend&gt;}{\rtlch\fcs1 \af0 \ltrch\fcs0 \insrsid16734988\charrsid10037553 #}{_x000d__x000a_\rtlch\fcs1 \af0 \ltrch\fcs0 \cs18\v\f1\fs20\cf15\insrsid16734988\charrsid10037553 MNU[PROPCOM][PROPCOUNC]@CHOICE@TITLEMNU}{\rtlch\fcs1 \af0 \ltrch\fcs0 \insrsid16734988\charrsid10037553 ##}{\rtlch\fcs1 \af0 \ltrch\fcs0 _x000d__x000a_\cs18\v\f1\fs20\cf15\insrsid16734988\charrsid10037553 MNU[AMACTYES][NOTAPP]@CHOICE@AMACTMNU}{\rtlch\fcs1 \af0 \ltrch\fcs0 \insrsid16734988\charrsid10037553 #}{\rtlch\fcs1 \af0 \ltrch\fcs0 _x000d__x000a_\cs17\b0\v\fs20\cf9\lang1024\langfe1024\loch\af1\hich\af1\dbch\af31501\noproof\insrsid16734988\charrsid10037553 \hich\af1\dbch\af31501\loch\f1 &lt;/DocAmend&gt;}{\rtlch\fcs1 \af0 \ltrch\fcs0 \insrsid16734988\charrsid10037553 _x000d__x000a_\par }\pard\plain \ltrpar\s19\ql \li0\ri0\nowidctlpar\wrapdefault\aspalpha\aspnum\faauto\adjustright\rin0\lin0\itap0\pararsid7366698 \rtlch\fcs1 \af0\afs20\alang1025 \ltrch\fcs0 \b\fs24\lang2057\langfe2057\cgrid\langnp2057\langfenp2057 {\rtlch\fcs1 \af0 _x000d__x000a_\ltrch\fcs0 \cs17\b0\v\fs20\cf9\lang1024\langfe1024\loch\af1\hich\af1\dbch\af31501\noproof\insrsid16734988\charrsid10037553 \hich\af1\dbch\af31501\loch\f1 &lt;Article&gt;}{\rtlch\fcs1 \af0 \ltrch\fcs0 \insrsid16734988\charrsid10037553 #}{\rtlch\fcs1 \af0 _x000d__x000a_\ltrch\fcs0 \cs18\v\f1\fs20\cf15\insrsid16734988\charrsid10037553 MNU[AMACTPARTYES][AMACTPARTNO]@CHOICE@AMACTMNU}{\rtlch\fcs1 \af0 \ltrch\fcs0 \insrsid16734988\charrsid10037553 #}{\rtlch\fcs1 \af0 \ltrch\fcs0 _x000d__x000a_\cs17\b0\v\fs20\cf9\lang1024\langfe1024\loch\af1\hich\af1\dbch\af31501\noproof\insrsid16734988\charrsid10037553 \hich\af1\dbch\af31501\loch\f1 &lt;/Article&gt;}{\rtlch\fcs1 \af0 \ltrch\fcs0 \insrsid16734988\charrsid10037553 _x000d__x000a_\par }\pard\plain \ltrpar\ql \li0\ri0\keepn\widctlpar\wrapdefault\aspalpha\aspnum\faauto\adjustright\rin0\lin0\itap0\pararsid7366698 \rtlch\fcs1 \af0\afs20\alang1025 \ltrch\fcs0 \fs24\lang2057\langfe2057\cgrid\langnp2057\langfenp2057 {\rtlch\fcs1 \af0 _x000d__x000a_\ltrch\fcs0 \cs17\v\fs20\cf9\lang1024\langfe1024\loch\af1\hich\af1\dbch\af31501\noproof\insrsid16734988\charrsid10037553 \hich\af1\dbch\af31501\loch\f1 &lt;DocAmend2&gt;&lt;OptDel&gt;}{\rtlch\fcs1 \af0 \ltrch\fcs0 \insrsid16734988\charrsid10037553 #}{\rtlch\fcs1 _x000d__x000a_\af0 \ltrch\fcs0 \cs18\v\f1\fs20\cf15\insrsid16734988\charrsid10037553 MNU[OPTNRACTYES][NOTAPP]@CHOICE@AMACTMNU}{\rtlch\fcs1 \af0 \ltrch\fcs0 \insrsid16734988\charrsid10037553 #}{\rtlch\fcs1 \af0 \ltrch\fcs0 _x000d__x000a_\cs17\v\fs20\cf9\lang1024\langfe1024\loch\af1\hich\af1\dbch\af31501\noproof\insrsid16734988\charrsid10037553 \hich\af1\dbch\af31501\loch\f1 &lt;/OptDel&gt;&lt;/DocAmend2&gt;}{\rtlch\fcs1 \af0 \ltrch\fcs0 \insrsid16734988\charrsid10037553 _x000d__x000a_\par }\pard \ltrpar\ql \li0\ri0\widctlpar\wrapdefault\aspalpha\aspnum\faauto\adjustright\rin0\lin0\itap0\pararsid7366698 {\rtlch\fcs1 \af0 \ltrch\fcs0 \cs17\v\fs20\cf9\lang1024\langfe1024\loch\af1\hich\af1\dbch\af31501\noproof\insrsid16734988\charrsid10037553 _x000d__x000a_\hich\af1\dbch\af31501\loch\f1 &lt;Article2&gt;&lt;OptDel&gt;}{\rtlch\fcs1 \af0 \ltrch\fcs0 \insrsid16734988\charrsid10037553 #}{\rtlch\fcs1 \af0 \ltrch\fcs0 \cs18\v\f1\fs20\cf15\insrsid16734988\charrsid10037553 MNU[OPTACTPARTYES][NOTAPP]@CHOICE@AMACTMNU}{_x000d__x000a_\rtlch\fcs1 \af0 \ltrch\fcs0 \insrsid16734988\charrsid10037553 #}{\rtlch\fcs1 \af0 \ltrch\fcs0 \cs17\v\fs20\cf9\lang1024\langfe1024\loch\af1\hich\af1\dbch\af31501\noproof\insrsid16734988\charrsid10037553 \hich\af1\dbch\af31501\loch\f1 &lt;/OptDel&gt;&lt;/Article2&gt;_x000d__x000a_}{\rtlch\fcs1 \af0 \ltrch\fcs0 \insrsid16734988\charrsid10037553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6734988\charrsid10037553 \cell }\pard \ltrpar\ql \li0\ri0\widctlpar\intbl\wrapdefault\aspalpha\aspnum\faauto\adjustright\rin0\lin0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6734988\charrsid10037553 #}{\rtlch\fcs1 \af0 \ltrch\fcs0 \cs18\v\f1\fs20\cf15\insrsid16734988\charrsid10037553 MNU[OPTLEFTAMACT][LEFTPROP]@CHOICE@AMACTMNU}{\rtlch\fcs1 \af0 \ltrch\fcs0 _x000d__x000a_\insrsid16734988\charrsid10037553 #\cell Amendment\cell }\pard\plain \ltrpar\ql \li0\ri0\widctlpar\intbl\wrapdefault\aspalpha\aspnum\faauto\adjustright\rin0\lin0 \rtlch\fcs1 \af0\afs20\alang1025 \ltrch\fcs0 _x000d__x000a_\fs24\lang2057\langfe2057\cgrid\langnp2057\langfenp2057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6734988\charrsid10037553 #}{\rtlch\fcs1 \af0 \ltrch\fcs0 \cs18\v\f1\fs20\cf15\insrsid16734988\charrsid10037553 MNU[TEXTLEVA][TEXTLOTHER]@CHOICE@TEXTRMNU}{\rtlch\fcs1 \af0 \ltrch\fcs0 \insrsid16734988\charrsid10037553 #\cell #}{_x000d__x000a_\rtlch\fcs1 \af0 \ltrch\fcs0 \cs18\v\f1\fs20\cf15\insrsid16734988\charrsid10037553 MNU[TEXTREVA][TEXTROTHER]@CHOICE@TEXTRMNU}{\rtlch\fcs1 \af0 \ltrch\fcs0 \insrsid16734988\charrsid10037553 #\cell }\pard\plain \ltrpar_x000d__x000a_\ql \li0\ri0\widctlpar\intbl\wrapdefault\aspalpha\aspnum\faauto\adjustright\rin0\lin0 \rtlch\fcs1 \af0\afs20\alang1025 \ltrch\fcs0 \fs24\lang2057\langfe2057\cgrid\langnp2057\langfenp2057 {\rtlch\fcs1 \af0 \ltrch\fcs0 \insrsid16734988\charrsid10037553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7366698 \rtlch\fcs1 \af0\afs20\alang1025 \ltrch\fcs0 _x000d__x000a_\i\fs24\lang2057\langfe2057\cgrid\langnp2057\langfenp2057 {\rtlch\fcs1 \af0 \ltrch\fcs0 \cs17\i0\v\fs20\cf9\lang1024\langfe1024\loch\af1\hich\af1\dbch\af31501\noproof\insrsid16734988\charrsid10037553 \hich\af1\dbch\af31501\loch\f1 &lt;OptDel&gt;}{\rtlch\fcs1 _x000d__x000a_\af0 \ltrch\fcs0 \insrsid16734988\charrsid10037553 #}{\rtlch\fcs1 \af0 \ltrch\fcs0 \cs18\v\f1\fs20\cf15\insrsid16734988\charrsid10037553 MNU[CROSSREFNO][CROSSREFYES]@CHOICE@}{\rtlch\fcs1 \af0 \ltrch\fcs0 \insrsid16734988\charrsid10037553 #}{\rtlch\fcs1 _x000d__x000a_\af0 \ltrch\fcs0 \cs17\i0\v\fs20\cf9\lang1024\langfe1024\loch\af1\hich\af1\dbch\af31501\noproof\insrsid16734988\charrsid10037553 \hich\af1\dbch\af31501\loch\f1 &lt;/OptDel&gt;}{\rtlch\fcs1 \af0 \ltrch\fcs0 \insrsid16734988\charrsid10037553 _x000d__x000a_\par }\pard\plain \ltrpar\s25\qc \li0\ri0\sb240\sa240\keepn\nowidctlpar\wrapdefault\aspalpha\aspnum\faauto\adjustright\rin0\lin0\itap0\pararsid7366698 \rtlch\fcs1 \af0\afs20\alang1025 \ltrch\fcs0 \i\fs24\lang2057\langfe2057\cgrid\langnp2057\langfenp2057 {_x000d__x000a_\rtlch\fcs1 \af0 \ltrch\fcs0 \cs17\i0\v\fs20\cf9\lang1024\langfe1024\loch\af1\hich\af1\dbch\af31501\noproof\insrsid16734988\charrsid10037553 \hich\af1\dbch\af31501\loch\f1 &lt;TitreJust&gt;}{\rtlch\fcs1 \af0 \ltrch\fcs0 \insrsid16734988\charrsid10037553 _x000d__x000a_Justification}{\rtlch\fcs1 \af0 \ltrch\fcs0 \cs17\i0\v\fs20\cf9\lang1024\langfe1024\loch\af1\hich\af1\dbch\af31501\noproof\insrsid16734988\charrsid10037553 \hich\af1\dbch\af31501\loch\f1 &lt;/TitreJust&gt;}{\rtlch\fcs1 \af0 \ltrch\fcs0 _x000d__x000a_\insrsid16734988\charrsid10037553 _x000d__x000a_\par }\pard\plain \ltrpar\s23\ql \li0\ri0\sa240\nowidctlpar\wrapdefault\aspalpha\aspnum\faauto\adjustright\rin0\lin0\itap0\pararsid7366698 \rtlch\fcs1 \af0\afs20\alang1025 \ltrch\fcs0 \i\fs24\lang2057\langfe2057\cgrid\langnp2057\langfenp2057 {\rtlch\fcs1 \af0 _x000d__x000a_\ltrch\fcs0 \cs17\i0\v\fs20\cf9\lang1024\langfe1024\loch\af1\hich\af1\dbch\af31501\noproof\insrsid16734988\charrsid10037553 \hich\af1\dbch\af31501\loch\f1 &lt;OptDelPrev&gt;}{\rtlch\fcs1 \af0 \ltrch\fcs0 \insrsid16734988\charrsid10037553 #}{\rtlch\fcs1 \af0 _x000d__x000a_\ltrch\fcs0 \cs18\v\f1\fs20\cf15\insrsid16734988\charrsid10037553 MNU[TEXTJUSTYES][TEXTJUSTNO]@CHOICE@}{\rtlch\fcs1 \af0 \ltrch\fcs0 \insrsid16734988\charrsid10037553 #}{\rtlch\fcs1 \af0 \ltrch\fcs0 _x000d__x000a_\cs17\i0\v\fs20\cf9\lang1024\langfe1024\loch\af1\hich\af1\dbch\af31501\noproof\insrsid16734988\charrsid10037553 \hich\af1\dbch\af31501\loch\f1 &lt;/OptDelPrev&gt;}{\rtlch\fcs1 \af0 \ltrch\fcs0 \insrsid16734988\charrsid10037553 _x000d__x000a_\par }\pard\plain \ltrpar\ql \li0\ri0\widctlpar\wrapdefault\aspalpha\aspnum\faauto\adjustright\rin0\lin0\itap0\pararsid7366698 \rtlch\fcs1 \af0\afs20\alang1025 \ltrch\fcs0 \fs24\lang2057\langfe2057\cgrid\langnp2057\langfenp2057 {\rtlch\fcs1 \af0 \ltrch\fcs0 _x000d__x000a_\cs17\v\fs20\cf9\lang1024\langfe1024\loch\af1\hich\af1\dbch\af31501\noproof\insrsid16734988\charrsid10037553 \hich\af1\dbch\af31501\loch\f1 &lt;/Amend&gt;}{\rtlch\fcs1 \af0 \ltrch\fcs0 \insrsid167349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74410 HideTWBExt;}{_x000d__x000a_\s18\ql \li0\ri0\nowidctlpar\wrapdefault\aspalpha\aspnum\faauto\adjustright\rin0\lin0\itap0 \rtlch\fcs1 \af0\afs20\alang1025 \ltrch\fcs0 \b\fs24\lang2057\langfe2057\cgrid\langnp2057\langfenp2057 \sbasedon0 \snext18 \spriority0 \styrsid4074410 NormalBold;}_x000d__x000a_{\s19\ql \li0\ri0\sa120\nowidctlpar\wrapdefault\aspalpha\aspnum\faauto\adjustright\rin0\lin0\itap0 \rtlch\fcs1 \af0\afs20\alang1025 \ltrch\fcs0 \fs24\lang2057\langfe2057\cgrid\langnp2057\langfenp2057 \sbasedon0 \snext19 \spriority0 \styrsid4074410 _x000d__x000a_Normal6a;}{\s20\qc \li0\ri0\sa240\nowidctlpar\wrapdefault\aspalpha\aspnum\faauto\adjustright\rin0\lin0\itap0 \rtlch\fcs1 \af0\afs20\alang1025 \ltrch\fcs0 \i\fs24\lang2057\langfe2057\cgrid\langnp2057\langfenp2057 _x000d__x000a_\sbasedon0 \snext20 \spriority0 \styrsid40744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74410 AmNumberTabs;}{\s22\ql \li0\ri0\sa240\nowidctlpar\wrapdefault\aspalpha\aspnum\faauto\adjustright\rin0\lin0\itap0 \rtlch\fcs1 _x000d__x000a_\af0\afs20\alang1025 \ltrch\fcs0 \i\fs24\lang2057\langfe2057\cgrid\langnp2057\langfenp2057 \sbasedon0 \snext22 \spriority0 \styrsid4074410 AmJustText;}{_x000d__x000a_\s23\qc \li0\ri0\sb240\sa240\nowidctlpar\wrapdefault\aspalpha\aspnum\faauto\adjustright\rin0\lin0\itap0 \rtlch\fcs1 \af0\afs20\alang1025 \ltrch\fcs0 \i\fs24\lang2057\langfe2057\cgrid\langnp2057\langfenp2057 \sbasedon0 \snext23 \spriority0 \styrsid4074410 _x000d__x000a_AmCrossRef;}{\s24\qc \li0\ri0\sb240\sa240\keepn\nowidctlpar\wrapdefault\aspalpha\aspnum\faauto\adjustright\rin0\lin0\itap0 \rtlch\fcs1 \af0\afs20\alang1025 \ltrch\fcs0 \i\fs24\lang2057\langfe2057\cgrid\langnp2057\langfenp2057 _x000d__x000a_\sbasedon0 \snext22 \spriority0 \styrsid4074410 AmJustTitle;}{\s25\ql \li0\ri0\sb240\nowidctlpar\wrapdefault\aspalpha\aspnum\faauto\adjustright\rin0\lin0\itap0 \rtlch\fcs1 \af0\afs20\alang1025 \ltrch\fcs0 _x000d__x000a_\b\fs24\lang2057\langfe2057\cgrid\langnp2057\langfenp2057 \sbasedon0 \snext25 \spriority0 \styrsid4074410 NormalBold12b;}}{\*\rsidtbl \rsid24658\rsid223860\rsid735077\rsid1718133\rsid2892074\rsid3565327\rsid4074410\rsid4666813\rsid6641733\rsid7823322_x000d__x000a_\rsid9636012\rsid10377208\rsid10767733\rsid11215221\rsid11549030\rsid12154954\rsid13179141\rsid14382809\rsid14424199\rsid15204470\rsid15285974\rsid15950462\rsid16324206\rsid16662270}{\mmathPr\mmathFont34\mbrkBin0\mbrkBinSub0\msmallFrac0\mdispDef1_x000d__x000a_\mlMargin0\mrMargin0\mdefJc1\mwrapIndent1440\mintLim0\mnaryLim1}{\info{\author ANDRINO TIZON Rosalina}{\operator ANDRINO TIZON Rosalina}{\creatim\yr2026\mo4\dy23\hr7\min51}{\revtim\yr2026\mo4\dy23\hr7\min51}{\version1}{\edmins0}{\nofpages1}{\nofwords53}_x000d__x000a_{\nofchars314}{\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74410\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10767733 \chftnsep _x000d__x000a_\par }}{\*\ftnsepc \ltrpar \pard\plain \ltrpar\ql \li0\ri0\widctlpar\wrapdefault\aspalpha\aspnum\faauto\adjustright\rin0\lin0\itap0 \rtlch\fcs1 \af0\afs20\alang1025 \ltrch\fcs0 \fs24\lang2057\langfe2057\cgrid\langnp2057\langfenp2057 {\rtlch\fcs1 \af0 _x000d__x000a_\ltrch\fcs0 \insrsid10767733 \chftnsepc _x000d__x000a_\par }}{\*\aftnsep \ltrpar \pard\plain \ltrpar\ql \li0\ri0\widctlpar\wrapdefault\aspalpha\aspnum\faauto\adjustright\rin0\lin0\itap0 \rtlch\fcs1 \af0\afs20\alang1025 \ltrch\fcs0 \fs24\lang2057\langfe2057\cgrid\langnp2057\langfenp2057 {\rtlch\fcs1 \af0 _x000d__x000a_\ltrch\fcs0 \insrsid10767733 \chftnsep _x000d__x000a_\par }}{\*\aftnsepc \ltrpar \pard\plain \ltrpar\ql \li0\ri0\widctlpar\wrapdefault\aspalpha\aspnum\faauto\adjustright\rin0\lin0\itap0 \rtlch\fcs1 \af0\afs20\alang1025 \ltrch\fcs0 \fs24\lang2057\langfe2057\cgrid\langnp2057\langfenp2057 {\rtlch\fcs1 \af0 _x000d__x000a_\ltrch\fcs0 \insrsid10767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4074410 {\*\bkmkstart restart}_x000d__x000a_\hich\af1\dbch\af31501\loch\f1 &lt;Amend&gt;}{\rtlch\fcs1 \af0 \ltrch\fcs0 \lang1030\langfe2057\langnp1030\insrsid4074410 [ZAMENDMENT]\tab \tab }{\rtlch\fcs1 \af0 \ltrch\fcs0 _x000d__x000a_\cs17\b0\v\fs20\cf9\lang1024\langfe1024\loch\af1\hich\af1\dbch\af31501\noproof\langnp1030\insrsid4074410 \hich\af1\dbch\af31501\loch\f1 &lt;NumAm&gt;}{\rtlch\fcs1 \af0 \ltrch\fcs0 \lang1030\langfe2057\langnp1030\insrsid4074410 [ZNRAM]}{\rtlch\fcs1 \af0 _x000d__x000a_\ltrch\fcs0 \cs17\b0\v\fs20\cf9\lang1024\langfe1024\loch\af1\hich\af1\dbch\af31501\noproof\langnp1030\insrsid4074410 \hich\af1\dbch\af31501\loch\f1 &lt;/NumAm&gt;}{\rtlch\fcs1 \af0 \ltrch\fcs0 \lang1030\langfe2057\langnp1030\insrsid4074410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4074410 \hich\af1\dbch\af31501\loch\f1 &lt;DocAmend&gt;}{\rtlch\fcs1 \af0 \ltrch\fcs0 \lang1030\langfe2057\langnp1030\insrsid4074410 _x000d__x000a_[ZPROPOSAL][ZAMACT]}{\rtlch\fcs1 \af0 \ltrch\fcs0 \cs17\b0\v\fs20\cf9\lang1024\langfe1024\loch\af1\hich\af1\dbch\af31501\noproof\langnp1030\insrsid4074410 \hich\af1\dbch\af31501\loch\f1 &lt;/DocAmend&gt;}{\rtlch\fcs1 \af0 \ltrch\fcs0 _x000d__x000a_\lang1030\langfe2057\langnp1030\insrsid4074410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4074410 \hich\af1\dbch\af31501\loch\f1 &lt;Article&gt;}{\rtlch\fcs1 \af0 \ltrch\fcs0 \lang1030\langfe2057\langnp1030\insrsid4074410 [ZAMPART]}{_x000d__x000a_\rtlch\fcs1 \af0 \ltrch\fcs0 \cs17\b0\v\fs20\cf9\lang1024\langfe1024\loch\af1\hich\af1\dbch\af31501\noproof\langnp1030\insrsid4074410 \hich\af1\dbch\af31501\loch\f1 &lt;/Article&gt;}{\rtlch\fcs1 \af0 \ltrch\fcs0 \lang1030\langfe2057\langnp1030\insrsid4074410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4074410 \hich\af1\dbch\af31501\loch\f1 &lt;DocAmend2&gt;&lt;OptDel&gt;}{\rtlch\fcs1 \af0 \ltrch\fcs0 \lang1030\langfe2057\langnp1030\insrsid4074410 [ZNRACT]}{_x000d__x000a_\rtlch\fcs1 \af0 \ltrch\fcs0 \cs17\v\fs20\cf9\lang1024\langfe1024\loch\af1\hich\af1\dbch\af31501\noproof\langnp1030\insrsid4074410 \hich\af1\dbch\af31501\loch\f1 &lt;/OptDel&gt;&lt;/DocAmend2&gt;}{\rtlch\fcs1 \af0 \ltrch\fcs0 _x000d__x000a_\lang1030\langfe2057\langnp1030\insrsid4074410 _x000d__x000a_\par }\pard \ltrpar\ql \li0\ri0\widctlpar\wrapdefault\aspalpha\aspnum\faauto\adjustright\rin0\lin0\itap0\pararsid6293919 {\rtlch\fcs1 \af0 \ltrch\fcs0 \cs17\v\fs20\cf9\lang1024\langfe1024\loch\af1\hich\af1\dbch\af31501\noproof\langnp1036\insrsid4074410 _x000d__x000a_\hich\af1\dbch\af31501\loch\f1 &lt;Article2&gt;&lt;OptDel&gt;}{\rtlch\fcs1 \af0 \ltrch\fcs0 \lang1036\langfe2057\langnp1036\insrsid4074410 [ZACTPART]}{\rtlch\fcs1 \af0 \ltrch\fcs0 _x000d__x000a_\cs17\v\fs20\cf9\lang1024\langfe1024\loch\af1\hich\af1\dbch\af31501\noproof\langnp1036\insrsid4074410 \hich\af1\dbch\af31501\loch\f1 &lt;/OptDel&gt;&lt;/Article2&gt;}{\rtlch\fcs1 \af0 \ltrch\fcs0 \lang1036\langfe2057\langnp1036\insrsid4074410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4074410 \cell }\pard \ltrpar\ql \li0\ri0\widctlpar\intbl\wrapdefault\aspalpha\aspnum\faauto\adjustright\rin0\lin0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4074410 [ZLEFT]\cell [ZRIGHT]\cell }\pard\plain \ltrpar\ql \li0\ri0\widctlpar\intbl\wrapdefault\aspalpha\aspnum\faauto\adjustright\rin0\lin0 \rtlch\fcs1 \af0\afs20\alang1025 \ltrch\fcs0 _x000d__x000a_\fs24\lang2057\langfe2057\cgrid\langnp2057\langfenp2057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4074410 [ZTEXTL]\cell [ZTEXTR]\cell }\pard\plain \ltrpar\ql \li0\ri0\widctlpar\intbl\wrapdefault\aspalpha\aspnum\faauto\adjustright\rin0\lin0 \rtlch\fcs1 \af0\afs20\alang1025 \ltrch\fcs0 _x000d__x000a_\fs24\lang2057\langfe2057\cgrid\langnp2057\langfenp2057 {\rtlch\fcs1 \af0 \ltrch\fcs0 \insrsid4074410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OptDel&gt;}{\rtlch\fcs1 \af0 \ltrch\fcs0 \insrsid4074410 [ZCROSSREF]}{\rtlch\fcs1 \af0 \ltrch\fcs0 _x000d__x000a_\cs17\i0\v\fs20\cf9\lang1024\langfe1024\loch\af1\hich\af1\dbch\af31501\noproof\insrsid4074410 \hich\af1\dbch\af31501\loch\f1 &lt;/OptDel&gt;}{\rtlch\fcs1 \af0 \ltrch\fcs0 \insrsid4074410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TitreJust&gt;}{\rtlch\fcs1 \af0 \ltrch\fcs0 \insrsid4074410 [ZJUSTIFICATION]}{\rtlch\fcs1 \af0 _x000d__x000a_\ltrch\fcs0 \cs17\i0\v\fs20\cf9\lang1024\langfe1024\loch\af1\hich\af1\dbch\af31501\noproof\insrsid4074410 \hich\af1\dbch\af31501\loch\f1 &lt;/TitreJust&gt;}{\rtlch\fcs1 \af0 \ltrch\fcs0 \insrsid4074410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4074410 \hich\af1\dbch\af31501\loch\f1 &lt;OptDelPrev&gt;}{\rtlch\fcs1 \af0 \ltrch\fcs0 \insrsid4074410 [ZTEXTJUST]}{\rtlch\fcs1 \af0 \ltrch\fcs0 _x000d__x000a_\cs17\i0\v\fs20\cf9\lang1024\langfe1024\loch\af1\hich\af1\dbch\af31501\noproof\insrsid4074410 \hich\af1\dbch\af31501\loch\f1 &lt;/OptDelPrev&gt;}{\rtlch\fcs1 \af0 \ltrch\fcs0 \insrsid4074410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4074410 \hich\af1\dbch\af31501\loch\f1 &lt;/Amend&gt;}{\rtlch\fcs1 \af0 \ltrch\fcs0 \insrsid40744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2"/>
    <w:docVar w:name="TITLECODMNU" w:val=" 1"/>
    <w:docVar w:name="TITLEMNU" w:val=" 1"/>
    <w:docVar w:name="TXTAUTHOR" w:val="Hélder Sousa Silva"/>
    <w:docVar w:name="TXTLANGUE" w:val="EN"/>
    <w:docVar w:name="TXTLANGUEMIN" w:val="en"/>
    <w:docVar w:name="TXTNRC" w:val="XX"/>
    <w:docVar w:name="TXTNRCOM" w:val="XX"/>
    <w:docVar w:name="TXTNRPE" w:val="782.453"/>
    <w:docVar w:name="TXTNRPROC" w:val="2025/0543"/>
    <w:docVar w:name="TXTPEorAP" w:val="PE"/>
    <w:docVar w:name="TXTROUTE" w:val="AD\1342281EN.docx"/>
    <w:docVar w:name="TXTTITLE" w:val="XX"/>
    <w:docVar w:name="TXTVERSION" w:val="03-00"/>
  </w:docVars>
  <w:rsids>
    <w:rsidRoot w:val="002F1CDB"/>
    <w:rsid w:val="00002AF5"/>
    <w:rsid w:val="00006F54"/>
    <w:rsid w:val="00007C5D"/>
    <w:rsid w:val="00012B42"/>
    <w:rsid w:val="00017014"/>
    <w:rsid w:val="0001754B"/>
    <w:rsid w:val="00030B88"/>
    <w:rsid w:val="0003367A"/>
    <w:rsid w:val="00041599"/>
    <w:rsid w:val="00052101"/>
    <w:rsid w:val="00055C82"/>
    <w:rsid w:val="00066D73"/>
    <w:rsid w:val="00086729"/>
    <w:rsid w:val="000976C1"/>
    <w:rsid w:val="000A354D"/>
    <w:rsid w:val="000A4299"/>
    <w:rsid w:val="000B0E62"/>
    <w:rsid w:val="000B3516"/>
    <w:rsid w:val="000D1033"/>
    <w:rsid w:val="000E7EBF"/>
    <w:rsid w:val="000F2D1C"/>
    <w:rsid w:val="000F307C"/>
    <w:rsid w:val="00100083"/>
    <w:rsid w:val="00102D30"/>
    <w:rsid w:val="00113B68"/>
    <w:rsid w:val="00124F60"/>
    <w:rsid w:val="00134532"/>
    <w:rsid w:val="00135121"/>
    <w:rsid w:val="00140BE6"/>
    <w:rsid w:val="001449F5"/>
    <w:rsid w:val="00147F4E"/>
    <w:rsid w:val="00147FBF"/>
    <w:rsid w:val="00162767"/>
    <w:rsid w:val="0016635E"/>
    <w:rsid w:val="0016705E"/>
    <w:rsid w:val="0017131D"/>
    <w:rsid w:val="0017277D"/>
    <w:rsid w:val="00173215"/>
    <w:rsid w:val="001746D0"/>
    <w:rsid w:val="00195E4A"/>
    <w:rsid w:val="001A2259"/>
    <w:rsid w:val="001B7393"/>
    <w:rsid w:val="001D2ED9"/>
    <w:rsid w:val="001E42AF"/>
    <w:rsid w:val="001F21C1"/>
    <w:rsid w:val="001F2C77"/>
    <w:rsid w:val="00205307"/>
    <w:rsid w:val="00214B82"/>
    <w:rsid w:val="00217B7E"/>
    <w:rsid w:val="00225FA0"/>
    <w:rsid w:val="00227D06"/>
    <w:rsid w:val="002365D3"/>
    <w:rsid w:val="0024480A"/>
    <w:rsid w:val="00246EC9"/>
    <w:rsid w:val="002511AA"/>
    <w:rsid w:val="002668E6"/>
    <w:rsid w:val="00270617"/>
    <w:rsid w:val="00281C9F"/>
    <w:rsid w:val="00283121"/>
    <w:rsid w:val="0028399F"/>
    <w:rsid w:val="002920E2"/>
    <w:rsid w:val="002A7567"/>
    <w:rsid w:val="002B5650"/>
    <w:rsid w:val="002C2C3F"/>
    <w:rsid w:val="002D28A7"/>
    <w:rsid w:val="002D3164"/>
    <w:rsid w:val="002D7635"/>
    <w:rsid w:val="002E1718"/>
    <w:rsid w:val="002E2F2E"/>
    <w:rsid w:val="002E3A29"/>
    <w:rsid w:val="002E4AA3"/>
    <w:rsid w:val="002E5DE4"/>
    <w:rsid w:val="002E6F98"/>
    <w:rsid w:val="002F1CDB"/>
    <w:rsid w:val="002F24FD"/>
    <w:rsid w:val="002F4CC3"/>
    <w:rsid w:val="00306B00"/>
    <w:rsid w:val="003230B1"/>
    <w:rsid w:val="00325BCB"/>
    <w:rsid w:val="00325D7F"/>
    <w:rsid w:val="00325EDE"/>
    <w:rsid w:val="00331944"/>
    <w:rsid w:val="00332AD9"/>
    <w:rsid w:val="003402B9"/>
    <w:rsid w:val="00345CBF"/>
    <w:rsid w:val="00347D2C"/>
    <w:rsid w:val="003508DA"/>
    <w:rsid w:val="003575E8"/>
    <w:rsid w:val="00357761"/>
    <w:rsid w:val="00362463"/>
    <w:rsid w:val="00367A50"/>
    <w:rsid w:val="0037356F"/>
    <w:rsid w:val="003767EF"/>
    <w:rsid w:val="003858C5"/>
    <w:rsid w:val="00390EB2"/>
    <w:rsid w:val="00391AC1"/>
    <w:rsid w:val="00396A0E"/>
    <w:rsid w:val="003A5DEB"/>
    <w:rsid w:val="003B229E"/>
    <w:rsid w:val="003B2862"/>
    <w:rsid w:val="003B4426"/>
    <w:rsid w:val="003B507D"/>
    <w:rsid w:val="003C3A38"/>
    <w:rsid w:val="003D43B7"/>
    <w:rsid w:val="003D5C9C"/>
    <w:rsid w:val="003E2402"/>
    <w:rsid w:val="003E5A8F"/>
    <w:rsid w:val="003E6B61"/>
    <w:rsid w:val="003F2D3B"/>
    <w:rsid w:val="00401780"/>
    <w:rsid w:val="00402E8B"/>
    <w:rsid w:val="004272F5"/>
    <w:rsid w:val="0043045C"/>
    <w:rsid w:val="004456FB"/>
    <w:rsid w:val="00446D42"/>
    <w:rsid w:val="00450A7E"/>
    <w:rsid w:val="0046245A"/>
    <w:rsid w:val="004667D1"/>
    <w:rsid w:val="00466D44"/>
    <w:rsid w:val="0047642E"/>
    <w:rsid w:val="00477552"/>
    <w:rsid w:val="00481B23"/>
    <w:rsid w:val="00483F34"/>
    <w:rsid w:val="00485C5C"/>
    <w:rsid w:val="004A1C45"/>
    <w:rsid w:val="004A609B"/>
    <w:rsid w:val="004A7D39"/>
    <w:rsid w:val="004C28FB"/>
    <w:rsid w:val="004C3B63"/>
    <w:rsid w:val="004C44C0"/>
    <w:rsid w:val="004D0E3B"/>
    <w:rsid w:val="004D18F2"/>
    <w:rsid w:val="004D4FA4"/>
    <w:rsid w:val="004E2AB4"/>
    <w:rsid w:val="004F093C"/>
    <w:rsid w:val="00514274"/>
    <w:rsid w:val="00517318"/>
    <w:rsid w:val="0052544E"/>
    <w:rsid w:val="00526F89"/>
    <w:rsid w:val="005365D3"/>
    <w:rsid w:val="00546BD2"/>
    <w:rsid w:val="00556CD6"/>
    <w:rsid w:val="00566D37"/>
    <w:rsid w:val="0056775B"/>
    <w:rsid w:val="0057732D"/>
    <w:rsid w:val="0058215E"/>
    <w:rsid w:val="00582163"/>
    <w:rsid w:val="005940C3"/>
    <w:rsid w:val="00594C48"/>
    <w:rsid w:val="005A2392"/>
    <w:rsid w:val="005B2376"/>
    <w:rsid w:val="005B2F11"/>
    <w:rsid w:val="005B62FD"/>
    <w:rsid w:val="005C0BDF"/>
    <w:rsid w:val="005D024F"/>
    <w:rsid w:val="005D60C6"/>
    <w:rsid w:val="005D6788"/>
    <w:rsid w:val="005E2EB2"/>
    <w:rsid w:val="005F2C93"/>
    <w:rsid w:val="005F64C9"/>
    <w:rsid w:val="00600957"/>
    <w:rsid w:val="00601537"/>
    <w:rsid w:val="006017DD"/>
    <w:rsid w:val="006102E7"/>
    <w:rsid w:val="00610FA5"/>
    <w:rsid w:val="006217F2"/>
    <w:rsid w:val="00621F8F"/>
    <w:rsid w:val="00630767"/>
    <w:rsid w:val="00630B5E"/>
    <w:rsid w:val="00631ECA"/>
    <w:rsid w:val="00640C1B"/>
    <w:rsid w:val="00646D7F"/>
    <w:rsid w:val="00657AFB"/>
    <w:rsid w:val="006770A2"/>
    <w:rsid w:val="00685EBC"/>
    <w:rsid w:val="00686DF1"/>
    <w:rsid w:val="00693DC6"/>
    <w:rsid w:val="006B5641"/>
    <w:rsid w:val="006B5685"/>
    <w:rsid w:val="006D16AE"/>
    <w:rsid w:val="006D5BF7"/>
    <w:rsid w:val="006D5D60"/>
    <w:rsid w:val="006E207B"/>
    <w:rsid w:val="006E3D25"/>
    <w:rsid w:val="006E43BA"/>
    <w:rsid w:val="006F2815"/>
    <w:rsid w:val="006F4E35"/>
    <w:rsid w:val="006F6345"/>
    <w:rsid w:val="00700D2A"/>
    <w:rsid w:val="00702A88"/>
    <w:rsid w:val="00730988"/>
    <w:rsid w:val="007323CD"/>
    <w:rsid w:val="007343B3"/>
    <w:rsid w:val="0074139F"/>
    <w:rsid w:val="00753996"/>
    <w:rsid w:val="00754C04"/>
    <w:rsid w:val="00755CD7"/>
    <w:rsid w:val="00757C4C"/>
    <w:rsid w:val="007604CE"/>
    <w:rsid w:val="00760D63"/>
    <w:rsid w:val="007638D0"/>
    <w:rsid w:val="00770214"/>
    <w:rsid w:val="00783C83"/>
    <w:rsid w:val="00784770"/>
    <w:rsid w:val="007A0439"/>
    <w:rsid w:val="007A403A"/>
    <w:rsid w:val="007B107D"/>
    <w:rsid w:val="007B2187"/>
    <w:rsid w:val="007B5CC7"/>
    <w:rsid w:val="007B6940"/>
    <w:rsid w:val="007C6D0D"/>
    <w:rsid w:val="007C704E"/>
    <w:rsid w:val="007E03E2"/>
    <w:rsid w:val="007E0990"/>
    <w:rsid w:val="007E4EEA"/>
    <w:rsid w:val="007E6C91"/>
    <w:rsid w:val="007F1A57"/>
    <w:rsid w:val="00800C20"/>
    <w:rsid w:val="0080329C"/>
    <w:rsid w:val="00803693"/>
    <w:rsid w:val="00816BE5"/>
    <w:rsid w:val="00825069"/>
    <w:rsid w:val="008313E7"/>
    <w:rsid w:val="00840391"/>
    <w:rsid w:val="00842418"/>
    <w:rsid w:val="008479EC"/>
    <w:rsid w:val="00850EEA"/>
    <w:rsid w:val="00852263"/>
    <w:rsid w:val="00854CAC"/>
    <w:rsid w:val="00873BF3"/>
    <w:rsid w:val="008815E1"/>
    <w:rsid w:val="008829FE"/>
    <w:rsid w:val="00882CB5"/>
    <w:rsid w:val="008869C5"/>
    <w:rsid w:val="008901B1"/>
    <w:rsid w:val="008A0FE4"/>
    <w:rsid w:val="008A32C5"/>
    <w:rsid w:val="008C0B61"/>
    <w:rsid w:val="008C2388"/>
    <w:rsid w:val="008C6203"/>
    <w:rsid w:val="008D2A3C"/>
    <w:rsid w:val="008D61E7"/>
    <w:rsid w:val="008D6468"/>
    <w:rsid w:val="008E17AF"/>
    <w:rsid w:val="008E2BE3"/>
    <w:rsid w:val="008F33FC"/>
    <w:rsid w:val="008F7002"/>
    <w:rsid w:val="00946BEF"/>
    <w:rsid w:val="00955944"/>
    <w:rsid w:val="0095761F"/>
    <w:rsid w:val="00961E8B"/>
    <w:rsid w:val="009626A8"/>
    <w:rsid w:val="00962782"/>
    <w:rsid w:val="00963DF4"/>
    <w:rsid w:val="00976019"/>
    <w:rsid w:val="00993D65"/>
    <w:rsid w:val="0099493F"/>
    <w:rsid w:val="009B13EE"/>
    <w:rsid w:val="009B4FF7"/>
    <w:rsid w:val="009C316C"/>
    <w:rsid w:val="009C4706"/>
    <w:rsid w:val="009C7BBC"/>
    <w:rsid w:val="009D1AB2"/>
    <w:rsid w:val="009D51C1"/>
    <w:rsid w:val="009E64BF"/>
    <w:rsid w:val="009F1C99"/>
    <w:rsid w:val="00A16BEA"/>
    <w:rsid w:val="00A24629"/>
    <w:rsid w:val="00A30C8E"/>
    <w:rsid w:val="00A312B3"/>
    <w:rsid w:val="00A401F5"/>
    <w:rsid w:val="00A47E2F"/>
    <w:rsid w:val="00A56164"/>
    <w:rsid w:val="00A72C35"/>
    <w:rsid w:val="00A73317"/>
    <w:rsid w:val="00A82E7D"/>
    <w:rsid w:val="00A91B4A"/>
    <w:rsid w:val="00AA0704"/>
    <w:rsid w:val="00AA0D98"/>
    <w:rsid w:val="00AA0F95"/>
    <w:rsid w:val="00AA4C55"/>
    <w:rsid w:val="00AA6C9D"/>
    <w:rsid w:val="00AA6CB5"/>
    <w:rsid w:val="00AB5733"/>
    <w:rsid w:val="00AC5AAD"/>
    <w:rsid w:val="00AE180F"/>
    <w:rsid w:val="00AE5581"/>
    <w:rsid w:val="00AE79AF"/>
    <w:rsid w:val="00AF5611"/>
    <w:rsid w:val="00B05A76"/>
    <w:rsid w:val="00B2497D"/>
    <w:rsid w:val="00B32115"/>
    <w:rsid w:val="00B362F7"/>
    <w:rsid w:val="00B5456B"/>
    <w:rsid w:val="00B735E3"/>
    <w:rsid w:val="00B74B53"/>
    <w:rsid w:val="00B84ED1"/>
    <w:rsid w:val="00B87BB2"/>
    <w:rsid w:val="00B978D5"/>
    <w:rsid w:val="00BA3E9A"/>
    <w:rsid w:val="00BA7B93"/>
    <w:rsid w:val="00BA7BC0"/>
    <w:rsid w:val="00BB19A4"/>
    <w:rsid w:val="00BC26E4"/>
    <w:rsid w:val="00BC5686"/>
    <w:rsid w:val="00BD09AE"/>
    <w:rsid w:val="00BD1ABA"/>
    <w:rsid w:val="00BD1EAA"/>
    <w:rsid w:val="00BD546B"/>
    <w:rsid w:val="00BE3888"/>
    <w:rsid w:val="00BF0AFC"/>
    <w:rsid w:val="00BF6786"/>
    <w:rsid w:val="00C04E9D"/>
    <w:rsid w:val="00C22D82"/>
    <w:rsid w:val="00C304C7"/>
    <w:rsid w:val="00C33C10"/>
    <w:rsid w:val="00C3435E"/>
    <w:rsid w:val="00C36610"/>
    <w:rsid w:val="00C36A5B"/>
    <w:rsid w:val="00C44B11"/>
    <w:rsid w:val="00C508FC"/>
    <w:rsid w:val="00C52739"/>
    <w:rsid w:val="00C60A46"/>
    <w:rsid w:val="00C717AF"/>
    <w:rsid w:val="00C736C1"/>
    <w:rsid w:val="00C827FF"/>
    <w:rsid w:val="00C84881"/>
    <w:rsid w:val="00C8553D"/>
    <w:rsid w:val="00C878DE"/>
    <w:rsid w:val="00C9183D"/>
    <w:rsid w:val="00C91905"/>
    <w:rsid w:val="00CB0E24"/>
    <w:rsid w:val="00CB198D"/>
    <w:rsid w:val="00CD34AC"/>
    <w:rsid w:val="00CE0A97"/>
    <w:rsid w:val="00CE6558"/>
    <w:rsid w:val="00CE73B2"/>
    <w:rsid w:val="00CF2CEE"/>
    <w:rsid w:val="00D006EE"/>
    <w:rsid w:val="00D05797"/>
    <w:rsid w:val="00D05B70"/>
    <w:rsid w:val="00D067E4"/>
    <w:rsid w:val="00D13BB8"/>
    <w:rsid w:val="00D21BB0"/>
    <w:rsid w:val="00D22A96"/>
    <w:rsid w:val="00D318E7"/>
    <w:rsid w:val="00D40947"/>
    <w:rsid w:val="00D411F7"/>
    <w:rsid w:val="00D57A1A"/>
    <w:rsid w:val="00D717FD"/>
    <w:rsid w:val="00D7202C"/>
    <w:rsid w:val="00D8432D"/>
    <w:rsid w:val="00D92AE2"/>
    <w:rsid w:val="00D93847"/>
    <w:rsid w:val="00DB5868"/>
    <w:rsid w:val="00DC14A8"/>
    <w:rsid w:val="00DC4F54"/>
    <w:rsid w:val="00DE19FF"/>
    <w:rsid w:val="00DF0799"/>
    <w:rsid w:val="00E00D3E"/>
    <w:rsid w:val="00E128BB"/>
    <w:rsid w:val="00E14B38"/>
    <w:rsid w:val="00E154EF"/>
    <w:rsid w:val="00E17380"/>
    <w:rsid w:val="00E1768C"/>
    <w:rsid w:val="00E263DF"/>
    <w:rsid w:val="00E34244"/>
    <w:rsid w:val="00E40C7D"/>
    <w:rsid w:val="00E57C99"/>
    <w:rsid w:val="00E61C10"/>
    <w:rsid w:val="00E63984"/>
    <w:rsid w:val="00E8005A"/>
    <w:rsid w:val="00E81BA6"/>
    <w:rsid w:val="00E81E17"/>
    <w:rsid w:val="00E856D2"/>
    <w:rsid w:val="00E86A77"/>
    <w:rsid w:val="00E929A7"/>
    <w:rsid w:val="00E92C76"/>
    <w:rsid w:val="00E93EA3"/>
    <w:rsid w:val="00EA5F7F"/>
    <w:rsid w:val="00EB736D"/>
    <w:rsid w:val="00EB761F"/>
    <w:rsid w:val="00EC43A3"/>
    <w:rsid w:val="00ED2DAE"/>
    <w:rsid w:val="00EF0228"/>
    <w:rsid w:val="00F01DE1"/>
    <w:rsid w:val="00F17A62"/>
    <w:rsid w:val="00F26123"/>
    <w:rsid w:val="00F46189"/>
    <w:rsid w:val="00F51012"/>
    <w:rsid w:val="00F53349"/>
    <w:rsid w:val="00F655A9"/>
    <w:rsid w:val="00F74E92"/>
    <w:rsid w:val="00F751AE"/>
    <w:rsid w:val="00F83B8C"/>
    <w:rsid w:val="00F95B55"/>
    <w:rsid w:val="00FA0E98"/>
    <w:rsid w:val="00FA31F3"/>
    <w:rsid w:val="00FB440F"/>
    <w:rsid w:val="00FB5399"/>
    <w:rsid w:val="00FB72A1"/>
    <w:rsid w:val="00FB74AF"/>
    <w:rsid w:val="00FC228C"/>
    <w:rsid w:val="00FC42F1"/>
    <w:rsid w:val="00FC5490"/>
    <w:rsid w:val="00FC6460"/>
    <w:rsid w:val="00FD0D14"/>
    <w:rsid w:val="00FD4BC4"/>
    <w:rsid w:val="00FE24DE"/>
    <w:rsid w:val="00FF49A3"/>
    <w:rsid w:val="00FF4B50"/>
    <w:rsid w:val="00FF5EE7"/>
    <w:rsid w:val="00FF64E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F3999"/>
  <w15:chartTrackingRefBased/>
  <w15:docId w15:val="{2A471FD1-8A50-4278-A925-7B04971E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01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755CD7"/>
    <w:rPr>
      <w:sz w:val="20"/>
    </w:rPr>
  </w:style>
  <w:style w:type="character" w:customStyle="1" w:styleId="FootnoteTextChar">
    <w:name w:val="Footnote Text Char"/>
    <w:basedOn w:val="DefaultParagraphFont"/>
    <w:link w:val="FootnoteText"/>
    <w:rsid w:val="00755CD7"/>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nhideWhenUsed/>
    <w:rsid w:val="00755CD7"/>
    <w:rPr>
      <w:vertAlign w:val="superscript"/>
    </w:rPr>
  </w:style>
  <w:style w:type="character" w:styleId="Hyperlink">
    <w:name w:val="Hyperlink"/>
    <w:basedOn w:val="DefaultParagraphFont"/>
    <w:unhideWhenUsed/>
    <w:rsid w:val="00755CD7"/>
    <w:rPr>
      <w:color w:val="0563C1" w:themeColor="hyperlink"/>
      <w:u w:val="single"/>
    </w:rPr>
  </w:style>
  <w:style w:type="character" w:styleId="UnresolvedMention">
    <w:name w:val="Unresolved Mention"/>
    <w:basedOn w:val="DefaultParagraphFont"/>
    <w:uiPriority w:val="99"/>
    <w:semiHidden/>
    <w:unhideWhenUsed/>
    <w:rsid w:val="006D16AE"/>
    <w:rPr>
      <w:color w:val="605E5C"/>
      <w:shd w:val="clear" w:color="auto" w:fill="E1DFDD"/>
    </w:rPr>
  </w:style>
  <w:style w:type="paragraph" w:styleId="CommentText">
    <w:name w:val="annotation text"/>
    <w:basedOn w:val="Normal"/>
    <w:link w:val="CommentTextChar"/>
    <w:unhideWhenUsed/>
    <w:rsid w:val="00C04E9D"/>
    <w:rPr>
      <w:sz w:val="20"/>
    </w:rPr>
  </w:style>
  <w:style w:type="character" w:customStyle="1" w:styleId="CommentTextChar">
    <w:name w:val="Comment Text Char"/>
    <w:basedOn w:val="DefaultParagraphFont"/>
    <w:link w:val="CommentText"/>
    <w:rsid w:val="00C04E9D"/>
  </w:style>
  <w:style w:type="character" w:styleId="CommentReference">
    <w:name w:val="annotation reference"/>
    <w:basedOn w:val="DefaultParagraphFont"/>
    <w:unhideWhenUsed/>
    <w:rsid w:val="00C04E9D"/>
    <w:rPr>
      <w:sz w:val="16"/>
      <w:szCs w:val="16"/>
    </w:rPr>
  </w:style>
  <w:style w:type="paragraph" w:styleId="Footer">
    <w:name w:val="footer"/>
    <w:basedOn w:val="Normal"/>
    <w:link w:val="FooterChar"/>
    <w:semiHidden/>
    <w:rsid w:val="008479EC"/>
    <w:pPr>
      <w:tabs>
        <w:tab w:val="center" w:pos="4513"/>
        <w:tab w:val="right" w:pos="9026"/>
      </w:tabs>
    </w:pPr>
  </w:style>
  <w:style w:type="character" w:customStyle="1" w:styleId="FooterChar">
    <w:name w:val="Footer Char"/>
    <w:basedOn w:val="DefaultParagraphFont"/>
    <w:link w:val="Footer"/>
    <w:semiHidden/>
    <w:rsid w:val="008479EC"/>
    <w:rPr>
      <w:sz w:val="24"/>
    </w:rPr>
  </w:style>
  <w:style w:type="paragraph" w:styleId="Revision">
    <w:name w:val="Revision"/>
    <w:hidden/>
    <w:uiPriority w:val="99"/>
    <w:semiHidden/>
    <w:rsid w:val="00E00D3E"/>
    <w:rPr>
      <w:sz w:val="24"/>
    </w:rPr>
  </w:style>
  <w:style w:type="paragraph" w:customStyle="1" w:styleId="RollCallSymbols14pt">
    <w:name w:val="RollCallSymbols14pt"/>
    <w:basedOn w:val="Normal"/>
    <w:rsid w:val="00C878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78DE"/>
    <w:pPr>
      <w:tabs>
        <w:tab w:val="center" w:pos="284"/>
        <w:tab w:val="left" w:pos="426"/>
      </w:tabs>
    </w:pPr>
    <w:rPr>
      <w:snapToGrid w:val="0"/>
      <w:lang w:eastAsia="en-US"/>
    </w:rPr>
  </w:style>
  <w:style w:type="paragraph" w:customStyle="1" w:styleId="RollCallVotes">
    <w:name w:val="RollCallVotes"/>
    <w:basedOn w:val="Normal"/>
    <w:rsid w:val="00C878DE"/>
    <w:pPr>
      <w:spacing w:before="120" w:after="120"/>
      <w:jc w:val="center"/>
    </w:pPr>
    <w:rPr>
      <w:b/>
      <w:bCs/>
      <w:snapToGrid w:val="0"/>
      <w:sz w:val="16"/>
      <w:lang w:eastAsia="en-US"/>
    </w:rPr>
  </w:style>
  <w:style w:type="paragraph" w:customStyle="1" w:styleId="RollCallTable">
    <w:name w:val="RollCallTable"/>
    <w:basedOn w:val="Normal"/>
    <w:rsid w:val="00C878DE"/>
    <w:pPr>
      <w:spacing w:before="120" w:after="120"/>
    </w:pPr>
    <w:rPr>
      <w:snapToGrid w:val="0"/>
      <w:sz w:val="16"/>
      <w:lang w:eastAsia="en-US"/>
    </w:rPr>
  </w:style>
  <w:style w:type="paragraph" w:styleId="CommentSubject">
    <w:name w:val="annotation subject"/>
    <w:basedOn w:val="CommentText"/>
    <w:next w:val="CommentText"/>
    <w:link w:val="CommentSubjectChar"/>
    <w:semiHidden/>
    <w:unhideWhenUsed/>
    <w:rsid w:val="00963DF4"/>
    <w:rPr>
      <w:b/>
      <w:bCs/>
    </w:rPr>
  </w:style>
  <w:style w:type="character" w:customStyle="1" w:styleId="CommentSubjectChar">
    <w:name w:val="Comment Subject Char"/>
    <w:basedOn w:val="CommentTextChar"/>
    <w:link w:val="CommentSubject"/>
    <w:semiHidden/>
    <w:rsid w:val="00963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B569-51A9-4E74-BD30-49EBA0FD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4464</Words>
  <Characters>27100</Characters>
  <Application>Microsoft Office Word</Application>
  <DocSecurity>0</DocSecurity>
  <Lines>732</Lines>
  <Paragraphs>207</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31357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2026-07-09T07:35:00Z</cp:lastPrinted>
  <dcterms:created xsi:type="dcterms:W3CDTF">2026-07-09T14:05:00Z</dcterms:created>
  <dcterms:modified xsi:type="dcterms:W3CDTF">2026-07-09T14:05:00Z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1342281</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AD</vt:lpwstr>
  </property>
  <property fmtid="{D5CDD505-2E9C-101B-9397-08002B2CF9AE}" pid="8" name="Bookout">
    <vt:lpwstr>OK - 2026/07/09 16:05</vt:lpwstr>
  </property>
  <property fmtid="{D5CDD505-2E9C-101B-9397-08002B2CF9AE}" pid="9" name="Created with">
    <vt:lpwstr>10.2.1 Build [20260301]</vt:lpwstr>
  </property>
  <property fmtid="{D5CDD505-2E9C-101B-9397-08002B2CF9AE}" pid="10" name="FooterPath">
    <vt:lpwstr>AD\1342281BG.docx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782.453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NOK(Major:TWBEXT)(Minor:HDG) - 2026/06/26 11:20</vt:lpwstr>
  </property>
</Properties>
</file>