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93458" w:rsidRPr="00EA674E" w14:paraId="07E622F7" w14:textId="77777777">
        <w:trPr>
          <w:trHeight w:hRule="exact" w:val="1418"/>
        </w:trPr>
        <w:tc>
          <w:tcPr>
            <w:tcW w:w="6804" w:type="dxa"/>
            <w:shd w:val="clear" w:color="auto" w:fill="auto"/>
            <w:vAlign w:val="center"/>
          </w:tcPr>
          <w:p w14:paraId="361D3FAE" w14:textId="77777777" w:rsidR="00854CAC" w:rsidRPr="00EA674E" w:rsidRDefault="00FD06C2" w:rsidP="00FD06C2">
            <w:pPr>
              <w:pStyle w:val="EPName"/>
              <w:widowControl/>
            </w:pPr>
            <w:r w:rsidRPr="00EA674E">
              <w:t>Euroopan parlamentti</w:t>
            </w:r>
          </w:p>
          <w:p w14:paraId="1B20D90B" w14:textId="77777777" w:rsidR="00854CAC" w:rsidRPr="00EA674E" w:rsidRDefault="00FD06C2" w:rsidP="00FD06C2">
            <w:pPr>
              <w:pStyle w:val="EPTerm"/>
              <w:widowControl/>
            </w:pPr>
            <w:r w:rsidRPr="00EA674E">
              <w:t>2024-2029</w:t>
            </w:r>
          </w:p>
        </w:tc>
        <w:tc>
          <w:tcPr>
            <w:tcW w:w="2268" w:type="dxa"/>
            <w:shd w:val="clear" w:color="auto" w:fill="auto"/>
          </w:tcPr>
          <w:p w14:paraId="563344E0" w14:textId="77777777" w:rsidR="00854CAC" w:rsidRPr="00EA674E" w:rsidRDefault="00FD06C2" w:rsidP="00FD06C2">
            <w:pPr>
              <w:pStyle w:val="EPLogo"/>
              <w:widowControl/>
            </w:pPr>
            <w:r w:rsidRPr="00EA674E">
              <w:rPr>
                <w:noProof/>
                <w:lang w:eastAsia="ja-JP"/>
              </w:rPr>
              <w:drawing>
                <wp:inline distT="0" distB="0" distL="0" distR="0" wp14:anchorId="6C3F3BC8" wp14:editId="50E55A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2D80C30" w14:textId="77777777" w:rsidR="001746D0" w:rsidRPr="00EA674E" w:rsidRDefault="001746D0" w:rsidP="00FD06C2">
      <w:pPr>
        <w:pStyle w:val="LineTop"/>
        <w:widowControl/>
      </w:pPr>
    </w:p>
    <w:p w14:paraId="55585897" w14:textId="77777777" w:rsidR="001746D0" w:rsidRPr="00EA674E" w:rsidRDefault="00FD06C2" w:rsidP="00FD06C2">
      <w:pPr>
        <w:pStyle w:val="EPBody"/>
        <w:widowControl/>
      </w:pPr>
      <w:r w:rsidRPr="00EA674E">
        <w:rPr>
          <w:rStyle w:val="HideTWBExt"/>
        </w:rPr>
        <w:t>&lt;</w:t>
      </w:r>
      <w:r w:rsidRPr="00EA674E">
        <w:rPr>
          <w:rStyle w:val="HideTWBExt"/>
          <w:i w:val="0"/>
        </w:rPr>
        <w:t>Commission</w:t>
      </w:r>
      <w:r w:rsidRPr="00EA674E">
        <w:rPr>
          <w:rStyle w:val="HideTWBExt"/>
        </w:rPr>
        <w:t>&gt;</w:t>
      </w:r>
      <w:r w:rsidRPr="00EA674E">
        <w:rPr>
          <w:rStyle w:val="HideTWBInt"/>
          <w:i w:val="0"/>
          <w:color w:val="auto"/>
        </w:rPr>
        <w:t>{BUDG}</w:t>
      </w:r>
      <w:r w:rsidRPr="00EA674E">
        <w:t>Budjettivaliokunta</w:t>
      </w:r>
      <w:r w:rsidRPr="00EA674E">
        <w:rPr>
          <w:rStyle w:val="HideTWBExt"/>
        </w:rPr>
        <w:t>&lt;/</w:t>
      </w:r>
      <w:r w:rsidRPr="00EA674E">
        <w:rPr>
          <w:rStyle w:val="HideTWBExt"/>
          <w:i w:val="0"/>
        </w:rPr>
        <w:t>Commission</w:t>
      </w:r>
      <w:r w:rsidRPr="00EA674E">
        <w:rPr>
          <w:rStyle w:val="HideTWBExt"/>
        </w:rPr>
        <w:t>&gt;</w:t>
      </w:r>
    </w:p>
    <w:p w14:paraId="394B79D0" w14:textId="77777777" w:rsidR="001746D0" w:rsidRPr="00EA674E" w:rsidRDefault="001746D0" w:rsidP="00FD06C2">
      <w:pPr>
        <w:pStyle w:val="LineBottom"/>
        <w:widowControl/>
      </w:pPr>
    </w:p>
    <w:p w14:paraId="1F8CFC0D" w14:textId="77777777" w:rsidR="002E2F2E" w:rsidRPr="00EA674E" w:rsidRDefault="00FD06C2" w:rsidP="00FD06C2">
      <w:pPr>
        <w:pStyle w:val="CoverReference"/>
        <w:widowControl/>
      </w:pPr>
      <w:r w:rsidRPr="00EA674E">
        <w:rPr>
          <w:rStyle w:val="HideTWBExt"/>
          <w:b w:val="0"/>
        </w:rPr>
        <w:t>&lt;RefProc&gt;</w:t>
      </w:r>
      <w:r w:rsidRPr="00EA674E">
        <w:t>2025/0543</w:t>
      </w:r>
      <w:r w:rsidRPr="00EA674E">
        <w:rPr>
          <w:rStyle w:val="HideTWBExt"/>
          <w:b w:val="0"/>
        </w:rPr>
        <w:t>&lt;/RefProc&gt;&lt;RefTypeProc&gt;</w:t>
      </w:r>
      <w:r w:rsidRPr="00EA674E">
        <w:t>(COD)</w:t>
      </w:r>
      <w:r w:rsidRPr="00EA674E">
        <w:rPr>
          <w:rStyle w:val="HideTWBExt"/>
          <w:b w:val="0"/>
        </w:rPr>
        <w:t>&lt;/RefTypeProc&gt;</w:t>
      </w:r>
    </w:p>
    <w:p w14:paraId="7EAE503E" w14:textId="77777777" w:rsidR="002E2F2E" w:rsidRPr="00EA674E" w:rsidRDefault="00FD06C2" w:rsidP="00FD06C2">
      <w:pPr>
        <w:pStyle w:val="CoverDate"/>
        <w:widowControl/>
      </w:pPr>
      <w:r w:rsidRPr="00EA674E">
        <w:rPr>
          <w:rStyle w:val="HideTWBExt"/>
        </w:rPr>
        <w:t>&lt;Date&gt;</w:t>
      </w:r>
      <w:r w:rsidRPr="00EA674E">
        <w:rPr>
          <w:rStyle w:val="HideTWBInt"/>
          <w:color w:val="auto"/>
        </w:rPr>
        <w:t>{25/06/2026}</w:t>
      </w:r>
      <w:r w:rsidRPr="00EA674E">
        <w:t>25.6.2026</w:t>
      </w:r>
      <w:r w:rsidRPr="00EA674E">
        <w:rPr>
          <w:rStyle w:val="HideTWBExt"/>
        </w:rPr>
        <w:t>&lt;/Date&gt;</w:t>
      </w:r>
    </w:p>
    <w:p w14:paraId="00494C58" w14:textId="77777777" w:rsidR="002E2F2E" w:rsidRPr="00EA674E" w:rsidRDefault="00FD06C2" w:rsidP="00FD06C2">
      <w:pPr>
        <w:pStyle w:val="CoverDocType24a"/>
        <w:widowControl/>
      </w:pPr>
      <w:r w:rsidRPr="00EA674E">
        <w:rPr>
          <w:rStyle w:val="HideTWBExt"/>
          <w:b w:val="0"/>
        </w:rPr>
        <w:t>&lt;TitreType&gt;</w:t>
      </w:r>
      <w:r w:rsidRPr="00EA674E">
        <w:t>TALOUSARVIONÄKÖKOHTIA KOSKEVA ARVIO</w:t>
      </w:r>
      <w:r w:rsidRPr="00EA674E">
        <w:rPr>
          <w:rStyle w:val="HideTWBExt"/>
          <w:b w:val="0"/>
        </w:rPr>
        <w:t>&lt;/TitreType&gt;</w:t>
      </w:r>
    </w:p>
    <w:p w14:paraId="17027C27" w14:textId="77777777" w:rsidR="002E2F2E" w:rsidRPr="00EA674E" w:rsidRDefault="00FD06C2" w:rsidP="00FD06C2">
      <w:pPr>
        <w:pStyle w:val="CoverNormal24a"/>
        <w:widowControl/>
      </w:pPr>
      <w:r w:rsidRPr="00EA674E">
        <w:rPr>
          <w:rStyle w:val="HideTWBExt"/>
        </w:rPr>
        <w:t>&lt;CommissionResp&gt;</w:t>
      </w:r>
      <w:r w:rsidRPr="00EA674E">
        <w:t>budjettivaliokunnalta</w:t>
      </w:r>
      <w:r w:rsidRPr="00EA674E">
        <w:rPr>
          <w:rStyle w:val="HideTWBExt"/>
        </w:rPr>
        <w:t>&lt;/CommissionResp&gt;</w:t>
      </w:r>
    </w:p>
    <w:p w14:paraId="55618FC7" w14:textId="77777777" w:rsidR="002E2F2E" w:rsidRPr="00EA674E" w:rsidRDefault="00FD06C2" w:rsidP="00FD06C2">
      <w:pPr>
        <w:pStyle w:val="CoverNormal24a"/>
        <w:widowControl/>
      </w:pPr>
      <w:r w:rsidRPr="00EA674E">
        <w:rPr>
          <w:rStyle w:val="HideTWBExt"/>
        </w:rPr>
        <w:t>&lt;CommissionInt&gt;</w:t>
      </w:r>
      <w:r w:rsidRPr="00EA674E">
        <w:t>teollisuus-, tutkimus- ja energiavaliokunnalle</w:t>
      </w:r>
      <w:r w:rsidRPr="00EA674E">
        <w:rPr>
          <w:rStyle w:val="HideTWBExt"/>
        </w:rPr>
        <w:t>&lt;/CommissionInt&gt;</w:t>
      </w:r>
    </w:p>
    <w:p w14:paraId="1AD5A290" w14:textId="77777777" w:rsidR="004D18F2" w:rsidRPr="00EA674E" w:rsidRDefault="00FD06C2" w:rsidP="00FD06C2">
      <w:pPr>
        <w:pStyle w:val="CoverNormal"/>
        <w:widowControl/>
      </w:pPr>
      <w:r w:rsidRPr="00EA674E">
        <w:rPr>
          <w:rStyle w:val="HideTWBExt"/>
        </w:rPr>
        <w:t>&lt;Titre&gt;</w:t>
      </w:r>
      <w:r w:rsidRPr="00EA674E">
        <w:t>ehdotuksesta Euroopan parlamentin ja neuvoston asetukseksi tutkimuksen ja innovoinnin puiteohjelman ”Horisontti Eurooppa” perustamisesta vuosiksi 2028–2034, sen osallistumista ja tulosten levittämistä koskevien sääntöjen vahvistamisesta ja asetuksen (EU) 2021/695 kumoamisesta</w:t>
      </w:r>
    </w:p>
    <w:p w14:paraId="10CA2F21" w14:textId="77777777" w:rsidR="002E2F2E" w:rsidRPr="00EA674E" w:rsidRDefault="00FD06C2" w:rsidP="00FD06C2">
      <w:pPr>
        <w:pStyle w:val="CoverNormal"/>
        <w:widowControl/>
      </w:pPr>
      <w:r w:rsidRPr="00EA674E">
        <w:rPr>
          <w:rStyle w:val="HideTWBExt"/>
        </w:rPr>
        <w:t>&lt;/Titre&gt;</w:t>
      </w:r>
    </w:p>
    <w:p w14:paraId="377EBD09" w14:textId="77777777" w:rsidR="002E2F2E" w:rsidRPr="00EA674E" w:rsidRDefault="00FD06C2" w:rsidP="00FD06C2">
      <w:pPr>
        <w:pStyle w:val="CoverNormal24a"/>
        <w:widowControl/>
      </w:pPr>
      <w:r w:rsidRPr="00EA674E">
        <w:rPr>
          <w:rStyle w:val="HideTWBExt"/>
        </w:rPr>
        <w:t>&lt;DocRef&gt;</w:t>
      </w:r>
      <w:r w:rsidRPr="00EA674E">
        <w:t>(COM(2025)0543 – C10</w:t>
      </w:r>
      <w:r w:rsidRPr="00EA674E">
        <w:noBreakHyphen/>
        <w:t>0164/2025 – 2025/0543(COD))</w:t>
      </w:r>
      <w:r w:rsidRPr="00EA674E">
        <w:rPr>
          <w:rStyle w:val="HideTWBExt"/>
        </w:rPr>
        <w:t>&lt;/DocRef&gt;</w:t>
      </w:r>
    </w:p>
    <w:p w14:paraId="1426D704" w14:textId="77777777" w:rsidR="00217B7E" w:rsidRPr="00EA674E" w:rsidRDefault="00FD06C2" w:rsidP="00FD06C2">
      <w:pPr>
        <w:pStyle w:val="CoverNormal24a"/>
        <w:widowControl/>
        <w:rPr>
          <w:rStyle w:val="HideTWBExt"/>
        </w:rPr>
      </w:pPr>
      <w:r w:rsidRPr="00EA674E">
        <w:t xml:space="preserve">Talousarvionäkökohtia koskevan arvion valmistelija: </w:t>
      </w:r>
      <w:r w:rsidRPr="00EA674E">
        <w:rPr>
          <w:rStyle w:val="HideTWBExt"/>
        </w:rPr>
        <w:t>&lt;Depute&gt;</w:t>
      </w:r>
      <w:r w:rsidRPr="00EA674E">
        <w:t>Hélder Sousa Silva</w:t>
      </w:r>
      <w:r w:rsidRPr="00EA674E">
        <w:rPr>
          <w:rStyle w:val="HideTWBExt"/>
        </w:rPr>
        <w:t>&lt;/Depute&gt;</w:t>
      </w:r>
    </w:p>
    <w:p w14:paraId="311378A4" w14:textId="77777777" w:rsidR="002E2F2E" w:rsidRPr="00EA674E" w:rsidRDefault="00FD06C2" w:rsidP="00FD06C2">
      <w:pPr>
        <w:widowControl/>
        <w:tabs>
          <w:tab w:val="center" w:pos="4677"/>
        </w:tabs>
      </w:pPr>
      <w:r w:rsidRPr="00EA674E">
        <w:br w:type="page"/>
        <w:t>PA_LegEvaluation</w:t>
      </w:r>
    </w:p>
    <w:p w14:paraId="5307EA4B" w14:textId="77777777" w:rsidR="002E2F2E" w:rsidRPr="00EA674E" w:rsidRDefault="00FD06C2" w:rsidP="00FD06C2">
      <w:pPr>
        <w:pStyle w:val="PageHeadingNotTOC"/>
        <w:widowControl/>
      </w:pPr>
      <w:r w:rsidRPr="00EA674E">
        <w:br w:type="page"/>
        <w:t>TALOUSARVIONÄKÖKOHTIA KOSKEVA ARVIO</w:t>
      </w:r>
    </w:p>
    <w:p w14:paraId="71B41A5B" w14:textId="77777777" w:rsidR="004D18F2" w:rsidRPr="00EA674E" w:rsidRDefault="00FD06C2" w:rsidP="00FD06C2">
      <w:pPr>
        <w:pStyle w:val="NormalBold"/>
        <w:widowControl/>
      </w:pPr>
      <w:r w:rsidRPr="00EA674E">
        <w:t>teollisuus-, tutkimus- ja energiavaliokunnalle ehdotuksesta Euroopan parlamentin ja neuvoston asetukseksi tutkimuksen ja innovoinnin puiteohjelman ”Horisontti Eurooppa” perustamisesta vuosiksi 2028–2034, sen osallistumista ja tulosten levittämistä koskevien sääntöjen vahvistamisesta ja asetuksen (EU) 2021/695 kumoamisesta</w:t>
      </w:r>
    </w:p>
    <w:p w14:paraId="25641078" w14:textId="77777777" w:rsidR="004D18F2" w:rsidRPr="00EA674E" w:rsidRDefault="00FD06C2" w:rsidP="00FD06C2">
      <w:pPr>
        <w:pStyle w:val="NormalBold"/>
        <w:widowControl/>
      </w:pPr>
      <w:r w:rsidRPr="00EA674E">
        <w:t>(COM (2025)0543 – C10</w:t>
      </w:r>
      <w:r w:rsidRPr="00EA674E">
        <w:noBreakHyphen/>
        <w:t>0164/2025 – 2025/0543(COD))</w:t>
      </w:r>
    </w:p>
    <w:p w14:paraId="0AD8855E" w14:textId="77777777" w:rsidR="00AE79AF" w:rsidRPr="00EA674E" w:rsidRDefault="00FD06C2" w:rsidP="00FD06C2">
      <w:pPr>
        <w:pStyle w:val="Normal12a"/>
        <w:widowControl/>
        <w:spacing w:before="480"/>
      </w:pPr>
      <w:r w:rsidRPr="00EA674E">
        <w:rPr>
          <w:rStyle w:val="HideTWBExt"/>
        </w:rPr>
        <w:t>&lt;Intro&gt;</w:t>
      </w:r>
      <w:r w:rsidRPr="00EA674E">
        <w:t>Budjettivaliokunta on laatinut ehdotuksesta arvion työjärjestyksen 58 artiklan mukaisesti ja todennut seuraavaa:</w:t>
      </w:r>
      <w:r w:rsidRPr="00EA674E">
        <w:rPr>
          <w:rStyle w:val="HideTWBExt"/>
        </w:rPr>
        <w:t>&lt;/Intro&gt;</w:t>
      </w:r>
    </w:p>
    <w:p w14:paraId="2F811C59" w14:textId="77777777" w:rsidR="00CE6558" w:rsidRPr="00EA674E" w:rsidRDefault="00FD06C2" w:rsidP="00FD06C2">
      <w:pPr>
        <w:pStyle w:val="EPComma"/>
        <w:widowControl/>
      </w:pPr>
      <w:r w:rsidRPr="00EA674E">
        <w:rPr>
          <w:i/>
          <w:iCs/>
        </w:rPr>
        <w:t>Budjettivaliokunta</w:t>
      </w:r>
      <w:r w:rsidRPr="00EA674E">
        <w:t>, joka</w:t>
      </w:r>
    </w:p>
    <w:p w14:paraId="07295AD3" w14:textId="14A6CE44" w:rsidR="00217B7E" w:rsidRPr="00EA674E" w:rsidRDefault="00FD06C2" w:rsidP="00FD06C2">
      <w:pPr>
        <w:pStyle w:val="NormalHanging12a"/>
        <w:widowControl/>
        <w:rPr>
          <w:bCs/>
          <w:iCs/>
        </w:rPr>
      </w:pPr>
      <w:r w:rsidRPr="00EA674E">
        <w:t>A.</w:t>
      </w:r>
      <w:r w:rsidRPr="00EA674E">
        <w:tab/>
        <w:t>ottaa huomioon, että Draghin raportin mukaan tutkimus ja innovointi (T&amp;I) ovat yksi</w:t>
      </w:r>
      <w:r>
        <w:t> </w:t>
      </w:r>
      <w:r w:rsidRPr="00EA674E">
        <w:t xml:space="preserve">tärkeimmistä tuottavuutta ja ihmisten hyvinvointia edistävistä tekijöistä, jolla voidaan saada aikaan myönteisiä ulkoisvaikutuksia ja tukea EU:n strategista autonomiaa ja yhteiskuntamallia; ottaa huomioon, että raportissa tuetaan sellaisen uudistetun ja yksinkertaisemman ohjelmarakenteen suunnittelemista, jossa keskitytään valittuihin painopisteisiin ja jolle annetaan 200 miljardin euron lisämäärärahat; ottaa huomioon, että Draghin raportissa korostetaan, että unionin nykyisessä innovointijärjestelmässä ei </w:t>
      </w:r>
      <w:r w:rsidRPr="00EA674E">
        <w:t>keskitytä riittävästi läpimurtoinnovaatioihin;</w:t>
      </w:r>
    </w:p>
    <w:p w14:paraId="588E17FC" w14:textId="77777777" w:rsidR="00217B7E" w:rsidRPr="00EA674E" w:rsidRDefault="00FD06C2" w:rsidP="00FD06C2">
      <w:pPr>
        <w:pStyle w:val="NormalHanging12a"/>
        <w:widowControl/>
      </w:pPr>
      <w:r w:rsidRPr="00EA674E">
        <w:t>B.</w:t>
      </w:r>
      <w:r w:rsidRPr="00EA674E">
        <w:tab/>
        <w:t>ottaa huomioon, että Horisontti Eurooppa -puiteohjelman väliarviointi</w:t>
      </w:r>
      <w:r w:rsidRPr="00EA674E">
        <w:rPr>
          <w:vertAlign w:val="superscript"/>
        </w:rPr>
        <w:footnoteReference w:id="1"/>
      </w:r>
      <w:r w:rsidRPr="00EA674E">
        <w:t xml:space="preserve"> vahvistaa sen suuren eurooppalaisen lisäarvon, merkityksellisyyden ja vaikuttavuuden; toteaa arvioinnissa korostettavan, että vaikka keskimääräinen hyväksymisaste nousi Horisontti 2020 -puiteohjelman 12 prosentista Horisontti Eurooppa -puiteohjelman 16,4 prosenttiin (osallistumispohjaa laajentavissa maissa 9 prosentista 14 prosenttiin), vain 30 prosenttia laadukkaista ehdotuksista pystyttiin rahoittamaan ja niiden kaikkien rahoittaminen olisi edellyttänyt 81,8 miljardin euron lisämäärärahoja;</w:t>
      </w:r>
    </w:p>
    <w:p w14:paraId="5E3AF563" w14:textId="66251592" w:rsidR="00755CD7" w:rsidRPr="00EA674E" w:rsidRDefault="00FD06C2" w:rsidP="00FD06C2">
      <w:pPr>
        <w:pStyle w:val="NormalHanging12a"/>
        <w:widowControl/>
      </w:pPr>
      <w:r w:rsidRPr="00EA674E">
        <w:t>C.</w:t>
      </w:r>
      <w:r w:rsidRPr="00EA674E">
        <w:tab/>
        <w:t xml:space="preserve">ottaa huomioon, että Budapestin julistuksessa todetaan uudelleen, että on tärkeää osoittaa vuoteen 2030 mennessä kolme prosenttia BKT:stä tutkimukseen ja kehittämiseen; toteaa, että Barcelonan julistusta seuranneiden 26 vuoden aikana tämän tavoitteen on saavuttanut vain muutama jäsenvaltio; katsoo, että Horisontti Eurooppa </w:t>
      </w:r>
      <w:r>
        <w:noBreakHyphen/>
      </w:r>
      <w:r w:rsidRPr="00EA674E">
        <w:t>ohjelmasta voidaan tukea tämän tavoitteen saavuttamista ja saada lisärahoitusta julkisilta ja yksityisiltä yhteisöiltä;</w:t>
      </w:r>
    </w:p>
    <w:p w14:paraId="16E4C4D0" w14:textId="77777777" w:rsidR="00217B7E" w:rsidRPr="00EA674E" w:rsidRDefault="00FD06C2" w:rsidP="00FD06C2">
      <w:pPr>
        <w:pStyle w:val="NormalHanging12a"/>
        <w:widowControl/>
      </w:pPr>
      <w:bookmarkStart w:id="0" w:name="_Hlk224037259"/>
      <w:r w:rsidRPr="00EA674E">
        <w:t>D.</w:t>
      </w:r>
      <w:r w:rsidRPr="00EA674E">
        <w:tab/>
        <w:t>ottaa huomioon, että Lettan raportissa ehdotetaan uutta ”viidettä vapautta” tutkimuksen, innovoinnin ja koulutuksen tehostamiseksi sisämarkkinoilla, mikä edellyttää vahvistettua ja täysin toiminnassa olevaa eurooppalaista tutkimusaluetta (ERA); ottaa huomioon, että Horisontti Eurooppa -ohjelman olisi edistettävä tämän uuden vapauden täytäntöönpanoa muun muassa tukemalla tutkijoiden eurooppalaisen tutkimusalueen sisäistä liikkuvuutta;</w:t>
      </w:r>
    </w:p>
    <w:p w14:paraId="615F1DFA" w14:textId="77777777" w:rsidR="00217B7E" w:rsidRPr="00EA674E" w:rsidRDefault="00FD06C2" w:rsidP="00FD06C2">
      <w:pPr>
        <w:pStyle w:val="NormalHanging12a"/>
        <w:widowControl/>
      </w:pPr>
      <w:r w:rsidRPr="00EA674E">
        <w:t>E.</w:t>
      </w:r>
      <w:r w:rsidRPr="00EA674E">
        <w:tab/>
        <w:t>katsoo, että on tärkeää varmistaa, että tutkimukseen ja innovointiin kohdennettavat lisäresurssit ja lisäinvestoinnit eivät ole peräisin ainoastaan julkiselta sektorilta vaan että sen olisi toimittava vipuvoimana yksityisten investointien liikkeelle saamiseksi ja tehtävä tutkimuksesta ja innovoinnista investoinnin kannalta houkuttelevia aloja yrityksille, myös pienille ja keskisuurille yrityksille;</w:t>
      </w:r>
    </w:p>
    <w:p w14:paraId="190DE56D" w14:textId="77777777" w:rsidR="00217B7E" w:rsidRPr="00EA674E" w:rsidRDefault="00FD06C2" w:rsidP="00FD06C2">
      <w:pPr>
        <w:pStyle w:val="NormalHanging12a"/>
        <w:widowControl/>
      </w:pPr>
      <w:r w:rsidRPr="00EA674E">
        <w:t>F.</w:t>
      </w:r>
      <w:r w:rsidRPr="00EA674E">
        <w:tab/>
        <w:t>ottaa huomioon, että jatkuvat erot tutkimuksen ja innovoinnin suorituskyvyssä rajoittavat edelleen unionin yleistä kilpailukykyä; toteaa, että lähentymistä eurooppalaisella tutkimusalueella on vahvistettava, jotta voidaan kuroa umpeen innovaatiokuilu ja vapauttaa hyödyntämätöntä huippuosaamista kaikissa jäsenvaltioissa;</w:t>
      </w:r>
    </w:p>
    <w:p w14:paraId="452745C3" w14:textId="77777777" w:rsidR="00217B7E" w:rsidRPr="00EA674E" w:rsidRDefault="00FD06C2" w:rsidP="00FD06C2">
      <w:pPr>
        <w:pStyle w:val="NormalHanging12a"/>
        <w:widowControl/>
      </w:pPr>
      <w:r w:rsidRPr="00EA674E">
        <w:t>G.</w:t>
      </w:r>
      <w:r w:rsidRPr="00EA674E">
        <w:tab/>
        <w:t>ottaa huomioon, että Ukrainassa käynnissä oleva täysimittainen sota osoittaa kaksikäyttöteknologioiden merkityksen;</w:t>
      </w:r>
    </w:p>
    <w:bookmarkEnd w:id="0"/>
    <w:p w14:paraId="0EAC2867" w14:textId="77777777" w:rsidR="00217B7E" w:rsidRPr="00EA674E" w:rsidRDefault="00FD06C2" w:rsidP="00FD06C2">
      <w:pPr>
        <w:pStyle w:val="NormalHanging12a"/>
        <w:widowControl/>
      </w:pPr>
      <w:r w:rsidRPr="00EA674E">
        <w:t>1.</w:t>
      </w:r>
      <w:r w:rsidRPr="00EA674E">
        <w:tab/>
        <w:t>katsoo, että ohjelman määrärahoja olisi lisättävä 154 miljardista eurosta 200 miljardiin euroon (tai 177 miljardiin euroon vuoden 2025 hintoina), jotta voitaisiin antaa Euroopan kilpailukyvylle sen tarvitsemaa nostetta innovointiin keskeisillä aloilla, tukea EU:n tutkimusperustaa ja löytää uusia ratkaisuja globaaleihin yhteiskunnallisiin haasteisiin, varmistaa riittävä rahoitus kaikille prioriteeteille ja ohjelman tavoitteille ja tukea tavoitetta osoittaa vuoteen 2030 mennessä kolme prosenttia BKT:stä tutk</w:t>
      </w:r>
      <w:r w:rsidRPr="00EA674E">
        <w:t>imus- ja kehittämismenoihin;</w:t>
      </w:r>
    </w:p>
    <w:p w14:paraId="7D96B3BB" w14:textId="6275D9D1" w:rsidR="00217B7E" w:rsidRPr="00EA674E" w:rsidRDefault="00FD06C2" w:rsidP="00FD06C2">
      <w:pPr>
        <w:pStyle w:val="NormalHanging12a"/>
        <w:widowControl/>
      </w:pPr>
      <w:r w:rsidRPr="00EA674E">
        <w:t>2.</w:t>
      </w:r>
      <w:r w:rsidRPr="00EA674E">
        <w:tab/>
        <w:t xml:space="preserve">katsoo, että tulevan vuosien 2028–2034 monivuotisen rahoituskehyksen ohjelmakauden alusta alkaen ja koko sen ajan on oltava käytettävissä riittävästi henkilöresursseja sekä teknisiä ja tietoteknisiä resursseja, jotta voidaan varmistaa Horisontti Eurooppa </w:t>
      </w:r>
      <w:r>
        <w:noBreakHyphen/>
      </w:r>
      <w:r w:rsidRPr="00EA674E">
        <w:t>ohjelman tehokas täytäntöönpano;</w:t>
      </w:r>
    </w:p>
    <w:p w14:paraId="197A159B" w14:textId="77777777" w:rsidR="00217B7E" w:rsidRPr="00EA674E" w:rsidRDefault="00FD06C2" w:rsidP="00FD06C2">
      <w:pPr>
        <w:pStyle w:val="NormalHanging12a"/>
        <w:widowControl/>
        <w:rPr>
          <w:bCs/>
          <w:iCs/>
        </w:rPr>
      </w:pPr>
      <w:r w:rsidRPr="00EA674E">
        <w:t>3.</w:t>
      </w:r>
      <w:r w:rsidRPr="00EA674E">
        <w:tab/>
        <w:t>katsoo, että tutkimus ja innovointi ovat ensisijaisia pitkän aikavälin kilpailukykyä edistäviä tekijöitä; toteaa, että seuraavan monivuotisen rahoituskehyksen otsakkeessa 2 yleisesti ja erityisesti Horisontti Eurooppa -puiteohjelmassa olisi sen vuoksi keskityttävä muun muassa EU:n ja globaalien kilpailijoiden välisen innovaatiokuilun umpeen kuromiseen, jotta voidaan vahvistaa Euroopan unionin kilpailukykyä, varmistaa sujuva siirtymä huippututkimuksesta markkinakelpoisiin ratkaisuihin ja mahdollistaa euroop</w:t>
      </w:r>
      <w:r w:rsidRPr="00EA674E">
        <w:t>palaisille yrityksille teknologinen etulyöntiasema, jotta ne voivat menestyä avoimessa globaalissa kilpailussa;</w:t>
      </w:r>
    </w:p>
    <w:p w14:paraId="7B9B9AC5" w14:textId="3F4E7122" w:rsidR="00217B7E" w:rsidRPr="00EA674E" w:rsidRDefault="00FD06C2" w:rsidP="00FD06C2">
      <w:pPr>
        <w:pStyle w:val="NormalHanging12a"/>
        <w:widowControl/>
        <w:rPr>
          <w:bCs/>
          <w:iCs/>
        </w:rPr>
      </w:pPr>
      <w:r w:rsidRPr="00EA674E">
        <w:t>4.</w:t>
      </w:r>
      <w:r w:rsidRPr="00EA674E">
        <w:tab/>
        <w:t xml:space="preserve">katsoo, että turvallisuuteen, kaksikäyttöön ja puolustukseen liittyviin teollisuuteen ja tutkimus- ja innovointihankkeisiin olisi kohdennettava merkittäviä resursseja teknologisen suvereniteetin ja häiriönsietokyvyn vahvistamiseksi; panee merkille, että komissio ehdotti puolustukseen liittyvää tutkimusta koskevaa erityisohjelmaa osana Euroopan kilpailukykyrahastoa; pitää myönteisenä, että Horisontti Eurooppa </w:t>
      </w:r>
      <w:r>
        <w:noBreakHyphen/>
      </w:r>
      <w:r w:rsidRPr="00EA674E">
        <w:t>puiteohjelmassa keskitytään edelleen siviili- ja kaksikäyttöteknologiaan liittyvän tutkimuksen tukemiseen;</w:t>
      </w:r>
    </w:p>
    <w:p w14:paraId="1B8D7200" w14:textId="77777777" w:rsidR="00217B7E" w:rsidRPr="00EA674E" w:rsidRDefault="00FD06C2" w:rsidP="00FD06C2">
      <w:pPr>
        <w:pStyle w:val="NormalHanging12a"/>
        <w:widowControl/>
      </w:pPr>
      <w:r w:rsidRPr="00EA674E">
        <w:t>5.</w:t>
      </w:r>
      <w:r w:rsidRPr="00EA674E">
        <w:tab/>
        <w:t xml:space="preserve">huomauttaa, että 6 artiklan mukainen talousarvion jakautuminen sisältää vain seitsemän alamomenttikohtaista ohjeellista määrää verrattuna 15:een kaudella 2021–2027; on huolissaan siitä, että monilla toimilla – erityisesti pilareissa I ja III – ei ole ennakoitavissa olevia määrärahoja, joten edunsaajilta puuttuvat selkeät määrärahat; panee huolestuneena merkille, että tämä antaisi komissiolle huomattavan paljon liikkumavaraa muuttaa menojen painopisteitä ja päättää niistä täytäntöönpanon aikana ilman, että </w:t>
      </w:r>
      <w:r w:rsidRPr="00EA674E">
        <w:t>näin syntyy mitään lisäarvoa niille tutkijoille, innovoijille ja pk-yrityksille, joita ohjelma hyödyttää; suosittaa, että perussäädöksessä vahvistetaan jokaiselle pilarille ja alaohjelmalle ohjeelliset osarahoituspuitteet pitkän aikavälin ennakoitavuuden, avoimuuden ja demokraattisen vastuuvelvollisuuden lisäämiseksi;</w:t>
      </w:r>
    </w:p>
    <w:p w14:paraId="1C5B3C59" w14:textId="77777777" w:rsidR="00217B7E" w:rsidRPr="00EA674E" w:rsidRDefault="00FD06C2" w:rsidP="00FD06C2">
      <w:pPr>
        <w:pStyle w:val="NormalHanging12a"/>
        <w:widowControl/>
      </w:pPr>
      <w:r w:rsidRPr="00EA674E">
        <w:t>6.</w:t>
      </w:r>
      <w:r w:rsidRPr="00EA674E">
        <w:tab/>
        <w:t>toteaa, että Euroopan innovaatio- ja teknologiainstituutti (EIT) on hyödyntänyt EU:n T&amp;I-ekosysteemin vahvuutta useiden osaamis- ja innovaatioyhteisöjen sukupolvien tukemisessa; katsoo, että EIT:n olisi toimittava osaamis- ja innovaatioyhteisöjen menestymisen mahdollistajana jakamalla parhaita käytäntöjä, tukemalla julkisten varojen hallinnointia ja luomalla osaamis- ja innovaatioyhteisöjen välistä lisäarvoa; kehottaa osoittamaan EIT:lle riittävät taloudelliset ja henkilöresurssit ja varmistamaan, että täl</w:t>
      </w:r>
      <w:r w:rsidRPr="00EA674E">
        <w:t>lä erillisvirastolla on riittävät resurssit toimeksiantonsa täyttämiseksi ja sille annettujen tehtävien hoitamiseksi;</w:t>
      </w:r>
    </w:p>
    <w:p w14:paraId="7326EDB5" w14:textId="08B3BF07" w:rsidR="00217B7E" w:rsidRPr="00EA674E" w:rsidRDefault="00FD06C2" w:rsidP="00FD06C2">
      <w:pPr>
        <w:pStyle w:val="NormalHanging12a"/>
        <w:widowControl/>
        <w:rPr>
          <w:bCs/>
          <w:iCs/>
        </w:rPr>
      </w:pPr>
      <w:r w:rsidRPr="00EA674E">
        <w:t>7.</w:t>
      </w:r>
      <w:r w:rsidRPr="00EA674E">
        <w:tab/>
        <w:t xml:space="preserve">toteaa, että Horisontti Eurooppa -puiteohjelman olisi pysyttävä täysin itsenäisenä ja riippumattomana ohjelmana, ja samalla olisi varmistettava yhdenmukaistettujen strategisten painopisteiden avulla johdonmukaisuus ja täydentävyys Euroopan kilpailukykyrahaston kanssa, sanotun kuitenkaan rajoittamatta sen omaa hallintoa, huippuosaamiseen perustuvia arviointikriteerejä ja riippumatonta sääntelyä; korostaa, että on ehdottomasti jatkettava Horisontti Eurooppa -puiteohjelman koordinointia kaikkien innovointiin </w:t>
      </w:r>
      <w:r w:rsidRPr="00EA674E">
        <w:t xml:space="preserve">ja tutkimukseen mahdollisesti kytkeytyvien EU:n ohjelmien kanssa, koulutuksesta ja terveydenhuollosta investointien houkuttelemiseen ja yritysten kilpailukyvyn parantamiseen; panee merkille ehdotukset Horisontti Eurooppa </w:t>
      </w:r>
      <w:r>
        <w:noBreakHyphen/>
      </w:r>
      <w:r w:rsidRPr="00EA674E">
        <w:t>puiteohjelman ja Euroopan kilpailukykyrahaston välisistä synergioista; yhtyy näkemykseen, jonka mukaan näitä kahta ohjelmaa olisi toteutettava tiiviisti kytköksissä toisiinsa sen varmistamiseksi, että unionin talousarviolla voidaan tukea eurooppalaisia innovoijia perustutkimuksesta kaupallistamisvaiheeseen; korostaa tässä yhteydessä, että kaikki tällainen ohjelmien välinen tuki on otettava asianmukaisesti huomioon ohjelman tuloksellisuutta koskevassa lausunnossa; korostaa, että ohjelmien täydentävyyden lisä</w:t>
      </w:r>
      <w:r w:rsidRPr="00EA674E">
        <w:t>äminen ei saa johtaa suhteettoman suureen monimutkaisuuteen edunsaajille; kehottaa tekemään EU:n rahoituksesta selkeämpää, helpommin saatavilla olevaa ja johdonmukaisempaa, jotta sen käyttöönottoa voidaan helpottaa ja investointien vaikutus voidaan maksimoida;</w:t>
      </w:r>
    </w:p>
    <w:p w14:paraId="377A2E9E" w14:textId="77777777" w:rsidR="00217B7E" w:rsidRPr="00EA674E" w:rsidRDefault="00FD06C2" w:rsidP="00FD06C2">
      <w:pPr>
        <w:pStyle w:val="NormalHanging12a"/>
        <w:widowControl/>
        <w:rPr>
          <w:bCs/>
          <w:iCs/>
        </w:rPr>
      </w:pPr>
      <w:r w:rsidRPr="00EA674E">
        <w:t>8.</w:t>
      </w:r>
      <w:r w:rsidRPr="00EA674E">
        <w:tab/>
        <w:t>korostaa huolestuneena, että jäsenvaltioiden välillä on edelleen rakenteellinen kuilu tutkimuksessa ja innovoinnissa, ja kehottaa tehostamaan toimia tämän kuilun kuromiseksi umpeen unionissa;</w:t>
      </w:r>
    </w:p>
    <w:p w14:paraId="655B3298" w14:textId="77777777" w:rsidR="00217B7E" w:rsidRPr="00EA674E" w:rsidRDefault="00FD06C2" w:rsidP="00FD06C2">
      <w:pPr>
        <w:pStyle w:val="NormalHanging12a"/>
        <w:widowControl/>
      </w:pPr>
      <w:r w:rsidRPr="00EA674E">
        <w:t>9.</w:t>
      </w:r>
      <w:r w:rsidRPr="00EA674E">
        <w:tab/>
        <w:t xml:space="preserve">toteaa, että joustavuus on tärkeä osa komission ehdottamaa vuosien 2028–2034 monivuotisen rahoituskehyksen rakennetta; muistuttaa kuitenkin, että Horisontti Eurooppa -ohjelmalle on varmistettava ennakoitavat ja riittävät vuotuiset määrärahat ottaen huomioon, että T&amp;I-hankkeet ovat luonteeltaan pitkäkestoisia; katsoo, että määrärahojen alustava kohdentaminen ohjelman kullekin alamomentille varmistaisi ennakoitavuuden lopullisten edunsaajien kannalta viemättä budjettivallan käyttäjältä sen oikeuksia; </w:t>
      </w:r>
    </w:p>
    <w:p w14:paraId="76B0F131" w14:textId="77777777" w:rsidR="00217B7E" w:rsidRPr="00EA674E" w:rsidRDefault="00FD06C2" w:rsidP="00FD06C2">
      <w:pPr>
        <w:pStyle w:val="NormalHanging12a"/>
        <w:widowControl/>
      </w:pPr>
      <w:r w:rsidRPr="00EA674E">
        <w:t>10.</w:t>
      </w:r>
      <w:r w:rsidRPr="00EA674E">
        <w:tab/>
        <w:t xml:space="preserve">pitää valitettavana, että säädösehdotukseen liittyvässä rahoitusta ja digitaalisia vaikutuksia koskevassa selvityksessä ei ole ehdotettu riittävän </w:t>
      </w:r>
      <w:r w:rsidRPr="00EA674E">
        <w:t xml:space="preserve">yksityiskohtaista ohjeellista budjettinimikkeistöä ja että se sisältää vain viisi budjettikohtaa, kun kaudella 2021–2027 niitä oli 44; katsoo, että tämä haittaa valvontaa, ennakoitavuutta ja budjettivallan käyttäjän kykyä ohjata tarkasti politiikkapainopisteitä vuotuisessa talousarviomenettelyssä; on huolissaan siitä, että liian erittelemätön talousarviorakenne edistäisi merkittävästi sellaisia määrärahasiirtoja, jotka eivät edellytä budjettivallan käyttäjän päätöstä; suosittelee siksi yksityiskohtaisempaa </w:t>
      </w:r>
      <w:r w:rsidRPr="00EA674E">
        <w:t>nimikkeistöä, joka kuvastaa asianmukaisesti ohjelman tavoitteita ja rakennetta ja lisää avoimuutta, vastuuvelvollisuutta ja parlamentaarista valvontaa; muistuttaa, että budjettinimikkeistön on noudatettava varainhoitoasetuksen</w:t>
      </w:r>
      <w:r w:rsidRPr="00EA674E">
        <w:rPr>
          <w:rStyle w:val="FootnoteReference"/>
        </w:rPr>
        <w:footnoteReference w:id="2"/>
      </w:r>
      <w:r w:rsidRPr="00EA674E">
        <w:t xml:space="preserve"> 47 artiklan 2 kohtaa, jossa säädetään, että kukin osasto vastaa toimintalohkoa ja kukin luku pääsääntöisesti ohjelmaa tai toimintoa, erittelyperiaatteen, moitteettoman varainhoidon periaatteen ja avoimuusperiaatteen mukaisesti; painottaa, että budjettinimikkeistö on erottamaton osa parlamentin neuvottelukantaa ja että siitä on keskusteltava toimielinten välisissä neuvotteluissa; katsoo tältä osin, että tarkistetun säädösehdotukseen liittyvän rahoitusta ja digitaalisia vaikutuksia koskevan selvityksen on ol</w:t>
      </w:r>
      <w:r w:rsidRPr="00EA674E">
        <w:t>tava osa lopullista poliittista sopimusta;</w:t>
      </w:r>
    </w:p>
    <w:p w14:paraId="7D21EE4A" w14:textId="77777777" w:rsidR="00205307" w:rsidRPr="00EA674E" w:rsidRDefault="00FD06C2" w:rsidP="00FD06C2">
      <w:pPr>
        <w:pStyle w:val="NormalHanging12a"/>
        <w:widowControl/>
        <w:rPr>
          <w:bCs/>
          <w:iCs/>
        </w:rPr>
      </w:pPr>
      <w:r w:rsidRPr="00EA674E">
        <w:t>11.</w:t>
      </w:r>
      <w:r w:rsidRPr="00EA674E">
        <w:tab/>
        <w:t>korostaa, että riittävän yksityiskohtainen ja vakaa lainsäädäntö sekä asiaankuuluva hallinnon taso ovat asianmukaisen talousarviota koskevan päätöksenteon ja parlamentaarisen valvonnan edellytys talousarviota toteutettaessa; katsoo, että huonosti suunnitellulla ”ohjausmekanismilla” ei voida kompensoida parlamentin menettämää lainsäädäntö- tai budjettivaltaa eikä se sovellu tieteen, teknologian ja innovoinnin eturintamilla tehtävää työtä tukevan ohjelman ohjaukseen, varsinkaan kun otetaan huomioon, että joi</w:t>
      </w:r>
      <w:r w:rsidRPr="00EA674E">
        <w:t>denkin strategisten alojen innovaatiosyklit mitataan viikkoina tai kuukausina, kun taas ohjausmekanismi on vuosia kestävä menettely;</w:t>
      </w:r>
    </w:p>
    <w:p w14:paraId="19BF9914" w14:textId="77777777" w:rsidR="00205307" w:rsidRPr="00EA674E" w:rsidRDefault="00FD06C2" w:rsidP="00FD06C2">
      <w:pPr>
        <w:pStyle w:val="NormalHanging12a"/>
        <w:widowControl/>
      </w:pPr>
      <w:r w:rsidRPr="00EA674E">
        <w:t>12.</w:t>
      </w:r>
      <w:r w:rsidRPr="00EA674E">
        <w:tab/>
        <w:t>katsoo, että kaikki merkittävät toimintapoliittiset valinnat, mukaan lukien varainkäytön painopisteet ja määrärahat, on vahvistettava Horisontti Eurooppa -puiteohjelmaa koskevassa perussäädöksessä kunnioittaen kaikilta osin parlamentin oikeuksia toisena lainsäätäjänä ja EU:n budjettivallan käyttäjänä; muistuttaa, että kaikki muut kuin olennaiset osat, joihin sisältyy toimintapoliittisia valintoja, jotka eivät sisälly perussäädökseen, mukaan lukien työohjelmat, on hyväksyttävä delegoiduilla säädöksillä;</w:t>
      </w:r>
    </w:p>
    <w:p w14:paraId="6660420B" w14:textId="77777777" w:rsidR="00205307" w:rsidRPr="00EA674E" w:rsidRDefault="00FD06C2" w:rsidP="00FD06C2">
      <w:pPr>
        <w:pStyle w:val="NormalHanging12a"/>
        <w:widowControl/>
      </w:pPr>
      <w:r w:rsidRPr="00EA674E">
        <w:t>13.</w:t>
      </w:r>
      <w:r w:rsidRPr="00EA674E">
        <w:tab/>
        <w:t>painottaa, että ohjelman täytäntöönpanon ja kehittämisen olisi oltava läpinäkyvää ja siinä olisi kunnioitettava eurooppalaisia arvoja, ihmisoikeuksia ja kansainvälistä oikeutta demokraattisten instituutioiden tukemana;</w:t>
      </w:r>
    </w:p>
    <w:p w14:paraId="15D29F87" w14:textId="77777777" w:rsidR="00205307" w:rsidRPr="00EA674E" w:rsidRDefault="00FD06C2" w:rsidP="00FD06C2">
      <w:pPr>
        <w:pStyle w:val="NormalHanging12a"/>
        <w:widowControl/>
      </w:pPr>
      <w:r w:rsidRPr="00EA674E">
        <w:t>14.</w:t>
      </w:r>
      <w:r w:rsidRPr="00EA674E">
        <w:tab/>
        <w:t>muistuttaa, että ehdotukseen sisältyy mahdollisuus käyttää talousarviotakuuta; korostaa, että Horisontti Eurooppa -puiteohjelman mukaisten lainanotto- ja lainanantotoimien talousarviovaikutukset on määriteltävä selkeästi ja esitettävä avoimesti ja niitä on seurattava tarkasti koko monivuotisen rahoituskehyksen kattaman ajanjakson ajan; vaatii, että kaikissa tällaisiin toimiin liittyvissä päätöksissä on kunnioitettava täysin lainsäätäjien toimivaltaa ja budjettivallan käyttäjän oikeuksia; korostaa, että täl</w:t>
      </w:r>
      <w:r w:rsidRPr="00EA674E">
        <w:t>laisia välineitä olisi käytettävä strategisesti EU:n rahoituksen vaikutuksen, tehokkuuden ja kestävyyden maksimoimiseen, samalla kun varmistetaan täysi avoimuus, asianmukainen riskinhallinta ja budjettivallan käyttäjän oikeuksien kunnioittaminen; muistuttaa, että unionin taloudellisia etuja olisi suojattava muun muassa takaamalla pääsy kaikkiin tarkastettaviin tietoihin, Euroopan petostentorjuntavirastolle ja Euroopan syyttäjänvirastolle tutkintaoikeudet ja Euroopan tilintarkistustuomioistuimelle tarkastuso</w:t>
      </w:r>
      <w:r w:rsidRPr="00EA674E">
        <w:t>ikeudet;</w:t>
      </w:r>
    </w:p>
    <w:p w14:paraId="4C3EB75D" w14:textId="77777777" w:rsidR="00205307" w:rsidRPr="00EA674E" w:rsidRDefault="00FD06C2" w:rsidP="00FD06C2">
      <w:pPr>
        <w:pStyle w:val="NormalHanging12a"/>
        <w:widowControl/>
      </w:pPr>
      <w:r w:rsidRPr="00EA674E">
        <w:t>15.</w:t>
      </w:r>
      <w:r w:rsidRPr="00EA674E">
        <w:tab/>
        <w:t>korostaa, että Euroopan innovaationeuvosto (EIC) palvelee erityisesti Euroopan innovaationeuvoston rahaston ja siihen kuuluvan Scaleup Europe -rahaston kautta tavoitetta tukea eurooppalaisia syväteknologiaan keskittyviä aloittelevia ja laajentumisvaiheessa olevia yrityksiä, jotka tuottavat EU:lle pitkän aikavälin strategista arvoa, mikä on Draghin raportissa asetettujen tavoitteiden mukaista; muistuttaa, että EIC on ainutlaatuinen väline, joka tuo yhteen EU:n talousarviosta saatavan rahoituksen ja yksityis</w:t>
      </w:r>
      <w:r w:rsidRPr="00EA674E">
        <w:t xml:space="preserve">et sijoittajat, jotta aloittelevien sekä kasvu- ja laajentumisvaiheessa olevien yritysten saataville tuodaan merkittävää pääomaa; peräänkuuluttaa painokkaasti sitä, että Scaleup Europe -rahasto jatkaa tehtäväänsä EIC:n puitteissa seuraavassa monivuotisessa rahoituskehyksessä; korostaa, että on otettava käyttöön suojatoimia, joilla varmistetaan talousarvion moitteeton valvonta ja vältetään unionin talousarvion maineen vahingoittuminen; toteaa tässä yhteydessä, että kun otetaan huomioon EIC:n ainutlaatuisuus </w:t>
      </w:r>
      <w:r w:rsidRPr="00EA674E">
        <w:t>ja se, että sen on toimittava nopeasti kehittyvillä kansainvälisillä riskipääomamarkkinoilla, joilla merkittävät pääomatappiot ovat väistämättömiä, voitaisiin tarvittaessa säätää kohdennetuista poikkeuksista varainhoitoasetukseen koordinoidusti budjettivaliokunnan ja talousarvion valvontavaliokunnan kanssa; korostaa, että nämä poikkeukset on perusteltava hyvin eivätkä ne saisi heikentää parlamentin oikeuksia budjettivallan käyttäjänä; muistuttaa, että on tärkeää investoida Euroopan strategisiin aloihin, kut</w:t>
      </w:r>
      <w:r w:rsidRPr="00EA674E">
        <w:t>en tekoälyyn, kvanttiteknologiaan, puolustukseen, kaksikäyttöiseen teknologiaan, puolustusteknologiaan ja puhtaaseen teknologiaan, jotta voidaan parantaa kilpailukykyä ja Euroopan strategista autonomiaa;</w:t>
      </w:r>
    </w:p>
    <w:p w14:paraId="1D0D42E7" w14:textId="77777777" w:rsidR="00205307" w:rsidRPr="00EA674E" w:rsidRDefault="00FD06C2" w:rsidP="00FD06C2">
      <w:pPr>
        <w:pStyle w:val="NormalHanging12a"/>
        <w:widowControl/>
        <w:rPr>
          <w:bCs/>
          <w:iCs/>
        </w:rPr>
      </w:pPr>
      <w:r w:rsidRPr="00EA674E">
        <w:t>16.</w:t>
      </w:r>
      <w:r w:rsidRPr="00EA674E">
        <w:tab/>
        <w:t>korostaa, että on tuettava laajentumisvaiheessa olevia yrityksiä ja autettava eurooppalaisia aloittelevia yrityksiä selviytymään ”kuolemanlaakson” vaiheesta, jolloin kaupallistamisen puute usein johtaa konkurssiin tai toiminnan siirtämiseen EU:n ulkopuolelle; korostaa, että Horisontti Eurooppa -puiteohjelmassa olisi asetettava T&amp;I unionin talous- ja investointistrategian keskiöön samalla kun Euroopan kilpailukykyrahaston olisi keskityttävä kehitystyön nopeuttamiseen, täytäntöönpanoon ja teollisuuden kilpai</w:t>
      </w:r>
      <w:r w:rsidRPr="00EA674E">
        <w:t>lukykyyn sekä Euroopan vahvimman T&amp;I-toiminnan laajentamiseen ja sen tulosten käyttöönottoon Euroopan laajuisesti;</w:t>
      </w:r>
    </w:p>
    <w:p w14:paraId="20CC62C6" w14:textId="77777777" w:rsidR="00205307" w:rsidRPr="00EA674E" w:rsidRDefault="00FD06C2" w:rsidP="00FD06C2">
      <w:pPr>
        <w:pStyle w:val="NormalHanging12a"/>
        <w:widowControl/>
      </w:pPr>
      <w:r w:rsidRPr="00EA674E">
        <w:t>17.</w:t>
      </w:r>
      <w:r w:rsidRPr="00EA674E">
        <w:tab/>
        <w:t>muistuttaa, että Horisontti Eurooppa -puiteohjelmaan olisi sisällyttävä sekä ”avoin” (alhaalta ylöspäin suuntautuva) että ”julkispoliittinen” (ylhäältä alaspäin suuntautuva) lähestymistapa tiiviissä yhteistyössä ja synergiassa Euroopan kilpailukykyrahaston ja sen politiikkaikkunoiden kanssa erityisesti kaksikäyttöteknologioissa, joita voitaisiin laajentaa kilpailukykyrahaston puitteissa; korostaa, että tällainen synergia ja keskittyminen tehokkuuteen ja vaikuttavuuteen on moitteettoman varainhoidon periaat</w:t>
      </w:r>
      <w:r w:rsidRPr="00EA674E">
        <w:t>teen noudattamisen kannalta välttämätöntä;</w:t>
      </w:r>
    </w:p>
    <w:p w14:paraId="5BF60B03" w14:textId="02A214A6" w:rsidR="00205307" w:rsidRPr="00EA674E" w:rsidRDefault="00FD06C2" w:rsidP="00FD06C2">
      <w:pPr>
        <w:pStyle w:val="NormalHanging12a"/>
        <w:widowControl/>
        <w:rPr>
          <w:bCs/>
          <w:iCs/>
        </w:rPr>
      </w:pPr>
      <w:r w:rsidRPr="00EA674E">
        <w:t>18.</w:t>
      </w:r>
      <w:r w:rsidRPr="00EA674E">
        <w:tab/>
        <w:t>muistuttaa, että hallinnollisia menettelyjä on yksinkertaistettava kaikkien ja erityisesti pienten tai keskisuurten hankkeiden osalta, jotta varmistetaan pk-yritysten ja startup</w:t>
      </w:r>
      <w:r>
        <w:noBreakHyphen/>
      </w:r>
      <w:r w:rsidRPr="00EA674E">
        <w:t>yritysten merkittävämpi osallistuminen, mukaan lukien hakemiseen liittyvien rasitteiden keventäminen ja avustusten maksamisen nopeuttaminen; korostaa tässä yhteydessä, että ohjelman olisi helpotettava kaikentyyppisten sidosryhmien, varsinkin uusien tulokkaiden, pk-yritysten, innovatiivisten startup- ja scale-up-yritysten sekä uusien kohderyhmien osallistumista ohjelmaan erityisesti kansallisten yhteyspisteiden kautta, joiden on puolestaan tehtävä yhteistyötä muiden unionin ohjelmien asiaankuuluvien tukirake</w:t>
      </w:r>
      <w:r w:rsidRPr="00EA674E">
        <w:t>nteiden kanssa;</w:t>
      </w:r>
    </w:p>
    <w:p w14:paraId="09115E11" w14:textId="77777777" w:rsidR="00205307" w:rsidRPr="00EA674E" w:rsidRDefault="00FD06C2" w:rsidP="00FD06C2">
      <w:pPr>
        <w:pStyle w:val="NormalHanging12a"/>
        <w:widowControl/>
      </w:pPr>
      <w:r w:rsidRPr="00EA674E">
        <w:t>19.</w:t>
      </w:r>
      <w:r w:rsidRPr="00EA674E">
        <w:tab/>
        <w:t>tähdentää, että ulkoisten käyttötarkoitukseensa sidottujen tulojen käytön Horisontti Eurooppa -puiteohjelman puitteissa on oltava täysin avointa ja siihen on kohdistettava tehokasta parlamentaarista valvontaa; panee tässä yhteydessä merkille säännökset, jotka koskevat osallistuvien kolmansien maiden ja muiden avunantajien rahoitusosuuksia; korostaa, että jos asian käsittelyä johtava valiokunta harkitsee ulkoisia käyttötarkoitukseensa sidottuja tuloja koskevien säännösten muuttamista, se olisi tehtävä koord</w:t>
      </w:r>
      <w:r w:rsidRPr="00EA674E">
        <w:t>inoidusti budjettivaliokunnan ja muiden valiokuntien kanssa, jotta varmistetaan lähestymistavan johdonmukaisuus;</w:t>
      </w:r>
    </w:p>
    <w:p w14:paraId="7A525BD5" w14:textId="32275FA4" w:rsidR="00205307" w:rsidRPr="00EA674E" w:rsidRDefault="00FD06C2" w:rsidP="00FD06C2">
      <w:pPr>
        <w:pStyle w:val="NormalHanging12a"/>
        <w:widowControl/>
      </w:pPr>
      <w:r w:rsidRPr="00EA674E">
        <w:t>20.</w:t>
      </w:r>
      <w:r w:rsidRPr="00EA674E">
        <w:tab/>
        <w:t xml:space="preserve">palauttaa mieliin ehdotuksen asetukseksi talousarvion menojen seurantaa ja tuloksellisuutta koskevan kehyksen sekä unionin ohjelmia ja toimintaa koskevien muiden horisontaalisten sääntöjen vahvistamisesta, jäljempänä ’tuloksellisuusasetus’, jossa vahvistetaan yksi yksinkertaistettu luettelo tuloksellisuusindikaattoreista sekä seuranta- ja arviointisäännöksistä, joista osa on merkityksellisiä Horisontti Eurooppa </w:t>
      </w:r>
      <w:r>
        <w:noBreakHyphen/>
      </w:r>
      <w:r w:rsidRPr="00EA674E">
        <w:t>ohjelman kannalta; muistuttaa, että horisontaalisia periaatteita olisi, jos se on mahdollista ja asianmukaista, sovellettava alakohtaisten sääntöjen mukaisesti, kuten uudelleenlaaditussa varainhoitoasetuksessa säädetään, jotta voidaan varmistaa, että niitä sovelletaan alakohtaisten ohjelmien erityispiirteet asianmukaisesti huomioon ottavalla tavalla; korostaa, että kaikki muutokset ohjelman rakenteeseen, tavoitteisiin ja tukikelpoisiin toimiin on otettava asianmukaisesti huomioon asiaankuuluvissa säännöksis</w:t>
      </w:r>
      <w:r w:rsidRPr="00EA674E">
        <w:t>sä ja tuloksellisuusasetuksen liitteessä I osana kyseisen asetuksen muuttamista ja siitä käytäviä neuvotteluja koskevaa prosessia; huomauttaa, että vaikka alakohtaisella lainsäädännöllä voidaan täydentää tuloksellisuusasetusta esimerkiksi ohjelma-arviointien osalta, sen olisi pysyttävä kyseisen asetuksen säännösten mukaisena;</w:t>
      </w:r>
    </w:p>
    <w:p w14:paraId="4499FA48" w14:textId="77777777" w:rsidR="00205307" w:rsidRPr="00EA674E" w:rsidRDefault="00FD06C2" w:rsidP="00FD06C2">
      <w:pPr>
        <w:widowControl/>
        <w:ind w:left="567" w:hanging="567"/>
      </w:pPr>
      <w:r w:rsidRPr="00EA674E">
        <w:t>21.</w:t>
      </w:r>
      <w:r w:rsidRPr="00EA674E">
        <w:tab/>
        <w:t>katsoo, että vapautetut tutkimusmäärärahat olisi käytettävä täysimääräisesti uudelleen unionin tutkimuskapasiteetin vahvistamiseen asettamatta määrille keinotekoista ylärajaa, sillä sellaisesta ei säädetä varainhoitoasetuksessa; katsoo myös, että rahoitusvälineistä takaisin saatavien varojen olisi edelleen oltava käytettävissä Horisontti Eurooppa -puiteohjelmassa;</w:t>
      </w:r>
    </w:p>
    <w:p w14:paraId="62237864" w14:textId="77777777" w:rsidR="00C8553D" w:rsidRPr="00EA674E" w:rsidRDefault="00C8553D" w:rsidP="00FD06C2">
      <w:pPr>
        <w:widowControl/>
      </w:pPr>
    </w:p>
    <w:p w14:paraId="05CE852D" w14:textId="77777777" w:rsidR="00755CD7" w:rsidRPr="00EA674E" w:rsidRDefault="00755CD7" w:rsidP="00FD06C2">
      <w:pPr>
        <w:widowControl/>
        <w:sectPr w:rsidR="00755CD7" w:rsidRPr="00EA674E" w:rsidSect="00EA67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ED7B197" w14:textId="77777777" w:rsidR="00CE73B2" w:rsidRPr="00EA674E" w:rsidRDefault="00FD06C2" w:rsidP="00FD06C2">
      <w:pPr>
        <w:pStyle w:val="Normal12a"/>
        <w:widowControl/>
        <w:rPr>
          <w:rStyle w:val="HideTWBExt"/>
          <w:rFonts w:ascii="Times New Roman" w:hAnsi="Times New Roman"/>
          <w:noProof w:val="0"/>
          <w:vanish w:val="0"/>
          <w:color w:val="auto"/>
          <w:sz w:val="24"/>
        </w:rPr>
      </w:pPr>
      <w:r w:rsidRPr="00EA674E">
        <w:t>Talousarvionäkökohtia koskevassa arviossaan budjettivaliokunta esittää ehdotusluonnokseen myös seuraavat tarkistukset:</w:t>
      </w:r>
    </w:p>
    <w:p w14:paraId="13C4C812" w14:textId="77777777" w:rsidR="000F307C" w:rsidRPr="00EA674E" w:rsidRDefault="00FD06C2" w:rsidP="00FD06C2">
      <w:pPr>
        <w:pStyle w:val="AmNumberTabs"/>
        <w:widowControl/>
      </w:pPr>
      <w:r w:rsidRPr="00EA674E">
        <w:rPr>
          <w:rStyle w:val="HideTWBExt"/>
        </w:rPr>
        <w:t>&lt;RepeatBlock-Amend&gt;</w:t>
      </w:r>
      <w:bookmarkStart w:id="1" w:name="_Hlk203492957"/>
    </w:p>
    <w:p w14:paraId="7F3C28B0" w14:textId="77777777" w:rsidR="000F307C" w:rsidRPr="00EA674E" w:rsidRDefault="00FD06C2" w:rsidP="00FD06C2">
      <w:pPr>
        <w:pStyle w:val="AmNumberTabs"/>
        <w:widowControl/>
      </w:pPr>
      <w:r w:rsidRPr="00EA674E">
        <w:rPr>
          <w:rStyle w:val="HideTWBExt"/>
        </w:rPr>
        <w:t>&lt;Amend&gt;</w:t>
      </w:r>
      <w:r w:rsidRPr="00EA674E">
        <w:t>Tarkistus</w:t>
      </w:r>
      <w:r w:rsidRPr="00EA674E">
        <w:tab/>
      </w:r>
      <w:r w:rsidRPr="00EA674E">
        <w:tab/>
      </w:r>
      <w:r w:rsidRPr="00EA674E">
        <w:rPr>
          <w:rStyle w:val="HideTWBExt"/>
        </w:rPr>
        <w:t>&lt;NumAm&gt;</w:t>
      </w:r>
      <w:r w:rsidRPr="00EA674E">
        <w:t>1</w:t>
      </w:r>
      <w:r w:rsidRPr="00EA674E">
        <w:rPr>
          <w:rStyle w:val="HideTWBExt"/>
        </w:rPr>
        <w:t>&lt;/NumAm&gt;</w:t>
      </w:r>
    </w:p>
    <w:p w14:paraId="41F1D316" w14:textId="77777777" w:rsidR="000F307C" w:rsidRPr="00EA674E" w:rsidRDefault="00FD06C2" w:rsidP="00FD06C2">
      <w:pPr>
        <w:pStyle w:val="Normal12a"/>
        <w:widowControl/>
        <w:spacing w:after="0"/>
        <w:rPr>
          <w:b/>
        </w:rPr>
      </w:pPr>
      <w:r w:rsidRPr="00EA674E">
        <w:rPr>
          <w:rStyle w:val="HideTWBExt"/>
        </w:rPr>
        <w:t>&lt;DocAmend&gt;</w:t>
      </w:r>
      <w:r w:rsidRPr="00EA674E">
        <w:rPr>
          <w:b/>
        </w:rPr>
        <w:t>Ehdotus asetukseksi</w:t>
      </w:r>
      <w:r w:rsidRPr="00EA674E">
        <w:rPr>
          <w:rStyle w:val="HideTWBExt"/>
        </w:rPr>
        <w:t>&lt;/DocAmend&gt;</w:t>
      </w:r>
    </w:p>
    <w:p w14:paraId="753BC33D" w14:textId="77777777" w:rsidR="000F307C" w:rsidRPr="00EA674E" w:rsidRDefault="00FD06C2" w:rsidP="00FD06C2">
      <w:pPr>
        <w:pStyle w:val="Normal12a"/>
        <w:widowControl/>
        <w:spacing w:after="0"/>
        <w:rPr>
          <w:b/>
        </w:rPr>
      </w:pPr>
      <w:r w:rsidRPr="00EA674E">
        <w:rPr>
          <w:rStyle w:val="HideTWBExt"/>
        </w:rPr>
        <w:t>&lt;Article&gt;</w:t>
      </w:r>
      <w:r w:rsidRPr="00EA674E">
        <w:rPr>
          <w:b/>
        </w:rPr>
        <w:t>Johdanto-osan 34 kappale</w:t>
      </w:r>
      <w:r w:rsidRPr="00EA674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93458" w:rsidRPr="00EA674E" w14:paraId="60B7AF41" w14:textId="77777777">
        <w:trPr>
          <w:jc w:val="center"/>
        </w:trPr>
        <w:tc>
          <w:tcPr>
            <w:tcW w:w="9750" w:type="dxa"/>
            <w:gridSpan w:val="2"/>
          </w:tcPr>
          <w:p w14:paraId="10BDE99C" w14:textId="77777777" w:rsidR="000F307C" w:rsidRPr="00EA674E" w:rsidRDefault="000F307C" w:rsidP="00FD06C2">
            <w:pPr>
              <w:pStyle w:val="Normal6a"/>
              <w:widowControl/>
            </w:pPr>
          </w:p>
        </w:tc>
      </w:tr>
      <w:tr w:rsidR="00593458" w:rsidRPr="00EA674E" w14:paraId="71622E94" w14:textId="77777777">
        <w:trPr>
          <w:jc w:val="center"/>
        </w:trPr>
        <w:tc>
          <w:tcPr>
            <w:tcW w:w="4875" w:type="dxa"/>
            <w:hideMark/>
          </w:tcPr>
          <w:p w14:paraId="01CB498D" w14:textId="77777777" w:rsidR="000F307C" w:rsidRPr="00EA674E" w:rsidRDefault="00FD06C2" w:rsidP="00FD06C2">
            <w:pPr>
              <w:pStyle w:val="AmColumnHeading"/>
              <w:widowControl/>
            </w:pPr>
            <w:r w:rsidRPr="00EA674E">
              <w:t>Komission teksti</w:t>
            </w:r>
          </w:p>
        </w:tc>
        <w:tc>
          <w:tcPr>
            <w:tcW w:w="4875" w:type="dxa"/>
            <w:hideMark/>
          </w:tcPr>
          <w:p w14:paraId="6ED16024" w14:textId="77777777" w:rsidR="000F307C" w:rsidRPr="00EA674E" w:rsidRDefault="00FD06C2" w:rsidP="00FD06C2">
            <w:pPr>
              <w:pStyle w:val="AmColumnHeading"/>
              <w:widowControl/>
            </w:pPr>
            <w:r w:rsidRPr="00EA674E">
              <w:t>Tarkistus</w:t>
            </w:r>
          </w:p>
        </w:tc>
      </w:tr>
      <w:tr w:rsidR="00593458" w:rsidRPr="00EA674E" w14:paraId="12F82EC4" w14:textId="77777777" w:rsidTr="000F307C">
        <w:trPr>
          <w:jc w:val="center"/>
        </w:trPr>
        <w:tc>
          <w:tcPr>
            <w:tcW w:w="4875" w:type="dxa"/>
          </w:tcPr>
          <w:p w14:paraId="5EA1CB17" w14:textId="77777777" w:rsidR="000F307C" w:rsidRPr="00EA674E" w:rsidRDefault="00FD06C2" w:rsidP="00FD06C2">
            <w:pPr>
              <w:pStyle w:val="Normal6a"/>
              <w:widowControl/>
            </w:pPr>
            <w:r w:rsidRPr="00EA674E">
              <w:t>34.</w:t>
            </w:r>
            <w:r w:rsidRPr="00EA674E">
              <w:tab/>
              <w:t xml:space="preserve">Jos ohjelmasta on tarkoitus myöntää unionin tukea </w:t>
            </w:r>
            <w:r w:rsidRPr="00EA674E">
              <w:t>talousarviotakuun tai rahoitusvälineen muodossa, myös silloin, kun siihen yhdistetään rahoitusta yhdistävässä toimessa tukea, jota ei makseta takaisin, tällainen tuki olisi annettava yksinomaan Euroopan kilpailukykyneuvoston InvestEU-välineen kautta kyseiseen välineeseen sovellettavien sääntöjen mukaisesti, sanotun kuitenkaan koskematta Euroopan innovaationeuvoston rahoitusvälineitä.</w:t>
            </w:r>
            <w:r w:rsidRPr="00EA674E">
              <w:rPr>
                <w:i/>
              </w:rPr>
              <w:t> </w:t>
            </w:r>
          </w:p>
        </w:tc>
        <w:tc>
          <w:tcPr>
            <w:tcW w:w="4875" w:type="dxa"/>
          </w:tcPr>
          <w:p w14:paraId="7FF91DC6" w14:textId="77777777" w:rsidR="000F307C" w:rsidRPr="00EA674E" w:rsidRDefault="00FD06C2" w:rsidP="00FD06C2">
            <w:pPr>
              <w:pStyle w:val="Normal6a"/>
              <w:widowControl/>
            </w:pPr>
            <w:r w:rsidRPr="00EA674E">
              <w:t>34.</w:t>
            </w:r>
            <w:r w:rsidRPr="00EA674E">
              <w:tab/>
              <w:t xml:space="preserve">Jos ohjelmasta on tarkoitus myöntää unionin tukea talousarviotakuun tai rahoitusvälineen muodossa, myös silloin, kun siihen yhdistetään rahoitusta yhdistävässä toimessa tukea, jota ei makseta takaisin, tällainen tuki olisi annettava yksinomaan Euroopan kilpailukykyneuvoston InvestEU-välineen kautta </w:t>
            </w:r>
            <w:r w:rsidRPr="00EA674E">
              <w:rPr>
                <w:b/>
                <w:i/>
              </w:rPr>
              <w:t>– Scaleup Europe -rahasto mukaan luettuna –</w:t>
            </w:r>
            <w:r w:rsidRPr="00EA674E">
              <w:t xml:space="preserve"> kyseiseen välineeseen sovellettavien sääntöjen mukaisesti, sanotun kuitenkaan koskematta Euroopan innovaationeuvoston rahoitusvälineitä.</w:t>
            </w:r>
          </w:p>
        </w:tc>
      </w:tr>
    </w:tbl>
    <w:p w14:paraId="5626D62A" w14:textId="77777777" w:rsidR="00610FA5" w:rsidRPr="00EA674E" w:rsidRDefault="00FD06C2" w:rsidP="00FD06C2">
      <w:pPr>
        <w:pStyle w:val="AmNumberTabs"/>
        <w:widowControl/>
        <w:rPr>
          <w:rStyle w:val="HideTWBExt"/>
        </w:rPr>
      </w:pPr>
      <w:r w:rsidRPr="00EA674E">
        <w:rPr>
          <w:rStyle w:val="HideTWBExt"/>
        </w:rPr>
        <w:t>&lt;/Amend&gt;</w:t>
      </w:r>
    </w:p>
    <w:p w14:paraId="2AF2F59B" w14:textId="77777777" w:rsidR="00976019" w:rsidRPr="00EA674E" w:rsidRDefault="00FD06C2" w:rsidP="00FD06C2">
      <w:pPr>
        <w:pStyle w:val="AmNumberTabs"/>
        <w:widowControl/>
      </w:pPr>
      <w:r w:rsidRPr="00EA674E">
        <w:rPr>
          <w:rStyle w:val="HideTWBExt"/>
        </w:rPr>
        <w:t>&lt;Amend&gt;</w:t>
      </w:r>
      <w:r w:rsidRPr="00EA674E">
        <w:t>Tarkistus</w:t>
      </w:r>
      <w:r w:rsidRPr="00EA674E">
        <w:tab/>
      </w:r>
      <w:r w:rsidRPr="00EA674E">
        <w:tab/>
      </w:r>
      <w:r w:rsidRPr="00EA674E">
        <w:rPr>
          <w:rStyle w:val="HideTWBExt"/>
        </w:rPr>
        <w:t>&lt;NumAm&gt;</w:t>
      </w:r>
      <w:r w:rsidRPr="00EA674E">
        <w:t>2</w:t>
      </w:r>
      <w:r w:rsidRPr="00EA674E">
        <w:rPr>
          <w:rStyle w:val="HideTWBExt"/>
        </w:rPr>
        <w:t>&lt;/NumAm&gt;</w:t>
      </w:r>
    </w:p>
    <w:p w14:paraId="45C507CF" w14:textId="77777777" w:rsidR="00976019" w:rsidRPr="00EA674E" w:rsidRDefault="00FD06C2" w:rsidP="00FD06C2">
      <w:pPr>
        <w:pStyle w:val="Normal12a"/>
        <w:widowControl/>
        <w:spacing w:after="0"/>
        <w:rPr>
          <w:b/>
        </w:rPr>
      </w:pPr>
      <w:r w:rsidRPr="00EA674E">
        <w:rPr>
          <w:rStyle w:val="HideTWBExt"/>
        </w:rPr>
        <w:t>&lt;DocAmend&gt;</w:t>
      </w:r>
      <w:r w:rsidRPr="00EA674E">
        <w:rPr>
          <w:b/>
        </w:rPr>
        <w:t>Ehdotus asetukseksi</w:t>
      </w:r>
      <w:r w:rsidRPr="00EA674E">
        <w:rPr>
          <w:rStyle w:val="HideTWBExt"/>
        </w:rPr>
        <w:t>&lt;/DocAmend&gt;</w:t>
      </w:r>
    </w:p>
    <w:p w14:paraId="32C97B7F" w14:textId="77777777" w:rsidR="00976019" w:rsidRPr="00EA674E" w:rsidRDefault="00FD06C2" w:rsidP="00FD06C2">
      <w:pPr>
        <w:pStyle w:val="Normal12a"/>
        <w:widowControl/>
        <w:spacing w:after="0"/>
        <w:rPr>
          <w:b/>
        </w:rPr>
      </w:pPr>
      <w:r w:rsidRPr="00EA674E">
        <w:rPr>
          <w:rStyle w:val="HideTWBExt"/>
        </w:rPr>
        <w:t>&lt;Article&gt;</w:t>
      </w:r>
      <w:r w:rsidRPr="00EA674E">
        <w:rPr>
          <w:b/>
        </w:rPr>
        <w:t>Johdanto-osan 36 a kappale (uusi)</w:t>
      </w:r>
      <w:r w:rsidRPr="00EA674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93458" w:rsidRPr="00EA674E" w14:paraId="16CE9141" w14:textId="77777777" w:rsidTr="00582163">
        <w:trPr>
          <w:jc w:val="center"/>
        </w:trPr>
        <w:tc>
          <w:tcPr>
            <w:tcW w:w="9750" w:type="dxa"/>
            <w:gridSpan w:val="2"/>
          </w:tcPr>
          <w:p w14:paraId="7693952B" w14:textId="77777777" w:rsidR="00976019" w:rsidRPr="00EA674E" w:rsidRDefault="00976019" w:rsidP="00FD06C2">
            <w:pPr>
              <w:pStyle w:val="Normal6a"/>
              <w:widowControl/>
            </w:pPr>
          </w:p>
        </w:tc>
      </w:tr>
      <w:tr w:rsidR="00593458" w:rsidRPr="00EA674E" w14:paraId="2A1E313F" w14:textId="77777777" w:rsidTr="00582163">
        <w:trPr>
          <w:jc w:val="center"/>
        </w:trPr>
        <w:tc>
          <w:tcPr>
            <w:tcW w:w="4875" w:type="dxa"/>
            <w:hideMark/>
          </w:tcPr>
          <w:p w14:paraId="0DA71D31" w14:textId="77777777" w:rsidR="00976019" w:rsidRPr="00EA674E" w:rsidRDefault="00FD06C2" w:rsidP="00FD06C2">
            <w:pPr>
              <w:pStyle w:val="AmColumnHeading"/>
              <w:widowControl/>
            </w:pPr>
            <w:r w:rsidRPr="00EA674E">
              <w:t>Komission teksti</w:t>
            </w:r>
          </w:p>
        </w:tc>
        <w:tc>
          <w:tcPr>
            <w:tcW w:w="4875" w:type="dxa"/>
            <w:hideMark/>
          </w:tcPr>
          <w:p w14:paraId="5F17AB94" w14:textId="77777777" w:rsidR="00976019" w:rsidRPr="00EA674E" w:rsidRDefault="00FD06C2" w:rsidP="00FD06C2">
            <w:pPr>
              <w:pStyle w:val="AmColumnHeading"/>
              <w:widowControl/>
            </w:pPr>
            <w:r w:rsidRPr="00EA674E">
              <w:t>Tarkistus</w:t>
            </w:r>
          </w:p>
        </w:tc>
      </w:tr>
      <w:tr w:rsidR="00593458" w:rsidRPr="00EA674E" w14:paraId="2102916C" w14:textId="77777777" w:rsidTr="00582163">
        <w:trPr>
          <w:jc w:val="center"/>
        </w:trPr>
        <w:tc>
          <w:tcPr>
            <w:tcW w:w="4875" w:type="dxa"/>
          </w:tcPr>
          <w:p w14:paraId="6354079D" w14:textId="77777777" w:rsidR="00976019" w:rsidRPr="00EA674E" w:rsidRDefault="00976019" w:rsidP="00FD06C2">
            <w:pPr>
              <w:pStyle w:val="Normal6a"/>
              <w:widowControl/>
            </w:pPr>
          </w:p>
        </w:tc>
        <w:tc>
          <w:tcPr>
            <w:tcW w:w="4875" w:type="dxa"/>
            <w:hideMark/>
          </w:tcPr>
          <w:p w14:paraId="29B5080D" w14:textId="77777777" w:rsidR="00976019" w:rsidRPr="00EA674E" w:rsidRDefault="00FD06C2" w:rsidP="00FD06C2">
            <w:pPr>
              <w:pStyle w:val="Normal6a"/>
              <w:widowControl/>
              <w:rPr>
                <w:b/>
                <w:bCs/>
                <w:i/>
                <w:iCs/>
              </w:rPr>
            </w:pPr>
            <w:r w:rsidRPr="00EA674E">
              <w:rPr>
                <w:b/>
                <w:i/>
              </w:rPr>
              <w:t>(36 a)</w:t>
            </w:r>
            <w:r w:rsidRPr="00EA674E">
              <w:rPr>
                <w:b/>
                <w:i/>
              </w:rPr>
              <w:tab/>
              <w:t xml:space="preserve">Horisontti Eurooppa -puiteohjelman ja muiden unionin välineiden – mukaan luettuna Euroopan kilpailukykyrahaston – keskinäisen täydentävyyden lisääminen ei saisi tapahtua menojen jäljitettävyyden tai </w:t>
            </w:r>
            <w:r w:rsidRPr="00EA674E">
              <w:rPr>
                <w:b/>
                <w:i/>
              </w:rPr>
              <w:t>budjettivallan käyttäjän oikeuksien kustannuksella. Yhteisesti rahoitettuja toimia koskeva Horisontti Eurooppa -puiteohjelman rahoitusosuus olisi voitava eritellä jatkossakin selkeästi talousarviosyklin kaikissa vaiheissa, ja se olisi otettava asianmukaisesti huomioon ohjelman tuloksellisuutta koskevassa lausunnossa.</w:t>
            </w:r>
          </w:p>
        </w:tc>
      </w:tr>
    </w:tbl>
    <w:p w14:paraId="7A91A6A3" w14:textId="77777777" w:rsidR="00976019" w:rsidRPr="00EA674E" w:rsidRDefault="00FD06C2" w:rsidP="00FD06C2">
      <w:pPr>
        <w:pStyle w:val="AmNumberTabs"/>
        <w:widowControl/>
      </w:pPr>
      <w:r w:rsidRPr="00EA674E">
        <w:rPr>
          <w:rStyle w:val="HideTWBExt"/>
        </w:rPr>
        <w:t>&lt;/Amend&gt;</w:t>
      </w:r>
    </w:p>
    <w:p w14:paraId="40B2A337" w14:textId="77777777" w:rsidR="00976019" w:rsidRPr="00EA674E" w:rsidRDefault="00976019" w:rsidP="00FD06C2">
      <w:pPr>
        <w:pStyle w:val="AmNumberTabs"/>
        <w:widowControl/>
      </w:pPr>
    </w:p>
    <w:p w14:paraId="202C5351" w14:textId="77777777" w:rsidR="00610FA5" w:rsidRPr="00EA674E" w:rsidRDefault="00FD06C2" w:rsidP="00FD06C2">
      <w:pPr>
        <w:pStyle w:val="AmNumberTabs"/>
        <w:widowControl/>
      </w:pPr>
      <w:r w:rsidRPr="00EA674E">
        <w:rPr>
          <w:rStyle w:val="HideTWBExt"/>
        </w:rPr>
        <w:t>&lt;Amend&gt;</w:t>
      </w:r>
      <w:r w:rsidRPr="00EA674E">
        <w:t>Tarkistus</w:t>
      </w:r>
      <w:r w:rsidRPr="00EA674E">
        <w:tab/>
      </w:r>
      <w:r w:rsidRPr="00EA674E">
        <w:tab/>
      </w:r>
      <w:r w:rsidRPr="00EA674E">
        <w:rPr>
          <w:rStyle w:val="HideTWBExt"/>
        </w:rPr>
        <w:t>&lt;NumAm&gt;</w:t>
      </w:r>
      <w:r w:rsidRPr="00EA674E">
        <w:t>3</w:t>
      </w:r>
      <w:r w:rsidRPr="00EA674E">
        <w:rPr>
          <w:rStyle w:val="HideTWBExt"/>
        </w:rPr>
        <w:t>&lt;/NumAm&gt;</w:t>
      </w:r>
    </w:p>
    <w:p w14:paraId="5F851833" w14:textId="77777777" w:rsidR="00610FA5" w:rsidRPr="00EA674E" w:rsidRDefault="00FD06C2" w:rsidP="00FD06C2">
      <w:pPr>
        <w:pStyle w:val="Normal12a"/>
        <w:widowControl/>
        <w:spacing w:after="0"/>
        <w:rPr>
          <w:b/>
        </w:rPr>
      </w:pPr>
      <w:r w:rsidRPr="00EA674E">
        <w:rPr>
          <w:rStyle w:val="HideTWBExt"/>
        </w:rPr>
        <w:t>&lt;DocAmend&gt;</w:t>
      </w:r>
      <w:r w:rsidRPr="00EA674E">
        <w:rPr>
          <w:b/>
        </w:rPr>
        <w:t>Ehdotus asetukseksi</w:t>
      </w:r>
      <w:r w:rsidRPr="00EA674E">
        <w:rPr>
          <w:rStyle w:val="HideTWBExt"/>
        </w:rPr>
        <w:t>&lt;/DocAmend&gt;</w:t>
      </w:r>
    </w:p>
    <w:p w14:paraId="0FFE4B33" w14:textId="77777777" w:rsidR="00205307" w:rsidRPr="00EA674E" w:rsidRDefault="00FD06C2" w:rsidP="00FD06C2">
      <w:pPr>
        <w:pStyle w:val="Normal12a"/>
        <w:widowControl/>
        <w:rPr>
          <w:rFonts w:ascii="Arial" w:hAnsi="Arial" w:cs="Arial"/>
          <w:b/>
          <w:noProof/>
          <w:color w:val="000080"/>
          <w:sz w:val="20"/>
        </w:rPr>
      </w:pPr>
      <w:r w:rsidRPr="00EA674E">
        <w:rPr>
          <w:rStyle w:val="HideTWBExt"/>
        </w:rPr>
        <w:t>&lt;Article&gt;</w:t>
      </w:r>
      <w:r w:rsidRPr="00EA674E">
        <w:rPr>
          <w:b/>
        </w:rPr>
        <w:t>Johdanto-osan 37 b kappale (uusi)</w:t>
      </w:r>
      <w:r w:rsidRPr="00EA674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93458" w:rsidRPr="00EA674E" w14:paraId="3929A049" w14:textId="77777777">
        <w:trPr>
          <w:jc w:val="center"/>
        </w:trPr>
        <w:tc>
          <w:tcPr>
            <w:tcW w:w="9752" w:type="dxa"/>
            <w:gridSpan w:val="2"/>
          </w:tcPr>
          <w:p w14:paraId="2997A1DF" w14:textId="77777777" w:rsidR="00610FA5" w:rsidRPr="00EA674E" w:rsidRDefault="00610FA5" w:rsidP="00FD06C2">
            <w:pPr>
              <w:pStyle w:val="Normal6a"/>
              <w:widowControl/>
            </w:pPr>
          </w:p>
        </w:tc>
      </w:tr>
      <w:tr w:rsidR="00593458" w:rsidRPr="00EA674E" w14:paraId="4C91FA05" w14:textId="77777777">
        <w:trPr>
          <w:jc w:val="center"/>
        </w:trPr>
        <w:tc>
          <w:tcPr>
            <w:tcW w:w="4876" w:type="dxa"/>
            <w:hideMark/>
          </w:tcPr>
          <w:p w14:paraId="0CF6D3CF" w14:textId="77777777" w:rsidR="00610FA5" w:rsidRPr="00EA674E" w:rsidRDefault="00FD06C2" w:rsidP="00FD06C2">
            <w:pPr>
              <w:pStyle w:val="AmColumnHeading"/>
              <w:widowControl/>
            </w:pPr>
            <w:r w:rsidRPr="00EA674E">
              <w:t>Komission teksti</w:t>
            </w:r>
          </w:p>
        </w:tc>
        <w:tc>
          <w:tcPr>
            <w:tcW w:w="4876" w:type="dxa"/>
            <w:hideMark/>
          </w:tcPr>
          <w:p w14:paraId="74286405" w14:textId="77777777" w:rsidR="00610FA5" w:rsidRPr="00EA674E" w:rsidRDefault="00FD06C2" w:rsidP="00FD06C2">
            <w:pPr>
              <w:pStyle w:val="AmColumnHeading"/>
              <w:widowControl/>
            </w:pPr>
            <w:r w:rsidRPr="00EA674E">
              <w:t>Tarkistus</w:t>
            </w:r>
          </w:p>
        </w:tc>
      </w:tr>
      <w:tr w:rsidR="00593458" w:rsidRPr="00EA674E" w14:paraId="3859D157" w14:textId="77777777">
        <w:trPr>
          <w:jc w:val="center"/>
        </w:trPr>
        <w:tc>
          <w:tcPr>
            <w:tcW w:w="4876" w:type="dxa"/>
            <w:hideMark/>
          </w:tcPr>
          <w:p w14:paraId="1731625E" w14:textId="77777777" w:rsidR="00610FA5" w:rsidRPr="00EA674E" w:rsidRDefault="00610FA5" w:rsidP="00FD06C2">
            <w:pPr>
              <w:pStyle w:val="Normal6a"/>
              <w:widowControl/>
            </w:pPr>
          </w:p>
        </w:tc>
        <w:tc>
          <w:tcPr>
            <w:tcW w:w="4876" w:type="dxa"/>
            <w:hideMark/>
          </w:tcPr>
          <w:p w14:paraId="5C976DBD" w14:textId="77777777" w:rsidR="00610FA5" w:rsidRPr="00EA674E" w:rsidRDefault="00FD06C2" w:rsidP="00FD06C2">
            <w:pPr>
              <w:pStyle w:val="Normal6a"/>
              <w:widowControl/>
              <w:rPr>
                <w:b/>
                <w:bCs/>
                <w:i/>
                <w:iCs/>
              </w:rPr>
            </w:pPr>
            <w:r w:rsidRPr="00EA674E">
              <w:rPr>
                <w:b/>
                <w:i/>
              </w:rPr>
              <w:t>(37 b)</w:t>
            </w:r>
            <w:r w:rsidRPr="00EA674E">
              <w:rPr>
                <w:b/>
                <w:i/>
              </w:rPr>
              <w:tab/>
              <w:t xml:space="preserve">Tämän </w:t>
            </w:r>
            <w:r w:rsidRPr="00EA674E">
              <w:rPr>
                <w:b/>
                <w:i/>
              </w:rPr>
              <w:t>asetuksen säännösten ja sen hallintojärjestelyjen olisi edistettävä budjettivallan käyttäjän asianmukaista päätöksentekoa ja asianmukaista parlamentaarista valvontaa. Etenkin ohjelman sisäisen rakenteen mahdollinen täsmentäminen olisi otettava asianmukaisesti huomioon budjettinimikkeistössä ottamalla käyttöön vastaavat budjettikohdat.</w:t>
            </w:r>
          </w:p>
        </w:tc>
      </w:tr>
    </w:tbl>
    <w:p w14:paraId="68C0BCBC" w14:textId="77777777" w:rsidR="00610FA5" w:rsidRPr="00EA674E" w:rsidRDefault="00FD06C2" w:rsidP="00FD06C2">
      <w:pPr>
        <w:pStyle w:val="AmNumberTabs"/>
        <w:widowControl/>
      </w:pPr>
      <w:r w:rsidRPr="00EA674E">
        <w:rPr>
          <w:rStyle w:val="HideTWBExt"/>
        </w:rPr>
        <w:t>&lt;/Amend&gt;</w:t>
      </w:r>
    </w:p>
    <w:p w14:paraId="45157919" w14:textId="77777777" w:rsidR="00976019" w:rsidRPr="00EA674E" w:rsidRDefault="00FD06C2" w:rsidP="00FD06C2">
      <w:pPr>
        <w:pStyle w:val="AmNumberTabs"/>
        <w:widowControl/>
      </w:pPr>
      <w:r w:rsidRPr="00EA674E">
        <w:rPr>
          <w:rStyle w:val="HideTWBExt"/>
        </w:rPr>
        <w:t>&lt;Amend&gt;</w:t>
      </w:r>
      <w:r w:rsidRPr="00EA674E">
        <w:t>Tarkistus</w:t>
      </w:r>
      <w:r w:rsidRPr="00EA674E">
        <w:tab/>
      </w:r>
      <w:r w:rsidRPr="00EA674E">
        <w:tab/>
      </w:r>
      <w:r w:rsidRPr="00EA674E">
        <w:rPr>
          <w:rStyle w:val="HideTWBExt"/>
        </w:rPr>
        <w:t>&lt;NumAm&gt;</w:t>
      </w:r>
      <w:r w:rsidRPr="00EA674E">
        <w:t>4</w:t>
      </w:r>
      <w:r w:rsidRPr="00EA674E">
        <w:rPr>
          <w:rStyle w:val="HideTWBExt"/>
        </w:rPr>
        <w:t>&lt;/NumAm&gt;</w:t>
      </w:r>
    </w:p>
    <w:p w14:paraId="63D39723" w14:textId="77777777" w:rsidR="00976019" w:rsidRPr="00EA674E" w:rsidRDefault="00FD06C2" w:rsidP="00FD06C2">
      <w:pPr>
        <w:pStyle w:val="Normal12a"/>
        <w:widowControl/>
        <w:spacing w:after="0"/>
        <w:rPr>
          <w:b/>
        </w:rPr>
      </w:pPr>
      <w:r w:rsidRPr="00EA674E">
        <w:rPr>
          <w:rStyle w:val="HideTWBExt"/>
        </w:rPr>
        <w:t>&lt;DocAmend&gt;</w:t>
      </w:r>
      <w:r w:rsidRPr="00EA674E">
        <w:rPr>
          <w:b/>
        </w:rPr>
        <w:t>Ehdotus asetukseksi</w:t>
      </w:r>
      <w:r w:rsidRPr="00EA674E">
        <w:rPr>
          <w:rStyle w:val="HideTWBExt"/>
        </w:rPr>
        <w:t>&lt;/DocAmend&gt;</w:t>
      </w:r>
    </w:p>
    <w:p w14:paraId="4759F880" w14:textId="77777777" w:rsidR="00976019" w:rsidRPr="00EA674E" w:rsidRDefault="00FD06C2" w:rsidP="00FD06C2">
      <w:pPr>
        <w:pStyle w:val="Normal12a"/>
        <w:widowControl/>
        <w:spacing w:after="0"/>
        <w:rPr>
          <w:b/>
        </w:rPr>
      </w:pPr>
      <w:r w:rsidRPr="00EA674E">
        <w:rPr>
          <w:rStyle w:val="HideTWBExt"/>
        </w:rPr>
        <w:t>&lt;Article&gt;</w:t>
      </w:r>
      <w:r w:rsidRPr="00EA674E">
        <w:rPr>
          <w:b/>
        </w:rPr>
        <w:t>Johdanto-osan 37 c kappale (uusi)</w:t>
      </w:r>
      <w:r w:rsidRPr="00EA674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93458" w:rsidRPr="00EA674E" w14:paraId="2F5DEA27" w14:textId="77777777" w:rsidTr="00582163">
        <w:trPr>
          <w:jc w:val="center"/>
        </w:trPr>
        <w:tc>
          <w:tcPr>
            <w:tcW w:w="9752" w:type="dxa"/>
            <w:gridSpan w:val="2"/>
          </w:tcPr>
          <w:p w14:paraId="619F17B8" w14:textId="77777777" w:rsidR="00976019" w:rsidRPr="00EA674E" w:rsidRDefault="00976019" w:rsidP="00FD06C2">
            <w:pPr>
              <w:pStyle w:val="Normal6a"/>
              <w:widowControl/>
            </w:pPr>
          </w:p>
        </w:tc>
      </w:tr>
      <w:tr w:rsidR="00593458" w:rsidRPr="00EA674E" w14:paraId="3D5FF74B" w14:textId="77777777" w:rsidTr="00582163">
        <w:trPr>
          <w:jc w:val="center"/>
        </w:trPr>
        <w:tc>
          <w:tcPr>
            <w:tcW w:w="4876" w:type="dxa"/>
            <w:hideMark/>
          </w:tcPr>
          <w:p w14:paraId="40EC9AC2" w14:textId="77777777" w:rsidR="00976019" w:rsidRPr="00EA674E" w:rsidRDefault="00FD06C2" w:rsidP="00FD06C2">
            <w:pPr>
              <w:pStyle w:val="AmColumnHeading"/>
              <w:widowControl/>
            </w:pPr>
            <w:r w:rsidRPr="00EA674E">
              <w:t>Komission teksti</w:t>
            </w:r>
          </w:p>
        </w:tc>
        <w:tc>
          <w:tcPr>
            <w:tcW w:w="4876" w:type="dxa"/>
            <w:hideMark/>
          </w:tcPr>
          <w:p w14:paraId="4FF9CDFB" w14:textId="77777777" w:rsidR="00976019" w:rsidRPr="00EA674E" w:rsidRDefault="00FD06C2" w:rsidP="00FD06C2">
            <w:pPr>
              <w:pStyle w:val="AmColumnHeading"/>
              <w:widowControl/>
            </w:pPr>
            <w:r w:rsidRPr="00EA674E">
              <w:t>Tarkistus</w:t>
            </w:r>
          </w:p>
        </w:tc>
      </w:tr>
      <w:tr w:rsidR="00593458" w:rsidRPr="00EA674E" w14:paraId="596DFF62" w14:textId="77777777" w:rsidTr="00582163">
        <w:trPr>
          <w:jc w:val="center"/>
        </w:trPr>
        <w:tc>
          <w:tcPr>
            <w:tcW w:w="4876" w:type="dxa"/>
          </w:tcPr>
          <w:p w14:paraId="259EBB4F" w14:textId="77777777" w:rsidR="00976019" w:rsidRPr="00EA674E" w:rsidRDefault="00976019" w:rsidP="00FD06C2">
            <w:pPr>
              <w:pStyle w:val="Normal6a"/>
              <w:widowControl/>
            </w:pPr>
          </w:p>
        </w:tc>
        <w:tc>
          <w:tcPr>
            <w:tcW w:w="4876" w:type="dxa"/>
            <w:shd w:val="clear" w:color="auto" w:fill="auto"/>
            <w:hideMark/>
          </w:tcPr>
          <w:p w14:paraId="55848EFA" w14:textId="77777777" w:rsidR="00976019" w:rsidRPr="00EA674E" w:rsidRDefault="00FD06C2" w:rsidP="00FD06C2">
            <w:pPr>
              <w:pStyle w:val="Normal6a"/>
              <w:widowControl/>
            </w:pPr>
            <w:r w:rsidRPr="00EA674E">
              <w:rPr>
                <w:b/>
                <w:i/>
              </w:rPr>
              <w:t>(37c)</w:t>
            </w:r>
            <w:r w:rsidRPr="00EA674E">
              <w:rPr>
                <w:b/>
                <w:i/>
              </w:rPr>
              <w:tab/>
              <w:t>Varainhoitoasetuksen 15 artiklan 3 kohdan mukaisesti vapautetut tutkimusmäärärahat on käytettävä uudelleen unionin tutkimuskapasiteetin vahvistamiseen ilman ennakolta asetettua ylärajaa, joka rajoittaa budjettivallan käyttäjää vuotuisessa talousarviomenettelyssä.</w:t>
            </w:r>
            <w:r w:rsidRPr="00EA674E">
              <w:t xml:space="preserve"> </w:t>
            </w:r>
          </w:p>
        </w:tc>
      </w:tr>
    </w:tbl>
    <w:p w14:paraId="6BEB4863" w14:textId="77777777" w:rsidR="00976019" w:rsidRPr="00EA674E" w:rsidRDefault="00FD06C2" w:rsidP="00FD06C2">
      <w:pPr>
        <w:pStyle w:val="AmNumberTabs"/>
        <w:widowControl/>
      </w:pPr>
      <w:r w:rsidRPr="00EA674E">
        <w:rPr>
          <w:rStyle w:val="HideTWBExt"/>
        </w:rPr>
        <w:t>&lt;/Amend&gt;</w:t>
      </w:r>
    </w:p>
    <w:p w14:paraId="3C44EC7C" w14:textId="77777777" w:rsidR="000F307C" w:rsidRPr="00EA674E" w:rsidRDefault="000F307C" w:rsidP="00FD06C2">
      <w:pPr>
        <w:pStyle w:val="AmNumberTabs"/>
        <w:widowControl/>
        <w:rPr>
          <w:rStyle w:val="HideTWBExt"/>
          <w:color w:val="auto"/>
        </w:rPr>
      </w:pPr>
    </w:p>
    <w:p w14:paraId="3B3127E4" w14:textId="77777777" w:rsidR="006D16AE" w:rsidRPr="00EA674E" w:rsidRDefault="00FD06C2" w:rsidP="00FD06C2">
      <w:pPr>
        <w:pStyle w:val="AmNumberTabs"/>
        <w:widowControl/>
      </w:pPr>
      <w:r w:rsidRPr="00EA674E">
        <w:rPr>
          <w:rStyle w:val="HideTWBExt"/>
        </w:rPr>
        <w:t>&lt;Amend&gt;</w:t>
      </w:r>
      <w:r w:rsidRPr="00EA674E">
        <w:t>Tarkistus</w:t>
      </w:r>
      <w:r w:rsidRPr="00EA674E">
        <w:tab/>
      </w:r>
      <w:r w:rsidRPr="00EA674E">
        <w:tab/>
      </w:r>
      <w:r w:rsidRPr="00EA674E">
        <w:rPr>
          <w:rStyle w:val="HideTWBExt"/>
        </w:rPr>
        <w:t>&lt;NumAm&gt;</w:t>
      </w:r>
      <w:r w:rsidRPr="00EA674E">
        <w:t>5</w:t>
      </w:r>
      <w:r w:rsidRPr="00EA674E">
        <w:rPr>
          <w:rStyle w:val="HideTWBExt"/>
        </w:rPr>
        <w:t>&lt;/NumAm&gt;</w:t>
      </w:r>
    </w:p>
    <w:p w14:paraId="67D41D4F" w14:textId="77777777" w:rsidR="007F1A57" w:rsidRPr="00EA674E" w:rsidRDefault="007F1A57" w:rsidP="00FD06C2">
      <w:pPr>
        <w:pStyle w:val="Normal12a"/>
        <w:widowControl/>
        <w:rPr>
          <w:rFonts w:ascii="Arial" w:hAnsi="Arial"/>
          <w:noProof/>
          <w:vanish/>
          <w:color w:val="000080"/>
          <w:sz w:val="20"/>
        </w:rPr>
      </w:pPr>
    </w:p>
    <w:p w14:paraId="4F75447A" w14:textId="77777777" w:rsidR="006D16AE" w:rsidRPr="00EA674E" w:rsidRDefault="00FD06C2" w:rsidP="00FD06C2">
      <w:pPr>
        <w:pStyle w:val="Normal12a"/>
        <w:widowControl/>
        <w:spacing w:after="0"/>
        <w:rPr>
          <w:b/>
        </w:rPr>
      </w:pPr>
      <w:r w:rsidRPr="00EA674E">
        <w:rPr>
          <w:rStyle w:val="HideTWBExt"/>
        </w:rPr>
        <w:t>&lt;DocAmend&gt;</w:t>
      </w:r>
      <w:r w:rsidRPr="00EA674E">
        <w:rPr>
          <w:b/>
        </w:rPr>
        <w:t>Ehdotus asetukseksi</w:t>
      </w:r>
      <w:r w:rsidRPr="00EA674E">
        <w:rPr>
          <w:rStyle w:val="HideTWBExt"/>
        </w:rPr>
        <w:t>&lt;/DocAmend&gt;</w:t>
      </w:r>
    </w:p>
    <w:p w14:paraId="60D0E1EC" w14:textId="77777777" w:rsidR="00205307" w:rsidRPr="00EA674E" w:rsidRDefault="00FD06C2" w:rsidP="00FD06C2">
      <w:pPr>
        <w:pStyle w:val="Normal12a"/>
        <w:widowControl/>
        <w:rPr>
          <w:rFonts w:ascii="Arial" w:hAnsi="Arial" w:cs="Arial"/>
          <w:b/>
          <w:noProof/>
          <w:color w:val="000080"/>
          <w:sz w:val="20"/>
        </w:rPr>
      </w:pPr>
      <w:r w:rsidRPr="00EA674E">
        <w:rPr>
          <w:rStyle w:val="HideTWBExt"/>
        </w:rPr>
        <w:t>&lt;Article&gt;</w:t>
      </w:r>
      <w:r w:rsidRPr="00EA674E">
        <w:rPr>
          <w:b/>
        </w:rPr>
        <w:t>Johdanto-osan 38 a kappale (uusi)</w:t>
      </w:r>
      <w:r w:rsidRPr="00EA674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93458" w:rsidRPr="00EA674E" w14:paraId="3EAEE8E6" w14:textId="77777777" w:rsidTr="005A2392">
        <w:trPr>
          <w:jc w:val="center"/>
        </w:trPr>
        <w:tc>
          <w:tcPr>
            <w:tcW w:w="9752" w:type="dxa"/>
            <w:gridSpan w:val="2"/>
          </w:tcPr>
          <w:p w14:paraId="48780043" w14:textId="77777777" w:rsidR="006D16AE" w:rsidRPr="00EA674E" w:rsidRDefault="006D16AE" w:rsidP="00FD06C2">
            <w:pPr>
              <w:pStyle w:val="Normal6a"/>
              <w:widowControl/>
            </w:pPr>
          </w:p>
        </w:tc>
      </w:tr>
      <w:tr w:rsidR="00593458" w:rsidRPr="00EA674E" w14:paraId="3B8D5D46" w14:textId="77777777" w:rsidTr="005A2392">
        <w:trPr>
          <w:jc w:val="center"/>
        </w:trPr>
        <w:tc>
          <w:tcPr>
            <w:tcW w:w="4876" w:type="dxa"/>
            <w:hideMark/>
          </w:tcPr>
          <w:p w14:paraId="5729A23C" w14:textId="77777777" w:rsidR="006D16AE" w:rsidRPr="00EA674E" w:rsidRDefault="00FD06C2" w:rsidP="00FD06C2">
            <w:pPr>
              <w:pStyle w:val="AmColumnHeading"/>
              <w:widowControl/>
            </w:pPr>
            <w:r w:rsidRPr="00EA674E">
              <w:t>Komission teksti</w:t>
            </w:r>
          </w:p>
        </w:tc>
        <w:tc>
          <w:tcPr>
            <w:tcW w:w="4876" w:type="dxa"/>
            <w:hideMark/>
          </w:tcPr>
          <w:p w14:paraId="7341BA1A" w14:textId="77777777" w:rsidR="006D16AE" w:rsidRPr="00EA674E" w:rsidRDefault="00FD06C2" w:rsidP="00FD06C2">
            <w:pPr>
              <w:pStyle w:val="AmColumnHeading"/>
              <w:widowControl/>
            </w:pPr>
            <w:r w:rsidRPr="00EA674E">
              <w:t>Tarkistus</w:t>
            </w:r>
          </w:p>
        </w:tc>
      </w:tr>
      <w:tr w:rsidR="00593458" w:rsidRPr="00EA674E" w14:paraId="5094645C" w14:textId="77777777" w:rsidTr="005A2392">
        <w:trPr>
          <w:jc w:val="center"/>
        </w:trPr>
        <w:tc>
          <w:tcPr>
            <w:tcW w:w="4876" w:type="dxa"/>
            <w:hideMark/>
          </w:tcPr>
          <w:p w14:paraId="39401A93" w14:textId="77777777" w:rsidR="006D16AE" w:rsidRPr="00EA674E" w:rsidRDefault="006D16AE" w:rsidP="00FD06C2">
            <w:pPr>
              <w:pStyle w:val="Normal6a"/>
              <w:widowControl/>
            </w:pPr>
          </w:p>
        </w:tc>
        <w:tc>
          <w:tcPr>
            <w:tcW w:w="4876" w:type="dxa"/>
            <w:hideMark/>
          </w:tcPr>
          <w:p w14:paraId="6B485291" w14:textId="77777777" w:rsidR="006D16AE" w:rsidRPr="00EA674E" w:rsidRDefault="00FD06C2" w:rsidP="00FD06C2">
            <w:pPr>
              <w:pStyle w:val="Normal6a"/>
              <w:widowControl/>
            </w:pPr>
            <w:r w:rsidRPr="00EA674E">
              <w:rPr>
                <w:b/>
                <w:i/>
              </w:rPr>
              <w:t>(38 a)</w:t>
            </w:r>
            <w:r w:rsidRPr="00EA674E">
              <w:rPr>
                <w:b/>
                <w:i/>
              </w:rPr>
              <w:tab/>
              <w:t xml:space="preserve">Tämän asetuksen vaikutukset unionin </w:t>
            </w:r>
            <w:r w:rsidRPr="00EA674E">
              <w:rPr>
                <w:b/>
                <w:i/>
              </w:rPr>
              <w:t>talousarvioon on arvioitu</w:t>
            </w:r>
            <w:r w:rsidRPr="00EA674E">
              <w:rPr>
                <w:b/>
                <w:i/>
                <w:vertAlign w:val="superscript"/>
              </w:rPr>
              <w:t>+</w:t>
            </w:r>
            <w:r w:rsidRPr="00EA674E">
              <w:rPr>
                <w:b/>
                <w:i/>
              </w:rPr>
              <w:t xml:space="preserve"> Euroopan unionin toiminnasta tehdyn sopimuksen 310 artiklan 4 kohdan mukaisesti. Sen täytäntöönpanoon olisi osoitettava riittävät varat ja henkilöresurssit ottaen samalla huomioon sen rahoituksen vaikutukset muihin unionin ohjelmiin tai toimintapolitiikkoihin ja varmistaen sen yhteensopivuuden monivuotisen rahoituskehyksen, omien varojen järjestelmän ja vastaavan toimielinten välisen sopimuksen kanssa sekä Euroopan parlamentin ja neuvoston asetuksessa (EU, Euratom) 2024/2509</w:t>
            </w:r>
            <w:r w:rsidRPr="00EA674E">
              <w:rPr>
                <w:b/>
                <w:i/>
                <w:vertAlign w:val="superscript"/>
              </w:rPr>
              <w:t>1</w:t>
            </w:r>
            <w:r w:rsidRPr="00EA674E">
              <w:rPr>
                <w:b/>
                <w:i/>
              </w:rPr>
              <w:t xml:space="preserve"> vahv</w:t>
            </w:r>
            <w:r w:rsidRPr="00EA674E">
              <w:rPr>
                <w:b/>
                <w:i/>
              </w:rPr>
              <w:t>istettujen talousarvioperiaatteiden kanssa.</w:t>
            </w:r>
          </w:p>
        </w:tc>
      </w:tr>
      <w:tr w:rsidR="00593458" w:rsidRPr="00EA674E" w14:paraId="593D0DE2" w14:textId="77777777" w:rsidTr="005A2392">
        <w:trPr>
          <w:jc w:val="center"/>
        </w:trPr>
        <w:tc>
          <w:tcPr>
            <w:tcW w:w="4876" w:type="dxa"/>
          </w:tcPr>
          <w:p w14:paraId="67DAF59C" w14:textId="77777777" w:rsidR="006D16AE" w:rsidRPr="00EA674E" w:rsidRDefault="006D16AE" w:rsidP="00FD06C2">
            <w:pPr>
              <w:pStyle w:val="Normal6a"/>
              <w:widowControl/>
            </w:pPr>
          </w:p>
        </w:tc>
        <w:tc>
          <w:tcPr>
            <w:tcW w:w="4876" w:type="dxa"/>
            <w:hideMark/>
          </w:tcPr>
          <w:p w14:paraId="560D59DB" w14:textId="77777777" w:rsidR="006D16AE" w:rsidRPr="00EA674E" w:rsidRDefault="00FD06C2" w:rsidP="00FD06C2">
            <w:pPr>
              <w:pStyle w:val="Normal6a"/>
              <w:widowControl/>
              <w:rPr>
                <w:b/>
                <w:i/>
              </w:rPr>
            </w:pPr>
            <w:r w:rsidRPr="00EA674E">
              <w:rPr>
                <w:b/>
                <w:i/>
              </w:rPr>
              <w:t>____________________</w:t>
            </w:r>
          </w:p>
        </w:tc>
      </w:tr>
      <w:tr w:rsidR="00593458" w:rsidRPr="00EA674E" w14:paraId="2A685218" w14:textId="77777777" w:rsidTr="005A2392">
        <w:trPr>
          <w:jc w:val="center"/>
        </w:trPr>
        <w:tc>
          <w:tcPr>
            <w:tcW w:w="4876" w:type="dxa"/>
          </w:tcPr>
          <w:p w14:paraId="164A8373" w14:textId="77777777" w:rsidR="006D16AE" w:rsidRPr="00EA674E" w:rsidRDefault="006D16AE" w:rsidP="00FD06C2">
            <w:pPr>
              <w:pStyle w:val="Normal6a"/>
              <w:widowControl/>
            </w:pPr>
          </w:p>
        </w:tc>
        <w:tc>
          <w:tcPr>
            <w:tcW w:w="4876" w:type="dxa"/>
            <w:hideMark/>
          </w:tcPr>
          <w:p w14:paraId="43A19F47" w14:textId="77777777" w:rsidR="006D16AE" w:rsidRPr="00EA674E" w:rsidRDefault="00FD06C2" w:rsidP="00FD06C2">
            <w:pPr>
              <w:pStyle w:val="Normal6a"/>
              <w:widowControl/>
              <w:rPr>
                <w:b/>
                <w:bCs/>
                <w:i/>
                <w:iCs/>
              </w:rPr>
            </w:pPr>
            <w:r w:rsidRPr="00EA674E">
              <w:rPr>
                <w:b/>
                <w:i/>
                <w:vertAlign w:val="superscript"/>
              </w:rPr>
              <w:t>+</w:t>
            </w:r>
            <w:r w:rsidRPr="00EA674E">
              <w:rPr>
                <w:b/>
                <w:i/>
              </w:rPr>
              <w:t xml:space="preserve"> Pro memoria: Euroopan parlamentin budjettivaliokunnan 23. kesäkuuta 2026 antama talousarvionäkökohtia koskeva arvio ehdotuksesta neuvoston päätökseksi Euroopan parlamentin ja </w:t>
            </w:r>
            <w:r w:rsidRPr="00EA674E">
              <w:rPr>
                <w:b/>
                <w:i/>
              </w:rPr>
              <w:t>neuvoston asetuksesta tutkimuksen ja innovoinnin puiteohjelman ”Horisontti Eurooppa” perustamisesta vuosiksi 2028–2034, sen osallistumista ja tulosten levittämistä koskevien sääntöjen vahvistamisesta ja asetuksen (EU) 2021/695 kumoamisesta (COM(2025)0543).</w:t>
            </w:r>
          </w:p>
        </w:tc>
      </w:tr>
      <w:tr w:rsidR="00593458" w:rsidRPr="00EA674E" w14:paraId="7AB00E28" w14:textId="77777777" w:rsidTr="005A2392">
        <w:trPr>
          <w:jc w:val="center"/>
        </w:trPr>
        <w:tc>
          <w:tcPr>
            <w:tcW w:w="4876" w:type="dxa"/>
          </w:tcPr>
          <w:p w14:paraId="7F221A63" w14:textId="77777777" w:rsidR="005A2392" w:rsidRPr="00EA674E" w:rsidRDefault="005A2392" w:rsidP="00FD06C2">
            <w:pPr>
              <w:pStyle w:val="Normal6a"/>
              <w:widowControl/>
            </w:pPr>
          </w:p>
        </w:tc>
        <w:tc>
          <w:tcPr>
            <w:tcW w:w="4876" w:type="dxa"/>
          </w:tcPr>
          <w:p w14:paraId="5A5B4698" w14:textId="38863561" w:rsidR="005A2392" w:rsidRPr="00EA674E" w:rsidRDefault="00FD06C2" w:rsidP="00FD06C2">
            <w:pPr>
              <w:pStyle w:val="Normal6a"/>
              <w:widowControl/>
              <w:rPr>
                <w:i/>
                <w:vertAlign w:val="superscript"/>
              </w:rPr>
            </w:pPr>
            <w:r w:rsidRPr="00EA674E">
              <w:rPr>
                <w:b/>
                <w:i/>
                <w:vertAlign w:val="superscript"/>
              </w:rPr>
              <w:t>[1]</w:t>
            </w:r>
            <w:r w:rsidRPr="00EA674E">
              <w:rPr>
                <w:b/>
                <w:i/>
              </w:rPr>
              <w:t xml:space="preserve">Euroopan parlamentin ja neuvoston asetus (EU, Euratom) 2024/2509, annettu 23 päivänä syyskuuta 2024, unionin yleiseen talousarvioon sovellettavista varainhoitosäännöistä (EUVL L, 2024/2509, 26.9.2024, ELI: </w:t>
            </w:r>
            <w:hyperlink r:id="rId15" w:history="1">
              <w:r w:rsidR="005A2392" w:rsidRPr="00EA674E">
                <w:rPr>
                  <w:rStyle w:val="Hyperlink"/>
                  <w:b/>
                  <w:i/>
                  <w:color w:val="auto"/>
                </w:rPr>
                <w:t>http://data.europa.eu/eli/reg/2024/2509/oj</w:t>
              </w:r>
            </w:hyperlink>
            <w:r w:rsidRPr="00EA674E">
              <w:rPr>
                <w:b/>
                <w:i/>
              </w:rPr>
              <w:t>).</w:t>
            </w:r>
          </w:p>
        </w:tc>
      </w:tr>
    </w:tbl>
    <w:p w14:paraId="4F1C05AC" w14:textId="77777777" w:rsidR="00F26123" w:rsidRPr="00EA674E" w:rsidRDefault="00FD06C2" w:rsidP="00FD06C2">
      <w:pPr>
        <w:pStyle w:val="AmNumberTabs"/>
        <w:widowControl/>
      </w:pPr>
      <w:r w:rsidRPr="00EA674E">
        <w:rPr>
          <w:rStyle w:val="HideTWBExt"/>
        </w:rPr>
        <w:t>&lt;/Amend&gt;</w:t>
      </w:r>
    </w:p>
    <w:p w14:paraId="01127C1E" w14:textId="77777777" w:rsidR="00C04E9D" w:rsidRPr="00EA674E" w:rsidRDefault="00FD06C2" w:rsidP="00FD06C2">
      <w:pPr>
        <w:pStyle w:val="AmNumberTabs"/>
        <w:widowControl/>
      </w:pPr>
      <w:bookmarkStart w:id="2" w:name="_Hlk233194052"/>
      <w:bookmarkStart w:id="3" w:name="_Hlk233194012"/>
      <w:r w:rsidRPr="00EA674E">
        <w:rPr>
          <w:rStyle w:val="HideTWBExt"/>
        </w:rPr>
        <w:t>&lt;Amend&gt;</w:t>
      </w:r>
      <w:r w:rsidRPr="00EA674E">
        <w:t>Tarkistus</w:t>
      </w:r>
      <w:r w:rsidRPr="00EA674E">
        <w:tab/>
      </w:r>
      <w:r w:rsidRPr="00EA674E">
        <w:tab/>
      </w:r>
      <w:r w:rsidRPr="00EA674E">
        <w:rPr>
          <w:rStyle w:val="HideTWBExt"/>
        </w:rPr>
        <w:t>&lt;NumAm&gt;</w:t>
      </w:r>
      <w:r w:rsidRPr="00EA674E">
        <w:t>6</w:t>
      </w:r>
      <w:r w:rsidRPr="00EA674E">
        <w:rPr>
          <w:rStyle w:val="HideTWBExt"/>
        </w:rPr>
        <w:t>&lt;/NumAm&gt;</w:t>
      </w:r>
    </w:p>
    <w:p w14:paraId="3D303C34" w14:textId="77777777" w:rsidR="00C04E9D" w:rsidRPr="00EA674E" w:rsidRDefault="00FD06C2" w:rsidP="00FD06C2">
      <w:pPr>
        <w:pStyle w:val="Normal12a"/>
        <w:widowControl/>
        <w:spacing w:after="0"/>
        <w:rPr>
          <w:b/>
        </w:rPr>
      </w:pPr>
      <w:r w:rsidRPr="00EA674E">
        <w:rPr>
          <w:rStyle w:val="HideTWBExt"/>
        </w:rPr>
        <w:t>&lt;DocAmend&gt;</w:t>
      </w:r>
      <w:r w:rsidRPr="00EA674E">
        <w:rPr>
          <w:b/>
        </w:rPr>
        <w:t>Ehdotus asetukseksi</w:t>
      </w:r>
      <w:r w:rsidRPr="00EA674E">
        <w:rPr>
          <w:rStyle w:val="HideTWBExt"/>
        </w:rPr>
        <w:t>&lt;/DocAmend&gt;</w:t>
      </w:r>
    </w:p>
    <w:p w14:paraId="7E825E4C" w14:textId="77777777" w:rsidR="00C04E9D" w:rsidRPr="00EA674E" w:rsidRDefault="00FD06C2" w:rsidP="00FD06C2">
      <w:pPr>
        <w:pStyle w:val="Normal12a"/>
        <w:widowControl/>
        <w:spacing w:after="0"/>
        <w:rPr>
          <w:b/>
        </w:rPr>
      </w:pPr>
      <w:r w:rsidRPr="00EA674E">
        <w:rPr>
          <w:rStyle w:val="HideTWBExt"/>
        </w:rPr>
        <w:t>&lt;Article&gt;</w:t>
      </w:r>
      <w:r w:rsidRPr="00EA674E">
        <w:rPr>
          <w:b/>
        </w:rPr>
        <w:t>6 artikla – 1 kohta</w:t>
      </w:r>
      <w:r w:rsidRPr="00EA674E">
        <w:rPr>
          <w:rStyle w:val="HideTWBExt"/>
        </w:rPr>
        <w:t>&lt;/Article&gt;</w:t>
      </w:r>
    </w:p>
    <w:bookmarkEnd w:id="2"/>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93458" w:rsidRPr="00EA674E" w14:paraId="440C29E2" w14:textId="77777777" w:rsidTr="00D22A96">
        <w:trPr>
          <w:jc w:val="center"/>
        </w:trPr>
        <w:tc>
          <w:tcPr>
            <w:tcW w:w="9750" w:type="dxa"/>
            <w:gridSpan w:val="2"/>
          </w:tcPr>
          <w:p w14:paraId="6A6872E2" w14:textId="77777777" w:rsidR="00C04E9D" w:rsidRPr="00EA674E" w:rsidRDefault="00C04E9D" w:rsidP="00FD06C2">
            <w:pPr>
              <w:pStyle w:val="Normal6a"/>
              <w:widowControl/>
            </w:pPr>
          </w:p>
        </w:tc>
      </w:tr>
      <w:tr w:rsidR="00593458" w:rsidRPr="00EA674E" w14:paraId="482A62CD" w14:textId="77777777" w:rsidTr="00D22A96">
        <w:trPr>
          <w:jc w:val="center"/>
        </w:trPr>
        <w:tc>
          <w:tcPr>
            <w:tcW w:w="4875" w:type="dxa"/>
            <w:hideMark/>
          </w:tcPr>
          <w:p w14:paraId="21AF9E84" w14:textId="77777777" w:rsidR="00C04E9D" w:rsidRPr="00EA674E" w:rsidRDefault="00FD06C2" w:rsidP="00FD06C2">
            <w:pPr>
              <w:pStyle w:val="AmColumnHeading"/>
              <w:widowControl/>
            </w:pPr>
            <w:r w:rsidRPr="00EA674E">
              <w:t>Komission teksti</w:t>
            </w:r>
          </w:p>
        </w:tc>
        <w:tc>
          <w:tcPr>
            <w:tcW w:w="4875" w:type="dxa"/>
            <w:hideMark/>
          </w:tcPr>
          <w:p w14:paraId="6960F881" w14:textId="77777777" w:rsidR="00C04E9D" w:rsidRPr="00EA674E" w:rsidRDefault="00FD06C2" w:rsidP="00FD06C2">
            <w:pPr>
              <w:pStyle w:val="AmColumnHeading"/>
              <w:widowControl/>
            </w:pPr>
            <w:r w:rsidRPr="00EA674E">
              <w:t>Tarkistus</w:t>
            </w:r>
          </w:p>
        </w:tc>
      </w:tr>
      <w:tr w:rsidR="00593458" w:rsidRPr="00EA674E" w14:paraId="5162B927" w14:textId="77777777" w:rsidTr="00D22A96">
        <w:trPr>
          <w:jc w:val="center"/>
        </w:trPr>
        <w:tc>
          <w:tcPr>
            <w:tcW w:w="4875" w:type="dxa"/>
          </w:tcPr>
          <w:p w14:paraId="1D1D2891" w14:textId="77777777" w:rsidR="00D22A96" w:rsidRPr="00EA674E" w:rsidRDefault="00FD06C2" w:rsidP="00FD06C2">
            <w:pPr>
              <w:pStyle w:val="Normal6a"/>
              <w:widowControl/>
            </w:pPr>
            <w:r w:rsidRPr="00EA674E">
              <w:t>1.</w:t>
            </w:r>
            <w:r w:rsidRPr="00EA674E">
              <w:tab/>
            </w:r>
            <w:r w:rsidRPr="00EA674E">
              <w:rPr>
                <w:b/>
                <w:i/>
              </w:rPr>
              <w:t>Ohjelman ohjeelliset rahoituspuitteet 1 päivän tammikuuta 2028 ja 31 päivän joulukuuta 2034 väliselle ajalle ovat 175 002 000 000</w:t>
            </w:r>
            <w:r w:rsidRPr="00EA674E">
              <w:t xml:space="preserve"> euroa käypinä hintoina.</w:t>
            </w:r>
          </w:p>
        </w:tc>
        <w:tc>
          <w:tcPr>
            <w:tcW w:w="4875" w:type="dxa"/>
            <w:hideMark/>
          </w:tcPr>
          <w:p w14:paraId="02AA1134" w14:textId="77777777" w:rsidR="00D22A96" w:rsidRPr="00EA674E" w:rsidRDefault="00FD06C2" w:rsidP="00FD06C2">
            <w:pPr>
              <w:pStyle w:val="Normal6a"/>
              <w:widowControl/>
            </w:pPr>
            <w:r w:rsidRPr="00EA674E">
              <w:t>1.</w:t>
            </w:r>
            <w:r w:rsidRPr="00EA674E">
              <w:tab/>
            </w:r>
            <w:r w:rsidRPr="00EA674E">
              <w:rPr>
                <w:b/>
                <w:i/>
              </w:rPr>
              <w:t xml:space="preserve">Asetuksen täytäntöönpanoon varatut ohjelman määrärahat vuosiksi 2028–2034 ovat </w:t>
            </w:r>
            <w:r w:rsidRPr="00EA674E">
              <w:rPr>
                <w:b/>
                <w:i/>
              </w:rPr>
              <w:t>200 003 562 000 euroa käypinä hintoina (177 010 000 000</w:t>
            </w:r>
            <w:r w:rsidRPr="00EA674E">
              <w:t xml:space="preserve"> euroa </w:t>
            </w:r>
            <w:r w:rsidRPr="00EA674E">
              <w:rPr>
                <w:b/>
                <w:i/>
              </w:rPr>
              <w:t>vuoden 2025</w:t>
            </w:r>
            <w:r w:rsidRPr="00EA674E">
              <w:t xml:space="preserve"> hintoina</w:t>
            </w:r>
            <w:r w:rsidRPr="00EA674E">
              <w:rPr>
                <w:b/>
                <w:i/>
              </w:rPr>
              <w:t>)</w:t>
            </w:r>
            <w:r w:rsidRPr="00EA674E">
              <w:t>.</w:t>
            </w:r>
          </w:p>
        </w:tc>
      </w:tr>
    </w:tbl>
    <w:p w14:paraId="5365EF07" w14:textId="77777777" w:rsidR="00D22A96" w:rsidRPr="00EA674E" w:rsidRDefault="00FD06C2" w:rsidP="00FD06C2">
      <w:pPr>
        <w:pStyle w:val="AmNumberTabs"/>
        <w:widowControl/>
      </w:pPr>
      <w:r w:rsidRPr="00EA674E">
        <w:rPr>
          <w:rStyle w:val="HideTWBExt"/>
        </w:rPr>
        <w:t>&lt;/Amend&gt;</w:t>
      </w:r>
    </w:p>
    <w:bookmarkEnd w:id="3"/>
    <w:p w14:paraId="088FB291" w14:textId="77777777" w:rsidR="00760D63" w:rsidRPr="00EA674E" w:rsidRDefault="00FD06C2" w:rsidP="00FD06C2">
      <w:pPr>
        <w:pStyle w:val="AmNumberTabs"/>
        <w:widowControl/>
      </w:pPr>
      <w:r w:rsidRPr="00EA674E">
        <w:rPr>
          <w:rStyle w:val="HideTWBExt"/>
        </w:rPr>
        <w:t>&lt;Amend&gt;</w:t>
      </w:r>
      <w:r w:rsidRPr="00EA674E">
        <w:t>Tarkistus</w:t>
      </w:r>
      <w:r w:rsidRPr="00EA674E">
        <w:tab/>
      </w:r>
      <w:r w:rsidRPr="00EA674E">
        <w:tab/>
      </w:r>
      <w:r w:rsidRPr="00EA674E">
        <w:rPr>
          <w:rStyle w:val="HideTWBExt"/>
        </w:rPr>
        <w:t>&lt;NumAm&gt;</w:t>
      </w:r>
      <w:r w:rsidRPr="00EA674E">
        <w:t>7</w:t>
      </w:r>
      <w:r w:rsidRPr="00EA674E">
        <w:rPr>
          <w:rStyle w:val="HideTWBExt"/>
        </w:rPr>
        <w:t>&lt;/NumAm&gt;</w:t>
      </w:r>
    </w:p>
    <w:p w14:paraId="0BC2220C" w14:textId="77777777" w:rsidR="00760D63" w:rsidRPr="00EA674E" w:rsidRDefault="00FD06C2" w:rsidP="00FD06C2">
      <w:pPr>
        <w:pStyle w:val="Normal12a"/>
        <w:widowControl/>
        <w:spacing w:after="0"/>
        <w:rPr>
          <w:b/>
        </w:rPr>
      </w:pPr>
      <w:r w:rsidRPr="00EA674E">
        <w:rPr>
          <w:rStyle w:val="HideTWBExt"/>
        </w:rPr>
        <w:t>&lt;DocAmend&gt;</w:t>
      </w:r>
      <w:r w:rsidRPr="00EA674E">
        <w:rPr>
          <w:b/>
        </w:rPr>
        <w:t>Ehdotus asetukseksi</w:t>
      </w:r>
      <w:r w:rsidRPr="00EA674E">
        <w:rPr>
          <w:rStyle w:val="HideTWBExt"/>
        </w:rPr>
        <w:t>&lt;/DocAmend&gt;</w:t>
      </w:r>
    </w:p>
    <w:p w14:paraId="31A0D0C5" w14:textId="77777777" w:rsidR="00760D63" w:rsidRPr="00EA674E" w:rsidRDefault="00FD06C2" w:rsidP="00FD06C2">
      <w:pPr>
        <w:pStyle w:val="Normal12a"/>
        <w:widowControl/>
        <w:spacing w:after="0"/>
        <w:rPr>
          <w:b/>
        </w:rPr>
      </w:pPr>
      <w:r w:rsidRPr="00EA674E">
        <w:rPr>
          <w:rStyle w:val="HideTWBExt"/>
        </w:rPr>
        <w:t>&lt;Article&gt;</w:t>
      </w:r>
      <w:r w:rsidRPr="00EA674E">
        <w:rPr>
          <w:b/>
        </w:rPr>
        <w:t>7 artikla – 2 a kohta (uusi)</w:t>
      </w:r>
      <w:r w:rsidRPr="00EA674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93458" w:rsidRPr="00EA674E" w14:paraId="23548721" w14:textId="77777777">
        <w:trPr>
          <w:jc w:val="center"/>
        </w:trPr>
        <w:tc>
          <w:tcPr>
            <w:tcW w:w="9750" w:type="dxa"/>
            <w:gridSpan w:val="2"/>
          </w:tcPr>
          <w:p w14:paraId="0175E811" w14:textId="77777777" w:rsidR="00760D63" w:rsidRPr="00EA674E" w:rsidRDefault="00760D63" w:rsidP="00FD06C2">
            <w:pPr>
              <w:pStyle w:val="Normal6a"/>
              <w:widowControl/>
            </w:pPr>
          </w:p>
        </w:tc>
      </w:tr>
      <w:tr w:rsidR="00593458" w:rsidRPr="00EA674E" w14:paraId="1E1664A1" w14:textId="77777777">
        <w:trPr>
          <w:jc w:val="center"/>
        </w:trPr>
        <w:tc>
          <w:tcPr>
            <w:tcW w:w="4875" w:type="dxa"/>
            <w:hideMark/>
          </w:tcPr>
          <w:p w14:paraId="7CD0C43E" w14:textId="77777777" w:rsidR="00760D63" w:rsidRPr="00EA674E" w:rsidRDefault="00FD06C2" w:rsidP="00FD06C2">
            <w:pPr>
              <w:pStyle w:val="AmColumnHeading"/>
              <w:widowControl/>
            </w:pPr>
            <w:r w:rsidRPr="00EA674E">
              <w:t>Komission teksti</w:t>
            </w:r>
          </w:p>
        </w:tc>
        <w:tc>
          <w:tcPr>
            <w:tcW w:w="4875" w:type="dxa"/>
            <w:hideMark/>
          </w:tcPr>
          <w:p w14:paraId="70058042" w14:textId="77777777" w:rsidR="00760D63" w:rsidRPr="00EA674E" w:rsidRDefault="00FD06C2" w:rsidP="00FD06C2">
            <w:pPr>
              <w:pStyle w:val="AmColumnHeading"/>
              <w:widowControl/>
            </w:pPr>
            <w:r w:rsidRPr="00EA674E">
              <w:t>Tarkistus</w:t>
            </w:r>
          </w:p>
        </w:tc>
      </w:tr>
      <w:tr w:rsidR="00593458" w:rsidRPr="00EA674E" w14:paraId="26DB6B9C" w14:textId="77777777">
        <w:trPr>
          <w:jc w:val="center"/>
        </w:trPr>
        <w:tc>
          <w:tcPr>
            <w:tcW w:w="4875" w:type="dxa"/>
          </w:tcPr>
          <w:p w14:paraId="5C1F49AE" w14:textId="77777777" w:rsidR="00760D63" w:rsidRPr="00EA674E" w:rsidRDefault="00760D63" w:rsidP="00FD06C2">
            <w:pPr>
              <w:pStyle w:val="Normal6a"/>
              <w:widowControl/>
            </w:pPr>
          </w:p>
        </w:tc>
        <w:tc>
          <w:tcPr>
            <w:tcW w:w="4875" w:type="dxa"/>
            <w:hideMark/>
          </w:tcPr>
          <w:p w14:paraId="375A8635" w14:textId="77777777" w:rsidR="00760D63" w:rsidRPr="00EA674E" w:rsidRDefault="00FD06C2" w:rsidP="00FD06C2">
            <w:pPr>
              <w:pStyle w:val="Normal6a"/>
              <w:widowControl/>
            </w:pPr>
            <w:r w:rsidRPr="00EA674E">
              <w:rPr>
                <w:b/>
                <w:i/>
              </w:rPr>
              <w:t>2 a.</w:t>
            </w:r>
            <w:r w:rsidRPr="00EA674E">
              <w:rPr>
                <w:b/>
                <w:i/>
              </w:rPr>
              <w:tab/>
            </w:r>
            <w:r w:rsidRPr="00EA674E">
              <w:rPr>
                <w:b/>
                <w:i/>
              </w:rPr>
              <w:t>Poiketen siitä, mitä varainhoitoasetuksen 212 artiklan 3 kohdan ensimmäisessä, toisessa ja neljännessä alakohdassa säädetään, tämän asetuksen ja sen edeltäjien nojalla perustetuista rahoitusvälineistä saadut Euroopan kilpailukykyrahaston kautta jaettavat tulot, palautukset ja takaisinperinnät käytetään [1 päivästä tammikuuta 2028 / ohjelman alkamispäivästä] unionin tuen myöntämiseen Horisontti Eurooppa -ohjelmasta. Poiketen siitä, mitä 21 artiklan 3 kohdan f alakohdassa säädetään, ja varainhoitoasetuksen 21</w:t>
            </w:r>
            <w:r w:rsidRPr="00EA674E">
              <w:rPr>
                <w:b/>
                <w:i/>
              </w:rPr>
              <w:t> artiklan 5 kohdan mukaisesti nämä varat ovat Horisontti Eurooppa -ohjelman ulkoisia käyttötarkoitukseensa sidottuja tuloja. Euroopan innovaationeuvoston rahaston käyttöön ottamat rahoitusvälineistä saadut tulot, palautukset ja takaisinperinnät jäävät Euroopan innovaationeuvoston rahaston taseeseen.</w:t>
            </w:r>
          </w:p>
        </w:tc>
      </w:tr>
    </w:tbl>
    <w:p w14:paraId="4ABBF6AB" w14:textId="77777777" w:rsidR="00BA7BC0" w:rsidRPr="00EA674E" w:rsidRDefault="00FD06C2" w:rsidP="00FD06C2">
      <w:pPr>
        <w:pStyle w:val="AmNumberTabs"/>
        <w:widowControl/>
      </w:pPr>
      <w:r w:rsidRPr="00EA674E">
        <w:rPr>
          <w:rStyle w:val="HideTWBExt"/>
        </w:rPr>
        <w:t>&lt;/Amend&gt;</w:t>
      </w:r>
    </w:p>
    <w:p w14:paraId="27F2E466" w14:textId="77777777" w:rsidR="00BA7BC0" w:rsidRPr="00EA674E" w:rsidRDefault="00FD06C2" w:rsidP="00FD06C2">
      <w:pPr>
        <w:pStyle w:val="AmNumberTabs"/>
        <w:widowControl/>
      </w:pPr>
      <w:r w:rsidRPr="00EA674E">
        <w:rPr>
          <w:rStyle w:val="HideTWBExt"/>
        </w:rPr>
        <w:t>&lt;Amend&gt;</w:t>
      </w:r>
      <w:r w:rsidRPr="00EA674E">
        <w:t>Tarkistus</w:t>
      </w:r>
      <w:r w:rsidRPr="00EA674E">
        <w:tab/>
      </w:r>
      <w:r w:rsidRPr="00EA674E">
        <w:tab/>
      </w:r>
      <w:r w:rsidRPr="00EA674E">
        <w:rPr>
          <w:rStyle w:val="HideTWBExt"/>
        </w:rPr>
        <w:t>&lt;NumAm&gt;</w:t>
      </w:r>
      <w:r w:rsidRPr="00EA674E">
        <w:t>8</w:t>
      </w:r>
      <w:r w:rsidRPr="00EA674E">
        <w:rPr>
          <w:rStyle w:val="HideTWBExt"/>
        </w:rPr>
        <w:t>&lt;/NumAm&gt;</w:t>
      </w:r>
    </w:p>
    <w:p w14:paraId="2C30F493" w14:textId="77777777" w:rsidR="00BA7BC0" w:rsidRPr="00EA674E" w:rsidRDefault="00FD06C2" w:rsidP="00FD06C2">
      <w:pPr>
        <w:pStyle w:val="Normal12a"/>
        <w:widowControl/>
        <w:spacing w:after="0"/>
        <w:rPr>
          <w:b/>
        </w:rPr>
      </w:pPr>
      <w:r w:rsidRPr="00EA674E">
        <w:rPr>
          <w:rStyle w:val="HideTWBExt"/>
        </w:rPr>
        <w:t>&lt;DocAmend&gt;</w:t>
      </w:r>
      <w:r w:rsidRPr="00EA674E">
        <w:rPr>
          <w:b/>
        </w:rPr>
        <w:t>Ehdotus asetukseksi</w:t>
      </w:r>
      <w:r w:rsidRPr="00EA674E">
        <w:rPr>
          <w:rStyle w:val="HideTWBExt"/>
        </w:rPr>
        <w:t>&lt;/DocAmend&gt;</w:t>
      </w:r>
    </w:p>
    <w:p w14:paraId="6D2364DF" w14:textId="77777777" w:rsidR="00BA7BC0" w:rsidRPr="00EA674E" w:rsidRDefault="00FD06C2" w:rsidP="00FD06C2">
      <w:pPr>
        <w:pStyle w:val="Normal12a"/>
        <w:widowControl/>
        <w:spacing w:after="0"/>
        <w:rPr>
          <w:b/>
        </w:rPr>
      </w:pPr>
      <w:r w:rsidRPr="00EA674E">
        <w:rPr>
          <w:rStyle w:val="HideTWBExt"/>
        </w:rPr>
        <w:t>&lt;Article&gt;</w:t>
      </w:r>
      <w:r w:rsidRPr="00EA674E">
        <w:rPr>
          <w:b/>
        </w:rPr>
        <w:t>7 artikla – 2 b kohta (uusi)</w:t>
      </w:r>
      <w:r w:rsidRPr="00EA674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93458" w:rsidRPr="00EA674E" w14:paraId="48863FF0" w14:textId="77777777">
        <w:trPr>
          <w:jc w:val="center"/>
        </w:trPr>
        <w:tc>
          <w:tcPr>
            <w:tcW w:w="9750" w:type="dxa"/>
            <w:gridSpan w:val="2"/>
          </w:tcPr>
          <w:p w14:paraId="01E1A511" w14:textId="77777777" w:rsidR="00BA7BC0" w:rsidRPr="00EA674E" w:rsidRDefault="00BA7BC0" w:rsidP="00FD06C2">
            <w:pPr>
              <w:pStyle w:val="Normal6a"/>
              <w:widowControl/>
            </w:pPr>
          </w:p>
        </w:tc>
      </w:tr>
      <w:tr w:rsidR="00593458" w:rsidRPr="00EA674E" w14:paraId="28B60886" w14:textId="77777777">
        <w:trPr>
          <w:jc w:val="center"/>
        </w:trPr>
        <w:tc>
          <w:tcPr>
            <w:tcW w:w="4875" w:type="dxa"/>
            <w:hideMark/>
          </w:tcPr>
          <w:p w14:paraId="614FADF5" w14:textId="77777777" w:rsidR="00BA7BC0" w:rsidRPr="00EA674E" w:rsidRDefault="00FD06C2" w:rsidP="00FD06C2">
            <w:pPr>
              <w:pStyle w:val="AmColumnHeading"/>
              <w:widowControl/>
            </w:pPr>
            <w:r w:rsidRPr="00EA674E">
              <w:t>Komission teksti</w:t>
            </w:r>
          </w:p>
        </w:tc>
        <w:tc>
          <w:tcPr>
            <w:tcW w:w="4875" w:type="dxa"/>
            <w:hideMark/>
          </w:tcPr>
          <w:p w14:paraId="48D183B1" w14:textId="77777777" w:rsidR="00BA7BC0" w:rsidRPr="00EA674E" w:rsidRDefault="00FD06C2" w:rsidP="00FD06C2">
            <w:pPr>
              <w:pStyle w:val="AmColumnHeading"/>
              <w:widowControl/>
            </w:pPr>
            <w:r w:rsidRPr="00EA674E">
              <w:t>Tarkistus</w:t>
            </w:r>
          </w:p>
        </w:tc>
      </w:tr>
      <w:tr w:rsidR="00593458" w:rsidRPr="00EA674E" w14:paraId="2AA3DE59" w14:textId="77777777">
        <w:trPr>
          <w:jc w:val="center"/>
        </w:trPr>
        <w:tc>
          <w:tcPr>
            <w:tcW w:w="4875" w:type="dxa"/>
          </w:tcPr>
          <w:p w14:paraId="6A71D3BE" w14:textId="77777777" w:rsidR="00BA7BC0" w:rsidRPr="00EA674E" w:rsidRDefault="00BA7BC0" w:rsidP="00FD06C2">
            <w:pPr>
              <w:pStyle w:val="Normal6a"/>
              <w:widowControl/>
            </w:pPr>
          </w:p>
        </w:tc>
        <w:tc>
          <w:tcPr>
            <w:tcW w:w="4875" w:type="dxa"/>
            <w:hideMark/>
          </w:tcPr>
          <w:p w14:paraId="2BD522C6" w14:textId="77777777" w:rsidR="00BA7BC0" w:rsidRPr="00EA674E" w:rsidRDefault="00FD06C2" w:rsidP="00FD06C2">
            <w:pPr>
              <w:pStyle w:val="Normal6a"/>
              <w:widowControl/>
            </w:pPr>
            <w:r w:rsidRPr="00EA674E">
              <w:rPr>
                <w:b/>
                <w:i/>
              </w:rPr>
              <w:t>2 b.</w:t>
            </w:r>
            <w:r w:rsidRPr="00EA674E">
              <w:rPr>
                <w:b/>
                <w:i/>
              </w:rPr>
              <w:tab/>
            </w:r>
            <w:r w:rsidRPr="00EA674E">
              <w:rPr>
                <w:b/>
                <w:i/>
              </w:rPr>
              <w:t>Maksusitoumusmäärärahat, jotka vastaavat tutkimushankkeiden kokonaan tai osittain toteutumatta jäämisen vuoksi vapautettujen sitoumusten määrää, asetetaan uudelleen tämän ohjelman käyttöön talousarviomenettelyn yhteydessä, ensisijaisesti samaa tarkoitusta varten.</w:t>
            </w:r>
          </w:p>
        </w:tc>
      </w:tr>
    </w:tbl>
    <w:p w14:paraId="6B95BCB1" w14:textId="77777777" w:rsidR="00BA7BC0" w:rsidRPr="00EA674E" w:rsidRDefault="00FD06C2" w:rsidP="00FD06C2">
      <w:pPr>
        <w:pStyle w:val="Normal12a"/>
        <w:widowControl/>
      </w:pPr>
      <w:r w:rsidRPr="00EA674E">
        <w:rPr>
          <w:rStyle w:val="HideTWBExt"/>
        </w:rPr>
        <w:t>&lt;/Amend&gt;</w:t>
      </w:r>
    </w:p>
    <w:p w14:paraId="6A74D3A0" w14:textId="77777777" w:rsidR="009E64BF" w:rsidRPr="00EA674E" w:rsidRDefault="00FD06C2" w:rsidP="00FD06C2">
      <w:pPr>
        <w:pStyle w:val="AmNumberTabs"/>
        <w:widowControl/>
      </w:pPr>
      <w:r w:rsidRPr="00EA674E">
        <w:rPr>
          <w:rStyle w:val="HideTWBExt"/>
        </w:rPr>
        <w:t>&lt;Amend&gt;</w:t>
      </w:r>
      <w:r w:rsidRPr="00EA674E">
        <w:t>Tarkistus</w:t>
      </w:r>
      <w:r w:rsidRPr="00EA674E">
        <w:tab/>
      </w:r>
      <w:r w:rsidRPr="00EA674E">
        <w:tab/>
      </w:r>
      <w:r w:rsidRPr="00EA674E">
        <w:rPr>
          <w:rStyle w:val="HideTWBExt"/>
        </w:rPr>
        <w:t>&lt;NumAm&gt;</w:t>
      </w:r>
      <w:r w:rsidRPr="00EA674E">
        <w:t>9</w:t>
      </w:r>
      <w:r w:rsidRPr="00EA674E">
        <w:rPr>
          <w:rStyle w:val="HideTWBExt"/>
        </w:rPr>
        <w:t>&lt;/NumAm&gt;</w:t>
      </w:r>
    </w:p>
    <w:p w14:paraId="1EE78EBF" w14:textId="77777777" w:rsidR="009E64BF" w:rsidRPr="00EA674E" w:rsidRDefault="00FD06C2" w:rsidP="00FD06C2">
      <w:pPr>
        <w:pStyle w:val="Normal12a"/>
        <w:widowControl/>
        <w:spacing w:after="0"/>
        <w:rPr>
          <w:b/>
        </w:rPr>
      </w:pPr>
      <w:r w:rsidRPr="00EA674E">
        <w:rPr>
          <w:rStyle w:val="HideTWBExt"/>
        </w:rPr>
        <w:t>&lt;DocAmend&gt;</w:t>
      </w:r>
      <w:r w:rsidRPr="00EA674E">
        <w:rPr>
          <w:b/>
        </w:rPr>
        <w:t>Ehdotus asetukseksi</w:t>
      </w:r>
      <w:r w:rsidRPr="00EA674E">
        <w:rPr>
          <w:rStyle w:val="HideTWBExt"/>
        </w:rPr>
        <w:t>&lt;/DocAmend&gt;</w:t>
      </w:r>
    </w:p>
    <w:p w14:paraId="345C0543" w14:textId="77777777" w:rsidR="009E64BF" w:rsidRPr="00EA674E" w:rsidRDefault="00FD06C2" w:rsidP="00FD06C2">
      <w:pPr>
        <w:pStyle w:val="Normal12a"/>
        <w:widowControl/>
        <w:spacing w:after="0"/>
        <w:rPr>
          <w:b/>
        </w:rPr>
      </w:pPr>
      <w:r w:rsidRPr="00EA674E">
        <w:rPr>
          <w:rStyle w:val="HideTWBExt"/>
        </w:rPr>
        <w:t>&lt;Article&gt;</w:t>
      </w:r>
      <w:r w:rsidRPr="00EA674E">
        <w:rPr>
          <w:b/>
        </w:rPr>
        <w:t>10 artikla – 3 kohta</w:t>
      </w:r>
      <w:r w:rsidRPr="00EA674E">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93458" w:rsidRPr="00EA674E" w14:paraId="1D0B4FF5" w14:textId="77777777" w:rsidTr="003D43B7">
        <w:trPr>
          <w:jc w:val="center"/>
        </w:trPr>
        <w:tc>
          <w:tcPr>
            <w:tcW w:w="9750" w:type="dxa"/>
            <w:gridSpan w:val="2"/>
          </w:tcPr>
          <w:p w14:paraId="4942A6F1" w14:textId="77777777" w:rsidR="009E64BF" w:rsidRPr="00EA674E" w:rsidRDefault="009E64BF" w:rsidP="00FD06C2">
            <w:pPr>
              <w:pStyle w:val="Normal6a"/>
              <w:widowControl/>
            </w:pPr>
          </w:p>
        </w:tc>
      </w:tr>
      <w:tr w:rsidR="00593458" w:rsidRPr="00EA674E" w14:paraId="680FE324" w14:textId="77777777" w:rsidTr="003D43B7">
        <w:trPr>
          <w:jc w:val="center"/>
        </w:trPr>
        <w:tc>
          <w:tcPr>
            <w:tcW w:w="4875" w:type="dxa"/>
            <w:hideMark/>
          </w:tcPr>
          <w:p w14:paraId="56072CC4" w14:textId="77777777" w:rsidR="009E64BF" w:rsidRPr="00EA674E" w:rsidRDefault="00FD06C2" w:rsidP="00FD06C2">
            <w:pPr>
              <w:pStyle w:val="AmColumnHeading"/>
              <w:widowControl/>
            </w:pPr>
            <w:r w:rsidRPr="00EA674E">
              <w:t>Komission teksti</w:t>
            </w:r>
          </w:p>
        </w:tc>
        <w:tc>
          <w:tcPr>
            <w:tcW w:w="4875" w:type="dxa"/>
            <w:hideMark/>
          </w:tcPr>
          <w:p w14:paraId="6C4D2EF8" w14:textId="77777777" w:rsidR="009E64BF" w:rsidRPr="00EA674E" w:rsidRDefault="00FD06C2" w:rsidP="00FD06C2">
            <w:pPr>
              <w:pStyle w:val="AmColumnHeading"/>
              <w:widowControl/>
            </w:pPr>
            <w:r w:rsidRPr="00EA674E">
              <w:t>Tarkistus</w:t>
            </w:r>
          </w:p>
        </w:tc>
      </w:tr>
      <w:tr w:rsidR="00593458" w:rsidRPr="00EA674E" w14:paraId="1FF64EAF" w14:textId="77777777" w:rsidTr="003D43B7">
        <w:trPr>
          <w:jc w:val="center"/>
        </w:trPr>
        <w:tc>
          <w:tcPr>
            <w:tcW w:w="4875" w:type="dxa"/>
          </w:tcPr>
          <w:p w14:paraId="4489D071" w14:textId="77777777" w:rsidR="009E64BF" w:rsidRPr="00EA674E" w:rsidRDefault="00FD06C2" w:rsidP="00FD06C2">
            <w:pPr>
              <w:pStyle w:val="Normal6a"/>
              <w:widowControl/>
            </w:pPr>
            <w:r w:rsidRPr="00EA674E">
              <w:t>3.</w:t>
            </w:r>
            <w:r w:rsidRPr="00EA674E">
              <w:tab/>
              <w:t xml:space="preserve">Jos unionin tukea myönnetään talousarviotakuun tai rahoitusvälineen muodossa, myös </w:t>
            </w:r>
            <w:r w:rsidRPr="00EA674E">
              <w:t>silloin, kun siihen yhdistetään rahoitusta yhdistävässä toimessa tukea, jota ei makseta takaisin, tällainen tuki myönnetään yksinomaan Euroopan kilpailukykyrahaston InvestEU-välineen kautta ja se toteutetaan sovellettavien Euroopan kilpailukykyrahaston InvestEU-välineen sääntöjen mukaisesti tätä tarkoitusta varten tehdyillä rahoitusosuus- tai takuusopimuksilla, sanotun kuitenkaan koskematta Euroopan innovaationeuvoston rahaston rahoitusvälineitä. Jos ohjelmassa hyödynnetään Euroopan kilpailukykyrahaston Inv</w:t>
            </w:r>
            <w:r w:rsidRPr="00EA674E">
              <w:t>estEU-välinettä, siinä on säädettävä talousarviotakuuta ja rahoitusvälineiden rahoittamista varten varattavista varoista, myös siinä tapauksessa, että niihin yhdistetään rahoitusta yhdistävässä toimessa tukea, jota ei makseta takaisin.</w:t>
            </w:r>
            <w:r w:rsidRPr="00EA674E">
              <w:rPr>
                <w:i/>
              </w:rPr>
              <w:t> </w:t>
            </w:r>
          </w:p>
        </w:tc>
        <w:tc>
          <w:tcPr>
            <w:tcW w:w="4875" w:type="dxa"/>
          </w:tcPr>
          <w:p w14:paraId="760E5C42" w14:textId="77777777" w:rsidR="009E64BF" w:rsidRPr="00EA674E" w:rsidRDefault="00FD06C2" w:rsidP="00FD06C2">
            <w:pPr>
              <w:pStyle w:val="Normal6a"/>
              <w:widowControl/>
            </w:pPr>
            <w:r w:rsidRPr="00EA674E">
              <w:t>3.</w:t>
            </w:r>
            <w:r w:rsidRPr="00EA674E">
              <w:tab/>
              <w:t>Jos unionin tukea myönnetään talousarviotakuun tai rahoitusvälineen muodossa, myös silloin, kun siihen yhdistetään rahoitusta yhdistävässä toimessa tukea, jota ei makseta takaisin, tällainen tuki myönnetään yksinomaan Euroopan kilpailukykyrahaston InvestEU-välineen kautta ja se toteutetaan sovellettavien Euroopan kilpailukykyrahaston InvestEU-välineen sääntöjen mukaisesti tätä tarkoitusta varten tehdyillä rahoitusosuus- tai takuusopimuksilla, sanotun kuitenkaan koskematta Euroopan innovaationeuvoston rahas</w:t>
            </w:r>
            <w:r w:rsidRPr="00EA674E">
              <w:t>ton rahoitusvälineitä</w:t>
            </w:r>
            <w:r w:rsidRPr="00EA674E">
              <w:rPr>
                <w:b/>
                <w:i/>
              </w:rPr>
              <w:t>, Scaleup Europe -rahasto mukaan luettuna</w:t>
            </w:r>
            <w:r w:rsidRPr="00EA674E">
              <w:t>. Jos ohjelmassa hyödynnetään Euroopan kilpailukykyrahaston InvestEU-välinettä, siinä on säädettävä talousarviotakuuta ja rahoitusvälineiden rahoittamista varten varattavista varoista, myös siinä tapauksessa, että niihin yhdistetään rahoitusta yhdistävässä toimessa tukea, jota ei makseta takaisin</w:t>
            </w:r>
            <w:r w:rsidRPr="00EA674E">
              <w:rPr>
                <w:b/>
                <w:i/>
              </w:rPr>
              <w:t>, Euroopan kilpailukykyrahastoa koskevassa asetuksessa vahvistetun talousarviotakuun enimmäismäärän puitteissa</w:t>
            </w:r>
            <w:r w:rsidRPr="00EA674E">
              <w:t>.</w:t>
            </w:r>
            <w:r w:rsidRPr="00EA674E">
              <w:rPr>
                <w:i/>
              </w:rPr>
              <w:t> </w:t>
            </w:r>
          </w:p>
        </w:tc>
      </w:tr>
    </w:tbl>
    <w:p w14:paraId="4735490B" w14:textId="77777777" w:rsidR="009E64BF" w:rsidRPr="00EA674E" w:rsidRDefault="00FD06C2" w:rsidP="00FD06C2">
      <w:pPr>
        <w:pStyle w:val="AmNumberTabs"/>
        <w:widowControl/>
        <w:rPr>
          <w:rStyle w:val="HideTWBExt"/>
          <w:rFonts w:ascii="Times New Roman" w:hAnsi="Times New Roman" w:cs="Times New Roman"/>
          <w:noProof w:val="0"/>
          <w:vanish w:val="0"/>
          <w:color w:val="auto"/>
          <w:sz w:val="24"/>
        </w:rPr>
      </w:pPr>
      <w:r w:rsidRPr="00EA674E">
        <w:rPr>
          <w:rStyle w:val="HideTWBExt"/>
        </w:rPr>
        <w:t>&lt;/Amend&gt;</w:t>
      </w:r>
    </w:p>
    <w:bookmarkEnd w:id="1"/>
    <w:p w14:paraId="6240110C" w14:textId="77777777" w:rsidR="00E81E17" w:rsidRPr="00EA674E" w:rsidRDefault="00FD06C2" w:rsidP="00FD06C2">
      <w:pPr>
        <w:widowControl/>
      </w:pPr>
      <w:r w:rsidRPr="00EA674E">
        <w:rPr>
          <w:rStyle w:val="HideTWBExt"/>
        </w:rPr>
        <w:t>&lt;/RepeatBlock-Amend&gt;</w:t>
      </w:r>
    </w:p>
    <w:p w14:paraId="4EDAE255" w14:textId="77777777" w:rsidR="00017014" w:rsidRPr="00EA674E" w:rsidRDefault="00017014" w:rsidP="00FD06C2">
      <w:pPr>
        <w:pStyle w:val="Footprint12b"/>
        <w:widowControl/>
        <w:sectPr w:rsidR="00017014" w:rsidRPr="00EA674E" w:rsidSect="00017014">
          <w:pgSz w:w="11894" w:h="15840"/>
          <w:pgMar w:top="1700" w:right="1417" w:bottom="1417" w:left="1417" w:header="720" w:footer="720" w:gutter="0"/>
          <w:cols w:space="720"/>
          <w:noEndnote/>
          <w:docGrid w:linePitch="326"/>
        </w:sectPr>
      </w:pPr>
    </w:p>
    <w:p w14:paraId="3E29C313" w14:textId="77777777" w:rsidR="00017014" w:rsidRPr="00EA674E" w:rsidRDefault="00FD06C2" w:rsidP="00FD06C2">
      <w:pPr>
        <w:pStyle w:val="PageHeadingNotTOC"/>
        <w:widowControl/>
      </w:pPr>
      <w:bookmarkStart w:id="4" w:name="FootprintPageAD"/>
      <w:bookmarkStart w:id="5" w:name="ProcPageAD"/>
      <w:r w:rsidRPr="00EA674E">
        <w:t>LIITE: ILMOITUS SAADUISTA TIEDOISTA</w:t>
      </w:r>
    </w:p>
    <w:p w14:paraId="632D94D4" w14:textId="77777777" w:rsidR="00017014" w:rsidRPr="00EA674E" w:rsidRDefault="00FD06C2" w:rsidP="00FD06C2">
      <w:pPr>
        <w:pStyle w:val="Normal24a"/>
        <w:widowControl/>
      </w:pPr>
      <w:r w:rsidRPr="00EA674E">
        <w:rPr>
          <w:rStyle w:val="HideTWBExt"/>
        </w:rPr>
        <w:t>&lt;FootprintIntro&gt;</w:t>
      </w:r>
      <w:r w:rsidRPr="00EA674E">
        <w:t>Talousarvionäkökohtia koskevan arvion valmistelija ilmoittaa työjärjestyksen liitteessä I olevan 8 artiklan mukaisesti sisällyttäneensä talousarvionäkökohtia koskevaan arvioonsa aiheeseen liittyvistä asioista tietoja, jotka hän on saanut laatiessaan talousarvionäkökohtia koskevaa arviota ennen sen hyväksymistä valiokunnassa seuraavilta pakollisesta avoimuusrekisteristä tehdyn toimielinten välisen sopimuksen</w:t>
      </w:r>
      <w:r w:rsidRPr="00EA674E">
        <w:rPr>
          <w:rStyle w:val="FootnoteReference"/>
        </w:rPr>
        <w:footnoteReference w:id="3"/>
      </w:r>
      <w:r w:rsidRPr="00EA674E">
        <w:t xml:space="preserve"> soveltamisalaan kuuluvilta edunvalvojilta tai seuraavilta kolmansien maiden viranomaisten edustajilta, mukaan lukien niiden diplomaattiset edustustot ja suurlähetystöt:</w:t>
      </w:r>
      <w:r w:rsidRPr="00EA674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34"/>
      </w:tblGrid>
      <w:tr w:rsidR="00593458" w:rsidRPr="00EA674E" w14:paraId="0EBE30E0" w14:textId="77777777" w:rsidTr="006F2815">
        <w:tc>
          <w:tcPr>
            <w:tcW w:w="9050" w:type="dxa"/>
            <w:gridSpan w:val="2"/>
            <w:shd w:val="clear" w:color="auto" w:fill="auto"/>
          </w:tcPr>
          <w:p w14:paraId="66B37C8E" w14:textId="77777777" w:rsidR="00017014" w:rsidRPr="00EA674E" w:rsidRDefault="00FD06C2" w:rsidP="00FD06C2">
            <w:pPr>
              <w:pStyle w:val="NormalBoldCenter"/>
              <w:widowControl/>
            </w:pPr>
            <w:r w:rsidRPr="00EA674E">
              <w:t>1. Pakollisesta avoimuusrekisteristä tehdyn toimielinten välisen sopimuksen soveltamisalaan kuuluvat edunvalvojat</w:t>
            </w:r>
          </w:p>
        </w:tc>
      </w:tr>
      <w:tr w:rsidR="00593458" w:rsidRPr="00EA674E" w14:paraId="26A9B76E" w14:textId="77777777" w:rsidTr="006F2815">
        <w:tc>
          <w:tcPr>
            <w:tcW w:w="9050" w:type="dxa"/>
            <w:gridSpan w:val="2"/>
            <w:shd w:val="clear" w:color="auto" w:fill="auto"/>
          </w:tcPr>
          <w:p w14:paraId="3165BA52" w14:textId="77777777" w:rsidR="00017014" w:rsidRPr="00EA674E" w:rsidRDefault="00FD06C2" w:rsidP="00FD06C2">
            <w:pPr>
              <w:pStyle w:val="NormalSingle"/>
              <w:widowControl/>
            </w:pPr>
            <w:r w:rsidRPr="00EA674E">
              <w:t>Marie Curie Alumni Association</w:t>
            </w:r>
          </w:p>
        </w:tc>
      </w:tr>
      <w:tr w:rsidR="00593458" w:rsidRPr="00EA674E" w14:paraId="7AE4F2A8" w14:textId="77777777" w:rsidTr="006F2815">
        <w:trPr>
          <w:gridAfter w:val="1"/>
          <w:wAfter w:w="34" w:type="dxa"/>
        </w:trPr>
        <w:tc>
          <w:tcPr>
            <w:tcW w:w="9050" w:type="dxa"/>
            <w:shd w:val="clear" w:color="auto" w:fill="auto"/>
          </w:tcPr>
          <w:p w14:paraId="57EEB00E" w14:textId="77777777" w:rsidR="00017014" w:rsidRPr="00EA674E" w:rsidRDefault="00FD06C2" w:rsidP="00FD06C2">
            <w:pPr>
              <w:pStyle w:val="NormalBoldCenter"/>
              <w:widowControl/>
            </w:pPr>
            <w:r w:rsidRPr="00EA674E">
              <w:t>2. Kolmansien maiden viranomaisten edustajat, mukaan lukien niiden diplomaattiset edustustot ja suurlähetystöt</w:t>
            </w:r>
          </w:p>
        </w:tc>
      </w:tr>
      <w:tr w:rsidR="00593458" w:rsidRPr="00EA674E" w14:paraId="34A98EFF" w14:textId="77777777" w:rsidTr="006F2815">
        <w:trPr>
          <w:gridAfter w:val="1"/>
          <w:wAfter w:w="34" w:type="dxa"/>
        </w:trPr>
        <w:tc>
          <w:tcPr>
            <w:tcW w:w="9050" w:type="dxa"/>
            <w:shd w:val="clear" w:color="auto" w:fill="auto"/>
          </w:tcPr>
          <w:p w14:paraId="3C3E149D" w14:textId="77777777" w:rsidR="00446D42" w:rsidRPr="00EA674E" w:rsidRDefault="00FD06C2" w:rsidP="00FD06C2">
            <w:pPr>
              <w:pStyle w:val="NormalBoldCenter"/>
              <w:widowControl/>
              <w:jc w:val="left"/>
            </w:pPr>
            <w:r w:rsidRPr="00EA674E">
              <w:t>Ei ilmoitettavaa</w:t>
            </w:r>
          </w:p>
        </w:tc>
      </w:tr>
    </w:tbl>
    <w:p w14:paraId="67DF9CCF" w14:textId="77777777" w:rsidR="00017014" w:rsidRPr="00EA674E" w:rsidRDefault="00FD06C2" w:rsidP="00FD06C2">
      <w:pPr>
        <w:pStyle w:val="Footprint12b"/>
        <w:widowControl/>
      </w:pPr>
      <w:r w:rsidRPr="00EA674E">
        <w:t>Valmistelija on yksin vastuussa edellä olevan luettelon laatimisesta.</w:t>
      </w:r>
    </w:p>
    <w:p w14:paraId="088F98AE" w14:textId="149515EC" w:rsidR="00017014" w:rsidRPr="00EA674E" w:rsidRDefault="00FD06C2" w:rsidP="00FD06C2">
      <w:pPr>
        <w:pStyle w:val="Footprint12b"/>
        <w:widowControl/>
      </w:pPr>
      <w:r w:rsidRPr="00EA674E">
        <w:t xml:space="preserve">Kun </w:t>
      </w:r>
      <w:r w:rsidRPr="00EA674E">
        <w:t>luettelossa mainitaan luonnollisen henkilön nimi ja/tai tehtävänimike, esittelijä vakuuttaa antaneensa kyseiselle henkilölle Euroopan parlamentin tietosuojaselosteen numero 484 (</w:t>
      </w:r>
      <w:hyperlink r:id="rId16" w:tooltip="https://www.europarl.europa.eu/data-protect/index.do" w:history="1">
        <w:r w:rsidR="00017014" w:rsidRPr="00EA674E">
          <w:rPr>
            <w:rStyle w:val="Hyperlink"/>
          </w:rPr>
          <w:t>https://www.europarl.europa.eu/data-protect/index.do</w:t>
        </w:r>
      </w:hyperlink>
      <w:r w:rsidRPr="00EA674E">
        <w:t>), jossa määritetään henkilötietojen käsittelyyn sovellettavat ehdot ja siihen liittyvät oikeudet.</w:t>
      </w:r>
    </w:p>
    <w:bookmarkEnd w:id="4"/>
    <w:p w14:paraId="07E0F8C5" w14:textId="77777777" w:rsidR="00017014" w:rsidRPr="00EA674E" w:rsidRDefault="00017014" w:rsidP="00FD06C2">
      <w:pPr>
        <w:widowControl/>
      </w:pPr>
    </w:p>
    <w:p w14:paraId="5CB461D3" w14:textId="77777777" w:rsidR="00017014" w:rsidRPr="00EA674E" w:rsidRDefault="00017014" w:rsidP="00FD06C2">
      <w:pPr>
        <w:widowControl/>
        <w:sectPr w:rsidR="00017014" w:rsidRPr="00EA674E" w:rsidSect="00017014">
          <w:pgSz w:w="11894" w:h="15840"/>
          <w:pgMar w:top="1700" w:right="1417" w:bottom="1417" w:left="1417" w:header="720" w:footer="720" w:gutter="0"/>
          <w:cols w:space="720"/>
          <w:noEndnote/>
          <w:docGrid w:linePitch="326"/>
        </w:sectPr>
      </w:pPr>
    </w:p>
    <w:p w14:paraId="0F19C7B4" w14:textId="77777777" w:rsidR="00017014" w:rsidRPr="00EA674E" w:rsidRDefault="00FD06C2" w:rsidP="00FD06C2">
      <w:pPr>
        <w:pStyle w:val="PageHeadingNotTOC"/>
        <w:widowControl/>
      </w:pPr>
      <w:r w:rsidRPr="00EA674E">
        <w:t>ASIAN KÄSITTELY</w:t>
      </w:r>
      <w:r w:rsidRPr="00EA674E">
        <w:br/>
        <w:t>TALOUSARVIONÄKÖKOHTIA KOSKEVAN ARVION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93458" w:rsidRPr="00EA674E" w14:paraId="57C2585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B0EF504" w14:textId="77777777" w:rsidR="00017014" w:rsidRPr="00EA674E" w:rsidRDefault="00FD06C2" w:rsidP="00FD06C2">
            <w:pPr>
              <w:widowControl/>
              <w:autoSpaceDE w:val="0"/>
              <w:autoSpaceDN w:val="0"/>
              <w:adjustRightInd w:val="0"/>
              <w:rPr>
                <w:b/>
                <w:bCs/>
                <w:color w:val="000000"/>
                <w:sz w:val="20"/>
              </w:rPr>
            </w:pPr>
            <w:r w:rsidRPr="00EA674E">
              <w:rPr>
                <w:b/>
                <w:color w:val="000000"/>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7DA963C" w14:textId="77777777" w:rsidR="00017014" w:rsidRPr="00EA674E" w:rsidRDefault="00FD06C2" w:rsidP="00FD06C2">
            <w:pPr>
              <w:widowControl/>
              <w:autoSpaceDE w:val="0"/>
              <w:autoSpaceDN w:val="0"/>
              <w:adjustRightInd w:val="0"/>
              <w:rPr>
                <w:color w:val="000000"/>
                <w:sz w:val="20"/>
              </w:rPr>
            </w:pPr>
            <w:r w:rsidRPr="00EA674E">
              <w:rPr>
                <w:color w:val="000000"/>
                <w:sz w:val="20"/>
              </w:rPr>
              <w:t>Tutkimuksen ja innovoinnin puiteohjelman ”Horisontti Eurooppa” perustaminen vuosiksi 2028–2034, sen osallistumista ja tulosten levittämistä koskevien sääntöjen vahvistaminen ja asetuksen (EU) 2021/695 kumoaminen</w:t>
            </w:r>
          </w:p>
        </w:tc>
      </w:tr>
      <w:tr w:rsidR="00593458" w:rsidRPr="00EA674E" w14:paraId="0FF4871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5C39B3B" w14:textId="77777777" w:rsidR="00017014" w:rsidRPr="00EA674E" w:rsidRDefault="00FD06C2" w:rsidP="00FD06C2">
            <w:pPr>
              <w:widowControl/>
              <w:autoSpaceDE w:val="0"/>
              <w:autoSpaceDN w:val="0"/>
              <w:adjustRightInd w:val="0"/>
              <w:rPr>
                <w:b/>
                <w:bCs/>
                <w:color w:val="000000"/>
                <w:sz w:val="20"/>
              </w:rPr>
            </w:pPr>
            <w:r w:rsidRPr="00EA674E">
              <w:rPr>
                <w:b/>
                <w:color w:val="000000"/>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C2704EB" w14:textId="77777777" w:rsidR="00017014" w:rsidRPr="00EA674E" w:rsidRDefault="00FD06C2" w:rsidP="00FD06C2">
            <w:pPr>
              <w:widowControl/>
              <w:autoSpaceDE w:val="0"/>
              <w:autoSpaceDN w:val="0"/>
              <w:adjustRightInd w:val="0"/>
              <w:rPr>
                <w:color w:val="000000"/>
                <w:sz w:val="20"/>
              </w:rPr>
            </w:pPr>
            <w:r w:rsidRPr="00EA674E">
              <w:rPr>
                <w:color w:val="000000"/>
                <w:sz w:val="20"/>
              </w:rPr>
              <w:t>COM(2025)0543 – C10-0164/2025 – 2025/0543(COD)</w:t>
            </w:r>
          </w:p>
        </w:tc>
      </w:tr>
      <w:tr w:rsidR="00593458" w:rsidRPr="00EA674E" w14:paraId="0423407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2EF170F" w14:textId="77777777" w:rsidR="00017014" w:rsidRPr="00EA674E" w:rsidRDefault="00FD06C2" w:rsidP="00FD06C2">
            <w:pPr>
              <w:widowControl/>
              <w:autoSpaceDE w:val="0"/>
              <w:autoSpaceDN w:val="0"/>
              <w:adjustRightInd w:val="0"/>
              <w:rPr>
                <w:b/>
                <w:bCs/>
                <w:color w:val="000000"/>
                <w:sz w:val="20"/>
              </w:rPr>
            </w:pPr>
            <w:r w:rsidRPr="00EA674E">
              <w:rPr>
                <w:b/>
                <w:color w:val="000000"/>
                <w:sz w:val="20"/>
              </w:rPr>
              <w:t>Asiasta vastaava valiokunta tai valiokunnat</w:t>
            </w:r>
          </w:p>
          <w:p w14:paraId="1954598B" w14:textId="77777777" w:rsidR="00017014" w:rsidRPr="00EA674E" w:rsidRDefault="00FD06C2" w:rsidP="00FD06C2">
            <w:pPr>
              <w:widowControl/>
              <w:autoSpaceDE w:val="0"/>
              <w:autoSpaceDN w:val="0"/>
              <w:adjustRightInd w:val="0"/>
              <w:rPr>
                <w:color w:val="000000"/>
                <w:sz w:val="20"/>
              </w:rPr>
            </w:pPr>
            <w:r w:rsidRPr="00EA674E">
              <w:rPr>
                <w:color w:val="000000"/>
                <w:sz w:val="20"/>
              </w:rPr>
              <w:t xml:space="preserve">       Ilmoitettu </w:t>
            </w:r>
            <w:r w:rsidRPr="00EA674E">
              <w:rPr>
                <w:color w:val="000000"/>
                <w:sz w:val="20"/>
              </w:rPr>
              <w:t>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3FBDAB9" w14:textId="77777777" w:rsidR="00017014" w:rsidRPr="00EA674E" w:rsidRDefault="00FD06C2" w:rsidP="00FD06C2">
            <w:pPr>
              <w:widowControl/>
              <w:autoSpaceDE w:val="0"/>
              <w:autoSpaceDN w:val="0"/>
              <w:adjustRightInd w:val="0"/>
              <w:rPr>
                <w:color w:val="000000"/>
                <w:sz w:val="20"/>
              </w:rPr>
            </w:pPr>
            <w:r w:rsidRPr="00EA674E">
              <w:rPr>
                <w:color w:val="000000"/>
                <w:sz w:val="20"/>
              </w:rPr>
              <w:t>ITRE</w:t>
            </w:r>
          </w:p>
          <w:p w14:paraId="0002D203" w14:textId="77777777" w:rsidR="00017014" w:rsidRPr="00EA674E" w:rsidRDefault="00FD06C2" w:rsidP="00FD06C2">
            <w:pPr>
              <w:widowControl/>
              <w:autoSpaceDE w:val="0"/>
              <w:autoSpaceDN w:val="0"/>
              <w:adjustRightInd w:val="0"/>
              <w:rPr>
                <w:color w:val="000000"/>
                <w:sz w:val="20"/>
              </w:rPr>
            </w:pPr>
            <w:r w:rsidRPr="00EA674E">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73F78A9" w14:textId="77777777" w:rsidR="00017014" w:rsidRPr="00EA674E" w:rsidRDefault="00017014" w:rsidP="00FD06C2">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904AE62" w14:textId="77777777" w:rsidR="00017014" w:rsidRPr="00EA674E" w:rsidRDefault="00017014" w:rsidP="00FD06C2">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3A2B5BF" w14:textId="77777777" w:rsidR="00017014" w:rsidRPr="00EA674E" w:rsidRDefault="00017014" w:rsidP="00FD06C2">
            <w:pPr>
              <w:widowControl/>
              <w:autoSpaceDE w:val="0"/>
              <w:autoSpaceDN w:val="0"/>
              <w:adjustRightInd w:val="0"/>
              <w:rPr>
                <w:rFonts w:ascii="sans-serif" w:hAnsi="sans-serif" w:cs="sans-serif"/>
                <w:color w:val="000000"/>
              </w:rPr>
            </w:pPr>
          </w:p>
        </w:tc>
      </w:tr>
      <w:tr w:rsidR="00593458" w:rsidRPr="00EA674E" w14:paraId="575205C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76C2A02" w14:textId="77777777" w:rsidR="00017014" w:rsidRPr="00EA674E" w:rsidRDefault="00FD06C2" w:rsidP="00FD06C2">
            <w:pPr>
              <w:widowControl/>
              <w:autoSpaceDE w:val="0"/>
              <w:autoSpaceDN w:val="0"/>
              <w:adjustRightInd w:val="0"/>
              <w:rPr>
                <w:b/>
                <w:bCs/>
                <w:color w:val="000000"/>
                <w:sz w:val="20"/>
              </w:rPr>
            </w:pPr>
            <w:r w:rsidRPr="00EA674E">
              <w:rPr>
                <w:b/>
                <w:color w:val="000000"/>
                <w:sz w:val="20"/>
              </w:rPr>
              <w:t>Talousarvionäkökohtia koskeva arvio</w:t>
            </w:r>
          </w:p>
          <w:p w14:paraId="6B946B56" w14:textId="77777777" w:rsidR="00017014" w:rsidRPr="00EA674E" w:rsidRDefault="00FD06C2" w:rsidP="00FD06C2">
            <w:pPr>
              <w:widowControl/>
              <w:autoSpaceDE w:val="0"/>
              <w:autoSpaceDN w:val="0"/>
              <w:adjustRightInd w:val="0"/>
              <w:rPr>
                <w:color w:val="000000"/>
                <w:sz w:val="20"/>
              </w:rPr>
            </w:pPr>
            <w:r w:rsidRPr="00EA674E">
              <w:rPr>
                <w:color w:val="000000"/>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7E6AF90" w14:textId="77777777" w:rsidR="00017014" w:rsidRPr="00EA674E" w:rsidRDefault="00FD06C2" w:rsidP="00FD06C2">
            <w:pPr>
              <w:widowControl/>
              <w:autoSpaceDE w:val="0"/>
              <w:autoSpaceDN w:val="0"/>
              <w:adjustRightInd w:val="0"/>
              <w:rPr>
                <w:color w:val="000000"/>
                <w:sz w:val="20"/>
              </w:rPr>
            </w:pPr>
            <w:r w:rsidRPr="00EA674E">
              <w:rPr>
                <w:color w:val="000000"/>
                <w:sz w:val="20"/>
              </w:rPr>
              <w:t>BUDG</w:t>
            </w:r>
          </w:p>
          <w:p w14:paraId="27EA01C1" w14:textId="77777777" w:rsidR="00017014" w:rsidRPr="00EA674E" w:rsidRDefault="00FD06C2" w:rsidP="00FD06C2">
            <w:pPr>
              <w:widowControl/>
              <w:autoSpaceDE w:val="0"/>
              <w:autoSpaceDN w:val="0"/>
              <w:adjustRightInd w:val="0"/>
              <w:rPr>
                <w:color w:val="000000"/>
                <w:sz w:val="20"/>
              </w:rPr>
            </w:pPr>
            <w:r w:rsidRPr="00EA674E">
              <w:rPr>
                <w:color w:val="000000"/>
                <w:sz w:val="20"/>
              </w:rPr>
              <w:t>23.10.2025</w:t>
            </w:r>
          </w:p>
        </w:tc>
      </w:tr>
      <w:tr w:rsidR="00593458" w:rsidRPr="00EA674E" w14:paraId="3A3DA29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0B58EA0" w14:textId="77777777" w:rsidR="00017014" w:rsidRPr="00EA674E" w:rsidRDefault="00FD06C2" w:rsidP="00FD06C2">
            <w:pPr>
              <w:widowControl/>
              <w:autoSpaceDE w:val="0"/>
              <w:autoSpaceDN w:val="0"/>
              <w:adjustRightInd w:val="0"/>
              <w:rPr>
                <w:b/>
                <w:bCs/>
                <w:color w:val="000000"/>
                <w:sz w:val="20"/>
              </w:rPr>
            </w:pPr>
            <w:r w:rsidRPr="00EA674E">
              <w:rPr>
                <w:b/>
                <w:color w:val="000000"/>
                <w:sz w:val="20"/>
              </w:rPr>
              <w:t>Talousarvionäkökohtia koskevan arvion valmistelija</w:t>
            </w:r>
          </w:p>
          <w:p w14:paraId="502D3AFC" w14:textId="77777777" w:rsidR="00017014" w:rsidRPr="00EA674E" w:rsidRDefault="00FD06C2" w:rsidP="00FD06C2">
            <w:pPr>
              <w:widowControl/>
              <w:autoSpaceDE w:val="0"/>
              <w:autoSpaceDN w:val="0"/>
              <w:adjustRightInd w:val="0"/>
              <w:rPr>
                <w:color w:val="000000"/>
                <w:sz w:val="20"/>
              </w:rPr>
            </w:pPr>
            <w:r w:rsidRPr="00EA674E">
              <w:rPr>
                <w:color w:val="000000"/>
                <w:sz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23CAB7D" w14:textId="77777777" w:rsidR="00017014" w:rsidRPr="00EA674E" w:rsidRDefault="00FD06C2" w:rsidP="00FD06C2">
            <w:pPr>
              <w:widowControl/>
              <w:autoSpaceDE w:val="0"/>
              <w:autoSpaceDN w:val="0"/>
              <w:adjustRightInd w:val="0"/>
              <w:rPr>
                <w:color w:val="000000"/>
                <w:sz w:val="20"/>
              </w:rPr>
            </w:pPr>
            <w:r w:rsidRPr="00EA674E">
              <w:rPr>
                <w:color w:val="000000"/>
                <w:sz w:val="20"/>
              </w:rPr>
              <w:t>Hélder Sousa Silva</w:t>
            </w:r>
          </w:p>
          <w:p w14:paraId="1C8BCCD4" w14:textId="77777777" w:rsidR="00017014" w:rsidRPr="00EA674E" w:rsidRDefault="00FD06C2" w:rsidP="00FD06C2">
            <w:pPr>
              <w:widowControl/>
              <w:autoSpaceDE w:val="0"/>
              <w:autoSpaceDN w:val="0"/>
              <w:adjustRightInd w:val="0"/>
              <w:rPr>
                <w:color w:val="000000"/>
                <w:sz w:val="20"/>
              </w:rPr>
            </w:pPr>
            <w:r w:rsidRPr="00EA674E">
              <w:rPr>
                <w:color w:val="000000"/>
                <w:sz w:val="20"/>
              </w:rPr>
              <w:t>13.1.2026</w:t>
            </w:r>
          </w:p>
        </w:tc>
      </w:tr>
      <w:tr w:rsidR="00593458" w:rsidRPr="00EA674E" w14:paraId="553005B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992DF21" w14:textId="77777777" w:rsidR="00017014" w:rsidRPr="00EA674E" w:rsidRDefault="00FD06C2" w:rsidP="00FD06C2">
            <w:pPr>
              <w:widowControl/>
              <w:autoSpaceDE w:val="0"/>
              <w:autoSpaceDN w:val="0"/>
              <w:adjustRightInd w:val="0"/>
              <w:rPr>
                <w:b/>
                <w:bCs/>
                <w:color w:val="000000"/>
                <w:sz w:val="20"/>
              </w:rPr>
            </w:pPr>
            <w:r w:rsidRPr="00EA674E">
              <w:rPr>
                <w:b/>
                <w:color w:val="000000"/>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286ED40" w14:textId="77777777" w:rsidR="00017014" w:rsidRPr="00EA674E" w:rsidRDefault="00FD06C2" w:rsidP="00FD06C2">
            <w:pPr>
              <w:widowControl/>
              <w:autoSpaceDE w:val="0"/>
              <w:autoSpaceDN w:val="0"/>
              <w:adjustRightInd w:val="0"/>
              <w:rPr>
                <w:color w:val="000000"/>
                <w:sz w:val="20"/>
              </w:rPr>
            </w:pPr>
            <w:r w:rsidRPr="00EA674E">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D48782E" w14:textId="77777777" w:rsidR="00017014" w:rsidRPr="00EA674E" w:rsidRDefault="00017014" w:rsidP="00FD06C2">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03764EF" w14:textId="77777777" w:rsidR="00017014" w:rsidRPr="00EA674E" w:rsidRDefault="00017014" w:rsidP="00FD06C2">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281811" w14:textId="77777777" w:rsidR="00017014" w:rsidRPr="00EA674E" w:rsidRDefault="00017014" w:rsidP="00FD06C2">
            <w:pPr>
              <w:widowControl/>
              <w:autoSpaceDE w:val="0"/>
              <w:autoSpaceDN w:val="0"/>
              <w:adjustRightInd w:val="0"/>
              <w:rPr>
                <w:rFonts w:ascii="sans-serif" w:hAnsi="sans-serif" w:cs="sans-serif"/>
                <w:color w:val="000000"/>
              </w:rPr>
            </w:pPr>
          </w:p>
        </w:tc>
      </w:tr>
      <w:tr w:rsidR="00593458" w:rsidRPr="00EA674E" w14:paraId="17BA049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E58FB07" w14:textId="77777777" w:rsidR="00017014" w:rsidRPr="00EA674E" w:rsidRDefault="00FD06C2" w:rsidP="00FD06C2">
            <w:pPr>
              <w:widowControl/>
              <w:autoSpaceDE w:val="0"/>
              <w:autoSpaceDN w:val="0"/>
              <w:adjustRightInd w:val="0"/>
              <w:rPr>
                <w:b/>
                <w:bCs/>
                <w:color w:val="000000"/>
                <w:sz w:val="20"/>
              </w:rPr>
            </w:pPr>
            <w:r w:rsidRPr="00EA674E">
              <w:rPr>
                <w:b/>
                <w:color w:val="000000"/>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14:paraId="26A30D71" w14:textId="77777777" w:rsidR="00017014" w:rsidRPr="00EA674E" w:rsidRDefault="00FD06C2" w:rsidP="00FD06C2">
            <w:pPr>
              <w:widowControl/>
              <w:autoSpaceDE w:val="0"/>
              <w:autoSpaceDN w:val="0"/>
              <w:adjustRightInd w:val="0"/>
              <w:rPr>
                <w:color w:val="000000"/>
                <w:sz w:val="20"/>
              </w:rPr>
            </w:pPr>
            <w:r w:rsidRPr="00EA674E">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58476FFB" w14:textId="77777777" w:rsidR="00017014" w:rsidRPr="00EA674E" w:rsidRDefault="00017014" w:rsidP="00FD06C2">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79FD869" w14:textId="77777777" w:rsidR="00017014" w:rsidRPr="00EA674E" w:rsidRDefault="00017014" w:rsidP="00FD06C2">
            <w:pPr>
              <w:widowControl/>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A3E0105" w14:textId="77777777" w:rsidR="00017014" w:rsidRPr="00EA674E" w:rsidRDefault="00017014" w:rsidP="00FD06C2">
            <w:pPr>
              <w:widowControl/>
              <w:autoSpaceDE w:val="0"/>
              <w:autoSpaceDN w:val="0"/>
              <w:adjustRightInd w:val="0"/>
              <w:rPr>
                <w:rFonts w:ascii="sans-serif" w:hAnsi="sans-serif" w:cs="sans-serif"/>
                <w:color w:val="000000"/>
              </w:rPr>
            </w:pPr>
          </w:p>
        </w:tc>
      </w:tr>
      <w:tr w:rsidR="00593458" w:rsidRPr="00EA674E" w14:paraId="0E039A7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64F04A6" w14:textId="77777777" w:rsidR="00017014" w:rsidRPr="00EA674E" w:rsidRDefault="00FD06C2" w:rsidP="00FD06C2">
            <w:pPr>
              <w:widowControl/>
              <w:autoSpaceDE w:val="0"/>
              <w:autoSpaceDN w:val="0"/>
              <w:adjustRightInd w:val="0"/>
              <w:rPr>
                <w:b/>
                <w:bCs/>
                <w:color w:val="000000"/>
                <w:sz w:val="20"/>
              </w:rPr>
            </w:pPr>
            <w:r w:rsidRPr="00EA674E">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0722E72" w14:textId="77777777" w:rsidR="00017014" w:rsidRPr="00EA674E" w:rsidRDefault="00FD06C2" w:rsidP="00FD06C2">
            <w:pPr>
              <w:widowControl/>
              <w:autoSpaceDE w:val="0"/>
              <w:autoSpaceDN w:val="0"/>
              <w:adjustRightInd w:val="0"/>
              <w:rPr>
                <w:color w:val="000000"/>
                <w:sz w:val="20"/>
              </w:rPr>
            </w:pPr>
            <w:r w:rsidRPr="00EA674E">
              <w:rPr>
                <w:color w:val="000000"/>
                <w:sz w:val="20"/>
              </w:rPr>
              <w:t>+:</w:t>
            </w:r>
          </w:p>
          <w:p w14:paraId="276C9299" w14:textId="77777777" w:rsidR="00017014" w:rsidRPr="00EA674E" w:rsidRDefault="00FD06C2" w:rsidP="00FD06C2">
            <w:pPr>
              <w:widowControl/>
              <w:autoSpaceDE w:val="0"/>
              <w:autoSpaceDN w:val="0"/>
              <w:adjustRightInd w:val="0"/>
              <w:rPr>
                <w:color w:val="000000"/>
                <w:sz w:val="20"/>
              </w:rPr>
            </w:pPr>
            <w:r w:rsidRPr="00EA674E">
              <w:rPr>
                <w:color w:val="000000"/>
                <w:sz w:val="20"/>
              </w:rPr>
              <w:t>–:</w:t>
            </w:r>
          </w:p>
          <w:p w14:paraId="0B40C07E" w14:textId="77777777" w:rsidR="00017014" w:rsidRPr="00EA674E" w:rsidRDefault="00FD06C2" w:rsidP="00FD06C2">
            <w:pPr>
              <w:widowControl/>
              <w:autoSpaceDE w:val="0"/>
              <w:autoSpaceDN w:val="0"/>
              <w:adjustRightInd w:val="0"/>
              <w:rPr>
                <w:color w:val="000000"/>
                <w:sz w:val="20"/>
              </w:rPr>
            </w:pPr>
            <w:r w:rsidRPr="00EA674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E254B22" w14:textId="77777777" w:rsidR="00017014" w:rsidRPr="00EA674E" w:rsidRDefault="00FD06C2" w:rsidP="00FD06C2">
            <w:pPr>
              <w:widowControl/>
              <w:autoSpaceDE w:val="0"/>
              <w:autoSpaceDN w:val="0"/>
              <w:adjustRightInd w:val="0"/>
              <w:rPr>
                <w:color w:val="000000"/>
                <w:sz w:val="20"/>
              </w:rPr>
            </w:pPr>
            <w:r w:rsidRPr="00EA674E">
              <w:rPr>
                <w:color w:val="000000"/>
                <w:sz w:val="20"/>
              </w:rPr>
              <w:t>29</w:t>
            </w:r>
          </w:p>
          <w:p w14:paraId="07C03B62" w14:textId="77777777" w:rsidR="00017014" w:rsidRPr="00EA674E" w:rsidRDefault="00FD06C2" w:rsidP="00FD06C2">
            <w:pPr>
              <w:widowControl/>
              <w:autoSpaceDE w:val="0"/>
              <w:autoSpaceDN w:val="0"/>
              <w:adjustRightInd w:val="0"/>
              <w:rPr>
                <w:color w:val="000000"/>
                <w:sz w:val="20"/>
              </w:rPr>
            </w:pPr>
            <w:r w:rsidRPr="00EA674E">
              <w:rPr>
                <w:color w:val="000000"/>
                <w:sz w:val="20"/>
              </w:rPr>
              <w:t>4</w:t>
            </w:r>
          </w:p>
          <w:p w14:paraId="74B2E4E2" w14:textId="77777777" w:rsidR="00017014" w:rsidRPr="00EA674E" w:rsidRDefault="00FD06C2" w:rsidP="00FD06C2">
            <w:pPr>
              <w:widowControl/>
              <w:autoSpaceDE w:val="0"/>
              <w:autoSpaceDN w:val="0"/>
              <w:adjustRightInd w:val="0"/>
              <w:rPr>
                <w:color w:val="000000"/>
                <w:sz w:val="20"/>
              </w:rPr>
            </w:pPr>
            <w:r w:rsidRPr="00EA674E">
              <w:rPr>
                <w:color w:val="000000"/>
                <w:sz w:val="20"/>
              </w:rPr>
              <w:t>1</w:t>
            </w:r>
          </w:p>
        </w:tc>
      </w:tr>
    </w:tbl>
    <w:p w14:paraId="3B4A1535" w14:textId="77777777" w:rsidR="00017014" w:rsidRPr="00EA674E" w:rsidRDefault="00017014" w:rsidP="00FD06C2">
      <w:pPr>
        <w:widowControl/>
      </w:pPr>
    </w:p>
    <w:bookmarkEnd w:id="5"/>
    <w:p w14:paraId="241C78C2" w14:textId="77777777" w:rsidR="00784770" w:rsidRPr="00EA674E" w:rsidRDefault="00784770" w:rsidP="00FD06C2">
      <w:pPr>
        <w:widowControl/>
        <w:sectPr w:rsidR="00784770" w:rsidRPr="00EA674E" w:rsidSect="00017014">
          <w:pgSz w:w="11894" w:h="15840"/>
          <w:pgMar w:top="1700" w:right="1417" w:bottom="1417" w:left="1417" w:header="720" w:footer="720" w:gutter="0"/>
          <w:cols w:space="720"/>
          <w:noEndnote/>
          <w:docGrid w:linePitch="326"/>
        </w:sectPr>
      </w:pPr>
    </w:p>
    <w:p w14:paraId="73517088" w14:textId="77777777" w:rsidR="00784770" w:rsidRPr="00EA674E" w:rsidRDefault="00FD06C2" w:rsidP="00FD06C2">
      <w:pPr>
        <w:pStyle w:val="PageHeadingNotTOC"/>
        <w:widowControl/>
      </w:pPr>
      <w:bookmarkStart w:id="6" w:name="RollCallPageAD"/>
      <w:r w:rsidRPr="00EA674E">
        <w:t>LOPULLINEN ÄÄNESTYS NIMENHUUTOÄÄNESTYKSENÄ</w:t>
      </w:r>
      <w:r w:rsidRPr="00EA674E">
        <w:br/>
        <w:t>TALOUSARVIONÄKÖKOHTIA KOSKEVAN ARVION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3458" w:rsidRPr="00EA674E" w14:paraId="3A3A2365" w14:textId="77777777" w:rsidTr="008920AC">
        <w:trPr>
          <w:cantSplit/>
        </w:trPr>
        <w:tc>
          <w:tcPr>
            <w:tcW w:w="1701" w:type="dxa"/>
            <w:shd w:val="pct10" w:color="000000" w:fill="FFFFFF"/>
            <w:vAlign w:val="center"/>
          </w:tcPr>
          <w:p w14:paraId="16570B3E" w14:textId="77777777" w:rsidR="00784770" w:rsidRPr="00EA674E" w:rsidRDefault="00FD06C2" w:rsidP="00FD06C2">
            <w:pPr>
              <w:pStyle w:val="RollCallVotes"/>
              <w:widowControl/>
            </w:pPr>
            <w:r w:rsidRPr="00EA674E">
              <w:t>29</w:t>
            </w:r>
          </w:p>
        </w:tc>
        <w:tc>
          <w:tcPr>
            <w:tcW w:w="7371" w:type="dxa"/>
            <w:shd w:val="pct10" w:color="000000" w:fill="FFFFFF"/>
          </w:tcPr>
          <w:p w14:paraId="24570A7D" w14:textId="77777777" w:rsidR="00784770" w:rsidRPr="00EA674E" w:rsidRDefault="00FD06C2" w:rsidP="00FD06C2">
            <w:pPr>
              <w:pStyle w:val="RollCallSymbols14pt"/>
              <w:widowControl/>
            </w:pPr>
            <w:r w:rsidRPr="00EA674E">
              <w:t>+</w:t>
            </w:r>
          </w:p>
        </w:tc>
      </w:tr>
      <w:tr w:rsidR="00593458" w:rsidRPr="00FD06C2" w14:paraId="143B4A1F" w14:textId="77777777" w:rsidTr="008920AC">
        <w:trPr>
          <w:cantSplit/>
        </w:trPr>
        <w:tc>
          <w:tcPr>
            <w:tcW w:w="1701" w:type="dxa"/>
            <w:shd w:val="clear" w:color="auto" w:fill="FFFFFF"/>
          </w:tcPr>
          <w:p w14:paraId="636CA631" w14:textId="77777777" w:rsidR="00784770" w:rsidRPr="00EA674E" w:rsidRDefault="00FD06C2" w:rsidP="00FD06C2">
            <w:pPr>
              <w:pStyle w:val="RollCallTable"/>
              <w:widowControl/>
            </w:pPr>
            <w:r w:rsidRPr="00EA674E">
              <w:t>ECR</w:t>
            </w:r>
          </w:p>
        </w:tc>
        <w:tc>
          <w:tcPr>
            <w:tcW w:w="7371" w:type="dxa"/>
            <w:shd w:val="clear" w:color="auto" w:fill="FFFFFF"/>
          </w:tcPr>
          <w:p w14:paraId="5A309119" w14:textId="77777777" w:rsidR="00784770" w:rsidRPr="00FD06C2" w:rsidRDefault="00FD06C2" w:rsidP="00FD06C2">
            <w:pPr>
              <w:pStyle w:val="RollCallTable"/>
              <w:widowControl/>
              <w:rPr>
                <w:lang w:val="pl-PL"/>
              </w:rPr>
            </w:pPr>
            <w:r w:rsidRPr="00FD06C2">
              <w:rPr>
                <w:lang w:val="pl-PL"/>
              </w:rPr>
              <w:t>Tobiasz Bocheński, Arkadiusz Mularczyk, Bogdan Rzońca</w:t>
            </w:r>
          </w:p>
        </w:tc>
      </w:tr>
      <w:tr w:rsidR="00593458" w:rsidRPr="00EA674E" w14:paraId="742B8490" w14:textId="77777777" w:rsidTr="008920AC">
        <w:trPr>
          <w:cantSplit/>
        </w:trPr>
        <w:tc>
          <w:tcPr>
            <w:tcW w:w="1701" w:type="dxa"/>
            <w:shd w:val="clear" w:color="auto" w:fill="FFFFFF"/>
          </w:tcPr>
          <w:p w14:paraId="4197392A" w14:textId="77777777" w:rsidR="00784770" w:rsidRPr="00EA674E" w:rsidRDefault="00FD06C2" w:rsidP="00FD06C2">
            <w:pPr>
              <w:pStyle w:val="RollCallTable"/>
              <w:widowControl/>
            </w:pPr>
            <w:r w:rsidRPr="00EA674E">
              <w:t>PPE</w:t>
            </w:r>
          </w:p>
        </w:tc>
        <w:tc>
          <w:tcPr>
            <w:tcW w:w="7371" w:type="dxa"/>
            <w:shd w:val="clear" w:color="auto" w:fill="FFFFFF"/>
          </w:tcPr>
          <w:p w14:paraId="6178D90C" w14:textId="77777777" w:rsidR="00784770" w:rsidRPr="00EA674E" w:rsidRDefault="00FD06C2" w:rsidP="00FD06C2">
            <w:pPr>
              <w:pStyle w:val="RollCallTable"/>
              <w:widowControl/>
            </w:pPr>
            <w:r w:rsidRPr="00EA674E">
              <w:t>Isabel Benjumea Benjumea, Michalis Hadjipantela, Andrzej Halicki, Monika Hohlmeier, Janusz Lewandowski, Gabriel Mato, Danuše Nerudová, Karlo Ressler, Hélder Sousa Silva</w:t>
            </w:r>
          </w:p>
        </w:tc>
      </w:tr>
      <w:tr w:rsidR="00593458" w:rsidRPr="00EA674E" w14:paraId="1E9584D1" w14:textId="77777777" w:rsidTr="008920AC">
        <w:trPr>
          <w:cantSplit/>
        </w:trPr>
        <w:tc>
          <w:tcPr>
            <w:tcW w:w="1701" w:type="dxa"/>
            <w:shd w:val="clear" w:color="auto" w:fill="FFFFFF"/>
          </w:tcPr>
          <w:p w14:paraId="44897509" w14:textId="77777777" w:rsidR="00784770" w:rsidRPr="00EA674E" w:rsidRDefault="00FD06C2" w:rsidP="00FD06C2">
            <w:pPr>
              <w:pStyle w:val="RollCallTable"/>
              <w:widowControl/>
            </w:pPr>
            <w:r w:rsidRPr="00EA674E">
              <w:t>PfE</w:t>
            </w:r>
          </w:p>
        </w:tc>
        <w:tc>
          <w:tcPr>
            <w:tcW w:w="7371" w:type="dxa"/>
            <w:shd w:val="clear" w:color="auto" w:fill="FFFFFF"/>
          </w:tcPr>
          <w:p w14:paraId="685BA353" w14:textId="77777777" w:rsidR="00784770" w:rsidRPr="00EA674E" w:rsidRDefault="00FD06C2" w:rsidP="00FD06C2">
            <w:pPr>
              <w:pStyle w:val="RollCallTable"/>
              <w:widowControl/>
            </w:pPr>
            <w:r w:rsidRPr="00EA674E">
              <w:t xml:space="preserve">Tomasz Buczek, </w:t>
            </w:r>
            <w:r w:rsidRPr="00EA674E">
              <w:t>Tamás Deutsch, Antonín Staněk</w:t>
            </w:r>
          </w:p>
        </w:tc>
      </w:tr>
      <w:tr w:rsidR="00593458" w:rsidRPr="00FD06C2" w14:paraId="1D6D2AE8" w14:textId="77777777" w:rsidTr="008920AC">
        <w:trPr>
          <w:cantSplit/>
        </w:trPr>
        <w:tc>
          <w:tcPr>
            <w:tcW w:w="1701" w:type="dxa"/>
            <w:shd w:val="clear" w:color="auto" w:fill="FFFFFF"/>
          </w:tcPr>
          <w:p w14:paraId="6914FB59" w14:textId="77777777" w:rsidR="00784770" w:rsidRPr="00EA674E" w:rsidRDefault="00FD06C2" w:rsidP="00FD06C2">
            <w:pPr>
              <w:pStyle w:val="RollCallTable"/>
              <w:widowControl/>
            </w:pPr>
            <w:r w:rsidRPr="00EA674E">
              <w:t>Renew</w:t>
            </w:r>
          </w:p>
        </w:tc>
        <w:tc>
          <w:tcPr>
            <w:tcW w:w="7371" w:type="dxa"/>
            <w:shd w:val="clear" w:color="auto" w:fill="FFFFFF"/>
          </w:tcPr>
          <w:p w14:paraId="64FB72BA" w14:textId="77777777" w:rsidR="00784770" w:rsidRPr="00FD06C2" w:rsidRDefault="00FD06C2" w:rsidP="00FD06C2">
            <w:pPr>
              <w:pStyle w:val="RollCallTable"/>
              <w:widowControl/>
              <w:rPr>
                <w:lang w:val="es-ES"/>
              </w:rPr>
            </w:pPr>
            <w:r w:rsidRPr="00FD06C2">
              <w:rPr>
                <w:lang w:val="es-ES"/>
              </w:rPr>
              <w:t>Olivier Chastel, Fabienne Keller, Lucia Yar</w:t>
            </w:r>
          </w:p>
        </w:tc>
      </w:tr>
      <w:tr w:rsidR="00593458" w:rsidRPr="00EA674E" w14:paraId="125348EF" w14:textId="77777777" w:rsidTr="008920AC">
        <w:trPr>
          <w:cantSplit/>
        </w:trPr>
        <w:tc>
          <w:tcPr>
            <w:tcW w:w="1701" w:type="dxa"/>
            <w:shd w:val="clear" w:color="auto" w:fill="FFFFFF"/>
          </w:tcPr>
          <w:p w14:paraId="0013B7E3" w14:textId="77777777" w:rsidR="00784770" w:rsidRPr="00EA674E" w:rsidRDefault="00FD06C2" w:rsidP="00FD06C2">
            <w:pPr>
              <w:pStyle w:val="RollCallTable"/>
              <w:widowControl/>
            </w:pPr>
            <w:r w:rsidRPr="00EA674E">
              <w:t>S&amp;D</w:t>
            </w:r>
          </w:p>
        </w:tc>
        <w:tc>
          <w:tcPr>
            <w:tcW w:w="7371" w:type="dxa"/>
            <w:shd w:val="clear" w:color="auto" w:fill="FFFFFF"/>
          </w:tcPr>
          <w:p w14:paraId="0F823C63" w14:textId="77777777" w:rsidR="00784770" w:rsidRPr="00EA674E" w:rsidRDefault="00FD06C2" w:rsidP="00FD06C2">
            <w:pPr>
              <w:pStyle w:val="RollCallTable"/>
              <w:widowControl/>
            </w:pPr>
            <w:r w:rsidRPr="00EA674E">
              <w:t>Mohammed Chahim, Matthias Ecke, Nikolas Farantouris, Jean-Marc Germain, Sandra Gómez López, Victor Negrescu, Matjaž Nemec, Nils Ušakovs</w:t>
            </w:r>
          </w:p>
        </w:tc>
      </w:tr>
      <w:tr w:rsidR="00593458" w:rsidRPr="00FD06C2" w14:paraId="5F89BF80" w14:textId="77777777" w:rsidTr="008920AC">
        <w:trPr>
          <w:cantSplit/>
        </w:trPr>
        <w:tc>
          <w:tcPr>
            <w:tcW w:w="1701" w:type="dxa"/>
            <w:shd w:val="clear" w:color="auto" w:fill="FFFFFF"/>
          </w:tcPr>
          <w:p w14:paraId="2021A4FA" w14:textId="77777777" w:rsidR="00784770" w:rsidRPr="00EA674E" w:rsidRDefault="00FD06C2" w:rsidP="00FD06C2">
            <w:pPr>
              <w:pStyle w:val="RollCallTable"/>
              <w:widowControl/>
            </w:pPr>
            <w:r w:rsidRPr="00EA674E">
              <w:t>Verts/ALE</w:t>
            </w:r>
          </w:p>
        </w:tc>
        <w:tc>
          <w:tcPr>
            <w:tcW w:w="7371" w:type="dxa"/>
            <w:shd w:val="clear" w:color="auto" w:fill="FFFFFF"/>
          </w:tcPr>
          <w:p w14:paraId="45C2DC49" w14:textId="77777777" w:rsidR="00784770" w:rsidRPr="00FD06C2" w:rsidRDefault="00FD06C2" w:rsidP="00FD06C2">
            <w:pPr>
              <w:pStyle w:val="RollCallTable"/>
              <w:widowControl/>
              <w:rPr>
                <w:lang w:val="it-IT"/>
              </w:rPr>
            </w:pPr>
            <w:r w:rsidRPr="00FD06C2">
              <w:rPr>
                <w:lang w:val="it-IT"/>
              </w:rPr>
              <w:t>Ignazio Roberto Marino, Rasmus Nordqvist, Nicolae Ștefănuță</w:t>
            </w:r>
          </w:p>
        </w:tc>
      </w:tr>
    </w:tbl>
    <w:p w14:paraId="42846951" w14:textId="77777777" w:rsidR="00784770" w:rsidRPr="00FD06C2" w:rsidRDefault="00784770" w:rsidP="00FD06C2">
      <w:pPr>
        <w:widowControl/>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3458" w:rsidRPr="00EA674E" w14:paraId="4A47D6F9" w14:textId="77777777" w:rsidTr="008920AC">
        <w:trPr>
          <w:cantSplit/>
        </w:trPr>
        <w:tc>
          <w:tcPr>
            <w:tcW w:w="1701" w:type="dxa"/>
            <w:shd w:val="pct10" w:color="000000" w:fill="FFFFFF"/>
            <w:vAlign w:val="center"/>
          </w:tcPr>
          <w:p w14:paraId="6CC91DC4" w14:textId="77777777" w:rsidR="00784770" w:rsidRPr="00EA674E" w:rsidRDefault="00FD06C2" w:rsidP="00FD06C2">
            <w:pPr>
              <w:pStyle w:val="RollCallVotes"/>
              <w:widowControl/>
            </w:pPr>
            <w:r w:rsidRPr="00EA674E">
              <w:t>4</w:t>
            </w:r>
          </w:p>
        </w:tc>
        <w:tc>
          <w:tcPr>
            <w:tcW w:w="7371" w:type="dxa"/>
            <w:shd w:val="pct10" w:color="000000" w:fill="FFFFFF"/>
          </w:tcPr>
          <w:p w14:paraId="7A87E422" w14:textId="77777777" w:rsidR="00784770" w:rsidRPr="00EA674E" w:rsidRDefault="00FD06C2" w:rsidP="00FD06C2">
            <w:pPr>
              <w:pStyle w:val="RollCallSymbols14pt"/>
              <w:widowControl/>
            </w:pPr>
            <w:r w:rsidRPr="00EA674E">
              <w:t>-</w:t>
            </w:r>
          </w:p>
        </w:tc>
      </w:tr>
      <w:tr w:rsidR="00593458" w:rsidRPr="00EA674E" w14:paraId="53D9F9DE" w14:textId="77777777" w:rsidTr="008920AC">
        <w:trPr>
          <w:cantSplit/>
        </w:trPr>
        <w:tc>
          <w:tcPr>
            <w:tcW w:w="1701" w:type="dxa"/>
            <w:shd w:val="clear" w:color="auto" w:fill="FFFFFF"/>
          </w:tcPr>
          <w:p w14:paraId="410EFA94" w14:textId="77777777" w:rsidR="00784770" w:rsidRPr="00EA674E" w:rsidRDefault="00FD06C2" w:rsidP="00FD06C2">
            <w:pPr>
              <w:pStyle w:val="RollCallTable"/>
              <w:widowControl/>
            </w:pPr>
            <w:r w:rsidRPr="00EA674E">
              <w:t>ESN</w:t>
            </w:r>
          </w:p>
        </w:tc>
        <w:tc>
          <w:tcPr>
            <w:tcW w:w="7371" w:type="dxa"/>
            <w:shd w:val="clear" w:color="auto" w:fill="FFFFFF"/>
          </w:tcPr>
          <w:p w14:paraId="76AFDDB9" w14:textId="77777777" w:rsidR="00784770" w:rsidRPr="00EA674E" w:rsidRDefault="00FD06C2" w:rsidP="00FD06C2">
            <w:pPr>
              <w:pStyle w:val="RollCallTable"/>
              <w:widowControl/>
            </w:pPr>
            <w:r w:rsidRPr="00EA674E">
              <w:t>Alexander Jungbluth</w:t>
            </w:r>
          </w:p>
        </w:tc>
      </w:tr>
      <w:tr w:rsidR="00593458" w:rsidRPr="00EA674E" w14:paraId="2A27026E" w14:textId="77777777" w:rsidTr="008920AC">
        <w:trPr>
          <w:cantSplit/>
        </w:trPr>
        <w:tc>
          <w:tcPr>
            <w:tcW w:w="1701" w:type="dxa"/>
            <w:shd w:val="clear" w:color="auto" w:fill="FFFFFF"/>
          </w:tcPr>
          <w:p w14:paraId="6C5396A2" w14:textId="77777777" w:rsidR="00784770" w:rsidRPr="00EA674E" w:rsidRDefault="00FD06C2" w:rsidP="00FD06C2">
            <w:pPr>
              <w:pStyle w:val="RollCallTable"/>
              <w:widowControl/>
            </w:pPr>
            <w:r w:rsidRPr="00EA674E">
              <w:t>NI</w:t>
            </w:r>
          </w:p>
        </w:tc>
        <w:tc>
          <w:tcPr>
            <w:tcW w:w="7371" w:type="dxa"/>
            <w:shd w:val="clear" w:color="auto" w:fill="FFFFFF"/>
          </w:tcPr>
          <w:p w14:paraId="5DC6AEA6" w14:textId="77777777" w:rsidR="00784770" w:rsidRPr="00EA674E" w:rsidRDefault="00FD06C2" w:rsidP="00FD06C2">
            <w:pPr>
              <w:pStyle w:val="RollCallTable"/>
              <w:widowControl/>
            </w:pPr>
            <w:r w:rsidRPr="00EA674E">
              <w:t>Thomas Geisel</w:t>
            </w:r>
          </w:p>
        </w:tc>
      </w:tr>
      <w:tr w:rsidR="00593458" w:rsidRPr="00EA674E" w14:paraId="63C845CC" w14:textId="77777777" w:rsidTr="008920AC">
        <w:trPr>
          <w:cantSplit/>
        </w:trPr>
        <w:tc>
          <w:tcPr>
            <w:tcW w:w="1701" w:type="dxa"/>
            <w:shd w:val="clear" w:color="auto" w:fill="FFFFFF"/>
          </w:tcPr>
          <w:p w14:paraId="3594ED8F" w14:textId="77777777" w:rsidR="00784770" w:rsidRPr="00EA674E" w:rsidRDefault="00FD06C2" w:rsidP="00FD06C2">
            <w:pPr>
              <w:pStyle w:val="RollCallTable"/>
              <w:widowControl/>
            </w:pPr>
            <w:r w:rsidRPr="00EA674E">
              <w:t>PfE</w:t>
            </w:r>
          </w:p>
        </w:tc>
        <w:tc>
          <w:tcPr>
            <w:tcW w:w="7371" w:type="dxa"/>
            <w:shd w:val="clear" w:color="auto" w:fill="FFFFFF"/>
          </w:tcPr>
          <w:p w14:paraId="2D6A583F" w14:textId="77777777" w:rsidR="00784770" w:rsidRPr="00EA674E" w:rsidRDefault="00FD06C2" w:rsidP="00FD06C2">
            <w:pPr>
              <w:pStyle w:val="RollCallTable"/>
              <w:widowControl/>
            </w:pPr>
            <w:r w:rsidRPr="00EA674E">
              <w:t>Valérie Deloge, Aleksandar Nikolic</w:t>
            </w:r>
          </w:p>
        </w:tc>
      </w:tr>
    </w:tbl>
    <w:p w14:paraId="152A85F1" w14:textId="77777777" w:rsidR="00784770" w:rsidRPr="00EA674E" w:rsidRDefault="00784770" w:rsidP="00FD06C2">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93458" w:rsidRPr="00EA674E" w14:paraId="5DAE1CAD" w14:textId="77777777" w:rsidTr="008920AC">
        <w:trPr>
          <w:cantSplit/>
        </w:trPr>
        <w:tc>
          <w:tcPr>
            <w:tcW w:w="1701" w:type="dxa"/>
            <w:shd w:val="pct10" w:color="000000" w:fill="FFFFFF"/>
            <w:vAlign w:val="center"/>
          </w:tcPr>
          <w:p w14:paraId="1B61386F" w14:textId="77777777" w:rsidR="00784770" w:rsidRPr="00EA674E" w:rsidRDefault="00FD06C2" w:rsidP="00FD06C2">
            <w:pPr>
              <w:pStyle w:val="RollCallVotes"/>
              <w:widowControl/>
            </w:pPr>
            <w:r w:rsidRPr="00EA674E">
              <w:t>1</w:t>
            </w:r>
          </w:p>
        </w:tc>
        <w:tc>
          <w:tcPr>
            <w:tcW w:w="7371" w:type="dxa"/>
            <w:shd w:val="pct10" w:color="000000" w:fill="FFFFFF"/>
          </w:tcPr>
          <w:p w14:paraId="7BBEB18B" w14:textId="77777777" w:rsidR="00784770" w:rsidRPr="00EA674E" w:rsidRDefault="00FD06C2" w:rsidP="00FD06C2">
            <w:pPr>
              <w:pStyle w:val="RollCallSymbols14pt"/>
              <w:widowControl/>
            </w:pPr>
            <w:r w:rsidRPr="00EA674E">
              <w:t>0</w:t>
            </w:r>
          </w:p>
        </w:tc>
      </w:tr>
      <w:tr w:rsidR="00593458" w:rsidRPr="00EA674E" w14:paraId="0277BEAA" w14:textId="77777777" w:rsidTr="008920AC">
        <w:trPr>
          <w:cantSplit/>
        </w:trPr>
        <w:tc>
          <w:tcPr>
            <w:tcW w:w="1701" w:type="dxa"/>
            <w:shd w:val="clear" w:color="auto" w:fill="FFFFFF"/>
          </w:tcPr>
          <w:p w14:paraId="7B8F0A5C" w14:textId="77777777" w:rsidR="00784770" w:rsidRPr="00EA674E" w:rsidRDefault="00FD06C2" w:rsidP="00FD06C2">
            <w:pPr>
              <w:pStyle w:val="RollCallTable"/>
              <w:widowControl/>
            </w:pPr>
            <w:r w:rsidRPr="00EA674E">
              <w:t>The Left</w:t>
            </w:r>
          </w:p>
        </w:tc>
        <w:tc>
          <w:tcPr>
            <w:tcW w:w="7371" w:type="dxa"/>
            <w:shd w:val="clear" w:color="auto" w:fill="FFFFFF"/>
          </w:tcPr>
          <w:p w14:paraId="398D72BE" w14:textId="77777777" w:rsidR="00784770" w:rsidRPr="00EA674E" w:rsidRDefault="00FD06C2" w:rsidP="00FD06C2">
            <w:pPr>
              <w:pStyle w:val="RollCallTable"/>
              <w:widowControl/>
            </w:pPr>
            <w:r w:rsidRPr="00EA674E">
              <w:t>João Oliveira</w:t>
            </w:r>
          </w:p>
        </w:tc>
      </w:tr>
    </w:tbl>
    <w:p w14:paraId="46DA38DA" w14:textId="77777777" w:rsidR="00784770" w:rsidRPr="00EA674E" w:rsidRDefault="00784770" w:rsidP="00FD06C2">
      <w:pPr>
        <w:pStyle w:val="Normal12a"/>
        <w:widowControl/>
      </w:pPr>
    </w:p>
    <w:p w14:paraId="3CC3ECC6" w14:textId="77777777" w:rsidR="00784770" w:rsidRPr="00EA674E" w:rsidRDefault="00FD06C2" w:rsidP="00FD06C2">
      <w:pPr>
        <w:widowControl/>
      </w:pPr>
      <w:r w:rsidRPr="00EA674E">
        <w:t>Symbolien selitys:</w:t>
      </w:r>
    </w:p>
    <w:p w14:paraId="435F2FC9" w14:textId="77777777" w:rsidR="00784770" w:rsidRPr="00EA674E" w:rsidRDefault="00FD06C2" w:rsidP="00FD06C2">
      <w:pPr>
        <w:pStyle w:val="RollCallTabs"/>
        <w:widowControl/>
      </w:pPr>
      <w:r w:rsidRPr="00EA674E">
        <w:t>+</w:t>
      </w:r>
      <w:r w:rsidRPr="00EA674E">
        <w:tab/>
        <w:t>:</w:t>
      </w:r>
      <w:r w:rsidRPr="00EA674E">
        <w:tab/>
        <w:t>puolesta</w:t>
      </w:r>
    </w:p>
    <w:p w14:paraId="35B91347" w14:textId="77777777" w:rsidR="00784770" w:rsidRPr="00EA674E" w:rsidRDefault="00FD06C2" w:rsidP="00FD06C2">
      <w:pPr>
        <w:pStyle w:val="RollCallTabs"/>
        <w:widowControl/>
      </w:pPr>
      <w:r w:rsidRPr="00EA674E">
        <w:t>-</w:t>
      </w:r>
      <w:r w:rsidRPr="00EA674E">
        <w:tab/>
        <w:t>:</w:t>
      </w:r>
      <w:r w:rsidRPr="00EA674E">
        <w:tab/>
        <w:t>vastaan</w:t>
      </w:r>
    </w:p>
    <w:p w14:paraId="18255BCB" w14:textId="77777777" w:rsidR="00784770" w:rsidRPr="00EA674E" w:rsidRDefault="00FD06C2" w:rsidP="00FD06C2">
      <w:pPr>
        <w:pStyle w:val="RollCallTabs"/>
        <w:widowControl/>
      </w:pPr>
      <w:r w:rsidRPr="00EA674E">
        <w:t>0</w:t>
      </w:r>
      <w:r w:rsidRPr="00EA674E">
        <w:tab/>
        <w:t>:</w:t>
      </w:r>
      <w:r w:rsidRPr="00EA674E">
        <w:tab/>
        <w:t>tyhjää</w:t>
      </w:r>
      <w:bookmarkEnd w:id="6"/>
    </w:p>
    <w:sectPr w:rsidR="00784770" w:rsidRPr="00EA674E" w:rsidSect="000170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E1512" w14:textId="77777777" w:rsidR="00FD06C2" w:rsidRPr="00EA674E" w:rsidRDefault="00FD06C2">
      <w:r w:rsidRPr="00EA674E">
        <w:separator/>
      </w:r>
    </w:p>
  </w:endnote>
  <w:endnote w:type="continuationSeparator" w:id="0">
    <w:p w14:paraId="0A13FD7C" w14:textId="77777777" w:rsidR="00FD06C2" w:rsidRPr="00EA674E" w:rsidRDefault="00FD06C2">
      <w:r w:rsidRPr="00EA67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FFE6F" w14:textId="77777777" w:rsidR="00EA674E" w:rsidRPr="00EA674E" w:rsidRDefault="00EA674E" w:rsidP="00EA674E">
    <w:pPr>
      <w:pStyle w:val="EPFooter"/>
    </w:pPr>
    <w:r w:rsidRPr="00EA674E">
      <w:t>PE</w:t>
    </w:r>
    <w:r w:rsidRPr="00EA674E">
      <w:rPr>
        <w:rStyle w:val="HideTWBExt"/>
      </w:rPr>
      <w:t>&lt;NoPE&gt;</w:t>
    </w:r>
    <w:r w:rsidRPr="00EA674E">
      <w:t>782.453</w:t>
    </w:r>
    <w:r w:rsidRPr="00EA674E">
      <w:rPr>
        <w:rStyle w:val="HideTWBExt"/>
      </w:rPr>
      <w:t>&lt;/NoPE&gt;&lt;Version&gt;</w:t>
    </w:r>
    <w:r w:rsidRPr="00EA674E">
      <w:t>v03-00</w:t>
    </w:r>
    <w:r w:rsidRPr="00EA674E">
      <w:rPr>
        <w:rStyle w:val="HideTWBExt"/>
      </w:rPr>
      <w:t>&lt;/Version&gt;</w:t>
    </w:r>
    <w:r w:rsidRPr="00EA674E">
      <w:tab/>
    </w:r>
    <w:r w:rsidRPr="00EA674E">
      <w:fldChar w:fldCharType="begin"/>
    </w:r>
    <w:r w:rsidRPr="00EA674E">
      <w:instrText xml:space="preserve"> PAGE  \* MERGEFORMAT </w:instrText>
    </w:r>
    <w:r w:rsidRPr="00EA674E">
      <w:fldChar w:fldCharType="separate"/>
    </w:r>
    <w:r w:rsidRPr="00EA674E">
      <w:rPr>
        <w:noProof/>
      </w:rPr>
      <w:t>2</w:t>
    </w:r>
    <w:r w:rsidRPr="00EA674E">
      <w:fldChar w:fldCharType="end"/>
    </w:r>
    <w:r w:rsidRPr="00EA674E">
      <w:t>/</w:t>
    </w:r>
    <w:fldSimple w:instr=" NUMPAGES  \* MERGEFORMAT ">
      <w:r w:rsidRPr="00EA674E">
        <w:rPr>
          <w:noProof/>
        </w:rPr>
        <w:t>17</w:t>
      </w:r>
    </w:fldSimple>
    <w:r w:rsidRPr="00EA674E">
      <w:tab/>
    </w:r>
    <w:r w:rsidRPr="00EA674E">
      <w:rPr>
        <w:rStyle w:val="HideTWBExt"/>
      </w:rPr>
      <w:t>&lt;PathFdR&gt;</w:t>
    </w:r>
    <w:r w:rsidRPr="00EA674E">
      <w:t>AD\1342281FI.docx</w:t>
    </w:r>
    <w:r w:rsidRPr="00EA674E">
      <w:rPr>
        <w:rStyle w:val="HideTWBExt"/>
      </w:rPr>
      <w:t>&lt;/PathFdR&gt;</w:t>
    </w:r>
  </w:p>
  <w:p w14:paraId="51FD31AF" w14:textId="703A88CF" w:rsidR="002E2F2E" w:rsidRPr="00EA674E" w:rsidRDefault="00EA674E" w:rsidP="00EA674E">
    <w:pPr>
      <w:pStyle w:val="EPFooter2"/>
    </w:pPr>
    <w:r w:rsidRPr="00EA674E">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78195" w14:textId="77777777" w:rsidR="00EA674E" w:rsidRPr="00EA674E" w:rsidRDefault="00EA674E" w:rsidP="00EA674E">
    <w:pPr>
      <w:pStyle w:val="EPFooter"/>
    </w:pPr>
    <w:r w:rsidRPr="00EA674E">
      <w:rPr>
        <w:rStyle w:val="HideTWBExt"/>
      </w:rPr>
      <w:t>&lt;PathFdR&gt;</w:t>
    </w:r>
    <w:r w:rsidRPr="00EA674E">
      <w:t>AD\1342281FI.docx</w:t>
    </w:r>
    <w:r w:rsidRPr="00EA674E">
      <w:rPr>
        <w:rStyle w:val="HideTWBExt"/>
      </w:rPr>
      <w:t>&lt;/PathFdR&gt;</w:t>
    </w:r>
    <w:r w:rsidRPr="00EA674E">
      <w:tab/>
    </w:r>
    <w:r w:rsidRPr="00EA674E">
      <w:fldChar w:fldCharType="begin"/>
    </w:r>
    <w:r w:rsidRPr="00EA674E">
      <w:instrText xml:space="preserve"> PAGE  \* MERGEFORMAT </w:instrText>
    </w:r>
    <w:r w:rsidRPr="00EA674E">
      <w:fldChar w:fldCharType="separate"/>
    </w:r>
    <w:r w:rsidRPr="00EA674E">
      <w:rPr>
        <w:noProof/>
      </w:rPr>
      <w:t>17</w:t>
    </w:r>
    <w:r w:rsidRPr="00EA674E">
      <w:fldChar w:fldCharType="end"/>
    </w:r>
    <w:r w:rsidRPr="00EA674E">
      <w:t>/</w:t>
    </w:r>
    <w:fldSimple w:instr=" NUMPAGES  \* MERGEFORMAT ">
      <w:r w:rsidRPr="00EA674E">
        <w:rPr>
          <w:noProof/>
        </w:rPr>
        <w:t>17</w:t>
      </w:r>
    </w:fldSimple>
    <w:r w:rsidRPr="00EA674E">
      <w:tab/>
      <w:t>PE</w:t>
    </w:r>
    <w:r w:rsidRPr="00EA674E">
      <w:rPr>
        <w:rStyle w:val="HideTWBExt"/>
      </w:rPr>
      <w:t>&lt;NoPE&gt;</w:t>
    </w:r>
    <w:r w:rsidRPr="00EA674E">
      <w:t>782.453</w:t>
    </w:r>
    <w:r w:rsidRPr="00EA674E">
      <w:rPr>
        <w:rStyle w:val="HideTWBExt"/>
      </w:rPr>
      <w:t>&lt;/NoPE&gt;&lt;Version&gt;</w:t>
    </w:r>
    <w:r w:rsidRPr="00EA674E">
      <w:t>v03-00</w:t>
    </w:r>
    <w:r w:rsidRPr="00EA674E">
      <w:rPr>
        <w:rStyle w:val="HideTWBExt"/>
      </w:rPr>
      <w:t>&lt;/Version&gt;</w:t>
    </w:r>
  </w:p>
  <w:p w14:paraId="2278CA53" w14:textId="501B2FA3" w:rsidR="002E2F2E" w:rsidRPr="00EA674E" w:rsidRDefault="00EA674E" w:rsidP="00EA674E">
    <w:pPr>
      <w:pStyle w:val="EPFooter2"/>
    </w:pPr>
    <w:r w:rsidRPr="00EA674E">
      <w:tab/>
    </w:r>
    <w:r w:rsidRPr="00EA674E">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9530E" w14:textId="77777777" w:rsidR="00EA674E" w:rsidRPr="00EA674E" w:rsidRDefault="00EA674E" w:rsidP="00EA674E">
    <w:pPr>
      <w:pStyle w:val="EPFooter"/>
    </w:pPr>
    <w:r w:rsidRPr="00EA674E">
      <w:rPr>
        <w:rStyle w:val="HideTWBExt"/>
      </w:rPr>
      <w:t>&lt;PathFdR&gt;</w:t>
    </w:r>
    <w:r w:rsidRPr="00EA674E">
      <w:t>AD\1342281FI.docx</w:t>
    </w:r>
    <w:r w:rsidRPr="00EA674E">
      <w:rPr>
        <w:rStyle w:val="HideTWBExt"/>
      </w:rPr>
      <w:t>&lt;/PathFdR&gt;</w:t>
    </w:r>
    <w:r w:rsidRPr="00EA674E">
      <w:tab/>
    </w:r>
    <w:r w:rsidRPr="00EA674E">
      <w:tab/>
      <w:t>PE</w:t>
    </w:r>
    <w:r w:rsidRPr="00EA674E">
      <w:rPr>
        <w:rStyle w:val="HideTWBExt"/>
      </w:rPr>
      <w:t>&lt;NoPE&gt;</w:t>
    </w:r>
    <w:r w:rsidRPr="00EA674E">
      <w:t>782.453</w:t>
    </w:r>
    <w:r w:rsidRPr="00EA674E">
      <w:rPr>
        <w:rStyle w:val="HideTWBExt"/>
      </w:rPr>
      <w:t>&lt;/NoPE&gt;&lt;Version&gt;</w:t>
    </w:r>
    <w:r w:rsidRPr="00EA674E">
      <w:t>v03-00</w:t>
    </w:r>
    <w:r w:rsidRPr="00EA674E">
      <w:rPr>
        <w:rStyle w:val="HideTWBExt"/>
      </w:rPr>
      <w:t>&lt;/Version&gt;</w:t>
    </w:r>
  </w:p>
  <w:p w14:paraId="3B640F76" w14:textId="187B0541" w:rsidR="002E2F2E" w:rsidRPr="00EA674E" w:rsidRDefault="00EA674E" w:rsidP="00EA674E">
    <w:pPr>
      <w:pStyle w:val="EPFooter2"/>
    </w:pPr>
    <w:r w:rsidRPr="00EA674E">
      <w:t>FI</w:t>
    </w:r>
    <w:r w:rsidRPr="00EA674E">
      <w:tab/>
    </w:r>
    <w:r w:rsidRPr="00EA674E">
      <w:rPr>
        <w:b w:val="0"/>
        <w:i/>
        <w:color w:val="C0C0C0"/>
        <w:sz w:val="22"/>
      </w:rPr>
      <w:t>Moninaisuudessaan yhtenäinen</w:t>
    </w:r>
    <w:r w:rsidRPr="00EA674E">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83F48" w14:textId="77777777" w:rsidR="00E61C10" w:rsidRPr="00EA674E" w:rsidRDefault="00FD06C2">
      <w:r w:rsidRPr="00EA674E">
        <w:separator/>
      </w:r>
    </w:p>
  </w:footnote>
  <w:footnote w:type="continuationSeparator" w:id="0">
    <w:p w14:paraId="11233A0C" w14:textId="77777777" w:rsidR="00E61C10" w:rsidRPr="00EA674E" w:rsidRDefault="00FD06C2">
      <w:r w:rsidRPr="00EA674E">
        <w:continuationSeparator/>
      </w:r>
    </w:p>
  </w:footnote>
  <w:footnote w:id="1">
    <w:p w14:paraId="0B0B197D" w14:textId="77777777" w:rsidR="00217B7E" w:rsidRPr="00EA674E" w:rsidRDefault="00FD06C2" w:rsidP="00217B7E">
      <w:pPr>
        <w:pStyle w:val="FootnoteText"/>
      </w:pPr>
      <w:r w:rsidRPr="00EA674E">
        <w:rPr>
          <w:rStyle w:val="FootnoteReference"/>
        </w:rPr>
        <w:footnoteRef/>
      </w:r>
      <w:r w:rsidRPr="00EA674E">
        <w:t xml:space="preserve"> Komission yksiköiden valmisteluasiakirja, 20. huhtikuuta 2025, Interim Evaluation of the Horizon Europe Framework Programme for Research and Innovation (2021–2024) (SWD(2025)0110).</w:t>
      </w:r>
    </w:p>
  </w:footnote>
  <w:footnote w:id="2">
    <w:p w14:paraId="43DD7AAB" w14:textId="152714A7" w:rsidR="00BC5686" w:rsidRPr="00EA674E" w:rsidRDefault="00FD06C2" w:rsidP="00BC5686">
      <w:pPr>
        <w:pStyle w:val="FootnoteText"/>
      </w:pPr>
      <w:r w:rsidRPr="00EA674E">
        <w:rPr>
          <w:rStyle w:val="FootnoteReference"/>
        </w:rPr>
        <w:footnoteRef/>
      </w:r>
      <w:r w:rsidRPr="00EA674E">
        <w:t xml:space="preserve"> Euroopan parlamentin ja neuvoston asetus (EU, Euratom) 2024/2509, annettu 23. syyskuuta 2024, unionin yleiseen talousarvioon sovellettavista varainhoitosäännöistä, EUVL L, 2024/2509, ELI: </w:t>
      </w:r>
      <w:hyperlink r:id="rId1" w:tgtFrame="_blank" w:tooltip="Avaa asiakirjan ELI URI -osoitteen kautta." w:history="1">
        <w:r w:rsidR="00BC5686" w:rsidRPr="00EA674E">
          <w:rPr>
            <w:rStyle w:val="Hyperlink"/>
          </w:rPr>
          <w:t>http://data.europa.eu/eli/reg/2024/2509/oj</w:t>
        </w:r>
      </w:hyperlink>
      <w:r w:rsidRPr="00EA674E">
        <w:t>).</w:t>
      </w:r>
    </w:p>
    <w:p w14:paraId="22B7DD0C" w14:textId="77777777" w:rsidR="00BC5686" w:rsidRPr="00EA674E" w:rsidRDefault="00BC5686">
      <w:pPr>
        <w:pStyle w:val="FootnoteText"/>
      </w:pPr>
    </w:p>
  </w:footnote>
  <w:footnote w:id="3">
    <w:p w14:paraId="02A7D08F" w14:textId="7661FA3E" w:rsidR="00017014" w:rsidRPr="00EA674E" w:rsidRDefault="00FD06C2" w:rsidP="00017014">
      <w:pPr>
        <w:pStyle w:val="FootnoteText"/>
      </w:pPr>
      <w:r w:rsidRPr="00EA674E">
        <w:rPr>
          <w:rStyle w:val="FootnoteReference"/>
        </w:rPr>
        <w:footnoteRef/>
      </w:r>
      <w:r w:rsidRPr="00EA674E">
        <w:t xml:space="preserve"> Euroopan parlamentin, Euroopan unionin neuvoston ja Euroopan komission toimielinten välinen sopimus, tehty 20. toukokuuta 2021, pakollisesta avoimuusrekisteristä (EUVL L 207, 11.6.2021, s. 1, ELI: </w:t>
      </w:r>
      <w:hyperlink r:id="rId2" w:tooltip="http://data.europa.eu/eli/agree_interinstit/2021/611/oj" w:history="1">
        <w:r w:rsidR="00017014" w:rsidRPr="00EA674E">
          <w:rPr>
            <w:rStyle w:val="Hyperlink"/>
          </w:rPr>
          <w:t>http://data.europa.eu/eli/agree_interinstit/2021/611/oj</w:t>
        </w:r>
      </w:hyperlink>
      <w:r w:rsidRPr="00EA674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D919" w14:textId="77777777" w:rsidR="00FD06C2" w:rsidRDefault="00FD06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F5872" w14:textId="77777777" w:rsidR="00FD06C2" w:rsidRDefault="00FD06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E811" w14:textId="77777777" w:rsidR="00FD06C2" w:rsidRDefault="00FD06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5B46F140"/>
    <w:lvl w:ilvl="0" w:tplc="44306838">
      <w:start w:val="1"/>
      <w:numFmt w:val="decimal"/>
      <w:lvlText w:val="%1."/>
      <w:lvlJc w:val="left"/>
      <w:pPr>
        <w:ind w:left="1080" w:hanging="720"/>
      </w:pPr>
    </w:lvl>
    <w:lvl w:ilvl="1" w:tplc="907A3C60">
      <w:start w:val="1"/>
      <w:numFmt w:val="lowerLetter"/>
      <w:lvlText w:val="%2."/>
      <w:lvlJc w:val="left"/>
      <w:pPr>
        <w:ind w:left="1440" w:hanging="360"/>
      </w:pPr>
    </w:lvl>
    <w:lvl w:ilvl="2" w:tplc="9AAC3B0E">
      <w:start w:val="1"/>
      <w:numFmt w:val="lowerRoman"/>
      <w:lvlText w:val="%3."/>
      <w:lvlJc w:val="right"/>
      <w:pPr>
        <w:ind w:left="2160" w:hanging="180"/>
      </w:pPr>
    </w:lvl>
    <w:lvl w:ilvl="3" w:tplc="0B0AF550">
      <w:start w:val="1"/>
      <w:numFmt w:val="decimal"/>
      <w:lvlText w:val="%4."/>
      <w:lvlJc w:val="left"/>
      <w:pPr>
        <w:ind w:left="2880" w:hanging="360"/>
      </w:pPr>
    </w:lvl>
    <w:lvl w:ilvl="4" w:tplc="8DDA7B90">
      <w:start w:val="1"/>
      <w:numFmt w:val="lowerLetter"/>
      <w:lvlText w:val="%5."/>
      <w:lvlJc w:val="left"/>
      <w:pPr>
        <w:ind w:left="3600" w:hanging="360"/>
      </w:pPr>
    </w:lvl>
    <w:lvl w:ilvl="5" w:tplc="E2C89D34">
      <w:start w:val="1"/>
      <w:numFmt w:val="lowerRoman"/>
      <w:lvlText w:val="%6."/>
      <w:lvlJc w:val="right"/>
      <w:pPr>
        <w:ind w:left="4320" w:hanging="180"/>
      </w:pPr>
    </w:lvl>
    <w:lvl w:ilvl="6" w:tplc="70BC73B6">
      <w:start w:val="1"/>
      <w:numFmt w:val="decimal"/>
      <w:lvlText w:val="%7."/>
      <w:lvlJc w:val="left"/>
      <w:pPr>
        <w:ind w:left="5040" w:hanging="360"/>
      </w:pPr>
    </w:lvl>
    <w:lvl w:ilvl="7" w:tplc="71F6687A">
      <w:start w:val="1"/>
      <w:numFmt w:val="lowerLetter"/>
      <w:lvlText w:val="%8."/>
      <w:lvlJc w:val="left"/>
      <w:pPr>
        <w:ind w:left="5760" w:hanging="360"/>
      </w:pPr>
    </w:lvl>
    <w:lvl w:ilvl="8" w:tplc="88A0D1BC">
      <w:start w:val="1"/>
      <w:numFmt w:val="lowerRoman"/>
      <w:lvlText w:val="%9."/>
      <w:lvlJc w:val="right"/>
      <w:pPr>
        <w:ind w:left="6480" w:hanging="180"/>
      </w:pPr>
    </w:lvl>
  </w:abstractNum>
  <w:num w:numId="1" w16cid:durableId="1430813154">
    <w:abstractNumId w:val="9"/>
  </w:num>
  <w:num w:numId="2" w16cid:durableId="2063093858">
    <w:abstractNumId w:val="9"/>
  </w:num>
  <w:num w:numId="3" w16cid:durableId="361172421">
    <w:abstractNumId w:val="7"/>
  </w:num>
  <w:num w:numId="4" w16cid:durableId="1058170178">
    <w:abstractNumId w:val="7"/>
  </w:num>
  <w:num w:numId="5" w16cid:durableId="762412137">
    <w:abstractNumId w:val="6"/>
  </w:num>
  <w:num w:numId="6" w16cid:durableId="1160076576">
    <w:abstractNumId w:val="6"/>
  </w:num>
  <w:num w:numId="7" w16cid:durableId="1498111345">
    <w:abstractNumId w:val="5"/>
  </w:num>
  <w:num w:numId="8" w16cid:durableId="1460683345">
    <w:abstractNumId w:val="5"/>
  </w:num>
  <w:num w:numId="9" w16cid:durableId="410003738">
    <w:abstractNumId w:val="4"/>
  </w:num>
  <w:num w:numId="10" w16cid:durableId="1726365935">
    <w:abstractNumId w:val="4"/>
  </w:num>
  <w:num w:numId="11" w16cid:durableId="328140655">
    <w:abstractNumId w:val="8"/>
  </w:num>
  <w:num w:numId="12" w16cid:durableId="1170947739">
    <w:abstractNumId w:val="8"/>
  </w:num>
  <w:num w:numId="13" w16cid:durableId="474568266">
    <w:abstractNumId w:val="3"/>
  </w:num>
  <w:num w:numId="14" w16cid:durableId="1462729716">
    <w:abstractNumId w:val="3"/>
  </w:num>
  <w:num w:numId="15" w16cid:durableId="1651712676">
    <w:abstractNumId w:val="2"/>
  </w:num>
  <w:num w:numId="16" w16cid:durableId="207960257">
    <w:abstractNumId w:val="2"/>
  </w:num>
  <w:num w:numId="17" w16cid:durableId="840856509">
    <w:abstractNumId w:val="1"/>
  </w:num>
  <w:num w:numId="18" w16cid:durableId="1568147373">
    <w:abstractNumId w:val="1"/>
  </w:num>
  <w:num w:numId="19" w16cid:durableId="1116365068">
    <w:abstractNumId w:val="0"/>
  </w:num>
  <w:num w:numId="20" w16cid:durableId="1814253980">
    <w:abstractNumId w:val="0"/>
  </w:num>
  <w:num w:numId="21" w16cid:durableId="566452779">
    <w:abstractNumId w:val="9"/>
  </w:num>
  <w:num w:numId="22" w16cid:durableId="1677267131">
    <w:abstractNumId w:val="7"/>
  </w:num>
  <w:num w:numId="23" w16cid:durableId="1031299402">
    <w:abstractNumId w:val="6"/>
  </w:num>
  <w:num w:numId="24" w16cid:durableId="372849107">
    <w:abstractNumId w:val="5"/>
  </w:num>
  <w:num w:numId="25" w16cid:durableId="1909460531">
    <w:abstractNumId w:val="4"/>
  </w:num>
  <w:num w:numId="26" w16cid:durableId="1494368115">
    <w:abstractNumId w:val="8"/>
  </w:num>
  <w:num w:numId="27" w16cid:durableId="1745910525">
    <w:abstractNumId w:val="3"/>
  </w:num>
  <w:num w:numId="28" w16cid:durableId="1362584610">
    <w:abstractNumId w:val="2"/>
  </w:num>
  <w:num w:numId="29" w16cid:durableId="1495027880">
    <w:abstractNumId w:val="1"/>
  </w:num>
  <w:num w:numId="30" w16cid:durableId="1793591395">
    <w:abstractNumId w:val="0"/>
  </w:num>
  <w:num w:numId="31" w16cid:durableId="397827717">
    <w:abstractNumId w:val="9"/>
  </w:num>
  <w:num w:numId="32" w16cid:durableId="301273040">
    <w:abstractNumId w:val="7"/>
  </w:num>
  <w:num w:numId="33" w16cid:durableId="1726218674">
    <w:abstractNumId w:val="6"/>
  </w:num>
  <w:num w:numId="34" w16cid:durableId="129791181">
    <w:abstractNumId w:val="5"/>
  </w:num>
  <w:num w:numId="35" w16cid:durableId="1382442453">
    <w:abstractNumId w:val="4"/>
  </w:num>
  <w:num w:numId="36" w16cid:durableId="1605922271">
    <w:abstractNumId w:val="8"/>
  </w:num>
  <w:num w:numId="37" w16cid:durableId="1559628368">
    <w:abstractNumId w:val="3"/>
  </w:num>
  <w:num w:numId="38" w16cid:durableId="1839420671">
    <w:abstractNumId w:val="2"/>
  </w:num>
  <w:num w:numId="39" w16cid:durableId="1831142025">
    <w:abstractNumId w:val="1"/>
  </w:num>
  <w:num w:numId="40" w16cid:durableId="54477856">
    <w:abstractNumId w:val="0"/>
  </w:num>
  <w:num w:numId="41" w16cid:durableId="488139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JMNU" w:val="1"/>
    <w:docVar w:name="CODEMNU" w:val=" 3"/>
    <w:docVar w:name="COM2KEY" w:val="ITRE"/>
    <w:docVar w:name="COMKEY" w:val="BUDG"/>
    <w:docVar w:name="CONTRIBUTIONMNU" w:val=" 1"/>
    <w:docVar w:name="CopyToNetwork" w:val="-1"/>
    <w:docVar w:name="DOCDT" w:val="19/03/2026"/>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4988 HideTWBExt;}{\*\cs18 \additive \v\f1\fs20\cf15 _x000d__x000a_\spriority0 \styrsid16734988 HideTWBInt;}{\s19\ql \li0\ri0\nowidctlpar\wrapdefault\aspalpha\aspnum\faauto\adjustright\rin0\lin0\itap0 \rtlch\fcs1 \af0\afs20\alang1025 \ltrch\fcs0 \b\fs24\lang2057\langfe2057\cgrid\langnp2057\langfenp2057 _x000d__x000a_\sbasedon0 \snext19 \spriority0 \styrsid16734988 NormalBold;}{\s20\ql \li0\ri0\sa120\nowidctlpar\wrapdefault\aspalpha\aspnum\faauto\adjustright\rin0\lin0\itap0 \rtlch\fcs1 \af0\afs20\alang1025 \ltrch\fcs0 _x000d__x000a_\fs24\lang2057\langfe2057\cgrid\langnp2057\langfenp2057 \sbasedon0 \snext20 \spriority0 \styrsid16734988 Normal6a;}{\s21\qc \li0\ri0\sa240\nowidctlpar\wrapdefault\aspalpha\aspnum\faauto\adjustright\rin0\lin0\itap0 \rtlch\fcs1 \af0\afs20\alang1025 _x000d__x000a_\ltrch\fcs0 \i\fs24\lang2057\langfe2057\cgrid\langnp2057\langfenp2057 \sbasedon0 \snext21 \spriority0 \styrsid1673498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734988 AmNumberTabs;}{\s23\ql \li0\ri0\sa240\nowidctlpar\wrapdefault\aspalpha\aspnum\faauto\adjustright\rin0\lin0\itap0 \rtlch\fcs1 _x000d__x000a_\af0\afs20\alang1025 \ltrch\fcs0 \i\fs24\lang2057\langfe2057\cgrid\langnp2057\langfenp2057 \sbasedon0 \snext23 \spriority0 \styrsid16734988 AmJustText;}{_x000d__x000a_\s24\qc \li0\ri0\sb240\sa240\nowidctlpar\wrapdefault\aspalpha\aspnum\faauto\adjustright\rin0\lin0\itap0 \rtlch\fcs1 \af0\afs20\alang1025 \ltrch\fcs0 \i\fs24\lang2057\langfe2057\cgrid\langnp2057\langfenp2057 _x000d__x000a_\sbasedon0 \snext24 \spriority0 \styrsid16734988 AmCrossRef;}{\s25\qc \li0\ri0\sb240\sa240\keepn\nowidctlpar\wrapdefault\aspalpha\aspnum\faauto\adjustright\rin0\lin0\itap0 \rtlch\fcs1 \af0\afs20\alang1025 \ltrch\fcs0 _x000d__x000a_\i\fs24\lang2057\langfe2057\cgrid\langnp2057\langfenp2057 \sbasedon0 \snext23 \spriority0 \styrsid16734988 AmJustTitle;}{\s26\ql \li0\ri0\sb240\nowidctlpar\wrapdefault\aspalpha\aspnum\faauto\adjustright\rin0\lin0\itap0 \rtlch\fcs1 \af0\afs20\alang1025 _x000d__x000a_\ltrch\fcs0 \b\fs24\lang2057\langfe2057\cgrid\langnp2057\langfenp2057 \sbasedon0 \snext26 \spriority0 \styrsid16734988 NormalBold12b;}}{\*\rsidtbl \rsid24658\rsid223860\rsid735077\rsid1718133\rsid2892074\rsid3565327\rsid4666813\rsid6641733\rsid7823322_x000d__x000a_\rsid8456582\rsid9636012\rsid10377208\rsid11215221\rsid11549030\rsid12154954\rsid13179141\rsid14382809\rsid14424199\rsid15204470\rsid15285974\rsid15950462\rsid16324206\rsid16662270\rsid16734988}{\mmathPr\mmathFont34\mbrkBin0\mbrkBinSub0\msmallFrac0_x000d__x000a_\mdispDef1\mlMargin0\mrMargin0\mdefJc1\mwrapIndent1440\mintLim0\mnaryLim1}{\info{\author ANDRINO TIZON Rosalina}{\operator ANDRINO TIZON Rosalina}{\creatim\yr2026\mo4\dy23\hr7\min51}{\revtim\yr2026\mo4\dy23\hr7\min51}{\version1}{\edmins0}{\nofpages1}_x000d__x000a_{\nofwords102}{\nofchars599}{\nofcharsws69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4988\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8456582 \chftnsep _x000d__x000a_\par }}{\*\ftnsepc \ltrpar \pard\plain \ltrpar\ql \li0\ri0\widctlpar\wrapdefault\aspalpha\aspnum\faauto\adjustright\rin0\lin0\itap0 \rtlch\fcs1 \af0\afs20\alang1025 \ltrch\fcs0 \fs24\lang2057\langfe2057\cgrid\langnp2057\langfenp2057 {\rtlch\fcs1 \af0 _x000d__x000a_\ltrch\fcs0 \insrsid8456582 \chftnsepc _x000d__x000a_\par }}{\*\aftnsep \ltrpar \pard\plain \ltrpar\ql \li0\ri0\widctlpar\wrapdefault\aspalpha\aspnum\faauto\adjustright\rin0\lin0\itap0 \rtlch\fcs1 \af0\afs20\alang1025 \ltrch\fcs0 \fs24\lang2057\langfe2057\cgrid\langnp2057\langfenp2057 {\rtlch\fcs1 \af0 _x000d__x000a_\ltrch\fcs0 \insrsid8456582 \chftnsep _x000d__x000a_\par }}{\*\aftnsepc \ltrpar \pard\plain \ltrpar\ql \li0\ri0\widctlpar\wrapdefault\aspalpha\aspnum\faauto\adjustright\rin0\lin0\itap0 \rtlch\fcs1 \af0\afs20\alang1025 \ltrch\fcs0 \fs24\lang2057\langfe2057\cgrid\langnp2057\langfenp2057 {\rtlch\fcs1 \af0 _x000d__x000a_\ltrch\fcs0 \insrsid8456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366698 \rtlch\fcs1 _x000d__x000a_\af0\afs20\alang1025 \ltrch\fcs0 \b\fs24\lang2057\langfe2057\cgrid\langnp2057\langfenp2057 {\rtlch\fcs1 \af0 \ltrch\fcs0 \cs17\b0\v\fs20\cf9\lang1024\langfe1024\loch\af1\hich\af1\dbch\af31501\noproof\insrsid16734988\charrsid10037553 {\*\bkmkstart restart}_x000d__x000a_\hich\af1\dbch\af31501\loch\f1 &lt;Amend&gt;}{\rtlch\fcs1 \af0 \ltrch\fcs0 \insrsid16734988\charrsid10037553 Amendment\tab \tab }{\rtlch\fcs1 \af0 \ltrch\fcs0 _x000d__x000a_\cs17\b0\v\fs20\cf9\lang1024\langfe1024\loch\af1\hich\af1\dbch\af31501\noproof\insrsid16734988\charrsid10037553 \hich\af1\dbch\af31501\loch\f1 &lt;NumAm&gt;}{\rtlch\fcs1 \af0 \ltrch\fcs0 \insrsid16734988\charrsid10037553 #}{\rtlch\fcs1 \af0 \ltrch\fcs0 _x000d__x000a_\cs18\v\f1\fs20\cf15\insrsid16734988\charrsid10037553 ENMIENDA@NRAM@}{\rtlch\fcs1 \af0 \ltrch\fcs0 \insrsid16734988\charrsid10037553 #}{\rtlch\fcs1 \af0 \ltrch\fcs0 _x000d__x000a_\cs17\b0\v\fs20\cf9\lang1024\langfe1024\loch\af1\hich\af1\dbch\af31501\noproof\insrsid16734988\charrsid10037553 \hich\af1\dbch\af31501\loch\f1 &lt;/NumAm&gt;}{\rtlch\fcs1 \af0 \ltrch\fcs0 \insrsid16734988\charrsid10037553 _x000d__x000a_\par }\pard\plain \ltrpar\s26\ql \li0\ri0\sb240\keepn\nowidctlpar\wrapdefault\aspalpha\aspnum\faauto\adjustright\rin0\lin0\itap0\pararsid7366698 \rtlch\fcs1 \af0\afs20\alang1025 \ltrch\fcs0 \b\fs24\lang2057\langfe2057\cgrid\langnp2057\langfenp2057 {_x000d__x000a_\rtlch\fcs1 \af0 \ltrch\fcs0 \cs17\b0\v\fs20\cf9\lang1024\langfe1024\loch\af1\hich\af1\dbch\af31501\noproof\insrsid16734988\charrsid10037553 \hich\af1\dbch\af31501\loch\f1 &lt;DocAmend&gt;}{\rtlch\fcs1 \af0 \ltrch\fcs0 \insrsid16734988\charrsid10037553 #}{_x000d__x000a_\rtlch\fcs1 \af0 \ltrch\fcs0 \cs18\v\f1\fs20\cf15\insrsid16734988\charrsid10037553 MNU[PROPCOM][PROPCOUNC]@CHOICE@TITLEMNU}{\rtlch\fcs1 \af0 \ltrch\fcs0 \insrsid16734988\charrsid10037553 ##}{\rtlch\fcs1 \af0 \ltrch\fcs0 _x000d__x000a_\cs18\v\f1\fs20\cf15\insrsid16734988\charrsid10037553 MNU[AMACTYES][NOTAPP]@CHOICE@AMACTMNU}{\rtlch\fcs1 \af0 \ltrch\fcs0 \insrsid16734988\charrsid10037553 #}{\rtlch\fcs1 \af0 \ltrch\fcs0 _x000d__x000a_\cs17\b0\v\fs20\cf9\lang1024\langfe1024\loch\af1\hich\af1\dbch\af31501\noproof\insrsid16734988\charrsid10037553 \hich\af1\dbch\af31501\loch\f1 &lt;/DocAmend&gt;}{\rtlch\fcs1 \af0 \ltrch\fcs0 \insrsid16734988\charrsid10037553 _x000d__x000a_\par }\pard\plain \ltrpar\s19\ql \li0\ri0\nowidctlpar\wrapdefault\aspalpha\aspnum\faauto\adjustright\rin0\lin0\itap0\pararsid7366698 \rtlch\fcs1 \af0\afs20\alang1025 \ltrch\fcs0 \b\fs24\lang2057\langfe2057\cgrid\langnp2057\langfenp2057 {\rtlch\fcs1 \af0 _x000d__x000a_\ltrch\fcs0 \cs17\b0\v\fs20\cf9\lang1024\langfe1024\loch\af1\hich\af1\dbch\af31501\noproof\insrsid16734988\charrsid10037553 \hich\af1\dbch\af31501\loch\f1 &lt;Article&gt;}{\rtlch\fcs1 \af0 \ltrch\fcs0 \insrsid16734988\charrsid10037553 #}{\rtlch\fcs1 \af0 _x000d__x000a_\ltrch\fcs0 \cs18\v\f1\fs20\cf15\insrsid16734988\charrsid10037553 MNU[AMACTPARTYES][AMACTPARTNO]@CHOICE@AMACTMNU}{\rtlch\fcs1 \af0 \ltrch\fcs0 \insrsid16734988\charrsid10037553 #}{\rtlch\fcs1 \af0 \ltrch\fcs0 _x000d__x000a_\cs17\b0\v\fs20\cf9\lang1024\langfe1024\loch\af1\hich\af1\dbch\af31501\noproof\insrsid16734988\charrsid10037553 \hich\af1\dbch\af31501\loch\f1 &lt;/Article&gt;}{\rtlch\fcs1 \af0 \ltrch\fcs0 \insrsid16734988\charrsid10037553 _x000d__x000a_\par }\pard\plain \ltrpar\ql \li0\ri0\keepn\widctlpar\wrapdefault\aspalpha\aspnum\faauto\adjustright\rin0\lin0\itap0\pararsid7366698 \rtlch\fcs1 \af0\afs20\alang1025 \ltrch\fcs0 \fs24\lang2057\langfe2057\cgrid\langnp2057\langfenp2057 {\rtlch\fcs1 \af0 _x000d__x000a_\ltrch\fcs0 \cs17\v\fs20\cf9\lang1024\langfe1024\loch\af1\hich\af1\dbch\af31501\noproof\insrsid16734988\charrsid10037553 \hich\af1\dbch\af31501\loch\f1 &lt;DocAmend2&gt;&lt;OptDel&gt;}{\rtlch\fcs1 \af0 \ltrch\fcs0 \insrsid16734988\charrsid10037553 #}{\rtlch\fcs1 _x000d__x000a_\af0 \ltrch\fcs0 \cs18\v\f1\fs20\cf15\insrsid16734988\charrsid10037553 MNU[OPTNRACTYES][NOTAPP]@CHOICE@AMACTMNU}{\rtlch\fcs1 \af0 \ltrch\fcs0 \insrsid16734988\charrsid10037553 #}{\rtlch\fcs1 \af0 \ltrch\fcs0 _x000d__x000a_\cs17\v\fs20\cf9\lang1024\langfe1024\loch\af1\hich\af1\dbch\af31501\noproof\insrsid16734988\charrsid10037553 \hich\af1\dbch\af31501\loch\f1 &lt;/OptDel&gt;&lt;/DocAmend2&gt;}{\rtlch\fcs1 \af0 \ltrch\fcs0 \insrsid16734988\charrsid10037553 _x000d__x000a_\par }\pard \ltrpar\ql \li0\ri0\widctlpar\wrapdefault\aspalpha\aspnum\faauto\adjustright\rin0\lin0\itap0\pararsid7366698 {\rtlch\fcs1 \af0 \ltrch\fcs0 \cs17\v\fs20\cf9\lang1024\langfe1024\loch\af1\hich\af1\dbch\af31501\noproof\insrsid16734988\charrsid10037553 _x000d__x000a_\hich\af1\dbch\af31501\loch\f1 &lt;Article2&gt;&lt;OptDel&gt;}{\rtlch\fcs1 \af0 \ltrch\fcs0 \insrsid16734988\charrsid10037553 #}{\rtlch\fcs1 \af0 \ltrch\fcs0 \cs18\v\f1\fs20\cf15\insrsid16734988\charrsid10037553 MNU[OPTACTPARTYES][NOTAPP]@CHOICE@AMACTMNU}{_x000d__x000a_\rtlch\fcs1 \af0 \ltrch\fcs0 \insrsid16734988\charrsid10037553 #}{\rtlch\fcs1 \af0 \ltrch\fcs0 \cs17\v\fs20\cf9\lang1024\langfe1024\loch\af1\hich\af1\dbch\af31501\noproof\insrsid16734988\charrsid10037553 \hich\af1\dbch\af31501\loch\f1 &lt;/OptDel&gt;&lt;/Article2&gt;_x000d__x000a_}{\rtlch\fcs1 \af0 \ltrch\fcs0 \insrsid16734988\charrsid10037553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6734988\charrsid10037553 \cell }\pard \ltrpar\ql \li0\ri0\widctlpar\intbl\wrapdefault\aspalpha\aspnum\faauto\adjustright\rin0\lin0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6734988\charrsid10037553 #}{\rtlch\fcs1 \af0 \ltrch\fcs0 \cs18\v\f1\fs20\cf15\insrsid16734988\charrsid10037553 MNU[OPTLEFTAMACT][LEFTPROP]@CHOICE@AMACTMNU}{\rtlch\fcs1 \af0 \ltrch\fcs0 _x000d__x000a_\insrsid16734988\charrsid10037553 #\cell Amendment\cell }\pard\plain \ltrpar\ql \li0\ri0\widctlpar\intbl\wrapdefault\aspalpha\aspnum\faauto\adjustright\rin0\lin0 \rtlch\fcs1 \af0\afs20\alang1025 \ltrch\fcs0 _x000d__x000a_\fs24\lang2057\langfe2057\cgrid\langnp2057\langfenp2057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6734988\charrsid10037553 #}{\rtlch\fcs1 \af0 \ltrch\fcs0 \cs18\v\f1\fs20\cf15\insrsid16734988\charrsid10037553 MNU[TEXTLEVA][TEXTLOTHER]@CHOICE@TEXTRMNU}{\rtlch\fcs1 \af0 \ltrch\fcs0 \insrsid16734988\charrsid10037553 #\cell #}{_x000d__x000a_\rtlch\fcs1 \af0 \ltrch\fcs0 \cs18\v\f1\fs20\cf15\insrsid16734988\charrsid10037553 MNU[TEXTREVA][TEXTROTHER]@CHOICE@TEXTRMNU}{\rtlch\fcs1 \af0 \ltrch\fcs0 \insrsid16734988\charrsid10037553 #\cell }\pard\plain \ltrpar_x000d__x000a_\ql \li0\ri0\widctlpar\intbl\wrapdefault\aspalpha\aspnum\faauto\adjustright\rin0\lin0 \rtlch\fcs1 \af0\afs20\alang1025 \ltrch\fcs0 \fs24\lang2057\langfe2057\cgrid\langnp2057\langfenp2057 {\rtlch\fcs1 \af0 \ltrch\fcs0 \insrsid16734988\charrsid10037553 _x000d__x000a_\trowd \lastrow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4876\clshdrawnil\clhidemark \cellx4536\clvertalt\clbrdrt\brdrtbl \clbrdrl\brdrtbl \clbrdrb\brdrtbl \clbrdrr\brdrtbl \cltxlrtb\clftsWidth3\clwWidth4876\clshdrawnil\clhidemark _x000d__x000a_\cellx9412\row }\pard\plain \ltrpar\s24\qc \li0\ri0\sb240\sa240\nowidctlpar\wrapdefault\aspalpha\aspnum\faauto\adjustright\rin0\lin0\itap0\pararsid7366698 \rtlch\fcs1 \af0\afs20\alang1025 \ltrch\fcs0 _x000d__x000a_\i\fs24\lang2057\langfe2057\cgrid\langnp2057\langfenp2057 {\rtlch\fcs1 \af0 \ltrch\fcs0 \cs17\i0\v\fs20\cf9\lang1024\langfe1024\loch\af1\hich\af1\dbch\af31501\noproof\insrsid16734988\charrsid10037553 \hich\af1\dbch\af31501\loch\f1 &lt;OptDel&gt;}{\rtlch\fcs1 _x000d__x000a_\af0 \ltrch\fcs0 \insrsid16734988\charrsid10037553 #}{\rtlch\fcs1 \af0 \ltrch\fcs0 \cs18\v\f1\fs20\cf15\insrsid16734988\charrsid10037553 MNU[CROSSREFNO][CROSSREFYES]@CHOICE@}{\rtlch\fcs1 \af0 \ltrch\fcs0 \insrsid16734988\charrsid10037553 #}{\rtlch\fcs1 _x000d__x000a_\af0 \ltrch\fcs0 \cs17\i0\v\fs20\cf9\lang1024\langfe1024\loch\af1\hich\af1\dbch\af31501\noproof\insrsid16734988\charrsid10037553 \hich\af1\dbch\af31501\loch\f1 &lt;/OptDel&gt;}{\rtlch\fcs1 \af0 \ltrch\fcs0 \insrsid16734988\charrsid10037553 _x000d__x000a_\par }\pard\plain \ltrpar\s25\qc \li0\ri0\sb240\sa240\keepn\nowidctlpar\wrapdefault\aspalpha\aspnum\faauto\adjustright\rin0\lin0\itap0\pararsid7366698 \rtlch\fcs1 \af0\afs20\alang1025 \ltrch\fcs0 \i\fs24\lang2057\langfe2057\cgrid\langnp2057\langfenp2057 {_x000d__x000a_\rtlch\fcs1 \af0 \ltrch\fcs0 \cs17\i0\v\fs20\cf9\lang1024\langfe1024\loch\af1\hich\af1\dbch\af31501\noproof\insrsid16734988\charrsid10037553 \hich\af1\dbch\af31501\loch\f1 &lt;TitreJust&gt;}{\rtlch\fcs1 \af0 \ltrch\fcs0 \insrsid16734988\charrsid10037553 _x000d__x000a_Justification}{\rtlch\fcs1 \af0 \ltrch\fcs0 \cs17\i0\v\fs20\cf9\lang1024\langfe1024\loch\af1\hich\af1\dbch\af31501\noproof\insrsid16734988\charrsid10037553 \hich\af1\dbch\af31501\loch\f1 &lt;/TitreJust&gt;}{\rtlch\fcs1 \af0 \ltrch\fcs0 _x000d__x000a_\insrsid16734988\charrsid10037553 _x000d__x000a_\par }\pard\plain \ltrpar\s23\ql \li0\ri0\sa240\nowidctlpar\wrapdefault\aspalpha\aspnum\faauto\adjustright\rin0\lin0\itap0\pararsid7366698 \rtlch\fcs1 \af0\afs20\alang1025 \ltrch\fcs0 \i\fs24\lang2057\langfe2057\cgrid\langnp2057\langfenp2057 {\rtlch\fcs1 \af0 _x000d__x000a_\ltrch\fcs0 \cs17\i0\v\fs20\cf9\lang1024\langfe1024\loch\af1\hich\af1\dbch\af31501\noproof\insrsid16734988\charrsid10037553 \hich\af1\dbch\af31501\loch\f1 &lt;OptDelPrev&gt;}{\rtlch\fcs1 \af0 \ltrch\fcs0 \insrsid16734988\charrsid10037553 #}{\rtlch\fcs1 \af0 _x000d__x000a_\ltrch\fcs0 \cs18\v\f1\fs20\cf15\insrsid16734988\charrsid10037553 MNU[TEXTJUSTYES][TEXTJUSTNO]@CHOICE@}{\rtlch\fcs1 \af0 \ltrch\fcs0 \insrsid16734988\charrsid10037553 #}{\rtlch\fcs1 \af0 \ltrch\fcs0 _x000d__x000a_\cs17\i0\v\fs20\cf9\lang1024\langfe1024\loch\af1\hich\af1\dbch\af31501\noproof\insrsid16734988\charrsid10037553 \hich\af1\dbch\af31501\loch\f1 &lt;/OptDelPrev&gt;}{\rtlch\fcs1 \af0 \ltrch\fcs0 \insrsid16734988\charrsid10037553 _x000d__x000a_\par }\pard\plain \ltrpar\ql \li0\ri0\widctlpar\wrapdefault\aspalpha\aspnum\faauto\adjustright\rin0\lin0\itap0\pararsid7366698 \rtlch\fcs1 \af0\afs20\alang1025 \ltrch\fcs0 \fs24\lang2057\langfe2057\cgrid\langnp2057\langfenp2057 {\rtlch\fcs1 \af0 \ltrch\fcs0 _x000d__x000a_\cs17\v\fs20\cf9\lang1024\langfe1024\loch\af1\hich\af1\dbch\af31501\noproof\insrsid16734988\charrsid10037553 \hich\af1\dbch\af31501\loch\f1 &lt;/Amend&gt;}{\rtlch\fcs1 \af0 \ltrch\fcs0 \insrsid167349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74410 HideTWBExt;}{_x000d__x000a_\s18\ql \li0\ri0\nowidctlpar\wrapdefault\aspalpha\aspnum\faauto\adjustright\rin0\lin0\itap0 \rtlch\fcs1 \af0\afs20\alang1025 \ltrch\fcs0 \b\fs24\lang2057\langfe2057\cgrid\langnp2057\langfenp2057 \sbasedon0 \snext18 \spriority0 \styrsid4074410 NormalBold;}_x000d__x000a_{\s19\ql \li0\ri0\sa120\nowidctlpar\wrapdefault\aspalpha\aspnum\faauto\adjustright\rin0\lin0\itap0 \rtlch\fcs1 \af0\afs20\alang1025 \ltrch\fcs0 \fs24\lang2057\langfe2057\cgrid\langnp2057\langfenp2057 \sbasedon0 \snext19 \spriority0 \styrsid4074410 _x000d__x000a_Normal6a;}{\s20\qc \li0\ri0\sa240\nowidctlpar\wrapdefault\aspalpha\aspnum\faauto\adjustright\rin0\lin0\itap0 \rtlch\fcs1 \af0\afs20\alang1025 \ltrch\fcs0 \i\fs24\lang2057\langfe2057\cgrid\langnp2057\langfenp2057 _x000d__x000a_\sbasedon0 \snext20 \spriority0 \styrsid407441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074410 AmNumberTabs;}{\s22\ql \li0\ri0\sa240\nowidctlpar\wrapdefault\aspalpha\aspnum\faauto\adjustright\rin0\lin0\itap0 \rtlch\fcs1 _x000d__x000a_\af0\afs20\alang1025 \ltrch\fcs0 \i\fs24\lang2057\langfe2057\cgrid\langnp2057\langfenp2057 \sbasedon0 \snext22 \spriority0 \styrsid4074410 AmJustText;}{_x000d__x000a_\s23\qc \li0\ri0\sb240\sa240\nowidctlpar\wrapdefault\aspalpha\aspnum\faauto\adjustright\rin0\lin0\itap0 \rtlch\fcs1 \af0\afs20\alang1025 \ltrch\fcs0 \i\fs24\lang2057\langfe2057\cgrid\langnp2057\langfenp2057 \sbasedon0 \snext23 \spriority0 \styrsid4074410 _x000d__x000a_AmCrossRef;}{\s24\qc \li0\ri0\sb240\sa240\keepn\nowidctlpar\wrapdefault\aspalpha\aspnum\faauto\adjustright\rin0\lin0\itap0 \rtlch\fcs1 \af0\afs20\alang1025 \ltrch\fcs0 \i\fs24\lang2057\langfe2057\cgrid\langnp2057\langfenp2057 _x000d__x000a_\sbasedon0 \snext22 \spriority0 \styrsid4074410 AmJustTitle;}{\s25\ql \li0\ri0\sb240\nowidctlpar\wrapdefault\aspalpha\aspnum\faauto\adjustright\rin0\lin0\itap0 \rtlch\fcs1 \af0\afs20\alang1025 \ltrch\fcs0 _x000d__x000a_\b\fs24\lang2057\langfe2057\cgrid\langnp2057\langfenp2057 \sbasedon0 \snext25 \spriority0 \styrsid4074410 NormalBold12b;}}{\*\rsidtbl \rsid24658\rsid223860\rsid735077\rsid1718133\rsid2892074\rsid3565327\rsid4074410\rsid4666813\rsid6641733\rsid7823322_x000d__x000a_\rsid9636012\rsid10377208\rsid10767733\rsid11215221\rsid11549030\rsid12154954\rsid13179141\rsid14382809\rsid14424199\rsid15204470\rsid15285974\rsid15950462\rsid16324206\rsid16662270}{\mmathPr\mmathFont34\mbrkBin0\mbrkBinSub0\msmallFrac0\mdispDef1_x000d__x000a_\mlMargin0\mrMargin0\mdefJc1\mwrapIndent1440\mintLim0\mnaryLim1}{\info{\author ANDRINO TIZON Rosalina}{\operator ANDRINO TIZON Rosalina}{\creatim\yr2026\mo4\dy23\hr7\min51}{\revtim\yr2026\mo4\dy23\hr7\min51}{\version1}{\edmins0}{\nofpages1}{\nofwords53}_x000d__x000a_{\nofchars314}{\nofcharsws36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74410\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10767733 \chftnsep _x000d__x000a_\par }}{\*\ftnsepc \ltrpar \pard\plain \ltrpar\ql \li0\ri0\widctlpar\wrapdefault\aspalpha\aspnum\faauto\adjustright\rin0\lin0\itap0 \rtlch\fcs1 \af0\afs20\alang1025 \ltrch\fcs0 \fs24\lang2057\langfe2057\cgrid\langnp2057\langfenp2057 {\rtlch\fcs1 \af0 _x000d__x000a_\ltrch\fcs0 \insrsid10767733 \chftnsepc _x000d__x000a_\par }}{\*\aftnsep \ltrpar \pard\plain \ltrpar\ql \li0\ri0\widctlpar\wrapdefault\aspalpha\aspnum\faauto\adjustright\rin0\lin0\itap0 \rtlch\fcs1 \af0\afs20\alang1025 \ltrch\fcs0 \fs24\lang2057\langfe2057\cgrid\langnp2057\langfenp2057 {\rtlch\fcs1 \af0 _x000d__x000a_\ltrch\fcs0 \insrsid10767733 \chftnsep _x000d__x000a_\par }}{\*\aftnsepc \ltrpar \pard\plain \ltrpar\ql \li0\ri0\widctlpar\wrapdefault\aspalpha\aspnum\faauto\adjustright\rin0\lin0\itap0 \rtlch\fcs1 \af0\afs20\alang1025 \ltrch\fcs0 \fs24\lang2057\langfe2057\cgrid\langnp2057\langfenp2057 {\rtlch\fcs1 \af0 _x000d__x000a_\ltrch\fcs0 \insrsid107677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4074410 {\*\bkmkstart restart}_x000d__x000a_\hich\af1\dbch\af31501\loch\f1 &lt;Amend&gt;}{\rtlch\fcs1 \af0 \ltrch\fcs0 \lang1030\langfe2057\langnp1030\insrsid4074410 [ZAMENDMENT]\tab \tab }{\rtlch\fcs1 \af0 \ltrch\fcs0 _x000d__x000a_\cs17\b0\v\fs20\cf9\lang1024\langfe1024\loch\af1\hich\af1\dbch\af31501\noproof\langnp1030\insrsid4074410 \hich\af1\dbch\af31501\loch\f1 &lt;NumAm&gt;}{\rtlch\fcs1 \af0 \ltrch\fcs0 \lang1030\langfe2057\langnp1030\insrsid4074410 [ZNRAM]}{\rtlch\fcs1 \af0 _x000d__x000a_\ltrch\fcs0 \cs17\b0\v\fs20\cf9\lang1024\langfe1024\loch\af1\hich\af1\dbch\af31501\noproof\langnp1030\insrsid4074410 \hich\af1\dbch\af31501\loch\f1 &lt;/NumAm&gt;}{\rtlch\fcs1 \af0 \ltrch\fcs0 \lang1030\langfe2057\langnp1030\insrsid4074410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4074410 \hich\af1\dbch\af31501\loch\f1 &lt;DocAmend&gt;}{\rtlch\fcs1 \af0 \ltrch\fcs0 \lang1030\langfe2057\langnp1030\insrsid4074410 _x000d__x000a_[ZPROPOSAL][ZAMACT]}{\rtlch\fcs1 \af0 \ltrch\fcs0 \cs17\b0\v\fs20\cf9\lang1024\langfe1024\loch\af1\hich\af1\dbch\af31501\noproof\langnp1030\insrsid4074410 \hich\af1\dbch\af31501\loch\f1 &lt;/DocAmend&gt;}{\rtlch\fcs1 \af0 \ltrch\fcs0 _x000d__x000a_\lang1030\langfe2057\langnp1030\insrsid4074410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4074410 \hich\af1\dbch\af31501\loch\f1 &lt;Article&gt;}{\rtlch\fcs1 \af0 \ltrch\fcs0 \lang1030\langfe2057\langnp1030\insrsid4074410 [ZAMPART]}{_x000d__x000a_\rtlch\fcs1 \af0 \ltrch\fcs0 \cs17\b0\v\fs20\cf9\lang1024\langfe1024\loch\af1\hich\af1\dbch\af31501\noproof\langnp1030\insrsid4074410 \hich\af1\dbch\af31501\loch\f1 &lt;/Article&gt;}{\rtlch\fcs1 \af0 \ltrch\fcs0 \lang1030\langfe2057\langnp1030\insrsid4074410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4074410 \hich\af1\dbch\af31501\loch\f1 &lt;DocAmend2&gt;&lt;OptDel&gt;}{\rtlch\fcs1 \af0 \ltrch\fcs0 \lang1030\langfe2057\langnp1030\insrsid4074410 [ZNRACT]}{_x000d__x000a_\rtlch\fcs1 \af0 \ltrch\fcs0 \cs17\v\fs20\cf9\lang1024\langfe1024\loch\af1\hich\af1\dbch\af31501\noproof\langnp1030\insrsid4074410 \hich\af1\dbch\af31501\loch\f1 &lt;/OptDel&gt;&lt;/DocAmend2&gt;}{\rtlch\fcs1 \af0 \ltrch\fcs0 _x000d__x000a_\lang1030\langfe2057\langnp1030\insrsid4074410 _x000d__x000a_\par }\pard \ltrpar\ql \li0\ri0\widctlpar\wrapdefault\aspalpha\aspnum\faauto\adjustright\rin0\lin0\itap0\pararsid6293919 {\rtlch\fcs1 \af0 \ltrch\fcs0 \cs17\v\fs20\cf9\lang1024\langfe1024\loch\af1\hich\af1\dbch\af31501\noproof\langnp1036\insrsid4074410 _x000d__x000a_\hich\af1\dbch\af31501\loch\f1 &lt;Article2&gt;&lt;OptDel&gt;}{\rtlch\fcs1 \af0 \ltrch\fcs0 \lang1036\langfe2057\langnp1036\insrsid4074410 [ZACTPART]}{\rtlch\fcs1 \af0 \ltrch\fcs0 _x000d__x000a_\cs17\v\fs20\cf9\lang1024\langfe1024\loch\af1\hich\af1\dbch\af31501\noproof\langnp1036\insrsid4074410 \hich\af1\dbch\af31501\loch\f1 &lt;/OptDel&gt;&lt;/Article2&gt;}{\rtlch\fcs1 \af0 \ltrch\fcs0 \lang1036\langfe2057\langnp1036\insrsid4074410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4074410 \cell }\pard \ltrpar\ql \li0\ri0\widctlpar\intbl\wrapdefault\aspalpha\aspnum\faauto\adjustright\rin0\lin0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4074410 [ZLEFT]\cell [ZRIGHT]\cell }\pard\plain \ltrpar\ql \li0\ri0\widctlpar\intbl\wrapdefault\aspalpha\aspnum\faauto\adjustright\rin0\lin0 \rtlch\fcs1 \af0\afs20\alang1025 \ltrch\fcs0 _x000d__x000a_\fs24\lang2057\langfe2057\cgrid\langnp2057\langfenp2057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4074410 [ZTEXTL]\cell [ZTEXTR]\cell }\pard\plain \ltrpar\ql \li0\ri0\widctlpar\intbl\wrapdefault\aspalpha\aspnum\faauto\adjustright\rin0\lin0 \rtlch\fcs1 \af0\afs20\alang1025 \ltrch\fcs0 _x000d__x000a_\fs24\lang2057\langfe2057\cgrid\langnp2057\langfenp2057 {\rtlch\fcs1 \af0 \ltrch\fcs0 \insrsid4074410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OptDel&gt;}{\rtlch\fcs1 \af0 \ltrch\fcs0 \insrsid4074410 [ZCROSSREF]}{\rtlch\fcs1 \af0 \ltrch\fcs0 _x000d__x000a_\cs17\i0\v\fs20\cf9\lang1024\langfe1024\loch\af1\hich\af1\dbch\af31501\noproof\insrsid4074410 \hich\af1\dbch\af31501\loch\f1 &lt;/OptDel&gt;}{\rtlch\fcs1 \af0 \ltrch\fcs0 \insrsid4074410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TitreJust&gt;}{\rtlch\fcs1 \af0 \ltrch\fcs0 \insrsid4074410 [ZJUSTIFICATION]}{\rtlch\fcs1 \af0 _x000d__x000a_\ltrch\fcs0 \cs17\i0\v\fs20\cf9\lang1024\langfe1024\loch\af1\hich\af1\dbch\af31501\noproof\insrsid4074410 \hich\af1\dbch\af31501\loch\f1 &lt;/TitreJust&gt;}{\rtlch\fcs1 \af0 \ltrch\fcs0 \insrsid4074410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4074410 \hich\af1\dbch\af31501\loch\f1 &lt;OptDelPrev&gt;}{\rtlch\fcs1 \af0 \ltrch\fcs0 \insrsid4074410 [ZTEXTJUST]}{\rtlch\fcs1 \af0 \ltrch\fcs0 _x000d__x000a_\cs17\i0\v\fs20\cf9\lang1024\langfe1024\loch\af1\hich\af1\dbch\af31501\noproof\insrsid4074410 \hich\af1\dbch\af31501\loch\f1 &lt;/OptDelPrev&gt;}{\rtlch\fcs1 \af0 \ltrch\fcs0 \insrsid4074410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4074410 \hich\af1\dbch\af31501\loch\f1 &lt;/Amend&gt;}{\rtlch\fcs1 \af0 \ltrch\fcs0 \insrsid407441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2"/>
    <w:docVar w:name="TITLECODMNU" w:val=" 1"/>
    <w:docVar w:name="TITLEMNU" w:val=" 1"/>
    <w:docVar w:name="TXTAUTHOR" w:val="Hélder Sousa Silva"/>
    <w:docVar w:name="TXTLANGUE" w:val="EN"/>
    <w:docVar w:name="TXTLANGUEMIN" w:val="en"/>
    <w:docVar w:name="TXTNRC" w:val="XX"/>
    <w:docVar w:name="TXTNRCOM" w:val="XX"/>
    <w:docVar w:name="TXTNRPE" w:val="782.453"/>
    <w:docVar w:name="TXTNRPROC" w:val="2025/0543"/>
    <w:docVar w:name="TXTPEorAP" w:val="PE"/>
    <w:docVar w:name="TXTROUTE" w:val="AD\1342281EN.docx"/>
    <w:docVar w:name="TXTTITLE" w:val="XX"/>
    <w:docVar w:name="TXTVERSION" w:val="03-00"/>
  </w:docVars>
  <w:rsids>
    <w:rsidRoot w:val="002F1CDB"/>
    <w:rsid w:val="00002AF5"/>
    <w:rsid w:val="00006F54"/>
    <w:rsid w:val="00007C5D"/>
    <w:rsid w:val="00012B42"/>
    <w:rsid w:val="00017014"/>
    <w:rsid w:val="0001754B"/>
    <w:rsid w:val="00030B88"/>
    <w:rsid w:val="0003367A"/>
    <w:rsid w:val="00041599"/>
    <w:rsid w:val="00052101"/>
    <w:rsid w:val="00055C82"/>
    <w:rsid w:val="00066D73"/>
    <w:rsid w:val="00086729"/>
    <w:rsid w:val="000976C1"/>
    <w:rsid w:val="000A354D"/>
    <w:rsid w:val="000A4299"/>
    <w:rsid w:val="000B0E62"/>
    <w:rsid w:val="000B3516"/>
    <w:rsid w:val="000D1033"/>
    <w:rsid w:val="000E7EBF"/>
    <w:rsid w:val="000F2D1C"/>
    <w:rsid w:val="000F307C"/>
    <w:rsid w:val="00100083"/>
    <w:rsid w:val="00102D30"/>
    <w:rsid w:val="00113B68"/>
    <w:rsid w:val="00124F60"/>
    <w:rsid w:val="00134532"/>
    <w:rsid w:val="00135121"/>
    <w:rsid w:val="00140BE6"/>
    <w:rsid w:val="001449F5"/>
    <w:rsid w:val="00147F4E"/>
    <w:rsid w:val="00147FBF"/>
    <w:rsid w:val="00162767"/>
    <w:rsid w:val="0016635E"/>
    <w:rsid w:val="0016705E"/>
    <w:rsid w:val="0017131D"/>
    <w:rsid w:val="0017277D"/>
    <w:rsid w:val="00173215"/>
    <w:rsid w:val="001746D0"/>
    <w:rsid w:val="00195E4A"/>
    <w:rsid w:val="001A2259"/>
    <w:rsid w:val="001B7393"/>
    <w:rsid w:val="001D2ED9"/>
    <w:rsid w:val="001E42AF"/>
    <w:rsid w:val="001F21C1"/>
    <w:rsid w:val="001F2C77"/>
    <w:rsid w:val="00200007"/>
    <w:rsid w:val="00205307"/>
    <w:rsid w:val="00214B82"/>
    <w:rsid w:val="00217B7E"/>
    <w:rsid w:val="00225FA0"/>
    <w:rsid w:val="002365D3"/>
    <w:rsid w:val="0024480A"/>
    <w:rsid w:val="00246EC9"/>
    <w:rsid w:val="002668E6"/>
    <w:rsid w:val="00270617"/>
    <w:rsid w:val="00281C9F"/>
    <w:rsid w:val="00283121"/>
    <w:rsid w:val="0028399F"/>
    <w:rsid w:val="002920E2"/>
    <w:rsid w:val="002A7567"/>
    <w:rsid w:val="002B5650"/>
    <w:rsid w:val="002C2C3F"/>
    <w:rsid w:val="002D28A7"/>
    <w:rsid w:val="002D3164"/>
    <w:rsid w:val="002D7635"/>
    <w:rsid w:val="002E1718"/>
    <w:rsid w:val="002E2F2E"/>
    <w:rsid w:val="002E3A29"/>
    <w:rsid w:val="002E4AA3"/>
    <w:rsid w:val="002E5DE4"/>
    <w:rsid w:val="002E6F98"/>
    <w:rsid w:val="002F1CDB"/>
    <w:rsid w:val="002F24FD"/>
    <w:rsid w:val="002F4CC3"/>
    <w:rsid w:val="00306B00"/>
    <w:rsid w:val="003230B1"/>
    <w:rsid w:val="00325BCB"/>
    <w:rsid w:val="00325D7F"/>
    <w:rsid w:val="00325EDE"/>
    <w:rsid w:val="00331944"/>
    <w:rsid w:val="00332AD9"/>
    <w:rsid w:val="003402B9"/>
    <w:rsid w:val="00345CBF"/>
    <w:rsid w:val="00347D2C"/>
    <w:rsid w:val="003508DA"/>
    <w:rsid w:val="003575E8"/>
    <w:rsid w:val="00357761"/>
    <w:rsid w:val="00362463"/>
    <w:rsid w:val="00367A50"/>
    <w:rsid w:val="0037356F"/>
    <w:rsid w:val="003767EF"/>
    <w:rsid w:val="003858C5"/>
    <w:rsid w:val="00390EB2"/>
    <w:rsid w:val="00391AC1"/>
    <w:rsid w:val="00396A0E"/>
    <w:rsid w:val="003A5DEB"/>
    <w:rsid w:val="003B229E"/>
    <w:rsid w:val="003B2862"/>
    <w:rsid w:val="003B4426"/>
    <w:rsid w:val="003B507D"/>
    <w:rsid w:val="003C3A38"/>
    <w:rsid w:val="003D43B7"/>
    <w:rsid w:val="003D5C9C"/>
    <w:rsid w:val="003E2402"/>
    <w:rsid w:val="003E5A8F"/>
    <w:rsid w:val="003E6B61"/>
    <w:rsid w:val="003F2D3B"/>
    <w:rsid w:val="00401780"/>
    <w:rsid w:val="00402E8B"/>
    <w:rsid w:val="004272F5"/>
    <w:rsid w:val="0043045C"/>
    <w:rsid w:val="004456FB"/>
    <w:rsid w:val="00446D42"/>
    <w:rsid w:val="00450A7E"/>
    <w:rsid w:val="0046245A"/>
    <w:rsid w:val="004667D1"/>
    <w:rsid w:val="00466D44"/>
    <w:rsid w:val="0047642E"/>
    <w:rsid w:val="00477552"/>
    <w:rsid w:val="00481B23"/>
    <w:rsid w:val="00483F34"/>
    <w:rsid w:val="00485C5C"/>
    <w:rsid w:val="004A1C45"/>
    <w:rsid w:val="004A609B"/>
    <w:rsid w:val="004A7D39"/>
    <w:rsid w:val="004C28FB"/>
    <w:rsid w:val="004C3B63"/>
    <w:rsid w:val="004C44C0"/>
    <w:rsid w:val="004D0E3B"/>
    <w:rsid w:val="004D18F2"/>
    <w:rsid w:val="004D4FA4"/>
    <w:rsid w:val="004E2AB4"/>
    <w:rsid w:val="004F093C"/>
    <w:rsid w:val="00514274"/>
    <w:rsid w:val="00517318"/>
    <w:rsid w:val="0052544E"/>
    <w:rsid w:val="00526F89"/>
    <w:rsid w:val="005365D3"/>
    <w:rsid w:val="00546BD2"/>
    <w:rsid w:val="00556CD6"/>
    <w:rsid w:val="00566D37"/>
    <w:rsid w:val="0056775B"/>
    <w:rsid w:val="0057732D"/>
    <w:rsid w:val="0058215E"/>
    <w:rsid w:val="00582163"/>
    <w:rsid w:val="00593458"/>
    <w:rsid w:val="005940C3"/>
    <w:rsid w:val="00594C48"/>
    <w:rsid w:val="005A2392"/>
    <w:rsid w:val="005B2376"/>
    <w:rsid w:val="005B2F11"/>
    <w:rsid w:val="005B62FD"/>
    <w:rsid w:val="005C0BDF"/>
    <w:rsid w:val="005D024F"/>
    <w:rsid w:val="005D60C6"/>
    <w:rsid w:val="005D6788"/>
    <w:rsid w:val="005E2EB2"/>
    <w:rsid w:val="005F2C93"/>
    <w:rsid w:val="005F64C9"/>
    <w:rsid w:val="00600957"/>
    <w:rsid w:val="00601537"/>
    <w:rsid w:val="006017DD"/>
    <w:rsid w:val="006102E7"/>
    <w:rsid w:val="00610FA5"/>
    <w:rsid w:val="006217F2"/>
    <w:rsid w:val="00621F8F"/>
    <w:rsid w:val="00630767"/>
    <w:rsid w:val="00630B5E"/>
    <w:rsid w:val="00631ECA"/>
    <w:rsid w:val="00640C1B"/>
    <w:rsid w:val="00646D7F"/>
    <w:rsid w:val="00657AFB"/>
    <w:rsid w:val="006770A2"/>
    <w:rsid w:val="00685EBC"/>
    <w:rsid w:val="00686DF1"/>
    <w:rsid w:val="00693DC6"/>
    <w:rsid w:val="006B5641"/>
    <w:rsid w:val="006B5685"/>
    <w:rsid w:val="006D16AE"/>
    <w:rsid w:val="006D5BF7"/>
    <w:rsid w:val="006D5D60"/>
    <w:rsid w:val="006E207B"/>
    <w:rsid w:val="006E3D25"/>
    <w:rsid w:val="006E43BA"/>
    <w:rsid w:val="006F2815"/>
    <w:rsid w:val="006F4E35"/>
    <w:rsid w:val="006F6345"/>
    <w:rsid w:val="00700D2A"/>
    <w:rsid w:val="00702A88"/>
    <w:rsid w:val="00730988"/>
    <w:rsid w:val="007323CD"/>
    <w:rsid w:val="007343B3"/>
    <w:rsid w:val="0074139F"/>
    <w:rsid w:val="00753996"/>
    <w:rsid w:val="00754C04"/>
    <w:rsid w:val="00755CD7"/>
    <w:rsid w:val="00757C4C"/>
    <w:rsid w:val="007604CE"/>
    <w:rsid w:val="00760D63"/>
    <w:rsid w:val="007638D0"/>
    <w:rsid w:val="00770214"/>
    <w:rsid w:val="00783C83"/>
    <w:rsid w:val="00784770"/>
    <w:rsid w:val="007A0439"/>
    <w:rsid w:val="007A403A"/>
    <w:rsid w:val="007B107D"/>
    <w:rsid w:val="007B2187"/>
    <w:rsid w:val="007B5CC7"/>
    <w:rsid w:val="007C6D0D"/>
    <w:rsid w:val="007C704E"/>
    <w:rsid w:val="007E03E2"/>
    <w:rsid w:val="007E0990"/>
    <w:rsid w:val="007E4EEA"/>
    <w:rsid w:val="007E6C91"/>
    <w:rsid w:val="007F1A57"/>
    <w:rsid w:val="00800C20"/>
    <w:rsid w:val="0080329C"/>
    <w:rsid w:val="00803693"/>
    <w:rsid w:val="00816BE5"/>
    <w:rsid w:val="00825069"/>
    <w:rsid w:val="008313E7"/>
    <w:rsid w:val="00840391"/>
    <w:rsid w:val="00842418"/>
    <w:rsid w:val="008479EC"/>
    <w:rsid w:val="00850EEA"/>
    <w:rsid w:val="00852263"/>
    <w:rsid w:val="00854CAC"/>
    <w:rsid w:val="00873BF3"/>
    <w:rsid w:val="008815E1"/>
    <w:rsid w:val="008829FE"/>
    <w:rsid w:val="00882CB5"/>
    <w:rsid w:val="008869C5"/>
    <w:rsid w:val="008901B1"/>
    <w:rsid w:val="008A0FE4"/>
    <w:rsid w:val="008A32C5"/>
    <w:rsid w:val="008C0B61"/>
    <w:rsid w:val="008C2388"/>
    <w:rsid w:val="008C6203"/>
    <w:rsid w:val="008D2A3C"/>
    <w:rsid w:val="008D61E7"/>
    <w:rsid w:val="008D6468"/>
    <w:rsid w:val="008E17AF"/>
    <w:rsid w:val="008E2BE3"/>
    <w:rsid w:val="008F33FC"/>
    <w:rsid w:val="008F7002"/>
    <w:rsid w:val="00946BEF"/>
    <w:rsid w:val="00955944"/>
    <w:rsid w:val="0095761F"/>
    <w:rsid w:val="00961E8B"/>
    <w:rsid w:val="009626A8"/>
    <w:rsid w:val="00962782"/>
    <w:rsid w:val="00963DF4"/>
    <w:rsid w:val="00976019"/>
    <w:rsid w:val="00993D65"/>
    <w:rsid w:val="0099493F"/>
    <w:rsid w:val="009B13EE"/>
    <w:rsid w:val="009B4FF7"/>
    <w:rsid w:val="009C316C"/>
    <w:rsid w:val="009C4706"/>
    <w:rsid w:val="009C7BBC"/>
    <w:rsid w:val="009D1AB2"/>
    <w:rsid w:val="009D51C1"/>
    <w:rsid w:val="009E64BF"/>
    <w:rsid w:val="009F1C99"/>
    <w:rsid w:val="00A16BEA"/>
    <w:rsid w:val="00A24629"/>
    <w:rsid w:val="00A30C8E"/>
    <w:rsid w:val="00A312B3"/>
    <w:rsid w:val="00A401F5"/>
    <w:rsid w:val="00A47E2F"/>
    <w:rsid w:val="00A56164"/>
    <w:rsid w:val="00A72C35"/>
    <w:rsid w:val="00A73317"/>
    <w:rsid w:val="00A82E7D"/>
    <w:rsid w:val="00A91B4A"/>
    <w:rsid w:val="00AA0704"/>
    <w:rsid w:val="00AA0D98"/>
    <w:rsid w:val="00AA0F95"/>
    <w:rsid w:val="00AA4C55"/>
    <w:rsid w:val="00AA6C9D"/>
    <w:rsid w:val="00AA6CB5"/>
    <w:rsid w:val="00AB5733"/>
    <w:rsid w:val="00AC5AAD"/>
    <w:rsid w:val="00AE180F"/>
    <w:rsid w:val="00AE5581"/>
    <w:rsid w:val="00AE79AF"/>
    <w:rsid w:val="00AF5611"/>
    <w:rsid w:val="00B05A76"/>
    <w:rsid w:val="00B2497D"/>
    <w:rsid w:val="00B32115"/>
    <w:rsid w:val="00B362F7"/>
    <w:rsid w:val="00B5456B"/>
    <w:rsid w:val="00B735E3"/>
    <w:rsid w:val="00B74B53"/>
    <w:rsid w:val="00B84ED1"/>
    <w:rsid w:val="00B87BB2"/>
    <w:rsid w:val="00B978D5"/>
    <w:rsid w:val="00BA3E9A"/>
    <w:rsid w:val="00BA7B93"/>
    <w:rsid w:val="00BA7BC0"/>
    <w:rsid w:val="00BB19A4"/>
    <w:rsid w:val="00BC26E4"/>
    <w:rsid w:val="00BC5686"/>
    <w:rsid w:val="00BD09AE"/>
    <w:rsid w:val="00BD1ABA"/>
    <w:rsid w:val="00BD1EAA"/>
    <w:rsid w:val="00BD546B"/>
    <w:rsid w:val="00BE3888"/>
    <w:rsid w:val="00BF0AFC"/>
    <w:rsid w:val="00BF6786"/>
    <w:rsid w:val="00C04E9D"/>
    <w:rsid w:val="00C22D82"/>
    <w:rsid w:val="00C304C7"/>
    <w:rsid w:val="00C33C10"/>
    <w:rsid w:val="00C3435E"/>
    <w:rsid w:val="00C36610"/>
    <w:rsid w:val="00C36A5B"/>
    <w:rsid w:val="00C44B11"/>
    <w:rsid w:val="00C508FC"/>
    <w:rsid w:val="00C52739"/>
    <w:rsid w:val="00C60A46"/>
    <w:rsid w:val="00C717AF"/>
    <w:rsid w:val="00C736C1"/>
    <w:rsid w:val="00C827FF"/>
    <w:rsid w:val="00C84881"/>
    <w:rsid w:val="00C8553D"/>
    <w:rsid w:val="00C878DE"/>
    <w:rsid w:val="00C9183D"/>
    <w:rsid w:val="00C91905"/>
    <w:rsid w:val="00CB0E24"/>
    <w:rsid w:val="00CB198D"/>
    <w:rsid w:val="00CD34AC"/>
    <w:rsid w:val="00CE0A97"/>
    <w:rsid w:val="00CE6558"/>
    <w:rsid w:val="00CE73B2"/>
    <w:rsid w:val="00CF2CEE"/>
    <w:rsid w:val="00D006EE"/>
    <w:rsid w:val="00D05797"/>
    <w:rsid w:val="00D05B70"/>
    <w:rsid w:val="00D067E4"/>
    <w:rsid w:val="00D13BB8"/>
    <w:rsid w:val="00D21BB0"/>
    <w:rsid w:val="00D22A96"/>
    <w:rsid w:val="00D318E7"/>
    <w:rsid w:val="00D40947"/>
    <w:rsid w:val="00D411F7"/>
    <w:rsid w:val="00D57A1A"/>
    <w:rsid w:val="00D717FD"/>
    <w:rsid w:val="00D7202C"/>
    <w:rsid w:val="00D8432D"/>
    <w:rsid w:val="00D92AE2"/>
    <w:rsid w:val="00D93847"/>
    <w:rsid w:val="00DB5868"/>
    <w:rsid w:val="00DC14A8"/>
    <w:rsid w:val="00DC4F54"/>
    <w:rsid w:val="00DE19FF"/>
    <w:rsid w:val="00DF0799"/>
    <w:rsid w:val="00E00D3E"/>
    <w:rsid w:val="00E128BB"/>
    <w:rsid w:val="00E14B38"/>
    <w:rsid w:val="00E154EF"/>
    <w:rsid w:val="00E17380"/>
    <w:rsid w:val="00E1768C"/>
    <w:rsid w:val="00E263DF"/>
    <w:rsid w:val="00E34244"/>
    <w:rsid w:val="00E40C7D"/>
    <w:rsid w:val="00E57C99"/>
    <w:rsid w:val="00E61C10"/>
    <w:rsid w:val="00E63984"/>
    <w:rsid w:val="00E8005A"/>
    <w:rsid w:val="00E81BA6"/>
    <w:rsid w:val="00E81E17"/>
    <w:rsid w:val="00E856D2"/>
    <w:rsid w:val="00E86A77"/>
    <w:rsid w:val="00E929A7"/>
    <w:rsid w:val="00E92C76"/>
    <w:rsid w:val="00E93EA3"/>
    <w:rsid w:val="00EA5F7F"/>
    <w:rsid w:val="00EA674E"/>
    <w:rsid w:val="00EB736D"/>
    <w:rsid w:val="00EB761F"/>
    <w:rsid w:val="00EC43A3"/>
    <w:rsid w:val="00ED2DAE"/>
    <w:rsid w:val="00EF0228"/>
    <w:rsid w:val="00F01DE1"/>
    <w:rsid w:val="00F17A62"/>
    <w:rsid w:val="00F26123"/>
    <w:rsid w:val="00F46189"/>
    <w:rsid w:val="00F51012"/>
    <w:rsid w:val="00F53349"/>
    <w:rsid w:val="00F655A9"/>
    <w:rsid w:val="00F74E92"/>
    <w:rsid w:val="00F751AE"/>
    <w:rsid w:val="00F83B8C"/>
    <w:rsid w:val="00F95B55"/>
    <w:rsid w:val="00FA0E98"/>
    <w:rsid w:val="00FA31F3"/>
    <w:rsid w:val="00FB440F"/>
    <w:rsid w:val="00FB5399"/>
    <w:rsid w:val="00FB74AF"/>
    <w:rsid w:val="00FC228C"/>
    <w:rsid w:val="00FC42F1"/>
    <w:rsid w:val="00FC5490"/>
    <w:rsid w:val="00FC6460"/>
    <w:rsid w:val="00FD06C2"/>
    <w:rsid w:val="00FD0D14"/>
    <w:rsid w:val="00FD4BC4"/>
    <w:rsid w:val="00FE24DE"/>
    <w:rsid w:val="00FF49A3"/>
    <w:rsid w:val="00FF4B50"/>
    <w:rsid w:val="00FF5EE7"/>
    <w:rsid w:val="00FF64E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1B3BE"/>
  <w15:chartTrackingRefBased/>
  <w15:docId w15:val="{2A471FD1-8A50-4278-A925-7B04971E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01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755CD7"/>
    <w:rPr>
      <w:sz w:val="20"/>
    </w:rPr>
  </w:style>
  <w:style w:type="character" w:customStyle="1" w:styleId="FootnoteTextChar">
    <w:name w:val="Footnote Text Char"/>
    <w:basedOn w:val="DefaultParagraphFont"/>
    <w:link w:val="FootnoteText"/>
    <w:rsid w:val="00755CD7"/>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nhideWhenUsed/>
    <w:rsid w:val="00755CD7"/>
    <w:rPr>
      <w:vertAlign w:val="superscript"/>
    </w:rPr>
  </w:style>
  <w:style w:type="character" w:styleId="Hyperlink">
    <w:name w:val="Hyperlink"/>
    <w:basedOn w:val="DefaultParagraphFont"/>
    <w:unhideWhenUsed/>
    <w:rsid w:val="00755CD7"/>
    <w:rPr>
      <w:color w:val="0563C1" w:themeColor="hyperlink"/>
      <w:u w:val="single"/>
    </w:rPr>
  </w:style>
  <w:style w:type="character" w:styleId="UnresolvedMention">
    <w:name w:val="Unresolved Mention"/>
    <w:basedOn w:val="DefaultParagraphFont"/>
    <w:uiPriority w:val="99"/>
    <w:semiHidden/>
    <w:unhideWhenUsed/>
    <w:rsid w:val="006D16AE"/>
    <w:rPr>
      <w:color w:val="605E5C"/>
      <w:shd w:val="clear" w:color="auto" w:fill="E1DFDD"/>
    </w:rPr>
  </w:style>
  <w:style w:type="paragraph" w:styleId="CommentText">
    <w:name w:val="annotation text"/>
    <w:basedOn w:val="Normal"/>
    <w:link w:val="CommentTextChar"/>
    <w:unhideWhenUsed/>
    <w:rsid w:val="00C04E9D"/>
    <w:rPr>
      <w:sz w:val="20"/>
    </w:rPr>
  </w:style>
  <w:style w:type="character" w:customStyle="1" w:styleId="CommentTextChar">
    <w:name w:val="Comment Text Char"/>
    <w:basedOn w:val="DefaultParagraphFont"/>
    <w:link w:val="CommentText"/>
    <w:rsid w:val="00C04E9D"/>
  </w:style>
  <w:style w:type="character" w:styleId="CommentReference">
    <w:name w:val="annotation reference"/>
    <w:basedOn w:val="DefaultParagraphFont"/>
    <w:unhideWhenUsed/>
    <w:rsid w:val="00C04E9D"/>
    <w:rPr>
      <w:sz w:val="16"/>
      <w:szCs w:val="16"/>
    </w:rPr>
  </w:style>
  <w:style w:type="paragraph" w:styleId="Footer">
    <w:name w:val="footer"/>
    <w:basedOn w:val="Normal"/>
    <w:link w:val="FooterChar"/>
    <w:semiHidden/>
    <w:rsid w:val="008479EC"/>
    <w:pPr>
      <w:tabs>
        <w:tab w:val="center" w:pos="4513"/>
        <w:tab w:val="right" w:pos="9026"/>
      </w:tabs>
    </w:pPr>
  </w:style>
  <w:style w:type="character" w:customStyle="1" w:styleId="FooterChar">
    <w:name w:val="Footer Char"/>
    <w:basedOn w:val="DefaultParagraphFont"/>
    <w:link w:val="Footer"/>
    <w:semiHidden/>
    <w:rsid w:val="008479EC"/>
    <w:rPr>
      <w:sz w:val="24"/>
    </w:rPr>
  </w:style>
  <w:style w:type="paragraph" w:styleId="Revision">
    <w:name w:val="Revision"/>
    <w:hidden/>
    <w:uiPriority w:val="99"/>
    <w:semiHidden/>
    <w:rsid w:val="00E00D3E"/>
    <w:rPr>
      <w:sz w:val="24"/>
    </w:rPr>
  </w:style>
  <w:style w:type="paragraph" w:customStyle="1" w:styleId="RollCallSymbols14pt">
    <w:name w:val="RollCallSymbols14pt"/>
    <w:basedOn w:val="Normal"/>
    <w:rsid w:val="00C878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78DE"/>
    <w:pPr>
      <w:tabs>
        <w:tab w:val="center" w:pos="284"/>
        <w:tab w:val="left" w:pos="426"/>
      </w:tabs>
    </w:pPr>
    <w:rPr>
      <w:snapToGrid w:val="0"/>
      <w:lang w:eastAsia="en-US"/>
    </w:rPr>
  </w:style>
  <w:style w:type="paragraph" w:customStyle="1" w:styleId="RollCallVotes">
    <w:name w:val="RollCallVotes"/>
    <w:basedOn w:val="Normal"/>
    <w:rsid w:val="00C878DE"/>
    <w:pPr>
      <w:spacing w:before="120" w:after="120"/>
      <w:jc w:val="center"/>
    </w:pPr>
    <w:rPr>
      <w:b/>
      <w:bCs/>
      <w:snapToGrid w:val="0"/>
      <w:sz w:val="16"/>
      <w:lang w:eastAsia="en-US"/>
    </w:rPr>
  </w:style>
  <w:style w:type="paragraph" w:customStyle="1" w:styleId="RollCallTable">
    <w:name w:val="RollCallTable"/>
    <w:basedOn w:val="Normal"/>
    <w:rsid w:val="00C878DE"/>
    <w:pPr>
      <w:spacing w:before="120" w:after="120"/>
    </w:pPr>
    <w:rPr>
      <w:snapToGrid w:val="0"/>
      <w:sz w:val="16"/>
      <w:lang w:eastAsia="en-US"/>
    </w:rPr>
  </w:style>
  <w:style w:type="paragraph" w:styleId="CommentSubject">
    <w:name w:val="annotation subject"/>
    <w:basedOn w:val="CommentText"/>
    <w:next w:val="CommentText"/>
    <w:link w:val="CommentSubjectChar"/>
    <w:semiHidden/>
    <w:unhideWhenUsed/>
    <w:rsid w:val="00963DF4"/>
    <w:rPr>
      <w:b/>
      <w:bCs/>
    </w:rPr>
  </w:style>
  <w:style w:type="character" w:customStyle="1" w:styleId="CommentSubjectChar">
    <w:name w:val="Comment Subject Char"/>
    <w:basedOn w:val="CommentTextChar"/>
    <w:link w:val="CommentSubject"/>
    <w:semiHidden/>
    <w:rsid w:val="00963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B569-51A9-4E74-BD30-49EBA0FD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Pages>
  <Words>3236</Words>
  <Characters>27930</Characters>
  <Application>Microsoft Office Word</Application>
  <DocSecurity>0</DocSecurity>
  <Lines>681</Lines>
  <Paragraphs>201</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30965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2026-07-09T07:35:00Z</cp:lastPrinted>
  <dcterms:created xsi:type="dcterms:W3CDTF">2026-07-09T12:13:00Z</dcterms:created>
  <dcterms:modified xsi:type="dcterms:W3CDTF">2026-07-09T12:13:00Z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1342281</vt:lpwstr>
  </property>
  <property fmtid="{D5CDD505-2E9C-101B-9397-08002B2CF9AE}" pid="4" name="&lt;Model&gt;">
    <vt:lpwstr>PA_LegEvaluation</vt:lpwstr>
  </property>
  <property fmtid="{D5CDD505-2E9C-101B-9397-08002B2CF9AE}" pid="5" name="&lt;ModelCod&gt;">
    <vt:lpwstr>\\eiciBRUpr1\pdocep$\DocEP\DOCS\General\PA\PA_Leg\PA_LegEvaluation.dotx(18/03/2025 12:35:01)</vt:lpwstr>
  </property>
  <property fmtid="{D5CDD505-2E9C-101B-9397-08002B2CF9AE}" pid="6" name="&lt;ModelTra&gt;">
    <vt:lpwstr>\\eiciBRUpr1\pdocep$\DocEP\TRANSFIL\EN\PA_LegEvaluation.EN(03/03/2026 10:04:10)</vt:lpwstr>
  </property>
  <property fmtid="{D5CDD505-2E9C-101B-9397-08002B2CF9AE}" pid="7" name="&lt;Type&gt;">
    <vt:lpwstr>AD</vt:lpwstr>
  </property>
  <property fmtid="{D5CDD505-2E9C-101B-9397-08002B2CF9AE}" pid="8" name="Bookout">
    <vt:lpwstr>OK - 2026/07/09 14:13</vt:lpwstr>
  </property>
  <property fmtid="{D5CDD505-2E9C-101B-9397-08002B2CF9AE}" pid="9" name="Created with">
    <vt:lpwstr>10.2.1 Build [20260301]</vt:lpwstr>
  </property>
  <property fmtid="{D5CDD505-2E9C-101B-9397-08002B2CF9AE}" pid="10" name="FooterPath">
    <vt:lpwstr>AD\1342281FI.docx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782.453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NOK(Major:TWBEXT)(Minor:HDG) - 2026/06/26 11:20</vt:lpwstr>
  </property>
</Properties>
</file>