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06836" w14:paraId="711DB0DC" w14:textId="77777777">
        <w:trPr>
          <w:trHeight w:hRule="exact" w:val="1418"/>
        </w:trPr>
        <w:tc>
          <w:tcPr>
            <w:tcW w:w="6804" w:type="dxa"/>
            <w:shd w:val="clear" w:color="auto" w:fill="auto"/>
            <w:vAlign w:val="center"/>
          </w:tcPr>
          <w:p w14:paraId="6D8D7D53" w14:textId="77777777" w:rsidR="00854CAC" w:rsidRPr="00C172BD" w:rsidRDefault="00CE56BB">
            <w:pPr>
              <w:pStyle w:val="EPName"/>
            </w:pPr>
            <w:r>
              <w:t>Európai Parlament</w:t>
            </w:r>
          </w:p>
          <w:p w14:paraId="680DDA2D" w14:textId="77777777" w:rsidR="00854CAC" w:rsidRPr="00C172BD" w:rsidRDefault="00CE56BB">
            <w:pPr>
              <w:pStyle w:val="EPTerm"/>
            </w:pPr>
            <w:r>
              <w:t>2024-2029</w:t>
            </w:r>
          </w:p>
        </w:tc>
        <w:tc>
          <w:tcPr>
            <w:tcW w:w="2268" w:type="dxa"/>
            <w:shd w:val="clear" w:color="auto" w:fill="auto"/>
          </w:tcPr>
          <w:p w14:paraId="7677E874" w14:textId="77777777" w:rsidR="00854CAC" w:rsidRPr="00C172BD" w:rsidRDefault="00CE56BB">
            <w:pPr>
              <w:pStyle w:val="EPLogo"/>
            </w:pPr>
            <w:r w:rsidRPr="00C172BD">
              <w:rPr>
                <w:noProof/>
                <w:lang w:eastAsia="ja-JP"/>
              </w:rPr>
              <w:drawing>
                <wp:inline distT="0" distB="0" distL="0" distR="0" wp14:anchorId="5409A86D" wp14:editId="118F4B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16D88B" w14:textId="77777777" w:rsidR="001746D0" w:rsidRPr="00C172BD" w:rsidRDefault="001746D0" w:rsidP="001746D0">
      <w:pPr>
        <w:pStyle w:val="LineTop"/>
      </w:pPr>
    </w:p>
    <w:p w14:paraId="567E0045" w14:textId="77777777" w:rsidR="001746D0" w:rsidRPr="00C172BD" w:rsidRDefault="00CE56BB" w:rsidP="001746D0">
      <w:pPr>
        <w:pStyle w:val="EPBody"/>
      </w:pPr>
      <w:r>
        <w:rPr>
          <w:rStyle w:val="HideTWBExt"/>
        </w:rPr>
        <w:t>&lt;</w:t>
      </w:r>
      <w:r>
        <w:rPr>
          <w:rStyle w:val="HideTWBExt"/>
          <w:i w:val="0"/>
        </w:rPr>
        <w:t>Commission</w:t>
      </w:r>
      <w:r>
        <w:rPr>
          <w:rStyle w:val="HideTWBExt"/>
        </w:rPr>
        <w:t>&gt;</w:t>
      </w:r>
      <w:r>
        <w:rPr>
          <w:rStyle w:val="HideTWBInt"/>
          <w:i w:val="0"/>
          <w:color w:val="auto"/>
        </w:rPr>
        <w:t>{BUDG}</w:t>
      </w:r>
      <w:r>
        <w:t>Költségvetési Bizottság</w:t>
      </w:r>
      <w:r>
        <w:rPr>
          <w:rStyle w:val="HideTWBExt"/>
        </w:rPr>
        <w:t>&lt;/</w:t>
      </w:r>
      <w:r>
        <w:rPr>
          <w:rStyle w:val="HideTWBExt"/>
          <w:i w:val="0"/>
        </w:rPr>
        <w:t>Commission</w:t>
      </w:r>
      <w:r>
        <w:rPr>
          <w:rStyle w:val="HideTWBExt"/>
        </w:rPr>
        <w:t>&gt;</w:t>
      </w:r>
    </w:p>
    <w:p w14:paraId="3ADD449D" w14:textId="77777777" w:rsidR="001746D0" w:rsidRPr="00C172BD" w:rsidRDefault="001746D0" w:rsidP="001746D0">
      <w:pPr>
        <w:pStyle w:val="LineBottom"/>
      </w:pPr>
    </w:p>
    <w:p w14:paraId="559E03F0" w14:textId="77777777" w:rsidR="002E2F2E" w:rsidRPr="00C172BD" w:rsidRDefault="00CE56BB">
      <w:pPr>
        <w:pStyle w:val="CoverReference"/>
      </w:pPr>
      <w:r>
        <w:rPr>
          <w:rStyle w:val="HideTWBExt"/>
          <w:b w:val="0"/>
        </w:rPr>
        <w:t>&lt;RefProc&gt;</w:t>
      </w:r>
      <w:r>
        <w:t>2025/0543</w:t>
      </w:r>
      <w:r>
        <w:rPr>
          <w:rStyle w:val="HideTWBExt"/>
          <w:b w:val="0"/>
        </w:rPr>
        <w:t>&lt;/RefProc&gt;&lt;RefTypeProc&gt;</w:t>
      </w:r>
      <w:r>
        <w:t>(COD)</w:t>
      </w:r>
      <w:r>
        <w:rPr>
          <w:rStyle w:val="HideTWBExt"/>
          <w:b w:val="0"/>
        </w:rPr>
        <w:t>&lt;/RefTypeProc&gt;</w:t>
      </w:r>
    </w:p>
    <w:p w14:paraId="2A0A0447" w14:textId="77777777" w:rsidR="002E2F2E" w:rsidRPr="00C172BD" w:rsidRDefault="00CE56BB">
      <w:pPr>
        <w:pStyle w:val="CoverDate"/>
      </w:pPr>
      <w:r>
        <w:rPr>
          <w:rStyle w:val="HideTWBExt"/>
        </w:rPr>
        <w:t>&lt;Date&gt;</w:t>
      </w:r>
      <w:r>
        <w:rPr>
          <w:rStyle w:val="HideTWBInt"/>
          <w:color w:val="auto"/>
        </w:rPr>
        <w:t>{25/06/2026}</w:t>
      </w:r>
      <w:r>
        <w:t>25.6.2026</w:t>
      </w:r>
      <w:r>
        <w:rPr>
          <w:rStyle w:val="HideTWBExt"/>
        </w:rPr>
        <w:t>&lt;/Date&gt;</w:t>
      </w:r>
    </w:p>
    <w:p w14:paraId="5D52D575" w14:textId="77777777" w:rsidR="002E2F2E" w:rsidRPr="00C172BD" w:rsidRDefault="00CE56BB">
      <w:pPr>
        <w:pStyle w:val="CoverDocType24a"/>
      </w:pPr>
      <w:r>
        <w:rPr>
          <w:rStyle w:val="HideTWBExt"/>
          <w:b w:val="0"/>
        </w:rPr>
        <w:t>&lt;TitreType&gt;</w:t>
      </w:r>
      <w:r>
        <w:t>KÖLTSÉGVETÉSI ÉRTÉKELÉS</w:t>
      </w:r>
      <w:r>
        <w:rPr>
          <w:rStyle w:val="HideTWBExt"/>
          <w:b w:val="0"/>
        </w:rPr>
        <w:t>&lt;/TitreType&gt;</w:t>
      </w:r>
    </w:p>
    <w:p w14:paraId="4DD3D626" w14:textId="77777777" w:rsidR="002E2F2E" w:rsidRPr="00C172BD" w:rsidRDefault="00CE56BB">
      <w:pPr>
        <w:pStyle w:val="CoverNormal24a"/>
      </w:pPr>
      <w:r>
        <w:rPr>
          <w:rStyle w:val="HideTWBExt"/>
        </w:rPr>
        <w:t>&lt;CommissionResp&gt;</w:t>
      </w:r>
      <w:r>
        <w:t>a Költségvetési Bizottság részéről</w:t>
      </w:r>
      <w:r>
        <w:rPr>
          <w:rStyle w:val="HideTWBExt"/>
        </w:rPr>
        <w:t>&lt;/CommissionResp&gt;</w:t>
      </w:r>
    </w:p>
    <w:p w14:paraId="52CB582E" w14:textId="77777777" w:rsidR="002E2F2E" w:rsidRPr="00C172BD" w:rsidRDefault="00CE56BB">
      <w:pPr>
        <w:pStyle w:val="CoverNormal24a"/>
      </w:pPr>
      <w:r>
        <w:rPr>
          <w:rStyle w:val="HideTWBExt"/>
        </w:rPr>
        <w:t>&lt;CommissionInt&gt;</w:t>
      </w:r>
      <w:r>
        <w:t>az Ipari, Kutatási és Energiaügyi Bizottság részére</w:t>
      </w:r>
      <w:r>
        <w:rPr>
          <w:rStyle w:val="HideTWBExt"/>
        </w:rPr>
        <w:t>&lt;/CommissionInt&gt;</w:t>
      </w:r>
    </w:p>
    <w:p w14:paraId="5E02B786" w14:textId="77777777" w:rsidR="004D18F2" w:rsidRPr="00C172BD" w:rsidRDefault="00CE56BB" w:rsidP="004D18F2">
      <w:pPr>
        <w:pStyle w:val="CoverNormal"/>
      </w:pPr>
      <w:r>
        <w:rPr>
          <w:rStyle w:val="HideTWBExt"/>
        </w:rPr>
        <w:t>&lt;Titre&gt;</w:t>
      </w:r>
      <w:r>
        <w:t>a Horizont Európa kutatási és innovációs keretprogramnak a 2028–2034 közötti időszakra történő létrehozásáról, valamint részvételi és terjesztési szabályainak megállapításáról, továbbá az (EU) 2021/695 rendelet hatályon kívül helyezéséről szóló európai parlamenti és tanácsi rendeletre irányuló javaslatról</w:t>
      </w:r>
    </w:p>
    <w:p w14:paraId="29476F37" w14:textId="77777777" w:rsidR="002E2F2E" w:rsidRPr="00C172BD" w:rsidRDefault="00CE56BB">
      <w:pPr>
        <w:pStyle w:val="CoverNormal"/>
      </w:pPr>
      <w:r>
        <w:rPr>
          <w:rStyle w:val="HideTWBExt"/>
        </w:rPr>
        <w:t>&lt;/Titre&gt;</w:t>
      </w:r>
    </w:p>
    <w:p w14:paraId="34825B29" w14:textId="77777777" w:rsidR="002E2F2E" w:rsidRPr="00C172BD" w:rsidRDefault="00CE56BB">
      <w:pPr>
        <w:pStyle w:val="CoverNormal24a"/>
      </w:pPr>
      <w:r>
        <w:rPr>
          <w:rStyle w:val="HideTWBExt"/>
        </w:rPr>
        <w:t>&lt;DocRef&gt;</w:t>
      </w:r>
      <w:r>
        <w:t>(COM(2025)0543 – C10</w:t>
      </w:r>
      <w:r>
        <w:noBreakHyphen/>
        <w:t>0164/2025 – 2025/0543(COD))</w:t>
      </w:r>
      <w:r>
        <w:rPr>
          <w:rStyle w:val="HideTWBExt"/>
        </w:rPr>
        <w:t>&lt;/DocRef&gt;</w:t>
      </w:r>
    </w:p>
    <w:p w14:paraId="07F006FE" w14:textId="77777777" w:rsidR="00217B7E" w:rsidRPr="00C172BD" w:rsidRDefault="00CE56BB" w:rsidP="00217B7E">
      <w:pPr>
        <w:pStyle w:val="CoverNormal24a"/>
        <w:rPr>
          <w:rStyle w:val="HideTWBExt"/>
        </w:rPr>
      </w:pPr>
      <w:r>
        <w:t xml:space="preserve">A költségvetési értékelés előadója: </w:t>
      </w:r>
      <w:r>
        <w:rPr>
          <w:rStyle w:val="HideTWBExt"/>
        </w:rPr>
        <w:t>&lt;Depute&gt;</w:t>
      </w:r>
      <w:r>
        <w:t>Hélder Sousa Silva</w:t>
      </w:r>
      <w:r>
        <w:rPr>
          <w:rStyle w:val="HideTWBExt"/>
        </w:rPr>
        <w:t>&lt;/Depute&gt;</w:t>
      </w:r>
    </w:p>
    <w:p w14:paraId="1E49029C" w14:textId="77777777" w:rsidR="002E2F2E" w:rsidRPr="00C172BD" w:rsidRDefault="00CE56BB" w:rsidP="00E856D2">
      <w:pPr>
        <w:widowControl/>
        <w:tabs>
          <w:tab w:val="center" w:pos="4677"/>
        </w:tabs>
      </w:pPr>
      <w:r>
        <w:br w:type="page"/>
      </w:r>
      <w:r>
        <w:lastRenderedPageBreak/>
        <w:t>PA_LegEvaluation</w:t>
      </w:r>
    </w:p>
    <w:p w14:paraId="71F5E752" w14:textId="77777777" w:rsidR="002E2F2E" w:rsidRPr="00C172BD" w:rsidRDefault="00CE56BB" w:rsidP="00757C4C">
      <w:pPr>
        <w:pStyle w:val="PageHeadingNotTOC"/>
      </w:pPr>
      <w:r>
        <w:br w:type="page"/>
      </w:r>
      <w:r>
        <w:lastRenderedPageBreak/>
        <w:t>KÖLTSÉGVETÉSI ÉRTÉKELÉS</w:t>
      </w:r>
    </w:p>
    <w:p w14:paraId="01B82E07" w14:textId="77777777" w:rsidR="004D18F2" w:rsidRPr="00C172BD" w:rsidRDefault="00CE56BB" w:rsidP="004D18F2">
      <w:pPr>
        <w:pStyle w:val="NormalBold"/>
      </w:pPr>
      <w:r>
        <w:t xml:space="preserve">az Ipari, Kutatási és Energiaügyi Bizottság részére a Horizont Európa kutatási és innovációs </w:t>
      </w:r>
      <w:r>
        <w:t>keretprogramnak a 2028–2034 közötti időszakra történő létrehozásáról, valamint részvételi és terjesztési szabályainak megállapításáról, továbbá az (EU) 2021/695 rendelet hatályon kívül helyezéséről szóló európai parlamenti és tanácsi rendeletre irányuló javaslatról</w:t>
      </w:r>
    </w:p>
    <w:p w14:paraId="11CA7220" w14:textId="77777777" w:rsidR="004D18F2" w:rsidRPr="00C172BD" w:rsidRDefault="00CE56BB" w:rsidP="004D18F2">
      <w:pPr>
        <w:pStyle w:val="NormalBold"/>
      </w:pPr>
      <w:r>
        <w:t>(COM (2025)0543 – C10</w:t>
      </w:r>
      <w:r>
        <w:noBreakHyphen/>
        <w:t>0164/2025 – 2025/0543(COD))</w:t>
      </w:r>
    </w:p>
    <w:p w14:paraId="1E88F638" w14:textId="77777777" w:rsidR="00AE79AF" w:rsidRPr="00C172BD" w:rsidRDefault="00CE56BB" w:rsidP="00006F54">
      <w:pPr>
        <w:pStyle w:val="Normal12a"/>
        <w:spacing w:before="480"/>
      </w:pPr>
      <w:r>
        <w:rPr>
          <w:rStyle w:val="HideTWBExt"/>
        </w:rPr>
        <w:t>&lt;Intro&gt;</w:t>
      </w:r>
      <w:r>
        <w:t>A Költségvetési Bizottság az eljárási szabályzat 58. cikkének megfelelően elvégezte a javaslat értékelését, és az alábbi következtetésre jutott:</w:t>
      </w:r>
      <w:r>
        <w:rPr>
          <w:rStyle w:val="HideTWBExt"/>
        </w:rPr>
        <w:t>&lt;/Intro&gt;</w:t>
      </w:r>
    </w:p>
    <w:p w14:paraId="075A7C7E" w14:textId="77777777" w:rsidR="00CE6558" w:rsidRPr="00C172BD" w:rsidRDefault="00CE56BB" w:rsidP="00CE6558">
      <w:pPr>
        <w:pStyle w:val="EPComma"/>
      </w:pPr>
      <w:r>
        <w:rPr>
          <w:i/>
          <w:iCs/>
        </w:rPr>
        <w:t>A Költségvetési Bizottság</w:t>
      </w:r>
      <w:r>
        <w:t>,</w:t>
      </w:r>
    </w:p>
    <w:p w14:paraId="35669F74" w14:textId="77777777" w:rsidR="00217B7E" w:rsidRPr="00C172BD" w:rsidRDefault="00CE56BB" w:rsidP="00217B7E">
      <w:pPr>
        <w:pStyle w:val="NormalHanging12a"/>
        <w:rPr>
          <w:bCs/>
          <w:iCs/>
        </w:rPr>
      </w:pPr>
      <w:r>
        <w:t>A.</w:t>
      </w:r>
      <w:r>
        <w:tab/>
      </w:r>
      <w:r>
        <w:t>mivel a Draghi-jelentés szerint a kutatás és az innováció (K+I) a termelékenység és az emberek jóllétének egyik fő hajtóereje, amely képes pozitív externáliákat generálni, és támogatja az EU stratégiai autonómiáját és szociális modelljét; mivel a jelentés támogatja egy megreformált és egyszerűbb, a kiválasztott prioritásokra összpontosító program és egy 200 milliárd EUR összegű megnövelt költségvetés kialakítását; mivel a Draghi-jelentés kiemeli, hogy az áttörést hozó innováció nem kap kellő figyelmet az EU</w:t>
      </w:r>
      <w:r>
        <w:t xml:space="preserve"> jelenlegi innovációs rendszerében;</w:t>
      </w:r>
    </w:p>
    <w:p w14:paraId="3CFFE907" w14:textId="77777777" w:rsidR="00217B7E" w:rsidRPr="00C172BD" w:rsidRDefault="00CE56BB" w:rsidP="00217B7E">
      <w:pPr>
        <w:pStyle w:val="NormalHanging12a"/>
      </w:pPr>
      <w:r>
        <w:t>B.</w:t>
      </w:r>
      <w:r>
        <w:tab/>
        <w:t>mivel a Horizont Európa</w:t>
      </w:r>
      <w:r>
        <w:rPr>
          <w:vertAlign w:val="superscript"/>
        </w:rPr>
        <w:footnoteReference w:id="1"/>
      </w:r>
      <w:r>
        <w:t xml:space="preserve"> időközi értékelése megerősíti annak magas európai hozzáadott értékét, relevanciáját és hatékonyságát; mivel az értékelés kiemeli, hogy annak ellenére, hogy az átlagos sikerességi arány a Horizont 2020-nál tapasztalt 12%-ról a Horizont Európa esetében 16,4%-ra (a részvétel szélesítésében érintett országok esetében pedig 9%-ról 14%-ra) emelkedett, a kiváló minőségű pályázatoknak csak 30%-át lehetett finanszírozni, és további 81,8 milliárd EUR-ra lett volna szükség ezek mindegyikének finanszírozásához;</w:t>
      </w:r>
    </w:p>
    <w:p w14:paraId="409B7AC0" w14:textId="77777777" w:rsidR="00755CD7" w:rsidRPr="00C172BD" w:rsidRDefault="00CE56BB" w:rsidP="00E00D3E">
      <w:pPr>
        <w:pStyle w:val="NormalHanging12a"/>
      </w:pPr>
      <w:r>
        <w:t>C.</w:t>
      </w:r>
      <w:r>
        <w:tab/>
        <w:t>mivel a budapesti nyilatkozat ismételten hangsúlyozza annak fontosságát, hogy 2030-ra a GDP 3%-át kutatásra és fejlesztésre (K+F) fordítsák; mivel a barcelonai nyilatkozat óta eltelt 26 évben csak kevés tagállam érte el ezt a célt; mivel a Horizont Európa program támogathatja e cél elérését, és további forrásokat mozgósíthat köz- és magánszervezetektől;</w:t>
      </w:r>
    </w:p>
    <w:p w14:paraId="27C0DCFC" w14:textId="77777777" w:rsidR="00217B7E" w:rsidRPr="00C172BD" w:rsidRDefault="00CE56BB" w:rsidP="00217B7E">
      <w:pPr>
        <w:pStyle w:val="NormalHanging12a"/>
      </w:pPr>
      <w:bookmarkStart w:id="0" w:name="_Hlk224037259"/>
      <w:r>
        <w:t>D.</w:t>
      </w:r>
      <w:r>
        <w:tab/>
        <w:t>mivel a Letta-jelentés új, „a kutatás, az innováció és az oktatás fokozására irányuló ötödik szabadságot” javasol „az egységes piacon”, amihez megerősített és teljes mértékben működőképes Európai Kutatási Térségre (EKT) van szükség; mivel a Horizont Európa programnak hozzá kell járulnia e további szabadság megvalósításához, többek között a kutatók EKT-n belüli mobilitásának támogatása révén;</w:t>
      </w:r>
    </w:p>
    <w:p w14:paraId="2CEA8318" w14:textId="77777777" w:rsidR="00217B7E" w:rsidRPr="00C172BD" w:rsidRDefault="00CE56BB" w:rsidP="00217B7E">
      <w:pPr>
        <w:pStyle w:val="NormalHanging12a"/>
      </w:pPr>
      <w:r>
        <w:t>E.</w:t>
      </w:r>
      <w:r>
        <w:tab/>
        <w:t>mivel fontos, hogy az erőforrások mozgósítása és a K+I-beruházások növelése ne csak a közszférából származzon, hanem a magánberuházások mozgósításának eszközeként is szolgáljon, ezáltal vonzó beruházási területté téve a K+I-t a vállalkozások, köztük a kis- és középvállalkozások számára;</w:t>
      </w:r>
    </w:p>
    <w:p w14:paraId="3BB3F780" w14:textId="77777777" w:rsidR="00217B7E" w:rsidRPr="00C172BD" w:rsidRDefault="00CE56BB" w:rsidP="00217B7E">
      <w:pPr>
        <w:pStyle w:val="NormalHanging12a"/>
      </w:pPr>
      <w:r>
        <w:t>F.</w:t>
      </w:r>
      <w:r>
        <w:tab/>
        <w:t>mivel a K+I-teljesítmény terén tartósan fennálló egyenlőtlenségek továbbra is korlátozzák az EU általános versenyképességét; mivel az EKT-n belül megerősített konvergenciára van szükség az innovációs szakadék áthidalásához és a tagállamokban rejlő, kiaknázatlan kiváló szakértelem felszabadításához;</w:t>
      </w:r>
    </w:p>
    <w:p w14:paraId="022AC3CB" w14:textId="77777777" w:rsidR="00217B7E" w:rsidRPr="00C172BD" w:rsidRDefault="00CE56BB" w:rsidP="00217B7E">
      <w:pPr>
        <w:pStyle w:val="NormalHanging12a"/>
      </w:pPr>
      <w:r>
        <w:t>G.</w:t>
      </w:r>
      <w:r>
        <w:tab/>
        <w:t>mivel az Ukrajnában zajló teljes körű háború rávilágít a kettős felhasználású technológiák fontosságára;</w:t>
      </w:r>
    </w:p>
    <w:bookmarkEnd w:id="0"/>
    <w:p w14:paraId="3DA5F180" w14:textId="77777777" w:rsidR="00217B7E" w:rsidRPr="00C172BD" w:rsidRDefault="00CE56BB" w:rsidP="00217B7E">
      <w:pPr>
        <w:pStyle w:val="NormalHanging12a"/>
      </w:pPr>
      <w:r>
        <w:t>1.</w:t>
      </w:r>
      <w:r>
        <w:tab/>
        <w:t>úgy véli, hogy a program keretösszegét 154 milliárd EUR-ról 200 milliárd EUR-ra (vagy 177 EUR-ra 2025-ös árakon) kell növelni annak érdekében, hogy az európai versenyképesség a kulcsfontosságú ágazatokban megkapja a szükséges innovációs lendületet, támogassák az EU alapkutatását, és elősegítsék a globális társadalmi kihívásokra adható új megoldásokat, annak érdekében, hogy minden prioritás és programcél számára biztosítva legyen a megfelelő finanszírozási szint, és támogatva legyen az a célkitűzés, hogy le</w:t>
      </w:r>
      <w:r>
        <w:t>gkésőbb 2030-ra a GDP 3%-át K+F-kiadásokra fordítsák;</w:t>
      </w:r>
    </w:p>
    <w:p w14:paraId="222EA288" w14:textId="77777777" w:rsidR="00217B7E" w:rsidRPr="00C172BD" w:rsidRDefault="00CE56BB" w:rsidP="00217B7E">
      <w:pPr>
        <w:pStyle w:val="NormalHanging12a"/>
      </w:pPr>
      <w:r>
        <w:t>2.</w:t>
      </w:r>
      <w:r>
        <w:tab/>
        <w:t>úgy véli, hogy a Horizont Európa program hatékony végrehajtásának biztosítása érdekében a kezdetektől fogva és a következő, 2028–2034-es többéves pénzügyi keret teljes programozási időszaka alatt elegendő emberi és technikai erőforrásnak kell rendelkezésre állnia;</w:t>
      </w:r>
    </w:p>
    <w:p w14:paraId="721DFC84" w14:textId="77777777" w:rsidR="00217B7E" w:rsidRPr="00C172BD" w:rsidRDefault="00CE56BB" w:rsidP="00217B7E">
      <w:pPr>
        <w:pStyle w:val="NormalHanging12a"/>
        <w:rPr>
          <w:bCs/>
          <w:iCs/>
        </w:rPr>
      </w:pPr>
      <w:r>
        <w:t>3.</w:t>
      </w:r>
      <w:r>
        <w:tab/>
        <w:t xml:space="preserve">rámutat arra, hogy a K+I a hosszú távú versenyképesség elsődleges mozgatórugója; ezért úgy véli, hogy a következő pénzügyi keret 2. fejezetének általában, és különösen a Horizont Európa program keretében történő horizontális beavatkozásoknak többek között az EU és a globális versenytársakkal szembeni innovációs szakadék megszüntetésére kell összpontosítaniuk az EU versenyképességének megerősítése, a magas színvonalú kutatásról a piacképes megoldásokra való zökkenőmentes átmenet biztosítása, valamint annak </w:t>
      </w:r>
      <w:r>
        <w:t>érdekében, hogy az európai vállalatok szert tegyenek a nyílt globális versenyben való boldoguláshoz szükséges technológiai előnyre;</w:t>
      </w:r>
    </w:p>
    <w:p w14:paraId="036D4E3D" w14:textId="77777777" w:rsidR="00217B7E" w:rsidRPr="00C172BD" w:rsidRDefault="00CE56BB" w:rsidP="00217B7E">
      <w:pPr>
        <w:pStyle w:val="NormalHanging12a"/>
        <w:rPr>
          <w:bCs/>
          <w:iCs/>
        </w:rPr>
      </w:pPr>
      <w:r>
        <w:t>4.</w:t>
      </w:r>
      <w:r>
        <w:tab/>
        <w:t>úgy véli, hogy a technológiai szuverenitás és reziliencia megerősítése érdekében jelentős forrásokat kell fordítani a biztonsági, kettős felhasználású és védelmi vonatkozású technológiákra és K+I-projektekre; megjegyzi, hogy a Bizottság az Európai Versenyképességi Alap részeként egyedi programot javasolt a védelmi vonatkozású kutatásra; üdvözli, hogy a Horizont Európa továbbra is a polgári és kettős felhasználású kutatás támogatására irányul;</w:t>
      </w:r>
    </w:p>
    <w:p w14:paraId="135F3E6C" w14:textId="77777777" w:rsidR="00217B7E" w:rsidRPr="00C172BD" w:rsidRDefault="00CE56BB" w:rsidP="00217B7E">
      <w:pPr>
        <w:pStyle w:val="NormalHanging12a"/>
      </w:pPr>
      <w:r>
        <w:t>5.</w:t>
      </w:r>
      <w:r>
        <w:tab/>
        <w:t>rámutat arra, hogy a költségvetés 6. cikk szerinti bontása a jogcímek szintjén csak 7 indikatív összeget tartalmaz, szemben a 2021–2027-es időszakban kimutatott 15-tel; aggodalmát fejezi ki amiatt, hogy számos olyan intézkedés esetében – különösen az I. és III. pilléren belül –, ahol a kedvezményezettek nem rendelkeznek egyértelmű pénzügyi keretösszeggel, hiányzik a kiszámítható költségvetés; aggodalommal állapítja meg, hogy ez nagy mozgásteret biztosítana a Bizottság számára ahhoz, hogy a végrehajtás sorá</w:t>
      </w:r>
      <w:r>
        <w:t>n anélkül változtassa meg és döntse el a kiadási prioritásokat, hogy ez hozzáadott értéket jelentene a programból részesülő kutatók, innovátorok és kkv-k számára; javasolja, hogy a hosszú távú kiszámíthatóság, az átláthatóság és a demokratikus elszámoltathatóság növelése érdekében az alap-jogiaktusban határozzanak meg indikatív alkereteket minden pillérre és alprogramra vonatkozóan;</w:t>
      </w:r>
    </w:p>
    <w:p w14:paraId="47EA7AEB" w14:textId="77777777" w:rsidR="00217B7E" w:rsidRPr="00C172BD" w:rsidRDefault="00CE56BB" w:rsidP="00217B7E">
      <w:pPr>
        <w:pStyle w:val="NormalHanging12a"/>
      </w:pPr>
      <w:r>
        <w:t>6.</w:t>
      </w:r>
      <w:r>
        <w:tab/>
        <w:t>elismeri, hogy az Európai Innovációs és Technológiai Intézet (EIT) a tudományos és innovációs társulások (TIT-ek) több generációját hozta létre, kiaknázva a K+I-ökoszisztéma erejét az EU-ban; úgy véli, hogy az EIT-nek a bevált gyakorlatok megosztása, a közpénzek kezelésének támogatása és a TIT-ek közötti hozzáadott érték megteremtése révén elő kell segítenie a TIT-ek sikerét; kéri, hogy biztosítsanak megfelelő pénzügyi és emberi erőforrásokat az EIT számára, biztosítva, hogy ez a decentralizált ügynökség e</w:t>
      </w:r>
      <w:r>
        <w:t>legendő eszközzel rendelkezzen jövőbeli megbízatásának teljesítéséhez és a rábízott feladatok ellátásához;</w:t>
      </w:r>
    </w:p>
    <w:p w14:paraId="097A605E" w14:textId="77777777" w:rsidR="00217B7E" w:rsidRPr="00C172BD" w:rsidRDefault="00CE56BB" w:rsidP="00217B7E">
      <w:pPr>
        <w:pStyle w:val="NormalHanging12a"/>
        <w:rPr>
          <w:bCs/>
          <w:iCs/>
        </w:rPr>
      </w:pPr>
      <w:r>
        <w:t>7.</w:t>
      </w:r>
      <w:r>
        <w:tab/>
        <w:t>véleménye szerint a Horizont Európa programnak továbbra is teljesen önálló és független programnak kell maradnia, ugyanakkor összehangolt stratégiai prioritások révén biztosítania kell az Európai Versenyképességi Alappal való koherenciát és kiegészítő jelleget, saját irányításának, kiválóságon alapuló értékelési kritériumainak és független szabályozásának sérelme nélkül; hangsúlyozza, hogy ugyanakkor elengedhetetlen, hogy a Horizont Európa továbbra is össze legyen hangolva minden olyan uniós programmal, am</w:t>
      </w:r>
      <w:r>
        <w:t>ely kapcsolódhat az innovációhoz és a kutatáshoz, legyen szó akár a képzésről, az egészségügyről, a beruházások vonzásáról vagy az uniós vállalkozások versenyképességének előmozdításáról; tudomásul veszi a Horizont Európa és az Európai Versenyképességi Alap közötti javasolt szinergiákat; egyetért azzal az értékeléssel, hogy a két programnak szorosan együtt kell működnie annak biztosítása érdekében, hogy az uniós költségvetés alkalmas legyen az európai innovátorok támogatására az alapkutatástól a piaci haszn</w:t>
      </w:r>
      <w:r>
        <w:t>osításig; e tekintetben hangsúlyozza, hogy a programok közötti bármilyen kereszthozzájárulásnak megfelelően tükröződnie kell a programok teljesítményéről szóló kimutatásban; hangsúlyozza, hogy a programok közötti fokozott kiegészítő jelleg nem vezethet a kedvezményezettek számára aránytalan összetettséghez; kéri, hogy az uniós finanszírozás legyen egyértelműbb, hozzáférhetőbb és koherensebb, hogy ezzel megkönnyítsék a források igénybevételét és maximalizálják a beruházások hatását;</w:t>
      </w:r>
    </w:p>
    <w:p w14:paraId="36CFA534" w14:textId="77777777" w:rsidR="00217B7E" w:rsidRPr="00C172BD" w:rsidRDefault="00CE56BB" w:rsidP="00217B7E">
      <w:pPr>
        <w:pStyle w:val="NormalHanging12a"/>
        <w:rPr>
          <w:bCs/>
          <w:iCs/>
        </w:rPr>
      </w:pPr>
      <w:r>
        <w:t>8.</w:t>
      </w:r>
      <w:r>
        <w:tab/>
        <w:t>aggodalommal emeli ki a K+I terén a tagállamok között továbbra is fennálló strukturális szakadékot, és fokozott erőfeszítésekre szólít fel e szakadék EU-n belüli áthidalása érdekében;</w:t>
      </w:r>
    </w:p>
    <w:p w14:paraId="5701986D" w14:textId="77777777" w:rsidR="00217B7E" w:rsidRPr="00C172BD" w:rsidRDefault="00CE56BB" w:rsidP="00217B7E">
      <w:pPr>
        <w:pStyle w:val="NormalHanging12a"/>
      </w:pPr>
      <w:r>
        <w:t>9.</w:t>
      </w:r>
      <w:r>
        <w:tab/>
        <w:t>elismeri, hogy a rugalmasság a 2028–2034-es többéves pénzügyi keret Bizottság által javasolt struktúrájának fontos jellemzője; emlékeztet azonban arra, hogy kiszámítható és elegendő éves forrást kell biztosítani a Horizont Európa program számára, figyelembe véve a K+I-projektek hosszú távú jellegét; úgy véli, hogy a program minden egyes tételére vonatkozó indikatív költségvetési előirányzat kiszámíthatóságot biztosítana a végső kedvezményezettek számára anélkül, hogy a költségvetési hatóságot megfosztaná e</w:t>
      </w:r>
      <w:r>
        <w:t xml:space="preserve">lőjogaitól; </w:t>
      </w:r>
    </w:p>
    <w:p w14:paraId="734173F2" w14:textId="77777777" w:rsidR="00217B7E" w:rsidRPr="00C172BD" w:rsidRDefault="00CE56BB" w:rsidP="00217B7E">
      <w:pPr>
        <w:pStyle w:val="NormalHanging12a"/>
      </w:pPr>
      <w:r>
        <w:t>10.</w:t>
      </w:r>
      <w:r>
        <w:tab/>
        <w:t xml:space="preserve">sajnálatát fejezi ki amiatt, hogy a pénzügyi és digitális kimutatás (LFDS) – amely csak 5 költségvetési sort tartalmaz – nem mutat be kellően részletes indikatív költségvetési nómenklatúrát, szemben a </w:t>
      </w:r>
      <w:r>
        <w:t>2021–2027-es időszak 44 költségvetési sorával; úgy véli, hogy ez akadályozza a felügyeletet, a kiszámíthatóságot és a költségvetési hatóság azon képességét, hogy az éves költségvetési eljárás során pontosan irányítsa a szakpolitikai prioritásokat; aggodalmát fejezi ki amiatt, hogy a túlságosan összesített költségvetési struktúra túlzott mértékben megkönnyítené a költségvetési hatóság határozatának hatálya alá nem tartozó átcsoportosításokat; ezért részletesebb nómenklatúrát javasol, amely megfelelően tükröz</w:t>
      </w:r>
      <w:r>
        <w:t>i a program célkitűzéseit és szerkezetét, és fokozza az átláthatóságot, az elszámoltathatóságot és a parlamenti ellenőrzést; emlékeztet arra, hogy a költségvetési nómenklatúrának meg kell felelnie a költségvetési rendelet</w:t>
      </w:r>
      <w:r>
        <w:rPr>
          <w:rStyle w:val="FootnoteReference"/>
        </w:rPr>
        <w:footnoteReference w:id="2"/>
      </w:r>
      <w:r>
        <w:t xml:space="preserve"> 47. cikke (2) bekezdésének, amely előírja, hogy az egyediség, a hatékony és eredményes pénzgazdálkodás és az átláthatóság elvével összhangban valamennyi cím egy szakpolitikai területnek, valamennyi alcím pedig rendszerint egy programnak vagy tevékenységnek feleljen meg; kitart amellett, hogy a költségvetési nómenklatúra a Parlament tárgyalási álláspontjának szerves részét képezi, és azt az intézményközi tárgyalások során meg kell vitatni; e tekintetben úgy véli, hogy a felülvizsgált pénzügyi és digitális k</w:t>
      </w:r>
      <w:r>
        <w:t>imutatásnak a végleges politikai megállapodás részét kell képeznie;</w:t>
      </w:r>
    </w:p>
    <w:p w14:paraId="310A0FC3" w14:textId="77777777" w:rsidR="00205307" w:rsidRPr="00C172BD" w:rsidRDefault="00CE56BB" w:rsidP="00205307">
      <w:pPr>
        <w:pStyle w:val="NormalHanging12a"/>
        <w:rPr>
          <w:bCs/>
          <w:iCs/>
        </w:rPr>
      </w:pPr>
      <w:r>
        <w:t>11.</w:t>
      </w:r>
      <w:r>
        <w:tab/>
        <w:t>kitart amellett, hogy a költségvetés végrehajtása során a megfelelő költségvetési döntéshozatal és a megfelelő parlamenti felügyelet feltétele a kellően részletes és megbízható, megfelelő kormányzati szinttel rendelkező jogalkotás; úgy véli, hogy egy rosszul kialakított „irányítási mechanizmus” nem ellensúlyozhatja a Parlament jogalkotási vagy költségvetési hatásköreinek elvesztését, és nem alkalmas egy olyan program irányítására, amely a tudomány, a technológia és az innováció élvonalában végzett munkát t</w:t>
      </w:r>
      <w:r>
        <w:t>ámogatja, különös tekintettel arra, hogy a stratégiai ágazatok innovációs ciklusait hetekben vagy hónapokban mérik, míg az irányítási mechanizmus éveken át tartó folyamat;</w:t>
      </w:r>
    </w:p>
    <w:p w14:paraId="6A0B87A0" w14:textId="77777777" w:rsidR="00205307" w:rsidRPr="00C172BD" w:rsidRDefault="00CE56BB" w:rsidP="00205307">
      <w:pPr>
        <w:pStyle w:val="NormalHanging12a"/>
      </w:pPr>
      <w:r>
        <w:t>12.</w:t>
      </w:r>
      <w:r>
        <w:tab/>
        <w:t>úgy véli, hogy minden lényeges szakpolitikai szempontot, például a kiadási prioritásokat és a pénzügyi előirányzatokat a Horizont Európa alap-jogiaktusában kell meghatározni, teljes mértékben tiszteletben tartva a Parlament mint társjogalkotó és az EU költségvetési hatóságának egyik ága előjogait; emlékeztet arra, hogy az alap-jogiaktusban nem szereplő, szakpolitikai döntésekkel járó nem alapvető elemeket felhatalmazáson alapuló jogi aktusok, többek között munkaprogramok révén kell elfogadni;</w:t>
      </w:r>
    </w:p>
    <w:p w14:paraId="575EF285" w14:textId="77777777" w:rsidR="00205307" w:rsidRPr="00C172BD" w:rsidRDefault="00CE56BB" w:rsidP="00205307">
      <w:pPr>
        <w:pStyle w:val="NormalHanging12a"/>
      </w:pPr>
      <w:r>
        <w:t>13.</w:t>
      </w:r>
      <w:r>
        <w:tab/>
        <w:t>hangsúlyozza, hogy a program végrehajtásának és kidolgozásának átláthatónak kell lennie, ugyanakkor tiszteletben kell tartania az európai értékeket, valamint az emberi jogokat és a nemzetközi jogot, és azt demokratikus intézményeknek kell támogatniuk;</w:t>
      </w:r>
    </w:p>
    <w:p w14:paraId="708AB9A5" w14:textId="77777777" w:rsidR="00205307" w:rsidRPr="00C172BD" w:rsidRDefault="00CE56BB" w:rsidP="00205307">
      <w:pPr>
        <w:pStyle w:val="NormalHanging12a"/>
      </w:pPr>
      <w:r>
        <w:t>14.</w:t>
      </w:r>
      <w:r>
        <w:tab/>
        <w:t>emlékeztet arra, hogy a javaslat magában foglalja a költségvetési biztosíték igénybevételének lehetőségét; hangsúlyozza, hogy a Horizont Európa keretprogram alapján végrehajtott hitelfelvételi és hitelnyújtási műveletek költségvetési vonzatait egyértelműen meg kell határozni, átlátható módon be kell mutatni és gondosan nyomon kell követni a többéves pénzügyi keret teljes időtartama alatt; kitart amellett, hogy az ilyen műveletekkel kapcsolatos valamennyi döntésnek teljes mértékben tiszteletben kell tartani</w:t>
      </w:r>
      <w:r>
        <w:t>a a társjogalkotók hatásköreit és a költségvetési hatóság előjogait; hangsúlyozza, hogy ezeket az eszközöket stratégiailag kell felhasználni az uniós finanszírozás hatásának, hatékonyságának és fenntarthatóságának maximalizálása érdekében, biztosítva ugyanakkor a teljes átláthatóságot, a hatékony és eredményes kockázatkezelést és a költségvetési hatóság előjogainak tiszteletben tartását; emlékeztet arra, hogy az EU pénzügyi érdekeit többek között olyan intézkedésekkel kell védeni, amelyek garantálják az ell</w:t>
      </w:r>
      <w:r>
        <w:t>enőrizhető adatokhoz való teljes körű hozzáférést, valamint vizsgálati és ellenőrzési jogokat biztosítanak az Európai Csalás Elleni Hivatal, az Európai Ügyészség és az Európai Számvevőszék számára;</w:t>
      </w:r>
    </w:p>
    <w:p w14:paraId="1500ED46" w14:textId="77777777" w:rsidR="00205307" w:rsidRPr="00C172BD" w:rsidRDefault="00CE56BB" w:rsidP="00205307">
      <w:pPr>
        <w:pStyle w:val="NormalHanging12a"/>
      </w:pPr>
      <w:r>
        <w:t>15.</w:t>
      </w:r>
      <w:r>
        <w:tab/>
        <w:t>rámutat arra, hogy az Európai Innovációs Tanács (EIC) – különösen az EIC-alapon keresztül, a Növekvő Európa Alapot is beleértve – azt a célt szolgálja, hogy a Draghi-jelentés célkitűzéseivel összhangban támogassa azokat az európai mélytechnológiás induló vállalkozásokat és növekvő innovatív vállalkozásokat, amelyek hosszú távú stratégiai értéket teremtenek az EU számára; emlékeztet arra, hogy az EIC a maga nemében egyedülálló eszköz, amely összefogja az uniós költségvetést és a magánbefektetőket annak érde</w:t>
      </w:r>
      <w:r>
        <w:t>kében, hogy jelentős tőkéhez jussanak a vállalkozások induló, növekedési és kapacitásbővítési szakaszában; határozottan kéri, hogy a Növekvő Európa Alap a következő többéves pénzügyi keretben is folytassa küldetését az EIC-n belül; hangsúlyozza, hogy biztosítékok bevezetésére van szükség a hatékony költségvetési ellenőrzés biztosítása és az uniós költségvetés hírnévromlásának elkerülése érdekében; ezzel összefüggésben megjegyzi, hogy tekintettel az EIC egyedi jellegére és arra, hogy a gyorsan változó globál</w:t>
      </w:r>
      <w:r>
        <w:t>is kockázatitőke-piacon kell működnie, ahol a jelentős tőkeveszteségek elkerülhetetlenek, szükség esetén – a Költségvetési Bizottsággal és a Költségvetési Ellenőrző Bizottsággal együttműködve – célzott mentességeket kell biztosítani a költségvetési rendelet alól; hangsúlyozza, hogy ezeket a mentességeket alaposan meg kell indokolni, és azok nem áshatják alá a Parlament mint költségvetési hatóság előjogait; emlékeztet az európai stratégiai ágazatokba, többek között a mesterséges intelligenciába, a kvantumtec</w:t>
      </w:r>
      <w:r>
        <w:t>hnológiákba, a kettős felhasználású, a védelmi és tiszta technológiákba való beruházás fontosságára a versenyképesség és az európai stratégiai autonómia fokozása érdekében;</w:t>
      </w:r>
    </w:p>
    <w:p w14:paraId="5F9B537F" w14:textId="77777777" w:rsidR="00205307" w:rsidRPr="00C172BD" w:rsidRDefault="00CE56BB" w:rsidP="00205307">
      <w:pPr>
        <w:pStyle w:val="NormalHanging12a"/>
        <w:rPr>
          <w:bCs/>
          <w:iCs/>
        </w:rPr>
      </w:pPr>
      <w:r>
        <w:t>16.</w:t>
      </w:r>
      <w:r>
        <w:tab/>
        <w:t>hangsúlyozza, hogy támogatni kell a növekvő innovatív vállalkozásokat, és segíteni kell az európai induló innovatív vállalkozásokat abban, hogy átvészeljék a „halálvölgy” szakaszt, amikor a kereskedelmi hasznosítás hiánya gyakran csődhöz vagy az EU-n kívülre történő áthelyezéshez vezet; hangsúlyozza, hogy a Horizont Európa programnak a K+I-t kell az EU gazdasági és beruházási stratégiájának középpontjába helyeznie, míg az Európai Versenyképességi Alapnak a gyorsított fejlesztésre, a végrehajtásra és az ipa</w:t>
      </w:r>
      <w:r>
        <w:t>ri versenyképességre, valamint Európa legerősebb K+I-jének európai szintű léptékváltására és bevezetésére kell összpontosítania;</w:t>
      </w:r>
    </w:p>
    <w:p w14:paraId="64DF0A66" w14:textId="77777777" w:rsidR="00205307" w:rsidRPr="00C172BD" w:rsidRDefault="00CE56BB" w:rsidP="00205307">
      <w:pPr>
        <w:pStyle w:val="NormalHanging12a"/>
      </w:pPr>
      <w:r>
        <w:t>17.</w:t>
      </w:r>
      <w:r>
        <w:tab/>
        <w:t>emlékeztet arra, hogy a Horizont Európa programnak egy „nyitott” (alulról felfelé építkező) és egy „közpolitikai” (felülről lefelé építkező) megközelítést egyaránt magában kell foglalnia, szoros koordinációt és szinergiát fenntartva az Európai Versenyképességi Alappal és annak szakpolitikai ablakaival, különösen a kettős felhasználású technológiák terén, amelyek az EVA keretében bővíthetők; kiemeli, hogy ez a szinergia, valamint a hatékonyságra és eredményességre való összpontosítás elengedhetetlen a haték</w:t>
      </w:r>
      <w:r>
        <w:t>ony és eredményes pénzgazdálkodás elvének való megfelelés szempontjából;</w:t>
      </w:r>
    </w:p>
    <w:p w14:paraId="5B9ECE09" w14:textId="77777777" w:rsidR="00205307" w:rsidRPr="00C172BD" w:rsidRDefault="00CE56BB" w:rsidP="00205307">
      <w:pPr>
        <w:pStyle w:val="NormalHanging12a"/>
        <w:rPr>
          <w:bCs/>
          <w:iCs/>
        </w:rPr>
      </w:pPr>
      <w:r>
        <w:t>18.</w:t>
      </w:r>
      <w:r>
        <w:tab/>
        <w:t>emlékeztet arra, hogy a kkv-k és az induló innovatív vállalkozások jobb részvételének biztosítása érdekében valamennyi pályázó számára egyszerűsíteni kell az adminisztratív eljárásokat, különösen a kisebb vagy közepes méretű projektek esetében, beleértve a pályázati terhek csökkentését és a támogatások gyorsabb folyósítását; e tekintetben hangsúlyozza, hogy a programnak elő kell segítenie mindenféle érdekelt fél, különösen az újonnan belépők, a kkv-k, az induló innovatív és növekvő innovatív vállalkozások,</w:t>
      </w:r>
      <w:r>
        <w:t xml:space="preserve"> a tudományos körök, valamint az új célcsoportok programban való részvételét, különösen a nemzeti kapcsolattartó pontokon keresztül, amelyeknek kapcsolatban kell állniuk más uniós programok releváns támogatási struktúráival;</w:t>
      </w:r>
    </w:p>
    <w:p w14:paraId="76530715" w14:textId="77777777" w:rsidR="00205307" w:rsidRPr="00C172BD" w:rsidRDefault="00CE56BB" w:rsidP="00205307">
      <w:pPr>
        <w:pStyle w:val="NormalHanging12a"/>
      </w:pPr>
      <w:r>
        <w:t>19.</w:t>
      </w:r>
      <w:r>
        <w:tab/>
        <w:t xml:space="preserve">hangsúlyozza, hogy a Horizont Európa programban a külső címzett bevételek felhasználásának teljes mértékben átláthatónak kell lennie, és azt hatékony parlamenti ellenőrzésnek kell alávetni; e tekintetben tudomásul veszi a részt vevő harmadik országok és más adományozók pénzügyi hozzájárulásaira vonatkozó rendelkezéseket; hangsúlyozza, hogy amennyiben az illetékes bizottság fontolóra veszi a külső címzett bevételekre vonatkozó rendelkezések módosítását, ezt a következetes megközelítés biztosítása érdekében </w:t>
      </w:r>
      <w:r>
        <w:t>a Költségvetési Bizottsággal és a többi bizottsággal egyeztetve kell megtennie;</w:t>
      </w:r>
    </w:p>
    <w:p w14:paraId="6A43AC55" w14:textId="77777777" w:rsidR="00205307" w:rsidRPr="00C172BD" w:rsidRDefault="00CE56BB" w:rsidP="00205307">
      <w:pPr>
        <w:pStyle w:val="NormalHanging12a"/>
      </w:pPr>
      <w:r>
        <w:t>20.</w:t>
      </w:r>
      <w:r>
        <w:tab/>
        <w:t>emlékeztet a költségvetési kiadások nyomonkövetési és teljesítménymérési keretének létrehozásáról, valamint az uniós programokra és tevékenységekre vonatkozó egyéb horizontális szabályok megállapításáról szóló rendeletre (teljesítménymérési rendelet) irányuló javaslatra, amely létrehozza a teljesítménymutatók, valamint a nyomonkövetési és értékelési rendelkezések egységes, egyszerűsített listáját, amelyek közül néhány releváns a Horizont Európa szempontjából; emlékeztet arra, hogy a horizontális elvek alka</w:t>
      </w:r>
      <w:r>
        <w:t>lmazásának – amennyiben megvalósítható és helyénvaló – a költségvetési rendelet átdolgozásában foglaltaknak megfelelően összhangban kell lennie az ágazatspecifikus szabályokkal, annak biztosítása érdekében, hogy azokat az ágazati programok sajátosságait megfelelően figyelembe véve alkalmazzák; hangsúlyozza, hogy a rendelet módosítási és tárgyalási folyamata keretében gondoskodni kell arról, hogy a program struktúrájában, célkitűzéseiben és támogatható intézkedéseiben bekövetkező bármely változás megfelelően</w:t>
      </w:r>
      <w:r>
        <w:t xml:space="preserve"> tükröződjön a releváns rendelkezésekben és a teljesítménymérési rendelet I. mellékletében; rámutat, hogy bár az ágazati jogszabályok kiegészíthetik a teljesítménymérési rendeletet, például a programértékelések tekintetében, azoknak továbbra is összhangban kell lenniük a rendelettel;</w:t>
      </w:r>
    </w:p>
    <w:p w14:paraId="413734E3" w14:textId="77777777" w:rsidR="00205307" w:rsidRPr="00C172BD" w:rsidRDefault="00CE56BB" w:rsidP="00205307">
      <w:pPr>
        <w:ind w:left="567" w:hanging="567"/>
      </w:pPr>
      <w:r>
        <w:t>21.</w:t>
      </w:r>
      <w:r>
        <w:tab/>
        <w:t>úgy véli, hogy a visszavont kutatási kötelezettségvállalásokat teljes mértékben újra fel kell használni, hogy segítsék az EU kutatási kapacitásának megerősítését, anélkül, hogy mesterségesen korlátoznák az összegek felső határát, amit a költségvetési rendelet nem ír elő; úgy véli továbbá, hogy a pénzügyi eszközökből befolyó bevételeknek továbbra is rendelkezésre kell állniuk a Horizont Európa programon belül.</w:t>
      </w:r>
    </w:p>
    <w:p w14:paraId="7DF4B38A" w14:textId="77777777" w:rsidR="00C8553D" w:rsidRPr="00C172BD" w:rsidRDefault="00C8553D" w:rsidP="00C8553D"/>
    <w:p w14:paraId="2F98B57C" w14:textId="77777777" w:rsidR="00755CD7" w:rsidRPr="00C172BD" w:rsidRDefault="00755CD7" w:rsidP="00C8553D">
      <w:pPr>
        <w:sectPr w:rsidR="00755CD7" w:rsidRPr="00C172BD" w:rsidSect="00C455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07735BC" w14:textId="77777777" w:rsidR="00CE73B2" w:rsidRPr="00C172BD" w:rsidRDefault="00CE56BB" w:rsidP="00825069">
      <w:pPr>
        <w:pStyle w:val="Normal12a"/>
        <w:rPr>
          <w:rStyle w:val="HideTWBExt"/>
          <w:rFonts w:ascii="Times New Roman" w:hAnsi="Times New Roman"/>
          <w:noProof w:val="0"/>
          <w:vanish w:val="0"/>
          <w:color w:val="auto"/>
          <w:sz w:val="24"/>
        </w:rPr>
      </w:pPr>
      <w:r>
        <w:t>A költségvetési értékelés keretében a Költségvetési Bizottság ezenkívül az alábbi módosításokat terjeszti elő a javaslat tervezetéhez:</w:t>
      </w:r>
    </w:p>
    <w:p w14:paraId="48551F0D" w14:textId="77777777" w:rsidR="000F307C" w:rsidRPr="00C172BD" w:rsidRDefault="00CE56BB" w:rsidP="00E63984">
      <w:pPr>
        <w:pStyle w:val="AmNumberTabs"/>
      </w:pPr>
      <w:r>
        <w:rPr>
          <w:rStyle w:val="HideTWBExt"/>
        </w:rPr>
        <w:t>&lt;RepeatBlock-Amend&gt;</w:t>
      </w:r>
      <w:bookmarkStart w:id="1" w:name="_Hlk203492957"/>
    </w:p>
    <w:p w14:paraId="04950094" w14:textId="77777777" w:rsidR="000F307C" w:rsidRPr="00C172BD" w:rsidRDefault="00CE56BB" w:rsidP="00E63984">
      <w:pPr>
        <w:pStyle w:val="AmNumberTabs"/>
      </w:pPr>
      <w:r>
        <w:rPr>
          <w:rStyle w:val="HideTWBExt"/>
        </w:rPr>
        <w:t>&lt;Amend&gt;</w:t>
      </w:r>
      <w:r>
        <w:t>Módosítás</w:t>
      </w:r>
      <w:r>
        <w:tab/>
      </w:r>
      <w:r>
        <w:tab/>
      </w:r>
      <w:r>
        <w:rPr>
          <w:rStyle w:val="HideTWBExt"/>
        </w:rPr>
        <w:t>&lt;NumAm&gt;</w:t>
      </w:r>
      <w:r>
        <w:t>1</w:t>
      </w:r>
      <w:r>
        <w:rPr>
          <w:rStyle w:val="HideTWBExt"/>
        </w:rPr>
        <w:t>&lt;/NumAm&gt;</w:t>
      </w:r>
    </w:p>
    <w:p w14:paraId="6343F2D9" w14:textId="77777777" w:rsidR="000F307C" w:rsidRPr="00C172BD" w:rsidRDefault="00CE56BB" w:rsidP="000F307C">
      <w:pPr>
        <w:pStyle w:val="Normal12a"/>
        <w:spacing w:after="0"/>
        <w:rPr>
          <w:b/>
        </w:rPr>
      </w:pPr>
      <w:r>
        <w:rPr>
          <w:rStyle w:val="HideTWBExt"/>
        </w:rPr>
        <w:t>&lt;DocAmend&gt;</w:t>
      </w:r>
      <w:r>
        <w:rPr>
          <w:b/>
        </w:rPr>
        <w:t xml:space="preserve">Rendeletre </w:t>
      </w:r>
      <w:r>
        <w:rPr>
          <w:b/>
        </w:rPr>
        <w:t>irányuló javaslat</w:t>
      </w:r>
      <w:r>
        <w:rPr>
          <w:rStyle w:val="HideTWBExt"/>
        </w:rPr>
        <w:t>&lt;/DocAmend&gt;</w:t>
      </w:r>
    </w:p>
    <w:p w14:paraId="40C85ACE" w14:textId="77777777" w:rsidR="000F307C" w:rsidRPr="00C172BD" w:rsidRDefault="00CE56BB" w:rsidP="000F307C">
      <w:pPr>
        <w:pStyle w:val="Normal12a"/>
        <w:spacing w:after="0"/>
        <w:rPr>
          <w:b/>
        </w:rPr>
      </w:pPr>
      <w:r>
        <w:rPr>
          <w:rStyle w:val="HideTWBExt"/>
        </w:rPr>
        <w:t>&lt;Article&gt;</w:t>
      </w:r>
      <w:r>
        <w:rPr>
          <w:b/>
        </w:rPr>
        <w:t>34 preambulumbekezdés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63A0B176" w14:textId="77777777">
        <w:trPr>
          <w:jc w:val="center"/>
        </w:trPr>
        <w:tc>
          <w:tcPr>
            <w:tcW w:w="9750" w:type="dxa"/>
            <w:gridSpan w:val="2"/>
          </w:tcPr>
          <w:p w14:paraId="615060DC" w14:textId="77777777" w:rsidR="000F307C" w:rsidRPr="00C172BD" w:rsidRDefault="000F307C" w:rsidP="005A2392">
            <w:pPr>
              <w:pStyle w:val="Normal6a"/>
            </w:pPr>
          </w:p>
        </w:tc>
      </w:tr>
      <w:tr w:rsidR="00B06836" w14:paraId="6DB8CB98" w14:textId="77777777">
        <w:trPr>
          <w:jc w:val="center"/>
        </w:trPr>
        <w:tc>
          <w:tcPr>
            <w:tcW w:w="4875" w:type="dxa"/>
            <w:hideMark/>
          </w:tcPr>
          <w:p w14:paraId="26C4D808" w14:textId="77777777" w:rsidR="000F307C" w:rsidRPr="00C172BD" w:rsidRDefault="00CE56BB" w:rsidP="00E00D3E">
            <w:pPr>
              <w:pStyle w:val="AmColumnHeading"/>
            </w:pPr>
            <w:r>
              <w:t>A Bizottság által javasolt szöveg</w:t>
            </w:r>
          </w:p>
        </w:tc>
        <w:tc>
          <w:tcPr>
            <w:tcW w:w="4875" w:type="dxa"/>
            <w:hideMark/>
          </w:tcPr>
          <w:p w14:paraId="68A06E6A" w14:textId="77777777" w:rsidR="000F307C" w:rsidRPr="00C172BD" w:rsidRDefault="00CE56BB" w:rsidP="00E00D3E">
            <w:pPr>
              <w:pStyle w:val="AmColumnHeading"/>
            </w:pPr>
            <w:r>
              <w:t>Módosítás</w:t>
            </w:r>
          </w:p>
        </w:tc>
      </w:tr>
      <w:tr w:rsidR="00B06836" w14:paraId="48F1B38B" w14:textId="77777777" w:rsidTr="000F307C">
        <w:trPr>
          <w:jc w:val="center"/>
        </w:trPr>
        <w:tc>
          <w:tcPr>
            <w:tcW w:w="4875" w:type="dxa"/>
          </w:tcPr>
          <w:p w14:paraId="6567866B" w14:textId="77777777" w:rsidR="000F307C" w:rsidRPr="00C172BD" w:rsidRDefault="00CE56BB" w:rsidP="005A2392">
            <w:pPr>
              <w:pStyle w:val="Normal6a"/>
            </w:pPr>
            <w:r>
              <w:t>(34)</w:t>
            </w:r>
            <w:r>
              <w:tab/>
              <w:t xml:space="preserve">Amennyiben a program keretében nyújtott uniós támogatást költségvetési biztosíték vagy pénzügyi eszköz formájában kell </w:t>
            </w:r>
            <w:r>
              <w:t>nyújtani – többek között vegyesfinanszírozási művelet keretében nyújtott vissza nem térítendő támogatással kombinálva –, az EIC keretében nyújtott pénzügyi eszközök kivételével az ilyen támogatás nyújtására kizárólag az EVA InvestEU-eszközén keresztül kerülhet sor, az EVA InvestEU-eszköz alkalmazandó szabályaival összhangban.</w:t>
            </w:r>
            <w:r>
              <w:rPr>
                <w:i/>
              </w:rPr>
              <w:t> </w:t>
            </w:r>
          </w:p>
        </w:tc>
        <w:tc>
          <w:tcPr>
            <w:tcW w:w="4875" w:type="dxa"/>
          </w:tcPr>
          <w:p w14:paraId="4F9CAEFB" w14:textId="77777777" w:rsidR="000F307C" w:rsidRPr="00C172BD" w:rsidRDefault="00CE56BB" w:rsidP="005A2392">
            <w:pPr>
              <w:pStyle w:val="Normal6a"/>
            </w:pPr>
            <w:r>
              <w:t>(34)</w:t>
            </w:r>
            <w:r>
              <w:tab/>
              <w:t>Amennyiben a program keretében nyújtott uniós támogatást költségvetési biztosíték vagy pénzügyi eszköz formájában kell nyújtani – többek között vegyesfinanszírozási művelet keretében nyújtott vissza nem térítendő támogatással kombinálva –, az EIC</w:t>
            </w:r>
            <w:r>
              <w:rPr>
                <w:b/>
                <w:i/>
              </w:rPr>
              <w:t>, ezen belül a Növekvő Európa Alap</w:t>
            </w:r>
            <w:r>
              <w:t xml:space="preserve"> keretében nyújtott pénzügyi eszközök kivételével az ilyen támogatás nyújtására kizárólag az EVA InvestEU-eszközén keresztül kerülhet sor, az EVA InvestEU-eszköz alkalmazandó szabályaival összhangban.</w:t>
            </w:r>
          </w:p>
        </w:tc>
      </w:tr>
    </w:tbl>
    <w:p w14:paraId="7B81A599" w14:textId="77777777" w:rsidR="00610FA5" w:rsidRPr="00C172BD" w:rsidRDefault="00CE56BB" w:rsidP="00E63984">
      <w:pPr>
        <w:pStyle w:val="AmNumberTabs"/>
        <w:rPr>
          <w:rStyle w:val="HideTWBExt"/>
        </w:rPr>
      </w:pPr>
      <w:r>
        <w:rPr>
          <w:rStyle w:val="HideTWBExt"/>
        </w:rPr>
        <w:t>&lt;/Amend&gt;</w:t>
      </w:r>
    </w:p>
    <w:p w14:paraId="37BAD113" w14:textId="77777777" w:rsidR="00976019" w:rsidRPr="00C172BD" w:rsidRDefault="00CE56BB" w:rsidP="00976019">
      <w:pPr>
        <w:pStyle w:val="AmNumberTabs"/>
      </w:pPr>
      <w:r>
        <w:rPr>
          <w:rStyle w:val="HideTWBExt"/>
        </w:rPr>
        <w:t>&lt;Amend&gt;</w:t>
      </w:r>
      <w:r>
        <w:t>Módosítás</w:t>
      </w:r>
      <w:r>
        <w:tab/>
      </w:r>
      <w:r>
        <w:tab/>
      </w:r>
      <w:r>
        <w:rPr>
          <w:rStyle w:val="HideTWBExt"/>
        </w:rPr>
        <w:t>&lt;NumAm&gt;</w:t>
      </w:r>
      <w:r>
        <w:t>2</w:t>
      </w:r>
      <w:r>
        <w:rPr>
          <w:rStyle w:val="HideTWBExt"/>
        </w:rPr>
        <w:t>&lt;/NumAm&gt;</w:t>
      </w:r>
    </w:p>
    <w:p w14:paraId="14F38E5C" w14:textId="77777777" w:rsidR="00976019" w:rsidRPr="00C172BD" w:rsidRDefault="00CE56BB" w:rsidP="00976019">
      <w:pPr>
        <w:pStyle w:val="Normal12a"/>
        <w:spacing w:after="0"/>
        <w:rPr>
          <w:b/>
        </w:rPr>
      </w:pPr>
      <w:r>
        <w:rPr>
          <w:rStyle w:val="HideTWBExt"/>
        </w:rPr>
        <w:t>&lt;DocAmend&gt;</w:t>
      </w:r>
      <w:r>
        <w:rPr>
          <w:b/>
        </w:rPr>
        <w:t>Rendeletre irányuló javaslat</w:t>
      </w:r>
      <w:r>
        <w:rPr>
          <w:rStyle w:val="HideTWBExt"/>
        </w:rPr>
        <w:t>&lt;/DocAmend&gt;</w:t>
      </w:r>
    </w:p>
    <w:p w14:paraId="5EA92BB3" w14:textId="77777777" w:rsidR="00976019" w:rsidRPr="00C172BD" w:rsidRDefault="00CE56BB" w:rsidP="00976019">
      <w:pPr>
        <w:pStyle w:val="Normal12a"/>
        <w:spacing w:after="0"/>
        <w:rPr>
          <w:b/>
        </w:rPr>
      </w:pPr>
      <w:r>
        <w:rPr>
          <w:rStyle w:val="HideTWBExt"/>
        </w:rPr>
        <w:t>&lt;Article&gt;</w:t>
      </w:r>
      <w:r>
        <w:rPr>
          <w:b/>
        </w:rPr>
        <w:t>36 a preambulumbekezdés (új)</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282D1B45" w14:textId="77777777" w:rsidTr="00582163">
        <w:trPr>
          <w:jc w:val="center"/>
        </w:trPr>
        <w:tc>
          <w:tcPr>
            <w:tcW w:w="9750" w:type="dxa"/>
            <w:gridSpan w:val="2"/>
          </w:tcPr>
          <w:p w14:paraId="1AFE486C" w14:textId="77777777" w:rsidR="00976019" w:rsidRPr="00C172BD" w:rsidRDefault="00976019" w:rsidP="00582163">
            <w:pPr>
              <w:pStyle w:val="Normal6a"/>
            </w:pPr>
          </w:p>
        </w:tc>
      </w:tr>
      <w:tr w:rsidR="00B06836" w14:paraId="044FDDF8" w14:textId="77777777" w:rsidTr="00582163">
        <w:trPr>
          <w:jc w:val="center"/>
        </w:trPr>
        <w:tc>
          <w:tcPr>
            <w:tcW w:w="4875" w:type="dxa"/>
            <w:hideMark/>
          </w:tcPr>
          <w:p w14:paraId="657BFD35" w14:textId="77777777" w:rsidR="00976019" w:rsidRPr="00C172BD" w:rsidRDefault="00CE56BB" w:rsidP="00582163">
            <w:pPr>
              <w:pStyle w:val="AmColumnHeading"/>
            </w:pPr>
            <w:r>
              <w:t>A Bizottság által javasolt szöveg</w:t>
            </w:r>
          </w:p>
        </w:tc>
        <w:tc>
          <w:tcPr>
            <w:tcW w:w="4875" w:type="dxa"/>
            <w:hideMark/>
          </w:tcPr>
          <w:p w14:paraId="60ADBD9B" w14:textId="77777777" w:rsidR="00976019" w:rsidRPr="00C172BD" w:rsidRDefault="00CE56BB" w:rsidP="00582163">
            <w:pPr>
              <w:pStyle w:val="AmColumnHeading"/>
            </w:pPr>
            <w:r>
              <w:t>Módosítás</w:t>
            </w:r>
          </w:p>
        </w:tc>
      </w:tr>
      <w:tr w:rsidR="00B06836" w14:paraId="0A64D628" w14:textId="77777777" w:rsidTr="00582163">
        <w:trPr>
          <w:jc w:val="center"/>
        </w:trPr>
        <w:tc>
          <w:tcPr>
            <w:tcW w:w="4875" w:type="dxa"/>
          </w:tcPr>
          <w:p w14:paraId="070333D6" w14:textId="77777777" w:rsidR="00976019" w:rsidRPr="00C172BD" w:rsidRDefault="00976019" w:rsidP="00582163">
            <w:pPr>
              <w:pStyle w:val="Normal6a"/>
            </w:pPr>
          </w:p>
        </w:tc>
        <w:tc>
          <w:tcPr>
            <w:tcW w:w="4875" w:type="dxa"/>
            <w:hideMark/>
          </w:tcPr>
          <w:p w14:paraId="20E849D3" w14:textId="77777777" w:rsidR="00976019" w:rsidRPr="00C172BD" w:rsidRDefault="00CE56BB" w:rsidP="00582163">
            <w:pPr>
              <w:pStyle w:val="Normal6a"/>
              <w:rPr>
                <w:b/>
                <w:bCs/>
                <w:i/>
                <w:iCs/>
              </w:rPr>
            </w:pPr>
            <w:r>
              <w:rPr>
                <w:b/>
                <w:i/>
              </w:rPr>
              <w:t>(36a)</w:t>
            </w:r>
            <w:r>
              <w:rPr>
                <w:b/>
                <w:i/>
              </w:rPr>
              <w:tab/>
              <w:t xml:space="preserve">A </w:t>
            </w:r>
            <w:r>
              <w:rPr>
                <w:b/>
                <w:i/>
              </w:rPr>
              <w:t>Horizont Európa program és más uniós eszközök – többek között az Európai Versenyképességi Alap – közötti kiegészítő jelleg nem mehet a kiadások nyomonkövethetőségének vagy a költségvetési hatóság előjogainak rovására. A Horizont Európa program által a közösen finanszírozott intézkedésekhez nyújtott hozzájárulásnak a költségvetési ciklus valamennyi szakaszában egyértelműen azonosíthatónak kell lennie, és annak megfelelően tükröződnie kell a programteljesítmény-kimutatásban.</w:t>
            </w:r>
          </w:p>
        </w:tc>
      </w:tr>
    </w:tbl>
    <w:p w14:paraId="59788057" w14:textId="77777777" w:rsidR="00976019" w:rsidRPr="00C172BD" w:rsidRDefault="00CE56BB" w:rsidP="00976019">
      <w:pPr>
        <w:pStyle w:val="AmNumberTabs"/>
      </w:pPr>
      <w:r>
        <w:rPr>
          <w:rStyle w:val="HideTWBExt"/>
        </w:rPr>
        <w:t>&lt;/Amend&gt;</w:t>
      </w:r>
    </w:p>
    <w:p w14:paraId="7EE07234" w14:textId="77777777" w:rsidR="00976019" w:rsidRPr="00C172BD" w:rsidRDefault="00976019" w:rsidP="00E63984">
      <w:pPr>
        <w:pStyle w:val="AmNumberTabs"/>
      </w:pPr>
    </w:p>
    <w:p w14:paraId="038A249D" w14:textId="77777777" w:rsidR="00610FA5" w:rsidRPr="00C172BD" w:rsidRDefault="00CE56BB" w:rsidP="00E63984">
      <w:pPr>
        <w:pStyle w:val="AmNumberTabs"/>
      </w:pPr>
      <w:r>
        <w:rPr>
          <w:rStyle w:val="HideTWBExt"/>
        </w:rPr>
        <w:t>&lt;Amend&gt;</w:t>
      </w:r>
      <w:r>
        <w:t>Módosítás</w:t>
      </w:r>
      <w:r>
        <w:tab/>
      </w:r>
      <w:r>
        <w:tab/>
      </w:r>
      <w:r>
        <w:rPr>
          <w:rStyle w:val="HideTWBExt"/>
        </w:rPr>
        <w:t>&lt;NumAm&gt;</w:t>
      </w:r>
      <w:r>
        <w:t>3</w:t>
      </w:r>
      <w:r>
        <w:rPr>
          <w:rStyle w:val="HideTWBExt"/>
        </w:rPr>
        <w:t>&lt;/NumAm&gt;</w:t>
      </w:r>
    </w:p>
    <w:p w14:paraId="65AB47EA" w14:textId="77777777" w:rsidR="00610FA5" w:rsidRPr="00C172BD" w:rsidRDefault="00CE56BB" w:rsidP="00610FA5">
      <w:pPr>
        <w:pStyle w:val="Normal12a"/>
        <w:spacing w:after="0"/>
        <w:rPr>
          <w:b/>
        </w:rPr>
      </w:pPr>
      <w:r>
        <w:rPr>
          <w:rStyle w:val="HideTWBExt"/>
        </w:rPr>
        <w:t>&lt;DocAmend&gt;</w:t>
      </w:r>
      <w:r>
        <w:rPr>
          <w:b/>
        </w:rPr>
        <w:t>Rendeletre irányuló javaslat</w:t>
      </w:r>
      <w:r>
        <w:rPr>
          <w:rStyle w:val="HideTWBExt"/>
        </w:rPr>
        <w:t>&lt;/DocAmend&gt;</w:t>
      </w:r>
    </w:p>
    <w:p w14:paraId="76F2D4A4" w14:textId="77777777" w:rsidR="00205307" w:rsidRPr="00C172BD" w:rsidRDefault="00CE56BB" w:rsidP="00205307">
      <w:pPr>
        <w:pStyle w:val="Normal12a"/>
        <w:rPr>
          <w:rFonts w:ascii="Arial" w:hAnsi="Arial" w:cs="Arial"/>
          <w:b/>
          <w:noProof/>
          <w:color w:val="000080"/>
          <w:sz w:val="20"/>
        </w:rPr>
      </w:pPr>
      <w:r>
        <w:rPr>
          <w:rStyle w:val="HideTWBExt"/>
        </w:rPr>
        <w:t>&lt;Article&gt;</w:t>
      </w:r>
      <w:r>
        <w:rPr>
          <w:b/>
        </w:rPr>
        <w:t>37 b preambulumbekezdés (új)</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06836" w14:paraId="5F998A63" w14:textId="77777777">
        <w:trPr>
          <w:jc w:val="center"/>
        </w:trPr>
        <w:tc>
          <w:tcPr>
            <w:tcW w:w="9752" w:type="dxa"/>
            <w:gridSpan w:val="2"/>
          </w:tcPr>
          <w:p w14:paraId="5CD48259" w14:textId="77777777" w:rsidR="00610FA5" w:rsidRPr="00C172BD" w:rsidRDefault="00610FA5" w:rsidP="005A2392">
            <w:pPr>
              <w:pStyle w:val="Normal6a"/>
            </w:pPr>
          </w:p>
        </w:tc>
      </w:tr>
      <w:tr w:rsidR="00B06836" w14:paraId="2B9165A7" w14:textId="77777777">
        <w:trPr>
          <w:jc w:val="center"/>
        </w:trPr>
        <w:tc>
          <w:tcPr>
            <w:tcW w:w="4876" w:type="dxa"/>
            <w:hideMark/>
          </w:tcPr>
          <w:p w14:paraId="205EF40C" w14:textId="77777777" w:rsidR="00610FA5" w:rsidRPr="00C172BD" w:rsidRDefault="00CE56BB" w:rsidP="00E00D3E">
            <w:pPr>
              <w:pStyle w:val="AmColumnHeading"/>
            </w:pPr>
            <w:r>
              <w:t>A Bizottság által javasolt szöveg</w:t>
            </w:r>
          </w:p>
        </w:tc>
        <w:tc>
          <w:tcPr>
            <w:tcW w:w="4876" w:type="dxa"/>
            <w:hideMark/>
          </w:tcPr>
          <w:p w14:paraId="75C54267" w14:textId="77777777" w:rsidR="00610FA5" w:rsidRPr="00C172BD" w:rsidRDefault="00CE56BB" w:rsidP="00E00D3E">
            <w:pPr>
              <w:pStyle w:val="AmColumnHeading"/>
            </w:pPr>
            <w:r>
              <w:t>Módosítás</w:t>
            </w:r>
          </w:p>
        </w:tc>
      </w:tr>
      <w:tr w:rsidR="00B06836" w14:paraId="7A55BCBD" w14:textId="77777777">
        <w:trPr>
          <w:jc w:val="center"/>
        </w:trPr>
        <w:tc>
          <w:tcPr>
            <w:tcW w:w="4876" w:type="dxa"/>
            <w:hideMark/>
          </w:tcPr>
          <w:p w14:paraId="03F57171" w14:textId="77777777" w:rsidR="00610FA5" w:rsidRPr="00C172BD" w:rsidRDefault="00610FA5" w:rsidP="005A2392">
            <w:pPr>
              <w:pStyle w:val="Normal6a"/>
            </w:pPr>
          </w:p>
        </w:tc>
        <w:tc>
          <w:tcPr>
            <w:tcW w:w="4876" w:type="dxa"/>
            <w:hideMark/>
          </w:tcPr>
          <w:p w14:paraId="7A0DB13F" w14:textId="77777777" w:rsidR="00610FA5" w:rsidRPr="00C172BD" w:rsidRDefault="00CE56BB" w:rsidP="005A2392">
            <w:pPr>
              <w:pStyle w:val="Normal6a"/>
              <w:rPr>
                <w:b/>
                <w:bCs/>
                <w:i/>
                <w:iCs/>
              </w:rPr>
            </w:pPr>
            <w:r>
              <w:rPr>
                <w:b/>
                <w:i/>
              </w:rPr>
              <w:t>(37b)</w:t>
            </w:r>
            <w:r>
              <w:rPr>
                <w:b/>
                <w:i/>
              </w:rPr>
              <w:tab/>
              <w:t>E rendelet rendelkezéseinek és irányítási rendszerének elő kell segíteniük a költségvetési hatóság megfelelő döntéshozatalát és a megfelelő parlamenti felügyeletet. A program belső felépítésére vonatkozó valamennyi előírásnak – a megfelelő költségvetési sorok bevezetésén keresztül – kellően tükröződnie kell a költségvetési nómenklatúrában.</w:t>
            </w:r>
          </w:p>
        </w:tc>
      </w:tr>
    </w:tbl>
    <w:p w14:paraId="46368C6E" w14:textId="77777777" w:rsidR="00610FA5" w:rsidRPr="00C172BD" w:rsidRDefault="00CE56BB" w:rsidP="00E63984">
      <w:pPr>
        <w:pStyle w:val="AmNumberTabs"/>
      </w:pPr>
      <w:r>
        <w:rPr>
          <w:rStyle w:val="HideTWBExt"/>
        </w:rPr>
        <w:t>&lt;/Amend&gt;</w:t>
      </w:r>
    </w:p>
    <w:p w14:paraId="35B635D9" w14:textId="77777777" w:rsidR="00976019" w:rsidRPr="00C172BD" w:rsidRDefault="00CE56BB" w:rsidP="00976019">
      <w:pPr>
        <w:pStyle w:val="AmNumberTabs"/>
      </w:pPr>
      <w:r>
        <w:rPr>
          <w:rStyle w:val="HideTWBExt"/>
        </w:rPr>
        <w:t>&lt;Amend&gt;</w:t>
      </w:r>
      <w:r>
        <w:t>Módosítás</w:t>
      </w:r>
      <w:r>
        <w:tab/>
      </w:r>
      <w:r>
        <w:tab/>
      </w:r>
      <w:r>
        <w:rPr>
          <w:rStyle w:val="HideTWBExt"/>
        </w:rPr>
        <w:t>&lt;NumAm&gt;</w:t>
      </w:r>
      <w:r>
        <w:t>4</w:t>
      </w:r>
      <w:r>
        <w:rPr>
          <w:rStyle w:val="HideTWBExt"/>
        </w:rPr>
        <w:t>&lt;/NumAm&gt;</w:t>
      </w:r>
    </w:p>
    <w:p w14:paraId="2A3C902A" w14:textId="77777777" w:rsidR="00976019" w:rsidRPr="00C172BD" w:rsidRDefault="00CE56BB" w:rsidP="00976019">
      <w:pPr>
        <w:pStyle w:val="Normal12a"/>
        <w:spacing w:after="0"/>
        <w:rPr>
          <w:b/>
        </w:rPr>
      </w:pPr>
      <w:r>
        <w:rPr>
          <w:rStyle w:val="HideTWBExt"/>
        </w:rPr>
        <w:t>&lt;DocAmend&gt;</w:t>
      </w:r>
      <w:r>
        <w:rPr>
          <w:b/>
        </w:rPr>
        <w:t>Rendeletre irányuló javaslat</w:t>
      </w:r>
      <w:r>
        <w:rPr>
          <w:rStyle w:val="HideTWBExt"/>
        </w:rPr>
        <w:t>&lt;/DocAmend&gt;</w:t>
      </w:r>
    </w:p>
    <w:p w14:paraId="707355ED" w14:textId="77777777" w:rsidR="00976019" w:rsidRPr="00C172BD" w:rsidRDefault="00CE56BB" w:rsidP="00976019">
      <w:pPr>
        <w:pStyle w:val="Normal12a"/>
        <w:spacing w:after="0"/>
        <w:rPr>
          <w:b/>
        </w:rPr>
      </w:pPr>
      <w:r>
        <w:rPr>
          <w:rStyle w:val="HideTWBExt"/>
        </w:rPr>
        <w:t>&lt;Article&gt;</w:t>
      </w:r>
      <w:r>
        <w:rPr>
          <w:b/>
        </w:rPr>
        <w:t>37 c preambulumbekezdés (új)</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0629E024" w14:textId="77777777" w:rsidTr="00582163">
        <w:trPr>
          <w:jc w:val="center"/>
        </w:trPr>
        <w:tc>
          <w:tcPr>
            <w:tcW w:w="9752" w:type="dxa"/>
            <w:gridSpan w:val="2"/>
          </w:tcPr>
          <w:p w14:paraId="13B4478E" w14:textId="77777777" w:rsidR="00976019" w:rsidRPr="00C172BD" w:rsidRDefault="00976019" w:rsidP="00582163">
            <w:pPr>
              <w:pStyle w:val="Normal6a"/>
            </w:pPr>
          </w:p>
        </w:tc>
      </w:tr>
      <w:tr w:rsidR="00B06836" w14:paraId="12A7A07A" w14:textId="77777777" w:rsidTr="00582163">
        <w:trPr>
          <w:jc w:val="center"/>
        </w:trPr>
        <w:tc>
          <w:tcPr>
            <w:tcW w:w="4876" w:type="dxa"/>
            <w:hideMark/>
          </w:tcPr>
          <w:p w14:paraId="0F88787B" w14:textId="77777777" w:rsidR="00976019" w:rsidRPr="00C172BD" w:rsidRDefault="00CE56BB" w:rsidP="00582163">
            <w:pPr>
              <w:pStyle w:val="AmColumnHeading"/>
            </w:pPr>
            <w:r>
              <w:t>A Bizottság által javasolt szöveg</w:t>
            </w:r>
          </w:p>
        </w:tc>
        <w:tc>
          <w:tcPr>
            <w:tcW w:w="4876" w:type="dxa"/>
            <w:hideMark/>
          </w:tcPr>
          <w:p w14:paraId="0182D164" w14:textId="77777777" w:rsidR="00976019" w:rsidRPr="00C172BD" w:rsidRDefault="00CE56BB" w:rsidP="00582163">
            <w:pPr>
              <w:pStyle w:val="AmColumnHeading"/>
            </w:pPr>
            <w:r>
              <w:t>Módosítás</w:t>
            </w:r>
          </w:p>
        </w:tc>
      </w:tr>
      <w:tr w:rsidR="00B06836" w14:paraId="2F12D1AC" w14:textId="77777777" w:rsidTr="00582163">
        <w:trPr>
          <w:jc w:val="center"/>
        </w:trPr>
        <w:tc>
          <w:tcPr>
            <w:tcW w:w="4876" w:type="dxa"/>
          </w:tcPr>
          <w:p w14:paraId="43C4362C" w14:textId="77777777" w:rsidR="00976019" w:rsidRPr="00C172BD" w:rsidRDefault="00976019" w:rsidP="00582163">
            <w:pPr>
              <w:pStyle w:val="Normal6a"/>
            </w:pPr>
          </w:p>
        </w:tc>
        <w:tc>
          <w:tcPr>
            <w:tcW w:w="4876" w:type="dxa"/>
            <w:shd w:val="clear" w:color="auto" w:fill="auto"/>
            <w:hideMark/>
          </w:tcPr>
          <w:p w14:paraId="595F10C2" w14:textId="77777777" w:rsidR="00976019" w:rsidRPr="00C172BD" w:rsidRDefault="00CE56BB" w:rsidP="00582163">
            <w:pPr>
              <w:pStyle w:val="Normal6a"/>
            </w:pPr>
            <w:r>
              <w:rPr>
                <w:b/>
                <w:i/>
              </w:rPr>
              <w:t>(37c)</w:t>
            </w:r>
            <w:r>
              <w:rPr>
                <w:b/>
                <w:i/>
              </w:rPr>
              <w:tab/>
              <w:t xml:space="preserve">A költségvetési rendelet 15. cikkének (3) </w:t>
            </w:r>
            <w:r>
              <w:rPr>
                <w:b/>
                <w:i/>
              </w:rPr>
              <w:t>bekezdésével összhangban a visszavont kutatási kötelezettségvállalásokat újra fel kell használni, hogy segítsék az Unió kutatási kapacitásának megerősítését, anélkül, hogy bármilyen megelőző felső határt vezetnének be, amely korlátozza az éves költségvetési eljárás során a költségvetési hatóságot.</w:t>
            </w:r>
            <w:r>
              <w:t xml:space="preserve"> </w:t>
            </w:r>
          </w:p>
        </w:tc>
      </w:tr>
    </w:tbl>
    <w:p w14:paraId="00027C3E" w14:textId="77777777" w:rsidR="00976019" w:rsidRPr="00C172BD" w:rsidRDefault="00CE56BB" w:rsidP="00976019">
      <w:pPr>
        <w:pStyle w:val="AmNumberTabs"/>
      </w:pPr>
      <w:r>
        <w:rPr>
          <w:rStyle w:val="HideTWBExt"/>
        </w:rPr>
        <w:t>&lt;/Amend&gt;</w:t>
      </w:r>
    </w:p>
    <w:p w14:paraId="7A65184F" w14:textId="77777777" w:rsidR="000F307C" w:rsidRPr="00C172BD" w:rsidRDefault="000F307C" w:rsidP="00E63984">
      <w:pPr>
        <w:pStyle w:val="AmNumberTabs"/>
        <w:rPr>
          <w:rStyle w:val="HideTWBExt"/>
          <w:color w:val="auto"/>
        </w:rPr>
      </w:pPr>
    </w:p>
    <w:p w14:paraId="13627AFA" w14:textId="77777777" w:rsidR="006D16AE" w:rsidRPr="00C172BD" w:rsidRDefault="00CE56BB" w:rsidP="00E63984">
      <w:pPr>
        <w:pStyle w:val="AmNumberTabs"/>
      </w:pPr>
      <w:r>
        <w:rPr>
          <w:rStyle w:val="HideTWBExt"/>
        </w:rPr>
        <w:t>&lt;Amend&gt;</w:t>
      </w:r>
      <w:r>
        <w:t>Módosítás</w:t>
      </w:r>
      <w:r>
        <w:tab/>
      </w:r>
      <w:r>
        <w:tab/>
      </w:r>
      <w:r>
        <w:rPr>
          <w:rStyle w:val="HideTWBExt"/>
        </w:rPr>
        <w:t>&lt;NumAm&gt;</w:t>
      </w:r>
      <w:r>
        <w:t>5</w:t>
      </w:r>
      <w:r>
        <w:rPr>
          <w:rStyle w:val="HideTWBExt"/>
        </w:rPr>
        <w:t>&lt;/NumAm&gt;</w:t>
      </w:r>
    </w:p>
    <w:p w14:paraId="441475DA" w14:textId="77777777" w:rsidR="007F1A57" w:rsidRPr="00C172BD" w:rsidRDefault="007F1A57" w:rsidP="000F307C">
      <w:pPr>
        <w:pStyle w:val="Normal12a"/>
        <w:rPr>
          <w:rFonts w:ascii="Arial" w:hAnsi="Arial"/>
          <w:noProof/>
          <w:vanish/>
          <w:color w:val="000080"/>
          <w:sz w:val="20"/>
        </w:rPr>
      </w:pPr>
    </w:p>
    <w:p w14:paraId="5FFA0C67" w14:textId="77777777" w:rsidR="006D16AE" w:rsidRPr="00C172BD" w:rsidRDefault="00CE56BB" w:rsidP="00760D63">
      <w:pPr>
        <w:pStyle w:val="Normal12a"/>
        <w:spacing w:after="0"/>
        <w:rPr>
          <w:b/>
        </w:rPr>
      </w:pPr>
      <w:r>
        <w:rPr>
          <w:rStyle w:val="HideTWBExt"/>
        </w:rPr>
        <w:t>&lt;DocAmend&gt;</w:t>
      </w:r>
      <w:r>
        <w:rPr>
          <w:b/>
        </w:rPr>
        <w:t>Rendeletre irányuló javaslat</w:t>
      </w:r>
      <w:r>
        <w:rPr>
          <w:rStyle w:val="HideTWBExt"/>
        </w:rPr>
        <w:t>&lt;/DocAmend&gt;</w:t>
      </w:r>
    </w:p>
    <w:p w14:paraId="16BAADF4" w14:textId="77777777" w:rsidR="00205307" w:rsidRPr="00C172BD" w:rsidRDefault="00CE56BB" w:rsidP="00205307">
      <w:pPr>
        <w:pStyle w:val="Normal12a"/>
        <w:rPr>
          <w:rFonts w:ascii="Arial" w:hAnsi="Arial" w:cs="Arial"/>
          <w:b/>
          <w:noProof/>
          <w:color w:val="000080"/>
          <w:sz w:val="20"/>
        </w:rPr>
      </w:pPr>
      <w:r>
        <w:rPr>
          <w:rStyle w:val="HideTWBExt"/>
        </w:rPr>
        <w:t>&lt;Article&gt;</w:t>
      </w:r>
      <w:r>
        <w:rPr>
          <w:b/>
        </w:rPr>
        <w:t>38 a preambulumbekezdés (új)</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08880304" w14:textId="77777777" w:rsidTr="005A2392">
        <w:trPr>
          <w:jc w:val="center"/>
        </w:trPr>
        <w:tc>
          <w:tcPr>
            <w:tcW w:w="9752" w:type="dxa"/>
            <w:gridSpan w:val="2"/>
          </w:tcPr>
          <w:p w14:paraId="12B017A6" w14:textId="77777777" w:rsidR="006D16AE" w:rsidRPr="00C172BD" w:rsidRDefault="006D16AE" w:rsidP="005A2392">
            <w:pPr>
              <w:pStyle w:val="Normal6a"/>
            </w:pPr>
          </w:p>
        </w:tc>
      </w:tr>
      <w:tr w:rsidR="00B06836" w14:paraId="5CB5BC40" w14:textId="77777777" w:rsidTr="005A2392">
        <w:trPr>
          <w:jc w:val="center"/>
        </w:trPr>
        <w:tc>
          <w:tcPr>
            <w:tcW w:w="4876" w:type="dxa"/>
            <w:hideMark/>
          </w:tcPr>
          <w:p w14:paraId="64E85D68" w14:textId="77777777" w:rsidR="006D16AE" w:rsidRPr="00C172BD" w:rsidRDefault="00CE56BB" w:rsidP="00E00D3E">
            <w:pPr>
              <w:pStyle w:val="AmColumnHeading"/>
            </w:pPr>
            <w:r>
              <w:t>A Bizottság által javasolt szöveg</w:t>
            </w:r>
          </w:p>
        </w:tc>
        <w:tc>
          <w:tcPr>
            <w:tcW w:w="4876" w:type="dxa"/>
            <w:hideMark/>
          </w:tcPr>
          <w:p w14:paraId="41545E62" w14:textId="77777777" w:rsidR="006D16AE" w:rsidRPr="00C172BD" w:rsidRDefault="00CE56BB" w:rsidP="00E00D3E">
            <w:pPr>
              <w:pStyle w:val="AmColumnHeading"/>
            </w:pPr>
            <w:r>
              <w:t>Módosítás</w:t>
            </w:r>
          </w:p>
        </w:tc>
      </w:tr>
      <w:tr w:rsidR="00B06836" w14:paraId="30E6837B" w14:textId="77777777" w:rsidTr="005A2392">
        <w:trPr>
          <w:jc w:val="center"/>
        </w:trPr>
        <w:tc>
          <w:tcPr>
            <w:tcW w:w="4876" w:type="dxa"/>
            <w:hideMark/>
          </w:tcPr>
          <w:p w14:paraId="4303DD9C" w14:textId="77777777" w:rsidR="006D16AE" w:rsidRPr="00C172BD" w:rsidRDefault="006D16AE" w:rsidP="005A2392">
            <w:pPr>
              <w:pStyle w:val="Normal6a"/>
            </w:pPr>
          </w:p>
        </w:tc>
        <w:tc>
          <w:tcPr>
            <w:tcW w:w="4876" w:type="dxa"/>
            <w:hideMark/>
          </w:tcPr>
          <w:p w14:paraId="065974E7" w14:textId="77777777" w:rsidR="006D16AE" w:rsidRPr="00C172BD" w:rsidRDefault="00CE56BB" w:rsidP="005A2392">
            <w:pPr>
              <w:pStyle w:val="Normal6a"/>
            </w:pPr>
            <w:r>
              <w:rPr>
                <w:b/>
                <w:i/>
              </w:rPr>
              <w:t>(38a)</w:t>
            </w:r>
            <w:r>
              <w:rPr>
                <w:b/>
                <w:i/>
              </w:rPr>
              <w:tab/>
              <w:t xml:space="preserve">Az </w:t>
            </w:r>
            <w:r>
              <w:rPr>
                <w:b/>
                <w:i/>
              </w:rPr>
              <w:t>Európai Unió működéséről szóló szerződés 310. cikkének (4) bekezdésével összhangban sor került e rendelet uniós költségvetésre gyakorolt hatásainak értékelésére</w:t>
            </w:r>
            <w:r>
              <w:rPr>
                <w:b/>
                <w:i/>
                <w:vertAlign w:val="superscript"/>
              </w:rPr>
              <w:t>+</w:t>
            </w:r>
            <w:r>
              <w:rPr>
                <w:b/>
                <w:i/>
              </w:rPr>
              <w:t>. Elegendő pénzügyi forrást és emberi erőforrást kell elkülöníteni e határozat végrehajtására, figyelembe véve ugyanakkor a finanszírozás más uniós programokra vagy szakpolitikákra gyakorolt hatását és biztosítva, hogy az összeegyeztethető legyen a többéves pénzügyi kerettel, a saját források rendszerével és a kapcsolódó intézményközi megállapodássa</w:t>
            </w:r>
            <w:r>
              <w:rPr>
                <w:b/>
                <w:i/>
              </w:rPr>
              <w:t>l, valamint az (EU, Euratom) 2024/2509 európai parlamenti és tanácsi rendeletben meghatározott költségvetési elvekkel</w:t>
            </w:r>
            <w:r>
              <w:rPr>
                <w:b/>
                <w:i/>
                <w:vertAlign w:val="superscript"/>
              </w:rPr>
              <w:t>[1]</w:t>
            </w:r>
            <w:r>
              <w:rPr>
                <w:b/>
                <w:i/>
              </w:rPr>
              <w:t>.</w:t>
            </w:r>
          </w:p>
        </w:tc>
      </w:tr>
      <w:tr w:rsidR="00B06836" w14:paraId="40AE54B1" w14:textId="77777777" w:rsidTr="005A2392">
        <w:trPr>
          <w:jc w:val="center"/>
        </w:trPr>
        <w:tc>
          <w:tcPr>
            <w:tcW w:w="4876" w:type="dxa"/>
          </w:tcPr>
          <w:p w14:paraId="164EDD0E" w14:textId="77777777" w:rsidR="006D16AE" w:rsidRPr="00C172BD" w:rsidRDefault="006D16AE" w:rsidP="005A2392">
            <w:pPr>
              <w:pStyle w:val="Normal6a"/>
            </w:pPr>
          </w:p>
        </w:tc>
        <w:tc>
          <w:tcPr>
            <w:tcW w:w="4876" w:type="dxa"/>
            <w:hideMark/>
          </w:tcPr>
          <w:p w14:paraId="6A830D9E" w14:textId="77777777" w:rsidR="006D16AE" w:rsidRPr="00C172BD" w:rsidRDefault="00CE56BB" w:rsidP="005A2392">
            <w:pPr>
              <w:pStyle w:val="Normal6a"/>
              <w:rPr>
                <w:b/>
                <w:i/>
              </w:rPr>
            </w:pPr>
            <w:r>
              <w:rPr>
                <w:b/>
                <w:i/>
              </w:rPr>
              <w:t>____________________</w:t>
            </w:r>
          </w:p>
        </w:tc>
      </w:tr>
      <w:tr w:rsidR="00B06836" w14:paraId="0E6CAC4D" w14:textId="77777777" w:rsidTr="005A2392">
        <w:trPr>
          <w:jc w:val="center"/>
        </w:trPr>
        <w:tc>
          <w:tcPr>
            <w:tcW w:w="4876" w:type="dxa"/>
          </w:tcPr>
          <w:p w14:paraId="7AF3F286" w14:textId="77777777" w:rsidR="006D16AE" w:rsidRPr="00C172BD" w:rsidRDefault="006D16AE" w:rsidP="005A2392">
            <w:pPr>
              <w:pStyle w:val="Normal6a"/>
            </w:pPr>
          </w:p>
        </w:tc>
        <w:tc>
          <w:tcPr>
            <w:tcW w:w="4876" w:type="dxa"/>
            <w:hideMark/>
          </w:tcPr>
          <w:p w14:paraId="7BABF1EB" w14:textId="77777777" w:rsidR="006D16AE" w:rsidRPr="00C172BD" w:rsidRDefault="00CE56BB" w:rsidP="005A2392">
            <w:pPr>
              <w:pStyle w:val="Normal6a"/>
              <w:rPr>
                <w:b/>
                <w:bCs/>
                <w:i/>
                <w:iCs/>
              </w:rPr>
            </w:pPr>
            <w:r>
              <w:rPr>
                <w:b/>
                <w:i/>
                <w:vertAlign w:val="superscript"/>
              </w:rPr>
              <w:t>+</w:t>
            </w:r>
            <w:r>
              <w:rPr>
                <w:b/>
                <w:i/>
              </w:rPr>
              <w:t xml:space="preserve"> Pro memoria: Az Európai Parlament Költségvetési Bizottságának 2026. június 23-i költségvetési </w:t>
            </w:r>
            <w:r>
              <w:rPr>
                <w:b/>
                <w:i/>
              </w:rPr>
              <w:t>értékelése a Horizont Európa kutatási és innovációs keretprogramnak a 2028–2034 közötti időszakra történő létrehozásáról, valamint részvételi és terjesztési szabályainak megállapításáról, továbbá az (EU) 2021/695 rendelet hatályon kívül helyezéséről szóló európai parlamenti és tanácsi rendeletre irányuló javaslatról (COM(2025)0543).</w:t>
            </w:r>
          </w:p>
        </w:tc>
      </w:tr>
      <w:tr w:rsidR="00B06836" w14:paraId="42B9D2D1" w14:textId="77777777" w:rsidTr="005A2392">
        <w:trPr>
          <w:jc w:val="center"/>
        </w:trPr>
        <w:tc>
          <w:tcPr>
            <w:tcW w:w="4876" w:type="dxa"/>
          </w:tcPr>
          <w:p w14:paraId="7A1AB70C" w14:textId="77777777" w:rsidR="005A2392" w:rsidRPr="00C172BD" w:rsidRDefault="005A2392" w:rsidP="005A2392">
            <w:pPr>
              <w:pStyle w:val="Normal6a"/>
            </w:pPr>
          </w:p>
        </w:tc>
        <w:tc>
          <w:tcPr>
            <w:tcW w:w="4876" w:type="dxa"/>
          </w:tcPr>
          <w:p w14:paraId="6DED4696" w14:textId="2EFB125D" w:rsidR="005A2392" w:rsidRPr="00C172BD" w:rsidRDefault="00CE56BB" w:rsidP="005A2392">
            <w:pPr>
              <w:pStyle w:val="Normal6a"/>
              <w:rPr>
                <w:i/>
                <w:vertAlign w:val="superscript"/>
              </w:rPr>
            </w:pPr>
            <w:r>
              <w:rPr>
                <w:b/>
                <w:i/>
                <w:vertAlign w:val="superscript"/>
              </w:rPr>
              <w:t>[1]</w:t>
            </w:r>
            <w:r>
              <w:rPr>
                <w:b/>
                <w:i/>
              </w:rPr>
              <w:t xml:space="preserve"> Az Európai Parlament és a Tanács (EU, Euratom) 2024/2509 rendelete (2024. szeptember 23.) az Unió általános költségvetésére alkalmazandó pénzügyi szabályokról (HL L, 2024/2509, 2024.9.26., ELI: </w:t>
            </w:r>
            <w:hyperlink r:id="rId15" w:history="1">
              <w:r w:rsidR="005A2392">
                <w:rPr>
                  <w:rStyle w:val="Hyperlink"/>
                  <w:b/>
                  <w:i/>
                  <w:color w:val="auto"/>
                </w:rPr>
                <w:t>http://data.europa.eu/eli/reg/2024/2509/oj</w:t>
              </w:r>
            </w:hyperlink>
            <w:r>
              <w:rPr>
                <w:b/>
                <w:i/>
              </w:rPr>
              <w:t>).</w:t>
            </w:r>
          </w:p>
        </w:tc>
      </w:tr>
    </w:tbl>
    <w:p w14:paraId="6DD96C2C" w14:textId="77777777" w:rsidR="00F26123" w:rsidRPr="00C172BD" w:rsidRDefault="00CE56BB" w:rsidP="00E63984">
      <w:pPr>
        <w:pStyle w:val="AmNumberTabs"/>
      </w:pPr>
      <w:r>
        <w:rPr>
          <w:rStyle w:val="HideTWBExt"/>
        </w:rPr>
        <w:t>&lt;/Amend&gt;</w:t>
      </w:r>
    </w:p>
    <w:p w14:paraId="4917C26E" w14:textId="77777777" w:rsidR="00C04E9D" w:rsidRPr="00C172BD" w:rsidRDefault="00CE56BB" w:rsidP="00E63984">
      <w:pPr>
        <w:pStyle w:val="AmNumberTabs"/>
      </w:pPr>
      <w:bookmarkStart w:id="2" w:name="_Hlk233194052"/>
      <w:bookmarkStart w:id="3" w:name="_Hlk233194012"/>
      <w:r>
        <w:rPr>
          <w:rStyle w:val="HideTWBExt"/>
        </w:rPr>
        <w:t>&lt;Amend&gt;</w:t>
      </w:r>
      <w:r>
        <w:t>Módosítás</w:t>
      </w:r>
      <w:r>
        <w:tab/>
      </w:r>
      <w:r>
        <w:tab/>
      </w:r>
      <w:r>
        <w:rPr>
          <w:rStyle w:val="HideTWBExt"/>
        </w:rPr>
        <w:t>&lt;NumAm&gt;</w:t>
      </w:r>
      <w:r>
        <w:t>6</w:t>
      </w:r>
      <w:r>
        <w:rPr>
          <w:rStyle w:val="HideTWBExt"/>
        </w:rPr>
        <w:t>&lt;/NumAm&gt;</w:t>
      </w:r>
    </w:p>
    <w:p w14:paraId="2F8AC5E9" w14:textId="77777777" w:rsidR="00C04E9D" w:rsidRPr="00C172BD" w:rsidRDefault="00CE56BB" w:rsidP="00760D63">
      <w:pPr>
        <w:pStyle w:val="Normal12a"/>
        <w:spacing w:after="0"/>
        <w:rPr>
          <w:b/>
        </w:rPr>
      </w:pPr>
      <w:r>
        <w:rPr>
          <w:rStyle w:val="HideTWBExt"/>
        </w:rPr>
        <w:t>&lt;DocAmend&gt;</w:t>
      </w:r>
      <w:r>
        <w:rPr>
          <w:b/>
        </w:rPr>
        <w:t>Rendeletre irányuló javaslat</w:t>
      </w:r>
      <w:r>
        <w:rPr>
          <w:rStyle w:val="HideTWBExt"/>
        </w:rPr>
        <w:t>&lt;/DocAmend&gt;</w:t>
      </w:r>
    </w:p>
    <w:p w14:paraId="79D74E36" w14:textId="77777777" w:rsidR="00C04E9D" w:rsidRPr="00C172BD" w:rsidRDefault="00CE56BB" w:rsidP="00760D63">
      <w:pPr>
        <w:pStyle w:val="Normal12a"/>
        <w:spacing w:after="0"/>
        <w:rPr>
          <w:b/>
        </w:rPr>
      </w:pPr>
      <w:r>
        <w:rPr>
          <w:rStyle w:val="HideTWBExt"/>
        </w:rPr>
        <w:t>&lt;Article&gt;</w:t>
      </w:r>
      <w:r>
        <w:rPr>
          <w:b/>
        </w:rPr>
        <w:t>6 cikk – 1 bekezdés</w:t>
      </w:r>
      <w:r>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64D917E9" w14:textId="77777777" w:rsidTr="00D22A96">
        <w:trPr>
          <w:jc w:val="center"/>
        </w:trPr>
        <w:tc>
          <w:tcPr>
            <w:tcW w:w="9750" w:type="dxa"/>
            <w:gridSpan w:val="2"/>
          </w:tcPr>
          <w:p w14:paraId="53E07443" w14:textId="77777777" w:rsidR="00C04E9D" w:rsidRPr="00C172BD" w:rsidRDefault="00C04E9D" w:rsidP="005A2392">
            <w:pPr>
              <w:pStyle w:val="Normal6a"/>
            </w:pPr>
          </w:p>
        </w:tc>
      </w:tr>
      <w:tr w:rsidR="00B06836" w14:paraId="77521F27" w14:textId="77777777" w:rsidTr="00D22A96">
        <w:trPr>
          <w:jc w:val="center"/>
        </w:trPr>
        <w:tc>
          <w:tcPr>
            <w:tcW w:w="4875" w:type="dxa"/>
            <w:hideMark/>
          </w:tcPr>
          <w:p w14:paraId="77774339" w14:textId="77777777" w:rsidR="00C04E9D" w:rsidRPr="00C172BD" w:rsidRDefault="00CE56BB" w:rsidP="00E00D3E">
            <w:pPr>
              <w:pStyle w:val="AmColumnHeading"/>
            </w:pPr>
            <w:r>
              <w:t>A Bizottság által javasolt szöveg</w:t>
            </w:r>
          </w:p>
        </w:tc>
        <w:tc>
          <w:tcPr>
            <w:tcW w:w="4875" w:type="dxa"/>
            <w:hideMark/>
          </w:tcPr>
          <w:p w14:paraId="355ACC08" w14:textId="77777777" w:rsidR="00C04E9D" w:rsidRPr="00C172BD" w:rsidRDefault="00CE56BB" w:rsidP="00E00D3E">
            <w:pPr>
              <w:pStyle w:val="AmColumnHeading"/>
            </w:pPr>
            <w:r>
              <w:t>Módosítás</w:t>
            </w:r>
          </w:p>
        </w:tc>
      </w:tr>
      <w:tr w:rsidR="00B06836" w14:paraId="3DE7E51E" w14:textId="77777777" w:rsidTr="00D22A96">
        <w:trPr>
          <w:jc w:val="center"/>
        </w:trPr>
        <w:tc>
          <w:tcPr>
            <w:tcW w:w="4875" w:type="dxa"/>
          </w:tcPr>
          <w:p w14:paraId="2482099D" w14:textId="77777777" w:rsidR="00D22A96" w:rsidRPr="00C172BD" w:rsidRDefault="00CE56BB" w:rsidP="005A2392">
            <w:pPr>
              <w:pStyle w:val="Normal6a"/>
            </w:pPr>
            <w:r>
              <w:t>(1)</w:t>
            </w:r>
            <w:r>
              <w:tab/>
              <w:t xml:space="preserve">A </w:t>
            </w:r>
            <w:r>
              <w:rPr>
                <w:b/>
                <w:i/>
              </w:rPr>
              <w:t>program indikatív pénzügyi keretösszege</w:t>
            </w:r>
            <w:r>
              <w:t xml:space="preserve"> a 2028</w:t>
            </w:r>
            <w:r>
              <w:rPr>
                <w:b/>
                <w:i/>
              </w:rPr>
              <w:t>. január 1.</w:t>
            </w:r>
            <w:r>
              <w:t xml:space="preserve"> és 2034</w:t>
            </w:r>
            <w:r>
              <w:rPr>
                <w:b/>
                <w:i/>
              </w:rPr>
              <w:t>. december 31. közötti időszakra</w:t>
            </w:r>
            <w:r>
              <w:t xml:space="preserve"> folyó </w:t>
            </w:r>
            <w:r>
              <w:rPr>
                <w:b/>
                <w:i/>
              </w:rPr>
              <w:t>áron 175 002</w:t>
            </w:r>
            <w:r>
              <w:t> 000 000 EUR.</w:t>
            </w:r>
          </w:p>
        </w:tc>
        <w:tc>
          <w:tcPr>
            <w:tcW w:w="4875" w:type="dxa"/>
            <w:hideMark/>
          </w:tcPr>
          <w:p w14:paraId="2BB79BFC" w14:textId="77777777" w:rsidR="00D22A96" w:rsidRPr="00C172BD" w:rsidRDefault="00CE56BB" w:rsidP="005A2392">
            <w:pPr>
              <w:pStyle w:val="Normal6a"/>
            </w:pPr>
            <w:r>
              <w:t>(1)</w:t>
            </w:r>
            <w:r>
              <w:tab/>
              <w:t xml:space="preserve">A </w:t>
            </w:r>
            <w:r>
              <w:rPr>
                <w:b/>
                <w:i/>
              </w:rPr>
              <w:t>programnak</w:t>
            </w:r>
            <w:r>
              <w:t xml:space="preserve"> a 2028 és 2034 </w:t>
            </w:r>
            <w:r>
              <w:rPr>
                <w:b/>
                <w:i/>
              </w:rPr>
              <w:t>közötti időszakban a rendelet végrehajtására szánt keretösszege</w:t>
            </w:r>
            <w:r>
              <w:t xml:space="preserve"> folyó </w:t>
            </w:r>
            <w:r>
              <w:rPr>
                <w:b/>
                <w:i/>
              </w:rPr>
              <w:t>árakon 200 003 562</w:t>
            </w:r>
            <w:r>
              <w:rPr>
                <w:b/>
              </w:rPr>
              <w:t xml:space="preserve"> 000</w:t>
            </w:r>
            <w:r>
              <w:t> </w:t>
            </w:r>
            <w:r>
              <w:rPr>
                <w:b/>
                <w:i/>
              </w:rPr>
              <w:t>EUR (2025-ös árakon 177 010</w:t>
            </w:r>
            <w:r>
              <w:rPr>
                <w:b/>
              </w:rPr>
              <w:t> 000 </w:t>
            </w:r>
            <w:r>
              <w:rPr>
                <w:b/>
                <w:i/>
              </w:rPr>
              <w:t>000</w:t>
            </w:r>
            <w:r>
              <w:t xml:space="preserve"> EUR</w:t>
            </w:r>
            <w:r>
              <w:rPr>
                <w:b/>
                <w:i/>
              </w:rPr>
              <w:t>)</w:t>
            </w:r>
            <w:r>
              <w:t>.</w:t>
            </w:r>
          </w:p>
        </w:tc>
      </w:tr>
    </w:tbl>
    <w:p w14:paraId="044D902F" w14:textId="77777777" w:rsidR="00D22A96" w:rsidRPr="00C172BD" w:rsidRDefault="00CE56BB" w:rsidP="00E63984">
      <w:pPr>
        <w:pStyle w:val="AmNumberTabs"/>
      </w:pPr>
      <w:r>
        <w:rPr>
          <w:rStyle w:val="HideTWBExt"/>
        </w:rPr>
        <w:t>&lt;/Amend&gt;</w:t>
      </w:r>
    </w:p>
    <w:bookmarkEnd w:id="3"/>
    <w:p w14:paraId="2EA11E36" w14:textId="77777777" w:rsidR="00760D63" w:rsidRPr="00C172BD" w:rsidRDefault="00CE56BB" w:rsidP="00E63984">
      <w:pPr>
        <w:pStyle w:val="AmNumberTabs"/>
      </w:pPr>
      <w:r>
        <w:rPr>
          <w:rStyle w:val="HideTWBExt"/>
        </w:rPr>
        <w:t>&lt;Amend&gt;</w:t>
      </w:r>
      <w:r>
        <w:t>Módosítás</w:t>
      </w:r>
      <w:r>
        <w:tab/>
      </w:r>
      <w:r>
        <w:tab/>
      </w:r>
      <w:r>
        <w:rPr>
          <w:rStyle w:val="HideTWBExt"/>
        </w:rPr>
        <w:t>&lt;NumAm&gt;</w:t>
      </w:r>
      <w:r>
        <w:t>7</w:t>
      </w:r>
      <w:r>
        <w:rPr>
          <w:rStyle w:val="HideTWBExt"/>
        </w:rPr>
        <w:t>&lt;/NumAm&gt;</w:t>
      </w:r>
    </w:p>
    <w:p w14:paraId="7610CDDD" w14:textId="77777777" w:rsidR="00760D63" w:rsidRPr="00C172BD" w:rsidRDefault="00CE56BB" w:rsidP="00760D63">
      <w:pPr>
        <w:pStyle w:val="Normal12a"/>
        <w:spacing w:after="0"/>
        <w:rPr>
          <w:b/>
        </w:rPr>
      </w:pPr>
      <w:r>
        <w:rPr>
          <w:rStyle w:val="HideTWBExt"/>
        </w:rPr>
        <w:t>&lt;DocAmend&gt;</w:t>
      </w:r>
      <w:r>
        <w:rPr>
          <w:b/>
        </w:rPr>
        <w:t>Rendeletre irányuló javaslat</w:t>
      </w:r>
      <w:r>
        <w:rPr>
          <w:rStyle w:val="HideTWBExt"/>
        </w:rPr>
        <w:t>&lt;/DocAmend&gt;</w:t>
      </w:r>
    </w:p>
    <w:p w14:paraId="7DB685BA" w14:textId="77777777" w:rsidR="00760D63" w:rsidRPr="00C172BD" w:rsidRDefault="00CE56BB" w:rsidP="00760D63">
      <w:pPr>
        <w:pStyle w:val="Normal12a"/>
        <w:spacing w:after="0"/>
        <w:rPr>
          <w:b/>
        </w:rPr>
      </w:pPr>
      <w:r>
        <w:rPr>
          <w:rStyle w:val="HideTWBExt"/>
        </w:rPr>
        <w:t>&lt;Article&gt;</w:t>
      </w:r>
      <w:r>
        <w:rPr>
          <w:b/>
        </w:rPr>
        <w:t>7 cikk – 2 a bekezdés (új)</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38217EC0" w14:textId="77777777">
        <w:trPr>
          <w:jc w:val="center"/>
        </w:trPr>
        <w:tc>
          <w:tcPr>
            <w:tcW w:w="9750" w:type="dxa"/>
            <w:gridSpan w:val="2"/>
          </w:tcPr>
          <w:p w14:paraId="5E3526E1" w14:textId="77777777" w:rsidR="00760D63" w:rsidRPr="00C172BD" w:rsidRDefault="00760D63" w:rsidP="005A2392">
            <w:pPr>
              <w:pStyle w:val="Normal6a"/>
            </w:pPr>
          </w:p>
        </w:tc>
      </w:tr>
      <w:tr w:rsidR="00B06836" w14:paraId="147E0DEB" w14:textId="77777777">
        <w:trPr>
          <w:jc w:val="center"/>
        </w:trPr>
        <w:tc>
          <w:tcPr>
            <w:tcW w:w="4875" w:type="dxa"/>
            <w:hideMark/>
          </w:tcPr>
          <w:p w14:paraId="78084CA3" w14:textId="77777777" w:rsidR="00760D63" w:rsidRPr="00C172BD" w:rsidRDefault="00CE56BB" w:rsidP="00E00D3E">
            <w:pPr>
              <w:pStyle w:val="AmColumnHeading"/>
            </w:pPr>
            <w:r>
              <w:t>A Bizottság által javasolt szöveg</w:t>
            </w:r>
          </w:p>
        </w:tc>
        <w:tc>
          <w:tcPr>
            <w:tcW w:w="4875" w:type="dxa"/>
            <w:hideMark/>
          </w:tcPr>
          <w:p w14:paraId="7170EE97" w14:textId="77777777" w:rsidR="00760D63" w:rsidRPr="00C172BD" w:rsidRDefault="00CE56BB" w:rsidP="00E00D3E">
            <w:pPr>
              <w:pStyle w:val="AmColumnHeading"/>
            </w:pPr>
            <w:r>
              <w:t>Módosítás</w:t>
            </w:r>
          </w:p>
        </w:tc>
      </w:tr>
      <w:tr w:rsidR="00B06836" w14:paraId="4FEC980C" w14:textId="77777777">
        <w:trPr>
          <w:jc w:val="center"/>
        </w:trPr>
        <w:tc>
          <w:tcPr>
            <w:tcW w:w="4875" w:type="dxa"/>
          </w:tcPr>
          <w:p w14:paraId="42E8BBF9" w14:textId="77777777" w:rsidR="00760D63" w:rsidRPr="00C172BD" w:rsidRDefault="00760D63" w:rsidP="005A2392">
            <w:pPr>
              <w:pStyle w:val="Normal6a"/>
            </w:pPr>
          </w:p>
        </w:tc>
        <w:tc>
          <w:tcPr>
            <w:tcW w:w="4875" w:type="dxa"/>
            <w:hideMark/>
          </w:tcPr>
          <w:p w14:paraId="758023DC" w14:textId="77777777" w:rsidR="00760D63" w:rsidRPr="00C172BD" w:rsidRDefault="00CE56BB" w:rsidP="005A2392">
            <w:pPr>
              <w:pStyle w:val="Normal6a"/>
            </w:pPr>
            <w:r>
              <w:rPr>
                <w:b/>
                <w:i/>
              </w:rPr>
              <w:t>(2a)</w:t>
            </w:r>
            <w:r>
              <w:rPr>
                <w:b/>
                <w:i/>
              </w:rPr>
              <w:tab/>
            </w:r>
            <w:r>
              <w:rPr>
                <w:b/>
                <w:i/>
              </w:rPr>
              <w:t xml:space="preserve">[2028. január 1-jétől/a program kezdő időpontjától] a költségvetési rendelet 212. cikke (3) bekezdésének első, második és negyedik albekezdésétől eltérve az e rendeletből vagy annak elődjéből finanszírozott pénzügyi eszközökből származó, az Európai Versenyképességi Alapon keresztül tartalékolt bevételeket, visszafizetéseket és visszafizettetéseket a Horizont Európa eszköz keretében történő uniós támogatás nyújtására kell felhasználni. A költségvetési rendelet 21. cikke (3) bekezdésének f) pontjától eltérve </w:t>
            </w:r>
            <w:r>
              <w:rPr>
                <w:b/>
                <w:i/>
              </w:rPr>
              <w:t>és 21. cikkének (5) bekezdésével összhangban ezek a források a Horizont Európa program külső címzett bevételének minősülnek. Az EIC alap által végrehajtott pénzügyi eszközökből származó bevételek, visszafizetések és visszafizettetések az EIC alap egyenlegén maradnak.</w:t>
            </w:r>
          </w:p>
        </w:tc>
      </w:tr>
    </w:tbl>
    <w:p w14:paraId="4291D834" w14:textId="77777777" w:rsidR="00BA7BC0" w:rsidRPr="00C172BD" w:rsidRDefault="00CE56BB" w:rsidP="00E63984">
      <w:pPr>
        <w:pStyle w:val="AmNumberTabs"/>
      </w:pPr>
      <w:r>
        <w:rPr>
          <w:rStyle w:val="HideTWBExt"/>
        </w:rPr>
        <w:t>&lt;/Amend&gt;</w:t>
      </w:r>
    </w:p>
    <w:p w14:paraId="7020268B" w14:textId="77777777" w:rsidR="00BA7BC0" w:rsidRPr="00C172BD" w:rsidRDefault="00CE56BB" w:rsidP="00E63984">
      <w:pPr>
        <w:pStyle w:val="AmNumberTabs"/>
      </w:pPr>
      <w:r>
        <w:rPr>
          <w:rStyle w:val="HideTWBExt"/>
        </w:rPr>
        <w:t>&lt;Amend&gt;</w:t>
      </w:r>
      <w:r>
        <w:t>Módosítás</w:t>
      </w:r>
      <w:r>
        <w:tab/>
      </w:r>
      <w:r>
        <w:tab/>
      </w:r>
      <w:r>
        <w:rPr>
          <w:rStyle w:val="HideTWBExt"/>
        </w:rPr>
        <w:t>&lt;NumAm&gt;</w:t>
      </w:r>
      <w:r>
        <w:t>8</w:t>
      </w:r>
      <w:r>
        <w:rPr>
          <w:rStyle w:val="HideTWBExt"/>
        </w:rPr>
        <w:t>&lt;/NumAm&gt;</w:t>
      </w:r>
    </w:p>
    <w:p w14:paraId="1C7392AB" w14:textId="77777777" w:rsidR="00BA7BC0" w:rsidRPr="00C172BD" w:rsidRDefault="00CE56BB" w:rsidP="00BA7BC0">
      <w:pPr>
        <w:pStyle w:val="Normal12a"/>
        <w:spacing w:after="0"/>
        <w:rPr>
          <w:b/>
        </w:rPr>
      </w:pPr>
      <w:r>
        <w:rPr>
          <w:rStyle w:val="HideTWBExt"/>
        </w:rPr>
        <w:t>&lt;DocAmend&gt;</w:t>
      </w:r>
      <w:r>
        <w:rPr>
          <w:b/>
        </w:rPr>
        <w:t>Rendeletre irányuló javaslat</w:t>
      </w:r>
      <w:r>
        <w:rPr>
          <w:rStyle w:val="HideTWBExt"/>
        </w:rPr>
        <w:t>&lt;/DocAmend&gt;</w:t>
      </w:r>
    </w:p>
    <w:p w14:paraId="18CE5A74" w14:textId="77777777" w:rsidR="00BA7BC0" w:rsidRPr="00C172BD" w:rsidRDefault="00CE56BB" w:rsidP="00BA7BC0">
      <w:pPr>
        <w:pStyle w:val="Normal12a"/>
        <w:spacing w:after="0"/>
        <w:rPr>
          <w:b/>
        </w:rPr>
      </w:pPr>
      <w:r>
        <w:rPr>
          <w:rStyle w:val="HideTWBExt"/>
        </w:rPr>
        <w:t>&lt;Article&gt;</w:t>
      </w:r>
      <w:r>
        <w:rPr>
          <w:b/>
        </w:rPr>
        <w:t>7 cikk – 2 b bekezdés (új)</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658F9F98" w14:textId="77777777">
        <w:trPr>
          <w:jc w:val="center"/>
        </w:trPr>
        <w:tc>
          <w:tcPr>
            <w:tcW w:w="9750" w:type="dxa"/>
            <w:gridSpan w:val="2"/>
          </w:tcPr>
          <w:p w14:paraId="3F70CDB0" w14:textId="77777777" w:rsidR="00BA7BC0" w:rsidRPr="00C172BD" w:rsidRDefault="00BA7BC0" w:rsidP="005A2392">
            <w:pPr>
              <w:pStyle w:val="Normal6a"/>
            </w:pPr>
          </w:p>
        </w:tc>
      </w:tr>
      <w:tr w:rsidR="00B06836" w14:paraId="775BFD93" w14:textId="77777777">
        <w:trPr>
          <w:jc w:val="center"/>
        </w:trPr>
        <w:tc>
          <w:tcPr>
            <w:tcW w:w="4875" w:type="dxa"/>
            <w:hideMark/>
          </w:tcPr>
          <w:p w14:paraId="51EA6F12" w14:textId="77777777" w:rsidR="00BA7BC0" w:rsidRPr="00C172BD" w:rsidRDefault="00CE56BB" w:rsidP="00E00D3E">
            <w:pPr>
              <w:pStyle w:val="AmColumnHeading"/>
            </w:pPr>
            <w:r>
              <w:t>A Bizottság által javasolt szöveg</w:t>
            </w:r>
          </w:p>
        </w:tc>
        <w:tc>
          <w:tcPr>
            <w:tcW w:w="4875" w:type="dxa"/>
            <w:hideMark/>
          </w:tcPr>
          <w:p w14:paraId="29B3F21D" w14:textId="77777777" w:rsidR="00BA7BC0" w:rsidRPr="00C172BD" w:rsidRDefault="00CE56BB" w:rsidP="00E00D3E">
            <w:pPr>
              <w:pStyle w:val="AmColumnHeading"/>
            </w:pPr>
            <w:r>
              <w:t>Módosítás</w:t>
            </w:r>
          </w:p>
        </w:tc>
      </w:tr>
      <w:tr w:rsidR="00B06836" w14:paraId="38C2E602" w14:textId="77777777">
        <w:trPr>
          <w:jc w:val="center"/>
        </w:trPr>
        <w:tc>
          <w:tcPr>
            <w:tcW w:w="4875" w:type="dxa"/>
          </w:tcPr>
          <w:p w14:paraId="1F1BF5B4" w14:textId="77777777" w:rsidR="00BA7BC0" w:rsidRPr="00C172BD" w:rsidRDefault="00BA7BC0" w:rsidP="005A2392">
            <w:pPr>
              <w:pStyle w:val="Normal6a"/>
            </w:pPr>
          </w:p>
        </w:tc>
        <w:tc>
          <w:tcPr>
            <w:tcW w:w="4875" w:type="dxa"/>
            <w:hideMark/>
          </w:tcPr>
          <w:p w14:paraId="0EADB344" w14:textId="77777777" w:rsidR="00BA7BC0" w:rsidRPr="00C172BD" w:rsidRDefault="00CE56BB" w:rsidP="005A2392">
            <w:pPr>
              <w:pStyle w:val="Normal6a"/>
            </w:pPr>
            <w:r>
              <w:rPr>
                <w:b/>
                <w:i/>
              </w:rPr>
              <w:t>(2b)</w:t>
            </w:r>
            <w:r>
              <w:rPr>
                <w:b/>
                <w:i/>
              </w:rPr>
              <w:tab/>
              <w:t xml:space="preserve">A kutatási projektek </w:t>
            </w:r>
            <w:r>
              <w:rPr>
                <w:b/>
                <w:i/>
              </w:rPr>
              <w:t>végrehajtásának teljes vagy részleges elmaradása miatt visszavont kötelezettségvállalások összegének megfelelő kötelezettségvállalási előirányzatokat a költségvetési eljárás keretében ismét e program rendelkezésére kell bocsátani, elsődlegesen ugyanarra a célkitűzésre.</w:t>
            </w:r>
          </w:p>
        </w:tc>
      </w:tr>
    </w:tbl>
    <w:p w14:paraId="27FEBE4F" w14:textId="77777777" w:rsidR="00BA7BC0" w:rsidRPr="00C172BD" w:rsidRDefault="00CE56BB" w:rsidP="00BA7BC0">
      <w:pPr>
        <w:pStyle w:val="Normal12a"/>
      </w:pPr>
      <w:r>
        <w:rPr>
          <w:rStyle w:val="HideTWBExt"/>
        </w:rPr>
        <w:t>&lt;/Amend&gt;</w:t>
      </w:r>
    </w:p>
    <w:p w14:paraId="72D79F88" w14:textId="77777777" w:rsidR="009E64BF" w:rsidRPr="00C172BD" w:rsidRDefault="00CE56BB" w:rsidP="009E64BF">
      <w:pPr>
        <w:pStyle w:val="AmNumberTabs"/>
      </w:pPr>
      <w:r>
        <w:rPr>
          <w:rStyle w:val="HideTWBExt"/>
        </w:rPr>
        <w:t>&lt;Amend&gt;</w:t>
      </w:r>
      <w:r>
        <w:t>Módosítás</w:t>
      </w:r>
      <w:r>
        <w:tab/>
      </w:r>
      <w:r>
        <w:tab/>
      </w:r>
      <w:r>
        <w:rPr>
          <w:rStyle w:val="HideTWBExt"/>
        </w:rPr>
        <w:t>&lt;NumAm&gt;</w:t>
      </w:r>
      <w:r>
        <w:t>9</w:t>
      </w:r>
      <w:r>
        <w:rPr>
          <w:rStyle w:val="HideTWBExt"/>
        </w:rPr>
        <w:t>&lt;/NumAm&gt;</w:t>
      </w:r>
    </w:p>
    <w:p w14:paraId="55102582" w14:textId="77777777" w:rsidR="009E64BF" w:rsidRPr="00C172BD" w:rsidRDefault="00CE56BB" w:rsidP="009E64BF">
      <w:pPr>
        <w:pStyle w:val="Normal12a"/>
        <w:spacing w:after="0"/>
        <w:rPr>
          <w:b/>
        </w:rPr>
      </w:pPr>
      <w:r>
        <w:rPr>
          <w:rStyle w:val="HideTWBExt"/>
        </w:rPr>
        <w:t>&lt;DocAmend&gt;</w:t>
      </w:r>
      <w:r>
        <w:rPr>
          <w:b/>
        </w:rPr>
        <w:t>Rendeletre irányuló javaslat</w:t>
      </w:r>
      <w:r>
        <w:rPr>
          <w:rStyle w:val="HideTWBExt"/>
        </w:rPr>
        <w:t>&lt;/DocAmend&gt;</w:t>
      </w:r>
    </w:p>
    <w:p w14:paraId="677BC4DD" w14:textId="77777777" w:rsidR="009E64BF" w:rsidRPr="00C172BD" w:rsidRDefault="00CE56BB" w:rsidP="009E64BF">
      <w:pPr>
        <w:pStyle w:val="Normal12a"/>
        <w:spacing w:after="0"/>
        <w:rPr>
          <w:b/>
        </w:rPr>
      </w:pPr>
      <w:r>
        <w:rPr>
          <w:rStyle w:val="HideTWBExt"/>
        </w:rPr>
        <w:t>&lt;Article&gt;</w:t>
      </w:r>
      <w:r>
        <w:rPr>
          <w:b/>
        </w:rPr>
        <w:t>10 cikk – 3 bekezdés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6836" w14:paraId="2E85FEF9" w14:textId="77777777" w:rsidTr="003D43B7">
        <w:trPr>
          <w:jc w:val="center"/>
        </w:trPr>
        <w:tc>
          <w:tcPr>
            <w:tcW w:w="9750" w:type="dxa"/>
            <w:gridSpan w:val="2"/>
          </w:tcPr>
          <w:p w14:paraId="123C4DEC" w14:textId="77777777" w:rsidR="009E64BF" w:rsidRPr="00C172BD" w:rsidRDefault="009E64BF" w:rsidP="003D43B7">
            <w:pPr>
              <w:pStyle w:val="Normal6a"/>
            </w:pPr>
          </w:p>
        </w:tc>
      </w:tr>
      <w:tr w:rsidR="00B06836" w14:paraId="7A90A03D" w14:textId="77777777" w:rsidTr="003D43B7">
        <w:trPr>
          <w:jc w:val="center"/>
        </w:trPr>
        <w:tc>
          <w:tcPr>
            <w:tcW w:w="4875" w:type="dxa"/>
            <w:hideMark/>
          </w:tcPr>
          <w:p w14:paraId="65935EB0" w14:textId="77777777" w:rsidR="009E64BF" w:rsidRPr="00C172BD" w:rsidRDefault="00CE56BB" w:rsidP="003D43B7">
            <w:pPr>
              <w:pStyle w:val="AmColumnHeading"/>
            </w:pPr>
            <w:r>
              <w:t>A Bizottság által javasolt szöveg</w:t>
            </w:r>
          </w:p>
        </w:tc>
        <w:tc>
          <w:tcPr>
            <w:tcW w:w="4875" w:type="dxa"/>
            <w:hideMark/>
          </w:tcPr>
          <w:p w14:paraId="61A463AC" w14:textId="77777777" w:rsidR="009E64BF" w:rsidRPr="00C172BD" w:rsidRDefault="00CE56BB" w:rsidP="003D43B7">
            <w:pPr>
              <w:pStyle w:val="AmColumnHeading"/>
            </w:pPr>
            <w:r>
              <w:t>Módosítás</w:t>
            </w:r>
          </w:p>
        </w:tc>
      </w:tr>
      <w:tr w:rsidR="00B06836" w14:paraId="571E3038" w14:textId="77777777" w:rsidTr="003D43B7">
        <w:trPr>
          <w:jc w:val="center"/>
        </w:trPr>
        <w:tc>
          <w:tcPr>
            <w:tcW w:w="4875" w:type="dxa"/>
          </w:tcPr>
          <w:p w14:paraId="19602D70" w14:textId="77777777" w:rsidR="009E64BF" w:rsidRPr="00C172BD" w:rsidRDefault="00CE56BB" w:rsidP="003D43B7">
            <w:pPr>
              <w:pStyle w:val="Normal6a"/>
            </w:pPr>
            <w:r>
              <w:t>(3)</w:t>
            </w:r>
            <w:r>
              <w:tab/>
              <w:t xml:space="preserve">Az EIC (Alap) keretében működő pénzügyi eszközök </w:t>
            </w:r>
            <w:r>
              <w:t xml:space="preserve">kivételével, amelyek esetében az uniós támogatást költségvetési biztosíték vagy pénzügyi eszköz formájában nyújtják – többek között vegyesfinanszírozási művelet keretében nyújtott vissza nem térítendő támogatással kombinálva –, az uniós támogatást kizárólag az Európai Versenyképességi Alap InvestEU-eszközének alkalmazandó szabályaival összhangban, az Európai Versenyképességi Alap InvestEU-eszközén keresztül, az e célból kötött hozzájárulási vagy biztosítéki megállapodások révén lehet nyújtani. Amennyiben a </w:t>
            </w:r>
            <w:r>
              <w:t>program igénybe veszi az EVA InvestEU-eszközét, a program biztosítja a költségvetési biztosítékra vonatkozó tartalékfeltöltést és a pénzügyi eszközök finanszírozását, ideértve azt az esetet is, amikor vegyesfinanszírozási művelet formájában nyújtott vissza nem térítendő támogatással kombinálják.</w:t>
            </w:r>
            <w:r>
              <w:rPr>
                <w:i/>
              </w:rPr>
              <w:t> </w:t>
            </w:r>
          </w:p>
        </w:tc>
        <w:tc>
          <w:tcPr>
            <w:tcW w:w="4875" w:type="dxa"/>
          </w:tcPr>
          <w:p w14:paraId="19BBDD1C" w14:textId="77777777" w:rsidR="009E64BF" w:rsidRPr="00C172BD" w:rsidRDefault="00CE56BB" w:rsidP="003D43B7">
            <w:pPr>
              <w:pStyle w:val="Normal6a"/>
            </w:pPr>
            <w:r>
              <w:t>(3)</w:t>
            </w:r>
            <w:r>
              <w:tab/>
              <w:t xml:space="preserve">Az EIC (Alap) </w:t>
            </w:r>
            <w:r>
              <w:rPr>
                <w:b/>
                <w:i/>
              </w:rPr>
              <w:t>– ezen belül a Növekvő Európa Alap –</w:t>
            </w:r>
            <w:r>
              <w:t xml:space="preserve"> keretében működő pénzügyi eszközök kivételével, amelyek esetében az uniós támogatást költségvetési biztosíték vagy pénzügyi eszköz formájában nyújtják – többek között vegyesfinanszírozási művelet keretében nyújtott vissza nem térítendő támogatással kombinálva –, az uniós támogatást kizárólag az Európai Versenyképességi Alap InvestEU-eszközének alkalmazandó szabályaival összhangban, az Európai Versenyképességi Alap InvestEU-eszközén keresztül, az e célból k</w:t>
            </w:r>
            <w:r>
              <w:t xml:space="preserve">ötött hozzájárulási vagy biztosítéki megállapodások révén lehet nyújtani. Amennyiben a program igénybe veszi az EVA InvestEU-eszközét, a program biztosítja a költségvetési biztosítékra vonatkozó tartalékfeltöltést és a pénzügyi eszközök finanszírozását, ideértve azt az esetet is, amikor vegyesfinanszírozási művelet formájában nyújtott vissza nem térítendő támogatással kombinálják </w:t>
            </w:r>
            <w:r>
              <w:rPr>
                <w:b/>
                <w:i/>
              </w:rPr>
              <w:t>az EVA rendelettel létrehozott költségvetési garancia maximális összegén belül</w:t>
            </w:r>
            <w:r>
              <w:t>.</w:t>
            </w:r>
            <w:r>
              <w:rPr>
                <w:i/>
              </w:rPr>
              <w:t> </w:t>
            </w:r>
          </w:p>
        </w:tc>
      </w:tr>
    </w:tbl>
    <w:p w14:paraId="3C2CC543" w14:textId="77777777" w:rsidR="009E64BF" w:rsidRPr="00C172BD" w:rsidRDefault="00CE56BB" w:rsidP="007E03E2">
      <w:pPr>
        <w:pStyle w:val="AmNumberTabs"/>
        <w:rPr>
          <w:rStyle w:val="HideTWBExt"/>
          <w:rFonts w:ascii="Times New Roman" w:hAnsi="Times New Roman" w:cs="Times New Roman"/>
          <w:noProof w:val="0"/>
          <w:vanish w:val="0"/>
          <w:color w:val="auto"/>
          <w:sz w:val="24"/>
        </w:rPr>
      </w:pPr>
      <w:r>
        <w:rPr>
          <w:rStyle w:val="HideTWBExt"/>
        </w:rPr>
        <w:t>&lt;/Amend&gt;</w:t>
      </w:r>
    </w:p>
    <w:bookmarkEnd w:id="1"/>
    <w:p w14:paraId="1C986AEB" w14:textId="77777777" w:rsidR="00E81E17" w:rsidRPr="00C172BD" w:rsidRDefault="00CE56BB" w:rsidP="00C878DE">
      <w:r>
        <w:rPr>
          <w:rStyle w:val="HideTWBExt"/>
        </w:rPr>
        <w:t>&lt;/RepeatBlock-Amend&gt;</w:t>
      </w:r>
    </w:p>
    <w:p w14:paraId="1E4A691A" w14:textId="77777777" w:rsidR="00017014" w:rsidRPr="00C172BD" w:rsidRDefault="00017014" w:rsidP="00017014">
      <w:pPr>
        <w:pStyle w:val="Footprint12b"/>
        <w:sectPr w:rsidR="00017014" w:rsidRPr="00C172BD" w:rsidSect="00017014">
          <w:pgSz w:w="11894" w:h="15840"/>
          <w:pgMar w:top="1700" w:right="1417" w:bottom="1417" w:left="1417" w:header="720" w:footer="720" w:gutter="0"/>
          <w:cols w:space="720"/>
          <w:noEndnote/>
          <w:docGrid w:linePitch="326"/>
        </w:sectPr>
      </w:pPr>
    </w:p>
    <w:p w14:paraId="27AED8F9" w14:textId="77777777" w:rsidR="00017014" w:rsidRPr="00C172BD" w:rsidRDefault="00CE56BB" w:rsidP="00017014">
      <w:pPr>
        <w:pStyle w:val="PageHeadingNotTOC"/>
      </w:pPr>
      <w:bookmarkStart w:id="4" w:name="_Hlk223353887"/>
      <w:bookmarkStart w:id="5" w:name="FootprintPageAD"/>
      <w:bookmarkStart w:id="6" w:name="ProcPageAD"/>
      <w:r>
        <w:t>MELLÉKLET: NYILATKOZAT AZ ÉSZREVÉTELEKRŐL</w:t>
      </w:r>
      <w:bookmarkEnd w:id="4"/>
    </w:p>
    <w:p w14:paraId="79C689B7" w14:textId="77777777" w:rsidR="00017014" w:rsidRPr="00C172BD" w:rsidRDefault="00CE56BB" w:rsidP="00017014">
      <w:pPr>
        <w:pStyle w:val="Normal24a"/>
      </w:pPr>
      <w:r>
        <w:rPr>
          <w:rStyle w:val="HideTWBExt"/>
        </w:rPr>
        <w:t>&lt;FootprintIntro&gt;</w:t>
      </w:r>
      <w:r>
        <w:t>Az eljárási szabályzat I. melléklete 8. cikkének megfelelően a költségvetési értékelés előadója kijelenti, hogy költségvetési értékelésébe olyan észrevételeket foglalt bele, amelyeket a kötelező átláthatósági nyilvántartásról szóló intézményközi megállapodás</w:t>
      </w:r>
      <w:r>
        <w:rPr>
          <w:rStyle w:val="FootnoteReference"/>
        </w:rPr>
        <w:footnoteReference w:id="3"/>
      </w:r>
      <w:r>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költségvetési értékelés elkészítése során annak bizottsági ülésen történő elfogadásáig:</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B06836" w14:paraId="61186A8E" w14:textId="77777777" w:rsidTr="006F2815">
        <w:tc>
          <w:tcPr>
            <w:tcW w:w="9050" w:type="dxa"/>
            <w:gridSpan w:val="2"/>
            <w:shd w:val="clear" w:color="auto" w:fill="auto"/>
          </w:tcPr>
          <w:p w14:paraId="509E39B3" w14:textId="77777777" w:rsidR="00017014" w:rsidRPr="00C172BD" w:rsidRDefault="00CE56BB" w:rsidP="006F2815">
            <w:pPr>
              <w:pStyle w:val="NormalBoldCenter"/>
            </w:pPr>
            <w:r>
              <w:t xml:space="preserve">1. </w:t>
            </w:r>
            <w:r>
              <w:rPr>
                <w:sz w:val="22"/>
              </w:rPr>
              <w:t>A kötelező átláthatósági nyilvántartásról szóló intézményközi megállapodás hatálya alá tartozó érdekképviselők</w:t>
            </w:r>
          </w:p>
        </w:tc>
      </w:tr>
      <w:tr w:rsidR="00B06836" w14:paraId="64C4457E" w14:textId="77777777" w:rsidTr="006F2815">
        <w:tc>
          <w:tcPr>
            <w:tcW w:w="9050" w:type="dxa"/>
            <w:gridSpan w:val="2"/>
            <w:shd w:val="clear" w:color="auto" w:fill="auto"/>
          </w:tcPr>
          <w:p w14:paraId="00BCC453" w14:textId="77777777" w:rsidR="00017014" w:rsidRPr="00C172BD" w:rsidRDefault="00CE56BB" w:rsidP="006F2815">
            <w:pPr>
              <w:pStyle w:val="NormalSingle"/>
            </w:pPr>
            <w:r>
              <w:t>Marie Curie Alumni Association</w:t>
            </w:r>
          </w:p>
        </w:tc>
      </w:tr>
      <w:tr w:rsidR="00B06836" w14:paraId="303E2935" w14:textId="77777777" w:rsidTr="00427C68">
        <w:trPr>
          <w:gridAfter w:val="1"/>
          <w:wAfter w:w="34" w:type="dxa"/>
        </w:trPr>
        <w:tc>
          <w:tcPr>
            <w:tcW w:w="9016" w:type="dxa"/>
            <w:shd w:val="clear" w:color="auto" w:fill="auto"/>
          </w:tcPr>
          <w:p w14:paraId="58AAEC75" w14:textId="77777777" w:rsidR="00017014" w:rsidRPr="00C172BD" w:rsidRDefault="00CE56BB" w:rsidP="006F2815">
            <w:pPr>
              <w:pStyle w:val="NormalBoldCenter"/>
            </w:pPr>
            <w:r>
              <w:t xml:space="preserve">2. </w:t>
            </w:r>
            <w:r>
              <w:rPr>
                <w:sz w:val="22"/>
              </w:rPr>
              <w:t>Harmadik országok hatóságainak – többek között ezen országok diplomáciai képviseleteinek és nagykövetségeinek – képviselői</w:t>
            </w:r>
          </w:p>
        </w:tc>
      </w:tr>
      <w:tr w:rsidR="00B06836" w14:paraId="648B521D" w14:textId="77777777" w:rsidTr="00427C68">
        <w:trPr>
          <w:gridAfter w:val="1"/>
          <w:wAfter w:w="34" w:type="dxa"/>
        </w:trPr>
        <w:tc>
          <w:tcPr>
            <w:tcW w:w="9016" w:type="dxa"/>
            <w:shd w:val="clear" w:color="auto" w:fill="auto"/>
          </w:tcPr>
          <w:p w14:paraId="5BBFB4E3" w14:textId="77777777" w:rsidR="00446D42" w:rsidRPr="00C172BD" w:rsidRDefault="00CE56BB" w:rsidP="00446D42">
            <w:pPr>
              <w:pStyle w:val="NormalBoldCenter"/>
              <w:jc w:val="left"/>
            </w:pPr>
            <w:r>
              <w:t>Nincs</w:t>
            </w:r>
          </w:p>
        </w:tc>
      </w:tr>
    </w:tbl>
    <w:p w14:paraId="4FDA00B8" w14:textId="77777777" w:rsidR="00017014" w:rsidRPr="00C172BD" w:rsidRDefault="00CE56BB" w:rsidP="00017014">
      <w:pPr>
        <w:pStyle w:val="Footprint12b"/>
      </w:pPr>
      <w:r>
        <w:t xml:space="preserve">A fenti felsorolás a </w:t>
      </w:r>
      <w:r>
        <w:t>költségvetési értékelés előadója kizárólagos felelősségi körében készült.</w:t>
      </w:r>
    </w:p>
    <w:p w14:paraId="795A790B" w14:textId="67BF852F" w:rsidR="00017014" w:rsidRPr="00C172BD" w:rsidRDefault="00CE56BB" w:rsidP="00017014">
      <w:pPr>
        <w:pStyle w:val="Footprint12b"/>
      </w:pPr>
      <w:r>
        <w:t xml:space="preserve">Amennyiben a felsorolásban természetes személyek saját nevükkel vagy feladatkörükkel vagy mindkettővel azonosítva szerepelnek, a költségvetési értékelés előadója kijelenti, hogy az </w:t>
      </w:r>
      <w:r>
        <w:t>érintett természetes személyeknek megküldte az Európai Parlament 484. sz. Adatvédelmi nyilatkozatát (</w:t>
      </w:r>
      <w:hyperlink r:id="rId16" w:history="1">
        <w:r w:rsidR="00017014">
          <w:rPr>
            <w:rStyle w:val="Hyperlink"/>
          </w:rPr>
          <w:t>https://www.europarl.europa.eu/data-protect/index.do</w:t>
        </w:r>
      </w:hyperlink>
      <w:r>
        <w:t>), amely meghatározza a személyes adataik kezelésére alkalmazandó szabályokat és az említett adatkezeléshez kapcsolódó jogokat.</w:t>
      </w:r>
    </w:p>
    <w:bookmarkEnd w:id="5"/>
    <w:p w14:paraId="1EE291E9" w14:textId="77777777" w:rsidR="00017014" w:rsidRPr="00C172BD" w:rsidRDefault="00017014" w:rsidP="00017014"/>
    <w:p w14:paraId="7504554F" w14:textId="77777777" w:rsidR="00017014" w:rsidRPr="00C172BD" w:rsidRDefault="00017014" w:rsidP="00017014">
      <w:pPr>
        <w:sectPr w:rsidR="00017014" w:rsidRPr="00C172BD" w:rsidSect="00017014">
          <w:pgSz w:w="11894" w:h="15840"/>
          <w:pgMar w:top="1700" w:right="1417" w:bottom="1417" w:left="1417" w:header="720" w:footer="720" w:gutter="0"/>
          <w:cols w:space="720"/>
          <w:noEndnote/>
          <w:docGrid w:linePitch="326"/>
        </w:sectPr>
      </w:pPr>
    </w:p>
    <w:p w14:paraId="4249A458" w14:textId="77777777" w:rsidR="00017014" w:rsidRPr="00C172BD" w:rsidRDefault="00CE56BB" w:rsidP="008D2A3C">
      <w:pPr>
        <w:pStyle w:val="PageHeadingNotTOC"/>
      </w:pPr>
      <w:r>
        <w:t>A KÖLTSÉGVETÉSI ÉRTÉKELÉSRE FELKÉRT 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06836" w14:paraId="206E59F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32AC7F" w14:textId="77777777" w:rsidR="00017014" w:rsidRPr="00C172BD" w:rsidRDefault="00CE56BB">
            <w:pPr>
              <w:autoSpaceDE w:val="0"/>
              <w:autoSpaceDN w:val="0"/>
              <w:adjustRightInd w:val="0"/>
              <w:rPr>
                <w:b/>
                <w:bCs/>
                <w:color w:val="000000"/>
                <w:sz w:val="20"/>
              </w:rPr>
            </w:pPr>
            <w:r>
              <w:rPr>
                <w:b/>
                <w:i/>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104687" w14:textId="77777777" w:rsidR="00017014" w:rsidRPr="00C172BD" w:rsidRDefault="00CE56BB">
            <w:pPr>
              <w:autoSpaceDE w:val="0"/>
              <w:autoSpaceDN w:val="0"/>
              <w:adjustRightInd w:val="0"/>
              <w:rPr>
                <w:color w:val="000000"/>
                <w:sz w:val="20"/>
              </w:rPr>
            </w:pPr>
            <w:r>
              <w:rPr>
                <w:b/>
                <w:i/>
                <w:color w:val="000000"/>
                <w:sz w:val="20"/>
              </w:rPr>
              <w:t xml:space="preserve">A Horizont Európa kutatási és innovációs </w:t>
            </w:r>
            <w:r>
              <w:rPr>
                <w:b/>
                <w:i/>
                <w:color w:val="000000"/>
                <w:sz w:val="20"/>
              </w:rPr>
              <w:t>keretprogramnak a 2028–2034 közötti időszakra történő létrehozásáról, valamint részvételi és terjesztési szabályainak megállapításáról, továbbá az (EU) 2021/695 rendelet hatályon kívül helyezéséről</w:t>
            </w:r>
          </w:p>
        </w:tc>
      </w:tr>
      <w:tr w:rsidR="00B06836" w14:paraId="3E194B4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47E7063" w14:textId="77777777" w:rsidR="00017014" w:rsidRPr="00C172BD" w:rsidRDefault="00CE56BB">
            <w:pPr>
              <w:autoSpaceDE w:val="0"/>
              <w:autoSpaceDN w:val="0"/>
              <w:adjustRightInd w:val="0"/>
              <w:rPr>
                <w:b/>
                <w:bCs/>
                <w:color w:val="000000"/>
                <w:sz w:val="20"/>
              </w:rPr>
            </w:pPr>
            <w:r>
              <w:rPr>
                <w:b/>
                <w:i/>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1AA5204" w14:textId="77777777" w:rsidR="00017014" w:rsidRPr="00C172BD" w:rsidRDefault="00CE56BB">
            <w:pPr>
              <w:autoSpaceDE w:val="0"/>
              <w:autoSpaceDN w:val="0"/>
              <w:adjustRightInd w:val="0"/>
              <w:rPr>
                <w:color w:val="000000"/>
                <w:sz w:val="20"/>
              </w:rPr>
            </w:pPr>
            <w:r>
              <w:rPr>
                <w:color w:val="000000"/>
                <w:sz w:val="20"/>
              </w:rPr>
              <w:t>COM(2025)0543 – C10-0164/2025 – 2025/0543(COD)</w:t>
            </w:r>
          </w:p>
        </w:tc>
      </w:tr>
      <w:tr w:rsidR="00B06836" w14:paraId="7E342C0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6ABFBB" w14:textId="77777777" w:rsidR="00017014" w:rsidRPr="00C172BD" w:rsidRDefault="00CE56BB">
            <w:pPr>
              <w:autoSpaceDE w:val="0"/>
              <w:autoSpaceDN w:val="0"/>
              <w:adjustRightInd w:val="0"/>
              <w:rPr>
                <w:b/>
                <w:bCs/>
                <w:color w:val="000000"/>
                <w:sz w:val="20"/>
              </w:rPr>
            </w:pPr>
            <w:r>
              <w:rPr>
                <w:b/>
                <w:i/>
                <w:color w:val="000000"/>
                <w:sz w:val="20"/>
              </w:rPr>
              <w:t>Illetékes bizottság(ok)</w:t>
            </w:r>
          </w:p>
          <w:p w14:paraId="794A6550" w14:textId="77777777" w:rsidR="00017014" w:rsidRPr="00C172BD" w:rsidRDefault="00CE56BB">
            <w:pPr>
              <w:autoSpaceDE w:val="0"/>
              <w:autoSpaceDN w:val="0"/>
              <w:adjustRightInd w:val="0"/>
              <w:rPr>
                <w:color w:val="000000"/>
                <w:sz w:val="20"/>
              </w:rPr>
            </w:pPr>
            <w:r>
              <w:rPr>
                <w:color w:val="000000"/>
                <w:sz w:val="20"/>
              </w:rPr>
              <w:t>       </w:t>
            </w:r>
            <w:r>
              <w:rPr>
                <w:b/>
                <w:i/>
                <w:color w:val="000000"/>
                <w:sz w:val="20"/>
              </w:rPr>
              <w:t>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1D9BFC" w14:textId="77777777" w:rsidR="00017014" w:rsidRPr="00C172BD" w:rsidRDefault="00CE56BB">
            <w:pPr>
              <w:autoSpaceDE w:val="0"/>
              <w:autoSpaceDN w:val="0"/>
              <w:adjustRightInd w:val="0"/>
              <w:rPr>
                <w:color w:val="000000"/>
                <w:sz w:val="20"/>
              </w:rPr>
            </w:pPr>
            <w:r>
              <w:rPr>
                <w:color w:val="000000"/>
                <w:sz w:val="20"/>
              </w:rPr>
              <w:t>ITRE</w:t>
            </w:r>
          </w:p>
          <w:p w14:paraId="28F5D802" w14:textId="77777777" w:rsidR="00017014" w:rsidRPr="00C172BD" w:rsidRDefault="00CE56BB">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A6C86CF"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7CBB58"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2BFA75" w14:textId="77777777" w:rsidR="00017014" w:rsidRPr="00C172BD" w:rsidRDefault="00017014">
            <w:pPr>
              <w:autoSpaceDE w:val="0"/>
              <w:autoSpaceDN w:val="0"/>
              <w:adjustRightInd w:val="0"/>
              <w:rPr>
                <w:rFonts w:ascii="sans-serif" w:hAnsi="sans-serif" w:cs="sans-serif"/>
                <w:color w:val="000000"/>
              </w:rPr>
            </w:pPr>
          </w:p>
        </w:tc>
      </w:tr>
      <w:tr w:rsidR="00B06836" w14:paraId="14EC17E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89D3FF" w14:textId="77777777" w:rsidR="00017014" w:rsidRPr="00C172BD" w:rsidRDefault="00CE56BB">
            <w:pPr>
              <w:autoSpaceDE w:val="0"/>
              <w:autoSpaceDN w:val="0"/>
              <w:adjustRightInd w:val="0"/>
              <w:rPr>
                <w:b/>
                <w:bCs/>
                <w:color w:val="000000"/>
                <w:sz w:val="20"/>
              </w:rPr>
            </w:pPr>
            <w:r>
              <w:rPr>
                <w:b/>
                <w:i/>
                <w:color w:val="000000"/>
                <w:sz w:val="20"/>
              </w:rPr>
              <w:t>A költségvetési értékelés készítette</w:t>
            </w:r>
          </w:p>
          <w:p w14:paraId="6C96B42D" w14:textId="77777777" w:rsidR="00017014" w:rsidRPr="00C172BD" w:rsidRDefault="00CE56BB">
            <w:pPr>
              <w:autoSpaceDE w:val="0"/>
              <w:autoSpaceDN w:val="0"/>
              <w:adjustRightInd w:val="0"/>
              <w:rPr>
                <w:color w:val="000000"/>
                <w:sz w:val="20"/>
              </w:rPr>
            </w:pPr>
            <w:r>
              <w:rPr>
                <w:color w:val="000000"/>
                <w:sz w:val="20"/>
              </w:rPr>
              <w:t>       </w:t>
            </w:r>
            <w:r>
              <w:rPr>
                <w:b/>
                <w:i/>
                <w:color w:val="000000"/>
                <w:sz w:val="20"/>
              </w:rPr>
              <w:t>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8B1AAE" w14:textId="77777777" w:rsidR="00017014" w:rsidRPr="00C172BD" w:rsidRDefault="00CE56BB">
            <w:pPr>
              <w:autoSpaceDE w:val="0"/>
              <w:autoSpaceDN w:val="0"/>
              <w:adjustRightInd w:val="0"/>
              <w:rPr>
                <w:color w:val="000000"/>
                <w:sz w:val="20"/>
              </w:rPr>
            </w:pPr>
            <w:r>
              <w:rPr>
                <w:color w:val="000000"/>
                <w:sz w:val="20"/>
              </w:rPr>
              <w:t>BUDG</w:t>
            </w:r>
          </w:p>
          <w:p w14:paraId="2F8B7AA0" w14:textId="77777777" w:rsidR="00017014" w:rsidRPr="00C172BD" w:rsidRDefault="00CE56BB">
            <w:pPr>
              <w:autoSpaceDE w:val="0"/>
              <w:autoSpaceDN w:val="0"/>
              <w:adjustRightInd w:val="0"/>
              <w:rPr>
                <w:color w:val="000000"/>
                <w:sz w:val="20"/>
              </w:rPr>
            </w:pPr>
            <w:r>
              <w:rPr>
                <w:color w:val="000000"/>
                <w:sz w:val="20"/>
              </w:rPr>
              <w:t>23.10.2025</w:t>
            </w:r>
          </w:p>
        </w:tc>
      </w:tr>
      <w:tr w:rsidR="00B06836" w14:paraId="01A55C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5CDEB7" w14:textId="77777777" w:rsidR="00017014" w:rsidRPr="00C172BD" w:rsidRDefault="00CE56BB">
            <w:pPr>
              <w:autoSpaceDE w:val="0"/>
              <w:autoSpaceDN w:val="0"/>
              <w:adjustRightInd w:val="0"/>
              <w:rPr>
                <w:b/>
                <w:bCs/>
                <w:color w:val="000000"/>
                <w:sz w:val="20"/>
              </w:rPr>
            </w:pPr>
            <w:r>
              <w:rPr>
                <w:b/>
                <w:i/>
                <w:color w:val="000000"/>
                <w:sz w:val="20"/>
              </w:rPr>
              <w:t>A költségvetési értékelés előadója</w:t>
            </w:r>
          </w:p>
          <w:p w14:paraId="45D8F35D" w14:textId="77777777" w:rsidR="00017014" w:rsidRPr="00C172BD" w:rsidRDefault="00CE56BB">
            <w:pPr>
              <w:autoSpaceDE w:val="0"/>
              <w:autoSpaceDN w:val="0"/>
              <w:adjustRightInd w:val="0"/>
              <w:rPr>
                <w:color w:val="000000"/>
                <w:sz w:val="20"/>
              </w:rPr>
            </w:pPr>
            <w:r>
              <w:rPr>
                <w:color w:val="000000"/>
                <w:sz w:val="20"/>
              </w:rPr>
              <w:t>       </w:t>
            </w:r>
            <w:r>
              <w:rPr>
                <w:b/>
                <w:i/>
                <w:color w:val="000000"/>
                <w:sz w:val="20"/>
              </w:rPr>
              <w:t xml:space="preserve">A </w:t>
            </w:r>
            <w:r>
              <w:rPr>
                <w:b/>
                <w:i/>
                <w:color w:val="000000"/>
                <w:sz w:val="20"/>
              </w:rPr>
              <w:t>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FD0B4E" w14:textId="77777777" w:rsidR="00017014" w:rsidRPr="00C172BD" w:rsidRDefault="00CE56BB">
            <w:pPr>
              <w:autoSpaceDE w:val="0"/>
              <w:autoSpaceDN w:val="0"/>
              <w:adjustRightInd w:val="0"/>
              <w:rPr>
                <w:color w:val="000000"/>
                <w:sz w:val="20"/>
              </w:rPr>
            </w:pPr>
            <w:r>
              <w:rPr>
                <w:color w:val="000000"/>
                <w:sz w:val="20"/>
              </w:rPr>
              <w:t>Hélder Sousa Silva</w:t>
            </w:r>
          </w:p>
          <w:p w14:paraId="3CA784FB" w14:textId="77777777" w:rsidR="00017014" w:rsidRPr="00C172BD" w:rsidRDefault="00CE56BB">
            <w:pPr>
              <w:autoSpaceDE w:val="0"/>
              <w:autoSpaceDN w:val="0"/>
              <w:adjustRightInd w:val="0"/>
              <w:rPr>
                <w:color w:val="000000"/>
                <w:sz w:val="20"/>
              </w:rPr>
            </w:pPr>
            <w:r>
              <w:rPr>
                <w:color w:val="000000"/>
                <w:sz w:val="20"/>
              </w:rPr>
              <w:t>13.1.2026</w:t>
            </w:r>
          </w:p>
        </w:tc>
      </w:tr>
      <w:tr w:rsidR="00B06836" w14:paraId="5FB16C6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D15054" w14:textId="77777777" w:rsidR="00017014" w:rsidRPr="00C172BD" w:rsidRDefault="00CE56BB">
            <w:pPr>
              <w:autoSpaceDE w:val="0"/>
              <w:autoSpaceDN w:val="0"/>
              <w:adjustRightInd w:val="0"/>
              <w:rPr>
                <w:b/>
                <w:bCs/>
                <w:color w:val="000000"/>
                <w:sz w:val="20"/>
              </w:rPr>
            </w:pPr>
            <w:r>
              <w:rPr>
                <w:b/>
                <w:i/>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038620" w14:textId="77777777" w:rsidR="00017014" w:rsidRPr="00C172BD" w:rsidRDefault="00CE56BB">
            <w:pPr>
              <w:autoSpaceDE w:val="0"/>
              <w:autoSpaceDN w:val="0"/>
              <w:adjustRightInd w:val="0"/>
              <w:rPr>
                <w:color w:val="000000"/>
                <w:sz w:val="20"/>
              </w:rPr>
            </w:pPr>
            <w:r>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3D563D"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22291E"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903E43" w14:textId="77777777" w:rsidR="00017014" w:rsidRPr="00C172BD" w:rsidRDefault="00017014">
            <w:pPr>
              <w:autoSpaceDE w:val="0"/>
              <w:autoSpaceDN w:val="0"/>
              <w:adjustRightInd w:val="0"/>
              <w:rPr>
                <w:rFonts w:ascii="sans-serif" w:hAnsi="sans-serif" w:cs="sans-serif"/>
                <w:color w:val="000000"/>
              </w:rPr>
            </w:pPr>
          </w:p>
        </w:tc>
      </w:tr>
      <w:tr w:rsidR="00B06836" w14:paraId="454D1F2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4997481" w14:textId="77777777" w:rsidR="00017014" w:rsidRPr="00C172BD" w:rsidRDefault="00CE56BB">
            <w:pPr>
              <w:autoSpaceDE w:val="0"/>
              <w:autoSpaceDN w:val="0"/>
              <w:adjustRightInd w:val="0"/>
              <w:rPr>
                <w:b/>
                <w:bCs/>
                <w:color w:val="000000"/>
                <w:sz w:val="20"/>
              </w:rPr>
            </w:pPr>
            <w:r>
              <w:rPr>
                <w:b/>
                <w:i/>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14:paraId="7E1749B5" w14:textId="77777777" w:rsidR="00017014" w:rsidRPr="00C172BD" w:rsidRDefault="00CE56BB">
            <w:pPr>
              <w:autoSpaceDE w:val="0"/>
              <w:autoSpaceDN w:val="0"/>
              <w:adjustRightInd w:val="0"/>
              <w:rPr>
                <w:color w:val="000000"/>
                <w:sz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E73A494"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57DBD7A" w14:textId="77777777" w:rsidR="00017014" w:rsidRPr="00C172BD"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3DAA087" w14:textId="77777777" w:rsidR="00017014" w:rsidRPr="00C172BD" w:rsidRDefault="00017014">
            <w:pPr>
              <w:autoSpaceDE w:val="0"/>
              <w:autoSpaceDN w:val="0"/>
              <w:adjustRightInd w:val="0"/>
              <w:rPr>
                <w:rFonts w:ascii="sans-serif" w:hAnsi="sans-serif" w:cs="sans-serif"/>
                <w:color w:val="000000"/>
              </w:rPr>
            </w:pPr>
          </w:p>
        </w:tc>
      </w:tr>
      <w:tr w:rsidR="00B06836" w14:paraId="41201F4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B0F947" w14:textId="77777777" w:rsidR="00017014" w:rsidRPr="00C172BD" w:rsidRDefault="00CE56BB">
            <w:pPr>
              <w:autoSpaceDE w:val="0"/>
              <w:autoSpaceDN w:val="0"/>
              <w:adjustRightInd w:val="0"/>
              <w:rPr>
                <w:b/>
                <w:bCs/>
                <w:color w:val="000000"/>
                <w:sz w:val="20"/>
              </w:rPr>
            </w:pPr>
            <w:r>
              <w:rPr>
                <w:b/>
                <w:i/>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57F807" w14:textId="77777777" w:rsidR="00017014" w:rsidRPr="00C172BD" w:rsidRDefault="00CE56BB">
            <w:pPr>
              <w:autoSpaceDE w:val="0"/>
              <w:autoSpaceDN w:val="0"/>
              <w:adjustRightInd w:val="0"/>
              <w:rPr>
                <w:color w:val="000000"/>
                <w:sz w:val="20"/>
              </w:rPr>
            </w:pPr>
            <w:r>
              <w:rPr>
                <w:color w:val="000000"/>
                <w:sz w:val="20"/>
              </w:rPr>
              <w:t>+:</w:t>
            </w:r>
          </w:p>
          <w:p w14:paraId="73D2F936" w14:textId="77777777" w:rsidR="00017014" w:rsidRPr="00C172BD" w:rsidRDefault="00CE56BB">
            <w:pPr>
              <w:autoSpaceDE w:val="0"/>
              <w:autoSpaceDN w:val="0"/>
              <w:adjustRightInd w:val="0"/>
              <w:rPr>
                <w:color w:val="000000"/>
                <w:sz w:val="20"/>
              </w:rPr>
            </w:pPr>
            <w:r>
              <w:rPr>
                <w:color w:val="000000"/>
                <w:sz w:val="20"/>
              </w:rPr>
              <w:t>–:</w:t>
            </w:r>
          </w:p>
          <w:p w14:paraId="7FAF7031" w14:textId="77777777" w:rsidR="00017014" w:rsidRPr="00C172BD" w:rsidRDefault="00CE56B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701771" w14:textId="77777777" w:rsidR="00017014" w:rsidRPr="00C172BD" w:rsidRDefault="00CE56BB">
            <w:pPr>
              <w:autoSpaceDE w:val="0"/>
              <w:autoSpaceDN w:val="0"/>
              <w:adjustRightInd w:val="0"/>
              <w:rPr>
                <w:color w:val="000000"/>
                <w:sz w:val="20"/>
              </w:rPr>
            </w:pPr>
            <w:r>
              <w:rPr>
                <w:color w:val="000000"/>
                <w:sz w:val="20"/>
              </w:rPr>
              <w:t>29</w:t>
            </w:r>
          </w:p>
          <w:p w14:paraId="4F400578" w14:textId="77777777" w:rsidR="00017014" w:rsidRPr="00C172BD" w:rsidRDefault="00CE56BB">
            <w:pPr>
              <w:autoSpaceDE w:val="0"/>
              <w:autoSpaceDN w:val="0"/>
              <w:adjustRightInd w:val="0"/>
              <w:rPr>
                <w:color w:val="000000"/>
                <w:sz w:val="20"/>
              </w:rPr>
            </w:pPr>
            <w:r>
              <w:rPr>
                <w:color w:val="000000"/>
                <w:sz w:val="20"/>
              </w:rPr>
              <w:t>4</w:t>
            </w:r>
          </w:p>
          <w:p w14:paraId="661EA801" w14:textId="77777777" w:rsidR="00017014" w:rsidRPr="00C172BD" w:rsidRDefault="00CE56BB">
            <w:pPr>
              <w:autoSpaceDE w:val="0"/>
              <w:autoSpaceDN w:val="0"/>
              <w:adjustRightInd w:val="0"/>
              <w:rPr>
                <w:color w:val="000000"/>
                <w:sz w:val="20"/>
              </w:rPr>
            </w:pPr>
            <w:r>
              <w:rPr>
                <w:color w:val="000000"/>
                <w:sz w:val="20"/>
              </w:rPr>
              <w:t>1</w:t>
            </w:r>
          </w:p>
        </w:tc>
      </w:tr>
    </w:tbl>
    <w:p w14:paraId="085CDCBC" w14:textId="77777777" w:rsidR="00017014" w:rsidRPr="00C172BD" w:rsidRDefault="00017014"/>
    <w:bookmarkEnd w:id="6"/>
    <w:p w14:paraId="6D8CC806" w14:textId="77777777" w:rsidR="00784770" w:rsidRPr="00C172BD" w:rsidRDefault="00784770" w:rsidP="00017014">
      <w:pPr>
        <w:sectPr w:rsidR="00784770" w:rsidRPr="00C172BD" w:rsidSect="00017014">
          <w:pgSz w:w="11894" w:h="15840"/>
          <w:pgMar w:top="1700" w:right="1417" w:bottom="1417" w:left="1417" w:header="720" w:footer="720" w:gutter="0"/>
          <w:cols w:space="720"/>
          <w:noEndnote/>
          <w:docGrid w:linePitch="326"/>
        </w:sectPr>
      </w:pPr>
    </w:p>
    <w:p w14:paraId="4CE28311" w14:textId="77777777" w:rsidR="00784770" w:rsidRPr="00C172BD" w:rsidRDefault="00CE56BB" w:rsidP="00C36610">
      <w:pPr>
        <w:pStyle w:val="PageHeadingNotTOC"/>
      </w:pPr>
      <w:bookmarkStart w:id="7" w:name="RollCallPageAD"/>
      <w:r>
        <w:t xml:space="preserve">A KÖLTSÉGVETÉSI ÉRTÉKELÉSRE FELKÉRT BIZOTTSÁG NÉV SZERINTI </w:t>
      </w:r>
      <w:r>
        <w:t>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6836" w14:paraId="569944E5" w14:textId="77777777" w:rsidTr="008920AC">
        <w:trPr>
          <w:cantSplit/>
        </w:trPr>
        <w:tc>
          <w:tcPr>
            <w:tcW w:w="1701" w:type="dxa"/>
            <w:shd w:val="pct10" w:color="000000" w:fill="FFFFFF"/>
            <w:vAlign w:val="center"/>
          </w:tcPr>
          <w:p w14:paraId="28CB0ACE" w14:textId="77777777" w:rsidR="00784770" w:rsidRPr="00C172BD" w:rsidRDefault="00CE56BB" w:rsidP="003858C5">
            <w:pPr>
              <w:pStyle w:val="RollCallVotes"/>
            </w:pPr>
            <w:r>
              <w:t>29</w:t>
            </w:r>
          </w:p>
        </w:tc>
        <w:tc>
          <w:tcPr>
            <w:tcW w:w="7371" w:type="dxa"/>
            <w:shd w:val="pct10" w:color="000000" w:fill="FFFFFF"/>
          </w:tcPr>
          <w:p w14:paraId="106A3C55" w14:textId="77777777" w:rsidR="00784770" w:rsidRPr="00C172BD" w:rsidRDefault="00CE56BB" w:rsidP="003858C5">
            <w:pPr>
              <w:pStyle w:val="RollCallSymbols14pt"/>
            </w:pPr>
            <w:r>
              <w:t>+</w:t>
            </w:r>
          </w:p>
        </w:tc>
      </w:tr>
      <w:tr w:rsidR="00B06836" w14:paraId="394F387E" w14:textId="77777777" w:rsidTr="008920AC">
        <w:trPr>
          <w:cantSplit/>
        </w:trPr>
        <w:tc>
          <w:tcPr>
            <w:tcW w:w="1701" w:type="dxa"/>
            <w:shd w:val="clear" w:color="auto" w:fill="FFFFFF"/>
          </w:tcPr>
          <w:p w14:paraId="50F4F1FD" w14:textId="77777777" w:rsidR="00784770" w:rsidRPr="00C172BD" w:rsidRDefault="00CE56BB" w:rsidP="003858C5">
            <w:pPr>
              <w:pStyle w:val="RollCallTable"/>
            </w:pPr>
            <w:r>
              <w:t>ECR</w:t>
            </w:r>
          </w:p>
        </w:tc>
        <w:tc>
          <w:tcPr>
            <w:tcW w:w="7371" w:type="dxa"/>
            <w:shd w:val="clear" w:color="auto" w:fill="FFFFFF"/>
          </w:tcPr>
          <w:p w14:paraId="5FF446DB" w14:textId="77777777" w:rsidR="00784770" w:rsidRPr="00C172BD" w:rsidRDefault="00CE56BB" w:rsidP="003858C5">
            <w:pPr>
              <w:pStyle w:val="RollCallTable"/>
            </w:pPr>
            <w:r>
              <w:t>Tobiasz Bocheński, Arkadiusz Mularczyk, Bogdan Rzońca</w:t>
            </w:r>
          </w:p>
        </w:tc>
      </w:tr>
      <w:tr w:rsidR="00B06836" w14:paraId="50586EBD" w14:textId="77777777" w:rsidTr="008920AC">
        <w:trPr>
          <w:cantSplit/>
        </w:trPr>
        <w:tc>
          <w:tcPr>
            <w:tcW w:w="1701" w:type="dxa"/>
            <w:shd w:val="clear" w:color="auto" w:fill="FFFFFF"/>
          </w:tcPr>
          <w:p w14:paraId="2F371A0F" w14:textId="77777777" w:rsidR="00784770" w:rsidRPr="00C172BD" w:rsidRDefault="00CE56BB" w:rsidP="003858C5">
            <w:pPr>
              <w:pStyle w:val="RollCallTable"/>
            </w:pPr>
            <w:r>
              <w:t>PPE</w:t>
            </w:r>
          </w:p>
        </w:tc>
        <w:tc>
          <w:tcPr>
            <w:tcW w:w="7371" w:type="dxa"/>
            <w:shd w:val="clear" w:color="auto" w:fill="FFFFFF"/>
          </w:tcPr>
          <w:p w14:paraId="6FEF7495" w14:textId="77777777" w:rsidR="00784770" w:rsidRPr="00C172BD" w:rsidRDefault="00CE56BB" w:rsidP="003858C5">
            <w:pPr>
              <w:pStyle w:val="RollCallTable"/>
            </w:pPr>
            <w:r>
              <w:t>Isabel Benjumea Benjumea, Michalis Hadjipantela, Andrzej Halicki, Monika Hohlmeier, Janusz Lewandowski, Gabriel Mato, Danuše Nerudová, Karlo Ressler, Hélder Sousa Silva</w:t>
            </w:r>
          </w:p>
        </w:tc>
      </w:tr>
      <w:tr w:rsidR="00B06836" w14:paraId="78174D58" w14:textId="77777777" w:rsidTr="008920AC">
        <w:trPr>
          <w:cantSplit/>
        </w:trPr>
        <w:tc>
          <w:tcPr>
            <w:tcW w:w="1701" w:type="dxa"/>
            <w:shd w:val="clear" w:color="auto" w:fill="FFFFFF"/>
          </w:tcPr>
          <w:p w14:paraId="6B9D372D" w14:textId="77777777" w:rsidR="00784770" w:rsidRPr="00C172BD" w:rsidRDefault="00CE56BB" w:rsidP="003858C5">
            <w:pPr>
              <w:pStyle w:val="RollCallTable"/>
            </w:pPr>
            <w:r>
              <w:t>PfE</w:t>
            </w:r>
          </w:p>
        </w:tc>
        <w:tc>
          <w:tcPr>
            <w:tcW w:w="7371" w:type="dxa"/>
            <w:shd w:val="clear" w:color="auto" w:fill="FFFFFF"/>
          </w:tcPr>
          <w:p w14:paraId="095AB67B" w14:textId="77777777" w:rsidR="00784770" w:rsidRPr="00C172BD" w:rsidRDefault="00CE56BB" w:rsidP="003858C5">
            <w:pPr>
              <w:pStyle w:val="RollCallTable"/>
            </w:pPr>
            <w:r>
              <w:t>Tomasz Buczek, Tamás Deutsch, Antonín Staněk</w:t>
            </w:r>
          </w:p>
        </w:tc>
      </w:tr>
      <w:tr w:rsidR="00B06836" w14:paraId="6B0967D4" w14:textId="77777777" w:rsidTr="008920AC">
        <w:trPr>
          <w:cantSplit/>
        </w:trPr>
        <w:tc>
          <w:tcPr>
            <w:tcW w:w="1701" w:type="dxa"/>
            <w:shd w:val="clear" w:color="auto" w:fill="FFFFFF"/>
          </w:tcPr>
          <w:p w14:paraId="30FF1FCE" w14:textId="77777777" w:rsidR="00784770" w:rsidRPr="00C172BD" w:rsidRDefault="00CE56BB" w:rsidP="003858C5">
            <w:pPr>
              <w:pStyle w:val="RollCallTable"/>
            </w:pPr>
            <w:r>
              <w:t>Renew</w:t>
            </w:r>
          </w:p>
        </w:tc>
        <w:tc>
          <w:tcPr>
            <w:tcW w:w="7371" w:type="dxa"/>
            <w:shd w:val="clear" w:color="auto" w:fill="FFFFFF"/>
          </w:tcPr>
          <w:p w14:paraId="4673FEF9" w14:textId="77777777" w:rsidR="00784770" w:rsidRPr="00C172BD" w:rsidRDefault="00CE56BB" w:rsidP="003858C5">
            <w:pPr>
              <w:pStyle w:val="RollCallTable"/>
            </w:pPr>
            <w:r>
              <w:t>Olivier Chastel, Fabienne Keller, Lucia Yar</w:t>
            </w:r>
          </w:p>
        </w:tc>
      </w:tr>
      <w:tr w:rsidR="00B06836" w14:paraId="770F460A" w14:textId="77777777" w:rsidTr="008920AC">
        <w:trPr>
          <w:cantSplit/>
        </w:trPr>
        <w:tc>
          <w:tcPr>
            <w:tcW w:w="1701" w:type="dxa"/>
            <w:shd w:val="clear" w:color="auto" w:fill="FFFFFF"/>
          </w:tcPr>
          <w:p w14:paraId="62E113E5" w14:textId="77777777" w:rsidR="00784770" w:rsidRPr="00C172BD" w:rsidRDefault="00CE56BB" w:rsidP="003858C5">
            <w:pPr>
              <w:pStyle w:val="RollCallTable"/>
            </w:pPr>
            <w:r>
              <w:t>S&amp;D</w:t>
            </w:r>
          </w:p>
        </w:tc>
        <w:tc>
          <w:tcPr>
            <w:tcW w:w="7371" w:type="dxa"/>
            <w:shd w:val="clear" w:color="auto" w:fill="FFFFFF"/>
          </w:tcPr>
          <w:p w14:paraId="6FC516F9" w14:textId="77777777" w:rsidR="00784770" w:rsidRPr="00C172BD" w:rsidRDefault="00CE56BB" w:rsidP="003858C5">
            <w:pPr>
              <w:pStyle w:val="RollCallTable"/>
            </w:pPr>
            <w:r>
              <w:t>Mohammed Chahim, Matthias Ecke, Nikolas Farantouris, Jean-Marc Germain, Sandra Gómez López, Victor Negrescu, Matjaž Nemec, Nils Ušakovs</w:t>
            </w:r>
          </w:p>
        </w:tc>
      </w:tr>
      <w:tr w:rsidR="00B06836" w14:paraId="64F3A574" w14:textId="77777777" w:rsidTr="008920AC">
        <w:trPr>
          <w:cantSplit/>
        </w:trPr>
        <w:tc>
          <w:tcPr>
            <w:tcW w:w="1701" w:type="dxa"/>
            <w:shd w:val="clear" w:color="auto" w:fill="FFFFFF"/>
          </w:tcPr>
          <w:p w14:paraId="1FFEE9F1" w14:textId="77777777" w:rsidR="00784770" w:rsidRPr="00C172BD" w:rsidRDefault="00CE56BB" w:rsidP="003858C5">
            <w:pPr>
              <w:pStyle w:val="RollCallTable"/>
            </w:pPr>
            <w:r>
              <w:t>Verts/ALE</w:t>
            </w:r>
          </w:p>
        </w:tc>
        <w:tc>
          <w:tcPr>
            <w:tcW w:w="7371" w:type="dxa"/>
            <w:shd w:val="clear" w:color="auto" w:fill="FFFFFF"/>
          </w:tcPr>
          <w:p w14:paraId="11618338" w14:textId="77777777" w:rsidR="00784770" w:rsidRPr="00C172BD" w:rsidRDefault="00CE56BB" w:rsidP="003858C5">
            <w:pPr>
              <w:pStyle w:val="RollCallTable"/>
            </w:pPr>
            <w:r>
              <w:t>Ignazio Roberto Marino, Rasmus Nordqvist, Nicolae Ștefănuță</w:t>
            </w:r>
          </w:p>
        </w:tc>
      </w:tr>
    </w:tbl>
    <w:p w14:paraId="721F3020" w14:textId="77777777" w:rsidR="00784770" w:rsidRPr="00C172BD"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6836" w14:paraId="4D535D05" w14:textId="77777777" w:rsidTr="008920AC">
        <w:trPr>
          <w:cantSplit/>
        </w:trPr>
        <w:tc>
          <w:tcPr>
            <w:tcW w:w="1701" w:type="dxa"/>
            <w:shd w:val="pct10" w:color="000000" w:fill="FFFFFF"/>
            <w:vAlign w:val="center"/>
          </w:tcPr>
          <w:p w14:paraId="3186256D" w14:textId="77777777" w:rsidR="00784770" w:rsidRPr="00C172BD" w:rsidRDefault="00CE56BB" w:rsidP="003858C5">
            <w:pPr>
              <w:pStyle w:val="RollCallVotes"/>
            </w:pPr>
            <w:r>
              <w:t>4</w:t>
            </w:r>
          </w:p>
        </w:tc>
        <w:tc>
          <w:tcPr>
            <w:tcW w:w="7371" w:type="dxa"/>
            <w:shd w:val="pct10" w:color="000000" w:fill="FFFFFF"/>
          </w:tcPr>
          <w:p w14:paraId="02568C5C" w14:textId="77777777" w:rsidR="00784770" w:rsidRPr="00C172BD" w:rsidRDefault="00CE56BB" w:rsidP="003858C5">
            <w:pPr>
              <w:pStyle w:val="RollCallSymbols14pt"/>
            </w:pPr>
            <w:r>
              <w:t>-</w:t>
            </w:r>
          </w:p>
        </w:tc>
      </w:tr>
      <w:tr w:rsidR="00B06836" w14:paraId="3CAB5B8B" w14:textId="77777777" w:rsidTr="008920AC">
        <w:trPr>
          <w:cantSplit/>
        </w:trPr>
        <w:tc>
          <w:tcPr>
            <w:tcW w:w="1701" w:type="dxa"/>
            <w:shd w:val="clear" w:color="auto" w:fill="FFFFFF"/>
          </w:tcPr>
          <w:p w14:paraId="12245A1E" w14:textId="77777777" w:rsidR="00784770" w:rsidRPr="00C172BD" w:rsidRDefault="00CE56BB" w:rsidP="003858C5">
            <w:pPr>
              <w:pStyle w:val="RollCallTable"/>
            </w:pPr>
            <w:r>
              <w:t>ESN</w:t>
            </w:r>
          </w:p>
        </w:tc>
        <w:tc>
          <w:tcPr>
            <w:tcW w:w="7371" w:type="dxa"/>
            <w:shd w:val="clear" w:color="auto" w:fill="FFFFFF"/>
          </w:tcPr>
          <w:p w14:paraId="17A1FE74" w14:textId="77777777" w:rsidR="00784770" w:rsidRPr="00C172BD" w:rsidRDefault="00CE56BB" w:rsidP="003858C5">
            <w:pPr>
              <w:pStyle w:val="RollCallTable"/>
            </w:pPr>
            <w:r>
              <w:t>Alexander Jungbluth</w:t>
            </w:r>
          </w:p>
        </w:tc>
      </w:tr>
      <w:tr w:rsidR="00B06836" w14:paraId="4D07257C" w14:textId="77777777" w:rsidTr="008920AC">
        <w:trPr>
          <w:cantSplit/>
        </w:trPr>
        <w:tc>
          <w:tcPr>
            <w:tcW w:w="1701" w:type="dxa"/>
            <w:shd w:val="clear" w:color="auto" w:fill="FFFFFF"/>
          </w:tcPr>
          <w:p w14:paraId="14E3AE34" w14:textId="77777777" w:rsidR="00784770" w:rsidRPr="00C172BD" w:rsidRDefault="00CE56BB" w:rsidP="003858C5">
            <w:pPr>
              <w:pStyle w:val="RollCallTable"/>
            </w:pPr>
            <w:r>
              <w:t>NI</w:t>
            </w:r>
          </w:p>
        </w:tc>
        <w:tc>
          <w:tcPr>
            <w:tcW w:w="7371" w:type="dxa"/>
            <w:shd w:val="clear" w:color="auto" w:fill="FFFFFF"/>
          </w:tcPr>
          <w:p w14:paraId="7D9EB809" w14:textId="77777777" w:rsidR="00784770" w:rsidRPr="00C172BD" w:rsidRDefault="00CE56BB" w:rsidP="003858C5">
            <w:pPr>
              <w:pStyle w:val="RollCallTable"/>
            </w:pPr>
            <w:r>
              <w:t>Thomas Geisel</w:t>
            </w:r>
          </w:p>
        </w:tc>
      </w:tr>
      <w:tr w:rsidR="00B06836" w14:paraId="47470469" w14:textId="77777777" w:rsidTr="008920AC">
        <w:trPr>
          <w:cantSplit/>
        </w:trPr>
        <w:tc>
          <w:tcPr>
            <w:tcW w:w="1701" w:type="dxa"/>
            <w:shd w:val="clear" w:color="auto" w:fill="FFFFFF"/>
          </w:tcPr>
          <w:p w14:paraId="2635D566" w14:textId="77777777" w:rsidR="00784770" w:rsidRPr="00C172BD" w:rsidRDefault="00CE56BB" w:rsidP="003858C5">
            <w:pPr>
              <w:pStyle w:val="RollCallTable"/>
            </w:pPr>
            <w:r>
              <w:t>PfE</w:t>
            </w:r>
          </w:p>
        </w:tc>
        <w:tc>
          <w:tcPr>
            <w:tcW w:w="7371" w:type="dxa"/>
            <w:shd w:val="clear" w:color="auto" w:fill="FFFFFF"/>
          </w:tcPr>
          <w:p w14:paraId="7A486B3D" w14:textId="77777777" w:rsidR="00784770" w:rsidRPr="00C172BD" w:rsidRDefault="00CE56BB" w:rsidP="003858C5">
            <w:pPr>
              <w:pStyle w:val="RollCallTable"/>
            </w:pPr>
            <w:r>
              <w:t>Valérie Deloge, Aleksandar Nikolic</w:t>
            </w:r>
          </w:p>
        </w:tc>
      </w:tr>
    </w:tbl>
    <w:p w14:paraId="0A8116BA" w14:textId="77777777" w:rsidR="00784770" w:rsidRPr="00C172BD"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6836" w14:paraId="15E08FFF" w14:textId="77777777" w:rsidTr="008920AC">
        <w:trPr>
          <w:cantSplit/>
        </w:trPr>
        <w:tc>
          <w:tcPr>
            <w:tcW w:w="1701" w:type="dxa"/>
            <w:shd w:val="pct10" w:color="000000" w:fill="FFFFFF"/>
            <w:vAlign w:val="center"/>
          </w:tcPr>
          <w:p w14:paraId="1551843C" w14:textId="77777777" w:rsidR="00784770" w:rsidRPr="00C172BD" w:rsidRDefault="00CE56BB" w:rsidP="003858C5">
            <w:pPr>
              <w:pStyle w:val="RollCallVotes"/>
            </w:pPr>
            <w:r>
              <w:t>1</w:t>
            </w:r>
          </w:p>
        </w:tc>
        <w:tc>
          <w:tcPr>
            <w:tcW w:w="7371" w:type="dxa"/>
            <w:shd w:val="pct10" w:color="000000" w:fill="FFFFFF"/>
          </w:tcPr>
          <w:p w14:paraId="734AC125" w14:textId="77777777" w:rsidR="00784770" w:rsidRPr="00C172BD" w:rsidRDefault="00CE56BB" w:rsidP="003858C5">
            <w:pPr>
              <w:pStyle w:val="RollCallSymbols14pt"/>
            </w:pPr>
            <w:r>
              <w:t>0</w:t>
            </w:r>
          </w:p>
        </w:tc>
      </w:tr>
      <w:tr w:rsidR="00B06836" w14:paraId="22CA2FE5" w14:textId="77777777" w:rsidTr="008920AC">
        <w:trPr>
          <w:cantSplit/>
        </w:trPr>
        <w:tc>
          <w:tcPr>
            <w:tcW w:w="1701" w:type="dxa"/>
            <w:shd w:val="clear" w:color="auto" w:fill="FFFFFF"/>
          </w:tcPr>
          <w:p w14:paraId="6300DE4F" w14:textId="77777777" w:rsidR="00784770" w:rsidRPr="00C172BD" w:rsidRDefault="00CE56BB" w:rsidP="003858C5">
            <w:pPr>
              <w:pStyle w:val="RollCallTable"/>
            </w:pPr>
            <w:r>
              <w:t>The Left</w:t>
            </w:r>
          </w:p>
        </w:tc>
        <w:tc>
          <w:tcPr>
            <w:tcW w:w="7371" w:type="dxa"/>
            <w:shd w:val="clear" w:color="auto" w:fill="FFFFFF"/>
          </w:tcPr>
          <w:p w14:paraId="335D7124" w14:textId="77777777" w:rsidR="00784770" w:rsidRPr="00C172BD" w:rsidRDefault="00CE56BB" w:rsidP="003858C5">
            <w:pPr>
              <w:pStyle w:val="RollCallTable"/>
            </w:pPr>
            <w:r>
              <w:t>João Oliveira</w:t>
            </w:r>
          </w:p>
        </w:tc>
      </w:tr>
    </w:tbl>
    <w:p w14:paraId="419C3869" w14:textId="77777777" w:rsidR="00784770" w:rsidRPr="00C172BD" w:rsidRDefault="00784770" w:rsidP="00147FBF">
      <w:pPr>
        <w:pStyle w:val="Normal12a"/>
      </w:pPr>
    </w:p>
    <w:p w14:paraId="212CF448" w14:textId="77777777" w:rsidR="00784770" w:rsidRPr="00C172BD" w:rsidRDefault="00CE56BB" w:rsidP="00B735E3">
      <w:r>
        <w:t>Jelmagyarázat:</w:t>
      </w:r>
    </w:p>
    <w:p w14:paraId="54A4235B" w14:textId="77777777" w:rsidR="00784770" w:rsidRPr="00C172BD" w:rsidRDefault="00CE56BB" w:rsidP="003858C5">
      <w:pPr>
        <w:pStyle w:val="RollCallTabs"/>
      </w:pPr>
      <w:r>
        <w:t>+</w:t>
      </w:r>
      <w:r>
        <w:tab/>
        <w:t>:</w:t>
      </w:r>
      <w:r>
        <w:tab/>
        <w:t>mellette</w:t>
      </w:r>
    </w:p>
    <w:p w14:paraId="37ED328D" w14:textId="77777777" w:rsidR="00784770" w:rsidRPr="00C172BD" w:rsidRDefault="00CE56BB" w:rsidP="003858C5">
      <w:pPr>
        <w:pStyle w:val="RollCallTabs"/>
      </w:pPr>
      <w:r>
        <w:t>-</w:t>
      </w:r>
      <w:r>
        <w:tab/>
        <w:t>:</w:t>
      </w:r>
      <w:r>
        <w:tab/>
        <w:t>ellene</w:t>
      </w:r>
    </w:p>
    <w:p w14:paraId="21B9128E" w14:textId="77777777" w:rsidR="00784770" w:rsidRPr="00C172BD" w:rsidRDefault="00CE56BB" w:rsidP="003858C5">
      <w:pPr>
        <w:pStyle w:val="RollCallTabs"/>
      </w:pPr>
      <w:r>
        <w:t>0</w:t>
      </w:r>
      <w:r>
        <w:tab/>
        <w:t>:</w:t>
      </w:r>
      <w:r>
        <w:tab/>
        <w:t>tartózkodás</w:t>
      </w:r>
    </w:p>
    <w:bookmarkEnd w:id="7"/>
    <w:sectPr w:rsidR="00784770" w:rsidRPr="00C172BD"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5E4E" w14:textId="77777777" w:rsidR="00CE56BB" w:rsidRDefault="00CE56BB">
      <w:r>
        <w:separator/>
      </w:r>
    </w:p>
  </w:endnote>
  <w:endnote w:type="continuationSeparator" w:id="0">
    <w:p w14:paraId="4199175B" w14:textId="77777777" w:rsidR="00CE56BB" w:rsidRDefault="00CE5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C5F2" w14:textId="77777777" w:rsidR="00C45505" w:rsidRPr="00C172BD" w:rsidRDefault="00CE56BB" w:rsidP="00C45505">
    <w:pPr>
      <w:pStyle w:val="EPFooter"/>
    </w:pPr>
    <w:r w:rsidRPr="00C172BD">
      <w:t>PE</w:t>
    </w:r>
    <w:r w:rsidRPr="00C172BD">
      <w:rPr>
        <w:rStyle w:val="HideTWBExt"/>
      </w:rPr>
      <w:t>&lt;NoPE&gt;</w:t>
    </w:r>
    <w:r w:rsidRPr="00C172BD">
      <w:t>782.453</w:t>
    </w:r>
    <w:r w:rsidRPr="00C172BD">
      <w:rPr>
        <w:rStyle w:val="HideTWBExt"/>
      </w:rPr>
      <w:t>&lt;/NoPE&gt;&lt;Version&gt;</w:t>
    </w:r>
    <w:r w:rsidRPr="00C172BD">
      <w:t>v03-00</w:t>
    </w:r>
    <w:r w:rsidRPr="00C172BD">
      <w:rPr>
        <w:rStyle w:val="HideTWBExt"/>
      </w:rPr>
      <w:t>&lt;/Version&gt;</w:t>
    </w:r>
    <w:r w:rsidRPr="00C172BD">
      <w:tab/>
    </w:r>
    <w:r w:rsidRPr="00C172BD">
      <w:fldChar w:fldCharType="begin"/>
    </w:r>
    <w:r w:rsidRPr="00C172BD">
      <w:instrText xml:space="preserve"> PAGE  \* MERGEFORMAT </w:instrText>
    </w:r>
    <w:r w:rsidRPr="00C172BD">
      <w:fldChar w:fldCharType="separate"/>
    </w:r>
    <w:r w:rsidRPr="00C172BD">
      <w:rPr>
        <w:noProof/>
      </w:rPr>
      <w:t>2</w:t>
    </w:r>
    <w:r w:rsidRPr="00C172BD">
      <w:fldChar w:fldCharType="end"/>
    </w:r>
    <w:r w:rsidRPr="00C172BD">
      <w:t>/</w:t>
    </w:r>
    <w:r w:rsidRPr="00C172BD">
      <w:fldChar w:fldCharType="begin"/>
    </w:r>
    <w:r>
      <w:instrText xml:space="preserve"> NUMPAGES  \* MERGEFORMAT </w:instrText>
    </w:r>
    <w:r w:rsidRPr="00C172BD">
      <w:fldChar w:fldCharType="separate"/>
    </w:r>
    <w:r w:rsidRPr="00C172BD">
      <w:rPr>
        <w:noProof/>
      </w:rPr>
      <w:t>17</w:t>
    </w:r>
    <w:r w:rsidRPr="00C172BD">
      <w:rPr>
        <w:noProof/>
      </w:rPr>
      <w:fldChar w:fldCharType="end"/>
    </w:r>
    <w:r w:rsidRPr="00C172BD">
      <w:tab/>
    </w:r>
    <w:r w:rsidRPr="00C172BD">
      <w:rPr>
        <w:rStyle w:val="HideTWBExt"/>
      </w:rPr>
      <w:t>&lt;PathFdR&gt;</w:t>
    </w:r>
    <w:r w:rsidRPr="00C172BD">
      <w:t>AD\1342281HU.docx</w:t>
    </w:r>
    <w:r w:rsidRPr="00C172BD">
      <w:rPr>
        <w:rStyle w:val="HideTWBExt"/>
      </w:rPr>
      <w:t>&lt;/PathFdR&gt;</w:t>
    </w:r>
  </w:p>
  <w:p w14:paraId="305DAD2E" w14:textId="77777777" w:rsidR="002E2F2E" w:rsidRPr="00C172BD" w:rsidRDefault="00CE56BB" w:rsidP="00C45505">
    <w:pPr>
      <w:pStyle w:val="EPFooter2"/>
    </w:pPr>
    <w:r w:rsidRPr="00C172B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8FB5" w14:textId="77777777" w:rsidR="00C45505" w:rsidRPr="00C172BD" w:rsidRDefault="00CE56BB" w:rsidP="00C45505">
    <w:pPr>
      <w:pStyle w:val="EPFooter"/>
    </w:pPr>
    <w:r w:rsidRPr="00C172BD">
      <w:rPr>
        <w:rStyle w:val="HideTWBExt"/>
      </w:rPr>
      <w:t>&lt;PathFdR&gt;</w:t>
    </w:r>
    <w:r w:rsidRPr="00C172BD">
      <w:t>AD\1342281HU.docx</w:t>
    </w:r>
    <w:r w:rsidRPr="00C172BD">
      <w:rPr>
        <w:rStyle w:val="HideTWBExt"/>
      </w:rPr>
      <w:t>&lt;/PathFdR&gt;</w:t>
    </w:r>
    <w:r w:rsidRPr="00C172BD">
      <w:tab/>
    </w:r>
    <w:r w:rsidRPr="00C172BD">
      <w:fldChar w:fldCharType="begin"/>
    </w:r>
    <w:r w:rsidRPr="00C172BD">
      <w:instrText xml:space="preserve"> PAGE  \* MERGEFORMAT </w:instrText>
    </w:r>
    <w:r w:rsidRPr="00C172BD">
      <w:fldChar w:fldCharType="separate"/>
    </w:r>
    <w:r w:rsidRPr="00C172BD">
      <w:rPr>
        <w:noProof/>
      </w:rPr>
      <w:t>17</w:t>
    </w:r>
    <w:r w:rsidRPr="00C172BD">
      <w:fldChar w:fldCharType="end"/>
    </w:r>
    <w:r w:rsidRPr="00C172BD">
      <w:t>/</w:t>
    </w:r>
    <w:r w:rsidRPr="00C172BD">
      <w:fldChar w:fldCharType="begin"/>
    </w:r>
    <w:r>
      <w:instrText xml:space="preserve"> NUMPAGES  \* MERGEFORMAT </w:instrText>
    </w:r>
    <w:r w:rsidRPr="00C172BD">
      <w:fldChar w:fldCharType="separate"/>
    </w:r>
    <w:r w:rsidRPr="00C172BD">
      <w:rPr>
        <w:noProof/>
      </w:rPr>
      <w:t>17</w:t>
    </w:r>
    <w:r w:rsidRPr="00C172BD">
      <w:rPr>
        <w:noProof/>
      </w:rPr>
      <w:fldChar w:fldCharType="end"/>
    </w:r>
    <w:r w:rsidRPr="00C172BD">
      <w:tab/>
      <w:t>PE</w:t>
    </w:r>
    <w:r w:rsidRPr="00C172BD">
      <w:rPr>
        <w:rStyle w:val="HideTWBExt"/>
      </w:rPr>
      <w:t>&lt;NoPE&gt;</w:t>
    </w:r>
    <w:r w:rsidRPr="00C172BD">
      <w:t>782.453</w:t>
    </w:r>
    <w:r w:rsidRPr="00C172BD">
      <w:rPr>
        <w:rStyle w:val="HideTWBExt"/>
      </w:rPr>
      <w:t>&lt;/NoPE&gt;&lt;Version&gt;</w:t>
    </w:r>
    <w:r w:rsidRPr="00C172BD">
      <w:t>v03-00</w:t>
    </w:r>
    <w:r w:rsidRPr="00C172BD">
      <w:rPr>
        <w:rStyle w:val="HideTWBExt"/>
      </w:rPr>
      <w:t>&lt;/Version&gt;</w:t>
    </w:r>
  </w:p>
  <w:p w14:paraId="4858D91D" w14:textId="77777777" w:rsidR="002E2F2E" w:rsidRPr="00C172BD" w:rsidRDefault="00CE56BB" w:rsidP="00C45505">
    <w:pPr>
      <w:pStyle w:val="EPFooter2"/>
    </w:pPr>
    <w:r w:rsidRPr="00C172BD">
      <w:tab/>
    </w:r>
    <w:r w:rsidRPr="00C172B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E2DA" w14:textId="77777777" w:rsidR="00C45505" w:rsidRPr="00C172BD" w:rsidRDefault="00CE56BB" w:rsidP="00C45505">
    <w:pPr>
      <w:pStyle w:val="EPFooter"/>
    </w:pPr>
    <w:r w:rsidRPr="00C172BD">
      <w:rPr>
        <w:rStyle w:val="HideTWBExt"/>
      </w:rPr>
      <w:t>&lt;PathFdR&gt;</w:t>
    </w:r>
    <w:r w:rsidRPr="00C172BD">
      <w:t>AD\1342281HU.docx</w:t>
    </w:r>
    <w:r w:rsidRPr="00C172BD">
      <w:rPr>
        <w:rStyle w:val="HideTWBExt"/>
      </w:rPr>
      <w:t>&lt;/PathFdR&gt;</w:t>
    </w:r>
    <w:r w:rsidRPr="00C172BD">
      <w:tab/>
    </w:r>
    <w:r w:rsidRPr="00C172BD">
      <w:tab/>
      <w:t>PE</w:t>
    </w:r>
    <w:r w:rsidRPr="00C172BD">
      <w:rPr>
        <w:rStyle w:val="HideTWBExt"/>
      </w:rPr>
      <w:t>&lt;NoPE&gt;</w:t>
    </w:r>
    <w:r w:rsidRPr="00C172BD">
      <w:t>782.453</w:t>
    </w:r>
    <w:r w:rsidRPr="00C172BD">
      <w:rPr>
        <w:rStyle w:val="HideTWBExt"/>
      </w:rPr>
      <w:t>&lt;/NoPE&gt;&lt;Version&gt;</w:t>
    </w:r>
    <w:r w:rsidRPr="00C172BD">
      <w:t>v03-00</w:t>
    </w:r>
    <w:r w:rsidRPr="00C172BD">
      <w:rPr>
        <w:rStyle w:val="HideTWBExt"/>
      </w:rPr>
      <w:t>&lt;/Version&gt;</w:t>
    </w:r>
  </w:p>
  <w:p w14:paraId="04E2AA0E" w14:textId="77777777" w:rsidR="002E2F2E" w:rsidRPr="00C172BD" w:rsidRDefault="00CE56BB" w:rsidP="00C45505">
    <w:pPr>
      <w:pStyle w:val="EPFooter2"/>
    </w:pPr>
    <w:r w:rsidRPr="00C172BD">
      <w:t>HU</w:t>
    </w:r>
    <w:r w:rsidRPr="00C172BD">
      <w:tab/>
    </w:r>
    <w:r w:rsidRPr="00C172BD">
      <w:rPr>
        <w:b w:val="0"/>
        <w:i/>
        <w:color w:val="C0C0C0"/>
        <w:sz w:val="22"/>
      </w:rPr>
      <w:t>Egyesülve a sokféleségben</w:t>
    </w:r>
    <w:r w:rsidRPr="00C172B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76EC" w14:textId="77777777" w:rsidR="00E61C10" w:rsidRPr="00C172BD" w:rsidRDefault="00CE56BB">
      <w:r w:rsidRPr="00C172BD">
        <w:separator/>
      </w:r>
    </w:p>
  </w:footnote>
  <w:footnote w:type="continuationSeparator" w:id="0">
    <w:p w14:paraId="6C732FA8" w14:textId="77777777" w:rsidR="00E61C10" w:rsidRPr="00C172BD" w:rsidRDefault="00CE56BB">
      <w:r w:rsidRPr="00C172BD">
        <w:continuationSeparator/>
      </w:r>
    </w:p>
  </w:footnote>
  <w:footnote w:id="1">
    <w:p w14:paraId="482BB5DB" w14:textId="77777777" w:rsidR="00217B7E" w:rsidRPr="00C172BD" w:rsidRDefault="00CE56BB" w:rsidP="00217B7E">
      <w:pPr>
        <w:pStyle w:val="FootnoteText"/>
      </w:pPr>
      <w:r>
        <w:rPr>
          <w:rStyle w:val="FootnoteReference"/>
        </w:rPr>
        <w:footnoteRef/>
      </w:r>
      <w:r>
        <w:t xml:space="preserve"> „A Horizont Európa kutatási és innovációs keretprogram (2021–2024) időközi értékelése” című, 2025. április 20-i bizottsági szolgálati munkadokumentum (SWD(2025)0110).</w:t>
      </w:r>
    </w:p>
  </w:footnote>
  <w:footnote w:id="2">
    <w:p w14:paraId="4FEC5E4F" w14:textId="7F9D8C74" w:rsidR="00BC5686" w:rsidRPr="00C172BD" w:rsidRDefault="00CE56BB" w:rsidP="00BC5686">
      <w:pPr>
        <w:pStyle w:val="FootnoteText"/>
      </w:pPr>
      <w:r>
        <w:rPr>
          <w:rStyle w:val="FootnoteReference"/>
        </w:rPr>
        <w:footnoteRef/>
      </w:r>
      <w:r>
        <w:t xml:space="preserve"> Az Európai Parlament és a Tanács (EU, Euratom) 2024/2509 rendelete (2024. szeptember 23.) az Unió általános költségvetésére alkalmazandó pénzügyi szabályokról (HL L, 2024/2509, ELI: </w:t>
      </w:r>
      <w:hyperlink r:id="rId1" w:tgtFrame="_blank" w:tooltip="Az ELI (európai jogszabály-azonosító) URI-hivatkozása révén biztosít hozzáférést a dokumentumhoz." w:history="1">
        <w:r w:rsidR="00BC5686">
          <w:rPr>
            <w:rStyle w:val="Hyperlink"/>
          </w:rPr>
          <w:t>http://data.europa.eu/eli/reg/2024/2509/oj</w:t>
        </w:r>
      </w:hyperlink>
      <w:r>
        <w:t>).</w:t>
      </w:r>
    </w:p>
    <w:p w14:paraId="39EAEF0A" w14:textId="77777777" w:rsidR="00BC5686" w:rsidRPr="00C172BD" w:rsidRDefault="00BC5686">
      <w:pPr>
        <w:pStyle w:val="FootnoteText"/>
      </w:pPr>
    </w:p>
  </w:footnote>
  <w:footnote w:id="3">
    <w:p w14:paraId="04E13385" w14:textId="6F6DDFC0" w:rsidR="00427C68" w:rsidRDefault="00CE56BB">
      <w:pPr>
        <w:pStyle w:val="FootnoteText"/>
      </w:pPr>
      <w:r>
        <w:rPr>
          <w:rStyle w:val="FootnoteReference"/>
        </w:rPr>
        <w:footnoteRef/>
      </w:r>
      <w:r>
        <w:t xml:space="preserve"> Intézményközi megállapodás (2021. május 20.) az Európai Parlament, az Európai Unió Tanácsa és az Európai Bizottság között a kötelező átláthatósági nyilvántartásról (HL L 207., 2021.6.11., 1. o., ELI: </w:t>
      </w:r>
      <w:hyperlink r:id="rId2" w:tooltip="Az ELI (európai jogszabály-azonosító) URI-hivatkozása révén biztosít hozzáférést a dokumentumhoz." w:history="1">
        <w:r w:rsidR="00427C68">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D211" w14:textId="77777777" w:rsidR="007928C3" w:rsidRDefault="00792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9D65" w14:textId="77777777" w:rsidR="007928C3" w:rsidRDefault="00792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FCA5" w14:textId="77777777" w:rsidR="007928C3" w:rsidRDefault="00792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7A7EBE48">
      <w:start w:val="1"/>
      <w:numFmt w:val="decimal"/>
      <w:lvlText w:val="%1."/>
      <w:lvlJc w:val="left"/>
      <w:pPr>
        <w:ind w:left="1080" w:hanging="720"/>
      </w:pPr>
    </w:lvl>
    <w:lvl w:ilvl="1" w:tplc="7C2AB818">
      <w:start w:val="1"/>
      <w:numFmt w:val="lowerLetter"/>
      <w:lvlText w:val="%2."/>
      <w:lvlJc w:val="left"/>
      <w:pPr>
        <w:ind w:left="1440" w:hanging="360"/>
      </w:pPr>
    </w:lvl>
    <w:lvl w:ilvl="2" w:tplc="E496D386">
      <w:start w:val="1"/>
      <w:numFmt w:val="lowerRoman"/>
      <w:lvlText w:val="%3."/>
      <w:lvlJc w:val="right"/>
      <w:pPr>
        <w:ind w:left="2160" w:hanging="180"/>
      </w:pPr>
    </w:lvl>
    <w:lvl w:ilvl="3" w:tplc="778468EC">
      <w:start w:val="1"/>
      <w:numFmt w:val="decimal"/>
      <w:lvlText w:val="%4."/>
      <w:lvlJc w:val="left"/>
      <w:pPr>
        <w:ind w:left="2880" w:hanging="360"/>
      </w:pPr>
    </w:lvl>
    <w:lvl w:ilvl="4" w:tplc="B7C0D680">
      <w:start w:val="1"/>
      <w:numFmt w:val="lowerLetter"/>
      <w:lvlText w:val="%5."/>
      <w:lvlJc w:val="left"/>
      <w:pPr>
        <w:ind w:left="3600" w:hanging="360"/>
      </w:pPr>
    </w:lvl>
    <w:lvl w:ilvl="5" w:tplc="790072B8">
      <w:start w:val="1"/>
      <w:numFmt w:val="lowerRoman"/>
      <w:lvlText w:val="%6."/>
      <w:lvlJc w:val="right"/>
      <w:pPr>
        <w:ind w:left="4320" w:hanging="180"/>
      </w:pPr>
    </w:lvl>
    <w:lvl w:ilvl="6" w:tplc="7D581B08">
      <w:start w:val="1"/>
      <w:numFmt w:val="decimal"/>
      <w:lvlText w:val="%7."/>
      <w:lvlJc w:val="left"/>
      <w:pPr>
        <w:ind w:left="5040" w:hanging="360"/>
      </w:pPr>
    </w:lvl>
    <w:lvl w:ilvl="7" w:tplc="41A6DD18">
      <w:start w:val="1"/>
      <w:numFmt w:val="lowerLetter"/>
      <w:lvlText w:val="%8."/>
      <w:lvlJc w:val="left"/>
      <w:pPr>
        <w:ind w:left="5760" w:hanging="360"/>
      </w:pPr>
    </w:lvl>
    <w:lvl w:ilvl="8" w:tplc="84E4A182">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HU"/>
    <w:docVar w:name="TXTLANGUEMIN" w:val="hu"/>
    <w:docVar w:name="TXTNRC" w:val="XX"/>
    <w:docVar w:name="TXTNRCOM" w:val="XX"/>
    <w:docVar w:name="TXTNRPE" w:val="782.453"/>
    <w:docVar w:name="TXTNRPROC" w:val="2025/0543"/>
    <w:docVar w:name="TXTPEorAP" w:val="PE"/>
    <w:docVar w:name="TXTROUTE" w:val="AD\1342281HU.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4299"/>
    <w:rsid w:val="000B0E62"/>
    <w:rsid w:val="000B3516"/>
    <w:rsid w:val="000D1033"/>
    <w:rsid w:val="000E7EBF"/>
    <w:rsid w:val="000F2D1C"/>
    <w:rsid w:val="000F307C"/>
    <w:rsid w:val="00100083"/>
    <w:rsid w:val="00102D30"/>
    <w:rsid w:val="00113B68"/>
    <w:rsid w:val="00124F60"/>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0DF8"/>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D43B7"/>
    <w:rsid w:val="003D5C9C"/>
    <w:rsid w:val="003E2402"/>
    <w:rsid w:val="003E5A8F"/>
    <w:rsid w:val="003E6B61"/>
    <w:rsid w:val="003F2D3B"/>
    <w:rsid w:val="00401780"/>
    <w:rsid w:val="00402E8B"/>
    <w:rsid w:val="004272F5"/>
    <w:rsid w:val="00427C68"/>
    <w:rsid w:val="0043045C"/>
    <w:rsid w:val="004456FB"/>
    <w:rsid w:val="00446D42"/>
    <w:rsid w:val="00450A7E"/>
    <w:rsid w:val="0046245A"/>
    <w:rsid w:val="004667D1"/>
    <w:rsid w:val="00466D44"/>
    <w:rsid w:val="0047642E"/>
    <w:rsid w:val="00477552"/>
    <w:rsid w:val="00481B23"/>
    <w:rsid w:val="00481DEE"/>
    <w:rsid w:val="00483F34"/>
    <w:rsid w:val="00485C5C"/>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30767"/>
    <w:rsid w:val="00630B5E"/>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928C3"/>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6AFC"/>
    <w:rsid w:val="009C7BBC"/>
    <w:rsid w:val="009D1AB2"/>
    <w:rsid w:val="009D51C1"/>
    <w:rsid w:val="009E64BF"/>
    <w:rsid w:val="009F1C99"/>
    <w:rsid w:val="00A16BEA"/>
    <w:rsid w:val="00A24629"/>
    <w:rsid w:val="00A30C8E"/>
    <w:rsid w:val="00A312B3"/>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06836"/>
    <w:rsid w:val="00B2497D"/>
    <w:rsid w:val="00B262D2"/>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13AB"/>
    <w:rsid w:val="00BF6786"/>
    <w:rsid w:val="00C04E9D"/>
    <w:rsid w:val="00C172BD"/>
    <w:rsid w:val="00C22D82"/>
    <w:rsid w:val="00C304C7"/>
    <w:rsid w:val="00C33C10"/>
    <w:rsid w:val="00C3435E"/>
    <w:rsid w:val="00C36610"/>
    <w:rsid w:val="00C36A5B"/>
    <w:rsid w:val="00C44B11"/>
    <w:rsid w:val="00C45505"/>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56BB"/>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14F0"/>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D6151"/>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3859</Words>
  <Characters>27791</Characters>
  <Application>Microsoft Office Word</Application>
  <DocSecurity>0</DocSecurity>
  <Lines>661</Lines>
  <Paragraphs>204</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2026-07-06T14:07:00Z</cp:lastPrinted>
  <dcterms:created xsi:type="dcterms:W3CDTF">2026-07-09T12:24:00Z</dcterms:created>
  <dcterms:modified xsi:type="dcterms:W3CDTF">2026-07-09T12:24:00Z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14:24</vt:lpwstr>
  </property>
  <property fmtid="{D5CDD505-2E9C-101B-9397-08002B2CF9AE}" pid="9" name="Created with">
    <vt:lpwstr>10.2.1 Build [20260301]</vt:lpwstr>
  </property>
  <property fmtid="{D5CDD505-2E9C-101B-9397-08002B2CF9AE}" pid="10" name="FooterPath">
    <vt:lpwstr>AD\1342281HU.docx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