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73EA7" w14:paraId="5B30E8C7" w14:textId="77777777">
        <w:trPr>
          <w:trHeight w:hRule="exact" w:val="1418"/>
        </w:trPr>
        <w:tc>
          <w:tcPr>
            <w:tcW w:w="6804" w:type="dxa"/>
            <w:shd w:val="clear" w:color="auto" w:fill="auto"/>
            <w:vAlign w:val="center"/>
          </w:tcPr>
          <w:p w14:paraId="0833F54A" w14:textId="77777777" w:rsidR="00854CAC" w:rsidRPr="009E2198" w:rsidRDefault="0090662D">
            <w:pPr>
              <w:pStyle w:val="EPName"/>
            </w:pPr>
            <w:r>
              <w:t>Eiropas Parlaments</w:t>
            </w:r>
          </w:p>
          <w:p w14:paraId="4C55C6CA" w14:textId="77777777" w:rsidR="00854CAC" w:rsidRPr="009E2198" w:rsidRDefault="0090662D">
            <w:pPr>
              <w:pStyle w:val="EPTerm"/>
            </w:pPr>
            <w:r>
              <w:t>2024-2029</w:t>
            </w:r>
          </w:p>
        </w:tc>
        <w:tc>
          <w:tcPr>
            <w:tcW w:w="2268" w:type="dxa"/>
            <w:shd w:val="clear" w:color="auto" w:fill="auto"/>
          </w:tcPr>
          <w:p w14:paraId="11B801FC" w14:textId="77777777" w:rsidR="00854CAC" w:rsidRPr="009E2198" w:rsidRDefault="0090662D">
            <w:pPr>
              <w:pStyle w:val="EPLogo"/>
            </w:pPr>
            <w:r w:rsidRPr="009E2198">
              <w:rPr>
                <w:noProof/>
                <w:lang w:eastAsia="ja-JP"/>
              </w:rPr>
              <w:drawing>
                <wp:inline distT="0" distB="0" distL="0" distR="0" wp14:anchorId="41E20931" wp14:editId="1787755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E5EF806" w14:textId="77777777" w:rsidR="001746D0" w:rsidRPr="009E2198" w:rsidRDefault="001746D0" w:rsidP="001746D0">
      <w:pPr>
        <w:pStyle w:val="LineTop"/>
      </w:pPr>
    </w:p>
    <w:p w14:paraId="1C5E074D" w14:textId="77777777" w:rsidR="001746D0" w:rsidRPr="009E2198" w:rsidRDefault="0090662D" w:rsidP="001746D0">
      <w:pPr>
        <w:pStyle w:val="EPBody"/>
      </w:pPr>
      <w:r>
        <w:rPr>
          <w:rStyle w:val="HideTWBExt"/>
          <w:i w:val="0"/>
        </w:rPr>
        <w:t>&lt;Commission&gt;</w:t>
      </w:r>
      <w:r>
        <w:rPr>
          <w:rStyle w:val="HideTWBInt"/>
          <w:i w:val="0"/>
          <w:color w:val="auto"/>
        </w:rPr>
        <w:t>{BUDG}</w:t>
      </w:r>
      <w:r>
        <w:t>Budžeta komiteja</w:t>
      </w:r>
      <w:r>
        <w:rPr>
          <w:rStyle w:val="HideTWBExt"/>
          <w:i w:val="0"/>
        </w:rPr>
        <w:t>&lt;/Commission&gt;</w:t>
      </w:r>
    </w:p>
    <w:p w14:paraId="5E4AD808" w14:textId="77777777" w:rsidR="001746D0" w:rsidRPr="009E2198" w:rsidRDefault="001746D0" w:rsidP="001746D0">
      <w:pPr>
        <w:pStyle w:val="LineBottom"/>
      </w:pPr>
    </w:p>
    <w:p w14:paraId="784E9A8C" w14:textId="77777777" w:rsidR="002E2F2E" w:rsidRPr="009E2198" w:rsidRDefault="0090662D">
      <w:pPr>
        <w:pStyle w:val="CoverReference"/>
      </w:pPr>
      <w:r>
        <w:rPr>
          <w:rStyle w:val="HideTWBExt"/>
          <w:b w:val="0"/>
        </w:rPr>
        <w:t>&lt;RefProc&gt;</w:t>
      </w:r>
      <w:r>
        <w:t>2025/0543</w:t>
      </w:r>
      <w:r>
        <w:rPr>
          <w:rStyle w:val="HideTWBExt"/>
          <w:b w:val="0"/>
        </w:rPr>
        <w:t>&lt;/RefProc&gt;&lt;RefTypeProc&gt;</w:t>
      </w:r>
      <w:r>
        <w:t>(COD)</w:t>
      </w:r>
      <w:r>
        <w:rPr>
          <w:rStyle w:val="HideTWBExt"/>
          <w:b w:val="0"/>
        </w:rPr>
        <w:t>&lt;/RefTypeProc&gt;</w:t>
      </w:r>
    </w:p>
    <w:p w14:paraId="7A8BDF6C" w14:textId="77777777" w:rsidR="002E2F2E" w:rsidRPr="009E2198" w:rsidRDefault="0090662D">
      <w:pPr>
        <w:pStyle w:val="CoverDate"/>
      </w:pPr>
      <w:r>
        <w:rPr>
          <w:rStyle w:val="HideTWBExt"/>
        </w:rPr>
        <w:t>&lt;Date&gt;</w:t>
      </w:r>
      <w:r>
        <w:rPr>
          <w:rStyle w:val="HideTWBInt"/>
          <w:color w:val="auto"/>
        </w:rPr>
        <w:t>{25/06/2026}</w:t>
      </w:r>
      <w:r>
        <w:t>25.6.2026</w:t>
      </w:r>
      <w:r>
        <w:rPr>
          <w:rStyle w:val="HideTWBExt"/>
        </w:rPr>
        <w:t>&lt;/Date&gt;</w:t>
      </w:r>
    </w:p>
    <w:p w14:paraId="63072818" w14:textId="77777777" w:rsidR="002E2F2E" w:rsidRPr="009E2198" w:rsidRDefault="0090662D">
      <w:pPr>
        <w:pStyle w:val="CoverDocType24a"/>
      </w:pPr>
      <w:r>
        <w:rPr>
          <w:rStyle w:val="HideTWBExt"/>
          <w:b w:val="0"/>
        </w:rPr>
        <w:t>&lt;TitreType&gt;</w:t>
      </w:r>
      <w:r>
        <w:t>BUDŽETA IZVĒRTĒJUMS</w:t>
      </w:r>
      <w:r>
        <w:rPr>
          <w:rStyle w:val="HideTWBExt"/>
          <w:b w:val="0"/>
        </w:rPr>
        <w:t>&lt;/TitreType&gt;</w:t>
      </w:r>
    </w:p>
    <w:p w14:paraId="249A1649" w14:textId="77777777" w:rsidR="002E2F2E" w:rsidRPr="009E2198" w:rsidRDefault="0090662D">
      <w:pPr>
        <w:pStyle w:val="CoverNormal24a"/>
      </w:pPr>
      <w:r>
        <w:rPr>
          <w:rStyle w:val="HideTWBExt"/>
        </w:rPr>
        <w:t>&lt;CommissionResp&gt;</w:t>
      </w:r>
      <w:r>
        <w:t>Sniegusi Budžeta komiteja</w:t>
      </w:r>
      <w:r>
        <w:rPr>
          <w:rStyle w:val="HideTWBExt"/>
        </w:rPr>
        <w:t>&lt;/CommissionResp&gt;</w:t>
      </w:r>
    </w:p>
    <w:p w14:paraId="4655A1C5" w14:textId="77777777" w:rsidR="002E2F2E" w:rsidRPr="009E2198" w:rsidRDefault="0090662D">
      <w:pPr>
        <w:pStyle w:val="CoverNormal24a"/>
      </w:pPr>
      <w:r>
        <w:rPr>
          <w:rStyle w:val="HideTWBExt"/>
        </w:rPr>
        <w:t>&lt;CommissionInt&gt;</w:t>
      </w:r>
      <w:r>
        <w:t>Rūpniecības, pētniecības un enerģētikas komitejai</w:t>
      </w:r>
      <w:r>
        <w:rPr>
          <w:rStyle w:val="HideTWBExt"/>
        </w:rPr>
        <w:t>&lt;/CommissionInt&gt;</w:t>
      </w:r>
    </w:p>
    <w:p w14:paraId="5E2BE5B2" w14:textId="77777777" w:rsidR="004D18F2" w:rsidRPr="009E2198" w:rsidRDefault="0090662D" w:rsidP="004D18F2">
      <w:pPr>
        <w:pStyle w:val="CoverNormal"/>
      </w:pPr>
      <w:r>
        <w:rPr>
          <w:rStyle w:val="HideTWBExt"/>
        </w:rPr>
        <w:t>&lt;Titre&gt;</w:t>
      </w:r>
      <w:r>
        <w:t>par priekšlikumu Eiropas Parlamenta un Padomes regulai, ar ko izveido pētniecības un inovācijas pamatprogrammu “Apvārsnis Eiropa” 2028.–2034. gadam, nosaka tās dalības un rezultātu izplatīšanas noteikumus un atceļ Regulu (ES) 2021/695</w:t>
      </w:r>
    </w:p>
    <w:p w14:paraId="5517C36A" w14:textId="77777777" w:rsidR="002E2F2E" w:rsidRPr="009E2198" w:rsidRDefault="0090662D">
      <w:pPr>
        <w:pStyle w:val="CoverNormal"/>
      </w:pPr>
      <w:r>
        <w:rPr>
          <w:rStyle w:val="HideTWBExt"/>
        </w:rPr>
        <w:t>&lt;/Titre&gt;</w:t>
      </w:r>
    </w:p>
    <w:p w14:paraId="0BB0ACFA" w14:textId="77777777" w:rsidR="002E2F2E" w:rsidRPr="009E2198" w:rsidRDefault="0090662D">
      <w:pPr>
        <w:pStyle w:val="CoverNormal24a"/>
      </w:pPr>
      <w:r>
        <w:rPr>
          <w:rStyle w:val="HideTWBExt"/>
        </w:rPr>
        <w:t>&lt;DocRef&gt;</w:t>
      </w:r>
      <w:r>
        <w:t>(COM(2025)0543 – C10</w:t>
      </w:r>
      <w:r>
        <w:noBreakHyphen/>
        <w:t>0164/2025 – 2025/0543(COD))</w:t>
      </w:r>
      <w:r>
        <w:rPr>
          <w:rStyle w:val="HideTWBExt"/>
        </w:rPr>
        <w:t>&lt;/DocRef&gt;</w:t>
      </w:r>
    </w:p>
    <w:p w14:paraId="13E8A2C7" w14:textId="77777777" w:rsidR="00217B7E" w:rsidRPr="00B948C0" w:rsidRDefault="0090662D" w:rsidP="00217B7E">
      <w:pPr>
        <w:pStyle w:val="CoverNormal24a"/>
        <w:rPr>
          <w:rStyle w:val="HideTWBExt"/>
        </w:rPr>
      </w:pPr>
      <w:r>
        <w:t xml:space="preserve">Budžeta izvērtējuma sagatavotājs: </w:t>
      </w:r>
      <w:r>
        <w:rPr>
          <w:rStyle w:val="HideTWBExt"/>
        </w:rPr>
        <w:t>&lt;Depute&gt;</w:t>
      </w:r>
      <w:r>
        <w:rPr>
          <w:i/>
        </w:rPr>
        <w:t>Hélder Sousa Silva</w:t>
      </w:r>
      <w:r>
        <w:rPr>
          <w:rStyle w:val="HideTWBExt"/>
        </w:rPr>
        <w:t>&lt;/Depute&gt;</w:t>
      </w:r>
    </w:p>
    <w:p w14:paraId="5EB9695C" w14:textId="77777777" w:rsidR="002E2F2E" w:rsidRPr="009E2198" w:rsidRDefault="0090662D" w:rsidP="00E856D2">
      <w:pPr>
        <w:widowControl/>
        <w:tabs>
          <w:tab w:val="center" w:pos="4677"/>
        </w:tabs>
      </w:pPr>
      <w:r>
        <w:br w:type="page"/>
      </w:r>
      <w:r>
        <w:lastRenderedPageBreak/>
        <w:t>PA_LegEvaluation</w:t>
      </w:r>
    </w:p>
    <w:p w14:paraId="0A0BC9B0" w14:textId="77777777" w:rsidR="002E2F2E" w:rsidRPr="009E2198" w:rsidRDefault="0090662D" w:rsidP="00757C4C">
      <w:pPr>
        <w:pStyle w:val="PageHeadingNotTOC"/>
      </w:pPr>
      <w:r>
        <w:br w:type="page"/>
      </w:r>
      <w:r>
        <w:lastRenderedPageBreak/>
        <w:t>BUDŽETA IZVĒRTĒJUMS</w:t>
      </w:r>
    </w:p>
    <w:p w14:paraId="0145218F" w14:textId="77777777" w:rsidR="004D18F2" w:rsidRPr="009E2198" w:rsidRDefault="0090662D" w:rsidP="004D18F2">
      <w:pPr>
        <w:pStyle w:val="NormalBold"/>
      </w:pPr>
      <w:r>
        <w:t>Rūpniecības, pētniecības un enerģētikas komitejai par priekšlikumu Eiropas Parlamenta un Padomes regulai, ar ko izveido pētniecības un inovācijas pamatprogrammu “Apvārsnis Eiropa” 2028.–2034. gadam, nosaka tās dalības un rezultātu izplatīšanas noteikumus un atceļ Regulu (ES) 2021/695</w:t>
      </w:r>
    </w:p>
    <w:p w14:paraId="54251C67" w14:textId="77777777" w:rsidR="004D18F2" w:rsidRPr="009E2198" w:rsidRDefault="0090662D" w:rsidP="004D18F2">
      <w:pPr>
        <w:pStyle w:val="NormalBold"/>
      </w:pPr>
      <w:r>
        <w:t>(COM (2025)0543 – C10</w:t>
      </w:r>
      <w:r>
        <w:noBreakHyphen/>
        <w:t>0164/2025 – 2025/0543(COD))</w:t>
      </w:r>
    </w:p>
    <w:p w14:paraId="2EBF70C4" w14:textId="77777777" w:rsidR="00AE79AF" w:rsidRPr="009E2198" w:rsidRDefault="0090662D" w:rsidP="00006F54">
      <w:pPr>
        <w:pStyle w:val="Normal12a"/>
        <w:spacing w:before="480"/>
      </w:pPr>
      <w:r>
        <w:rPr>
          <w:rStyle w:val="HideTWBExt"/>
        </w:rPr>
        <w:t>&lt;Intro&gt;</w:t>
      </w:r>
      <w:r>
        <w:t>Budžeta komiteja saskaņā ar Reglamenta 58. pantu ir veikusi priekšlikuma izvērtējumu un ir secinājusi turpmāk minēto:</w:t>
      </w:r>
      <w:r>
        <w:rPr>
          <w:rStyle w:val="HideTWBExt"/>
        </w:rPr>
        <w:t>&lt;/Intro&gt;</w:t>
      </w:r>
    </w:p>
    <w:p w14:paraId="0155C9E0" w14:textId="77777777" w:rsidR="00CE6558" w:rsidRPr="009E2198" w:rsidRDefault="0090662D" w:rsidP="00CE6558">
      <w:pPr>
        <w:pStyle w:val="EPComma"/>
      </w:pPr>
      <w:r>
        <w:rPr>
          <w:i/>
        </w:rPr>
        <w:t>Budžeta komiteja</w:t>
      </w:r>
      <w:r>
        <w:t>,</w:t>
      </w:r>
    </w:p>
    <w:p w14:paraId="532E5277" w14:textId="77777777" w:rsidR="00217B7E" w:rsidRPr="009E2198" w:rsidRDefault="0090662D" w:rsidP="00217B7E">
      <w:pPr>
        <w:pStyle w:val="NormalHanging12a"/>
        <w:rPr>
          <w:bCs/>
          <w:iCs/>
        </w:rPr>
      </w:pPr>
      <w:r>
        <w:t>A.</w:t>
      </w:r>
      <w:r>
        <w:tab/>
        <w:t>tā kā Dragi ziņojumā pētniecība un inovācija ir atzīta par vienu no galvenajiem produktivitātes un cilvēku labklājības virzītājspēkiem, kas var radīt pozitīvas eksternalitātes un atbalstīt ES stratēģisko autonomiju un sociālo modeli; tā kā ziņojumā atbalstīta tādas reformētas un vienkāršākas programmas izstrāde, kura vērsta uz atlasītām prioritātēm un kuras budžets ir palielināts līdz 200 miljardiem EUR; tā kā Dragi ziņojumā ir uzsvērts, ka ES pašreizējā inovācijas sistēmā nav veltīta pietiekama uzmanība revolucionārai inovācijai;</w:t>
      </w:r>
    </w:p>
    <w:p w14:paraId="331E92FF" w14:textId="77777777" w:rsidR="00217B7E" w:rsidRPr="009E2198" w:rsidRDefault="0090662D" w:rsidP="00217B7E">
      <w:pPr>
        <w:pStyle w:val="NormalHanging12a"/>
      </w:pPr>
      <w:r>
        <w:t>B.</w:t>
      </w:r>
      <w:r>
        <w:tab/>
        <w:t>tā kā pamatprogrammas “Apvārsnis Eiropa” starpposma izvērtējums</w:t>
      </w:r>
      <w:r>
        <w:rPr>
          <w:vertAlign w:val="superscript"/>
        </w:rPr>
        <w:footnoteReference w:id="1"/>
      </w:r>
      <w:r>
        <w:t xml:space="preserve"> apstiprina programmas augsto Eiropas pievienoto vērtību, lietderību un rezultativitāti; tā kā izvērtējumā ir uzsvērts, ka, neraugoties uz to, ka vidējais sekmīguma rādītājs ir palielinājies no 12 % pamatprogrammā “Apvārsnis 2020” līdz 16,4 % pamatprogrammā “Apvārsnis Eiropa” (un paplašināšanas valstīs no 9 % līdz 14 %), tikai 30 % no augstas kvalitātes priekšlikumiem bija iespējams finansēt un to visu finansēšanai papildus būtu bijuši vajadzīgi 81,8 miljardi EUR;</w:t>
      </w:r>
    </w:p>
    <w:p w14:paraId="36FA17EE" w14:textId="77777777" w:rsidR="00755CD7" w:rsidRPr="009E2198" w:rsidRDefault="0090662D" w:rsidP="00E00D3E">
      <w:pPr>
        <w:pStyle w:val="NormalHanging12a"/>
      </w:pPr>
      <w:r>
        <w:t>C.</w:t>
      </w:r>
      <w:r>
        <w:tab/>
        <w:t>tā kā Budapeštas deklarācijā ir atkārtots, cik svarīgi ir līdz 2030. gadam nodrošināt, ka pētniecībai un izstrādei ir atvēlēti 3 % no IKP; tā kā 26 gadu laikā kopš Barselonas deklarācijas šo mērķrādītāju ir sasniegušas tikai dažas dalībvalstis; tā kā pamatprogramma “Apvārsnis Eiropa” var atbalstīt minētā mērķrādītāja sasniegšanu un piesaistīt papildu līdzekļus no publiskām un privātām struktūrām;</w:t>
      </w:r>
    </w:p>
    <w:p w14:paraId="3374D064" w14:textId="77777777" w:rsidR="00217B7E" w:rsidRPr="009E2198" w:rsidRDefault="0090662D" w:rsidP="00217B7E">
      <w:pPr>
        <w:pStyle w:val="NormalHanging12a"/>
      </w:pPr>
      <w:bookmarkStart w:id="0" w:name="_Hlk224037259"/>
      <w:r>
        <w:t>D.</w:t>
      </w:r>
      <w:r>
        <w:tab/>
        <w:t>tā kā Letas ziņojumā ir ierosināts ieviest jaunu “piekto brīvību, lai veicinātu pētniecību, inovāciju un izglītību vienotajā tirgū”, un tāpēc ir nepieciešama pastiprināta un pilnībā darboties spējīga Eiropas Pētniecības telpa (EPT); tā kā programmai “Apvārsnis Eiropa” būtu jāveicina šīs papildu brīvības īstenošana, tostarp atbalstot pētnieku mobilitāti EPT;</w:t>
      </w:r>
    </w:p>
    <w:p w14:paraId="236B5862" w14:textId="77777777" w:rsidR="00217B7E" w:rsidRPr="009E2198" w:rsidRDefault="0090662D" w:rsidP="00217B7E">
      <w:pPr>
        <w:pStyle w:val="NormalHanging12a"/>
      </w:pPr>
      <w:r>
        <w:t>E.</w:t>
      </w:r>
      <w:r>
        <w:tab/>
        <w:t xml:space="preserve">tā kā ir svarīgi, lai resursu mobilizācija un lielākas investīcijas pētniecībā un inovācijā nāktu ne tikai no publiskā sektora, kam vajadzētu darboties kā veicinošam faktoram privāto investīciju mobilizēšanai, panākot, lai pētniecība un inovācija būtu pievilcīgas </w:t>
      </w:r>
      <w:r>
        <w:lastRenderedPageBreak/>
        <w:t>investīciju jomas uzņēmumiem, tostarp maziem un vidējiem uzņēmumiem;</w:t>
      </w:r>
    </w:p>
    <w:p w14:paraId="682A6916" w14:textId="77777777" w:rsidR="00217B7E" w:rsidRPr="009E2198" w:rsidRDefault="0090662D" w:rsidP="00217B7E">
      <w:pPr>
        <w:pStyle w:val="NormalHanging12a"/>
      </w:pPr>
      <w:r>
        <w:t>F.</w:t>
      </w:r>
      <w:r>
        <w:tab/>
        <w:t>tā kā ES vispārējo konkurētspēju pastāvīgi turpina ierobežot atšķirīgais pētniecības un inovācijas sniegums; tā kā ir vajadzīga pastiprināta konverģence EPT, lai pārvarētu inovācijas plaisu un atraisītu neizmantoto izcilību visās dalībvalstīs;</w:t>
      </w:r>
    </w:p>
    <w:p w14:paraId="3E0E67C1" w14:textId="77777777" w:rsidR="00217B7E" w:rsidRPr="009E2198" w:rsidRDefault="0090662D" w:rsidP="00217B7E">
      <w:pPr>
        <w:pStyle w:val="NormalHanging12a"/>
      </w:pPr>
      <w:r>
        <w:t>G.</w:t>
      </w:r>
      <w:r>
        <w:tab/>
        <w:t>tā kā notiekošais pilna mēroga karš Ukrainā apliecina divējāda lietojuma tehnoloģiju nozīmi,</w:t>
      </w:r>
    </w:p>
    <w:bookmarkEnd w:id="0"/>
    <w:p w14:paraId="49AF2D21" w14:textId="77777777" w:rsidR="00217B7E" w:rsidRPr="009E2198" w:rsidRDefault="0090662D" w:rsidP="00217B7E">
      <w:pPr>
        <w:pStyle w:val="NormalHanging12a"/>
      </w:pPr>
      <w:r>
        <w:t>1.</w:t>
      </w:r>
      <w:r>
        <w:tab/>
        <w:t>uzskata, ka programmas finansējums būtu jāpalielina no 154 miljardiem EUR līdz 200 miljardiem EUR (vai 177 miljoniem EUR 2025. gada cenās), lai Eiropas konkurētspējai nodrošinātu nepieciešamo inovācijas stimulu svarīgās nozarēs, atbalstītu ES pētniecisko bāzi un atbalstītu globālu sabiedrības problēmjautājumu risināšanu un nodrošinātu pienācīga līmeņa finansējumu visām prioritātēm un programmas mērķiem, atbalstot mērķi līdz 2030. gadam panākt, ka 3 % no IKP tiek atvēlēti pētniecības un izstrādes izdevumiem;</w:t>
      </w:r>
    </w:p>
    <w:p w14:paraId="606338E8" w14:textId="77777777" w:rsidR="00217B7E" w:rsidRPr="009E2198" w:rsidRDefault="0090662D" w:rsidP="00217B7E">
      <w:pPr>
        <w:pStyle w:val="NormalHanging12a"/>
      </w:pPr>
      <w:r>
        <w:t>2.</w:t>
      </w:r>
      <w:r>
        <w:tab/>
        <w:t>uzskata, ka jau no paša sākuma un visā gaidāmās 2028.–2034. gada daudzgadu finanšu shēmas (DFS) plānošanas periodā ir jānodrošina pietiekami cilvēkresursi, tehniskie un IT resursi, lai nodrošinātu programmas “Apvārsnis Eiropa” efektīvu īstenošanu;</w:t>
      </w:r>
    </w:p>
    <w:p w14:paraId="598B0807" w14:textId="77777777" w:rsidR="00217B7E" w:rsidRPr="009E2198" w:rsidRDefault="0090662D" w:rsidP="00217B7E">
      <w:pPr>
        <w:pStyle w:val="NormalHanging12a"/>
        <w:rPr>
          <w:bCs/>
          <w:iCs/>
        </w:rPr>
      </w:pPr>
      <w:r>
        <w:t>3.</w:t>
      </w:r>
      <w:r>
        <w:tab/>
        <w:t>norāda, ka pētniecība un inovācija ir primārie ilgtermiņa konkurētspējas virzītājspēki; tāpēc nākamās DFS 2. izdevumu kategorijā kopumā un jo īpaši pamatprogrammā “Apvārsnis Eiropa” intervences pasākumi būtu jāvērš uz to, lai cita starpā izlīdzinātu inovācijas plaisu starp ES un globālajiem konkurentiem un tādējādi stiprinātu ES konkurētspēju, nodrošinātu raitu pāreju no kvalitatīviem pētījumiem uz tirgū komercializējamiem risinājumiem un sniegtu ES uzņēmumiem tehnoloģiskās priekšrocības, kas nepieciešamas to plaukstošai izaugsmei atvērtas globālās konkurences apstākļos;</w:t>
      </w:r>
    </w:p>
    <w:p w14:paraId="45BFD606" w14:textId="77777777" w:rsidR="00217B7E" w:rsidRPr="009E2198" w:rsidRDefault="0090662D" w:rsidP="00217B7E">
      <w:pPr>
        <w:pStyle w:val="NormalHanging12a"/>
        <w:rPr>
          <w:bCs/>
          <w:iCs/>
        </w:rPr>
      </w:pPr>
      <w:r>
        <w:t>4.</w:t>
      </w:r>
      <w:r>
        <w:tab/>
        <w:t>uzskata, ka nozīmīgi resursi būtu jānovirza drošībai, divējāda lietojuma un ar aizsardzību saistītām tehnoloģijām un pētniecības un inovācijas projektiem, lai stiprinātu tehnoloģisko suverenitāti un noturību; norāda, ka Komisija ir ierosinājusi īpašu programmu ar aizsardzību saistītai pētniecībai, iekļaujot to Eiropas Konkurētspējas fondā; atzinīgi vērtē to, ka pamatprogramma “Apvārsnis Eiropa” arī turpmāk būs paredzēta civilo un divējāda lietojuma pētījumu atbalstam;</w:t>
      </w:r>
    </w:p>
    <w:p w14:paraId="6B828A14" w14:textId="77777777" w:rsidR="00217B7E" w:rsidRPr="009E2198" w:rsidRDefault="0090662D" w:rsidP="00217B7E">
      <w:pPr>
        <w:pStyle w:val="NormalHanging12a"/>
      </w:pPr>
      <w:r>
        <w:t>5.</w:t>
      </w:r>
      <w:r>
        <w:tab/>
        <w:t>norāda, ka budžeta sadalījums 6. pantā ietver tikai 7 indikatīvas summas pozīciju līmenī salīdzinājumā ar 15 summām 2021.–2027. gada periodā; pauž bažas par prognozējama budžeta trūkumu daudzām darbībām, jo īpaši I un III pīlārā, kur atbalsta saņēmējiem trūkst skaidra finansējuma; ar bažām atzīmē, ka tas Komisijai dotu lielu rīcības brīvību mainīt izdevumu prioritātes un lemt par tām īstenošanas laikā, nesniedzot nekādu pievienoto vērtību pētniekiem, inovatoriem un MVU, kas šo programmu izmanto; iesaka pamataktā noteikt indikatīvus apakšfinansējumus katram pīlāram un katrai apakšprogrammai, lai palielinātu ilgtermiņa paredzamību, pārredzamību un demokrātisko pārskatatbildību;</w:t>
      </w:r>
    </w:p>
    <w:p w14:paraId="09F822AC" w14:textId="77777777" w:rsidR="00217B7E" w:rsidRPr="009E2198" w:rsidRDefault="0090662D" w:rsidP="00217B7E">
      <w:pPr>
        <w:pStyle w:val="NormalHanging12a"/>
      </w:pPr>
      <w:r>
        <w:t>6.</w:t>
      </w:r>
      <w:r>
        <w:tab/>
        <w:t xml:space="preserve">atzīst, ka Eiropas Inovāciju un tehnoloģiju institūts (EIT) ir izauklējis vairākas Zināšanu un inovāciju kopienas (ZIK) paaudzes, izmantojot pētniecības un inovācijas </w:t>
      </w:r>
      <w:r>
        <w:lastRenderedPageBreak/>
        <w:t>ekosistēmas spēku ES; uzskata, ka EIT vajadzētu rīkoties kā ZIK panākumu veicinātājam, apmainoties ar paraugpraksi, atbalstot publisko līdzekļu pārvaldību un radot ZIK savstarpējo pievienoto vērtību; prasa piešķirt EIT pienācīgus finanšu resursus un cilvēkresursus, nodrošinot, ka šīs decentralizētās aģentūras rīcībā ir pietiekami līdzekļi tās pilnvaru īstenošanai un tai uzticēto uzdevumu izpildei;</w:t>
      </w:r>
    </w:p>
    <w:p w14:paraId="0F56C846" w14:textId="77777777" w:rsidR="00217B7E" w:rsidRPr="009E2198" w:rsidRDefault="0090662D" w:rsidP="00217B7E">
      <w:pPr>
        <w:pStyle w:val="NormalHanging12a"/>
        <w:rPr>
          <w:bCs/>
          <w:iCs/>
        </w:rPr>
      </w:pPr>
      <w:r>
        <w:t>7.</w:t>
      </w:r>
      <w:r>
        <w:tab/>
        <w:t>norāda, ka pamatprogrammai “Apvārsnis Eiropa” arī turpmāk vajadzētu būt pilnībā autonomai un neatkarīgai, taču vienlaikus būtu jānodrošina saskaņotība un papildināmība ar Eiropas Konkurētspējas fondu, nosakot saskaņotas stratēģiskās prioritātes, bet neskarot programmas pārvaldību, uz izcilību balstītus izvērtēšanas kritērijus un neatkarīgu regulējumu; norāda, ka vienlaikus ir būtiski, lai pamatprogramma “Apvārsnis Eiropa” tiktu saskaņota ar visām ES programmām, kas var būt saistītas ar inovāciju un pētniecību, sākot no apmācības un veselības aprūpes līdz investīciju piesaistīšanai vai ES uzņēmumu konkurētspējas palielināšanai; ņem vērā ierosinātās sinerģijas starp pamatprogrammu “Apvārsnis Eiropa” un Eiropas Konkurētspējas fondu; piekrīt vērtējumam, ka starp abām programmām būtu jāveido cieša sadarbība, lai nodrošinātu, ka ES budžetu var likt lietā Eiropas inovatoru atbalstam, sākot no fundamentālajiem pētījumiem līdz pat komercializācijai; šajā sakarībā uzsver, ka visi starp programmām veiktie ieguldījumi ir pienācīgi jāatspoguļo programmu snieguma pārskatā; uzsver, ka savstarpēji papildinošas programmu mijiedarbības uzlabošana nedrīkst nesamērīgi palielināt sarežģītību atbalsta saņēmējiem; prasa nodrošināt lielāku ES finansējuma skaidrību, pieejamību un saskaņotību, lai veicinātu apguvi un maksimāli palielinātu investīciju ietekmi;</w:t>
      </w:r>
    </w:p>
    <w:p w14:paraId="0F4DEA38" w14:textId="77777777" w:rsidR="00217B7E" w:rsidRPr="009E2198" w:rsidRDefault="0090662D" w:rsidP="00217B7E">
      <w:pPr>
        <w:pStyle w:val="NormalHanging12a"/>
        <w:rPr>
          <w:bCs/>
          <w:iCs/>
        </w:rPr>
      </w:pPr>
      <w:r>
        <w:t>8.</w:t>
      </w:r>
      <w:r>
        <w:tab/>
        <w:t>ar bažām uzsver pastāvīgo strukturālo plaisu starp dalībvalstīm pētniecības un inovācijas jomā un prasa pastiprināt centienus, lai novērstu šo plaisu ES;</w:t>
      </w:r>
    </w:p>
    <w:p w14:paraId="3B1F1014" w14:textId="77777777" w:rsidR="00217B7E" w:rsidRPr="009E2198" w:rsidRDefault="0090662D" w:rsidP="00217B7E">
      <w:pPr>
        <w:pStyle w:val="NormalHanging12a"/>
      </w:pPr>
      <w:r>
        <w:t>9.</w:t>
      </w:r>
      <w:r>
        <w:tab/>
        <w:t xml:space="preserve">atzīst, ka elastība ir svarīga 2028.–2034. gada DFS struktūras iezīme, kā to ierosinājusi Komisija; tomēr atgādina, ka programmai “Apvārsnis Eiropa” ir jānodrošina paredzami un pietiekami ikgadēji resursi, ņemot vērā pētniecības un inovācijas projektu ilgtermiņa raksturu; uzskata, ka indikatīvs budžeta piešķīrums katram programmas postenim nodrošinātu paredzamību galasaņēmējiem, neliedzot budžeta lēmējinstitūcijai tās prerogatīvas; </w:t>
      </w:r>
    </w:p>
    <w:p w14:paraId="31B8AFC6" w14:textId="77777777" w:rsidR="00217B7E" w:rsidRPr="009E2198" w:rsidRDefault="0090662D" w:rsidP="00217B7E">
      <w:pPr>
        <w:pStyle w:val="NormalHanging12a"/>
      </w:pPr>
      <w:r>
        <w:t>10.</w:t>
      </w:r>
      <w:r>
        <w:tab/>
        <w:t>pauž nožēlu par to, ka tiesību akta priekšlikuma finanšu un digitālajā pārskatā (</w:t>
      </w:r>
      <w:r>
        <w:rPr>
          <w:i/>
        </w:rPr>
        <w:t>LFDS</w:t>
      </w:r>
      <w:r>
        <w:t>) ierosinātā indikatīvā budžeta nomenklatūra nav pietiekami detalizēta un ietver tikai piecas budžeta pozīcijas salīdzinājumā ar 44 budžeta pozīcijām 2021.–2027. gada periodā; uzskata, ka tas ierobežos uzraudzību, paredzamību un budžeta lēmējinstitūcijas spēju precīzi noteikt rīcībpolitiskās prioritātes ikgadējā budžeta procedūrā; pauž bažas par to, ka pārāk apkopotā budžeta struktūra krasi atvieglotu pārvietojumus, par kuriem budžeta lēmējinstitūcija nav pieņēmusi lēmumu; tādēļ iesaka izstrādāt detalizētāku nomenklatūru, kas pienācīgi atspoguļo programmas mērķus un struktūru un uzlabo pārredzamību, pārskatatbildību un parlamentāro uzraudzību; atgādina, ka budžeta nomenklatūrai ir jāatbilst Finanšu regulas</w:t>
      </w:r>
      <w:r>
        <w:rPr>
          <w:rStyle w:val="FootnoteReference"/>
        </w:rPr>
        <w:footnoteReference w:id="2"/>
      </w:r>
      <w:r>
        <w:t xml:space="preserve"> 47. panta 2. punktā noteiktajām prasībām, </w:t>
      </w:r>
      <w:r>
        <w:lastRenderedPageBreak/>
        <w:t xml:space="preserve">proti, katrai sadaļai ir jāatbilst politikas jomai un katrai nodaļai, kā parasti, – programmai vai darbībai, ievērojot specifikācijas un pareizas finanšu pārvaldības un pārredzamības principus; uzstāj, ka budžeta nomenklatūra ir Parlamenta sarunu nostājas neatņemama daļa un ka tā ir jāapspriež iestāžu sarunās; šajā sakarībā uzskata, ka pārskatītajam </w:t>
      </w:r>
      <w:r>
        <w:rPr>
          <w:i/>
        </w:rPr>
        <w:t>LFDS</w:t>
      </w:r>
      <w:r>
        <w:t xml:space="preserve"> ir jābūt daļai no galīgās politiskās vienošanās;</w:t>
      </w:r>
    </w:p>
    <w:p w14:paraId="153C16F9" w14:textId="77777777" w:rsidR="00205307" w:rsidRPr="009E2198" w:rsidRDefault="0090662D" w:rsidP="00205307">
      <w:pPr>
        <w:pStyle w:val="NormalHanging12a"/>
        <w:rPr>
          <w:bCs/>
          <w:iCs/>
        </w:rPr>
      </w:pPr>
      <w:r>
        <w:t>11.</w:t>
      </w:r>
      <w:r>
        <w:tab/>
        <w:t>uzstāj, ka pietiekami detalizēti un pareizi tiesību akti, kas paredz atbilstošu pārvaldības līmeni, ir nosacījums pareizai budžeta lēmumu pieņemšanai un pienācīgai parlamentārajai uzraudzībai budžeta izpildes laikā; uzsver, ka vāji veidots “vadības mehānisms” nevar līdzsvarot Parlamenta likumdošanas vai budžeta pilnvaru zudumu un nav piemērots tādas programmas vadīšanai, kas atbalsta darbu zinātnes, tehnoloģijas un inovācijas sasniegumu jomā, jo īpaši ņemot vērā to, ka inovācijas cikli dažās stratēģiskās nozarēs tiek mērīti nedēļās vai mēnešos, savukārt vadības mehānisms ir vairāku gadu procedūra;</w:t>
      </w:r>
    </w:p>
    <w:p w14:paraId="3D4A1258" w14:textId="77777777" w:rsidR="00205307" w:rsidRPr="009E2198" w:rsidRDefault="0090662D" w:rsidP="00205307">
      <w:pPr>
        <w:pStyle w:val="NormalHanging12a"/>
      </w:pPr>
      <w:r>
        <w:t>12.</w:t>
      </w:r>
      <w:r>
        <w:tab/>
        <w:t>uzskata, ka visas būtiskās politikas izvēles, tostarp izdevumu prioritātes un finanšu piešķīrumi, ir jānosaka “Apvārsnis Eiropa” pamataktā, pilnībā ievērojot prerogatīvas, kas Parlamentam ir kā vienam no likumdevējiem un vienai no ES budžeta lēmējinstitūcijām; atgādina, ka visi nebūtiskie elementi, kas saistīti ar politikas izvēli un kas nav iekļauti pamataktā, ir jāpieņem, izmantojot deleģētos aktus, tostarp darba programmas;</w:t>
      </w:r>
    </w:p>
    <w:p w14:paraId="5DAE832C" w14:textId="77777777" w:rsidR="00205307" w:rsidRPr="009E2198" w:rsidRDefault="0090662D" w:rsidP="00205307">
      <w:pPr>
        <w:pStyle w:val="NormalHanging12a"/>
      </w:pPr>
      <w:r>
        <w:t>13.</w:t>
      </w:r>
      <w:r>
        <w:tab/>
        <w:t>uzsver, ka programmas īstenošanai un attīstībai vajadzētu būt pārredzamai, vienlaikus ievērojot Eiropas vērtības, cilvēktiesības un starptautiskās tiesības, ko atbalsta demokrātiskas iestādes;</w:t>
      </w:r>
    </w:p>
    <w:p w14:paraId="0AEB1A96" w14:textId="77777777" w:rsidR="00205307" w:rsidRPr="009E2198" w:rsidRDefault="0090662D" w:rsidP="00205307">
      <w:pPr>
        <w:pStyle w:val="NormalHanging12a"/>
      </w:pPr>
      <w:r>
        <w:t>14.</w:t>
      </w:r>
      <w:r>
        <w:tab/>
        <w:t>atgādina, ka priekšlikumā ir paredzēta iespēja izmantot budžeta garantiju; uzsver, ka pamatprogrammas “Apvārsnis Eiropa” aizņēmumu un aizdevumu operāciju ietekme uz budžetu ir jānosaka skaidri, jāizklāsta pārredzami un rūpīgi jāuzrauga visā DFS periodā; uzstāj, ka visos lēmumos, kas saistīti ar šādām operācijām, ir pilnībā jāievēro likumdevēju pilnvaras un budžeta lēmējinstitūcijas prerogatīvas; uzsver, ka šādi instrumenti būtu jāizmanto stratēģiski, lai maksimāli palielinātu ES finansējuma ietekmi, efektivitāti un ilgtspēju, vienlaikus nodrošinot pilnīgu pārredzamību, pareizu riska pārvaldību un budžeta lēmējinstitūcijas prerogatīvu ievērošanu; atgādina, ka ES finanšu intereses būtu jāaizsargā, izmantojot arī citus pasākumus, kas garantē pilnīgu piekļuvi revidējamiem datiem, izmeklēšanas un revīzijas tiesības Eiropas Birojam krāpšanas apkarošanai un Eiropas Prokuratūrai, kā arī revīzijas tiesības Eiropas Revīzijas palātai;</w:t>
      </w:r>
    </w:p>
    <w:p w14:paraId="786799AC" w14:textId="77777777" w:rsidR="00205307" w:rsidRPr="009E2198" w:rsidRDefault="0090662D" w:rsidP="00205307">
      <w:pPr>
        <w:pStyle w:val="NormalHanging12a"/>
      </w:pPr>
      <w:r>
        <w:t>15.</w:t>
      </w:r>
      <w:r>
        <w:tab/>
        <w:t xml:space="preserve">uzsver, ka Eiropas Inovācijas padome (EIP), jo īpaši ar EIP fonda starpniecību, tostarp Eiropas Fondu augošiem uzņēmumiem, palīdz atbalstīt Eiropas dziļo tehnoloģiju jaunuzņēmumus un augošos uzņēmumus, kas Eiropas Savienībai nodrošina ilgtermiņa stratēģisko vērtību, saskaņā ar Dragi ziņojuma mērķiem; atgādina, ka EIP ir unikāls instruments, kas apvieno ES budžeta finansējumu un privātos investorus, lai uzņēmumi varētu piekļūt ievērojamam kapitālam darbības sākšanas, izaugsmes un izvēršanas posmos; stingri aicina Eiropas Fondu augošiem uzņēmumiem nākamajā DFS turpināt pildīt savu uzdevumu EIP; uzsver, ka ir jābūt ieviestiem aizsardzības pasākumiem, lai nodrošinātu pareizu budžeta kontroli un izvairītos no kaitējuma ES budžeta reputācijai; </w:t>
      </w:r>
      <w:r>
        <w:lastRenderedPageBreak/>
        <w:t>šajā sakarībā norāda, ka, ņemot vērā EIP unikālo raksturu un to, ka tam jādarbojas strauji mainīgajā globālajā riska kapitāla tirgū, kurā neizbēgami rodas ievērojami kapitāla zaudējumi, vajadzības gadījumā varētu paredzēt mērķtiecīgas atkāpes no Finanšu regulas, saskaņojot tās ar Budžeta komiteju un Budžeta kontroles komiteju; uzsver, ka šādi izņēmumi ir rūpīgi jāpamato un tie nedrīkstētu apdraudēt Parlamenta kā budžeta lēmējinstitūcijas prerogatīvas; atgādina, ka ir svarīgi investēt Eiropas stratēģiskajās nozarēs, tostarp mākslīgajā intelektā, kvantu tehnoloģijās un divējāda lietojuma, aizsardzības un tīrās tehnoloģijās, lai palielinātu konkurētspēju un Eiropas stratēģisko autonomiju;</w:t>
      </w:r>
    </w:p>
    <w:p w14:paraId="397F49A1" w14:textId="77777777" w:rsidR="00205307" w:rsidRPr="009E2198" w:rsidRDefault="0090662D" w:rsidP="00205307">
      <w:pPr>
        <w:pStyle w:val="NormalHanging12a"/>
        <w:rPr>
          <w:bCs/>
          <w:iCs/>
        </w:rPr>
      </w:pPr>
      <w:r>
        <w:t>16.</w:t>
      </w:r>
      <w:r>
        <w:tab/>
        <w:t>uzsver, ka ir jāatbalsta augoši uzņēmumi un jāpalīdz Eiropas jaunuzņēmumiem orientēties “nāves ielejā”, kur komercializācijas trūkums bieži izraisa neveiksmi vai pārvietošanu ārpus ES; uzsver, ka pamatprogrammai “Apvārsnis Eiropa” pētniecība un inovācija būtu jāizvirza ES ekonomikas un ieguldījumu stratēģijas centrā, savukārt Eiropas Konkurētspējas fondam būtu jākoncentrē uzmanība uz paātrinātu izstrādi, ieviešanu un rūpniecības konkurētspēju, kā arī uz to, lai Eiropas spēcīgāko pētniecību un inovāciju novestu līdz izvēršanai un ieviešanai Eiropas mērogā.</w:t>
      </w:r>
    </w:p>
    <w:p w14:paraId="63387FED" w14:textId="77777777" w:rsidR="00205307" w:rsidRPr="009E2198" w:rsidRDefault="0090662D" w:rsidP="00205307">
      <w:pPr>
        <w:pStyle w:val="NormalHanging12a"/>
      </w:pPr>
      <w:r>
        <w:t>17.</w:t>
      </w:r>
      <w:r>
        <w:tab/>
        <w:t>atgādina, ka pamatprogrammā “Apvārsnis Eiropa” būtu jāiekļauj gan “atvērta” (augšupēja), gan “publiskās politikas” (lejupēja) pieeja, nodrošinot ciešu koordināciju un sinerģiju ar Eiropas Konkurētspējas fondu un tā politikas logiem, jo īpaši divējāda lietojuma tehnoloģiju jomā, ko varētu paplašināt EKF satvarā; uzsver, ka šāda sinerģija un koncentrēšanās uz efektivitāti un lietderību ir absolūti nepieciešama, lai ievērotu pareizas finanšu pārvaldības principu;</w:t>
      </w:r>
    </w:p>
    <w:p w14:paraId="09908A28" w14:textId="77777777" w:rsidR="00205307" w:rsidRPr="009E2198" w:rsidRDefault="0090662D" w:rsidP="00205307">
      <w:pPr>
        <w:pStyle w:val="NormalHanging12a"/>
        <w:rPr>
          <w:bCs/>
          <w:iCs/>
        </w:rPr>
      </w:pPr>
      <w:r>
        <w:t>18.</w:t>
      </w:r>
      <w:r>
        <w:tab/>
        <w:t>atgādina, ka administratīvās procedūras ir jāpadara vienkāršākas visiem pieteikumu iesniedzējiem, jo īpaši, ja ir runa par nelieliem vai vidēja mēroga projektiem, lai uzlabotu MVU un jaunuzņēmumu dalību, tostarp samazinot ar pieteikšanos saistīto slogu un paātrinot dotāciju izmaksu; šajā sakarībā uzsver, ka programmai būtu jāveicina visu veidu ieinteresēto personu, it īpaši jaunpienācēju, MVU, inovatīvu jaunuzņēmumu, augošu uzņēmumu, akadēmisko aprindu un jaunu mērķa grupu dalība, it īpaši izmantojot valsts kontaktpunktus, kuriem jāsadarbojas ar attiecīgām atbalsta struktūrām saskaņā ar citām ES programmām;</w:t>
      </w:r>
    </w:p>
    <w:p w14:paraId="0910D8F5" w14:textId="77777777" w:rsidR="00205307" w:rsidRPr="009E2198" w:rsidRDefault="0090662D" w:rsidP="00205307">
      <w:pPr>
        <w:pStyle w:val="NormalHanging12a"/>
      </w:pPr>
      <w:r>
        <w:t>19.</w:t>
      </w:r>
      <w:r>
        <w:tab/>
        <w:t>uzsver, ka ārējo piešķirto ieņēmumu izmantošanai programmā “Apvārsnis Eiropa” ir jābūt pilnībā pārredzamai un tai jāpiemēro rezultatīva parlamentārā kontrole; šajā sakarā ņem vērā noteikumus, kuri attiecas uz finansiālu ieguldījumu, ko nodrošina iesaistītas trešās valstis un citi līdzekļu devēji; vērš uzmanību uz to, ka gadījumā, ja atbildīgā komiteja apsvērtu iespēju grozīt noteikumus, kuri attiecas uz ārējiem piešķirtajiem ieņēmumiem, tas būtu jādara sadarbībā ar Budžeta komiteju un pārējām komitejām, lai garantētu konsekventu pieeju;</w:t>
      </w:r>
    </w:p>
    <w:p w14:paraId="665FD9DC" w14:textId="77777777" w:rsidR="00205307" w:rsidRPr="009E2198" w:rsidRDefault="0090662D" w:rsidP="00205307">
      <w:pPr>
        <w:pStyle w:val="NormalHanging12a"/>
      </w:pPr>
      <w:r>
        <w:t>20.</w:t>
      </w:r>
      <w:r>
        <w:tab/>
        <w:t xml:space="preserve">atgādina par priekšlikumu regulai, ar ko nosaka budžeta izdevumu apsekošanas un snieguma satvaru un citus horizontālus noteikumus ES programmām un darbībām (snieguma regula) un kas piedāvā vienotu sarakstu ar racionāli uzskaitītiem snieguma rādītājiem, kā arī uzraudzības un izvērtēšanas noteikumiem, no kuriem daži attiecas uz programmu “Apvārsnis Eiropa”; atgādina, ka horizontālo principu piemērošanai vajadzētu būt reālistiskai un piemērotai saskaņā ar nozarspecifiskiem noteikumiem, kā </w:t>
      </w:r>
      <w:r>
        <w:lastRenderedPageBreak/>
        <w:t>paredzēts pārstrādātajā Finanšu regulā, lai nodrošinātu, ka tie tiek piemēroti, pienācīgi ņemot vērā nozaru programmu īpatnības; vērš uzmanību uz to, ka tad, ja mainīsies ar programmu īstenojamo darbību struktūra, mērķi un atbalsta saņemšanas kritērijiem atbilstošās darbības, tas būs pienācīgi jāatspoguļo attiecīgajos noteikumos snieguma regulas I pielikumā, sarunu ceļā vienojoties par minētās regulas grozīšanu; norāda, ka, lai gan nozaru tiesību akti var papildināt snieguma regulu, piemēram, attiecībā uz programmu novērtēšanu, tiem ir jābūt saskaņā ar minētās regulas noteikumiem;</w:t>
      </w:r>
    </w:p>
    <w:p w14:paraId="0635C93B" w14:textId="77777777" w:rsidR="00205307" w:rsidRPr="009E2198" w:rsidRDefault="0090662D" w:rsidP="00205307">
      <w:pPr>
        <w:ind w:left="567" w:hanging="567"/>
      </w:pPr>
      <w:r>
        <w:t>21.</w:t>
      </w:r>
      <w:r>
        <w:tab/>
        <w:t>uzskata, ka pētniecības jomā atceltās saistības būtu pilnībā jāizmanto atkārtoti, lai palīdzētu stiprināt ES pētniecības spējas, bez mākslīgiem summu ierobežojumiem, ko neparedz Finanšu regula; uzskata arī, ka atmaksājumiem no finanšu instrumentiem arī turpmāk vajadzētu būt pieejamiem programmā “Apvārsnis Eiropa”.</w:t>
      </w:r>
    </w:p>
    <w:p w14:paraId="58759D05" w14:textId="77777777" w:rsidR="00C8553D" w:rsidRPr="009E2198" w:rsidRDefault="00C8553D" w:rsidP="00C8553D"/>
    <w:p w14:paraId="3315B8AF" w14:textId="77777777" w:rsidR="00755CD7" w:rsidRPr="009E2198" w:rsidRDefault="00755CD7" w:rsidP="00C8553D">
      <w:pPr>
        <w:sectPr w:rsidR="00755CD7" w:rsidRPr="009E2198" w:rsidSect="00F65B8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635AF2AE" w14:textId="77777777" w:rsidR="00CE73B2" w:rsidRPr="00B948C0" w:rsidRDefault="0090662D" w:rsidP="00825069">
      <w:pPr>
        <w:pStyle w:val="Normal12a"/>
        <w:rPr>
          <w:rStyle w:val="HideTWBExt"/>
        </w:rPr>
      </w:pPr>
      <w:r>
        <w:lastRenderedPageBreak/>
        <w:t>Saistībā ar budžeta izvērtējumu Budžeta komiteja arī iesniedz šādus priekšlikuma projekta grozījumus:</w:t>
      </w:r>
    </w:p>
    <w:p w14:paraId="331CE6A3" w14:textId="77777777" w:rsidR="000F307C" w:rsidRPr="009E2198" w:rsidRDefault="0090662D" w:rsidP="00E63984">
      <w:pPr>
        <w:pStyle w:val="AmNumberTabs"/>
      </w:pPr>
      <w:r>
        <w:rPr>
          <w:rStyle w:val="HideTWBExt"/>
          <w:b w:val="0"/>
        </w:rPr>
        <w:t>&lt;RepeatBlock-Amend&gt;</w:t>
      </w:r>
      <w:bookmarkStart w:id="1" w:name="_Hlk203492957"/>
    </w:p>
    <w:p w14:paraId="76C8C47E" w14:textId="77777777" w:rsidR="000F307C" w:rsidRPr="009E2198" w:rsidRDefault="0090662D" w:rsidP="00E63984">
      <w:pPr>
        <w:pStyle w:val="AmNumberTabs"/>
      </w:pPr>
      <w:r>
        <w:rPr>
          <w:rStyle w:val="HideTWBExt"/>
          <w:b w:val="0"/>
        </w:rPr>
        <w:t>&lt;Amend&gt;</w:t>
      </w:r>
      <w:r>
        <w:t>Grozījums Nr.</w:t>
      </w:r>
      <w:r>
        <w:tab/>
      </w:r>
      <w:r>
        <w:tab/>
      </w:r>
      <w:r>
        <w:rPr>
          <w:rStyle w:val="HideTWBExt"/>
          <w:b w:val="0"/>
        </w:rPr>
        <w:t>&lt;NumAm&gt;</w:t>
      </w:r>
      <w:r>
        <w:t>1</w:t>
      </w:r>
      <w:r>
        <w:rPr>
          <w:rStyle w:val="HideTWBExt"/>
          <w:b w:val="0"/>
        </w:rPr>
        <w:t>&lt;/NumAm&gt;</w:t>
      </w:r>
    </w:p>
    <w:p w14:paraId="0F270858" w14:textId="77777777" w:rsidR="000F307C" w:rsidRPr="009E2198" w:rsidRDefault="0090662D" w:rsidP="000F307C">
      <w:pPr>
        <w:pStyle w:val="Normal12a"/>
        <w:spacing w:after="0"/>
        <w:rPr>
          <w:b/>
        </w:rPr>
      </w:pPr>
      <w:r>
        <w:rPr>
          <w:rStyle w:val="HideTWBExt"/>
        </w:rPr>
        <w:t>&lt;DocAmend&gt;</w:t>
      </w:r>
      <w:r>
        <w:rPr>
          <w:b/>
        </w:rPr>
        <w:t>Regulas priekšlikums</w:t>
      </w:r>
      <w:r>
        <w:rPr>
          <w:rStyle w:val="HideTWBExt"/>
        </w:rPr>
        <w:t>&lt;/DocAmend&gt;</w:t>
      </w:r>
    </w:p>
    <w:p w14:paraId="6777C11A" w14:textId="77777777" w:rsidR="000F307C" w:rsidRPr="009E2198" w:rsidRDefault="0090662D" w:rsidP="000F307C">
      <w:pPr>
        <w:pStyle w:val="Normal12a"/>
        <w:spacing w:after="0"/>
        <w:rPr>
          <w:b/>
        </w:rPr>
      </w:pPr>
      <w:r>
        <w:rPr>
          <w:rStyle w:val="HideTWBExt"/>
        </w:rPr>
        <w:t>&lt;Article&gt;</w:t>
      </w:r>
      <w:r>
        <w:rPr>
          <w:b/>
        </w:rPr>
        <w:t>34. apsvērums</w:t>
      </w:r>
      <w:r>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773EA7" w14:paraId="162F5E79" w14:textId="77777777">
        <w:trPr>
          <w:jc w:val="center"/>
        </w:trPr>
        <w:tc>
          <w:tcPr>
            <w:tcW w:w="9750" w:type="dxa"/>
            <w:gridSpan w:val="2"/>
          </w:tcPr>
          <w:p w14:paraId="7837F7EE" w14:textId="77777777" w:rsidR="000F307C" w:rsidRPr="009E2198" w:rsidRDefault="000F307C" w:rsidP="005A2392">
            <w:pPr>
              <w:pStyle w:val="Normal6a"/>
            </w:pPr>
          </w:p>
        </w:tc>
      </w:tr>
      <w:tr w:rsidR="00773EA7" w14:paraId="414D5E59" w14:textId="77777777">
        <w:trPr>
          <w:jc w:val="center"/>
        </w:trPr>
        <w:tc>
          <w:tcPr>
            <w:tcW w:w="4875" w:type="dxa"/>
            <w:hideMark/>
          </w:tcPr>
          <w:p w14:paraId="324808EC" w14:textId="77777777" w:rsidR="000F307C" w:rsidRPr="009E2198" w:rsidRDefault="0090662D" w:rsidP="00E00D3E">
            <w:pPr>
              <w:pStyle w:val="AmColumnHeading"/>
            </w:pPr>
            <w:r>
              <w:t>Komisijas ierosinātais teksts</w:t>
            </w:r>
          </w:p>
        </w:tc>
        <w:tc>
          <w:tcPr>
            <w:tcW w:w="4875" w:type="dxa"/>
            <w:hideMark/>
          </w:tcPr>
          <w:p w14:paraId="108B0BB8" w14:textId="77777777" w:rsidR="000F307C" w:rsidRPr="009E2198" w:rsidRDefault="0090662D" w:rsidP="00E00D3E">
            <w:pPr>
              <w:pStyle w:val="AmColumnHeading"/>
            </w:pPr>
            <w:r>
              <w:t>Grozījums</w:t>
            </w:r>
          </w:p>
        </w:tc>
      </w:tr>
      <w:tr w:rsidR="00773EA7" w14:paraId="42FE49ED" w14:textId="77777777" w:rsidTr="000F307C">
        <w:trPr>
          <w:jc w:val="center"/>
        </w:trPr>
        <w:tc>
          <w:tcPr>
            <w:tcW w:w="4875" w:type="dxa"/>
          </w:tcPr>
          <w:p w14:paraId="50294144" w14:textId="77777777" w:rsidR="000F307C" w:rsidRPr="009E2198" w:rsidRDefault="0090662D" w:rsidP="005A2392">
            <w:pPr>
              <w:pStyle w:val="Normal6a"/>
            </w:pPr>
            <w:r>
              <w:t>34.</w:t>
            </w:r>
            <w:r>
              <w:tab/>
              <w:t>Ja Savienības atbalsts šajā Programmā ir jāsniedz budžeta garantijas vai finanšu instrumenta veidā, arī apvienojumā ar neatmaksājamu atbalstu finansējuma apvienošanas darbībā, izņemot EIP finanšu instrumentus, šāda atbalsta sniegšanā jāizmanto vienīgi EKF InvestEU instruments saskaņā ar piemērojamajiem EKF InvestEU instrumenta noteikumiem.</w:t>
            </w:r>
            <w:r>
              <w:rPr>
                <w:i/>
              </w:rPr>
              <w:t> </w:t>
            </w:r>
          </w:p>
        </w:tc>
        <w:tc>
          <w:tcPr>
            <w:tcW w:w="4875" w:type="dxa"/>
          </w:tcPr>
          <w:p w14:paraId="59B9ABBD" w14:textId="77777777" w:rsidR="000F307C" w:rsidRPr="009E2198" w:rsidRDefault="0090662D" w:rsidP="005A2392">
            <w:pPr>
              <w:pStyle w:val="Normal6a"/>
            </w:pPr>
            <w:r>
              <w:t>34.</w:t>
            </w:r>
            <w:r>
              <w:tab/>
              <w:t xml:space="preserve">Ja Savienības atbalsts šajā Programmā ir jāsniedz budžeta garantijas vai finanšu instrumenta veidā, arī apvienojumā ar neatmaksājamu atbalstu finansējuma apvienošanas darbībā, izņemot EIP finanšu instrumentus, </w:t>
            </w:r>
            <w:r>
              <w:rPr>
                <w:b/>
                <w:i/>
              </w:rPr>
              <w:t>tostarp Eiropas Fondu augošiem uzņēmumiem,</w:t>
            </w:r>
            <w:r>
              <w:t xml:space="preserve"> šāda atbalsta sniegšanā jāizmanto vienīgi EKF InvestEU instruments saskaņā ar piemērojamajiem EKF InvestEU instrumenta noteikumiem.</w:t>
            </w:r>
          </w:p>
        </w:tc>
      </w:tr>
    </w:tbl>
    <w:p w14:paraId="3066E1E4" w14:textId="77777777" w:rsidR="00610FA5" w:rsidRPr="00B948C0" w:rsidRDefault="0090662D" w:rsidP="00E63984">
      <w:pPr>
        <w:pStyle w:val="AmNumberTabs"/>
        <w:rPr>
          <w:rStyle w:val="HideTWBExt"/>
        </w:rPr>
      </w:pPr>
      <w:r>
        <w:rPr>
          <w:rStyle w:val="HideTWBExt"/>
          <w:b w:val="0"/>
        </w:rPr>
        <w:t>&lt;/Amend&gt;</w:t>
      </w:r>
    </w:p>
    <w:p w14:paraId="75F4A4AB" w14:textId="77777777" w:rsidR="00976019" w:rsidRPr="009E2198" w:rsidRDefault="0090662D" w:rsidP="00976019">
      <w:pPr>
        <w:pStyle w:val="AmNumberTabs"/>
      </w:pPr>
      <w:r>
        <w:rPr>
          <w:rStyle w:val="HideTWBExt"/>
          <w:b w:val="0"/>
        </w:rPr>
        <w:t>&lt;Amend&gt;</w:t>
      </w:r>
      <w:r>
        <w:t>Grozījums Nr.</w:t>
      </w:r>
      <w:r>
        <w:tab/>
      </w:r>
      <w:r>
        <w:tab/>
      </w:r>
      <w:r>
        <w:rPr>
          <w:rStyle w:val="HideTWBExt"/>
          <w:b w:val="0"/>
        </w:rPr>
        <w:t>&lt;NumAm&gt;</w:t>
      </w:r>
      <w:r>
        <w:t>2</w:t>
      </w:r>
      <w:r>
        <w:rPr>
          <w:rStyle w:val="HideTWBExt"/>
          <w:b w:val="0"/>
        </w:rPr>
        <w:t>&lt;/NumAm&gt;</w:t>
      </w:r>
    </w:p>
    <w:p w14:paraId="455E20D8" w14:textId="77777777" w:rsidR="00976019" w:rsidRPr="009E2198" w:rsidRDefault="0090662D" w:rsidP="00976019">
      <w:pPr>
        <w:pStyle w:val="Normal12a"/>
        <w:spacing w:after="0"/>
        <w:rPr>
          <w:b/>
        </w:rPr>
      </w:pPr>
      <w:r>
        <w:rPr>
          <w:rStyle w:val="HideTWBExt"/>
        </w:rPr>
        <w:t>&lt;DocAmend&gt;</w:t>
      </w:r>
      <w:r>
        <w:rPr>
          <w:b/>
        </w:rPr>
        <w:t>Regulas priekšlikums</w:t>
      </w:r>
      <w:r>
        <w:rPr>
          <w:rStyle w:val="HideTWBExt"/>
        </w:rPr>
        <w:t>&lt;/DocAmend&gt;</w:t>
      </w:r>
    </w:p>
    <w:p w14:paraId="471EC786" w14:textId="77777777" w:rsidR="00976019" w:rsidRPr="009E2198" w:rsidRDefault="0090662D" w:rsidP="00976019">
      <w:pPr>
        <w:pStyle w:val="Normal12a"/>
        <w:spacing w:after="0"/>
        <w:rPr>
          <w:b/>
        </w:rPr>
      </w:pPr>
      <w:r>
        <w:rPr>
          <w:rStyle w:val="HideTWBExt"/>
        </w:rPr>
        <w:t>&lt;Article&gt;</w:t>
      </w:r>
      <w:r>
        <w:rPr>
          <w:b/>
        </w:rPr>
        <w:t>36.a apsvērums (jauns)</w:t>
      </w:r>
      <w:r>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773EA7" w14:paraId="63130E64" w14:textId="77777777" w:rsidTr="00582163">
        <w:trPr>
          <w:jc w:val="center"/>
        </w:trPr>
        <w:tc>
          <w:tcPr>
            <w:tcW w:w="9750" w:type="dxa"/>
            <w:gridSpan w:val="2"/>
          </w:tcPr>
          <w:p w14:paraId="02D93D58" w14:textId="77777777" w:rsidR="00976019" w:rsidRPr="009E2198" w:rsidRDefault="00976019" w:rsidP="00582163">
            <w:pPr>
              <w:pStyle w:val="Normal6a"/>
            </w:pPr>
          </w:p>
        </w:tc>
      </w:tr>
      <w:tr w:rsidR="00773EA7" w14:paraId="1A6E278C" w14:textId="77777777" w:rsidTr="00582163">
        <w:trPr>
          <w:jc w:val="center"/>
        </w:trPr>
        <w:tc>
          <w:tcPr>
            <w:tcW w:w="4875" w:type="dxa"/>
            <w:hideMark/>
          </w:tcPr>
          <w:p w14:paraId="6D1BFFB9" w14:textId="77777777" w:rsidR="00976019" w:rsidRPr="009E2198" w:rsidRDefault="0090662D" w:rsidP="00582163">
            <w:pPr>
              <w:pStyle w:val="AmColumnHeading"/>
            </w:pPr>
            <w:r>
              <w:t>Komisijas ierosinātais teksts</w:t>
            </w:r>
          </w:p>
        </w:tc>
        <w:tc>
          <w:tcPr>
            <w:tcW w:w="4875" w:type="dxa"/>
            <w:hideMark/>
          </w:tcPr>
          <w:p w14:paraId="662E548A" w14:textId="77777777" w:rsidR="00976019" w:rsidRPr="009E2198" w:rsidRDefault="0090662D" w:rsidP="00582163">
            <w:pPr>
              <w:pStyle w:val="AmColumnHeading"/>
            </w:pPr>
            <w:r>
              <w:t>Grozījums</w:t>
            </w:r>
          </w:p>
        </w:tc>
      </w:tr>
      <w:tr w:rsidR="00773EA7" w14:paraId="1B9C4A16" w14:textId="77777777" w:rsidTr="00582163">
        <w:trPr>
          <w:jc w:val="center"/>
        </w:trPr>
        <w:tc>
          <w:tcPr>
            <w:tcW w:w="4875" w:type="dxa"/>
          </w:tcPr>
          <w:p w14:paraId="0EEFF18A" w14:textId="77777777" w:rsidR="00976019" w:rsidRPr="009E2198" w:rsidRDefault="00976019" w:rsidP="00582163">
            <w:pPr>
              <w:pStyle w:val="Normal6a"/>
            </w:pPr>
          </w:p>
        </w:tc>
        <w:tc>
          <w:tcPr>
            <w:tcW w:w="4875" w:type="dxa"/>
            <w:hideMark/>
          </w:tcPr>
          <w:p w14:paraId="26120025" w14:textId="77777777" w:rsidR="00976019" w:rsidRPr="009E2198" w:rsidRDefault="0090662D" w:rsidP="00582163">
            <w:pPr>
              <w:pStyle w:val="Normal6a"/>
              <w:rPr>
                <w:b/>
                <w:bCs/>
                <w:i/>
                <w:iCs/>
              </w:rPr>
            </w:pPr>
            <w:r>
              <w:rPr>
                <w:b/>
                <w:i/>
              </w:rPr>
              <w:t>(36a)</w:t>
            </w:r>
            <w:r>
              <w:rPr>
                <w:b/>
                <w:i/>
              </w:rPr>
              <w:tab/>
              <w:t xml:space="preserve">Papildināmībai starp programmu “Apvārsnis Eiropa” un citiem Savienības instrumentiem, tostarp Eiropas Konkurētspējas fondu, nebūtu jāmazina izdevumu izsekošanas iespējas vai budžeta lēmējinstitūcijas prerogatīvas. Programmas “Apvārsnis Eiropa” ieguldījumam kopīgi finansētās darbībās vajadzētu būt nepārprotami identificējamam visos budžeta cikla posmos, un tas būtu pienācīgi jāatspoguļo </w:t>
            </w:r>
            <w:r>
              <w:rPr>
                <w:b/>
                <w:i/>
              </w:rPr>
              <w:lastRenderedPageBreak/>
              <w:t>programmas snieguma pārskatā.</w:t>
            </w:r>
          </w:p>
        </w:tc>
      </w:tr>
    </w:tbl>
    <w:p w14:paraId="55D2DBC6" w14:textId="77777777" w:rsidR="00976019" w:rsidRPr="009E2198" w:rsidRDefault="0090662D" w:rsidP="00976019">
      <w:pPr>
        <w:pStyle w:val="AmNumberTabs"/>
      </w:pPr>
      <w:r>
        <w:rPr>
          <w:rStyle w:val="HideTWBExt"/>
          <w:b w:val="0"/>
        </w:rPr>
        <w:lastRenderedPageBreak/>
        <w:t>&lt;/Amend&gt;</w:t>
      </w:r>
    </w:p>
    <w:p w14:paraId="15461419" w14:textId="77777777" w:rsidR="00976019" w:rsidRPr="009E2198" w:rsidRDefault="00976019" w:rsidP="00E63984">
      <w:pPr>
        <w:pStyle w:val="AmNumberTabs"/>
      </w:pPr>
    </w:p>
    <w:p w14:paraId="3C7DBC67" w14:textId="77777777" w:rsidR="00610FA5" w:rsidRPr="009E2198" w:rsidRDefault="0090662D" w:rsidP="00E63984">
      <w:pPr>
        <w:pStyle w:val="AmNumberTabs"/>
      </w:pPr>
      <w:r>
        <w:rPr>
          <w:rStyle w:val="HideTWBExt"/>
          <w:b w:val="0"/>
        </w:rPr>
        <w:t>&lt;Amend&gt;</w:t>
      </w:r>
      <w:r>
        <w:t>Grozījums Nr.</w:t>
      </w:r>
      <w:r>
        <w:tab/>
      </w:r>
      <w:r>
        <w:tab/>
      </w:r>
      <w:r>
        <w:rPr>
          <w:rStyle w:val="HideTWBExt"/>
          <w:b w:val="0"/>
        </w:rPr>
        <w:t>&lt;NumAm&gt;</w:t>
      </w:r>
      <w:r>
        <w:t>3</w:t>
      </w:r>
      <w:r>
        <w:rPr>
          <w:rStyle w:val="HideTWBExt"/>
          <w:b w:val="0"/>
        </w:rPr>
        <w:t>&lt;/NumAm&gt;</w:t>
      </w:r>
    </w:p>
    <w:p w14:paraId="3EB19389" w14:textId="77777777" w:rsidR="00610FA5" w:rsidRPr="009E2198" w:rsidRDefault="0090662D" w:rsidP="00610FA5">
      <w:pPr>
        <w:pStyle w:val="Normal12a"/>
        <w:spacing w:after="0"/>
        <w:rPr>
          <w:b/>
        </w:rPr>
      </w:pPr>
      <w:r>
        <w:rPr>
          <w:rStyle w:val="HideTWBExt"/>
        </w:rPr>
        <w:t>&lt;DocAmend&gt;</w:t>
      </w:r>
      <w:r>
        <w:rPr>
          <w:b/>
        </w:rPr>
        <w:t>Regulas priekšlikums</w:t>
      </w:r>
      <w:r>
        <w:rPr>
          <w:rStyle w:val="HideTWBExt"/>
        </w:rPr>
        <w:t>&lt;/DocAmend&gt;</w:t>
      </w:r>
    </w:p>
    <w:p w14:paraId="3D75B9A0" w14:textId="77777777" w:rsidR="00205307" w:rsidRPr="009E2198" w:rsidRDefault="0090662D" w:rsidP="00205307">
      <w:pPr>
        <w:pStyle w:val="Normal12a"/>
        <w:rPr>
          <w:rFonts w:ascii="Arial" w:hAnsi="Arial" w:cs="Arial"/>
          <w:b/>
          <w:noProof/>
          <w:color w:val="000080"/>
          <w:sz w:val="20"/>
        </w:rPr>
      </w:pPr>
      <w:r>
        <w:rPr>
          <w:rStyle w:val="HideTWBExt"/>
        </w:rPr>
        <w:t>&lt;Article&gt;</w:t>
      </w:r>
      <w:r>
        <w:rPr>
          <w:b/>
        </w:rPr>
        <w:t>37.b apsvērums (jauns)</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73EA7" w14:paraId="1DCB813A" w14:textId="77777777">
        <w:trPr>
          <w:jc w:val="center"/>
        </w:trPr>
        <w:tc>
          <w:tcPr>
            <w:tcW w:w="9752" w:type="dxa"/>
            <w:gridSpan w:val="2"/>
          </w:tcPr>
          <w:p w14:paraId="685EF435" w14:textId="77777777" w:rsidR="00610FA5" w:rsidRPr="009E2198" w:rsidRDefault="00610FA5" w:rsidP="005A2392">
            <w:pPr>
              <w:pStyle w:val="Normal6a"/>
            </w:pPr>
          </w:p>
        </w:tc>
      </w:tr>
      <w:tr w:rsidR="00773EA7" w14:paraId="28DCF824" w14:textId="77777777">
        <w:trPr>
          <w:jc w:val="center"/>
        </w:trPr>
        <w:tc>
          <w:tcPr>
            <w:tcW w:w="4876" w:type="dxa"/>
            <w:hideMark/>
          </w:tcPr>
          <w:p w14:paraId="23295E19" w14:textId="77777777" w:rsidR="00610FA5" w:rsidRPr="009E2198" w:rsidRDefault="0090662D" w:rsidP="00E00D3E">
            <w:pPr>
              <w:pStyle w:val="AmColumnHeading"/>
            </w:pPr>
            <w:r>
              <w:t>Komisijas ierosinātais teksts</w:t>
            </w:r>
          </w:p>
        </w:tc>
        <w:tc>
          <w:tcPr>
            <w:tcW w:w="4876" w:type="dxa"/>
            <w:hideMark/>
          </w:tcPr>
          <w:p w14:paraId="050B9843" w14:textId="77777777" w:rsidR="00610FA5" w:rsidRPr="009E2198" w:rsidRDefault="0090662D" w:rsidP="00E00D3E">
            <w:pPr>
              <w:pStyle w:val="AmColumnHeading"/>
            </w:pPr>
            <w:r>
              <w:t>Grozījums</w:t>
            </w:r>
          </w:p>
        </w:tc>
      </w:tr>
      <w:tr w:rsidR="00773EA7" w14:paraId="100A06F9" w14:textId="77777777">
        <w:trPr>
          <w:jc w:val="center"/>
        </w:trPr>
        <w:tc>
          <w:tcPr>
            <w:tcW w:w="4876" w:type="dxa"/>
            <w:hideMark/>
          </w:tcPr>
          <w:p w14:paraId="40284097" w14:textId="77777777" w:rsidR="00610FA5" w:rsidRPr="009E2198" w:rsidRDefault="00610FA5" w:rsidP="005A2392">
            <w:pPr>
              <w:pStyle w:val="Normal6a"/>
            </w:pPr>
          </w:p>
        </w:tc>
        <w:tc>
          <w:tcPr>
            <w:tcW w:w="4876" w:type="dxa"/>
            <w:hideMark/>
          </w:tcPr>
          <w:p w14:paraId="6342AD95" w14:textId="77777777" w:rsidR="00610FA5" w:rsidRPr="009E2198" w:rsidRDefault="0090662D" w:rsidP="005A2392">
            <w:pPr>
              <w:pStyle w:val="Normal6a"/>
              <w:rPr>
                <w:b/>
                <w:bCs/>
                <w:i/>
                <w:iCs/>
              </w:rPr>
            </w:pPr>
            <w:r>
              <w:rPr>
                <w:b/>
                <w:i/>
              </w:rPr>
              <w:t>(37b)</w:t>
            </w:r>
            <w:r>
              <w:rPr>
                <w:b/>
                <w:i/>
              </w:rPr>
              <w:tab/>
              <w:t>Šīs regulas noteikumiem, kā arī tās pārvaldības kārtībai būtu jāveicina pienācīga budžeta lēmējinstitūcijas lēmumu pieņemšana un pienācīga parlamentārā uzraudzība. Programmas iekšējā struktūra jo īpaši būtu pienācīgi jāatspoguļo budžeta nomenklatūrā, ieviešot attiecīgas budžeta pozīcijas.</w:t>
            </w:r>
          </w:p>
        </w:tc>
      </w:tr>
    </w:tbl>
    <w:p w14:paraId="6BBA29C3" w14:textId="77777777" w:rsidR="00610FA5" w:rsidRPr="009E2198" w:rsidRDefault="0090662D" w:rsidP="00E63984">
      <w:pPr>
        <w:pStyle w:val="AmNumberTabs"/>
      </w:pPr>
      <w:r>
        <w:rPr>
          <w:rStyle w:val="HideTWBExt"/>
          <w:b w:val="0"/>
        </w:rPr>
        <w:t>&lt;/Amend&gt;</w:t>
      </w:r>
    </w:p>
    <w:p w14:paraId="5FE11D97" w14:textId="77777777" w:rsidR="00976019" w:rsidRPr="009E2198" w:rsidRDefault="0090662D" w:rsidP="00976019">
      <w:pPr>
        <w:pStyle w:val="AmNumberTabs"/>
      </w:pPr>
      <w:r>
        <w:rPr>
          <w:rStyle w:val="HideTWBExt"/>
          <w:b w:val="0"/>
        </w:rPr>
        <w:t>&lt;Amend&gt;</w:t>
      </w:r>
      <w:r>
        <w:t>Grozījums Nr.</w:t>
      </w:r>
      <w:r>
        <w:tab/>
      </w:r>
      <w:r>
        <w:tab/>
      </w:r>
      <w:r>
        <w:rPr>
          <w:rStyle w:val="HideTWBExt"/>
          <w:b w:val="0"/>
        </w:rPr>
        <w:t>&lt;NumAm&gt;</w:t>
      </w:r>
      <w:r>
        <w:t>4</w:t>
      </w:r>
      <w:r>
        <w:rPr>
          <w:rStyle w:val="HideTWBExt"/>
          <w:b w:val="0"/>
        </w:rPr>
        <w:t>&lt;/NumAm&gt;</w:t>
      </w:r>
    </w:p>
    <w:p w14:paraId="5A391E84" w14:textId="77777777" w:rsidR="00976019" w:rsidRPr="009E2198" w:rsidRDefault="0090662D" w:rsidP="00976019">
      <w:pPr>
        <w:pStyle w:val="Normal12a"/>
        <w:spacing w:after="0"/>
        <w:rPr>
          <w:b/>
        </w:rPr>
      </w:pPr>
      <w:r>
        <w:rPr>
          <w:rStyle w:val="HideTWBExt"/>
        </w:rPr>
        <w:t>&lt;DocAmend&gt;</w:t>
      </w:r>
      <w:r>
        <w:rPr>
          <w:b/>
        </w:rPr>
        <w:t>Regulas priekšlikums</w:t>
      </w:r>
      <w:r>
        <w:rPr>
          <w:rStyle w:val="HideTWBExt"/>
        </w:rPr>
        <w:t>&lt;/DocAmend&gt;</w:t>
      </w:r>
    </w:p>
    <w:p w14:paraId="5C54A709" w14:textId="77777777" w:rsidR="00976019" w:rsidRPr="009E2198" w:rsidRDefault="0090662D" w:rsidP="00976019">
      <w:pPr>
        <w:pStyle w:val="Normal12a"/>
        <w:spacing w:after="0"/>
        <w:rPr>
          <w:b/>
        </w:rPr>
      </w:pPr>
      <w:r>
        <w:rPr>
          <w:rStyle w:val="HideTWBExt"/>
        </w:rPr>
        <w:t>&lt;Article&gt;</w:t>
      </w:r>
      <w:r>
        <w:rPr>
          <w:b/>
        </w:rPr>
        <w:t>37.c apsvērums (jauns)</w:t>
      </w:r>
      <w:r>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773EA7" w14:paraId="249B86AB" w14:textId="77777777" w:rsidTr="00582163">
        <w:trPr>
          <w:jc w:val="center"/>
        </w:trPr>
        <w:tc>
          <w:tcPr>
            <w:tcW w:w="9752" w:type="dxa"/>
            <w:gridSpan w:val="2"/>
          </w:tcPr>
          <w:p w14:paraId="3698F27D" w14:textId="77777777" w:rsidR="00976019" w:rsidRPr="009E2198" w:rsidRDefault="00976019" w:rsidP="00582163">
            <w:pPr>
              <w:pStyle w:val="Normal6a"/>
            </w:pPr>
          </w:p>
        </w:tc>
      </w:tr>
      <w:tr w:rsidR="00773EA7" w14:paraId="30E3BBED" w14:textId="77777777" w:rsidTr="00582163">
        <w:trPr>
          <w:jc w:val="center"/>
        </w:trPr>
        <w:tc>
          <w:tcPr>
            <w:tcW w:w="4876" w:type="dxa"/>
            <w:hideMark/>
          </w:tcPr>
          <w:p w14:paraId="7D8A1F1D" w14:textId="77777777" w:rsidR="00976019" w:rsidRPr="009E2198" w:rsidRDefault="0090662D" w:rsidP="00582163">
            <w:pPr>
              <w:pStyle w:val="AmColumnHeading"/>
            </w:pPr>
            <w:r>
              <w:t>Komisijas ierosinātais teksts</w:t>
            </w:r>
          </w:p>
        </w:tc>
        <w:tc>
          <w:tcPr>
            <w:tcW w:w="4876" w:type="dxa"/>
            <w:hideMark/>
          </w:tcPr>
          <w:p w14:paraId="36D8A94D" w14:textId="77777777" w:rsidR="00976019" w:rsidRPr="009E2198" w:rsidRDefault="0090662D" w:rsidP="00582163">
            <w:pPr>
              <w:pStyle w:val="AmColumnHeading"/>
            </w:pPr>
            <w:r>
              <w:t>Grozījums</w:t>
            </w:r>
          </w:p>
        </w:tc>
      </w:tr>
      <w:tr w:rsidR="00773EA7" w14:paraId="4BACC4C9" w14:textId="77777777" w:rsidTr="00582163">
        <w:trPr>
          <w:jc w:val="center"/>
        </w:trPr>
        <w:tc>
          <w:tcPr>
            <w:tcW w:w="4876" w:type="dxa"/>
          </w:tcPr>
          <w:p w14:paraId="2BAD3B7B" w14:textId="77777777" w:rsidR="00976019" w:rsidRPr="009E2198" w:rsidRDefault="00976019" w:rsidP="00582163">
            <w:pPr>
              <w:pStyle w:val="Normal6a"/>
            </w:pPr>
          </w:p>
        </w:tc>
        <w:tc>
          <w:tcPr>
            <w:tcW w:w="4876" w:type="dxa"/>
            <w:shd w:val="clear" w:color="auto" w:fill="auto"/>
            <w:hideMark/>
          </w:tcPr>
          <w:p w14:paraId="2FCFA2FE" w14:textId="77777777" w:rsidR="00976019" w:rsidRPr="009E2198" w:rsidRDefault="0090662D" w:rsidP="00582163">
            <w:pPr>
              <w:pStyle w:val="Normal6a"/>
            </w:pPr>
            <w:r>
              <w:rPr>
                <w:b/>
                <w:i/>
              </w:rPr>
              <w:t>(37c)</w:t>
            </w:r>
            <w:r>
              <w:rPr>
                <w:b/>
                <w:i/>
              </w:rPr>
              <w:tab/>
              <w:t>Saskaņā ar Finanšu regulas 15. panta 3. punktu pētniecības jomā atceltās saistības izmanto atkārtoti, lai palīdzētu stiprināt Savienības pētniecības spējas, neparedzot nekādus preventīvus ierobežojumus, kas ikgadējā budžeta procedūrā ierobežotu budžeta lēmējinstitūciju.</w:t>
            </w:r>
            <w:r>
              <w:t xml:space="preserve"> </w:t>
            </w:r>
          </w:p>
        </w:tc>
      </w:tr>
    </w:tbl>
    <w:p w14:paraId="3E063D0B" w14:textId="77777777" w:rsidR="00976019" w:rsidRPr="009E2198" w:rsidRDefault="0090662D" w:rsidP="00976019">
      <w:pPr>
        <w:pStyle w:val="AmNumberTabs"/>
      </w:pPr>
      <w:r>
        <w:rPr>
          <w:rStyle w:val="HideTWBExt"/>
          <w:b w:val="0"/>
        </w:rPr>
        <w:t>&lt;/Amend&gt;</w:t>
      </w:r>
    </w:p>
    <w:p w14:paraId="1060A9AA" w14:textId="77777777" w:rsidR="000F307C" w:rsidRPr="00B948C0" w:rsidRDefault="000F307C" w:rsidP="00E63984">
      <w:pPr>
        <w:pStyle w:val="AmNumberTabs"/>
        <w:rPr>
          <w:rStyle w:val="HideTWBExt"/>
        </w:rPr>
      </w:pPr>
    </w:p>
    <w:p w14:paraId="675989FD" w14:textId="77777777" w:rsidR="006D16AE" w:rsidRPr="009E2198" w:rsidRDefault="0090662D" w:rsidP="00E63984">
      <w:pPr>
        <w:pStyle w:val="AmNumberTabs"/>
      </w:pPr>
      <w:r>
        <w:rPr>
          <w:rStyle w:val="HideTWBExt"/>
          <w:b w:val="0"/>
        </w:rPr>
        <w:lastRenderedPageBreak/>
        <w:t>&lt;Amend&gt;</w:t>
      </w:r>
      <w:r>
        <w:t>Grozījums Nr.</w:t>
      </w:r>
      <w:r>
        <w:tab/>
      </w:r>
      <w:r>
        <w:tab/>
      </w:r>
      <w:r>
        <w:rPr>
          <w:rStyle w:val="HideTWBExt"/>
          <w:b w:val="0"/>
        </w:rPr>
        <w:t>&lt;NumAm&gt;</w:t>
      </w:r>
      <w:r>
        <w:t>5</w:t>
      </w:r>
      <w:r>
        <w:rPr>
          <w:rStyle w:val="HideTWBExt"/>
          <w:b w:val="0"/>
        </w:rPr>
        <w:t>&lt;/NumAm&gt;</w:t>
      </w:r>
    </w:p>
    <w:p w14:paraId="710FA7B1" w14:textId="77777777" w:rsidR="007F1A57" w:rsidRPr="009E2198" w:rsidRDefault="007F1A57" w:rsidP="000F307C">
      <w:pPr>
        <w:pStyle w:val="Normal12a"/>
        <w:rPr>
          <w:rFonts w:ascii="Arial" w:hAnsi="Arial"/>
          <w:noProof/>
          <w:vanish/>
          <w:color w:val="000080"/>
          <w:sz w:val="20"/>
        </w:rPr>
      </w:pPr>
    </w:p>
    <w:p w14:paraId="00A12A04" w14:textId="77777777" w:rsidR="006D16AE" w:rsidRPr="009E2198" w:rsidRDefault="0090662D" w:rsidP="00760D63">
      <w:pPr>
        <w:pStyle w:val="Normal12a"/>
        <w:spacing w:after="0"/>
        <w:rPr>
          <w:b/>
        </w:rPr>
      </w:pPr>
      <w:r>
        <w:rPr>
          <w:rStyle w:val="HideTWBExt"/>
        </w:rPr>
        <w:t>&lt;DocAmend&gt;</w:t>
      </w:r>
      <w:r>
        <w:rPr>
          <w:b/>
        </w:rPr>
        <w:t>Regulas priekšlikums</w:t>
      </w:r>
      <w:r>
        <w:rPr>
          <w:rStyle w:val="HideTWBExt"/>
        </w:rPr>
        <w:t>&lt;/DocAmend&gt;</w:t>
      </w:r>
    </w:p>
    <w:p w14:paraId="41D5808B" w14:textId="77777777" w:rsidR="00205307" w:rsidRPr="009E2198" w:rsidRDefault="0090662D" w:rsidP="00205307">
      <w:pPr>
        <w:pStyle w:val="Normal12a"/>
        <w:rPr>
          <w:rFonts w:ascii="Arial" w:hAnsi="Arial" w:cs="Arial"/>
          <w:b/>
          <w:noProof/>
          <w:color w:val="000080"/>
          <w:sz w:val="20"/>
        </w:rPr>
      </w:pPr>
      <w:r>
        <w:rPr>
          <w:rStyle w:val="HideTWBExt"/>
        </w:rPr>
        <w:t>&lt;Article&gt;</w:t>
      </w:r>
      <w:r>
        <w:rPr>
          <w:b/>
        </w:rPr>
        <w:t>38.a apsvērums (jauns)</w:t>
      </w:r>
      <w:r>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773EA7" w14:paraId="45CA1C33" w14:textId="77777777" w:rsidTr="005A2392">
        <w:trPr>
          <w:jc w:val="center"/>
        </w:trPr>
        <w:tc>
          <w:tcPr>
            <w:tcW w:w="9752" w:type="dxa"/>
            <w:gridSpan w:val="2"/>
          </w:tcPr>
          <w:p w14:paraId="36B12AF7" w14:textId="77777777" w:rsidR="006D16AE" w:rsidRPr="009E2198" w:rsidRDefault="006D16AE" w:rsidP="005A2392">
            <w:pPr>
              <w:pStyle w:val="Normal6a"/>
            </w:pPr>
          </w:p>
        </w:tc>
      </w:tr>
      <w:tr w:rsidR="00773EA7" w14:paraId="64B5D053" w14:textId="77777777" w:rsidTr="005A2392">
        <w:trPr>
          <w:jc w:val="center"/>
        </w:trPr>
        <w:tc>
          <w:tcPr>
            <w:tcW w:w="4876" w:type="dxa"/>
            <w:hideMark/>
          </w:tcPr>
          <w:p w14:paraId="75A89B87" w14:textId="77777777" w:rsidR="006D16AE" w:rsidRPr="009E2198" w:rsidRDefault="0090662D" w:rsidP="00E00D3E">
            <w:pPr>
              <w:pStyle w:val="AmColumnHeading"/>
            </w:pPr>
            <w:r>
              <w:t>Komisijas ierosinātais teksts</w:t>
            </w:r>
          </w:p>
        </w:tc>
        <w:tc>
          <w:tcPr>
            <w:tcW w:w="4876" w:type="dxa"/>
            <w:hideMark/>
          </w:tcPr>
          <w:p w14:paraId="6063836D" w14:textId="77777777" w:rsidR="006D16AE" w:rsidRPr="009E2198" w:rsidRDefault="0090662D" w:rsidP="00E00D3E">
            <w:pPr>
              <w:pStyle w:val="AmColumnHeading"/>
            </w:pPr>
            <w:r>
              <w:t>Grozījums</w:t>
            </w:r>
          </w:p>
        </w:tc>
      </w:tr>
      <w:tr w:rsidR="00773EA7" w14:paraId="526AF68D" w14:textId="77777777" w:rsidTr="005A2392">
        <w:trPr>
          <w:jc w:val="center"/>
        </w:trPr>
        <w:tc>
          <w:tcPr>
            <w:tcW w:w="4876" w:type="dxa"/>
            <w:hideMark/>
          </w:tcPr>
          <w:p w14:paraId="2E05F74A" w14:textId="77777777" w:rsidR="006D16AE" w:rsidRPr="009E2198" w:rsidRDefault="006D16AE" w:rsidP="005A2392">
            <w:pPr>
              <w:pStyle w:val="Normal6a"/>
            </w:pPr>
          </w:p>
        </w:tc>
        <w:tc>
          <w:tcPr>
            <w:tcW w:w="4876" w:type="dxa"/>
            <w:hideMark/>
          </w:tcPr>
          <w:p w14:paraId="35ECA461" w14:textId="77777777" w:rsidR="006D16AE" w:rsidRPr="009E2198" w:rsidRDefault="0090662D" w:rsidP="005A2392">
            <w:pPr>
              <w:pStyle w:val="Normal6a"/>
            </w:pPr>
            <w:r>
              <w:rPr>
                <w:b/>
                <w:i/>
              </w:rPr>
              <w:t>(38a)</w:t>
            </w:r>
            <w:r>
              <w:rPr>
                <w:b/>
                <w:i/>
              </w:rPr>
              <w:tab/>
              <w:t>Šīs regulas ietekme uz Savienības budžetu ir novērtēta</w:t>
            </w:r>
            <w:r>
              <w:rPr>
                <w:b/>
                <w:i/>
                <w:vertAlign w:val="superscript"/>
              </w:rPr>
              <w:t>+</w:t>
            </w:r>
            <w:r>
              <w:rPr>
                <w:b/>
                <w:i/>
              </w:rPr>
              <w:t xml:space="preserve"> saskaņā ar Līguma par Eiropas Savienības darbību 310. panta 4. punktu. Regulas īstenošanai būtu jāpiešķir pietiekami finanšu resursi un cilvēkresursi, vienlaikus ņemot vērā tajā paredzētā finansējuma ietekmi uz citām Savienības programmām vai rīcībpolitikām un nodrošinot saderību ar daudzgadu finanšu shēmu, pašu resursu sistēmu un attiecīgo Iestāžu nolīgumu, kā arī ar Eiropas Parlamenta un Padomes Regulā (ES, Euratom) 2024/2509</w:t>
            </w:r>
            <w:r>
              <w:rPr>
                <w:b/>
                <w:i/>
                <w:vertAlign w:val="superscript"/>
              </w:rPr>
              <w:t>[1]</w:t>
            </w:r>
            <w:r>
              <w:rPr>
                <w:b/>
                <w:i/>
              </w:rPr>
              <w:t xml:space="preserve"> noteiktajiem budžeta principiem.</w:t>
            </w:r>
          </w:p>
        </w:tc>
      </w:tr>
      <w:tr w:rsidR="00773EA7" w14:paraId="01B17DBA" w14:textId="77777777" w:rsidTr="005A2392">
        <w:trPr>
          <w:jc w:val="center"/>
        </w:trPr>
        <w:tc>
          <w:tcPr>
            <w:tcW w:w="4876" w:type="dxa"/>
          </w:tcPr>
          <w:p w14:paraId="6C816CD7" w14:textId="77777777" w:rsidR="006D16AE" w:rsidRPr="009E2198" w:rsidRDefault="006D16AE" w:rsidP="005A2392">
            <w:pPr>
              <w:pStyle w:val="Normal6a"/>
            </w:pPr>
          </w:p>
        </w:tc>
        <w:tc>
          <w:tcPr>
            <w:tcW w:w="4876" w:type="dxa"/>
            <w:hideMark/>
          </w:tcPr>
          <w:p w14:paraId="3C396A58" w14:textId="77777777" w:rsidR="006D16AE" w:rsidRPr="009E2198" w:rsidRDefault="0090662D" w:rsidP="005A2392">
            <w:pPr>
              <w:pStyle w:val="Normal6a"/>
              <w:rPr>
                <w:b/>
                <w:i/>
              </w:rPr>
            </w:pPr>
            <w:r>
              <w:rPr>
                <w:b/>
                <w:i/>
              </w:rPr>
              <w:t>____________________</w:t>
            </w:r>
          </w:p>
        </w:tc>
      </w:tr>
      <w:tr w:rsidR="00773EA7" w14:paraId="1770DF87" w14:textId="77777777" w:rsidTr="005A2392">
        <w:trPr>
          <w:jc w:val="center"/>
        </w:trPr>
        <w:tc>
          <w:tcPr>
            <w:tcW w:w="4876" w:type="dxa"/>
          </w:tcPr>
          <w:p w14:paraId="1130EE30" w14:textId="77777777" w:rsidR="006D16AE" w:rsidRPr="009E2198" w:rsidRDefault="006D16AE" w:rsidP="005A2392">
            <w:pPr>
              <w:pStyle w:val="Normal6a"/>
            </w:pPr>
          </w:p>
        </w:tc>
        <w:tc>
          <w:tcPr>
            <w:tcW w:w="4876" w:type="dxa"/>
            <w:hideMark/>
          </w:tcPr>
          <w:p w14:paraId="1D2E61F6" w14:textId="77777777" w:rsidR="006D16AE" w:rsidRPr="009E2198" w:rsidRDefault="0090662D" w:rsidP="005A2392">
            <w:pPr>
              <w:pStyle w:val="Normal6a"/>
              <w:rPr>
                <w:b/>
                <w:bCs/>
                <w:i/>
                <w:iCs/>
              </w:rPr>
            </w:pPr>
            <w:r>
              <w:rPr>
                <w:b/>
                <w:i/>
                <w:vertAlign w:val="superscript"/>
              </w:rPr>
              <w:t xml:space="preserve">+ </w:t>
            </w:r>
            <w:r>
              <w:rPr>
                <w:b/>
                <w:i/>
              </w:rPr>
              <w:t>Pro memoria: Eiropas Parlamenta Budžeta komitejas 2026. gada 23. jūnija budžeta izvērtējums par priekšlikumu Eiropas Parlamenta un Padomes regulai, ar ko izveido pētniecības un inovācijas pamatprogrammu “Apvārsnis Eiropa” 2028.–2034. gadam, nosaka tās dalības un rezultātu izplatīšanas noteikumus un atceļ Regulu (ES) 2021/695 (COM(2025)0543).</w:t>
            </w:r>
          </w:p>
        </w:tc>
      </w:tr>
      <w:tr w:rsidR="00773EA7" w14:paraId="3F93F0AC" w14:textId="77777777" w:rsidTr="005A2392">
        <w:trPr>
          <w:jc w:val="center"/>
        </w:trPr>
        <w:tc>
          <w:tcPr>
            <w:tcW w:w="4876" w:type="dxa"/>
          </w:tcPr>
          <w:p w14:paraId="603C0A9E" w14:textId="77777777" w:rsidR="005A2392" w:rsidRPr="009E2198" w:rsidRDefault="005A2392" w:rsidP="005A2392">
            <w:pPr>
              <w:pStyle w:val="Normal6a"/>
            </w:pPr>
          </w:p>
        </w:tc>
        <w:tc>
          <w:tcPr>
            <w:tcW w:w="4876" w:type="dxa"/>
          </w:tcPr>
          <w:p w14:paraId="7A7041A9" w14:textId="770B7ABD" w:rsidR="005A2392" w:rsidRPr="009E2198" w:rsidRDefault="0090662D" w:rsidP="005A2392">
            <w:pPr>
              <w:pStyle w:val="Normal6a"/>
              <w:rPr>
                <w:i/>
                <w:vertAlign w:val="superscript"/>
              </w:rPr>
            </w:pPr>
            <w:r>
              <w:rPr>
                <w:b/>
                <w:i/>
                <w:vertAlign w:val="superscript"/>
              </w:rPr>
              <w:t>[1]</w:t>
            </w:r>
            <w:r>
              <w:rPr>
                <w:b/>
                <w:i/>
              </w:rPr>
              <w:t xml:space="preserve"> Eiropas Parlamenta un Padomes Regula (ES, Euratom) 2024/2509 (2024. gada 23. septembris) par finanšu noteikumiem, ko piemēro Savienības vispārējam budžetam (OV L, 2024/2509, 26.9.2024., ELI: </w:t>
            </w:r>
            <w:hyperlink r:id="rId15" w:history="1">
              <w:r w:rsidR="005A2392">
                <w:rPr>
                  <w:rStyle w:val="Hyperlink"/>
                  <w:b/>
                  <w:i/>
                  <w:color w:val="auto"/>
                </w:rPr>
                <w:t>http://data.europa.eu/eli/reg/2024/2509/oj</w:t>
              </w:r>
            </w:hyperlink>
            <w:r>
              <w:rPr>
                <w:b/>
                <w:i/>
              </w:rPr>
              <w:t>).</w:t>
            </w:r>
          </w:p>
        </w:tc>
      </w:tr>
    </w:tbl>
    <w:p w14:paraId="2984CF20" w14:textId="77777777" w:rsidR="00F26123" w:rsidRPr="009E2198" w:rsidRDefault="0090662D" w:rsidP="00E63984">
      <w:pPr>
        <w:pStyle w:val="AmNumberTabs"/>
      </w:pPr>
      <w:r>
        <w:rPr>
          <w:rStyle w:val="HideTWBExt"/>
          <w:b w:val="0"/>
        </w:rPr>
        <w:lastRenderedPageBreak/>
        <w:t>&lt;/Amend&gt;</w:t>
      </w:r>
    </w:p>
    <w:p w14:paraId="670AD3E4" w14:textId="77777777" w:rsidR="00C04E9D" w:rsidRPr="009E2198" w:rsidRDefault="0090662D" w:rsidP="00E63984">
      <w:pPr>
        <w:pStyle w:val="AmNumberTabs"/>
      </w:pPr>
      <w:bookmarkStart w:id="2" w:name="_Hlk233194052"/>
      <w:bookmarkStart w:id="3" w:name="_Hlk233194012"/>
      <w:r>
        <w:rPr>
          <w:rStyle w:val="HideTWBExt"/>
          <w:b w:val="0"/>
        </w:rPr>
        <w:t>&lt;Amend&gt;</w:t>
      </w:r>
      <w:r>
        <w:t>Grozījums Nr.</w:t>
      </w:r>
      <w:r>
        <w:tab/>
      </w:r>
      <w:r>
        <w:tab/>
      </w:r>
      <w:r>
        <w:rPr>
          <w:rStyle w:val="HideTWBExt"/>
          <w:b w:val="0"/>
        </w:rPr>
        <w:t>&lt;NumAm&gt;</w:t>
      </w:r>
      <w:r>
        <w:t>6</w:t>
      </w:r>
      <w:r>
        <w:rPr>
          <w:rStyle w:val="HideTWBExt"/>
          <w:b w:val="0"/>
        </w:rPr>
        <w:t>&lt;/NumAm&gt;</w:t>
      </w:r>
    </w:p>
    <w:p w14:paraId="256FC6CB" w14:textId="77777777" w:rsidR="00C04E9D" w:rsidRPr="009E2198" w:rsidRDefault="0090662D" w:rsidP="00760D63">
      <w:pPr>
        <w:pStyle w:val="Normal12a"/>
        <w:spacing w:after="0"/>
        <w:rPr>
          <w:b/>
        </w:rPr>
      </w:pPr>
      <w:r>
        <w:rPr>
          <w:rStyle w:val="HideTWBExt"/>
        </w:rPr>
        <w:t>&lt;DocAmend&gt;</w:t>
      </w:r>
      <w:r>
        <w:rPr>
          <w:b/>
        </w:rPr>
        <w:t>Regulas priekšlikums</w:t>
      </w:r>
      <w:r>
        <w:rPr>
          <w:rStyle w:val="HideTWBExt"/>
        </w:rPr>
        <w:t>&lt;/DocAmend&gt;</w:t>
      </w:r>
    </w:p>
    <w:p w14:paraId="4C2A21FA" w14:textId="77777777" w:rsidR="00C04E9D" w:rsidRPr="009E2198" w:rsidRDefault="0090662D" w:rsidP="00760D63">
      <w:pPr>
        <w:pStyle w:val="Normal12a"/>
        <w:spacing w:after="0"/>
        <w:rPr>
          <w:b/>
        </w:rPr>
      </w:pPr>
      <w:r>
        <w:rPr>
          <w:rStyle w:val="HideTWBExt"/>
        </w:rPr>
        <w:t>&lt;Article&gt;</w:t>
      </w:r>
      <w:r>
        <w:rPr>
          <w:b/>
        </w:rPr>
        <w:t>6. pants – 1. punkts</w:t>
      </w:r>
      <w:r>
        <w:rPr>
          <w:rStyle w:val="HideTWBExt"/>
        </w:rPr>
        <w:t>&lt;/Article&gt;</w:t>
      </w:r>
    </w:p>
    <w:bookmarkEnd w:id="2"/>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773EA7" w14:paraId="7B539757" w14:textId="77777777" w:rsidTr="00D22A96">
        <w:trPr>
          <w:jc w:val="center"/>
        </w:trPr>
        <w:tc>
          <w:tcPr>
            <w:tcW w:w="9750" w:type="dxa"/>
            <w:gridSpan w:val="2"/>
          </w:tcPr>
          <w:p w14:paraId="0766518F" w14:textId="77777777" w:rsidR="00C04E9D" w:rsidRPr="009E2198" w:rsidRDefault="00C04E9D" w:rsidP="005A2392">
            <w:pPr>
              <w:pStyle w:val="Normal6a"/>
            </w:pPr>
          </w:p>
        </w:tc>
      </w:tr>
      <w:tr w:rsidR="00773EA7" w14:paraId="0E6753BB" w14:textId="77777777" w:rsidTr="00D22A96">
        <w:trPr>
          <w:jc w:val="center"/>
        </w:trPr>
        <w:tc>
          <w:tcPr>
            <w:tcW w:w="4875" w:type="dxa"/>
            <w:hideMark/>
          </w:tcPr>
          <w:p w14:paraId="50E1CDE1" w14:textId="77777777" w:rsidR="00C04E9D" w:rsidRPr="009E2198" w:rsidRDefault="0090662D" w:rsidP="00E00D3E">
            <w:pPr>
              <w:pStyle w:val="AmColumnHeading"/>
            </w:pPr>
            <w:r>
              <w:t>Komisijas ierosinātais teksts</w:t>
            </w:r>
          </w:p>
        </w:tc>
        <w:tc>
          <w:tcPr>
            <w:tcW w:w="4875" w:type="dxa"/>
            <w:hideMark/>
          </w:tcPr>
          <w:p w14:paraId="01A41286" w14:textId="77777777" w:rsidR="00C04E9D" w:rsidRPr="009E2198" w:rsidRDefault="0090662D" w:rsidP="00E00D3E">
            <w:pPr>
              <w:pStyle w:val="AmColumnHeading"/>
            </w:pPr>
            <w:r>
              <w:t>Grozījums</w:t>
            </w:r>
          </w:p>
        </w:tc>
      </w:tr>
      <w:tr w:rsidR="00773EA7" w14:paraId="3454E6CA" w14:textId="77777777" w:rsidTr="00D22A96">
        <w:trPr>
          <w:jc w:val="center"/>
        </w:trPr>
        <w:tc>
          <w:tcPr>
            <w:tcW w:w="4875" w:type="dxa"/>
          </w:tcPr>
          <w:p w14:paraId="2D03F77D" w14:textId="77777777" w:rsidR="00D22A96" w:rsidRPr="009E2198" w:rsidRDefault="0090662D" w:rsidP="005A2392">
            <w:pPr>
              <w:pStyle w:val="Normal6a"/>
            </w:pPr>
            <w:r>
              <w:t>1.</w:t>
            </w:r>
            <w:r>
              <w:tab/>
              <w:t xml:space="preserve">Programmas </w:t>
            </w:r>
            <w:r>
              <w:rPr>
                <w:b/>
                <w:i/>
              </w:rPr>
              <w:t xml:space="preserve">indikatīvais </w:t>
            </w:r>
            <w:r w:rsidRPr="003A2511">
              <w:t>finansējums</w:t>
            </w:r>
            <w:r>
              <w:t xml:space="preserve"> laikposmā no 2028. gada </w:t>
            </w:r>
            <w:r>
              <w:rPr>
                <w:b/>
                <w:i/>
              </w:rPr>
              <w:t>1. janvāra</w:t>
            </w:r>
            <w:r>
              <w:t xml:space="preserve"> līdz 2034. </w:t>
            </w:r>
            <w:r>
              <w:rPr>
                <w:b/>
                <w:i/>
              </w:rPr>
              <w:t>gada 31. decembrim</w:t>
            </w:r>
            <w:r>
              <w:t xml:space="preserve"> ir </w:t>
            </w:r>
            <w:r>
              <w:rPr>
                <w:b/>
                <w:i/>
              </w:rPr>
              <w:t>175 002</w:t>
            </w:r>
            <w:r>
              <w:t> 000 000 EUR faktiskajās cenās.</w:t>
            </w:r>
          </w:p>
        </w:tc>
        <w:tc>
          <w:tcPr>
            <w:tcW w:w="4875" w:type="dxa"/>
            <w:hideMark/>
          </w:tcPr>
          <w:p w14:paraId="0C3A517D" w14:textId="77777777" w:rsidR="00D22A96" w:rsidRPr="009E2198" w:rsidRDefault="0090662D" w:rsidP="005A2392">
            <w:pPr>
              <w:pStyle w:val="Normal6a"/>
            </w:pPr>
            <w:r>
              <w:t>1.</w:t>
            </w:r>
            <w:r>
              <w:tab/>
              <w:t xml:space="preserve">Programmas </w:t>
            </w:r>
            <w:r w:rsidRPr="003A2511">
              <w:t>finansējums</w:t>
            </w:r>
            <w:r>
              <w:rPr>
                <w:b/>
                <w:i/>
              </w:rPr>
              <w:t xml:space="preserve"> šīs regulas īstenošanai</w:t>
            </w:r>
            <w:r>
              <w:t xml:space="preserve"> laikposmā no 2028. gada līdz 2034. </w:t>
            </w:r>
            <w:r>
              <w:rPr>
                <w:b/>
                <w:i/>
              </w:rPr>
              <w:t>gadam</w:t>
            </w:r>
            <w:r>
              <w:t xml:space="preserve"> ir </w:t>
            </w:r>
            <w:r>
              <w:rPr>
                <w:b/>
                <w:i/>
              </w:rPr>
              <w:t>200 003 562 000 EUR faktiskajās cenās (177 010</w:t>
            </w:r>
            <w:r>
              <w:t xml:space="preserve"> 000 000 EUR faktiskajās </w:t>
            </w:r>
            <w:r>
              <w:rPr>
                <w:b/>
                <w:i/>
              </w:rPr>
              <w:t>2025. gada</w:t>
            </w:r>
            <w:r>
              <w:t xml:space="preserve"> cenās</w:t>
            </w:r>
            <w:r>
              <w:rPr>
                <w:b/>
                <w:i/>
              </w:rPr>
              <w:t>)</w:t>
            </w:r>
            <w:r>
              <w:t>.</w:t>
            </w:r>
          </w:p>
        </w:tc>
      </w:tr>
    </w:tbl>
    <w:p w14:paraId="3826A252" w14:textId="77777777" w:rsidR="00D22A96" w:rsidRPr="009E2198" w:rsidRDefault="0090662D" w:rsidP="00E63984">
      <w:pPr>
        <w:pStyle w:val="AmNumberTabs"/>
      </w:pPr>
      <w:r>
        <w:rPr>
          <w:rStyle w:val="HideTWBExt"/>
          <w:b w:val="0"/>
        </w:rPr>
        <w:t>&lt;/Amend&gt;</w:t>
      </w:r>
    </w:p>
    <w:bookmarkEnd w:id="3"/>
    <w:p w14:paraId="3D2DF832" w14:textId="77777777" w:rsidR="00760D63" w:rsidRPr="009E2198" w:rsidRDefault="0090662D" w:rsidP="00E63984">
      <w:pPr>
        <w:pStyle w:val="AmNumberTabs"/>
      </w:pPr>
      <w:r>
        <w:rPr>
          <w:rStyle w:val="HideTWBExt"/>
          <w:b w:val="0"/>
        </w:rPr>
        <w:t>&lt;Amend&gt;</w:t>
      </w:r>
      <w:r>
        <w:t>Grozījums Nr.</w:t>
      </w:r>
      <w:r>
        <w:tab/>
      </w:r>
      <w:r>
        <w:tab/>
      </w:r>
      <w:r>
        <w:rPr>
          <w:rStyle w:val="HideTWBExt"/>
          <w:b w:val="0"/>
        </w:rPr>
        <w:t>&lt;NumAm&gt;</w:t>
      </w:r>
      <w:r>
        <w:t>7</w:t>
      </w:r>
      <w:r>
        <w:rPr>
          <w:rStyle w:val="HideTWBExt"/>
          <w:b w:val="0"/>
        </w:rPr>
        <w:t>&lt;/NumAm&gt;</w:t>
      </w:r>
    </w:p>
    <w:p w14:paraId="27977493" w14:textId="77777777" w:rsidR="00760D63" w:rsidRPr="009E2198" w:rsidRDefault="0090662D" w:rsidP="00760D63">
      <w:pPr>
        <w:pStyle w:val="Normal12a"/>
        <w:spacing w:after="0"/>
        <w:rPr>
          <w:b/>
        </w:rPr>
      </w:pPr>
      <w:r>
        <w:rPr>
          <w:rStyle w:val="HideTWBExt"/>
        </w:rPr>
        <w:t>&lt;DocAmend&gt;</w:t>
      </w:r>
      <w:r>
        <w:rPr>
          <w:b/>
        </w:rPr>
        <w:t>Regulas priekšlikums</w:t>
      </w:r>
      <w:r>
        <w:rPr>
          <w:rStyle w:val="HideTWBExt"/>
        </w:rPr>
        <w:t>&lt;/DocAmend&gt;</w:t>
      </w:r>
    </w:p>
    <w:p w14:paraId="78600025" w14:textId="77777777" w:rsidR="00760D63" w:rsidRPr="009E2198" w:rsidRDefault="0090662D" w:rsidP="00760D63">
      <w:pPr>
        <w:pStyle w:val="Normal12a"/>
        <w:spacing w:after="0"/>
        <w:rPr>
          <w:b/>
        </w:rPr>
      </w:pPr>
      <w:r>
        <w:rPr>
          <w:rStyle w:val="HideTWBExt"/>
        </w:rPr>
        <w:t>&lt;Article&gt;</w:t>
      </w:r>
      <w:r>
        <w:rPr>
          <w:b/>
        </w:rPr>
        <w:t>7. pants – 2.a punkts (jauns)</w:t>
      </w:r>
      <w:r>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773EA7" w14:paraId="11A55024" w14:textId="77777777">
        <w:trPr>
          <w:jc w:val="center"/>
        </w:trPr>
        <w:tc>
          <w:tcPr>
            <w:tcW w:w="9750" w:type="dxa"/>
            <w:gridSpan w:val="2"/>
          </w:tcPr>
          <w:p w14:paraId="15F275FE" w14:textId="77777777" w:rsidR="00760D63" w:rsidRPr="009E2198" w:rsidRDefault="00760D63" w:rsidP="005A2392">
            <w:pPr>
              <w:pStyle w:val="Normal6a"/>
            </w:pPr>
          </w:p>
        </w:tc>
      </w:tr>
      <w:tr w:rsidR="00773EA7" w14:paraId="6BAD322B" w14:textId="77777777">
        <w:trPr>
          <w:jc w:val="center"/>
        </w:trPr>
        <w:tc>
          <w:tcPr>
            <w:tcW w:w="4875" w:type="dxa"/>
            <w:hideMark/>
          </w:tcPr>
          <w:p w14:paraId="0E0037C5" w14:textId="77777777" w:rsidR="00760D63" w:rsidRPr="009E2198" w:rsidRDefault="0090662D" w:rsidP="00E00D3E">
            <w:pPr>
              <w:pStyle w:val="AmColumnHeading"/>
            </w:pPr>
            <w:r>
              <w:t>Komisijas ierosinātais teksts</w:t>
            </w:r>
          </w:p>
        </w:tc>
        <w:tc>
          <w:tcPr>
            <w:tcW w:w="4875" w:type="dxa"/>
            <w:hideMark/>
          </w:tcPr>
          <w:p w14:paraId="39682701" w14:textId="77777777" w:rsidR="00760D63" w:rsidRPr="009E2198" w:rsidRDefault="0090662D" w:rsidP="00E00D3E">
            <w:pPr>
              <w:pStyle w:val="AmColumnHeading"/>
            </w:pPr>
            <w:r>
              <w:t>Grozījums</w:t>
            </w:r>
          </w:p>
        </w:tc>
      </w:tr>
      <w:tr w:rsidR="00773EA7" w14:paraId="78E7B66A" w14:textId="77777777">
        <w:trPr>
          <w:jc w:val="center"/>
        </w:trPr>
        <w:tc>
          <w:tcPr>
            <w:tcW w:w="4875" w:type="dxa"/>
          </w:tcPr>
          <w:p w14:paraId="6E6A8F88" w14:textId="77777777" w:rsidR="00760D63" w:rsidRPr="009E2198" w:rsidRDefault="00760D63" w:rsidP="005A2392">
            <w:pPr>
              <w:pStyle w:val="Normal6a"/>
            </w:pPr>
          </w:p>
        </w:tc>
        <w:tc>
          <w:tcPr>
            <w:tcW w:w="4875" w:type="dxa"/>
            <w:hideMark/>
          </w:tcPr>
          <w:p w14:paraId="0911549D" w14:textId="77777777" w:rsidR="00760D63" w:rsidRPr="009E2198" w:rsidRDefault="0090662D" w:rsidP="005A2392">
            <w:pPr>
              <w:pStyle w:val="Normal6a"/>
            </w:pPr>
            <w:r>
              <w:rPr>
                <w:b/>
                <w:i/>
              </w:rPr>
              <w:t>2.a</w:t>
            </w:r>
            <w:r>
              <w:rPr>
                <w:b/>
                <w:i/>
              </w:rPr>
              <w:tab/>
              <w:t>[No 2028. gada 1. janvāra / programmas sākuma datuma], atkāpjoties no Finanšu regulas 212. panta 3. punkta pirmās, otrās un ceturtās daļas, ieņēmumus, atmaksājumus un atgūtās summas no finanšu instrumentiem, kas finansēti no šīs regulas un tās priekštecēm un nodrošināti ar Eiropas Konkurētspējas fondu, izmanto, lai sniegtu Savienības atbalstu no programmas “Apvārsnis Eiropa”. Atkāpjoties no Finanšu regulas 21. panta 3. punkta f) apakšpunkta un saskaņā ar tās 21. panta 5. punktu, šie resursi veido ārējos piešķirtos ieņēmumus programmai “Apvārsnis Eiropa”. Ieņēmumi, atmaksājumi un atgūtās summas no EIP fonda īstenotajiem finanšu instrumentiem paliek EIP fonda bilancē.</w:t>
            </w:r>
          </w:p>
        </w:tc>
      </w:tr>
    </w:tbl>
    <w:p w14:paraId="6C4E073A" w14:textId="77777777" w:rsidR="00BA7BC0" w:rsidRPr="009E2198" w:rsidRDefault="0090662D" w:rsidP="00E63984">
      <w:pPr>
        <w:pStyle w:val="AmNumberTabs"/>
      </w:pPr>
      <w:r>
        <w:rPr>
          <w:rStyle w:val="HideTWBExt"/>
          <w:b w:val="0"/>
        </w:rPr>
        <w:lastRenderedPageBreak/>
        <w:t>&lt;/Amend&gt;</w:t>
      </w:r>
    </w:p>
    <w:p w14:paraId="08782CB1" w14:textId="77777777" w:rsidR="00BA7BC0" w:rsidRPr="009E2198" w:rsidRDefault="0090662D" w:rsidP="00E63984">
      <w:pPr>
        <w:pStyle w:val="AmNumberTabs"/>
      </w:pPr>
      <w:r>
        <w:rPr>
          <w:rStyle w:val="HideTWBExt"/>
          <w:b w:val="0"/>
        </w:rPr>
        <w:t>&lt;Amend&gt;</w:t>
      </w:r>
      <w:r>
        <w:t>Grozījums Nr.</w:t>
      </w:r>
      <w:r>
        <w:tab/>
      </w:r>
      <w:r>
        <w:tab/>
      </w:r>
      <w:r>
        <w:rPr>
          <w:rStyle w:val="HideTWBExt"/>
          <w:b w:val="0"/>
        </w:rPr>
        <w:t>&lt;NumAm&gt;</w:t>
      </w:r>
      <w:r>
        <w:t>8</w:t>
      </w:r>
      <w:r>
        <w:rPr>
          <w:rStyle w:val="HideTWBExt"/>
          <w:b w:val="0"/>
        </w:rPr>
        <w:t>&lt;/NumAm&gt;</w:t>
      </w:r>
    </w:p>
    <w:p w14:paraId="05573615" w14:textId="77777777" w:rsidR="00BA7BC0" w:rsidRPr="009E2198" w:rsidRDefault="0090662D" w:rsidP="00BA7BC0">
      <w:pPr>
        <w:pStyle w:val="Normal12a"/>
        <w:spacing w:after="0"/>
        <w:rPr>
          <w:b/>
        </w:rPr>
      </w:pPr>
      <w:r>
        <w:rPr>
          <w:rStyle w:val="HideTWBExt"/>
        </w:rPr>
        <w:t>&lt;DocAmend&gt;</w:t>
      </w:r>
      <w:r>
        <w:rPr>
          <w:b/>
        </w:rPr>
        <w:t>Regulas priekšlikums</w:t>
      </w:r>
      <w:r>
        <w:rPr>
          <w:rStyle w:val="HideTWBExt"/>
        </w:rPr>
        <w:t>&lt;/DocAmend&gt;</w:t>
      </w:r>
    </w:p>
    <w:p w14:paraId="7DC26472" w14:textId="77777777" w:rsidR="00BA7BC0" w:rsidRPr="009E2198" w:rsidRDefault="0090662D" w:rsidP="00BA7BC0">
      <w:pPr>
        <w:pStyle w:val="Normal12a"/>
        <w:spacing w:after="0"/>
        <w:rPr>
          <w:b/>
        </w:rPr>
      </w:pPr>
      <w:r>
        <w:rPr>
          <w:rStyle w:val="HideTWBExt"/>
        </w:rPr>
        <w:t>&lt;Article&gt;</w:t>
      </w:r>
      <w:r>
        <w:rPr>
          <w:b/>
        </w:rPr>
        <w:t>7. pants – 2.b punkts (jauns)</w:t>
      </w:r>
      <w:r>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773EA7" w14:paraId="471B015F" w14:textId="77777777">
        <w:trPr>
          <w:jc w:val="center"/>
        </w:trPr>
        <w:tc>
          <w:tcPr>
            <w:tcW w:w="9750" w:type="dxa"/>
            <w:gridSpan w:val="2"/>
          </w:tcPr>
          <w:p w14:paraId="259458AF" w14:textId="77777777" w:rsidR="00BA7BC0" w:rsidRPr="009E2198" w:rsidRDefault="00BA7BC0" w:rsidP="005A2392">
            <w:pPr>
              <w:pStyle w:val="Normal6a"/>
            </w:pPr>
          </w:p>
        </w:tc>
      </w:tr>
      <w:tr w:rsidR="00773EA7" w14:paraId="010B4994" w14:textId="77777777">
        <w:trPr>
          <w:jc w:val="center"/>
        </w:trPr>
        <w:tc>
          <w:tcPr>
            <w:tcW w:w="4875" w:type="dxa"/>
            <w:hideMark/>
          </w:tcPr>
          <w:p w14:paraId="72108482" w14:textId="77777777" w:rsidR="00BA7BC0" w:rsidRPr="009E2198" w:rsidRDefault="0090662D" w:rsidP="00E00D3E">
            <w:pPr>
              <w:pStyle w:val="AmColumnHeading"/>
            </w:pPr>
            <w:r>
              <w:t>Komisijas ierosinātais teksts</w:t>
            </w:r>
          </w:p>
        </w:tc>
        <w:tc>
          <w:tcPr>
            <w:tcW w:w="4875" w:type="dxa"/>
            <w:hideMark/>
          </w:tcPr>
          <w:p w14:paraId="7EB857BF" w14:textId="77777777" w:rsidR="00BA7BC0" w:rsidRPr="009E2198" w:rsidRDefault="0090662D" w:rsidP="00E00D3E">
            <w:pPr>
              <w:pStyle w:val="AmColumnHeading"/>
            </w:pPr>
            <w:r>
              <w:t>Grozījums</w:t>
            </w:r>
          </w:p>
        </w:tc>
      </w:tr>
      <w:tr w:rsidR="00773EA7" w14:paraId="01857680" w14:textId="77777777">
        <w:trPr>
          <w:jc w:val="center"/>
        </w:trPr>
        <w:tc>
          <w:tcPr>
            <w:tcW w:w="4875" w:type="dxa"/>
          </w:tcPr>
          <w:p w14:paraId="29126ABD" w14:textId="77777777" w:rsidR="00BA7BC0" w:rsidRPr="009E2198" w:rsidRDefault="00BA7BC0" w:rsidP="005A2392">
            <w:pPr>
              <w:pStyle w:val="Normal6a"/>
            </w:pPr>
          </w:p>
        </w:tc>
        <w:tc>
          <w:tcPr>
            <w:tcW w:w="4875" w:type="dxa"/>
            <w:hideMark/>
          </w:tcPr>
          <w:p w14:paraId="4295A270" w14:textId="77777777" w:rsidR="00BA7BC0" w:rsidRPr="009E2198" w:rsidRDefault="0090662D" w:rsidP="005A2392">
            <w:pPr>
              <w:pStyle w:val="Normal6a"/>
            </w:pPr>
            <w:r>
              <w:rPr>
                <w:b/>
                <w:i/>
              </w:rPr>
              <w:t>2.b.</w:t>
            </w:r>
            <w:r>
              <w:rPr>
                <w:b/>
                <w:i/>
              </w:rPr>
              <w:tab/>
              <w:t>Saistību apropriācijas, kas atbilst tādu atcelto saistību summai, kuras radušās pētniecības projektu pilnīgas vai daļējas neīstenošanas rezultātā, budžeta procedūras kontekstā atkal dara pieejamas šai programmai prioritārā kārtā tam pašam mērķim.</w:t>
            </w:r>
          </w:p>
        </w:tc>
      </w:tr>
    </w:tbl>
    <w:p w14:paraId="781FB329" w14:textId="77777777" w:rsidR="00BA7BC0" w:rsidRPr="009E2198" w:rsidRDefault="0090662D" w:rsidP="00BA7BC0">
      <w:pPr>
        <w:pStyle w:val="Normal12a"/>
      </w:pPr>
      <w:r>
        <w:rPr>
          <w:rStyle w:val="HideTWBExt"/>
        </w:rPr>
        <w:t>&lt;/Amend&gt;</w:t>
      </w:r>
    </w:p>
    <w:p w14:paraId="7329219B" w14:textId="77777777" w:rsidR="009E64BF" w:rsidRPr="009E2198" w:rsidRDefault="0090662D" w:rsidP="009E64BF">
      <w:pPr>
        <w:pStyle w:val="AmNumberTabs"/>
      </w:pPr>
      <w:r>
        <w:rPr>
          <w:rStyle w:val="HideTWBExt"/>
          <w:b w:val="0"/>
        </w:rPr>
        <w:t>&lt;Amend&gt;</w:t>
      </w:r>
      <w:r>
        <w:t>Grozījums Nr.</w:t>
      </w:r>
      <w:r>
        <w:tab/>
      </w:r>
      <w:r>
        <w:tab/>
      </w:r>
      <w:r>
        <w:rPr>
          <w:rStyle w:val="HideTWBExt"/>
          <w:b w:val="0"/>
        </w:rPr>
        <w:t>&lt;NumAm&gt;</w:t>
      </w:r>
      <w:r>
        <w:t>9</w:t>
      </w:r>
      <w:r>
        <w:rPr>
          <w:rStyle w:val="HideTWBExt"/>
          <w:b w:val="0"/>
        </w:rPr>
        <w:t>&lt;/NumAm&gt;</w:t>
      </w:r>
    </w:p>
    <w:p w14:paraId="0BFB2A7A" w14:textId="77777777" w:rsidR="009E64BF" w:rsidRPr="009E2198" w:rsidRDefault="0090662D" w:rsidP="009E64BF">
      <w:pPr>
        <w:pStyle w:val="Normal12a"/>
        <w:spacing w:after="0"/>
        <w:rPr>
          <w:b/>
        </w:rPr>
      </w:pPr>
      <w:r>
        <w:rPr>
          <w:rStyle w:val="HideTWBExt"/>
        </w:rPr>
        <w:t>&lt;DocAmend&gt;</w:t>
      </w:r>
      <w:r>
        <w:rPr>
          <w:b/>
        </w:rPr>
        <w:t>Regulas priekšlikums</w:t>
      </w:r>
      <w:r>
        <w:rPr>
          <w:rStyle w:val="HideTWBExt"/>
        </w:rPr>
        <w:t>&lt;/DocAmend&gt;</w:t>
      </w:r>
    </w:p>
    <w:p w14:paraId="3D9944D7" w14:textId="77777777" w:rsidR="009E64BF" w:rsidRPr="009E2198" w:rsidRDefault="0090662D" w:rsidP="009E64BF">
      <w:pPr>
        <w:pStyle w:val="Normal12a"/>
        <w:spacing w:after="0"/>
        <w:rPr>
          <w:b/>
        </w:rPr>
      </w:pPr>
      <w:r>
        <w:rPr>
          <w:rStyle w:val="HideTWBExt"/>
        </w:rPr>
        <w:t>&lt;Article&gt;</w:t>
      </w:r>
      <w:r>
        <w:rPr>
          <w:b/>
        </w:rPr>
        <w:t>10. pants – 3. punkts</w:t>
      </w:r>
      <w:r>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773EA7" w14:paraId="6AD48FC4" w14:textId="77777777" w:rsidTr="003D43B7">
        <w:trPr>
          <w:jc w:val="center"/>
        </w:trPr>
        <w:tc>
          <w:tcPr>
            <w:tcW w:w="9750" w:type="dxa"/>
            <w:gridSpan w:val="2"/>
          </w:tcPr>
          <w:p w14:paraId="3BF2C0A0" w14:textId="77777777" w:rsidR="009E64BF" w:rsidRPr="009E2198" w:rsidRDefault="009E64BF" w:rsidP="003D43B7">
            <w:pPr>
              <w:pStyle w:val="Normal6a"/>
            </w:pPr>
          </w:p>
        </w:tc>
      </w:tr>
      <w:tr w:rsidR="00773EA7" w14:paraId="4FD64BE3" w14:textId="77777777" w:rsidTr="003D43B7">
        <w:trPr>
          <w:jc w:val="center"/>
        </w:trPr>
        <w:tc>
          <w:tcPr>
            <w:tcW w:w="4875" w:type="dxa"/>
            <w:hideMark/>
          </w:tcPr>
          <w:p w14:paraId="779C43A4" w14:textId="77777777" w:rsidR="009E64BF" w:rsidRPr="009E2198" w:rsidRDefault="0090662D" w:rsidP="003D43B7">
            <w:pPr>
              <w:pStyle w:val="AmColumnHeading"/>
            </w:pPr>
            <w:r>
              <w:t>Komisijas ierosinātais teksts</w:t>
            </w:r>
          </w:p>
        </w:tc>
        <w:tc>
          <w:tcPr>
            <w:tcW w:w="4875" w:type="dxa"/>
            <w:hideMark/>
          </w:tcPr>
          <w:p w14:paraId="40DBEB15" w14:textId="77777777" w:rsidR="009E64BF" w:rsidRPr="009E2198" w:rsidRDefault="0090662D" w:rsidP="003D43B7">
            <w:pPr>
              <w:pStyle w:val="AmColumnHeading"/>
            </w:pPr>
            <w:r>
              <w:t>Grozījums</w:t>
            </w:r>
          </w:p>
        </w:tc>
      </w:tr>
      <w:tr w:rsidR="00773EA7" w14:paraId="2A2521BC" w14:textId="77777777" w:rsidTr="003D43B7">
        <w:trPr>
          <w:jc w:val="center"/>
        </w:trPr>
        <w:tc>
          <w:tcPr>
            <w:tcW w:w="4875" w:type="dxa"/>
          </w:tcPr>
          <w:p w14:paraId="6B2A1356" w14:textId="77777777" w:rsidR="009E64BF" w:rsidRPr="009E2198" w:rsidRDefault="0090662D" w:rsidP="003D43B7">
            <w:pPr>
              <w:pStyle w:val="Normal6a"/>
            </w:pPr>
            <w:r>
              <w:t>3.</w:t>
            </w:r>
            <w:r>
              <w:tab/>
              <w:t>Izņemot finanšu instrumentus saskaņā ar EIP (fonds), ja Savienības atbalsts tiek sniegts budžeta garantijas vai finanšu instrumenta veidā, arī, ja to apvieno ar neatmaksājamu atbalstu finansējuma apvienošanas darbībā, to sniedz vienīgi no Eiropas Konkurētspējas fonda InvestEU instrumenta un īsteno saskaņā ar piemērojamajiem Eiropas Konkurētspējas fonda InvestEU instrumenta noteikumiem, izmantojot ieguldījumu vai garantiju nolīgumus, kas noslēgti minētajā nolūkā. Ja programmā izmanto EKF InvestEU instrumentu, tajā paredz uzkrājumu budžeta garantijai un finansējumu finanšu instrumentiem, arī apvienojumā ar neatmaksājamu atbalstu finansējuma apvienošanas operācijas veidā.</w:t>
            </w:r>
            <w:r>
              <w:rPr>
                <w:i/>
              </w:rPr>
              <w:t> </w:t>
            </w:r>
          </w:p>
        </w:tc>
        <w:tc>
          <w:tcPr>
            <w:tcW w:w="4875" w:type="dxa"/>
          </w:tcPr>
          <w:p w14:paraId="4834BC35" w14:textId="77777777" w:rsidR="009E64BF" w:rsidRPr="009E2198" w:rsidRDefault="0090662D" w:rsidP="003D43B7">
            <w:pPr>
              <w:pStyle w:val="Normal6a"/>
            </w:pPr>
            <w:r>
              <w:t>3.</w:t>
            </w:r>
            <w:r>
              <w:tab/>
              <w:t xml:space="preserve">Izņemot finanšu instrumentus saskaņā ar EIP (fonds), </w:t>
            </w:r>
            <w:r>
              <w:rPr>
                <w:b/>
                <w:i/>
              </w:rPr>
              <w:t>tostarp Eiropas Fondu augošiem uzņēmumiem,</w:t>
            </w:r>
            <w:r>
              <w:t xml:space="preserve"> ja Savienības atbalsts tiek sniegts budžeta garantijas vai finanšu instrumenta veidā, arī, ja to apvieno ar neatmaksājamu atbalstu finansējuma apvienošanas darbībā, to sniedz vienīgi no Eiropas Konkurētspējas fonda InvestEU instrumenta un īsteno saskaņā ar piemērojamajiem Eiropas Konkurētspējas fonda InvestEU instrumenta noteikumiem, izmantojot ieguldījumu vai garantiju nolīgumus, kas noslēgti minētajā nolūkā. Ja programmā izmanto EKF InvestEU instrumentu, tajā paredz uzkrājumu budžeta garantijai un finansējumu finanšu instrumentiem, arī apvienojumā ar neatmaksājamu atbalstu finansējuma </w:t>
            </w:r>
            <w:r>
              <w:lastRenderedPageBreak/>
              <w:t>apvienošanas operācijas veidā</w:t>
            </w:r>
            <w:r>
              <w:rPr>
                <w:b/>
                <w:i/>
              </w:rPr>
              <w:t>, nepārsniedzot EKF regulā noteikto maksimālo budžeta garantijas summu</w:t>
            </w:r>
            <w:r>
              <w:t>.</w:t>
            </w:r>
            <w:r>
              <w:rPr>
                <w:i/>
              </w:rPr>
              <w:t> </w:t>
            </w:r>
          </w:p>
        </w:tc>
      </w:tr>
    </w:tbl>
    <w:p w14:paraId="6D8BF306" w14:textId="77777777" w:rsidR="009E64BF" w:rsidRPr="00B948C0" w:rsidRDefault="0090662D" w:rsidP="007E03E2">
      <w:pPr>
        <w:pStyle w:val="AmNumberTabs"/>
        <w:rPr>
          <w:rStyle w:val="HideTWBExt"/>
        </w:rPr>
      </w:pPr>
      <w:r>
        <w:rPr>
          <w:rStyle w:val="HideTWBExt"/>
          <w:b w:val="0"/>
        </w:rPr>
        <w:lastRenderedPageBreak/>
        <w:t>&lt;/Amend&gt;</w:t>
      </w:r>
    </w:p>
    <w:bookmarkEnd w:id="1"/>
    <w:p w14:paraId="2CF72331" w14:textId="77777777" w:rsidR="00E81E17" w:rsidRPr="009E2198" w:rsidRDefault="0090662D" w:rsidP="00C878DE">
      <w:r>
        <w:rPr>
          <w:rStyle w:val="HideTWBExt"/>
        </w:rPr>
        <w:t>&lt;/RepeatBlock-Amend&gt;</w:t>
      </w:r>
    </w:p>
    <w:p w14:paraId="200DEBF0" w14:textId="77777777" w:rsidR="00017014" w:rsidRPr="009E2198" w:rsidRDefault="00017014" w:rsidP="00017014">
      <w:pPr>
        <w:pStyle w:val="Footprint12b"/>
        <w:sectPr w:rsidR="00017014" w:rsidRPr="009E2198" w:rsidSect="00017014">
          <w:pgSz w:w="11894" w:h="15840"/>
          <w:pgMar w:top="1700" w:right="1417" w:bottom="1417" w:left="1417" w:header="720" w:footer="720" w:gutter="0"/>
          <w:cols w:space="720"/>
          <w:noEndnote/>
          <w:docGrid w:linePitch="326"/>
        </w:sectPr>
      </w:pPr>
    </w:p>
    <w:p w14:paraId="5121278F" w14:textId="77777777" w:rsidR="00017014" w:rsidRPr="009E2198" w:rsidRDefault="0090662D" w:rsidP="00017014">
      <w:pPr>
        <w:pStyle w:val="PageHeadingNotTOC"/>
      </w:pPr>
      <w:bookmarkStart w:id="4" w:name="FootprintPageAD"/>
      <w:bookmarkStart w:id="5" w:name="ProcPageAD"/>
      <w:r>
        <w:lastRenderedPageBreak/>
        <w:t xml:space="preserve">PIELIKUMS. </w:t>
      </w:r>
      <w:r>
        <w:rPr>
          <w:caps/>
        </w:rPr>
        <w:t>PIENESUMA DEKLARĀCIJA</w:t>
      </w:r>
    </w:p>
    <w:p w14:paraId="7FF77CD3" w14:textId="77777777" w:rsidR="00017014" w:rsidRPr="009E2198" w:rsidRDefault="0090662D" w:rsidP="00017014">
      <w:pPr>
        <w:pStyle w:val="Normal24a"/>
      </w:pPr>
      <w:r>
        <w:rPr>
          <w:rStyle w:val="HideTWBExt"/>
        </w:rPr>
        <w:t>&lt;FootprintIntro&gt;</w:t>
      </w:r>
      <w:r>
        <w:t>Saskaņā ar Reglamenta I pielikuma 8. pantu budžeta izvērtējuma sagatavotājs apliecina, ka viņš savā budžeta izvērtējumā ir iekļāvis pienesumu, kas ir par jautājumiem, kuri attiecas uz lietas priekšmetu, un kas, gatavojot budžeta izvērtējumu pirms tā pieņemšanas komitejā, saņemts no šādiem interešu pārstāvjiem, uz kuriem attiecas Iestāžu nolīgums par obligātu pārredzamības reģistru</w:t>
      </w:r>
      <w:r>
        <w:rPr>
          <w:rStyle w:val="FootnoteReference"/>
        </w:rPr>
        <w:footnoteReference w:id="3"/>
      </w:r>
      <w:r>
        <w:t>, vai no šādiem trešo valstu publisko iestāžu, tostarp to diplomātisko pārstāvniecību un vēstniecību, pārstāvjiem:</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34"/>
      </w:tblGrid>
      <w:tr w:rsidR="00773EA7" w14:paraId="4E6E3CD3" w14:textId="77777777" w:rsidTr="006F2815">
        <w:tc>
          <w:tcPr>
            <w:tcW w:w="9050" w:type="dxa"/>
            <w:gridSpan w:val="2"/>
            <w:shd w:val="clear" w:color="auto" w:fill="auto"/>
          </w:tcPr>
          <w:p w14:paraId="547CAFB9" w14:textId="77777777" w:rsidR="00017014" w:rsidRPr="009E2198" w:rsidRDefault="0090662D" w:rsidP="006F2815">
            <w:pPr>
              <w:pStyle w:val="NormalBoldCenter"/>
            </w:pPr>
            <w:r>
              <w:t>1. Interešu pārstāvji, uz kuriem attiecas Iestāžu nolīgums par obligātu pārredzamības reģistru</w:t>
            </w:r>
          </w:p>
        </w:tc>
      </w:tr>
      <w:tr w:rsidR="00773EA7" w14:paraId="4EF9070F" w14:textId="77777777" w:rsidTr="006F2815">
        <w:tc>
          <w:tcPr>
            <w:tcW w:w="9050" w:type="dxa"/>
            <w:gridSpan w:val="2"/>
            <w:shd w:val="clear" w:color="auto" w:fill="auto"/>
          </w:tcPr>
          <w:p w14:paraId="762044B7" w14:textId="77777777" w:rsidR="00017014" w:rsidRPr="009E2198" w:rsidRDefault="0090662D" w:rsidP="006F2815">
            <w:pPr>
              <w:pStyle w:val="NormalSingle"/>
            </w:pPr>
            <w:r>
              <w:t>Marie Curie Alumni Association</w:t>
            </w:r>
          </w:p>
        </w:tc>
      </w:tr>
      <w:tr w:rsidR="00773EA7" w14:paraId="4012D28A" w14:textId="77777777" w:rsidTr="006F2815">
        <w:trPr>
          <w:gridAfter w:val="1"/>
          <w:wAfter w:w="34" w:type="dxa"/>
        </w:trPr>
        <w:tc>
          <w:tcPr>
            <w:tcW w:w="9050" w:type="dxa"/>
            <w:shd w:val="clear" w:color="auto" w:fill="auto"/>
          </w:tcPr>
          <w:p w14:paraId="4290978D" w14:textId="77777777" w:rsidR="00017014" w:rsidRPr="009E2198" w:rsidRDefault="0090662D" w:rsidP="006F2815">
            <w:pPr>
              <w:pStyle w:val="NormalBoldCenter"/>
            </w:pPr>
            <w:r>
              <w:t>2. Trešo valstu publisko iestāžu, tostarp to diplomātisko pārstāvniecību un vēstniecību, pārstāvji</w:t>
            </w:r>
          </w:p>
        </w:tc>
      </w:tr>
      <w:tr w:rsidR="00773EA7" w14:paraId="53AAFE93" w14:textId="77777777" w:rsidTr="006F2815">
        <w:trPr>
          <w:gridAfter w:val="1"/>
          <w:wAfter w:w="34" w:type="dxa"/>
        </w:trPr>
        <w:tc>
          <w:tcPr>
            <w:tcW w:w="9050" w:type="dxa"/>
            <w:shd w:val="clear" w:color="auto" w:fill="auto"/>
          </w:tcPr>
          <w:p w14:paraId="2D23DB90" w14:textId="77777777" w:rsidR="00446D42" w:rsidRPr="009E2198" w:rsidRDefault="0090662D" w:rsidP="00446D42">
            <w:pPr>
              <w:pStyle w:val="NormalBoldCenter"/>
              <w:jc w:val="left"/>
            </w:pPr>
            <w:r>
              <w:t>Nav</w:t>
            </w:r>
          </w:p>
        </w:tc>
      </w:tr>
    </w:tbl>
    <w:p w14:paraId="61F53062" w14:textId="77777777" w:rsidR="00017014" w:rsidRPr="009E2198" w:rsidRDefault="0090662D" w:rsidP="00017014">
      <w:pPr>
        <w:pStyle w:val="Footprint12b"/>
      </w:pPr>
      <w:r>
        <w:t>Par šī saraksta sagatavošanu ir atbildīgs vienīgi budžeta izvērtējuma sagatavotājs.</w:t>
      </w:r>
    </w:p>
    <w:p w14:paraId="164DF76C" w14:textId="63AC0E7F" w:rsidR="00017014" w:rsidRPr="009E2198" w:rsidRDefault="0090662D" w:rsidP="00017014">
      <w:pPr>
        <w:pStyle w:val="Footprint12b"/>
      </w:pPr>
      <w:r>
        <w:t>Ja fiziskas personas sarakstā ir identificētas ar vārdu, amatu vai ar abiem, budžeta izvērtējuma sagatavotājs apliecina, ka viņš ir iesniedzis attiecīgajām fiziskajām personām Eiropas Parlamenta paziņojumu par privātumu Nr. 484 (</w:t>
      </w:r>
      <w:hyperlink r:id="rId16" w:tooltip="https://www.europarl.europa.eu/data-protect/index.do" w:history="1">
        <w:r w:rsidR="00017014">
          <w:rPr>
            <w:rStyle w:val="Hyperlink"/>
          </w:rPr>
          <w:t>https://www.europarl.europa.eu/data-protect/index.do</w:t>
        </w:r>
      </w:hyperlink>
      <w:r>
        <w:t>), kurā ir izklāstīti nosacījumi, kas attiecas uz to personas datu apstrādi, un ar šādu apstrādi saistītās tiesības.</w:t>
      </w:r>
    </w:p>
    <w:bookmarkEnd w:id="4"/>
    <w:p w14:paraId="48199937" w14:textId="77777777" w:rsidR="00017014" w:rsidRPr="009E2198" w:rsidRDefault="00017014" w:rsidP="00017014"/>
    <w:p w14:paraId="1917A88D" w14:textId="77777777" w:rsidR="00017014" w:rsidRPr="009E2198" w:rsidRDefault="00017014" w:rsidP="00017014">
      <w:pPr>
        <w:sectPr w:rsidR="00017014" w:rsidRPr="009E2198" w:rsidSect="00017014">
          <w:pgSz w:w="11894" w:h="15840"/>
          <w:pgMar w:top="1700" w:right="1417" w:bottom="1417" w:left="1417" w:header="720" w:footer="720" w:gutter="0"/>
          <w:cols w:space="720"/>
          <w:noEndnote/>
          <w:docGrid w:linePitch="326"/>
        </w:sectPr>
      </w:pPr>
    </w:p>
    <w:p w14:paraId="3BA9ED55" w14:textId="77777777" w:rsidR="00017014" w:rsidRPr="009E2198" w:rsidRDefault="0090662D" w:rsidP="008D2A3C">
      <w:pPr>
        <w:pStyle w:val="PageHeadingNotTOC"/>
      </w:pPr>
      <w:r>
        <w:lastRenderedPageBreak/>
        <w:t>BUDŽETA IZVĒRTĒJUMU SNIEDZOŠĀS KOMITEJAS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73EA7" w14:paraId="5CA0F01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102B3FE" w14:textId="77777777" w:rsidR="00017014" w:rsidRPr="009E2198" w:rsidRDefault="0090662D">
            <w:pPr>
              <w:autoSpaceDE w:val="0"/>
              <w:autoSpaceDN w:val="0"/>
              <w:adjustRightInd w:val="0"/>
              <w:rPr>
                <w:b/>
                <w:bCs/>
                <w:color w:val="000000"/>
                <w:sz w:val="20"/>
              </w:rPr>
            </w:pPr>
            <w:r>
              <w:rPr>
                <w:b/>
                <w:sz w:val="20"/>
              </w:rPr>
              <w:t>Virsraksts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FBFD024" w14:textId="77777777" w:rsidR="00017014" w:rsidRPr="009E2198" w:rsidRDefault="0090662D">
            <w:pPr>
              <w:autoSpaceDE w:val="0"/>
              <w:autoSpaceDN w:val="0"/>
              <w:adjustRightInd w:val="0"/>
              <w:rPr>
                <w:color w:val="000000"/>
                <w:sz w:val="20"/>
              </w:rPr>
            </w:pPr>
            <w:r>
              <w:rPr>
                <w:color w:val="000000"/>
                <w:sz w:val="20"/>
              </w:rPr>
              <w:t>Priekšlikums izveidot pētniecības un inovācijas pamatprogrammu “Apvārsnis Eiropa” 2028.–2034. gadam, noteikt tās dalības un rezultātu izplatīšanas noteikumus un atcelt Regulu (ES) 2021/695</w:t>
            </w:r>
          </w:p>
        </w:tc>
      </w:tr>
      <w:tr w:rsidR="00773EA7" w14:paraId="73CDF149"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5285138" w14:textId="77777777" w:rsidR="00017014" w:rsidRPr="009E2198" w:rsidRDefault="0090662D">
            <w:pPr>
              <w:autoSpaceDE w:val="0"/>
              <w:autoSpaceDN w:val="0"/>
              <w:adjustRightInd w:val="0"/>
              <w:rPr>
                <w:b/>
                <w:bCs/>
                <w:color w:val="000000"/>
                <w:sz w:val="20"/>
              </w:rPr>
            </w:pPr>
            <w:r>
              <w:rPr>
                <w:b/>
                <w:sz w:val="20"/>
              </w:rPr>
              <w:t>Atsauces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6C08C2A" w14:textId="77777777" w:rsidR="00017014" w:rsidRPr="009E2198" w:rsidRDefault="0090662D">
            <w:pPr>
              <w:autoSpaceDE w:val="0"/>
              <w:autoSpaceDN w:val="0"/>
              <w:adjustRightInd w:val="0"/>
              <w:rPr>
                <w:color w:val="000000"/>
                <w:sz w:val="20"/>
              </w:rPr>
            </w:pPr>
            <w:r>
              <w:rPr>
                <w:color w:val="000000"/>
                <w:sz w:val="20"/>
              </w:rPr>
              <w:t>COM(2025)0543 – C10-0164/2025 – 2025/0543(COD)</w:t>
            </w:r>
          </w:p>
        </w:tc>
      </w:tr>
      <w:tr w:rsidR="00773EA7" w14:paraId="62BAE61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EAE690B" w14:textId="77777777" w:rsidR="00017014" w:rsidRPr="009E2198" w:rsidRDefault="0090662D">
            <w:pPr>
              <w:autoSpaceDE w:val="0"/>
              <w:autoSpaceDN w:val="0"/>
              <w:adjustRightInd w:val="0"/>
              <w:rPr>
                <w:b/>
                <w:bCs/>
                <w:color w:val="000000"/>
                <w:sz w:val="20"/>
              </w:rPr>
            </w:pPr>
            <w:r>
              <w:rPr>
                <w:b/>
                <w:sz w:val="20"/>
              </w:rPr>
              <w:t>Atbildīgā komiteja</w:t>
            </w:r>
          </w:p>
          <w:p w14:paraId="440097A6" w14:textId="77777777" w:rsidR="00017014" w:rsidRPr="009E2198" w:rsidRDefault="0090662D">
            <w:pPr>
              <w:autoSpaceDE w:val="0"/>
              <w:autoSpaceDN w:val="0"/>
              <w:adjustRightInd w:val="0"/>
              <w:rPr>
                <w:color w:val="000000"/>
                <w:sz w:val="20"/>
              </w:rPr>
            </w:pPr>
            <w:r>
              <w:rPr>
                <w:color w:val="000000"/>
                <w:sz w:val="20"/>
              </w:rPr>
              <w:t>       </w:t>
            </w:r>
            <w:r>
              <w:rPr>
                <w:sz w:val="20"/>
              </w:rPr>
              <w:t>Datums, kad paziņoja plenārsēdē</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5C68E2C" w14:textId="77777777" w:rsidR="00017014" w:rsidRPr="009E2198" w:rsidRDefault="0090662D">
            <w:pPr>
              <w:autoSpaceDE w:val="0"/>
              <w:autoSpaceDN w:val="0"/>
              <w:adjustRightInd w:val="0"/>
              <w:rPr>
                <w:color w:val="000000"/>
                <w:sz w:val="20"/>
              </w:rPr>
            </w:pPr>
            <w:r>
              <w:rPr>
                <w:color w:val="000000"/>
                <w:sz w:val="20"/>
              </w:rPr>
              <w:t>ITRE</w:t>
            </w:r>
          </w:p>
          <w:p w14:paraId="0D492A25" w14:textId="77777777" w:rsidR="00017014" w:rsidRPr="009E2198" w:rsidRDefault="0090662D">
            <w:pPr>
              <w:autoSpaceDE w:val="0"/>
              <w:autoSpaceDN w:val="0"/>
              <w:adjustRightInd w:val="0"/>
              <w:rPr>
                <w:color w:val="000000"/>
                <w:sz w:val="20"/>
              </w:rPr>
            </w:pPr>
            <w:r>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AE28018" w14:textId="77777777" w:rsidR="00017014" w:rsidRPr="009E2198"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E58EA77" w14:textId="77777777" w:rsidR="00017014" w:rsidRPr="009E2198"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427B796" w14:textId="77777777" w:rsidR="00017014" w:rsidRPr="009E2198" w:rsidRDefault="00017014">
            <w:pPr>
              <w:autoSpaceDE w:val="0"/>
              <w:autoSpaceDN w:val="0"/>
              <w:adjustRightInd w:val="0"/>
              <w:rPr>
                <w:rFonts w:ascii="sans-serif" w:hAnsi="sans-serif" w:cs="sans-serif"/>
                <w:color w:val="000000"/>
              </w:rPr>
            </w:pPr>
          </w:p>
        </w:tc>
      </w:tr>
      <w:tr w:rsidR="00773EA7" w14:paraId="6EC5C65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71A9A3D" w14:textId="77777777" w:rsidR="00017014" w:rsidRPr="009E2198" w:rsidRDefault="0090662D">
            <w:pPr>
              <w:autoSpaceDE w:val="0"/>
              <w:autoSpaceDN w:val="0"/>
              <w:adjustRightInd w:val="0"/>
              <w:rPr>
                <w:b/>
                <w:bCs/>
                <w:color w:val="000000"/>
                <w:sz w:val="20"/>
              </w:rPr>
            </w:pPr>
            <w:r>
              <w:rPr>
                <w:b/>
                <w:sz w:val="20"/>
              </w:rPr>
              <w:t>Budžeta izvērtējumu sniedza</w:t>
            </w:r>
          </w:p>
          <w:p w14:paraId="129BD660" w14:textId="77777777" w:rsidR="00017014" w:rsidRPr="009E2198" w:rsidRDefault="0090662D">
            <w:pPr>
              <w:autoSpaceDE w:val="0"/>
              <w:autoSpaceDN w:val="0"/>
              <w:adjustRightInd w:val="0"/>
              <w:rPr>
                <w:color w:val="000000"/>
                <w:sz w:val="20"/>
              </w:rPr>
            </w:pPr>
            <w:r>
              <w:rPr>
                <w:color w:val="000000"/>
                <w:sz w:val="20"/>
              </w:rPr>
              <w:t>       </w:t>
            </w:r>
            <w:r>
              <w:rPr>
                <w:sz w:val="20"/>
              </w:rPr>
              <w:t>Datums, kad paziņoja plenārsēdē</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F7BEDE6" w14:textId="77777777" w:rsidR="00017014" w:rsidRPr="009E2198" w:rsidRDefault="0090662D">
            <w:pPr>
              <w:autoSpaceDE w:val="0"/>
              <w:autoSpaceDN w:val="0"/>
              <w:adjustRightInd w:val="0"/>
              <w:rPr>
                <w:color w:val="000000"/>
                <w:sz w:val="20"/>
              </w:rPr>
            </w:pPr>
            <w:r>
              <w:rPr>
                <w:color w:val="000000"/>
                <w:sz w:val="20"/>
              </w:rPr>
              <w:t>BUDG</w:t>
            </w:r>
          </w:p>
          <w:p w14:paraId="50628644" w14:textId="77777777" w:rsidR="00017014" w:rsidRPr="009E2198" w:rsidRDefault="0090662D">
            <w:pPr>
              <w:autoSpaceDE w:val="0"/>
              <w:autoSpaceDN w:val="0"/>
              <w:adjustRightInd w:val="0"/>
              <w:rPr>
                <w:color w:val="000000"/>
                <w:sz w:val="20"/>
              </w:rPr>
            </w:pPr>
            <w:r>
              <w:rPr>
                <w:color w:val="000000"/>
                <w:sz w:val="20"/>
              </w:rPr>
              <w:t>23.10.2025</w:t>
            </w:r>
          </w:p>
        </w:tc>
      </w:tr>
      <w:tr w:rsidR="00773EA7" w14:paraId="678658B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456665F" w14:textId="77777777" w:rsidR="00017014" w:rsidRPr="009E2198" w:rsidRDefault="0090662D">
            <w:pPr>
              <w:autoSpaceDE w:val="0"/>
              <w:autoSpaceDN w:val="0"/>
              <w:adjustRightInd w:val="0"/>
              <w:rPr>
                <w:b/>
                <w:bCs/>
                <w:color w:val="000000"/>
                <w:sz w:val="20"/>
              </w:rPr>
            </w:pPr>
            <w:r>
              <w:rPr>
                <w:b/>
                <w:sz w:val="20"/>
              </w:rPr>
              <w:t>Budžeta izvērtējuma sagatavotājs</w:t>
            </w:r>
          </w:p>
          <w:p w14:paraId="71A22D0A" w14:textId="77777777" w:rsidR="00017014" w:rsidRPr="009E2198" w:rsidRDefault="0090662D">
            <w:pPr>
              <w:autoSpaceDE w:val="0"/>
              <w:autoSpaceDN w:val="0"/>
              <w:adjustRightInd w:val="0"/>
              <w:rPr>
                <w:color w:val="000000"/>
                <w:sz w:val="20"/>
              </w:rPr>
            </w:pPr>
            <w:r>
              <w:rPr>
                <w:color w:val="000000"/>
                <w:sz w:val="20"/>
              </w:rPr>
              <w:t>       </w:t>
            </w:r>
            <w:r>
              <w:rPr>
                <w:sz w:val="20"/>
              </w:rPr>
              <w:t>Iecelšanas datums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5A6D35D" w14:textId="77777777" w:rsidR="00017014" w:rsidRPr="009E2198" w:rsidRDefault="0090662D">
            <w:pPr>
              <w:autoSpaceDE w:val="0"/>
              <w:autoSpaceDN w:val="0"/>
              <w:adjustRightInd w:val="0"/>
              <w:rPr>
                <w:color w:val="000000"/>
                <w:sz w:val="20"/>
              </w:rPr>
            </w:pPr>
            <w:r>
              <w:rPr>
                <w:color w:val="000000"/>
                <w:sz w:val="20"/>
              </w:rPr>
              <w:t>Hélder Sousa Silva</w:t>
            </w:r>
          </w:p>
          <w:p w14:paraId="1C078502" w14:textId="77777777" w:rsidR="00017014" w:rsidRPr="009E2198" w:rsidRDefault="0090662D">
            <w:pPr>
              <w:autoSpaceDE w:val="0"/>
              <w:autoSpaceDN w:val="0"/>
              <w:adjustRightInd w:val="0"/>
              <w:rPr>
                <w:color w:val="000000"/>
                <w:sz w:val="20"/>
              </w:rPr>
            </w:pPr>
            <w:r>
              <w:rPr>
                <w:color w:val="000000"/>
                <w:sz w:val="20"/>
              </w:rPr>
              <w:t>13.1.2026</w:t>
            </w:r>
          </w:p>
        </w:tc>
      </w:tr>
      <w:tr w:rsidR="00773EA7" w14:paraId="1E0D25A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8057CA2" w14:textId="77777777" w:rsidR="00017014" w:rsidRPr="009E2198" w:rsidRDefault="0090662D">
            <w:pPr>
              <w:autoSpaceDE w:val="0"/>
              <w:autoSpaceDN w:val="0"/>
              <w:adjustRightInd w:val="0"/>
              <w:rPr>
                <w:b/>
                <w:bCs/>
                <w:color w:val="000000"/>
                <w:sz w:val="20"/>
              </w:rPr>
            </w:pPr>
            <w:r>
              <w:rPr>
                <w:b/>
                <w:sz w:val="20"/>
              </w:rPr>
              <w:t>Izskatīšana komitejā</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58B0FC4" w14:textId="77777777" w:rsidR="00017014" w:rsidRPr="009E2198" w:rsidRDefault="0090662D">
            <w:pPr>
              <w:autoSpaceDE w:val="0"/>
              <w:autoSpaceDN w:val="0"/>
              <w:adjustRightInd w:val="0"/>
              <w:rPr>
                <w:color w:val="000000"/>
                <w:sz w:val="20"/>
              </w:rPr>
            </w:pPr>
            <w:r>
              <w:rPr>
                <w:color w:val="000000"/>
                <w:sz w:val="20"/>
              </w:rPr>
              <w:t>8.4.2026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2E8C5E4" w14:textId="77777777" w:rsidR="00017014" w:rsidRPr="009E2198"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6FCA70C" w14:textId="77777777" w:rsidR="00017014" w:rsidRPr="009E2198"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5A174DE" w14:textId="77777777" w:rsidR="00017014" w:rsidRPr="009E2198" w:rsidRDefault="00017014">
            <w:pPr>
              <w:autoSpaceDE w:val="0"/>
              <w:autoSpaceDN w:val="0"/>
              <w:adjustRightInd w:val="0"/>
              <w:rPr>
                <w:rFonts w:ascii="sans-serif" w:hAnsi="sans-serif" w:cs="sans-serif"/>
                <w:color w:val="000000"/>
              </w:rPr>
            </w:pPr>
          </w:p>
        </w:tc>
      </w:tr>
      <w:tr w:rsidR="00773EA7" w14:paraId="5C2964BF"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969D8DF" w14:textId="77777777" w:rsidR="00017014" w:rsidRPr="009E2198" w:rsidRDefault="0090662D">
            <w:pPr>
              <w:autoSpaceDE w:val="0"/>
              <w:autoSpaceDN w:val="0"/>
              <w:adjustRightInd w:val="0"/>
              <w:rPr>
                <w:b/>
                <w:bCs/>
                <w:color w:val="000000"/>
                <w:sz w:val="20"/>
              </w:rPr>
            </w:pPr>
            <w:r>
              <w:rPr>
                <w:b/>
                <w:sz w:val="20"/>
              </w:rPr>
              <w:t>Pieņemšanas datums</w:t>
            </w:r>
          </w:p>
        </w:tc>
        <w:tc>
          <w:tcPr>
            <w:tcW w:w="1530" w:type="dxa"/>
            <w:tcBorders>
              <w:top w:val="nil"/>
              <w:left w:val="nil"/>
              <w:bottom w:val="single" w:sz="8" w:space="0" w:color="000000"/>
              <w:right w:val="nil"/>
            </w:tcBorders>
            <w:tcMar>
              <w:top w:w="79" w:type="dxa"/>
              <w:left w:w="79" w:type="dxa"/>
              <w:bottom w:w="79" w:type="dxa"/>
              <w:right w:w="79" w:type="dxa"/>
            </w:tcMar>
          </w:tcPr>
          <w:p w14:paraId="6CB1CA1C" w14:textId="77777777" w:rsidR="00017014" w:rsidRPr="009E2198" w:rsidRDefault="0090662D">
            <w:pPr>
              <w:autoSpaceDE w:val="0"/>
              <w:autoSpaceDN w:val="0"/>
              <w:adjustRightInd w:val="0"/>
              <w:rPr>
                <w:color w:val="000000"/>
                <w:sz w:val="20"/>
              </w:rPr>
            </w:pPr>
            <w:r>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7BA391F9" w14:textId="77777777" w:rsidR="00017014" w:rsidRPr="009E2198" w:rsidRDefault="00017014">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4D23FCC2" w14:textId="77777777" w:rsidR="00017014" w:rsidRPr="009E2198" w:rsidRDefault="00017014">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78A48FB1" w14:textId="77777777" w:rsidR="00017014" w:rsidRPr="009E2198" w:rsidRDefault="00017014">
            <w:pPr>
              <w:autoSpaceDE w:val="0"/>
              <w:autoSpaceDN w:val="0"/>
              <w:adjustRightInd w:val="0"/>
              <w:rPr>
                <w:rFonts w:ascii="sans-serif" w:hAnsi="sans-serif" w:cs="sans-serif"/>
                <w:color w:val="000000"/>
              </w:rPr>
            </w:pPr>
          </w:p>
        </w:tc>
      </w:tr>
      <w:tr w:rsidR="00773EA7" w14:paraId="675F244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B0ADF82" w14:textId="77777777" w:rsidR="00017014" w:rsidRPr="009E2198" w:rsidRDefault="0090662D">
            <w:pPr>
              <w:autoSpaceDE w:val="0"/>
              <w:autoSpaceDN w:val="0"/>
              <w:adjustRightInd w:val="0"/>
              <w:rPr>
                <w:b/>
                <w:bCs/>
                <w:color w:val="000000"/>
                <w:sz w:val="20"/>
              </w:rPr>
            </w:pPr>
            <w:r>
              <w:rPr>
                <w:b/>
                <w:sz w:val="20"/>
              </w:rPr>
              <w:t>Galīgais balsojums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B2D5C30" w14:textId="77777777" w:rsidR="00017014" w:rsidRPr="009E2198" w:rsidRDefault="0090662D">
            <w:pPr>
              <w:autoSpaceDE w:val="0"/>
              <w:autoSpaceDN w:val="0"/>
              <w:adjustRightInd w:val="0"/>
              <w:rPr>
                <w:color w:val="000000"/>
                <w:sz w:val="20"/>
              </w:rPr>
            </w:pPr>
            <w:r>
              <w:rPr>
                <w:color w:val="000000"/>
                <w:sz w:val="20"/>
              </w:rPr>
              <w:t>+:</w:t>
            </w:r>
          </w:p>
          <w:p w14:paraId="06366EBD" w14:textId="77777777" w:rsidR="00017014" w:rsidRPr="009E2198" w:rsidRDefault="0090662D">
            <w:pPr>
              <w:autoSpaceDE w:val="0"/>
              <w:autoSpaceDN w:val="0"/>
              <w:adjustRightInd w:val="0"/>
              <w:rPr>
                <w:color w:val="000000"/>
                <w:sz w:val="20"/>
              </w:rPr>
            </w:pPr>
            <w:r>
              <w:rPr>
                <w:color w:val="000000"/>
                <w:sz w:val="20"/>
              </w:rPr>
              <w:t>–:</w:t>
            </w:r>
          </w:p>
          <w:p w14:paraId="7142FF35" w14:textId="77777777" w:rsidR="00017014" w:rsidRPr="009E2198" w:rsidRDefault="0090662D">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2457716" w14:textId="77777777" w:rsidR="00017014" w:rsidRPr="009E2198" w:rsidRDefault="0090662D">
            <w:pPr>
              <w:autoSpaceDE w:val="0"/>
              <w:autoSpaceDN w:val="0"/>
              <w:adjustRightInd w:val="0"/>
              <w:rPr>
                <w:color w:val="000000"/>
                <w:sz w:val="20"/>
              </w:rPr>
            </w:pPr>
            <w:r>
              <w:rPr>
                <w:color w:val="000000"/>
                <w:sz w:val="20"/>
              </w:rPr>
              <w:t>29</w:t>
            </w:r>
          </w:p>
          <w:p w14:paraId="2DF650F3" w14:textId="77777777" w:rsidR="00017014" w:rsidRPr="009E2198" w:rsidRDefault="0090662D">
            <w:pPr>
              <w:autoSpaceDE w:val="0"/>
              <w:autoSpaceDN w:val="0"/>
              <w:adjustRightInd w:val="0"/>
              <w:rPr>
                <w:color w:val="000000"/>
                <w:sz w:val="20"/>
              </w:rPr>
            </w:pPr>
            <w:r>
              <w:rPr>
                <w:color w:val="000000"/>
                <w:sz w:val="20"/>
              </w:rPr>
              <w:t>4</w:t>
            </w:r>
          </w:p>
          <w:p w14:paraId="5D8C3877" w14:textId="77777777" w:rsidR="00017014" w:rsidRPr="009E2198" w:rsidRDefault="0090662D">
            <w:pPr>
              <w:autoSpaceDE w:val="0"/>
              <w:autoSpaceDN w:val="0"/>
              <w:adjustRightInd w:val="0"/>
              <w:rPr>
                <w:color w:val="000000"/>
                <w:sz w:val="20"/>
              </w:rPr>
            </w:pPr>
            <w:r>
              <w:rPr>
                <w:color w:val="000000"/>
                <w:sz w:val="20"/>
              </w:rPr>
              <w:t>1</w:t>
            </w:r>
          </w:p>
        </w:tc>
      </w:tr>
    </w:tbl>
    <w:p w14:paraId="48001CC6" w14:textId="77777777" w:rsidR="00017014" w:rsidRPr="009E2198" w:rsidRDefault="00017014"/>
    <w:bookmarkEnd w:id="5"/>
    <w:p w14:paraId="475CB55D" w14:textId="77777777" w:rsidR="00784770" w:rsidRPr="009E2198" w:rsidRDefault="00784770" w:rsidP="00017014">
      <w:pPr>
        <w:sectPr w:rsidR="00784770" w:rsidRPr="009E2198" w:rsidSect="00017014">
          <w:pgSz w:w="11894" w:h="15840"/>
          <w:pgMar w:top="1700" w:right="1417" w:bottom="1417" w:left="1417" w:header="720" w:footer="720" w:gutter="0"/>
          <w:cols w:space="720"/>
          <w:noEndnote/>
          <w:docGrid w:linePitch="326"/>
        </w:sectPr>
      </w:pPr>
    </w:p>
    <w:p w14:paraId="4AA69E08" w14:textId="77777777" w:rsidR="00784770" w:rsidRPr="009E2198" w:rsidRDefault="0090662D" w:rsidP="00C36610">
      <w:pPr>
        <w:pStyle w:val="PageHeadingNotTOC"/>
      </w:pPr>
      <w:bookmarkStart w:id="6" w:name="RollCallPageAD"/>
      <w:r>
        <w:lastRenderedPageBreak/>
        <w:t>BUDŽETA IZVĒRTĒJUMU SNIEDZOŠĀS KOMITEJAS</w:t>
      </w:r>
      <w:r>
        <w:br/>
        <w:t>GALĪGAIS ATKLĀTAIS BALSOJUMS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73EA7" w14:paraId="7FD0153D" w14:textId="77777777" w:rsidTr="008920AC">
        <w:trPr>
          <w:cantSplit/>
        </w:trPr>
        <w:tc>
          <w:tcPr>
            <w:tcW w:w="1701" w:type="dxa"/>
            <w:shd w:val="pct10" w:color="000000" w:fill="FFFFFF"/>
            <w:vAlign w:val="center"/>
          </w:tcPr>
          <w:p w14:paraId="75096C4C" w14:textId="77777777" w:rsidR="00784770" w:rsidRPr="009E2198" w:rsidRDefault="0090662D" w:rsidP="003858C5">
            <w:pPr>
              <w:pStyle w:val="RollCallVotes"/>
            </w:pPr>
            <w:r>
              <w:t>29</w:t>
            </w:r>
          </w:p>
        </w:tc>
        <w:tc>
          <w:tcPr>
            <w:tcW w:w="7371" w:type="dxa"/>
            <w:shd w:val="pct10" w:color="000000" w:fill="FFFFFF"/>
          </w:tcPr>
          <w:p w14:paraId="058CA62F" w14:textId="77777777" w:rsidR="00784770" w:rsidRPr="009E2198" w:rsidRDefault="0090662D" w:rsidP="003858C5">
            <w:pPr>
              <w:pStyle w:val="RollCallSymbols14pt"/>
            </w:pPr>
            <w:r>
              <w:t>+</w:t>
            </w:r>
          </w:p>
        </w:tc>
      </w:tr>
      <w:tr w:rsidR="00773EA7" w14:paraId="51DCB9B1" w14:textId="77777777" w:rsidTr="008920AC">
        <w:trPr>
          <w:cantSplit/>
        </w:trPr>
        <w:tc>
          <w:tcPr>
            <w:tcW w:w="1701" w:type="dxa"/>
            <w:shd w:val="clear" w:color="auto" w:fill="FFFFFF"/>
          </w:tcPr>
          <w:p w14:paraId="6CCBBFE4" w14:textId="77777777" w:rsidR="00784770" w:rsidRPr="009E2198" w:rsidRDefault="0090662D" w:rsidP="003858C5">
            <w:pPr>
              <w:pStyle w:val="RollCallTable"/>
            </w:pPr>
            <w:r>
              <w:t>ECR</w:t>
            </w:r>
          </w:p>
        </w:tc>
        <w:tc>
          <w:tcPr>
            <w:tcW w:w="7371" w:type="dxa"/>
            <w:shd w:val="clear" w:color="auto" w:fill="FFFFFF"/>
          </w:tcPr>
          <w:p w14:paraId="5F8D7C0C" w14:textId="77777777" w:rsidR="00784770" w:rsidRPr="009E2198" w:rsidRDefault="0090662D" w:rsidP="003858C5">
            <w:pPr>
              <w:pStyle w:val="RollCallTable"/>
            </w:pPr>
            <w:r>
              <w:t>Tobiasz Bocheński, Arkadiusz Mularczyk, Bogdan Rzońca</w:t>
            </w:r>
          </w:p>
        </w:tc>
      </w:tr>
      <w:tr w:rsidR="00773EA7" w14:paraId="688CE2DF" w14:textId="77777777" w:rsidTr="008920AC">
        <w:trPr>
          <w:cantSplit/>
        </w:trPr>
        <w:tc>
          <w:tcPr>
            <w:tcW w:w="1701" w:type="dxa"/>
            <w:shd w:val="clear" w:color="auto" w:fill="FFFFFF"/>
          </w:tcPr>
          <w:p w14:paraId="1BCC9345" w14:textId="77777777" w:rsidR="00784770" w:rsidRPr="009E2198" w:rsidRDefault="0090662D" w:rsidP="003858C5">
            <w:pPr>
              <w:pStyle w:val="RollCallTable"/>
            </w:pPr>
            <w:r>
              <w:t>PPE</w:t>
            </w:r>
          </w:p>
        </w:tc>
        <w:tc>
          <w:tcPr>
            <w:tcW w:w="7371" w:type="dxa"/>
            <w:shd w:val="clear" w:color="auto" w:fill="FFFFFF"/>
          </w:tcPr>
          <w:p w14:paraId="123A7AFC" w14:textId="77777777" w:rsidR="00784770" w:rsidRPr="009E2198" w:rsidRDefault="0090662D" w:rsidP="003858C5">
            <w:pPr>
              <w:pStyle w:val="RollCallTable"/>
            </w:pPr>
            <w:r>
              <w:t>Isabel Benjumea Benjumea, Michalis Hadjipantela, Andrzej Halicki, Monika Hohlmeier, Janusz Lewandowski, Gabriel Mato, Danuše Nerudová, Karlo Ressler, Hélder Sousa Silva</w:t>
            </w:r>
          </w:p>
        </w:tc>
      </w:tr>
      <w:tr w:rsidR="00773EA7" w14:paraId="47C3EED2" w14:textId="77777777" w:rsidTr="008920AC">
        <w:trPr>
          <w:cantSplit/>
        </w:trPr>
        <w:tc>
          <w:tcPr>
            <w:tcW w:w="1701" w:type="dxa"/>
            <w:shd w:val="clear" w:color="auto" w:fill="FFFFFF"/>
          </w:tcPr>
          <w:p w14:paraId="7FE8703B" w14:textId="77777777" w:rsidR="00784770" w:rsidRPr="009E2198" w:rsidRDefault="0090662D" w:rsidP="003858C5">
            <w:pPr>
              <w:pStyle w:val="RollCallTable"/>
            </w:pPr>
            <w:r>
              <w:t>PfE</w:t>
            </w:r>
          </w:p>
        </w:tc>
        <w:tc>
          <w:tcPr>
            <w:tcW w:w="7371" w:type="dxa"/>
            <w:shd w:val="clear" w:color="auto" w:fill="FFFFFF"/>
          </w:tcPr>
          <w:p w14:paraId="132684DE" w14:textId="77777777" w:rsidR="00784770" w:rsidRPr="009E2198" w:rsidRDefault="0090662D" w:rsidP="003858C5">
            <w:pPr>
              <w:pStyle w:val="RollCallTable"/>
            </w:pPr>
            <w:r>
              <w:t>Tomasz Buczek, Tamás Deutsch, Antonín Staněk</w:t>
            </w:r>
          </w:p>
        </w:tc>
      </w:tr>
      <w:tr w:rsidR="00773EA7" w14:paraId="62951F86" w14:textId="77777777" w:rsidTr="008920AC">
        <w:trPr>
          <w:cantSplit/>
        </w:trPr>
        <w:tc>
          <w:tcPr>
            <w:tcW w:w="1701" w:type="dxa"/>
            <w:shd w:val="clear" w:color="auto" w:fill="FFFFFF"/>
          </w:tcPr>
          <w:p w14:paraId="42ADD4A4" w14:textId="77777777" w:rsidR="00784770" w:rsidRPr="009E2198" w:rsidRDefault="0090662D" w:rsidP="003858C5">
            <w:pPr>
              <w:pStyle w:val="RollCallTable"/>
            </w:pPr>
            <w:r>
              <w:t>Renew</w:t>
            </w:r>
          </w:p>
        </w:tc>
        <w:tc>
          <w:tcPr>
            <w:tcW w:w="7371" w:type="dxa"/>
            <w:shd w:val="clear" w:color="auto" w:fill="FFFFFF"/>
          </w:tcPr>
          <w:p w14:paraId="21C37611" w14:textId="77777777" w:rsidR="00784770" w:rsidRPr="009E2198" w:rsidRDefault="0090662D" w:rsidP="003858C5">
            <w:pPr>
              <w:pStyle w:val="RollCallTable"/>
            </w:pPr>
            <w:r>
              <w:t>Olivier Chastel, Fabienne Keller, Lucia Yar</w:t>
            </w:r>
          </w:p>
        </w:tc>
      </w:tr>
      <w:tr w:rsidR="00773EA7" w14:paraId="595A1CEE" w14:textId="77777777" w:rsidTr="008920AC">
        <w:trPr>
          <w:cantSplit/>
        </w:trPr>
        <w:tc>
          <w:tcPr>
            <w:tcW w:w="1701" w:type="dxa"/>
            <w:shd w:val="clear" w:color="auto" w:fill="FFFFFF"/>
          </w:tcPr>
          <w:p w14:paraId="0DE73E1C" w14:textId="77777777" w:rsidR="00784770" w:rsidRPr="009E2198" w:rsidRDefault="0090662D" w:rsidP="003858C5">
            <w:pPr>
              <w:pStyle w:val="RollCallTable"/>
            </w:pPr>
            <w:r>
              <w:t>S&amp;D</w:t>
            </w:r>
          </w:p>
        </w:tc>
        <w:tc>
          <w:tcPr>
            <w:tcW w:w="7371" w:type="dxa"/>
            <w:shd w:val="clear" w:color="auto" w:fill="FFFFFF"/>
          </w:tcPr>
          <w:p w14:paraId="7B467742" w14:textId="77777777" w:rsidR="00784770" w:rsidRPr="009E2198" w:rsidRDefault="0090662D" w:rsidP="003858C5">
            <w:pPr>
              <w:pStyle w:val="RollCallTable"/>
            </w:pPr>
            <w:r>
              <w:t>Mohammed Chahim, Matthias Ecke, Nikolas Farantouris, Jean-Marc Germain, Sandra Gómez López, Victor Negrescu, Matjaž Nemec, Nils Ušakovs</w:t>
            </w:r>
          </w:p>
        </w:tc>
      </w:tr>
      <w:tr w:rsidR="00773EA7" w14:paraId="638ACB4E" w14:textId="77777777" w:rsidTr="008920AC">
        <w:trPr>
          <w:cantSplit/>
        </w:trPr>
        <w:tc>
          <w:tcPr>
            <w:tcW w:w="1701" w:type="dxa"/>
            <w:shd w:val="clear" w:color="auto" w:fill="FFFFFF"/>
          </w:tcPr>
          <w:p w14:paraId="7114BD56" w14:textId="77777777" w:rsidR="00784770" w:rsidRPr="009E2198" w:rsidRDefault="0090662D" w:rsidP="003858C5">
            <w:pPr>
              <w:pStyle w:val="RollCallTable"/>
            </w:pPr>
            <w:r>
              <w:t>Verts/ALE</w:t>
            </w:r>
          </w:p>
        </w:tc>
        <w:tc>
          <w:tcPr>
            <w:tcW w:w="7371" w:type="dxa"/>
            <w:shd w:val="clear" w:color="auto" w:fill="FFFFFF"/>
          </w:tcPr>
          <w:p w14:paraId="43B07524" w14:textId="77777777" w:rsidR="00784770" w:rsidRPr="009E2198" w:rsidRDefault="0090662D" w:rsidP="003858C5">
            <w:pPr>
              <w:pStyle w:val="RollCallTable"/>
            </w:pPr>
            <w:r>
              <w:t>Ignazio Roberto Marino, Rasmus Nordqvist, Nicolae Ștefănuță</w:t>
            </w:r>
          </w:p>
        </w:tc>
      </w:tr>
    </w:tbl>
    <w:p w14:paraId="5EA65862" w14:textId="77777777" w:rsidR="00784770" w:rsidRPr="009E2198" w:rsidRDefault="00784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73EA7" w14:paraId="22326AA5" w14:textId="77777777" w:rsidTr="008920AC">
        <w:trPr>
          <w:cantSplit/>
        </w:trPr>
        <w:tc>
          <w:tcPr>
            <w:tcW w:w="1701" w:type="dxa"/>
            <w:shd w:val="pct10" w:color="000000" w:fill="FFFFFF"/>
            <w:vAlign w:val="center"/>
          </w:tcPr>
          <w:p w14:paraId="2E999AC5" w14:textId="77777777" w:rsidR="00784770" w:rsidRPr="009E2198" w:rsidRDefault="0090662D" w:rsidP="003858C5">
            <w:pPr>
              <w:pStyle w:val="RollCallVotes"/>
            </w:pPr>
            <w:r>
              <w:t>4</w:t>
            </w:r>
          </w:p>
        </w:tc>
        <w:tc>
          <w:tcPr>
            <w:tcW w:w="7371" w:type="dxa"/>
            <w:shd w:val="pct10" w:color="000000" w:fill="FFFFFF"/>
          </w:tcPr>
          <w:p w14:paraId="55D33202" w14:textId="77777777" w:rsidR="00784770" w:rsidRPr="009E2198" w:rsidRDefault="0090662D" w:rsidP="003858C5">
            <w:pPr>
              <w:pStyle w:val="RollCallSymbols14pt"/>
            </w:pPr>
            <w:r>
              <w:t>-</w:t>
            </w:r>
          </w:p>
        </w:tc>
      </w:tr>
      <w:tr w:rsidR="00773EA7" w14:paraId="7F5A1CFE" w14:textId="77777777" w:rsidTr="008920AC">
        <w:trPr>
          <w:cantSplit/>
        </w:trPr>
        <w:tc>
          <w:tcPr>
            <w:tcW w:w="1701" w:type="dxa"/>
            <w:shd w:val="clear" w:color="auto" w:fill="FFFFFF"/>
          </w:tcPr>
          <w:p w14:paraId="0331EF59" w14:textId="77777777" w:rsidR="00784770" w:rsidRPr="009E2198" w:rsidRDefault="0090662D" w:rsidP="003858C5">
            <w:pPr>
              <w:pStyle w:val="RollCallTable"/>
            </w:pPr>
            <w:r>
              <w:t>ESN</w:t>
            </w:r>
          </w:p>
        </w:tc>
        <w:tc>
          <w:tcPr>
            <w:tcW w:w="7371" w:type="dxa"/>
            <w:shd w:val="clear" w:color="auto" w:fill="FFFFFF"/>
          </w:tcPr>
          <w:p w14:paraId="2DB7CDAC" w14:textId="77777777" w:rsidR="00784770" w:rsidRPr="009E2198" w:rsidRDefault="0090662D" w:rsidP="003858C5">
            <w:pPr>
              <w:pStyle w:val="RollCallTable"/>
            </w:pPr>
            <w:r>
              <w:t>Alexander Jungbluth</w:t>
            </w:r>
          </w:p>
        </w:tc>
      </w:tr>
      <w:tr w:rsidR="00773EA7" w14:paraId="5A33A855" w14:textId="77777777" w:rsidTr="008920AC">
        <w:trPr>
          <w:cantSplit/>
        </w:trPr>
        <w:tc>
          <w:tcPr>
            <w:tcW w:w="1701" w:type="dxa"/>
            <w:shd w:val="clear" w:color="auto" w:fill="FFFFFF"/>
          </w:tcPr>
          <w:p w14:paraId="3F17477E" w14:textId="77777777" w:rsidR="00784770" w:rsidRPr="009E2198" w:rsidRDefault="0090662D" w:rsidP="003858C5">
            <w:pPr>
              <w:pStyle w:val="RollCallTable"/>
            </w:pPr>
            <w:r>
              <w:t>NI</w:t>
            </w:r>
          </w:p>
        </w:tc>
        <w:tc>
          <w:tcPr>
            <w:tcW w:w="7371" w:type="dxa"/>
            <w:shd w:val="clear" w:color="auto" w:fill="FFFFFF"/>
          </w:tcPr>
          <w:p w14:paraId="7B1E7321" w14:textId="77777777" w:rsidR="00784770" w:rsidRPr="009E2198" w:rsidRDefault="0090662D" w:rsidP="003858C5">
            <w:pPr>
              <w:pStyle w:val="RollCallTable"/>
            </w:pPr>
            <w:r>
              <w:t>Thomas Geisel</w:t>
            </w:r>
          </w:p>
        </w:tc>
      </w:tr>
      <w:tr w:rsidR="00773EA7" w14:paraId="67BB77B7" w14:textId="77777777" w:rsidTr="008920AC">
        <w:trPr>
          <w:cantSplit/>
        </w:trPr>
        <w:tc>
          <w:tcPr>
            <w:tcW w:w="1701" w:type="dxa"/>
            <w:shd w:val="clear" w:color="auto" w:fill="FFFFFF"/>
          </w:tcPr>
          <w:p w14:paraId="0ACD9BB9" w14:textId="77777777" w:rsidR="00784770" w:rsidRPr="009E2198" w:rsidRDefault="0090662D" w:rsidP="003858C5">
            <w:pPr>
              <w:pStyle w:val="RollCallTable"/>
            </w:pPr>
            <w:r>
              <w:t>PfE</w:t>
            </w:r>
          </w:p>
        </w:tc>
        <w:tc>
          <w:tcPr>
            <w:tcW w:w="7371" w:type="dxa"/>
            <w:shd w:val="clear" w:color="auto" w:fill="FFFFFF"/>
          </w:tcPr>
          <w:p w14:paraId="0CDBCFB1" w14:textId="77777777" w:rsidR="00784770" w:rsidRPr="009E2198" w:rsidRDefault="0090662D" w:rsidP="003858C5">
            <w:pPr>
              <w:pStyle w:val="RollCallTable"/>
            </w:pPr>
            <w:r>
              <w:t>Valérie Deloge, Aleksandar Nikolic</w:t>
            </w:r>
          </w:p>
        </w:tc>
      </w:tr>
    </w:tbl>
    <w:p w14:paraId="1DEC8D16" w14:textId="77777777" w:rsidR="00784770" w:rsidRPr="009E2198" w:rsidRDefault="00784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73EA7" w14:paraId="2537020A" w14:textId="77777777" w:rsidTr="008920AC">
        <w:trPr>
          <w:cantSplit/>
        </w:trPr>
        <w:tc>
          <w:tcPr>
            <w:tcW w:w="1701" w:type="dxa"/>
            <w:shd w:val="pct10" w:color="000000" w:fill="FFFFFF"/>
            <w:vAlign w:val="center"/>
          </w:tcPr>
          <w:p w14:paraId="16ED4429" w14:textId="77777777" w:rsidR="00784770" w:rsidRPr="009E2198" w:rsidRDefault="0090662D" w:rsidP="003858C5">
            <w:pPr>
              <w:pStyle w:val="RollCallVotes"/>
            </w:pPr>
            <w:r>
              <w:t>1</w:t>
            </w:r>
          </w:p>
        </w:tc>
        <w:tc>
          <w:tcPr>
            <w:tcW w:w="7371" w:type="dxa"/>
            <w:shd w:val="pct10" w:color="000000" w:fill="FFFFFF"/>
          </w:tcPr>
          <w:p w14:paraId="275C9118" w14:textId="77777777" w:rsidR="00784770" w:rsidRPr="009E2198" w:rsidRDefault="0090662D" w:rsidP="003858C5">
            <w:pPr>
              <w:pStyle w:val="RollCallSymbols14pt"/>
            </w:pPr>
            <w:r>
              <w:t>0</w:t>
            </w:r>
          </w:p>
        </w:tc>
      </w:tr>
      <w:tr w:rsidR="00773EA7" w14:paraId="44522181" w14:textId="77777777" w:rsidTr="008920AC">
        <w:trPr>
          <w:cantSplit/>
        </w:trPr>
        <w:tc>
          <w:tcPr>
            <w:tcW w:w="1701" w:type="dxa"/>
            <w:shd w:val="clear" w:color="auto" w:fill="FFFFFF"/>
          </w:tcPr>
          <w:p w14:paraId="4A55F593" w14:textId="77777777" w:rsidR="00784770" w:rsidRPr="009E2198" w:rsidRDefault="0090662D" w:rsidP="003858C5">
            <w:pPr>
              <w:pStyle w:val="RollCallTable"/>
            </w:pPr>
            <w:r>
              <w:t>The Left</w:t>
            </w:r>
          </w:p>
        </w:tc>
        <w:tc>
          <w:tcPr>
            <w:tcW w:w="7371" w:type="dxa"/>
            <w:shd w:val="clear" w:color="auto" w:fill="FFFFFF"/>
          </w:tcPr>
          <w:p w14:paraId="5EBAEE3A" w14:textId="77777777" w:rsidR="00784770" w:rsidRPr="009E2198" w:rsidRDefault="0090662D" w:rsidP="003858C5">
            <w:pPr>
              <w:pStyle w:val="RollCallTable"/>
            </w:pPr>
            <w:r>
              <w:t>João Oliveira</w:t>
            </w:r>
          </w:p>
        </w:tc>
      </w:tr>
    </w:tbl>
    <w:p w14:paraId="1DDC2410" w14:textId="77777777" w:rsidR="00784770" w:rsidRPr="009E2198" w:rsidRDefault="00784770" w:rsidP="00147FBF">
      <w:pPr>
        <w:pStyle w:val="Normal12a"/>
      </w:pPr>
    </w:p>
    <w:p w14:paraId="21603742" w14:textId="77777777" w:rsidR="00784770" w:rsidRPr="009E2198" w:rsidRDefault="0090662D" w:rsidP="00B735E3">
      <w:r>
        <w:t>Izmantoto apzīmējumu skaidrojums:</w:t>
      </w:r>
    </w:p>
    <w:p w14:paraId="0334905C" w14:textId="77777777" w:rsidR="00784770" w:rsidRPr="009E2198" w:rsidRDefault="0090662D" w:rsidP="003858C5">
      <w:pPr>
        <w:pStyle w:val="RollCallTabs"/>
      </w:pPr>
      <w:r>
        <w:t>+</w:t>
      </w:r>
      <w:r>
        <w:tab/>
        <w:t>:</w:t>
      </w:r>
      <w:r>
        <w:tab/>
        <w:t>par</w:t>
      </w:r>
    </w:p>
    <w:p w14:paraId="1292C170" w14:textId="77777777" w:rsidR="00784770" w:rsidRPr="009E2198" w:rsidRDefault="0090662D" w:rsidP="003858C5">
      <w:pPr>
        <w:pStyle w:val="RollCallTabs"/>
      </w:pPr>
      <w:r>
        <w:t>-</w:t>
      </w:r>
      <w:r>
        <w:tab/>
        <w:t>:</w:t>
      </w:r>
      <w:r>
        <w:tab/>
        <w:t>pret</w:t>
      </w:r>
    </w:p>
    <w:p w14:paraId="23139905" w14:textId="77777777" w:rsidR="00784770" w:rsidRPr="009E2198" w:rsidRDefault="0090662D" w:rsidP="003858C5">
      <w:pPr>
        <w:pStyle w:val="RollCallTabs"/>
      </w:pPr>
      <w:r>
        <w:t>0</w:t>
      </w:r>
      <w:r>
        <w:tab/>
        <w:t>:</w:t>
      </w:r>
      <w:r>
        <w:tab/>
        <w:t>atturas</w:t>
      </w:r>
    </w:p>
    <w:bookmarkEnd w:id="6"/>
    <w:sectPr w:rsidR="00784770" w:rsidRPr="009E2198" w:rsidSect="00017014">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61BB6" w14:textId="77777777" w:rsidR="0090662D" w:rsidRDefault="0090662D">
      <w:r>
        <w:separator/>
      </w:r>
    </w:p>
  </w:endnote>
  <w:endnote w:type="continuationSeparator" w:id="0">
    <w:p w14:paraId="7175E8E4" w14:textId="77777777" w:rsidR="0090662D" w:rsidRDefault="00906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49430" w14:textId="77777777" w:rsidR="00F65B86" w:rsidRPr="009E2198" w:rsidRDefault="0090662D" w:rsidP="00F65B86">
    <w:pPr>
      <w:pStyle w:val="EPFooter"/>
    </w:pPr>
    <w:r w:rsidRPr="009E2198">
      <w:t>PE</w:t>
    </w:r>
    <w:r w:rsidRPr="00B948C0">
      <w:rPr>
        <w:rStyle w:val="HideTWBExt"/>
      </w:rPr>
      <w:t>&lt;NoPE&gt;</w:t>
    </w:r>
    <w:r w:rsidRPr="009E2198">
      <w:t>782.453</w:t>
    </w:r>
    <w:r w:rsidRPr="00B948C0">
      <w:rPr>
        <w:rStyle w:val="HideTWBExt"/>
      </w:rPr>
      <w:t>&lt;/NoPE&gt;&lt;Version&gt;</w:t>
    </w:r>
    <w:r w:rsidRPr="009E2198">
      <w:t>v03-00</w:t>
    </w:r>
    <w:r w:rsidRPr="00B948C0">
      <w:rPr>
        <w:rStyle w:val="HideTWBExt"/>
      </w:rPr>
      <w:t>&lt;/Version&gt;</w:t>
    </w:r>
    <w:r w:rsidRPr="009E2198">
      <w:tab/>
    </w:r>
    <w:r w:rsidRPr="009E2198">
      <w:fldChar w:fldCharType="begin"/>
    </w:r>
    <w:r w:rsidRPr="009E2198">
      <w:instrText xml:space="preserve"> PAGE  \* MERGEFORMAT </w:instrText>
    </w:r>
    <w:r w:rsidRPr="009E2198">
      <w:fldChar w:fldCharType="separate"/>
    </w:r>
    <w:r w:rsidRPr="009E2198">
      <w:rPr>
        <w:noProof/>
      </w:rPr>
      <w:t>1</w:t>
    </w:r>
    <w:r w:rsidRPr="009E2198">
      <w:fldChar w:fldCharType="end"/>
    </w:r>
    <w:r w:rsidRPr="009E2198">
      <w:t>/</w:t>
    </w:r>
    <w:r w:rsidRPr="009E2198">
      <w:fldChar w:fldCharType="begin"/>
    </w:r>
    <w:r>
      <w:instrText xml:space="preserve"> NUMPAGES  \* MERGEFORMAT </w:instrText>
    </w:r>
    <w:r w:rsidRPr="009E2198">
      <w:fldChar w:fldCharType="separate"/>
    </w:r>
    <w:r w:rsidRPr="009E2198">
      <w:rPr>
        <w:noProof/>
      </w:rPr>
      <w:t>17</w:t>
    </w:r>
    <w:r w:rsidRPr="009E2198">
      <w:rPr>
        <w:noProof/>
      </w:rPr>
      <w:fldChar w:fldCharType="end"/>
    </w:r>
    <w:r w:rsidRPr="009E2198">
      <w:tab/>
    </w:r>
    <w:r w:rsidRPr="00B948C0">
      <w:rPr>
        <w:rStyle w:val="HideTWBExt"/>
      </w:rPr>
      <w:t>&lt;PathFdR&gt;</w:t>
    </w:r>
    <w:r w:rsidR="009E2198" w:rsidRPr="009E2198">
      <w:t>AD\1342281LV.docx</w:t>
    </w:r>
    <w:r w:rsidRPr="00B948C0">
      <w:rPr>
        <w:rStyle w:val="HideTWBExt"/>
      </w:rPr>
      <w:t>&lt;/PathFdR&gt;</w:t>
    </w:r>
  </w:p>
  <w:p w14:paraId="3D15CA2F" w14:textId="77777777" w:rsidR="002E2F2E" w:rsidRPr="009E2198" w:rsidRDefault="0090662D" w:rsidP="00F65B86">
    <w:pPr>
      <w:pStyle w:val="EPFooter2"/>
    </w:pPr>
    <w:r w:rsidRPr="009E2198">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0960F" w14:textId="77777777" w:rsidR="00F65B86" w:rsidRPr="009E2198" w:rsidRDefault="0090662D" w:rsidP="00F65B86">
    <w:pPr>
      <w:pStyle w:val="EPFooter"/>
    </w:pPr>
    <w:r w:rsidRPr="00B948C0">
      <w:rPr>
        <w:rStyle w:val="HideTWBExt"/>
      </w:rPr>
      <w:t>&lt;PathFdR&gt;</w:t>
    </w:r>
    <w:r w:rsidR="009E2198" w:rsidRPr="009E2198">
      <w:t>AD\1342281LV.docx</w:t>
    </w:r>
    <w:r w:rsidRPr="00B948C0">
      <w:rPr>
        <w:rStyle w:val="HideTWBExt"/>
      </w:rPr>
      <w:t>&lt;/PathFdR&gt;</w:t>
    </w:r>
    <w:r w:rsidRPr="009E2198">
      <w:tab/>
    </w:r>
    <w:r w:rsidRPr="009E2198">
      <w:fldChar w:fldCharType="begin"/>
    </w:r>
    <w:r w:rsidRPr="009E2198">
      <w:instrText xml:space="preserve"> PAGE  \* MERGEFORMAT </w:instrText>
    </w:r>
    <w:r w:rsidRPr="009E2198">
      <w:fldChar w:fldCharType="separate"/>
    </w:r>
    <w:r w:rsidRPr="009E2198">
      <w:rPr>
        <w:noProof/>
      </w:rPr>
      <w:t>7</w:t>
    </w:r>
    <w:r w:rsidRPr="009E2198">
      <w:fldChar w:fldCharType="end"/>
    </w:r>
    <w:r w:rsidRPr="009E2198">
      <w:t>/</w:t>
    </w:r>
    <w:r w:rsidRPr="009E2198">
      <w:fldChar w:fldCharType="begin"/>
    </w:r>
    <w:r>
      <w:instrText xml:space="preserve"> NUMPAGES  \* MERGEFORMAT </w:instrText>
    </w:r>
    <w:r w:rsidRPr="009E2198">
      <w:fldChar w:fldCharType="separate"/>
    </w:r>
    <w:r w:rsidRPr="009E2198">
      <w:rPr>
        <w:noProof/>
      </w:rPr>
      <w:t>16</w:t>
    </w:r>
    <w:r w:rsidRPr="009E2198">
      <w:rPr>
        <w:noProof/>
      </w:rPr>
      <w:fldChar w:fldCharType="end"/>
    </w:r>
    <w:r w:rsidRPr="009E2198">
      <w:tab/>
      <w:t>PE</w:t>
    </w:r>
    <w:r w:rsidRPr="00B948C0">
      <w:rPr>
        <w:rStyle w:val="HideTWBExt"/>
      </w:rPr>
      <w:t>&lt;NoPE&gt;</w:t>
    </w:r>
    <w:r w:rsidRPr="009E2198">
      <w:t>782.453</w:t>
    </w:r>
    <w:r w:rsidRPr="00B948C0">
      <w:rPr>
        <w:rStyle w:val="HideTWBExt"/>
      </w:rPr>
      <w:t>&lt;/NoPE&gt;&lt;Version&gt;</w:t>
    </w:r>
    <w:r w:rsidRPr="009E2198">
      <w:t>v03-00</w:t>
    </w:r>
    <w:r w:rsidRPr="00B948C0">
      <w:rPr>
        <w:rStyle w:val="HideTWBExt"/>
      </w:rPr>
      <w:t>&lt;/Version&gt;</w:t>
    </w:r>
  </w:p>
  <w:p w14:paraId="5CC97233" w14:textId="77777777" w:rsidR="002E2F2E" w:rsidRPr="009E2198" w:rsidRDefault="0090662D" w:rsidP="00F65B86">
    <w:pPr>
      <w:pStyle w:val="EPFooter2"/>
    </w:pPr>
    <w:r w:rsidRPr="009E2198">
      <w:tab/>
    </w:r>
    <w:r w:rsidRPr="009E2198">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2876" w14:textId="77777777" w:rsidR="00F65B86" w:rsidRPr="009E2198" w:rsidRDefault="0090662D" w:rsidP="00F65B86">
    <w:pPr>
      <w:pStyle w:val="EPFooter"/>
    </w:pPr>
    <w:r w:rsidRPr="00B948C0">
      <w:rPr>
        <w:rStyle w:val="HideTWBExt"/>
      </w:rPr>
      <w:t>&lt;PathFdR&gt;</w:t>
    </w:r>
    <w:r w:rsidR="009E2198" w:rsidRPr="009E2198">
      <w:t>AD\1342281LV.docx</w:t>
    </w:r>
    <w:r w:rsidRPr="00B948C0">
      <w:rPr>
        <w:rStyle w:val="HideTWBExt"/>
      </w:rPr>
      <w:t>&lt;/PathFdR&gt;</w:t>
    </w:r>
    <w:r w:rsidRPr="009E2198">
      <w:tab/>
    </w:r>
    <w:r w:rsidRPr="009E2198">
      <w:tab/>
      <w:t>PE</w:t>
    </w:r>
    <w:r w:rsidRPr="00B948C0">
      <w:rPr>
        <w:rStyle w:val="HideTWBExt"/>
      </w:rPr>
      <w:t>&lt;NoPE&gt;</w:t>
    </w:r>
    <w:r w:rsidRPr="009E2198">
      <w:t>782.453</w:t>
    </w:r>
    <w:r w:rsidRPr="00B948C0">
      <w:rPr>
        <w:rStyle w:val="HideTWBExt"/>
      </w:rPr>
      <w:t>&lt;/NoPE&gt;&lt;Version&gt;</w:t>
    </w:r>
    <w:r w:rsidRPr="009E2198">
      <w:t>v03-00</w:t>
    </w:r>
    <w:r w:rsidRPr="00B948C0">
      <w:rPr>
        <w:rStyle w:val="HideTWBExt"/>
      </w:rPr>
      <w:t>&lt;/Version&gt;</w:t>
    </w:r>
  </w:p>
  <w:p w14:paraId="6FA7FDD2" w14:textId="77777777" w:rsidR="002E2F2E" w:rsidRPr="009E2198" w:rsidRDefault="0090662D" w:rsidP="00F65B86">
    <w:pPr>
      <w:pStyle w:val="EPFooter2"/>
    </w:pPr>
    <w:r w:rsidRPr="009E2198">
      <w:t>LV</w:t>
    </w:r>
    <w:r w:rsidRPr="009E2198">
      <w:tab/>
    </w:r>
    <w:r w:rsidRPr="009E2198">
      <w:rPr>
        <w:b w:val="0"/>
        <w:i/>
        <w:color w:val="C0C0C0"/>
        <w:sz w:val="22"/>
      </w:rPr>
      <w:t>Vienoti daudzveidībā</w:t>
    </w:r>
    <w:r w:rsidRPr="009E2198">
      <w:tab/>
      <w:t>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6BF80" w14:textId="77777777" w:rsidR="00E61C10" w:rsidRPr="009E2198" w:rsidRDefault="0090662D">
      <w:r w:rsidRPr="009E2198">
        <w:separator/>
      </w:r>
    </w:p>
  </w:footnote>
  <w:footnote w:type="continuationSeparator" w:id="0">
    <w:p w14:paraId="6C79D950" w14:textId="77777777" w:rsidR="00E61C10" w:rsidRPr="009E2198" w:rsidRDefault="0090662D">
      <w:r w:rsidRPr="009E2198">
        <w:continuationSeparator/>
      </w:r>
    </w:p>
  </w:footnote>
  <w:footnote w:id="1">
    <w:p w14:paraId="5398C3C7" w14:textId="77777777" w:rsidR="00217B7E" w:rsidRPr="009E2198" w:rsidRDefault="0090662D" w:rsidP="00217B7E">
      <w:pPr>
        <w:pStyle w:val="FootnoteText"/>
      </w:pPr>
      <w:r>
        <w:rPr>
          <w:rStyle w:val="FootnoteReference"/>
        </w:rPr>
        <w:footnoteRef/>
      </w:r>
      <w:r>
        <w:t xml:space="preserve"> Komisijas dienestu 2025. gada 20. aprīļa darba dokuments “Pētniecības un inovācijas pamatprogrammas “Apvārsnis Eiropa” (2021–2024) starpposma izvērtējums” (SWD(2025)0110).</w:t>
      </w:r>
    </w:p>
  </w:footnote>
  <w:footnote w:id="2">
    <w:p w14:paraId="269B9843" w14:textId="6C40BBFD" w:rsidR="00BC5686" w:rsidRPr="009E2198" w:rsidRDefault="0090662D" w:rsidP="00BC5686">
      <w:pPr>
        <w:pStyle w:val="FootnoteText"/>
      </w:pPr>
      <w:r>
        <w:rPr>
          <w:rStyle w:val="FootnoteReference"/>
        </w:rPr>
        <w:footnoteRef/>
      </w:r>
      <w:r>
        <w:t xml:space="preserve"> Eiropas Parlamenta un Padomes Regula (ES, </w:t>
      </w:r>
      <w:r>
        <w:rPr>
          <w:i/>
        </w:rPr>
        <w:t>Euratom</w:t>
      </w:r>
      <w:r>
        <w:t>) 2024/2509 (2024. gada 23. septembris) par finanšu noteikumiem, ko piemēro Savienības vispārējam budžetam (OV L, 2024/2509, ELI: </w:t>
      </w:r>
      <w:hyperlink r:id="rId1" w:tgtFrame="_blank" w:tooltip="Nodrošina piekļuvi šim dokumentam pēc tā ELI URI." w:history="1">
        <w:r w:rsidR="00BC5686">
          <w:rPr>
            <w:rStyle w:val="Hyperlink"/>
          </w:rPr>
          <w:t>http://data.europa.eu/eli/reg/2024/2509/oj</w:t>
        </w:r>
      </w:hyperlink>
      <w:r>
        <w:t>).</w:t>
      </w:r>
    </w:p>
    <w:p w14:paraId="3A2D1C8E" w14:textId="77777777" w:rsidR="00BC5686" w:rsidRPr="009E2198" w:rsidRDefault="00BC5686">
      <w:pPr>
        <w:pStyle w:val="FootnoteText"/>
      </w:pPr>
    </w:p>
  </w:footnote>
  <w:footnote w:id="3">
    <w:p w14:paraId="6FAD41BC" w14:textId="57C98F51" w:rsidR="00017014" w:rsidRPr="009E2198" w:rsidRDefault="0090662D" w:rsidP="00017014">
      <w:pPr>
        <w:pStyle w:val="FootnoteText"/>
      </w:pPr>
      <w:r>
        <w:rPr>
          <w:rStyle w:val="FootnoteReference"/>
        </w:rPr>
        <w:footnoteRef/>
      </w:r>
      <w:r>
        <w:t xml:space="preserve"> Iestāžu nolīgums (2021. gada 20. maijs) starp Eiropas Parlamentu, Eiropas Savienības Padomi un Eiropas Komisiju par obligātu pārredzamības reģistru (OV L 207, 11.6.2021., 1. lpp., ELI: </w:t>
      </w:r>
      <w:hyperlink r:id="rId2" w:tooltip="http://data.europa.eu/eli/agree_interinstit/2021/611/oj" w:history="1">
        <w:r w:rsidR="00017014">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88E85" w14:textId="77777777" w:rsidR="00EB7FFB" w:rsidRDefault="00EB7F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647FF" w14:textId="77777777" w:rsidR="00EB7FFB" w:rsidRDefault="00EB7F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D3819" w14:textId="77777777" w:rsidR="00EB7FFB" w:rsidRDefault="00EB7F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F13283C"/>
    <w:multiLevelType w:val="hybridMultilevel"/>
    <w:tmpl w:val="5B46F140"/>
    <w:lvl w:ilvl="0" w:tplc="0532ACC4">
      <w:start w:val="1"/>
      <w:numFmt w:val="decimal"/>
      <w:lvlText w:val="%1."/>
      <w:lvlJc w:val="left"/>
      <w:pPr>
        <w:ind w:left="1080" w:hanging="720"/>
      </w:pPr>
    </w:lvl>
    <w:lvl w:ilvl="1" w:tplc="522E4652">
      <w:start w:val="1"/>
      <w:numFmt w:val="lowerLetter"/>
      <w:lvlText w:val="%2."/>
      <w:lvlJc w:val="left"/>
      <w:pPr>
        <w:ind w:left="1440" w:hanging="360"/>
      </w:pPr>
    </w:lvl>
    <w:lvl w:ilvl="2" w:tplc="4B6A7CEC">
      <w:start w:val="1"/>
      <w:numFmt w:val="lowerRoman"/>
      <w:lvlText w:val="%3."/>
      <w:lvlJc w:val="right"/>
      <w:pPr>
        <w:ind w:left="2160" w:hanging="180"/>
      </w:pPr>
    </w:lvl>
    <w:lvl w:ilvl="3" w:tplc="F6CA33DE">
      <w:start w:val="1"/>
      <w:numFmt w:val="decimal"/>
      <w:lvlText w:val="%4."/>
      <w:lvlJc w:val="left"/>
      <w:pPr>
        <w:ind w:left="2880" w:hanging="360"/>
      </w:pPr>
    </w:lvl>
    <w:lvl w:ilvl="4" w:tplc="15107788">
      <w:start w:val="1"/>
      <w:numFmt w:val="lowerLetter"/>
      <w:lvlText w:val="%5."/>
      <w:lvlJc w:val="left"/>
      <w:pPr>
        <w:ind w:left="3600" w:hanging="360"/>
      </w:pPr>
    </w:lvl>
    <w:lvl w:ilvl="5" w:tplc="297CE11E">
      <w:start w:val="1"/>
      <w:numFmt w:val="lowerRoman"/>
      <w:lvlText w:val="%6."/>
      <w:lvlJc w:val="right"/>
      <w:pPr>
        <w:ind w:left="4320" w:hanging="180"/>
      </w:pPr>
    </w:lvl>
    <w:lvl w:ilvl="6" w:tplc="D24C6C7C">
      <w:start w:val="1"/>
      <w:numFmt w:val="decimal"/>
      <w:lvlText w:val="%7."/>
      <w:lvlJc w:val="left"/>
      <w:pPr>
        <w:ind w:left="5040" w:hanging="360"/>
      </w:pPr>
    </w:lvl>
    <w:lvl w:ilvl="7" w:tplc="4D948568">
      <w:start w:val="1"/>
      <w:numFmt w:val="lowerLetter"/>
      <w:lvlText w:val="%8."/>
      <w:lvlJc w:val="left"/>
      <w:pPr>
        <w:ind w:left="5760" w:hanging="360"/>
      </w:pPr>
    </w:lvl>
    <w:lvl w:ilvl="8" w:tplc="67EAFDB0">
      <w:start w:val="1"/>
      <w:numFmt w:val="lowerRoman"/>
      <w:lvlText w:val="%9."/>
      <w:lvlJc w:val="right"/>
      <w:pPr>
        <w:ind w:left="6480" w:hanging="180"/>
      </w:pPr>
    </w:lvl>
  </w:abstractNum>
  <w:num w:numId="1" w16cid:durableId="1430813154">
    <w:abstractNumId w:val="9"/>
  </w:num>
  <w:num w:numId="2" w16cid:durableId="2063093858">
    <w:abstractNumId w:val="9"/>
  </w:num>
  <w:num w:numId="3" w16cid:durableId="361172421">
    <w:abstractNumId w:val="7"/>
  </w:num>
  <w:num w:numId="4" w16cid:durableId="1058170178">
    <w:abstractNumId w:val="7"/>
  </w:num>
  <w:num w:numId="5" w16cid:durableId="762412137">
    <w:abstractNumId w:val="6"/>
  </w:num>
  <w:num w:numId="6" w16cid:durableId="1160076576">
    <w:abstractNumId w:val="6"/>
  </w:num>
  <w:num w:numId="7" w16cid:durableId="1498111345">
    <w:abstractNumId w:val="5"/>
  </w:num>
  <w:num w:numId="8" w16cid:durableId="1460683345">
    <w:abstractNumId w:val="5"/>
  </w:num>
  <w:num w:numId="9" w16cid:durableId="410003738">
    <w:abstractNumId w:val="4"/>
  </w:num>
  <w:num w:numId="10" w16cid:durableId="1726365935">
    <w:abstractNumId w:val="4"/>
  </w:num>
  <w:num w:numId="11" w16cid:durableId="328140655">
    <w:abstractNumId w:val="8"/>
  </w:num>
  <w:num w:numId="12" w16cid:durableId="1170947739">
    <w:abstractNumId w:val="8"/>
  </w:num>
  <w:num w:numId="13" w16cid:durableId="474568266">
    <w:abstractNumId w:val="3"/>
  </w:num>
  <w:num w:numId="14" w16cid:durableId="1462729716">
    <w:abstractNumId w:val="3"/>
  </w:num>
  <w:num w:numId="15" w16cid:durableId="1651712676">
    <w:abstractNumId w:val="2"/>
  </w:num>
  <w:num w:numId="16" w16cid:durableId="207960257">
    <w:abstractNumId w:val="2"/>
  </w:num>
  <w:num w:numId="17" w16cid:durableId="840856509">
    <w:abstractNumId w:val="1"/>
  </w:num>
  <w:num w:numId="18" w16cid:durableId="1568147373">
    <w:abstractNumId w:val="1"/>
  </w:num>
  <w:num w:numId="19" w16cid:durableId="1116365068">
    <w:abstractNumId w:val="0"/>
  </w:num>
  <w:num w:numId="20" w16cid:durableId="1814253980">
    <w:abstractNumId w:val="0"/>
  </w:num>
  <w:num w:numId="21" w16cid:durableId="566452779">
    <w:abstractNumId w:val="9"/>
  </w:num>
  <w:num w:numId="22" w16cid:durableId="1677267131">
    <w:abstractNumId w:val="7"/>
  </w:num>
  <w:num w:numId="23" w16cid:durableId="1031299402">
    <w:abstractNumId w:val="6"/>
  </w:num>
  <w:num w:numId="24" w16cid:durableId="372849107">
    <w:abstractNumId w:val="5"/>
  </w:num>
  <w:num w:numId="25" w16cid:durableId="1909460531">
    <w:abstractNumId w:val="4"/>
  </w:num>
  <w:num w:numId="26" w16cid:durableId="1494368115">
    <w:abstractNumId w:val="8"/>
  </w:num>
  <w:num w:numId="27" w16cid:durableId="1745910525">
    <w:abstractNumId w:val="3"/>
  </w:num>
  <w:num w:numId="28" w16cid:durableId="1362584610">
    <w:abstractNumId w:val="2"/>
  </w:num>
  <w:num w:numId="29" w16cid:durableId="1495027880">
    <w:abstractNumId w:val="1"/>
  </w:num>
  <w:num w:numId="30" w16cid:durableId="1793591395">
    <w:abstractNumId w:val="0"/>
  </w:num>
  <w:num w:numId="31" w16cid:durableId="397827717">
    <w:abstractNumId w:val="9"/>
  </w:num>
  <w:num w:numId="32" w16cid:durableId="301273040">
    <w:abstractNumId w:val="7"/>
  </w:num>
  <w:num w:numId="33" w16cid:durableId="1726218674">
    <w:abstractNumId w:val="6"/>
  </w:num>
  <w:num w:numId="34" w16cid:durableId="129791181">
    <w:abstractNumId w:val="5"/>
  </w:num>
  <w:num w:numId="35" w16cid:durableId="1382442453">
    <w:abstractNumId w:val="4"/>
  </w:num>
  <w:num w:numId="36" w16cid:durableId="1605922271">
    <w:abstractNumId w:val="8"/>
  </w:num>
  <w:num w:numId="37" w16cid:durableId="1559628368">
    <w:abstractNumId w:val="3"/>
  </w:num>
  <w:num w:numId="38" w16cid:durableId="1839420671">
    <w:abstractNumId w:val="2"/>
  </w:num>
  <w:num w:numId="39" w16cid:durableId="1831142025">
    <w:abstractNumId w:val="1"/>
  </w:num>
  <w:num w:numId="40" w16cid:durableId="54477856">
    <w:abstractNumId w:val="0"/>
  </w:num>
  <w:num w:numId="41" w16cid:durableId="4881390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UTHORMFMNU" w:val=" 1"/>
    <w:docVar w:name="CJMNU" w:val="1"/>
    <w:docVar w:name="CODEMNU" w:val=" 3"/>
    <w:docVar w:name="COM2KEY" w:val="ITRE"/>
    <w:docVar w:name="COMKEY" w:val="BUDG"/>
    <w:docVar w:name="CONTRIBUTIONMNU" w:val=" 1"/>
    <w:docVar w:name="CopyToNetwork" w:val="-1"/>
    <w:docVar w:name="DOCDT" w:val="19/03/2026"/>
    <w:docVar w:name="FONCTION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734988 HideTWBExt;}{\*\cs18 \additive \v\f1\fs20\cf15 _x000d__x000a_\spriority0 \styrsid16734988 HideTWBInt;}{\s19\ql \li0\ri0\nowidctlpar\wrapdefault\aspalpha\aspnum\faauto\adjustright\rin0\lin0\itap0 \rtlch\fcs1 \af0\afs20\alang1025 \ltrch\fcs0 \b\fs24\lang2057\langfe2057\cgrid\langnp2057\langfenp2057 _x000d__x000a_\sbasedon0 \snext19 \spriority0 \styrsid16734988 NormalBold;}{\s20\ql \li0\ri0\sa120\nowidctlpar\wrapdefault\aspalpha\aspnum\faauto\adjustright\rin0\lin0\itap0 \rtlch\fcs1 \af0\afs20\alang1025 \ltrch\fcs0 _x000d__x000a_\fs24\lang2057\langfe2057\cgrid\langnp2057\langfenp2057 \sbasedon0 \snext20 \spriority0 \styrsid16734988 Normal6a;}{\s21\qc \li0\ri0\sa240\nowidctlpar\wrapdefault\aspalpha\aspnum\faauto\adjustright\rin0\lin0\itap0 \rtlch\fcs1 \af0\afs20\alang1025 _x000d__x000a_\ltrch\fcs0 \i\fs24\lang2057\langfe2057\cgrid\langnp2057\langfenp2057 \sbasedon0 \snext21 \spriority0 \styrsid1673498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6734988 AmNumberTabs;}{\s23\ql \li0\ri0\sa240\nowidctlpar\wrapdefault\aspalpha\aspnum\faauto\adjustright\rin0\lin0\itap0 \rtlch\fcs1 _x000d__x000a_\af0\afs20\alang1025 \ltrch\fcs0 \i\fs24\lang2057\langfe2057\cgrid\langnp2057\langfenp2057 \sbasedon0 \snext23 \spriority0 \styrsid16734988 AmJustText;}{_x000d__x000a_\s24\qc \li0\ri0\sb240\sa240\nowidctlpar\wrapdefault\aspalpha\aspnum\faauto\adjustright\rin0\lin0\itap0 \rtlch\fcs1 \af0\afs20\alang1025 \ltrch\fcs0 \i\fs24\lang2057\langfe2057\cgrid\langnp2057\langfenp2057 _x000d__x000a_\sbasedon0 \snext24 \spriority0 \styrsid16734988 AmCrossRef;}{\s25\qc \li0\ri0\sb240\sa240\keepn\nowidctlpar\wrapdefault\aspalpha\aspnum\faauto\adjustright\rin0\lin0\itap0 \rtlch\fcs1 \af0\afs20\alang1025 \ltrch\fcs0 _x000d__x000a_\i\fs24\lang2057\langfe2057\cgrid\langnp2057\langfenp2057 \sbasedon0 \snext23 \spriority0 \styrsid16734988 AmJustTitle;}{\s26\ql \li0\ri0\sb240\nowidctlpar\wrapdefault\aspalpha\aspnum\faauto\adjustright\rin0\lin0\itap0 \rtlch\fcs1 \af0\afs20\alang1025 _x000d__x000a_\ltrch\fcs0 \b\fs24\lang2057\langfe2057\cgrid\langnp2057\langfenp2057 \sbasedon0 \snext26 \spriority0 \styrsid16734988 NormalBold12b;}}{\*\rsidtbl \rsid24658\rsid223860\rsid735077\rsid1718133\rsid2892074\rsid3565327\rsid4666813\rsid6641733\rsid7823322_x000d__x000a_\rsid8456582\rsid9636012\rsid10377208\rsid11215221\rsid11549030\rsid12154954\rsid13179141\rsid14382809\rsid14424199\rsid15204470\rsid15285974\rsid15950462\rsid16324206\rsid16662270\rsid16734988}{\mmathPr\mmathFont34\mbrkBin0\mbrkBinSub0\msmallFrac0_x000d__x000a_\mdispDef1\mlMargin0\mrMargin0\mdefJc1\mwrapIndent1440\mintLim0\mnaryLim1}{\info{\author ANDRINO TIZON Rosalina}{\operator ANDRINO TIZON Rosalina}{\creatim\yr2026\mo4\dy23\hr7\min51}{\revtim\yr2026\mo4\dy23\hr7\min51}{\version1}{\edmins0}{\nofpages1}_x000d__x000a_{\nofwords102}{\nofchars599}{\nofcharsws696}{\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734988\newtblstyruls\nogrowautofit\usenormstyforlist\noindnmbrts\felnbrelev\nocxsptable\indrlsweleven\noafcnsttbl\afelev\utinl\hwelev\spltpgpar\notcvasp\notbrkcnstfrctbl\notvatxbx\krnprsnet\cachedcolbal _x000d__x000a_\nouicompat \fet0{\*\wgrffmtfilter 013f}\nofeaturethrottle1\ilfomacatclnup0{\*\template C:\\Users\\randrino\\AppData\\Local\\Temp\\Blank1.dotx}{\*\ftnsep \ltrpar \pard\plain \ltrpar_x000d__x000a_\ql \li0\ri0\widctlpar\wrapdefault\aspalpha\aspnum\faauto\adjustright\rin0\lin0\itap0 \rtlch\fcs1 \af0\afs20\alang1025 \ltrch\fcs0 \fs24\lang2057\langfe2057\cgrid\langnp2057\langfenp2057 {\rtlch\fcs1 \af0 \ltrch\fcs0 \insrsid8456582 \chftnsep _x000d__x000a_\par }}{\*\ftnsepc \ltrpar \pard\plain \ltrpar\ql \li0\ri0\widctlpar\wrapdefault\aspalpha\aspnum\faauto\adjustright\rin0\lin0\itap0 \rtlch\fcs1 \af0\afs20\alang1025 \ltrch\fcs0 \fs24\lang2057\langfe2057\cgrid\langnp2057\langfenp2057 {\rtlch\fcs1 \af0 _x000d__x000a_\ltrch\fcs0 \insrsid8456582 \chftnsepc _x000d__x000a_\par }}{\*\aftnsep \ltrpar \pard\plain \ltrpar\ql \li0\ri0\widctlpar\wrapdefault\aspalpha\aspnum\faauto\adjustright\rin0\lin0\itap0 \rtlch\fcs1 \af0\afs20\alang1025 \ltrch\fcs0 \fs24\lang2057\langfe2057\cgrid\langnp2057\langfenp2057 {\rtlch\fcs1 \af0 _x000d__x000a_\ltrch\fcs0 \insrsid8456582 \chftnsep _x000d__x000a_\par }}{\*\aftnsepc \ltrpar \pard\plain \ltrpar\ql \li0\ri0\widctlpar\wrapdefault\aspalpha\aspnum\faauto\adjustright\rin0\lin0\itap0 \rtlch\fcs1 \af0\afs20\alang1025 \ltrch\fcs0 \fs24\lang2057\langfe2057\cgrid\langnp2057\langfenp2057 {\rtlch\fcs1 \af0 _x000d__x000a_\ltrch\fcs0 \insrsid84565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7366698 \rtlch\fcs1 _x000d__x000a_\af0\afs20\alang1025 \ltrch\fcs0 \b\fs24\lang2057\langfe2057\cgrid\langnp2057\langfenp2057 {\rtlch\fcs1 \af0 \ltrch\fcs0 \cs17\b0\v\fs20\cf9\lang1024\langfe1024\loch\af1\hich\af1\dbch\af31501\noproof\insrsid16734988\charrsid10037553 {\*\bkmkstart restart}_x000d__x000a_\hich\af1\dbch\af31501\loch\f1 &lt;Amend&gt;}{\rtlch\fcs1 \af0 \ltrch\fcs0 \insrsid16734988\charrsid10037553 Amendment\tab \tab }{\rtlch\fcs1 \af0 \ltrch\fcs0 _x000d__x000a_\cs17\b0\v\fs20\cf9\lang1024\langfe1024\loch\af1\hich\af1\dbch\af31501\noproof\insrsid16734988\charrsid10037553 \hich\af1\dbch\af31501\loch\f1 &lt;NumAm&gt;}{\rtlch\fcs1 \af0 \ltrch\fcs0 \insrsid16734988\charrsid10037553 #}{\rtlch\fcs1 \af0 \ltrch\fcs0 _x000d__x000a_\cs18\v\f1\fs20\cf15\insrsid16734988\charrsid10037553 ENMIENDA@NRAM@}{\rtlch\fcs1 \af0 \ltrch\fcs0 \insrsid16734988\charrsid10037553 #}{\rtlch\fcs1 \af0 \ltrch\fcs0 _x000d__x000a_\cs17\b0\v\fs20\cf9\lang1024\langfe1024\loch\af1\hich\af1\dbch\af31501\noproof\insrsid16734988\charrsid10037553 \hich\af1\dbch\af31501\loch\f1 &lt;/NumAm&gt;}{\rtlch\fcs1 \af0 \ltrch\fcs0 \insrsid16734988\charrsid10037553 _x000d__x000a_\par }\pard\plain \ltrpar\s26\ql \li0\ri0\sb240\keepn\nowidctlpar\wrapdefault\aspalpha\aspnum\faauto\adjustright\rin0\lin0\itap0\pararsid7366698 \rtlch\fcs1 \af0\afs20\alang1025 \ltrch\fcs0 \b\fs24\lang2057\langfe2057\cgrid\langnp2057\langfenp2057 {_x000d__x000a_\rtlch\fcs1 \af0 \ltrch\fcs0 \cs17\b0\v\fs20\cf9\lang1024\langfe1024\loch\af1\hich\af1\dbch\af31501\noproof\insrsid16734988\charrsid10037553 \hich\af1\dbch\af31501\loch\f1 &lt;DocAmend&gt;}{\rtlch\fcs1 \af0 \ltrch\fcs0 \insrsid16734988\charrsid10037553 #}{_x000d__x000a_\rtlch\fcs1 \af0 \ltrch\fcs0 \cs18\v\f1\fs20\cf15\insrsid16734988\charrsid10037553 MNU[PROPCOM][PROPCOUNC]@CHOICE@TITLEMNU}{\rtlch\fcs1 \af0 \ltrch\fcs0 \insrsid16734988\charrsid10037553 ##}{\rtlch\fcs1 \af0 \ltrch\fcs0 _x000d__x000a_\cs18\v\f1\fs20\cf15\insrsid16734988\charrsid10037553 MNU[AMACTYES][NOTAPP]@CHOICE@AMACTMNU}{\rtlch\fcs1 \af0 \ltrch\fcs0 \insrsid16734988\charrsid10037553 #}{\rtlch\fcs1 \af0 \ltrch\fcs0 _x000d__x000a_\cs17\b0\v\fs20\cf9\lang1024\langfe1024\loch\af1\hich\af1\dbch\af31501\noproof\insrsid16734988\charrsid10037553 \hich\af1\dbch\af31501\loch\f1 &lt;/DocAmend&gt;}{\rtlch\fcs1 \af0 \ltrch\fcs0 \insrsid16734988\charrsid10037553 _x000d__x000a_\par }\pard\plain \ltrpar\s19\ql \li0\ri0\nowidctlpar\wrapdefault\aspalpha\aspnum\faauto\adjustright\rin0\lin0\itap0\pararsid7366698 \rtlch\fcs1 \af0\afs20\alang1025 \ltrch\fcs0 \b\fs24\lang2057\langfe2057\cgrid\langnp2057\langfenp2057 {\rtlch\fcs1 \af0 _x000d__x000a_\ltrch\fcs0 \cs17\b0\v\fs20\cf9\lang1024\langfe1024\loch\af1\hich\af1\dbch\af31501\noproof\insrsid16734988\charrsid10037553 \hich\af1\dbch\af31501\loch\f1 &lt;Article&gt;}{\rtlch\fcs1 \af0 \ltrch\fcs0 \insrsid16734988\charrsid10037553 #}{\rtlch\fcs1 \af0 _x000d__x000a_\ltrch\fcs0 \cs18\v\f1\fs20\cf15\insrsid16734988\charrsid10037553 MNU[AMACTPARTYES][AMACTPARTNO]@CHOICE@AMACTMNU}{\rtlch\fcs1 \af0 \ltrch\fcs0 \insrsid16734988\charrsid10037553 #}{\rtlch\fcs1 \af0 \ltrch\fcs0 _x000d__x000a_\cs17\b0\v\fs20\cf9\lang1024\langfe1024\loch\af1\hich\af1\dbch\af31501\noproof\insrsid16734988\charrsid10037553 \hich\af1\dbch\af31501\loch\f1 &lt;/Article&gt;}{\rtlch\fcs1 \af0 \ltrch\fcs0 \insrsid16734988\charrsid10037553 _x000d__x000a_\par }\pard\plain \ltrpar\ql \li0\ri0\keepn\widctlpar\wrapdefault\aspalpha\aspnum\faauto\adjustright\rin0\lin0\itap0\pararsid7366698 \rtlch\fcs1 \af0\afs20\alang1025 \ltrch\fcs0 \fs24\lang2057\langfe2057\cgrid\langnp2057\langfenp2057 {\rtlch\fcs1 \af0 _x000d__x000a_\ltrch\fcs0 \cs17\v\fs20\cf9\lang1024\langfe1024\loch\af1\hich\af1\dbch\af31501\noproof\insrsid16734988\charrsid10037553 \hich\af1\dbch\af31501\loch\f1 &lt;DocAmend2&gt;&lt;OptDel&gt;}{\rtlch\fcs1 \af0 \ltrch\fcs0 \insrsid16734988\charrsid10037553 #}{\rtlch\fcs1 _x000d__x000a_\af0 \ltrch\fcs0 \cs18\v\f1\fs20\cf15\insrsid16734988\charrsid10037553 MNU[OPTNRACTYES][NOTAPP]@CHOICE@AMACTMNU}{\rtlch\fcs1 \af0 \ltrch\fcs0 \insrsid16734988\charrsid10037553 #}{\rtlch\fcs1 \af0 \ltrch\fcs0 _x000d__x000a_\cs17\v\fs20\cf9\lang1024\langfe1024\loch\af1\hich\af1\dbch\af31501\noproof\insrsid16734988\charrsid10037553 \hich\af1\dbch\af31501\loch\f1 &lt;/OptDel&gt;&lt;/DocAmend2&gt;}{\rtlch\fcs1 \af0 \ltrch\fcs0 \insrsid16734988\charrsid10037553 _x000d__x000a_\par }\pard \ltrpar\ql \li0\ri0\widctlpar\wrapdefault\aspalpha\aspnum\faauto\adjustright\rin0\lin0\itap0\pararsid7366698 {\rtlch\fcs1 \af0 \ltrch\fcs0 \cs17\v\fs20\cf9\lang1024\langfe1024\loch\af1\hich\af1\dbch\af31501\noproof\insrsid16734988\charrsid10037553 _x000d__x000a_\hich\af1\dbch\af31501\loch\f1 &lt;Article2&gt;&lt;OptDel&gt;}{\rtlch\fcs1 \af0 \ltrch\fcs0 \insrsid16734988\charrsid10037553 #}{\rtlch\fcs1 \af0 \ltrch\fcs0 \cs18\v\f1\fs20\cf15\insrsid16734988\charrsid10037553 MNU[OPTACTPARTYES][NOTAPP]@CHOICE@AMACTMNU}{_x000d__x000a_\rtlch\fcs1 \af0 \ltrch\fcs0 \insrsid16734988\charrsid10037553 #}{\rtlch\fcs1 \af0 \ltrch\fcs0 \cs17\v\fs20\cf9\lang1024\langfe1024\loch\af1\hich\af1\dbch\af31501\noproof\insrsid16734988\charrsid10037553 \hich\af1\dbch\af31501\loch\f1 &lt;/OptDel&gt;&lt;/Article2&gt;_x000d__x000a_}{\rtlch\fcs1 \af0 \ltrch\fcs0 \insrsid16734988\charrsid10037553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insrsid16734988\charrsid10037553 \cell }\pard \ltrpar\ql \li0\ri0\widctlpar\intbl\wrapdefault\aspalpha\aspnum\faauto\adjustright\rin0\lin0 {\rtlch\fcs1 \af0 \ltrch\fcs0 \insrsid16734988\charrsid10037553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1\qc \li0\ri0\sa240\keepn\nowidctlpar\intbl\wrapdefault\aspalpha\aspnum\faauto\adjustright\rin0\lin0\pararsid11085200 \rtlch\fcs1 \af0\afs20\alang1025 \ltrch\fcs0 \i\fs24\lang2057\langfe2057\cgrid\langnp2057\langfenp2057 {_x000d__x000a_\rtlch\fcs1 \af0 \ltrch\fcs0 \insrsid16734988\charrsid10037553 #}{\rtlch\fcs1 \af0 \ltrch\fcs0 \cs18\v\f1\fs20\cf15\insrsid16734988\charrsid10037553 MNU[OPTLEFTAMACT][LEFTPROP]@CHOICE@AMACTMNU}{\rtlch\fcs1 \af0 \ltrch\fcs0 _x000d__x000a_\insrsid16734988\charrsid10037553 #\cell Amendment\cell }\pard\plain \ltrpar\ql \li0\ri0\widctlpar\intbl\wrapdefault\aspalpha\aspnum\faauto\adjustright\rin0\lin0 \rtlch\fcs1 \af0\afs20\alang1025 \ltrch\fcs0 _x000d__x000a_\fs24\lang2057\langfe2057\cgrid\langnp2057\langfenp2057 {\rtlch\fcs1 \af0 \ltrch\fcs0 \insrsid16734988\charrsid10037553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20\ql \li0\ri0\sa120\nowidctlpar\intbl\wrapdefault\aspalpha\aspnum\faauto\adjustright\rin0\lin0\pararsid11085200 \rtlch\fcs1 \af0\afs20\alang1025 \ltrch\fcs0 \fs24\lang2057\langfe2057\cgrid\langnp2057\langfenp2057 {\rtlch\fcs1 \af0 _x000d__x000a_\ltrch\fcs0 \insrsid16734988\charrsid10037553 #}{\rtlch\fcs1 \af0 \ltrch\fcs0 \cs18\v\f1\fs20\cf15\insrsid16734988\charrsid10037553 MNU[TEXTLEVA][TEXTLOTHER]@CHOICE@TEXTRMNU}{\rtlch\fcs1 \af0 \ltrch\fcs0 \insrsid16734988\charrsid10037553 #\cell #}{_x000d__x000a_\rtlch\fcs1 \af0 \ltrch\fcs0 \cs18\v\f1\fs20\cf15\insrsid16734988\charrsid10037553 MNU[TEXTREVA][TEXTROTHER]@CHOICE@TEXTRMNU}{\rtlch\fcs1 \af0 \ltrch\fcs0 \insrsid16734988\charrsid10037553 #\cell }\pard\plain \ltrpar_x000d__x000a_\ql \li0\ri0\widctlpar\intbl\wrapdefault\aspalpha\aspnum\faauto\adjustright\rin0\lin0 \rtlch\fcs1 \af0\afs20\alang1025 \ltrch\fcs0 \fs24\lang2057\langfe2057\cgrid\langnp2057\langfenp2057 {\rtlch\fcs1 \af0 \ltrch\fcs0 \insrsid16734988\charrsid10037553 _x000d__x000a_\trowd \lastrow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4876\clshdrawnil\clhidemark \cellx4536\clvertalt\clbrdrt\brdrtbl \clbrdrl\brdrtbl \clbrdrb\brdrtbl \clbrdrr\brdrtbl \cltxlrtb\clftsWidth3\clwWidth4876\clshdrawnil\clhidemark _x000d__x000a_\cellx9412\row }\pard\plain \ltrpar\s24\qc \li0\ri0\sb240\sa240\nowidctlpar\wrapdefault\aspalpha\aspnum\faauto\adjustright\rin0\lin0\itap0\pararsid7366698 \rtlch\fcs1 \af0\afs20\alang1025 \ltrch\fcs0 _x000d__x000a_\i\fs24\lang2057\langfe2057\cgrid\langnp2057\langfenp2057 {\rtlch\fcs1 \af0 \ltrch\fcs0 \cs17\i0\v\fs20\cf9\lang1024\langfe1024\loch\af1\hich\af1\dbch\af31501\noproof\insrsid16734988\charrsid10037553 \hich\af1\dbch\af31501\loch\f1 &lt;OptDel&gt;}{\rtlch\fcs1 _x000d__x000a_\af0 \ltrch\fcs0 \insrsid16734988\charrsid10037553 #}{\rtlch\fcs1 \af0 \ltrch\fcs0 \cs18\v\f1\fs20\cf15\insrsid16734988\charrsid10037553 MNU[CROSSREFNO][CROSSREFYES]@CHOICE@}{\rtlch\fcs1 \af0 \ltrch\fcs0 \insrsid16734988\charrsid10037553 #}{\rtlch\fcs1 _x000d__x000a_\af0 \ltrch\fcs0 \cs17\i0\v\fs20\cf9\lang1024\langfe1024\loch\af1\hich\af1\dbch\af31501\noproof\insrsid16734988\charrsid10037553 \hich\af1\dbch\af31501\loch\f1 &lt;/OptDel&gt;}{\rtlch\fcs1 \af0 \ltrch\fcs0 \insrsid16734988\charrsid10037553 _x000d__x000a_\par }\pard\plain \ltrpar\s25\qc \li0\ri0\sb240\sa240\keepn\nowidctlpar\wrapdefault\aspalpha\aspnum\faauto\adjustright\rin0\lin0\itap0\pararsid7366698 \rtlch\fcs1 \af0\afs20\alang1025 \ltrch\fcs0 \i\fs24\lang2057\langfe2057\cgrid\langnp2057\langfenp2057 {_x000d__x000a_\rtlch\fcs1 \af0 \ltrch\fcs0 \cs17\i0\v\fs20\cf9\lang1024\langfe1024\loch\af1\hich\af1\dbch\af31501\noproof\insrsid16734988\charrsid10037553 \hich\af1\dbch\af31501\loch\f1 &lt;TitreJust&gt;}{\rtlch\fcs1 \af0 \ltrch\fcs0 \insrsid16734988\charrsid10037553 _x000d__x000a_Justification}{\rtlch\fcs1 \af0 \ltrch\fcs0 \cs17\i0\v\fs20\cf9\lang1024\langfe1024\loch\af1\hich\af1\dbch\af31501\noproof\insrsid16734988\charrsid10037553 \hich\af1\dbch\af31501\loch\f1 &lt;/TitreJust&gt;}{\rtlch\fcs1 \af0 \ltrch\fcs0 _x000d__x000a_\insrsid16734988\charrsid10037553 _x000d__x000a_\par }\pard\plain \ltrpar\s23\ql \li0\ri0\sa240\nowidctlpar\wrapdefault\aspalpha\aspnum\faauto\adjustright\rin0\lin0\itap0\pararsid7366698 \rtlch\fcs1 \af0\afs20\alang1025 \ltrch\fcs0 \i\fs24\lang2057\langfe2057\cgrid\langnp2057\langfenp2057 {\rtlch\fcs1 \af0 _x000d__x000a_\ltrch\fcs0 \cs17\i0\v\fs20\cf9\lang1024\langfe1024\loch\af1\hich\af1\dbch\af31501\noproof\insrsid16734988\charrsid10037553 \hich\af1\dbch\af31501\loch\f1 &lt;OptDelPrev&gt;}{\rtlch\fcs1 \af0 \ltrch\fcs0 \insrsid16734988\charrsid10037553 #}{\rtlch\fcs1 \af0 _x000d__x000a_\ltrch\fcs0 \cs18\v\f1\fs20\cf15\insrsid16734988\charrsid10037553 MNU[TEXTJUSTYES][TEXTJUSTNO]@CHOICE@}{\rtlch\fcs1 \af0 \ltrch\fcs0 \insrsid16734988\charrsid10037553 #}{\rtlch\fcs1 \af0 \ltrch\fcs0 _x000d__x000a_\cs17\i0\v\fs20\cf9\lang1024\langfe1024\loch\af1\hich\af1\dbch\af31501\noproof\insrsid16734988\charrsid10037553 \hich\af1\dbch\af31501\loch\f1 &lt;/OptDelPrev&gt;}{\rtlch\fcs1 \af0 \ltrch\fcs0 \insrsid16734988\charrsid10037553 _x000d__x000a_\par }\pard\plain \ltrpar\ql \li0\ri0\widctlpar\wrapdefault\aspalpha\aspnum\faauto\adjustright\rin0\lin0\itap0\pararsid7366698 \rtlch\fcs1 \af0\afs20\alang1025 \ltrch\fcs0 \fs24\lang2057\langfe2057\cgrid\langnp2057\langfenp2057 {\rtlch\fcs1 \af0 \ltrch\fcs0 _x000d__x000a_\cs17\v\fs20\cf9\lang1024\langfe1024\loch\af1\hich\af1\dbch\af31501\noproof\insrsid16734988\charrsid10037553 \hich\af1\dbch\af31501\loch\f1 &lt;/Amend&gt;}{\rtlch\fcs1 \af0 \ltrch\fcs0 \insrsid16734988\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d_x000d__x000a_362be5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74410 HideTWBExt;}{_x000d__x000a_\s18\ql \li0\ri0\nowidctlpar\wrapdefault\aspalpha\aspnum\faauto\adjustright\rin0\lin0\itap0 \rtlch\fcs1 \af0\afs20\alang1025 \ltrch\fcs0 \b\fs24\lang2057\langfe2057\cgrid\langnp2057\langfenp2057 \sbasedon0 \snext18 \spriority0 \styrsid4074410 NormalBold;}_x000d__x000a_{\s19\ql \li0\ri0\sa120\nowidctlpar\wrapdefault\aspalpha\aspnum\faauto\adjustright\rin0\lin0\itap0 \rtlch\fcs1 \af0\afs20\alang1025 \ltrch\fcs0 \fs24\lang2057\langfe2057\cgrid\langnp2057\langfenp2057 \sbasedon0 \snext19 \spriority0 \styrsid4074410 _x000d__x000a_Normal6a;}{\s20\qc \li0\ri0\sa240\nowidctlpar\wrapdefault\aspalpha\aspnum\faauto\adjustright\rin0\lin0\itap0 \rtlch\fcs1 \af0\afs20\alang1025 \ltrch\fcs0 \i\fs24\lang2057\langfe2057\cgrid\langnp2057\langfenp2057 _x000d__x000a_\sbasedon0 \snext20 \spriority0 \styrsid407441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4074410 AmNumberTabs;}{\s22\ql \li0\ri0\sa240\nowidctlpar\wrapdefault\aspalpha\aspnum\faauto\adjustright\rin0\lin0\itap0 \rtlch\fcs1 _x000d__x000a_\af0\afs20\alang1025 \ltrch\fcs0 \i\fs24\lang2057\langfe2057\cgrid\langnp2057\langfenp2057 \sbasedon0 \snext22 \spriority0 \styrsid4074410 AmJustText;}{_x000d__x000a_\s23\qc \li0\ri0\sb240\sa240\nowidctlpar\wrapdefault\aspalpha\aspnum\faauto\adjustright\rin0\lin0\itap0 \rtlch\fcs1 \af0\afs20\alang1025 \ltrch\fcs0 \i\fs24\lang2057\langfe2057\cgrid\langnp2057\langfenp2057 \sbasedon0 \snext23 \spriority0 \styrsid4074410 _x000d__x000a_AmCrossRef;}{\s24\qc \li0\ri0\sb240\sa240\keepn\nowidctlpar\wrapdefault\aspalpha\aspnum\faauto\adjustright\rin0\lin0\itap0 \rtlch\fcs1 \af0\afs20\alang1025 \ltrch\fcs0 \i\fs24\lang2057\langfe2057\cgrid\langnp2057\langfenp2057 _x000d__x000a_\sbasedon0 \snext22 \spriority0 \styrsid4074410 AmJustTitle;}{\s25\ql \li0\ri0\sb240\nowidctlpar\wrapdefault\aspalpha\aspnum\faauto\adjustright\rin0\lin0\itap0 \rtlch\fcs1 \af0\afs20\alang1025 \ltrch\fcs0 _x000d__x000a_\b\fs24\lang2057\langfe2057\cgrid\langnp2057\langfenp2057 \sbasedon0 \snext25 \spriority0 \styrsid4074410 NormalBold12b;}}{\*\rsidtbl \rsid24658\rsid223860\rsid735077\rsid1718133\rsid2892074\rsid3565327\rsid4074410\rsid4666813\rsid6641733\rsid7823322_x000d__x000a_\rsid9636012\rsid10377208\rsid10767733\rsid11215221\rsid11549030\rsid12154954\rsid13179141\rsid14382809\rsid14424199\rsid15204470\rsid15285974\rsid15950462\rsid16324206\rsid16662270}{\mmathPr\mmathFont34\mbrkBin0\mbrkBinSub0\msmallFrac0\mdispDef1_x000d__x000a_\mlMargin0\mrMargin0\mdefJc1\mwrapIndent1440\mintLim0\mnaryLim1}{\info{\author ANDRINO TIZON Rosalina}{\operator ANDRINO TIZON Rosalina}{\creatim\yr2026\mo4\dy23\hr7\min51}{\revtim\yr2026\mo4\dy23\hr7\min51}{\version1}{\edmins0}{\nofpages1}{\nofwords53}_x000d__x000a_{\nofchars314}{\nofcharsws36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74410\newtblstyruls\nogrowautofit\usenormstyforlist\noindnmbrts\felnbrelev\nocxsptable\indrlsweleven\noafcnsttbl\afelev\utinl\hwelev\spltpgpar\notcvasp\notbrkcnstfrctbl\notvatxbx\krnprsnet\cachedcolbal _x000d__x000a_\nouicompat \fet0{\*\wgrffmtfilter 013f}\nofeaturethrottle1\ilfomacatclnup0{\*\template C:\\Users\\randrino\\AppData\\Local\\Temp\\Blank1.dotx}{\*\ftnsep \ltrpar \pard\plain \ltrpar_x000d__x000a_\ql \li0\ri0\widctlpar\wrapdefault\aspalpha\aspnum\faauto\adjustright\rin0\lin0\itap0 \rtlch\fcs1 \af0\afs20\alang1025 \ltrch\fcs0 \fs24\lang2057\langfe2057\cgrid\langnp2057\langfenp2057 {\rtlch\fcs1 \af0 \ltrch\fcs0 \insrsid10767733 \chftnsep _x000d__x000a_\par }}{\*\ftnsepc \ltrpar \pard\plain \ltrpar\ql \li0\ri0\widctlpar\wrapdefault\aspalpha\aspnum\faauto\adjustright\rin0\lin0\itap0 \rtlch\fcs1 \af0\afs20\alang1025 \ltrch\fcs0 \fs24\lang2057\langfe2057\cgrid\langnp2057\langfenp2057 {\rtlch\fcs1 \af0 _x000d__x000a_\ltrch\fcs0 \insrsid10767733 \chftnsepc _x000d__x000a_\par }}{\*\aftnsep \ltrpar \pard\plain \ltrpar\ql \li0\ri0\widctlpar\wrapdefault\aspalpha\aspnum\faauto\adjustright\rin0\lin0\itap0 \rtlch\fcs1 \af0\afs20\alang1025 \ltrch\fcs0 \fs24\lang2057\langfe2057\cgrid\langnp2057\langfenp2057 {\rtlch\fcs1 \af0 _x000d__x000a_\ltrch\fcs0 \insrsid10767733 \chftnsep _x000d__x000a_\par }}{\*\aftnsepc \ltrpar \pard\plain \ltrpar\ql \li0\ri0\widctlpar\wrapdefault\aspalpha\aspnum\faauto\adjustright\rin0\lin0\itap0 \rtlch\fcs1 \af0\afs20\alang1025 \ltrch\fcs0 \fs24\lang2057\langfe2057\cgrid\langnp2057\langfenp2057 {\rtlch\fcs1 \af0 _x000d__x000a_\ltrch\fcs0 \insrsid107677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293919 \rtlch\fcs1 _x000d__x000a_\af0\afs20\alang1025 \ltrch\fcs0 \b\fs24\lang2057\langfe2057\cgrid\langnp2057\langfenp2057 {\rtlch\fcs1 \af0 \ltrch\fcs0 \cs17\b0\v\fs20\cf9\lang1024\langfe1024\loch\af1\hich\af1\dbch\af31501\noproof\langnp1030\insrsid4074410 {\*\bkmkstart restart}_x000d__x000a_\hich\af1\dbch\af31501\loch\f1 &lt;Amend&gt;}{\rtlch\fcs1 \af0 \ltrch\fcs0 \lang1030\langfe2057\langnp1030\insrsid4074410 [ZAMENDMENT]\tab \tab }{\rtlch\fcs1 \af0 \ltrch\fcs0 _x000d__x000a_\cs17\b0\v\fs20\cf9\lang1024\langfe1024\loch\af1\hich\af1\dbch\af31501\noproof\langnp1030\insrsid4074410 \hich\af1\dbch\af31501\loch\f1 &lt;NumAm&gt;}{\rtlch\fcs1 \af0 \ltrch\fcs0 \lang1030\langfe2057\langnp1030\insrsid4074410 [ZNRAM]}{\rtlch\fcs1 \af0 _x000d__x000a_\ltrch\fcs0 \cs17\b0\v\fs20\cf9\lang1024\langfe1024\loch\af1\hich\af1\dbch\af31501\noproof\langnp1030\insrsid4074410 \hich\af1\dbch\af31501\loch\f1 &lt;/NumAm&gt;}{\rtlch\fcs1 \af0 \ltrch\fcs0 \lang1030\langfe2057\langnp1030\insrsid4074410 _x000d__x000a_\par }\pard\plain \ltrpar\s25\ql \li0\ri0\sb240\keepn\nowidctlpar\wrapdefault\aspalpha\aspnum\faauto\adjustright\rin0\lin0\itap0\pararsid6293919 \rtlch\fcs1 \af0\afs20\alang1025 \ltrch\fcs0 \b\fs24\lang2057\langfe2057\cgrid\langnp2057\langfenp2057 {_x000d__x000a_\rtlch\fcs1 \af0 \ltrch\fcs0 \cs17\b0\v\fs20\cf9\lang1024\langfe1024\loch\af1\hich\af1\dbch\af31501\noproof\langnp1030\insrsid4074410 \hich\af1\dbch\af31501\loch\f1 &lt;DocAmend&gt;}{\rtlch\fcs1 \af0 \ltrch\fcs0 \lang1030\langfe2057\langnp1030\insrsid4074410 _x000d__x000a_[ZPROPOSAL][ZAMACT]}{\rtlch\fcs1 \af0 \ltrch\fcs0 \cs17\b0\v\fs20\cf9\lang1024\langfe1024\loch\af1\hich\af1\dbch\af31501\noproof\langnp1030\insrsid4074410 \hich\af1\dbch\af31501\loch\f1 &lt;/DocAmend&gt;}{\rtlch\fcs1 \af0 \ltrch\fcs0 _x000d__x000a_\lang1030\langfe2057\langnp1030\insrsid4074410 _x000d__x000a_\par }\pard\plain \ltrpar\s18\ql \li0\ri0\nowidctlpar\wrapdefault\aspalpha\aspnum\faauto\adjustright\rin0\lin0\itap0\pararsid6293919 \rtlch\fcs1 \af0\afs20\alang1025 \ltrch\fcs0 \b\fs24\lang2057\langfe2057\cgrid\langnp2057\langfenp2057 {\rtlch\fcs1 \af0 _x000d__x000a_\ltrch\fcs0 \cs17\b0\v\fs20\cf9\lang1024\langfe1024\loch\af1\hich\af1\dbch\af31501\noproof\langnp1030\insrsid4074410 \hich\af1\dbch\af31501\loch\f1 &lt;Article&gt;}{\rtlch\fcs1 \af0 \ltrch\fcs0 \lang1030\langfe2057\langnp1030\insrsid4074410 [ZAMPART]}{_x000d__x000a_\rtlch\fcs1 \af0 \ltrch\fcs0 \cs17\b0\v\fs20\cf9\lang1024\langfe1024\loch\af1\hich\af1\dbch\af31501\noproof\langnp1030\insrsid4074410 \hich\af1\dbch\af31501\loch\f1 &lt;/Article&gt;}{\rtlch\fcs1 \af0 \ltrch\fcs0 \lang1030\langfe2057\langnp1030\insrsid4074410 _x000d__x000a__x000d__x000a_\par }\pard\plain \ltrpar\ql \li0\ri0\keepn\widctlpar\wrapdefault\aspalpha\aspnum\faauto\adjustright\rin0\lin0\itap0\pararsid6293919 \rtlch\fcs1 \af0\afs20\alang1025 \ltrch\fcs0 \fs24\lang2057\langfe2057\cgrid\langnp2057\langfenp2057 {\rtlch\fcs1 \af0 _x000d__x000a_\ltrch\fcs0 \cs17\v\fs20\cf9\lang1024\langfe1024\loch\af1\hich\af1\dbch\af31501\noproof\langnp1030\insrsid4074410 \hich\af1\dbch\af31501\loch\f1 &lt;DocAmend2&gt;&lt;OptDel&gt;}{\rtlch\fcs1 \af0 \ltrch\fcs0 \lang1030\langfe2057\langnp1030\insrsid4074410 [ZNRACT]}{_x000d__x000a_\rtlch\fcs1 \af0 \ltrch\fcs0 \cs17\v\fs20\cf9\lang1024\langfe1024\loch\af1\hich\af1\dbch\af31501\noproof\langnp1030\insrsid4074410 \hich\af1\dbch\af31501\loch\f1 &lt;/OptDel&gt;&lt;/DocAmend2&gt;}{\rtlch\fcs1 \af0 \ltrch\fcs0 _x000d__x000a_\lang1030\langfe2057\langnp1030\insrsid4074410 _x000d__x000a_\par }\pard \ltrpar\ql \li0\ri0\widctlpar\wrapdefault\aspalpha\aspnum\faauto\adjustright\rin0\lin0\itap0\pararsid6293919 {\rtlch\fcs1 \af0 \ltrch\fcs0 \cs17\v\fs20\cf9\lang1024\langfe1024\loch\af1\hich\af1\dbch\af31501\noproof\langnp1036\insrsid4074410 _x000d__x000a_\hich\af1\dbch\af31501\loch\f1 &lt;Article2&gt;&lt;OptDel&gt;}{\rtlch\fcs1 \af0 \ltrch\fcs0 \lang1036\langfe2057\langnp1036\insrsid4074410 [ZACTPART]}{\rtlch\fcs1 \af0 \ltrch\fcs0 _x000d__x000a_\cs17\v\fs20\cf9\lang1024\langfe1024\loch\af1\hich\af1\dbch\af31501\noproof\langnp1036\insrsid4074410 \hich\af1\dbch\af31501\loch\f1 &lt;/OptDel&gt;&lt;/Article2&gt;}{\rtlch\fcs1 \af0 \ltrch\fcs0 \lang1036\langfe2057\langnp1036\insrsid4074410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lang1036\langfe2057\langnp1036\insrsid4074410 \cell }\pard \ltrpar\ql \li0\ri0\widctlpar\intbl\wrapdefault\aspalpha\aspnum\faauto\adjustright\rin0\lin0 {\rtlch\fcs1 \af0 \ltrch\fcs0 \insrsid4074410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0\qc \li0\ri0\sa240\keepn\nowidctlpar\intbl\wrapdefault\aspalpha\aspnum\faauto\adjustright\rin0\lin0\pararsid11085200 \rtlch\fcs1 \af0\afs20\alang1025 \ltrch\fcs0 \i\fs24\lang2057\langfe2057\cgrid\langnp2057\langfenp2057 {_x000d__x000a_\rtlch\fcs1 \af0 \ltrch\fcs0 \insrsid4074410 [ZLEFT]\cell [ZRIGHT]\cell }\pard\plain \ltrpar\ql \li0\ri0\widctlpar\intbl\wrapdefault\aspalpha\aspnum\faauto\adjustright\rin0\lin0 \rtlch\fcs1 \af0\afs20\alang1025 \ltrch\fcs0 _x000d__x000a_\fs24\lang2057\langfe2057\cgrid\langnp2057\langfenp2057 {\rtlch\fcs1 \af0 \ltrch\fcs0 \insrsid4074410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19\ql \li0\ri0\sa120\nowidctlpar\intbl\wrapdefault\aspalpha\aspnum\faauto\adjustright\rin0\lin0\pararsid11085200 \rtlch\fcs1 \af0\afs20\alang1025 \ltrch\fcs0 \fs24\lang2057\langfe2057\cgrid\langnp2057\langfenp2057 {\rtlch\fcs1 \af0 _x000d__x000a_\ltrch\fcs0 \insrsid4074410 [ZTEXTL]\cell [ZTEXTR]\cell }\pard\plain \ltrpar\ql \li0\ri0\widctlpar\intbl\wrapdefault\aspalpha\aspnum\faauto\adjustright\rin0\lin0 \rtlch\fcs1 \af0\afs20\alang1025 \ltrch\fcs0 _x000d__x000a_\fs24\lang2057\langfe2057\cgrid\langnp2057\langfenp2057 {\rtlch\fcs1 \af0 \ltrch\fcs0 \insrsid4074410 \trowd \lastrow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_x000d__x000a_}\pard\plain \ltrpar\s23\qc \li0\ri0\sb240\sa240\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4074410 \hich\af1\dbch\af31501\loch\f1 &lt;OptDel&gt;}{\rtlch\fcs1 \af0 \ltrch\fcs0 \insrsid4074410 [ZCROSSREF]}{\rtlch\fcs1 \af0 \ltrch\fcs0 _x000d__x000a_\cs17\i0\v\fs20\cf9\lang1024\langfe1024\loch\af1\hich\af1\dbch\af31501\noproof\insrsid4074410 \hich\af1\dbch\af31501\loch\f1 &lt;/OptDel&gt;}{\rtlch\fcs1 \af0 \ltrch\fcs0 \insrsid4074410 _x000d__x000a_\par }\pard\plain \ltrpar\s24\qc \li0\ri0\sb240\sa240\keepn\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4074410 \hich\af1\dbch\af31501\loch\f1 &lt;TitreJust&gt;}{\rtlch\fcs1 \af0 \ltrch\fcs0 \insrsid4074410 [ZJUSTIFICATION]}{\rtlch\fcs1 \af0 _x000d__x000a_\ltrch\fcs0 \cs17\i0\v\fs20\cf9\lang1024\langfe1024\loch\af1\hich\af1\dbch\af31501\noproof\insrsid4074410 \hich\af1\dbch\af31501\loch\f1 &lt;/TitreJust&gt;}{\rtlch\fcs1 \af0 \ltrch\fcs0 \insrsid4074410 _x000d__x000a_\par }\pard\plain \ltrpar\s22\ql \li0\ri0\sa240\nowidctlpar\wrapdefault\aspalpha\aspnum\faauto\adjustright\rin0\lin0\itap0\pararsid6293919 \rtlch\fcs1 \af0\afs20\alang1025 \ltrch\fcs0 \i\fs24\lang2057\langfe2057\cgrid\langnp2057\langfenp2057 {\rtlch\fcs1 \af0 _x000d__x000a_\ltrch\fcs0 \cs17\i0\v\fs20\cf9\lang1024\langfe1024\loch\af1\hich\af1\dbch\af31501\noproof\insrsid4074410 \hich\af1\dbch\af31501\loch\f1 &lt;OptDelPrev&gt;}{\rtlch\fcs1 \af0 \ltrch\fcs0 \insrsid4074410 [ZTEXTJUST]}{\rtlch\fcs1 \af0 \ltrch\fcs0 _x000d__x000a_\cs17\i0\v\fs20\cf9\lang1024\langfe1024\loch\af1\hich\af1\dbch\af31501\noproof\insrsid4074410 \hich\af1\dbch\af31501\loch\f1 &lt;/OptDelPrev&gt;}{\rtlch\fcs1 \af0 \ltrch\fcs0 \insrsid4074410 _x000d__x000a_\par }\pard\plain \ltrpar\ql \li0\ri0\widctlpar\wrapdefault\aspalpha\aspnum\faauto\adjustright\rin0\lin0\itap0\pararsid6293919 \rtlch\fcs1 \af0\afs20\alang1025 \ltrch\fcs0 \fs24\lang2057\langfe2057\cgrid\langnp2057\langfenp2057 {\rtlch\fcs1 \af0 \ltrch\fcs0 _x000d__x000a_\cs17\v\fs20\cf9\lang1024\langfe1024\loch\af1\hich\af1\dbch\af31501\noproof\insrsid4074410 \hich\af1\dbch\af31501\loch\f1 &lt;/Amend&gt;}{\rtlch\fcs1 \af0 \ltrch\fcs0 \insrsid4074410\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4e_x000d__x000a_7d2ee5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Evaluation"/>
    <w:docVar w:name="strSubDir" w:val="1342"/>
    <w:docVar w:name="TITLECODMNU" w:val=" 1"/>
    <w:docVar w:name="TITLEMNU" w:val=" 1"/>
    <w:docVar w:name="TXTAUTHOR" w:val="Hélder Sousa Silva"/>
    <w:docVar w:name="TXTLANGUE" w:val="LV"/>
    <w:docVar w:name="TXTLANGUEMIN" w:val="lv"/>
    <w:docVar w:name="TXTNRC" w:val="XX"/>
    <w:docVar w:name="TXTNRCOM" w:val="XX"/>
    <w:docVar w:name="TXTNRPE" w:val="782.453"/>
    <w:docVar w:name="TXTNRPROC" w:val="2025/0543"/>
    <w:docVar w:name="TXTPEorAP" w:val="PE"/>
    <w:docVar w:name="TXTROUTE" w:val="AD\1342281LV.docx"/>
    <w:docVar w:name="TXTTITLE" w:val="XX"/>
    <w:docVar w:name="TXTVERSION" w:val="03-00"/>
  </w:docVars>
  <w:rsids>
    <w:rsidRoot w:val="002F1CDB"/>
    <w:rsid w:val="00002AF5"/>
    <w:rsid w:val="00006F54"/>
    <w:rsid w:val="00007C5D"/>
    <w:rsid w:val="00012B42"/>
    <w:rsid w:val="00017014"/>
    <w:rsid w:val="0001754B"/>
    <w:rsid w:val="00030B88"/>
    <w:rsid w:val="0003367A"/>
    <w:rsid w:val="00041599"/>
    <w:rsid w:val="00052101"/>
    <w:rsid w:val="00055C82"/>
    <w:rsid w:val="00066D73"/>
    <w:rsid w:val="00086729"/>
    <w:rsid w:val="000976C1"/>
    <w:rsid w:val="000A4299"/>
    <w:rsid w:val="000B0E62"/>
    <w:rsid w:val="000B3516"/>
    <w:rsid w:val="000D1033"/>
    <w:rsid w:val="000E7EBF"/>
    <w:rsid w:val="000F2D1C"/>
    <w:rsid w:val="000F307C"/>
    <w:rsid w:val="00100083"/>
    <w:rsid w:val="00102D30"/>
    <w:rsid w:val="00113B68"/>
    <w:rsid w:val="00124F60"/>
    <w:rsid w:val="00135121"/>
    <w:rsid w:val="00140BE6"/>
    <w:rsid w:val="001449F5"/>
    <w:rsid w:val="00147F4E"/>
    <w:rsid w:val="00147FBF"/>
    <w:rsid w:val="00156878"/>
    <w:rsid w:val="00162767"/>
    <w:rsid w:val="0016635E"/>
    <w:rsid w:val="0016705E"/>
    <w:rsid w:val="0017131D"/>
    <w:rsid w:val="0017277D"/>
    <w:rsid w:val="00173215"/>
    <w:rsid w:val="001746D0"/>
    <w:rsid w:val="00195E4A"/>
    <w:rsid w:val="001A2259"/>
    <w:rsid w:val="001B7393"/>
    <w:rsid w:val="001D2ED9"/>
    <w:rsid w:val="001D3313"/>
    <w:rsid w:val="001E42AF"/>
    <w:rsid w:val="001F21C1"/>
    <w:rsid w:val="001F2C77"/>
    <w:rsid w:val="00205307"/>
    <w:rsid w:val="00207585"/>
    <w:rsid w:val="00214B82"/>
    <w:rsid w:val="00217B7E"/>
    <w:rsid w:val="00225FA0"/>
    <w:rsid w:val="002365D3"/>
    <w:rsid w:val="0024480A"/>
    <w:rsid w:val="00246EC9"/>
    <w:rsid w:val="00251F4B"/>
    <w:rsid w:val="002668E6"/>
    <w:rsid w:val="00270617"/>
    <w:rsid w:val="00281C9F"/>
    <w:rsid w:val="00283121"/>
    <w:rsid w:val="0028399F"/>
    <w:rsid w:val="002920E2"/>
    <w:rsid w:val="002A7567"/>
    <w:rsid w:val="002B5650"/>
    <w:rsid w:val="002C2C3F"/>
    <w:rsid w:val="002D28A7"/>
    <w:rsid w:val="002D3164"/>
    <w:rsid w:val="002D7635"/>
    <w:rsid w:val="002E1718"/>
    <w:rsid w:val="002E2F2E"/>
    <w:rsid w:val="002E3A29"/>
    <w:rsid w:val="002E4AA3"/>
    <w:rsid w:val="002E5DE4"/>
    <w:rsid w:val="002E6F98"/>
    <w:rsid w:val="002F1CDB"/>
    <w:rsid w:val="002F24FD"/>
    <w:rsid w:val="002F4CC3"/>
    <w:rsid w:val="00306B00"/>
    <w:rsid w:val="003230B1"/>
    <w:rsid w:val="00325BCB"/>
    <w:rsid w:val="00325D7F"/>
    <w:rsid w:val="00325EDE"/>
    <w:rsid w:val="00331944"/>
    <w:rsid w:val="00332AD9"/>
    <w:rsid w:val="003402B9"/>
    <w:rsid w:val="00347D2C"/>
    <w:rsid w:val="003508DA"/>
    <w:rsid w:val="003575E8"/>
    <w:rsid w:val="00357761"/>
    <w:rsid w:val="00362463"/>
    <w:rsid w:val="00367A50"/>
    <w:rsid w:val="0037356F"/>
    <w:rsid w:val="003767EF"/>
    <w:rsid w:val="003858C5"/>
    <w:rsid w:val="00390EB2"/>
    <w:rsid w:val="00391AC1"/>
    <w:rsid w:val="00396A0E"/>
    <w:rsid w:val="003A2511"/>
    <w:rsid w:val="003A5DEB"/>
    <w:rsid w:val="003B229E"/>
    <w:rsid w:val="003B2862"/>
    <w:rsid w:val="003B4426"/>
    <w:rsid w:val="003B507D"/>
    <w:rsid w:val="003C3A38"/>
    <w:rsid w:val="003D43B7"/>
    <w:rsid w:val="003D5C9C"/>
    <w:rsid w:val="003E2402"/>
    <w:rsid w:val="003E5A8F"/>
    <w:rsid w:val="003E6B61"/>
    <w:rsid w:val="003F2D3B"/>
    <w:rsid w:val="00401780"/>
    <w:rsid w:val="00402E8B"/>
    <w:rsid w:val="004272F5"/>
    <w:rsid w:val="0043045C"/>
    <w:rsid w:val="004456FB"/>
    <w:rsid w:val="00446D42"/>
    <w:rsid w:val="00450A7E"/>
    <w:rsid w:val="0046245A"/>
    <w:rsid w:val="004667D1"/>
    <w:rsid w:val="00466D44"/>
    <w:rsid w:val="0047642E"/>
    <w:rsid w:val="00477552"/>
    <w:rsid w:val="00481B23"/>
    <w:rsid w:val="00483F34"/>
    <w:rsid w:val="00485C5C"/>
    <w:rsid w:val="004A609B"/>
    <w:rsid w:val="004A7D39"/>
    <w:rsid w:val="004C28FB"/>
    <w:rsid w:val="004C3B63"/>
    <w:rsid w:val="004C44C0"/>
    <w:rsid w:val="004D0E3B"/>
    <w:rsid w:val="004D18F2"/>
    <w:rsid w:val="004D4C05"/>
    <w:rsid w:val="004D4FA4"/>
    <w:rsid w:val="004E2AB4"/>
    <w:rsid w:val="004F093C"/>
    <w:rsid w:val="00514274"/>
    <w:rsid w:val="00517318"/>
    <w:rsid w:val="0052544E"/>
    <w:rsid w:val="00526F89"/>
    <w:rsid w:val="005365D3"/>
    <w:rsid w:val="00546BD2"/>
    <w:rsid w:val="00556CD6"/>
    <w:rsid w:val="00566D37"/>
    <w:rsid w:val="0056775B"/>
    <w:rsid w:val="0057732D"/>
    <w:rsid w:val="0058215E"/>
    <w:rsid w:val="00582163"/>
    <w:rsid w:val="005940C3"/>
    <w:rsid w:val="00594C48"/>
    <w:rsid w:val="005A2392"/>
    <w:rsid w:val="005B2376"/>
    <w:rsid w:val="005B2F11"/>
    <w:rsid w:val="005B62FD"/>
    <w:rsid w:val="005C0BDF"/>
    <w:rsid w:val="005D024F"/>
    <w:rsid w:val="005D60C6"/>
    <w:rsid w:val="005D6788"/>
    <w:rsid w:val="005E2EB2"/>
    <w:rsid w:val="005F2C93"/>
    <w:rsid w:val="005F64C9"/>
    <w:rsid w:val="00600957"/>
    <w:rsid w:val="00601537"/>
    <w:rsid w:val="006017DD"/>
    <w:rsid w:val="006102E7"/>
    <w:rsid w:val="00610FA5"/>
    <w:rsid w:val="006217F2"/>
    <w:rsid w:val="00621F8F"/>
    <w:rsid w:val="00630767"/>
    <w:rsid w:val="00630B5E"/>
    <w:rsid w:val="00640C1B"/>
    <w:rsid w:val="00646D7F"/>
    <w:rsid w:val="006551D2"/>
    <w:rsid w:val="00657AFB"/>
    <w:rsid w:val="006770A2"/>
    <w:rsid w:val="00684BE9"/>
    <w:rsid w:val="00685EBC"/>
    <w:rsid w:val="00686DF1"/>
    <w:rsid w:val="00693DC6"/>
    <w:rsid w:val="006B5641"/>
    <w:rsid w:val="006B5685"/>
    <w:rsid w:val="006D16AE"/>
    <w:rsid w:val="006D5BF7"/>
    <w:rsid w:val="006D5D60"/>
    <w:rsid w:val="006E207B"/>
    <w:rsid w:val="006E3D25"/>
    <w:rsid w:val="006E43BA"/>
    <w:rsid w:val="006F2815"/>
    <w:rsid w:val="006F4E35"/>
    <w:rsid w:val="006F6345"/>
    <w:rsid w:val="00700D2A"/>
    <w:rsid w:val="00702A88"/>
    <w:rsid w:val="00730988"/>
    <w:rsid w:val="007323CD"/>
    <w:rsid w:val="007343B3"/>
    <w:rsid w:val="0074139F"/>
    <w:rsid w:val="00753996"/>
    <w:rsid w:val="00754C04"/>
    <w:rsid w:val="00755CD7"/>
    <w:rsid w:val="00757C4C"/>
    <w:rsid w:val="007604CE"/>
    <w:rsid w:val="00760D63"/>
    <w:rsid w:val="007638D0"/>
    <w:rsid w:val="00770214"/>
    <w:rsid w:val="00773EA7"/>
    <w:rsid w:val="00783C83"/>
    <w:rsid w:val="00784770"/>
    <w:rsid w:val="007A0439"/>
    <w:rsid w:val="007A403A"/>
    <w:rsid w:val="007B107D"/>
    <w:rsid w:val="007B2187"/>
    <w:rsid w:val="007B5CC7"/>
    <w:rsid w:val="007C6D0D"/>
    <w:rsid w:val="007C704E"/>
    <w:rsid w:val="007E03E2"/>
    <w:rsid w:val="007E0990"/>
    <w:rsid w:val="007E4EEA"/>
    <w:rsid w:val="007E6C91"/>
    <w:rsid w:val="007F1A57"/>
    <w:rsid w:val="00800C20"/>
    <w:rsid w:val="0080329C"/>
    <w:rsid w:val="00803693"/>
    <w:rsid w:val="00816BE5"/>
    <w:rsid w:val="00825069"/>
    <w:rsid w:val="008313E7"/>
    <w:rsid w:val="00840391"/>
    <w:rsid w:val="00842418"/>
    <w:rsid w:val="008479EC"/>
    <w:rsid w:val="00850EEA"/>
    <w:rsid w:val="00852263"/>
    <w:rsid w:val="00854CAC"/>
    <w:rsid w:val="00873BF3"/>
    <w:rsid w:val="008815E1"/>
    <w:rsid w:val="008829FE"/>
    <w:rsid w:val="00882CB5"/>
    <w:rsid w:val="008869C5"/>
    <w:rsid w:val="008901B1"/>
    <w:rsid w:val="008A0FE4"/>
    <w:rsid w:val="008A32C5"/>
    <w:rsid w:val="008C2388"/>
    <w:rsid w:val="008C6203"/>
    <w:rsid w:val="008D2A3C"/>
    <w:rsid w:val="008D61E7"/>
    <w:rsid w:val="008D6468"/>
    <w:rsid w:val="008E17AF"/>
    <w:rsid w:val="008E2BE3"/>
    <w:rsid w:val="008F33FC"/>
    <w:rsid w:val="008F7002"/>
    <w:rsid w:val="0090662D"/>
    <w:rsid w:val="00907045"/>
    <w:rsid w:val="00946BEF"/>
    <w:rsid w:val="00955944"/>
    <w:rsid w:val="0095761F"/>
    <w:rsid w:val="00961E8B"/>
    <w:rsid w:val="009626A8"/>
    <w:rsid w:val="00962782"/>
    <w:rsid w:val="00963DF4"/>
    <w:rsid w:val="00976019"/>
    <w:rsid w:val="00993D65"/>
    <w:rsid w:val="0099493F"/>
    <w:rsid w:val="009B13EE"/>
    <w:rsid w:val="009B4FF7"/>
    <w:rsid w:val="009C316C"/>
    <w:rsid w:val="009C4706"/>
    <w:rsid w:val="009C7BBC"/>
    <w:rsid w:val="009D1AB2"/>
    <w:rsid w:val="009D51C1"/>
    <w:rsid w:val="009E2198"/>
    <w:rsid w:val="009E64BF"/>
    <w:rsid w:val="009F1C99"/>
    <w:rsid w:val="00A16BEA"/>
    <w:rsid w:val="00A24629"/>
    <w:rsid w:val="00A30C8E"/>
    <w:rsid w:val="00A312B3"/>
    <w:rsid w:val="00A47E2F"/>
    <w:rsid w:val="00A56164"/>
    <w:rsid w:val="00A72C35"/>
    <w:rsid w:val="00A73317"/>
    <w:rsid w:val="00A82E7D"/>
    <w:rsid w:val="00A91B4A"/>
    <w:rsid w:val="00AA0704"/>
    <w:rsid w:val="00AA0D98"/>
    <w:rsid w:val="00AA0F95"/>
    <w:rsid w:val="00AA4C55"/>
    <w:rsid w:val="00AA6C9D"/>
    <w:rsid w:val="00AA6CB5"/>
    <w:rsid w:val="00AB5733"/>
    <w:rsid w:val="00AC5AAD"/>
    <w:rsid w:val="00AE180F"/>
    <w:rsid w:val="00AE5581"/>
    <w:rsid w:val="00AE79AF"/>
    <w:rsid w:val="00AF5611"/>
    <w:rsid w:val="00B05A76"/>
    <w:rsid w:val="00B2497D"/>
    <w:rsid w:val="00B32115"/>
    <w:rsid w:val="00B362F7"/>
    <w:rsid w:val="00B5456B"/>
    <w:rsid w:val="00B735E3"/>
    <w:rsid w:val="00B74B53"/>
    <w:rsid w:val="00B84ED1"/>
    <w:rsid w:val="00B87BB2"/>
    <w:rsid w:val="00B948C0"/>
    <w:rsid w:val="00B978D5"/>
    <w:rsid w:val="00BA3E9A"/>
    <w:rsid w:val="00BA7B93"/>
    <w:rsid w:val="00BA7BC0"/>
    <w:rsid w:val="00BB19A4"/>
    <w:rsid w:val="00BC26E4"/>
    <w:rsid w:val="00BC5686"/>
    <w:rsid w:val="00BD09AE"/>
    <w:rsid w:val="00BD1ABA"/>
    <w:rsid w:val="00BD1EAA"/>
    <w:rsid w:val="00BD546B"/>
    <w:rsid w:val="00BE1BCE"/>
    <w:rsid w:val="00BE3888"/>
    <w:rsid w:val="00BF0AFC"/>
    <w:rsid w:val="00BF6786"/>
    <w:rsid w:val="00C04E9D"/>
    <w:rsid w:val="00C22D82"/>
    <w:rsid w:val="00C304C7"/>
    <w:rsid w:val="00C33C10"/>
    <w:rsid w:val="00C3435E"/>
    <w:rsid w:val="00C36610"/>
    <w:rsid w:val="00C36A5B"/>
    <w:rsid w:val="00C44B11"/>
    <w:rsid w:val="00C508FC"/>
    <w:rsid w:val="00C52739"/>
    <w:rsid w:val="00C60A46"/>
    <w:rsid w:val="00C61AB3"/>
    <w:rsid w:val="00C717AF"/>
    <w:rsid w:val="00C736C1"/>
    <w:rsid w:val="00C827FF"/>
    <w:rsid w:val="00C84881"/>
    <w:rsid w:val="00C8553D"/>
    <w:rsid w:val="00C878DE"/>
    <w:rsid w:val="00C9183D"/>
    <w:rsid w:val="00C91905"/>
    <w:rsid w:val="00CB0E24"/>
    <w:rsid w:val="00CB198D"/>
    <w:rsid w:val="00CD34AC"/>
    <w:rsid w:val="00CE0A97"/>
    <w:rsid w:val="00CE6558"/>
    <w:rsid w:val="00CE73B2"/>
    <w:rsid w:val="00CF2CEE"/>
    <w:rsid w:val="00D006EE"/>
    <w:rsid w:val="00D033D8"/>
    <w:rsid w:val="00D05797"/>
    <w:rsid w:val="00D05B70"/>
    <w:rsid w:val="00D067E4"/>
    <w:rsid w:val="00D13BB8"/>
    <w:rsid w:val="00D21BB0"/>
    <w:rsid w:val="00D22A96"/>
    <w:rsid w:val="00D318E7"/>
    <w:rsid w:val="00D40947"/>
    <w:rsid w:val="00D411F7"/>
    <w:rsid w:val="00D57A1A"/>
    <w:rsid w:val="00D717FD"/>
    <w:rsid w:val="00D7202C"/>
    <w:rsid w:val="00D8432D"/>
    <w:rsid w:val="00D92AE2"/>
    <w:rsid w:val="00D93847"/>
    <w:rsid w:val="00DB5868"/>
    <w:rsid w:val="00DC14A8"/>
    <w:rsid w:val="00DC4F54"/>
    <w:rsid w:val="00DE19FF"/>
    <w:rsid w:val="00DF0799"/>
    <w:rsid w:val="00E00D3E"/>
    <w:rsid w:val="00E128BB"/>
    <w:rsid w:val="00E14B38"/>
    <w:rsid w:val="00E154EF"/>
    <w:rsid w:val="00E17380"/>
    <w:rsid w:val="00E1768C"/>
    <w:rsid w:val="00E263DF"/>
    <w:rsid w:val="00E34244"/>
    <w:rsid w:val="00E40C7D"/>
    <w:rsid w:val="00E57C99"/>
    <w:rsid w:val="00E61C10"/>
    <w:rsid w:val="00E63984"/>
    <w:rsid w:val="00E8005A"/>
    <w:rsid w:val="00E81BA6"/>
    <w:rsid w:val="00E81E17"/>
    <w:rsid w:val="00E856D2"/>
    <w:rsid w:val="00E86A77"/>
    <w:rsid w:val="00E929A7"/>
    <w:rsid w:val="00E92C76"/>
    <w:rsid w:val="00E93EA3"/>
    <w:rsid w:val="00EA5F7F"/>
    <w:rsid w:val="00EB736D"/>
    <w:rsid w:val="00EB761F"/>
    <w:rsid w:val="00EB7FFB"/>
    <w:rsid w:val="00EC43A3"/>
    <w:rsid w:val="00ED2DAE"/>
    <w:rsid w:val="00EF0228"/>
    <w:rsid w:val="00F01DE1"/>
    <w:rsid w:val="00F11D35"/>
    <w:rsid w:val="00F17A62"/>
    <w:rsid w:val="00F26123"/>
    <w:rsid w:val="00F46189"/>
    <w:rsid w:val="00F51012"/>
    <w:rsid w:val="00F53349"/>
    <w:rsid w:val="00F605AD"/>
    <w:rsid w:val="00F655A9"/>
    <w:rsid w:val="00F65B86"/>
    <w:rsid w:val="00F74E92"/>
    <w:rsid w:val="00F751AE"/>
    <w:rsid w:val="00F83B8C"/>
    <w:rsid w:val="00F95B55"/>
    <w:rsid w:val="00FA0E98"/>
    <w:rsid w:val="00FA31F3"/>
    <w:rsid w:val="00FB440F"/>
    <w:rsid w:val="00FB5399"/>
    <w:rsid w:val="00FB74AF"/>
    <w:rsid w:val="00FC228C"/>
    <w:rsid w:val="00FC42F1"/>
    <w:rsid w:val="00FC5490"/>
    <w:rsid w:val="00FC6460"/>
    <w:rsid w:val="00FD0D14"/>
    <w:rsid w:val="00FD4BC4"/>
    <w:rsid w:val="00FE24DE"/>
    <w:rsid w:val="00FF49A3"/>
    <w:rsid w:val="00FF4B50"/>
    <w:rsid w:val="00FF5EE7"/>
    <w:rsid w:val="00FF64E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68C6D7"/>
  <w15:chartTrackingRefBased/>
  <w15:docId w15:val="{2A471FD1-8A50-4278-A925-7B04971E8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601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8432D"/>
    <w:rPr>
      <w:rFonts w:ascii="Arial" w:hAnsi="Arial" w:cs="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D8432D"/>
    <w:rPr>
      <w:rFonts w:ascii="Arial" w:hAnsi="Arial"/>
      <w:noProof/>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paragraph" w:styleId="FootnoteText">
    <w:name w:val="footnote text"/>
    <w:basedOn w:val="Normal"/>
    <w:link w:val="FootnoteTextChar"/>
    <w:rsid w:val="00755CD7"/>
    <w:rPr>
      <w:sz w:val="20"/>
    </w:rPr>
  </w:style>
  <w:style w:type="character" w:customStyle="1" w:styleId="FootnoteTextChar">
    <w:name w:val="Footnote Text Char"/>
    <w:basedOn w:val="DefaultParagraphFont"/>
    <w:link w:val="FootnoteText"/>
    <w:rsid w:val="00755CD7"/>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nhideWhenUsed/>
    <w:rsid w:val="00755CD7"/>
    <w:rPr>
      <w:vertAlign w:val="superscript"/>
    </w:rPr>
  </w:style>
  <w:style w:type="character" w:styleId="Hyperlink">
    <w:name w:val="Hyperlink"/>
    <w:basedOn w:val="DefaultParagraphFont"/>
    <w:unhideWhenUsed/>
    <w:rsid w:val="00755CD7"/>
    <w:rPr>
      <w:color w:val="0563C1" w:themeColor="hyperlink"/>
      <w:u w:val="single"/>
    </w:rPr>
  </w:style>
  <w:style w:type="character" w:styleId="UnresolvedMention">
    <w:name w:val="Unresolved Mention"/>
    <w:basedOn w:val="DefaultParagraphFont"/>
    <w:uiPriority w:val="99"/>
    <w:semiHidden/>
    <w:unhideWhenUsed/>
    <w:rsid w:val="006D16AE"/>
    <w:rPr>
      <w:color w:val="605E5C"/>
      <w:shd w:val="clear" w:color="auto" w:fill="E1DFDD"/>
    </w:rPr>
  </w:style>
  <w:style w:type="paragraph" w:styleId="CommentText">
    <w:name w:val="annotation text"/>
    <w:basedOn w:val="Normal"/>
    <w:link w:val="CommentTextChar"/>
    <w:unhideWhenUsed/>
    <w:rsid w:val="00C04E9D"/>
    <w:rPr>
      <w:sz w:val="20"/>
    </w:rPr>
  </w:style>
  <w:style w:type="character" w:customStyle="1" w:styleId="CommentTextChar">
    <w:name w:val="Comment Text Char"/>
    <w:basedOn w:val="DefaultParagraphFont"/>
    <w:link w:val="CommentText"/>
    <w:rsid w:val="00C04E9D"/>
  </w:style>
  <w:style w:type="character" w:styleId="CommentReference">
    <w:name w:val="annotation reference"/>
    <w:basedOn w:val="DefaultParagraphFont"/>
    <w:unhideWhenUsed/>
    <w:rsid w:val="00C04E9D"/>
    <w:rPr>
      <w:sz w:val="16"/>
      <w:szCs w:val="16"/>
    </w:rPr>
  </w:style>
  <w:style w:type="paragraph" w:styleId="Footer">
    <w:name w:val="footer"/>
    <w:basedOn w:val="Normal"/>
    <w:link w:val="FooterChar"/>
    <w:semiHidden/>
    <w:rsid w:val="008479EC"/>
    <w:pPr>
      <w:tabs>
        <w:tab w:val="center" w:pos="4513"/>
        <w:tab w:val="right" w:pos="9026"/>
      </w:tabs>
    </w:pPr>
  </w:style>
  <w:style w:type="character" w:customStyle="1" w:styleId="FooterChar">
    <w:name w:val="Footer Char"/>
    <w:basedOn w:val="DefaultParagraphFont"/>
    <w:link w:val="Footer"/>
    <w:semiHidden/>
    <w:rsid w:val="008479EC"/>
    <w:rPr>
      <w:sz w:val="24"/>
    </w:rPr>
  </w:style>
  <w:style w:type="paragraph" w:styleId="Revision">
    <w:name w:val="Revision"/>
    <w:hidden/>
    <w:uiPriority w:val="99"/>
    <w:semiHidden/>
    <w:rsid w:val="00E00D3E"/>
    <w:rPr>
      <w:sz w:val="24"/>
    </w:rPr>
  </w:style>
  <w:style w:type="paragraph" w:customStyle="1" w:styleId="RollCallSymbols14pt">
    <w:name w:val="RollCallSymbols14pt"/>
    <w:basedOn w:val="Normal"/>
    <w:rsid w:val="00C878D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878DE"/>
    <w:pPr>
      <w:tabs>
        <w:tab w:val="center" w:pos="284"/>
        <w:tab w:val="left" w:pos="426"/>
      </w:tabs>
    </w:pPr>
    <w:rPr>
      <w:snapToGrid w:val="0"/>
      <w:lang w:eastAsia="en-US"/>
    </w:rPr>
  </w:style>
  <w:style w:type="paragraph" w:customStyle="1" w:styleId="RollCallVotes">
    <w:name w:val="RollCallVotes"/>
    <w:basedOn w:val="Normal"/>
    <w:rsid w:val="00C878DE"/>
    <w:pPr>
      <w:spacing w:before="120" w:after="120"/>
      <w:jc w:val="center"/>
    </w:pPr>
    <w:rPr>
      <w:b/>
      <w:bCs/>
      <w:snapToGrid w:val="0"/>
      <w:sz w:val="16"/>
      <w:lang w:eastAsia="en-US"/>
    </w:rPr>
  </w:style>
  <w:style w:type="paragraph" w:customStyle="1" w:styleId="RollCallTable">
    <w:name w:val="RollCallTable"/>
    <w:basedOn w:val="Normal"/>
    <w:rsid w:val="00C878DE"/>
    <w:pPr>
      <w:spacing w:before="120" w:after="120"/>
    </w:pPr>
    <w:rPr>
      <w:snapToGrid w:val="0"/>
      <w:sz w:val="16"/>
      <w:lang w:eastAsia="en-US"/>
    </w:rPr>
  </w:style>
  <w:style w:type="paragraph" w:styleId="CommentSubject">
    <w:name w:val="annotation subject"/>
    <w:basedOn w:val="CommentText"/>
    <w:next w:val="CommentText"/>
    <w:link w:val="CommentSubjectChar"/>
    <w:semiHidden/>
    <w:unhideWhenUsed/>
    <w:rsid w:val="00963DF4"/>
    <w:rPr>
      <w:b/>
      <w:bCs/>
    </w:rPr>
  </w:style>
  <w:style w:type="character" w:customStyle="1" w:styleId="CommentSubjectChar">
    <w:name w:val="Comment Subject Char"/>
    <w:basedOn w:val="CommentTextChar"/>
    <w:link w:val="CommentSubject"/>
    <w:semiHidden/>
    <w:rsid w:val="00963D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7B569-51A9-4E74-BD30-49EBA0FDA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3495</Words>
  <Characters>24118</Characters>
  <Application>Microsoft Office Word</Application>
  <DocSecurity>0</DocSecurity>
  <Lines>602</Lines>
  <Paragraphs>207</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27406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creator>European Parliament</dc:creator>
  <cp:lastModifiedBy>European Parliament</cp:lastModifiedBy>
  <cp:revision>2</cp:revision>
  <cp:lastPrinted>2026-07-06T14:07:00Z</cp:lastPrinted>
  <dcterms:created xsi:type="dcterms:W3CDTF">2026-07-09T09:31:00Z</dcterms:created>
  <dcterms:modified xsi:type="dcterms:W3CDTF">2026-07-09T09:31:00Z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1342281</vt:lpwstr>
  </property>
  <property fmtid="{D5CDD505-2E9C-101B-9397-08002B2CF9AE}" pid="4" name="&lt;Model&gt;">
    <vt:lpwstr>PA_LegEvaluation</vt:lpwstr>
  </property>
  <property fmtid="{D5CDD505-2E9C-101B-9397-08002B2CF9AE}" pid="5" name="&lt;ModelCod&gt;">
    <vt:lpwstr>\\eiciBRUpr1\pdocep$\DocEP\DOCS\General\PA\PA_Leg\PA_LegEvaluation.dotx(18/03/2025 12:35:01)</vt:lpwstr>
  </property>
  <property fmtid="{D5CDD505-2E9C-101B-9397-08002B2CF9AE}" pid="6" name="&lt;ModelTra&gt;">
    <vt:lpwstr>\\eiciBRUpr1\pdocep$\DocEP\TRANSFIL\EN\PA_LegEvaluation.EN(03/03/2026 10:04:10)</vt:lpwstr>
  </property>
  <property fmtid="{D5CDD505-2E9C-101B-9397-08002B2CF9AE}" pid="7" name="&lt;Type&gt;">
    <vt:lpwstr>AD</vt:lpwstr>
  </property>
  <property fmtid="{D5CDD505-2E9C-101B-9397-08002B2CF9AE}" pid="8" name="Bookout">
    <vt:lpwstr>OK - 2026/07/09 11:31</vt:lpwstr>
  </property>
  <property fmtid="{D5CDD505-2E9C-101B-9397-08002B2CF9AE}" pid="9" name="Created with">
    <vt:lpwstr>10.2.1 Build [20260301]</vt:lpwstr>
  </property>
  <property fmtid="{D5CDD505-2E9C-101B-9397-08002B2CF9AE}" pid="10" name="FooterPath">
    <vt:lpwstr>AD\1342281LV.docx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782.453</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NOK(Major:TWBEXT)(Minor:HDG) - 2026/06/26 11:20</vt:lpwstr>
  </property>
</Properties>
</file>