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B2D47" w:rsidRPr="00C876C7" w14:paraId="2FF0E9F2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AD9F32" w14:textId="77777777" w:rsidR="00854CAC" w:rsidRPr="00C876C7" w:rsidRDefault="008E0D25">
            <w:pPr>
              <w:pStyle w:val="EPName"/>
            </w:pPr>
            <w:r w:rsidRPr="00C876C7">
              <w:t>Parlament Europejski</w:t>
            </w:r>
          </w:p>
          <w:p w14:paraId="11C10640" w14:textId="77777777" w:rsidR="00854CAC" w:rsidRPr="00C876C7" w:rsidRDefault="008E0D25">
            <w:pPr>
              <w:pStyle w:val="EPTerm"/>
            </w:pPr>
            <w:r w:rsidRPr="00C876C7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5198ADC" w14:textId="77777777" w:rsidR="00854CAC" w:rsidRPr="00C876C7" w:rsidRDefault="008E0D25">
            <w:pPr>
              <w:pStyle w:val="EPLogo"/>
            </w:pPr>
            <w:r w:rsidRPr="00C876C7">
              <w:rPr>
                <w:noProof/>
                <w:lang w:eastAsia="ja-JP"/>
              </w:rPr>
              <w:drawing>
                <wp:inline distT="0" distB="0" distL="0" distR="0" wp14:anchorId="5ABEE405" wp14:editId="683E83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4BC274" w14:textId="77777777" w:rsidR="001746D0" w:rsidRPr="00C876C7" w:rsidRDefault="001746D0" w:rsidP="001746D0">
      <w:pPr>
        <w:pStyle w:val="LineTop"/>
      </w:pPr>
    </w:p>
    <w:p w14:paraId="1D6FB84E" w14:textId="77777777" w:rsidR="001746D0" w:rsidRPr="00C876C7" w:rsidRDefault="008E0D25" w:rsidP="001746D0">
      <w:pPr>
        <w:pStyle w:val="EPBody"/>
      </w:pPr>
      <w:r w:rsidRPr="00C876C7">
        <w:rPr>
          <w:rStyle w:val="HideTWBExt"/>
        </w:rPr>
        <w:t>&lt;</w:t>
      </w:r>
      <w:r w:rsidRPr="00C876C7">
        <w:rPr>
          <w:rStyle w:val="HideTWBExt"/>
          <w:i w:val="0"/>
        </w:rPr>
        <w:t>Commission</w:t>
      </w:r>
      <w:r w:rsidRPr="00C876C7">
        <w:rPr>
          <w:rStyle w:val="HideTWBExt"/>
        </w:rPr>
        <w:t>&gt;</w:t>
      </w:r>
      <w:r w:rsidRPr="00C876C7">
        <w:rPr>
          <w:rStyle w:val="HideTWBInt"/>
          <w:i w:val="0"/>
          <w:color w:val="auto"/>
        </w:rPr>
        <w:t>{BUDG}</w:t>
      </w:r>
      <w:r w:rsidRPr="00C876C7">
        <w:t>Komisja Budżetowa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  <w:i w:val="0"/>
        </w:rPr>
        <w:t>Commission</w:t>
      </w:r>
      <w:proofErr w:type="spellEnd"/>
      <w:r w:rsidRPr="00C876C7">
        <w:rPr>
          <w:rStyle w:val="HideTWBExt"/>
        </w:rPr>
        <w:t>&gt;</w:t>
      </w:r>
    </w:p>
    <w:p w14:paraId="61FE4BD8" w14:textId="77777777" w:rsidR="001746D0" w:rsidRPr="00C876C7" w:rsidRDefault="001746D0" w:rsidP="001746D0">
      <w:pPr>
        <w:pStyle w:val="LineBottom"/>
      </w:pPr>
    </w:p>
    <w:p w14:paraId="73B0908E" w14:textId="77777777" w:rsidR="002E2F2E" w:rsidRPr="00C876C7" w:rsidRDefault="008E0D25">
      <w:pPr>
        <w:pStyle w:val="CoverReference"/>
      </w:pPr>
      <w:r w:rsidRPr="00C876C7">
        <w:rPr>
          <w:rStyle w:val="HideTWBExt"/>
          <w:b w:val="0"/>
        </w:rPr>
        <w:t>&lt;RefProc&gt;</w:t>
      </w:r>
      <w:r w:rsidRPr="00C876C7">
        <w:t>2025/0543</w:t>
      </w:r>
      <w:r w:rsidRPr="00C876C7">
        <w:rPr>
          <w:rStyle w:val="HideTWBExt"/>
          <w:b w:val="0"/>
        </w:rPr>
        <w:t>&lt;/</w:t>
      </w:r>
      <w:proofErr w:type="spellStart"/>
      <w:r w:rsidRPr="00C876C7">
        <w:rPr>
          <w:rStyle w:val="HideTWBExt"/>
          <w:b w:val="0"/>
        </w:rPr>
        <w:t>RefProc</w:t>
      </w:r>
      <w:proofErr w:type="spellEnd"/>
      <w:r w:rsidRPr="00C876C7">
        <w:rPr>
          <w:rStyle w:val="HideTWBExt"/>
          <w:b w:val="0"/>
        </w:rPr>
        <w:t>&gt;&lt;RefTypeProc&gt;</w:t>
      </w:r>
      <w:r w:rsidRPr="00C876C7">
        <w:t>(COD)</w:t>
      </w:r>
      <w:r w:rsidRPr="00C876C7">
        <w:rPr>
          <w:rStyle w:val="HideTWBExt"/>
          <w:b w:val="0"/>
        </w:rPr>
        <w:t>&lt;/</w:t>
      </w:r>
      <w:proofErr w:type="spellStart"/>
      <w:r w:rsidRPr="00C876C7">
        <w:rPr>
          <w:rStyle w:val="HideTWBExt"/>
          <w:b w:val="0"/>
        </w:rPr>
        <w:t>RefTypeProc</w:t>
      </w:r>
      <w:proofErr w:type="spellEnd"/>
      <w:r w:rsidRPr="00C876C7">
        <w:rPr>
          <w:rStyle w:val="HideTWBExt"/>
          <w:b w:val="0"/>
        </w:rPr>
        <w:t>&gt;</w:t>
      </w:r>
    </w:p>
    <w:p w14:paraId="57A697CA" w14:textId="77777777" w:rsidR="002E2F2E" w:rsidRPr="00C876C7" w:rsidRDefault="008E0D25">
      <w:pPr>
        <w:pStyle w:val="CoverDate"/>
      </w:pPr>
      <w:r w:rsidRPr="00C876C7">
        <w:rPr>
          <w:rStyle w:val="HideTWBExt"/>
        </w:rPr>
        <w:t>&lt;Date&gt;</w:t>
      </w:r>
      <w:r w:rsidRPr="00C876C7">
        <w:rPr>
          <w:rStyle w:val="HideTWBInt"/>
          <w:color w:val="auto"/>
        </w:rPr>
        <w:t>{25/06/2026}</w:t>
      </w:r>
      <w:proofErr w:type="gramStart"/>
      <w:r w:rsidRPr="00C876C7">
        <w:t>25.6.2026</w:t>
      </w:r>
      <w:proofErr w:type="gramEnd"/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Date</w:t>
      </w:r>
      <w:proofErr w:type="spellEnd"/>
      <w:r w:rsidRPr="00C876C7">
        <w:rPr>
          <w:rStyle w:val="HideTWBExt"/>
        </w:rPr>
        <w:t>&gt;</w:t>
      </w:r>
    </w:p>
    <w:p w14:paraId="2D19F222" w14:textId="77777777" w:rsidR="002E2F2E" w:rsidRPr="00C876C7" w:rsidRDefault="008E0D25">
      <w:pPr>
        <w:pStyle w:val="CoverDocType24a"/>
      </w:pPr>
      <w:r w:rsidRPr="00C876C7">
        <w:rPr>
          <w:rStyle w:val="HideTWBExt"/>
          <w:b w:val="0"/>
        </w:rPr>
        <w:t>&lt;TitreType&gt;</w:t>
      </w:r>
      <w:r w:rsidRPr="00C876C7">
        <w:t>OCENA BUDŻETOWA</w:t>
      </w:r>
      <w:r w:rsidRPr="00C876C7">
        <w:rPr>
          <w:rStyle w:val="HideTWBExt"/>
          <w:b w:val="0"/>
        </w:rPr>
        <w:t>&lt;/</w:t>
      </w:r>
      <w:proofErr w:type="spellStart"/>
      <w:r w:rsidRPr="00C876C7">
        <w:rPr>
          <w:rStyle w:val="HideTWBExt"/>
          <w:b w:val="0"/>
        </w:rPr>
        <w:t>TitreType</w:t>
      </w:r>
      <w:proofErr w:type="spellEnd"/>
      <w:r w:rsidRPr="00C876C7">
        <w:rPr>
          <w:rStyle w:val="HideTWBExt"/>
          <w:b w:val="0"/>
        </w:rPr>
        <w:t>&gt;</w:t>
      </w:r>
    </w:p>
    <w:p w14:paraId="576ABC58" w14:textId="77777777" w:rsidR="002E2F2E" w:rsidRPr="00C876C7" w:rsidRDefault="008E0D25">
      <w:pPr>
        <w:pStyle w:val="CoverNormal24a"/>
      </w:pPr>
      <w:r w:rsidRPr="00C876C7">
        <w:rPr>
          <w:rStyle w:val="HideTWBExt"/>
        </w:rPr>
        <w:t>&lt;CommissionResp&gt;</w:t>
      </w:r>
      <w:r w:rsidRPr="00C876C7">
        <w:t xml:space="preserve">Komisji </w:t>
      </w:r>
      <w:r w:rsidRPr="00C876C7">
        <w:t>Budżetowej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CommissionResp</w:t>
      </w:r>
      <w:proofErr w:type="spellEnd"/>
      <w:r w:rsidRPr="00C876C7">
        <w:rPr>
          <w:rStyle w:val="HideTWBExt"/>
        </w:rPr>
        <w:t>&gt;</w:t>
      </w:r>
    </w:p>
    <w:p w14:paraId="34C86C70" w14:textId="77777777" w:rsidR="002E2F2E" w:rsidRPr="00C876C7" w:rsidRDefault="008E0D25">
      <w:pPr>
        <w:pStyle w:val="CoverNormal24a"/>
      </w:pPr>
      <w:r w:rsidRPr="00C876C7">
        <w:rPr>
          <w:rStyle w:val="HideTWBExt"/>
        </w:rPr>
        <w:t>&lt;CommissionInt&gt;</w:t>
      </w:r>
      <w:r w:rsidRPr="00C876C7">
        <w:t>dla Komisji Przemysłu, Badań Naukowych i Energii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CommissionInt</w:t>
      </w:r>
      <w:proofErr w:type="spellEnd"/>
      <w:r w:rsidRPr="00C876C7">
        <w:rPr>
          <w:rStyle w:val="HideTWBExt"/>
        </w:rPr>
        <w:t>&gt;</w:t>
      </w:r>
    </w:p>
    <w:p w14:paraId="07F4D0D2" w14:textId="77777777" w:rsidR="004D18F2" w:rsidRPr="00C876C7" w:rsidRDefault="008E0D25" w:rsidP="004D18F2">
      <w:pPr>
        <w:pStyle w:val="CoverNormal"/>
      </w:pPr>
      <w:r w:rsidRPr="00C876C7">
        <w:rPr>
          <w:rStyle w:val="HideTWBExt"/>
        </w:rPr>
        <w:t>&lt;Titre&gt;</w:t>
      </w:r>
      <w:r w:rsidRPr="00C876C7">
        <w:t>w sprawie wniosku dotyczącego rozporządzenia Parlamentu Europejskiego i Rady ustanawiającego program ramowy w zakresie badań naukowych i innowacji „Horyzont Europa” na lata 2028–2034 oraz zasady uczestnictwa i upowszechniania obowiązujące w tym programie oraz uchylającego rozporządzenie (UE) 2021/695</w:t>
      </w:r>
    </w:p>
    <w:p w14:paraId="55FBAA61" w14:textId="77777777" w:rsidR="002E2F2E" w:rsidRPr="00C876C7" w:rsidRDefault="008E0D25">
      <w:pPr>
        <w:pStyle w:val="CoverNormal"/>
      </w:pPr>
      <w:r w:rsidRPr="00C876C7">
        <w:rPr>
          <w:rStyle w:val="HideTWBExt"/>
        </w:rPr>
        <w:t>&lt;/Titre&gt;</w:t>
      </w:r>
    </w:p>
    <w:p w14:paraId="32C43DE1" w14:textId="77777777" w:rsidR="002E2F2E" w:rsidRPr="00C876C7" w:rsidRDefault="008E0D25">
      <w:pPr>
        <w:pStyle w:val="CoverNormal24a"/>
      </w:pPr>
      <w:r w:rsidRPr="00C876C7">
        <w:rPr>
          <w:rStyle w:val="HideTWBExt"/>
        </w:rPr>
        <w:t>&lt;DocRef&gt;</w:t>
      </w:r>
      <w:r w:rsidRPr="00C876C7">
        <w:t>(</w:t>
      </w:r>
      <w:proofErr w:type="gramStart"/>
      <w:r w:rsidRPr="00C876C7">
        <w:t>COM(</w:t>
      </w:r>
      <w:proofErr w:type="gramEnd"/>
      <w:r w:rsidRPr="00C876C7">
        <w:t>2025)0543 – C10</w:t>
      </w:r>
      <w:r w:rsidRPr="00C876C7">
        <w:noBreakHyphen/>
        <w:t>0164/2025 – 2025/0543(COD))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DocRef</w:t>
      </w:r>
      <w:proofErr w:type="spellEnd"/>
      <w:r w:rsidRPr="00C876C7">
        <w:rPr>
          <w:rStyle w:val="HideTWBExt"/>
        </w:rPr>
        <w:t>&gt;</w:t>
      </w:r>
    </w:p>
    <w:p w14:paraId="2D86B722" w14:textId="77777777" w:rsidR="00217B7E" w:rsidRPr="00C876C7" w:rsidRDefault="008E0D25" w:rsidP="00217B7E">
      <w:pPr>
        <w:pStyle w:val="CoverNormal24a"/>
        <w:rPr>
          <w:rStyle w:val="HideTWBExt"/>
        </w:rPr>
      </w:pPr>
      <w:r w:rsidRPr="00C876C7">
        <w:t xml:space="preserve">Sprawozdawca ds. oceny budżetowej: </w:t>
      </w:r>
      <w:r w:rsidRPr="00C876C7">
        <w:rPr>
          <w:rStyle w:val="HideTWBExt"/>
        </w:rPr>
        <w:t>&lt;Depute&gt;</w:t>
      </w:r>
      <w:proofErr w:type="spellStart"/>
      <w:r w:rsidRPr="00C876C7">
        <w:t>Hélder</w:t>
      </w:r>
      <w:proofErr w:type="spellEnd"/>
      <w:r w:rsidRPr="00C876C7">
        <w:t xml:space="preserve"> </w:t>
      </w:r>
      <w:proofErr w:type="spellStart"/>
      <w:r w:rsidRPr="00C876C7">
        <w:t>Sousa</w:t>
      </w:r>
      <w:proofErr w:type="spellEnd"/>
      <w:r w:rsidRPr="00C876C7">
        <w:t xml:space="preserve"> Silva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Depute</w:t>
      </w:r>
      <w:proofErr w:type="spellEnd"/>
      <w:r w:rsidRPr="00C876C7">
        <w:rPr>
          <w:rStyle w:val="HideTWBExt"/>
        </w:rPr>
        <w:t>&gt;</w:t>
      </w:r>
    </w:p>
    <w:p w14:paraId="242C5763" w14:textId="77777777" w:rsidR="002E2F2E" w:rsidRPr="00C876C7" w:rsidRDefault="008E0D25" w:rsidP="00E856D2">
      <w:pPr>
        <w:widowControl/>
        <w:tabs>
          <w:tab w:val="center" w:pos="4677"/>
        </w:tabs>
      </w:pPr>
      <w:r w:rsidRPr="00C876C7">
        <w:br w:type="page"/>
      </w:r>
      <w:proofErr w:type="spellStart"/>
      <w:r w:rsidRPr="00C876C7">
        <w:lastRenderedPageBreak/>
        <w:t>PA_LegEvaluation</w:t>
      </w:r>
      <w:proofErr w:type="spellEnd"/>
    </w:p>
    <w:p w14:paraId="5421481B" w14:textId="77777777" w:rsidR="002E2F2E" w:rsidRPr="00C876C7" w:rsidRDefault="008E0D25" w:rsidP="00757C4C">
      <w:pPr>
        <w:pStyle w:val="PageHeadingNotTOC"/>
      </w:pPr>
      <w:r w:rsidRPr="00C876C7">
        <w:br w:type="page"/>
      </w:r>
      <w:r w:rsidRPr="00C876C7">
        <w:lastRenderedPageBreak/>
        <w:t>OCENA BUDŻETOWA</w:t>
      </w:r>
    </w:p>
    <w:p w14:paraId="1BD8172B" w14:textId="77777777" w:rsidR="004D18F2" w:rsidRPr="00C876C7" w:rsidRDefault="008E0D25" w:rsidP="004D18F2">
      <w:pPr>
        <w:pStyle w:val="NormalBold"/>
      </w:pPr>
      <w:r w:rsidRPr="00C876C7">
        <w:t>dla Komisji Przemysłu, Badań Naukowych i Energii w sprawie wniosku dotyczącego rozporządzenia Parlamentu Europejskiego i Rady ustanawiającego program ramowy w zakresie badań naukowych i innowacji „Horyzont Europa” na lata 2028–2034 oraz zasady uczestnictwa i upowszechniania obowiązujące w tym programie oraz uchylającego rozporządzenie (UE) 2021/695</w:t>
      </w:r>
    </w:p>
    <w:p w14:paraId="4BFD7A8D" w14:textId="77777777" w:rsidR="004D18F2" w:rsidRPr="00C876C7" w:rsidRDefault="008E0D25" w:rsidP="004D18F2">
      <w:pPr>
        <w:pStyle w:val="NormalBold"/>
      </w:pPr>
      <w:r w:rsidRPr="00C876C7">
        <w:t>(</w:t>
      </w:r>
      <w:proofErr w:type="gramStart"/>
      <w:r w:rsidRPr="00C876C7">
        <w:t>COM(</w:t>
      </w:r>
      <w:proofErr w:type="gramEnd"/>
      <w:r w:rsidRPr="00C876C7">
        <w:t>2025)0543 – C10</w:t>
      </w:r>
      <w:r w:rsidRPr="00C876C7">
        <w:noBreakHyphen/>
        <w:t>0164/2025 – 2025/0543(COD))</w:t>
      </w:r>
    </w:p>
    <w:p w14:paraId="56535A53" w14:textId="77777777" w:rsidR="00AE79AF" w:rsidRPr="00C876C7" w:rsidRDefault="008E0D25" w:rsidP="00006F54">
      <w:pPr>
        <w:pStyle w:val="Normal12a"/>
        <w:spacing w:before="480"/>
      </w:pPr>
      <w:r w:rsidRPr="00C876C7">
        <w:rPr>
          <w:rStyle w:val="HideTWBExt"/>
        </w:rPr>
        <w:t>&lt;Intro&gt;</w:t>
      </w:r>
      <w:r w:rsidRPr="00C876C7">
        <w:t>Zgodnie z art. 58 Regulaminu Komisja Budżetowa oceniła wniosek i stwierdziła, co następuje: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Intro</w:t>
      </w:r>
      <w:proofErr w:type="spellEnd"/>
      <w:r w:rsidRPr="00C876C7">
        <w:rPr>
          <w:rStyle w:val="HideTWBExt"/>
        </w:rPr>
        <w:t>&gt;</w:t>
      </w:r>
    </w:p>
    <w:p w14:paraId="56BCF998" w14:textId="77777777" w:rsidR="00CE6558" w:rsidRPr="00C876C7" w:rsidRDefault="008E0D25" w:rsidP="00CE6558">
      <w:pPr>
        <w:pStyle w:val="EPComma"/>
      </w:pPr>
      <w:r w:rsidRPr="00C876C7">
        <w:rPr>
          <w:i/>
        </w:rPr>
        <w:t>Komisja Budżetowa,</w:t>
      </w:r>
    </w:p>
    <w:p w14:paraId="2AC01516" w14:textId="77777777" w:rsidR="00217B7E" w:rsidRPr="00C876C7" w:rsidRDefault="008E0D25" w:rsidP="00217B7E">
      <w:pPr>
        <w:pStyle w:val="NormalHanging12a"/>
        <w:rPr>
          <w:bCs/>
          <w:iCs/>
        </w:rPr>
      </w:pPr>
      <w:r w:rsidRPr="00C876C7">
        <w:t>A.</w:t>
      </w:r>
      <w:r w:rsidRPr="00C876C7">
        <w:tab/>
        <w:t xml:space="preserve">mając na uwadze, że w sprawozdaniu </w:t>
      </w:r>
      <w:proofErr w:type="spellStart"/>
      <w:r w:rsidRPr="00C876C7">
        <w:t>Draghiego</w:t>
      </w:r>
      <w:proofErr w:type="spellEnd"/>
      <w:r w:rsidRPr="00C876C7">
        <w:t xml:space="preserve"> badania naukowe i innowacje zostały wskazane jako jedne z głównych sił </w:t>
      </w:r>
      <w:r w:rsidRPr="00C876C7">
        <w:t xml:space="preserve">napędowych wydajności i dobrostanu ludzi, ponieważ są one w stanie generować pozytywne efekty zewnętrzne i wspierać strategiczną autonomię i model społeczny UE; mając na uwadze, że w sprawozdaniu tym poparto opracowanie zreformowanego i prostszego programu skoncentrowanego na wybranych priorytetach i dysponującego zwiększonym budżetem w wysokości 200 mld EUR; mając na uwadze, że w sprawozdaniu </w:t>
      </w:r>
      <w:proofErr w:type="spellStart"/>
      <w:r w:rsidRPr="00C876C7">
        <w:t>Draghiego</w:t>
      </w:r>
      <w:proofErr w:type="spellEnd"/>
      <w:r w:rsidRPr="00C876C7">
        <w:t xml:space="preserve"> zwrócono uwagę na niewystarczające ukierunkowanie obecnego unijnego systemu innowacji na innowacje przeło</w:t>
      </w:r>
      <w:r w:rsidRPr="00C876C7">
        <w:t>mowe;</w:t>
      </w:r>
    </w:p>
    <w:p w14:paraId="25F5B0CE" w14:textId="77777777" w:rsidR="00217B7E" w:rsidRPr="00C876C7" w:rsidRDefault="008E0D25" w:rsidP="00217B7E">
      <w:pPr>
        <w:pStyle w:val="NormalHanging12a"/>
      </w:pPr>
      <w:r w:rsidRPr="00C876C7">
        <w:t>B.</w:t>
      </w:r>
      <w:r w:rsidRPr="00C876C7">
        <w:tab/>
        <w:t>mając na uwadze, że ocena śródokresowa programu „Horyzont Europa”</w:t>
      </w:r>
      <w:r w:rsidRPr="00C876C7">
        <w:rPr>
          <w:vertAlign w:val="superscript"/>
        </w:rPr>
        <w:footnoteReference w:id="1"/>
      </w:r>
      <w:r w:rsidRPr="00C876C7">
        <w:t xml:space="preserve"> potwierdziła jego wysoką europejską wartość dodaną, znaczenie i skuteczność; mając na uwadze, że w ocenie tej podkreślono, iż pomimo wzrostu średniego wskaźnika powodzenia z 12 % w programie „Horyzont 2020” do 16,4 % w programie „Horyzont Europa” (i z 9 % do 14 % w państwach objętych inicjatywą rozszerzania uczestnictwa) udało się sfinansować jedynie 30 % wniosków wysokiej jakości, a na sfinansowanie wszystkich z nich potrzebna byłaby dodatkowa kwota 81,8 mld EUR;</w:t>
      </w:r>
    </w:p>
    <w:p w14:paraId="5D8C9112" w14:textId="77777777" w:rsidR="00755CD7" w:rsidRPr="00C876C7" w:rsidRDefault="008E0D25" w:rsidP="00E00D3E">
      <w:pPr>
        <w:pStyle w:val="NormalHanging12a"/>
      </w:pPr>
      <w:r w:rsidRPr="00C876C7">
        <w:t>C.</w:t>
      </w:r>
      <w:r w:rsidRPr="00C876C7">
        <w:tab/>
        <w:t>mając na uwadze, że w deklaracji budapeszteńskiej ponownie podkreślono znaczenie przeznaczenia 3 % PKB na badania i rozwój do 2030 r.; mając na uwadze, że w ciągu 26 lat od deklaracji barcelońskiej tylko kilka państw członkowskich osiągnęło ten cel; mając na uwadze, że program „Horyzont Europa” może wspierać osiągnięcie tego celu i pozyskiwać dodatkowe fundusze od podmiotów publicznych i prywatnych;</w:t>
      </w:r>
    </w:p>
    <w:p w14:paraId="74A64F41" w14:textId="77777777" w:rsidR="00217B7E" w:rsidRPr="00C876C7" w:rsidRDefault="008E0D25" w:rsidP="00217B7E">
      <w:pPr>
        <w:pStyle w:val="NormalHanging12a"/>
      </w:pPr>
      <w:bookmarkStart w:id="0" w:name="_Hlk224037259"/>
      <w:r w:rsidRPr="00C876C7">
        <w:t>D.</w:t>
      </w:r>
      <w:r w:rsidRPr="00C876C7">
        <w:tab/>
        <w:t xml:space="preserve">mając na uwadze, że w sprawozdaniu </w:t>
      </w:r>
      <w:proofErr w:type="spellStart"/>
      <w:r w:rsidRPr="00C876C7">
        <w:t>Letty</w:t>
      </w:r>
      <w:proofErr w:type="spellEnd"/>
      <w:r w:rsidRPr="00C876C7">
        <w:t xml:space="preserve"> zaproponowano nową „piątą swobodę na rzecz rozwoju badań, innowacji i edukacji na jednolitym rynku”, co wymaga wzmocnionej i w pełni operacyjnej europejskiej przestrzeni badawczej; mając na uwadze, że program „Horyzont Europa” powinien przyczyniać się do urzeczywistnienia tej dodatkowej swobody, między innymi poprzez wspieranie mobilności naukowców w </w:t>
      </w:r>
      <w:r w:rsidRPr="00C876C7">
        <w:lastRenderedPageBreak/>
        <w:t>ramach europejskiej przestrzeni badawczej;</w:t>
      </w:r>
    </w:p>
    <w:p w14:paraId="2B3B6A26" w14:textId="77777777" w:rsidR="00217B7E" w:rsidRPr="00C876C7" w:rsidRDefault="008E0D25" w:rsidP="00217B7E">
      <w:pPr>
        <w:pStyle w:val="NormalHanging12a"/>
      </w:pPr>
      <w:r w:rsidRPr="00C876C7">
        <w:t>E.</w:t>
      </w:r>
      <w:r w:rsidRPr="00C876C7">
        <w:tab/>
        <w:t>mając na uwadze znaczenie faktu, że uruchamianie zasobów i zwiększanie inwestycji w badania naukowe i innowacje nie może opierać się wyłącznie na sektorze publicznym, który powinien również pełnić rolę dźwigni służącej mobilizacji inwestycji prywatnych, a zarazem sprawiać, by badania naukowe i innowacje stanowiły atrakcyjne obszary inwestycji dla przedsiębiorstw, w tym małych i średnich przedsiębiorstw;</w:t>
      </w:r>
    </w:p>
    <w:p w14:paraId="2163FF42" w14:textId="77777777" w:rsidR="00217B7E" w:rsidRPr="00C876C7" w:rsidRDefault="008E0D25" w:rsidP="00217B7E">
      <w:pPr>
        <w:pStyle w:val="NormalHanging12a"/>
      </w:pPr>
      <w:r w:rsidRPr="00C876C7">
        <w:t>F.</w:t>
      </w:r>
      <w:r w:rsidRPr="00C876C7">
        <w:tab/>
        <w:t>mając na uwadze, że utrzymujące się dysproporcje w wynikach w zakresie badań naukowych i innowacji nadal ograniczają ogólną konkurencyjność UE; mając na uwadze, że wzmocniona konwergencja w europejskiej przestrzeni badawczej jest niezbędna do zniwelowania luki innowacyjnej oraz uwolnienia niewykorzystanego potencjału doskonałości we wszystkich państwach członkowskich;</w:t>
      </w:r>
    </w:p>
    <w:p w14:paraId="14445D72" w14:textId="77777777" w:rsidR="00217B7E" w:rsidRPr="00C876C7" w:rsidRDefault="008E0D25" w:rsidP="00217B7E">
      <w:pPr>
        <w:pStyle w:val="NormalHanging12a"/>
      </w:pPr>
      <w:r w:rsidRPr="00C876C7">
        <w:t>G.</w:t>
      </w:r>
      <w:r w:rsidRPr="00C876C7">
        <w:tab/>
        <w:t xml:space="preserve">mając na uwadze, że trwająca obecnie </w:t>
      </w:r>
      <w:proofErr w:type="spellStart"/>
      <w:r w:rsidRPr="00C876C7">
        <w:t>pełnoskalowa</w:t>
      </w:r>
      <w:proofErr w:type="spellEnd"/>
      <w:r w:rsidRPr="00C876C7">
        <w:t xml:space="preserve"> wojna w Ukrainie uwidacznia znaczenie technologii podwójnego zastosowania;</w:t>
      </w:r>
    </w:p>
    <w:bookmarkEnd w:id="0"/>
    <w:p w14:paraId="1DC1A96B" w14:textId="77777777" w:rsidR="00217B7E" w:rsidRPr="00C876C7" w:rsidRDefault="008E0D25" w:rsidP="00217B7E">
      <w:pPr>
        <w:pStyle w:val="NormalHanging12a"/>
      </w:pPr>
      <w:r w:rsidRPr="00C876C7">
        <w:t>1.</w:t>
      </w:r>
      <w:r w:rsidRPr="00C876C7">
        <w:tab/>
        <w:t>uważa, że należy zwiększyć pulę środków finansowych programu z 154 mld EUR do 200 mld EUR (czyli 177 mld EUR w cenach z 2025 r.), aby zapewnić konkurencyjności europejskiej niezbędny bodziec do innowacji w kluczowych sektorach, wesprzeć bazę naukową UE i ułatwić rozwój nowych rozwiązań globalnych problemów społecznych w celu zapewnienia odpowiednich poziomów finansowania wszystkich priorytetów i celów programu, wspierając cel, jakim jest przeznaczenie 3 % PKB na wydatki na badania i rozwój do 2030 r.;</w:t>
      </w:r>
    </w:p>
    <w:p w14:paraId="298D40E5" w14:textId="77777777" w:rsidR="00217B7E" w:rsidRPr="00C876C7" w:rsidRDefault="008E0D25" w:rsidP="00217B7E">
      <w:pPr>
        <w:pStyle w:val="NormalHanging12a"/>
      </w:pPr>
      <w:r w:rsidRPr="00C876C7">
        <w:t>2.</w:t>
      </w:r>
      <w:r w:rsidRPr="00C876C7">
        <w:tab/>
        <w:t>uważa, że wystarczające zasoby ludzkie, techniczne i informatyczne muszą być dostępne od samego początku i przez cały okres programowania nadchodzących wieloletnich ram finansowych (WRF) na lata 2028–2034, aby zapewnić skuteczne wdrażanie programu „Horyzont Europa”;</w:t>
      </w:r>
    </w:p>
    <w:p w14:paraId="2AFF4E8F" w14:textId="77777777" w:rsidR="00217B7E" w:rsidRPr="00C876C7" w:rsidRDefault="008E0D25" w:rsidP="00217B7E">
      <w:pPr>
        <w:pStyle w:val="NormalHanging12a"/>
        <w:rPr>
          <w:bCs/>
          <w:iCs/>
        </w:rPr>
      </w:pPr>
      <w:r w:rsidRPr="00C876C7">
        <w:t>3.</w:t>
      </w:r>
      <w:r w:rsidRPr="00C876C7">
        <w:tab/>
        <w:t>zwraca uwagę, że badania naukowe i innowacje stanowią główne czynniki napędzające długoterminową konkurencyjność; w związku z tym interwencje w ramach działu 2 kolejnych WRF, a w szczególności programu „Horyzont Europa”, należy ukierunkować między innymi na zmniejszenie luki innowacyjnej między UE a światowymi konkurentami w celu wzmocnienia zdolności konkurencyjnej Unii Europejskiej, zapewniając płynne przechodzenie od doskonałych badań naukowych do rozwiązań nadających się do komercjalizacji oraz wyposaż</w:t>
      </w:r>
      <w:r w:rsidRPr="00C876C7">
        <w:t>ając europejskie przedsiębiorstwa w przewagę technologiczną niezbędną do osiągania sukcesów w warunkach otwartej konkurencji światowej;</w:t>
      </w:r>
    </w:p>
    <w:p w14:paraId="1F7594B9" w14:textId="77777777" w:rsidR="00217B7E" w:rsidRPr="00C876C7" w:rsidRDefault="008E0D25" w:rsidP="00217B7E">
      <w:pPr>
        <w:pStyle w:val="NormalHanging12a"/>
        <w:rPr>
          <w:bCs/>
          <w:iCs/>
        </w:rPr>
      </w:pPr>
      <w:r w:rsidRPr="00C876C7">
        <w:t>4.</w:t>
      </w:r>
      <w:r w:rsidRPr="00C876C7">
        <w:tab/>
        <w:t xml:space="preserve">uważa, że należy przeznaczyć znaczne środki na technologie związane z bezpieczeństwem, technologie podwójnego zastosowania i obronnością oraz na projekty w zakresie badań naukowych i innowacji w celu wzmocnienia suwerenności technologicznej i odporności; odnotowuje, że Komisja zaproponowała szczegółowy program dotyczący badań naukowych związanych z obronnością jako część Europejskiego Funduszu Konkurencyjności; z zadowoleniem przyjmuje fakt, że program „Horyzont Europa” nadal koncentruje się na wspieraniu </w:t>
      </w:r>
      <w:r w:rsidRPr="00C876C7">
        <w:t>badań w dziedzinie zastosowań cywilnych i podwójnego zastosowania;</w:t>
      </w:r>
    </w:p>
    <w:p w14:paraId="7CD74FB3" w14:textId="77777777" w:rsidR="00217B7E" w:rsidRPr="00C876C7" w:rsidRDefault="008E0D25" w:rsidP="00217B7E">
      <w:pPr>
        <w:pStyle w:val="NormalHanging12a"/>
      </w:pPr>
      <w:r w:rsidRPr="00C876C7">
        <w:t>5.</w:t>
      </w:r>
      <w:r w:rsidRPr="00C876C7">
        <w:tab/>
        <w:t xml:space="preserve">zwraca uwagę, że podział budżetu w art. 6 obejmuje jedynie 7 orientacyjnych kwot na </w:t>
      </w:r>
      <w:r w:rsidRPr="00C876C7">
        <w:lastRenderedPageBreak/>
        <w:t xml:space="preserve">poziomie pozycji w porównaniu z 15 kwotami w latach 2021–2027; wyraża zaniepokojenie brakiem przewidywalnego budżetu dla wielu działań – w szczególności w ramach filarów I </w:t>
      </w:r>
      <w:proofErr w:type="spellStart"/>
      <w:r w:rsidRPr="00C876C7">
        <w:t>i</w:t>
      </w:r>
      <w:proofErr w:type="spellEnd"/>
      <w:r w:rsidRPr="00C876C7">
        <w:t xml:space="preserve"> III – w przypadku których beneficjentom brakuje jasnej puli środków finansowych; zauważa z zaniepokojeniem, że dałoby to Komisji dużą swobodę zmiany priorytetów w zakresie wydatków i decydowania o nich podczas wdrażania bez żadnej wartości dodanej dla b</w:t>
      </w:r>
      <w:r w:rsidRPr="00C876C7">
        <w:t>adaczy, innowatorów i MŚP korzystających z programu; zaleca ustalenie orientacyjnych pul cząstkowych dla każdego filaru i podprogramu w akcie podstawowym w celu zwiększenia przewidywalności, przejrzystości i demokratycznej rozliczalności w perspektywie długoterminowej,</w:t>
      </w:r>
    </w:p>
    <w:p w14:paraId="6B1985B4" w14:textId="77777777" w:rsidR="00217B7E" w:rsidRPr="00C876C7" w:rsidRDefault="008E0D25" w:rsidP="00217B7E">
      <w:pPr>
        <w:pStyle w:val="NormalHanging12a"/>
      </w:pPr>
      <w:r w:rsidRPr="00C876C7">
        <w:t>6.</w:t>
      </w:r>
      <w:r w:rsidRPr="00C876C7">
        <w:tab/>
        <w:t>uznaje, że Europejski Instytut Innowacji i Technologii (EIT) wspierał i wspiera kilka kolejnych generacji wspólnot wiedzy i innowacji (</w:t>
      </w:r>
      <w:proofErr w:type="spellStart"/>
      <w:r w:rsidRPr="00C876C7">
        <w:t>WWiI</w:t>
      </w:r>
      <w:proofErr w:type="spellEnd"/>
      <w:r w:rsidRPr="00C876C7">
        <w:t xml:space="preserve">), wykorzystując potencjał ekosystemu badań naukowych i innowacji w UE; jest zdania, że EIT powinien działać na rzecz powodzenia </w:t>
      </w:r>
      <w:proofErr w:type="spellStart"/>
      <w:r w:rsidRPr="00C876C7">
        <w:t>WWiI</w:t>
      </w:r>
      <w:proofErr w:type="spellEnd"/>
      <w:r w:rsidRPr="00C876C7">
        <w:t xml:space="preserve"> przez upowszechnianie najlepszych praktyk, wspieranie administrowania środkami publicznymi oraz uzyskiwanie wartości dodanej z powiązań między </w:t>
      </w:r>
      <w:proofErr w:type="spellStart"/>
      <w:r w:rsidRPr="00C876C7">
        <w:t>WWiI</w:t>
      </w:r>
      <w:proofErr w:type="spellEnd"/>
      <w:r w:rsidRPr="00C876C7">
        <w:t>; wzywa do przydzielenia EIT odpowiednich zasobów finansowych i ludzkich, tak aby ta zdecen</w:t>
      </w:r>
      <w:r w:rsidRPr="00C876C7">
        <w:t>tralizowana agencja dysponowała wystarczającymi środkami do realizacji swojego przyszłego mandatu i powierzonych jej zadań;</w:t>
      </w:r>
    </w:p>
    <w:p w14:paraId="4D2B3803" w14:textId="77777777" w:rsidR="00217B7E" w:rsidRPr="00C876C7" w:rsidRDefault="008E0D25" w:rsidP="00217B7E">
      <w:pPr>
        <w:pStyle w:val="NormalHanging12a"/>
        <w:rPr>
          <w:bCs/>
          <w:iCs/>
        </w:rPr>
      </w:pPr>
      <w:r w:rsidRPr="00C876C7">
        <w:t>7.</w:t>
      </w:r>
      <w:r w:rsidRPr="00C876C7">
        <w:tab/>
        <w:t>zauważa, że program „Horyzont Europa” powinien nadal pozostać programem w pełni autonomicznym i niezależnym, przy jednoczesnym zapewnieniu spójności i komplementarności z Europejskim Funduszem Konkurencyjności dzięki dostosowanym priorytetom strategicznym, bez uszczerbku dla jego własnego systemu zarządzania, kryteriów oceny opartych na doskonałości oraz niezależnych przepisów; podkreśla, że jednocześnie konieczne jest utrzymanie koordynacji programu „Horyzont Europa” ze wszystkimi programami UE, które mog</w:t>
      </w:r>
      <w:r w:rsidRPr="00C876C7">
        <w:t>ą być powiązane z innowacjami i badaniami naukowymi, zarówno w zakresie kształcenia, ochrony zdrowia, przyciągania inwestycji, jak i wspierania zdolności konkurencyjnej europejskich przedsiębiorstw; odnotowuje proponowane synergie między programem „Horyzont Europa” a Europejskim Funduszem Konkurencyjności; podziela ocenę, że oba programy powinny ściśle ze sobą współpracować, aby budżet UE był odpowiednio przygotowany do wspierania europejskich innowatorów – od badań podstawowych po komercjalizację; zaznacza</w:t>
      </w:r>
      <w:r w:rsidRPr="00C876C7">
        <w:t xml:space="preserve"> w tym względzie, że ewentualny wkład krzyżowy między programami musi być należycie odzwierciedlony w zestawieniu wyników programów; podkreśla, że zwiększona komplementarność programów nie może prowadzić do nieproporcjonalnej złożoności dla beneficjentów; apeluje o jaśniejsze, bardziej dostępne i spójniejsze finansowanie UE, aby ułatwić absorpcję i zmaksymalizować wpływ inwestycji;</w:t>
      </w:r>
    </w:p>
    <w:p w14:paraId="0E109B0B" w14:textId="77777777" w:rsidR="00217B7E" w:rsidRPr="00C876C7" w:rsidRDefault="008E0D25" w:rsidP="00217B7E">
      <w:pPr>
        <w:pStyle w:val="NormalHanging12a"/>
        <w:rPr>
          <w:bCs/>
          <w:iCs/>
        </w:rPr>
      </w:pPr>
      <w:r w:rsidRPr="00C876C7">
        <w:t>8.</w:t>
      </w:r>
      <w:r w:rsidRPr="00C876C7">
        <w:tab/>
        <w:t>z niepokojem zwraca uwagę na utrzymującą się lukę strukturalną w dziedzinie badań naukowych i innowacji między państwami członkowskimi oraz wzywa do wzmożenia wysiłków na rzecz zniwelowania tej luki w ramach UE;</w:t>
      </w:r>
    </w:p>
    <w:p w14:paraId="2E18A135" w14:textId="77777777" w:rsidR="00217B7E" w:rsidRPr="00C876C7" w:rsidRDefault="008E0D25" w:rsidP="00217B7E">
      <w:pPr>
        <w:pStyle w:val="NormalHanging12a"/>
      </w:pPr>
      <w:r w:rsidRPr="00C876C7">
        <w:t>9.</w:t>
      </w:r>
      <w:r w:rsidRPr="00C876C7">
        <w:tab/>
        <w:t xml:space="preserve">uznaje, że elastyczność jest ważną cechą struktury WRF na lata 2028–2034 przedstawionej we wniosku Komisji; przypomina jednak o potrzebie zapewnienia przewidywalnych i wystarczających rocznych zasobów na program „Horyzont Europa”, biorąc pod uwagę długoterminowy charakter projektów w zakresie badań naukowych i innowacji; uważa, że orientacyjny przydział środków budżetowych na każdą pozycję programu zapewniłby przewidywalność beneficjentom końcowym, nie pozbawiając władzy budżetowej jej prerogatyw; </w:t>
      </w:r>
    </w:p>
    <w:p w14:paraId="01ED282D" w14:textId="77777777" w:rsidR="00217B7E" w:rsidRPr="00C876C7" w:rsidRDefault="008E0D25" w:rsidP="00217B7E">
      <w:pPr>
        <w:pStyle w:val="NormalHanging12a"/>
      </w:pPr>
      <w:r w:rsidRPr="00C876C7">
        <w:lastRenderedPageBreak/>
        <w:t>10.</w:t>
      </w:r>
      <w:r w:rsidRPr="00C876C7">
        <w:tab/>
        <w:t xml:space="preserve">ubolewa nad brakiem wystarczająco szczegółowej </w:t>
      </w:r>
      <w:r w:rsidRPr="00C876C7">
        <w:t>orientacyjnej nomenklatury budżetowej zaproponowanej w ocenie skutków finansowych i cyfrowych regulacji, która obejmuje jedynie 5 linii budżetowych w porównaniu z 44 liniami w latach 2021–2027; uważa, że ograniczy to nadzór, przewidywalność i zdolność władzy budżetowej do dokładnego ukierunkowania priorytetów polityki w ramach rocznej procedury budżetowej; wyraża zaniepokojenie, że zbyt globalna struktura budżetowa znacznie ułatwiłaby transfery, które nie podlegają decyzji władzy budżetowej; zaleca zatem ba</w:t>
      </w:r>
      <w:r w:rsidRPr="00C876C7">
        <w:t>rdziej szczegółową nomenklaturę, która właściwie odzwierciedlałaby cele i strukturę programu oraz zwiększała przejrzystość, rozliczalność i kontrolę parlamentarną; przypomina, że nomenklatura budżetowa musi być zgodna z art. 47 ust. 2 rozporządzenia finansowego</w:t>
      </w:r>
      <w:r w:rsidRPr="00C876C7">
        <w:rPr>
          <w:rStyle w:val="FootnoteReference"/>
        </w:rPr>
        <w:footnoteReference w:id="2"/>
      </w:r>
      <w:r w:rsidRPr="00C876C7">
        <w:t>, który stanowi, że każdy tytuł powinien odpowiadać segmentowi polityki, a każdy rozdział – co do zasady – programowi lub działaniu, zgodnie z zasadami szczegółowości, należytego zarządzania finansami i przejrzystości; podkreśla, że nomenklatura budżetowa stanowi integralną część stanowiska negocjacyjnego Parlamentu i musi być omawiana w ramach negocjacji międzyinstytucjonalnych; uważa w tym kontekście, że zmieniona ocena skutków finansowych i cyfrowych regulacji musi stanowić część ostatecznego porozumieni</w:t>
      </w:r>
      <w:r w:rsidRPr="00C876C7">
        <w:t>a politycznego;</w:t>
      </w:r>
    </w:p>
    <w:p w14:paraId="022B097D" w14:textId="77777777" w:rsidR="00205307" w:rsidRPr="00C876C7" w:rsidRDefault="008E0D25" w:rsidP="00205307">
      <w:pPr>
        <w:pStyle w:val="NormalHanging12a"/>
        <w:rPr>
          <w:bCs/>
          <w:iCs/>
        </w:rPr>
      </w:pPr>
      <w:r w:rsidRPr="00C876C7">
        <w:t>11.</w:t>
      </w:r>
      <w:r w:rsidRPr="00C876C7">
        <w:tab/>
        <w:t>podkreśla, że wystarczająco szczegółowe i solidne prawodawstwo, z odpowiednim poziomem zarządzania, jest warunkiem właściwego podejmowania decyzji budżetowych i odpowiedniego nadzoru parlamentarnego podczas wykonywania budżetu; uważa, że źle skonstruowany „mechanizm sterujący” nie może zrekompensować utraty uprawnień ustawodawczych ani budżetowych Parlamentu i nie nadaje się do kierowania programem wspierającym działalność w pionierskich obszarach nauki, technologii i innowacji, zwłaszcza że cykle innowacj</w:t>
      </w:r>
      <w:r w:rsidRPr="00C876C7">
        <w:t>i w niektórych sektorach strategicznych mierzy się w tygodniach lub miesiącach, podczas gdy mechanizm sterujący jest procedurą trwającą lata;</w:t>
      </w:r>
    </w:p>
    <w:p w14:paraId="4817AA4C" w14:textId="77777777" w:rsidR="00205307" w:rsidRPr="00C876C7" w:rsidRDefault="008E0D25" w:rsidP="00205307">
      <w:pPr>
        <w:pStyle w:val="NormalHanging12a"/>
      </w:pPr>
      <w:r w:rsidRPr="00C876C7">
        <w:t>12.</w:t>
      </w:r>
      <w:r w:rsidRPr="00C876C7">
        <w:tab/>
        <w:t xml:space="preserve">uważa, że wszystkie istotne wybory polityczne, w tym priorytety wydatków i przydziały środków finansowych, należy określić w akcie podstawowym programu „Horyzont Europa”, z pełnym poszanowaniem prerogatyw Parlamentu jako </w:t>
      </w:r>
      <w:proofErr w:type="spellStart"/>
      <w:r w:rsidRPr="00C876C7">
        <w:t>współprawodawcy</w:t>
      </w:r>
      <w:proofErr w:type="spellEnd"/>
      <w:r w:rsidRPr="00C876C7">
        <w:t xml:space="preserve"> i jednego z organów władzy budżetowej; przypomina, że elementy wiążące się z wyborami politycznymi, które nie zostały uwzględnione w akcie podstawowym, muszą być przyjmowane w drodze aktów delegowanych;</w:t>
      </w:r>
    </w:p>
    <w:p w14:paraId="4EED04B0" w14:textId="77777777" w:rsidR="00205307" w:rsidRPr="00C876C7" w:rsidRDefault="008E0D25" w:rsidP="00205307">
      <w:pPr>
        <w:pStyle w:val="NormalHanging12a"/>
      </w:pPr>
      <w:r w:rsidRPr="00C876C7">
        <w:t>13.</w:t>
      </w:r>
      <w:r w:rsidRPr="00C876C7">
        <w:tab/>
        <w:t>podkreśla, że realizacja i rozwój programu powinny przebiegać w sposób przejrzysty, przy jednoczesnym poszanowaniu wartości europejskich oraz praw człowieka i prawa międzynarodowego, przy wsparciu instytucji demokratycznych;</w:t>
      </w:r>
    </w:p>
    <w:p w14:paraId="75D9B963" w14:textId="77777777" w:rsidR="00205307" w:rsidRPr="00C876C7" w:rsidRDefault="008E0D25" w:rsidP="00205307">
      <w:pPr>
        <w:pStyle w:val="NormalHanging12a"/>
      </w:pPr>
      <w:r w:rsidRPr="00C876C7">
        <w:t>14.</w:t>
      </w:r>
      <w:r w:rsidRPr="00C876C7">
        <w:tab/>
        <w:t xml:space="preserve">przypomina, że we wniosku przewidziano możliwość wykorzystania gwarancji budżetowej; podkreśla, że skutki budżetowe operacji zaciągania i udzielania pożyczek w ramach programu ramowego „Horyzont Europa” muszą być jasno określone, przedstawione w przejrzysty sposób i ściśle monitorowane przez cały okres WRF; podkreśla, że wszystkie decyzje związane z takimi operacjami muszą być w pełni </w:t>
      </w:r>
      <w:r w:rsidRPr="00C876C7">
        <w:lastRenderedPageBreak/>
        <w:t xml:space="preserve">zgodne z uprawnieniami </w:t>
      </w:r>
      <w:proofErr w:type="spellStart"/>
      <w:r w:rsidRPr="00C876C7">
        <w:t>współprawodawców</w:t>
      </w:r>
      <w:proofErr w:type="spellEnd"/>
      <w:r w:rsidRPr="00C876C7">
        <w:t xml:space="preserve"> i prerogatywami władzy budżetowej; zaznacza, że takie instrumenty powinny być wykor</w:t>
      </w:r>
      <w:r w:rsidRPr="00C876C7">
        <w:t>zystywane strategicznie, aby zmaksymalizować wpływ, skuteczność i trwałość finansowania UE, przy jednoczesnym zapewnieniu pełnej przejrzystości, należytego zarządzania ryzykiem i poszanowania prerogatyw władzy budżetowej; przypomina, że należy chronić interesy finansowe UE, między innymi przez zagwarantowanie pełnego dostępu do danych podlegających kontroli, prawa do prowadzenia dochodzeń Europejskiemu Urzędowi ds. Zwalczania Nadużyć Finansowych (OLAF) i Prokuraturze Europejskiej (EPPO) oraz prawa do przepr</w:t>
      </w:r>
      <w:r w:rsidRPr="00C876C7">
        <w:t>owadzania audytów Europejskiemu Trybunałowi Obrachunkowemu;</w:t>
      </w:r>
    </w:p>
    <w:p w14:paraId="3CAA08EB" w14:textId="77777777" w:rsidR="00205307" w:rsidRPr="00C876C7" w:rsidRDefault="008E0D25" w:rsidP="00205307">
      <w:pPr>
        <w:pStyle w:val="NormalHanging12a"/>
      </w:pPr>
      <w:r w:rsidRPr="00C876C7">
        <w:t>15.</w:t>
      </w:r>
      <w:r w:rsidRPr="00C876C7">
        <w:tab/>
        <w:t xml:space="preserve">podkreśla, że Europejska Rada ds. Innowacji (EIC), w szczególności za pośrednictwem Funduszu EIC, w tym Europejskiego Funduszu na rzecz Przedsiębiorstw </w:t>
      </w:r>
      <w:proofErr w:type="spellStart"/>
      <w:r w:rsidRPr="00C876C7">
        <w:t>Scale-up</w:t>
      </w:r>
      <w:proofErr w:type="spellEnd"/>
      <w:r w:rsidRPr="00C876C7">
        <w:t>, służy realizacji celu wspierania europejskich przedsiębiorstw typu start-</w:t>
      </w:r>
      <w:proofErr w:type="spellStart"/>
      <w:r w:rsidRPr="00C876C7">
        <w:t>up</w:t>
      </w:r>
      <w:proofErr w:type="spellEnd"/>
      <w:r w:rsidRPr="00C876C7">
        <w:t xml:space="preserve"> i </w:t>
      </w:r>
      <w:proofErr w:type="spellStart"/>
      <w:r w:rsidRPr="00C876C7">
        <w:t>scale-up</w:t>
      </w:r>
      <w:proofErr w:type="spellEnd"/>
      <w:r w:rsidRPr="00C876C7">
        <w:t xml:space="preserve"> w obszarze technologii typu „</w:t>
      </w:r>
      <w:proofErr w:type="spellStart"/>
      <w:r w:rsidRPr="00C876C7">
        <w:t>deep</w:t>
      </w:r>
      <w:proofErr w:type="spellEnd"/>
      <w:r w:rsidRPr="00C876C7">
        <w:t xml:space="preserve"> </w:t>
      </w:r>
      <w:proofErr w:type="spellStart"/>
      <w:r w:rsidRPr="00C876C7">
        <w:t>tech</w:t>
      </w:r>
      <w:proofErr w:type="spellEnd"/>
      <w:r w:rsidRPr="00C876C7">
        <w:t xml:space="preserve">”, które zapewniają Unii długoterminową wartość strategiczną, zgodnie z celami sprawozdania </w:t>
      </w:r>
      <w:proofErr w:type="spellStart"/>
      <w:r w:rsidRPr="00C876C7">
        <w:t>Draghiego</w:t>
      </w:r>
      <w:proofErr w:type="spellEnd"/>
      <w:r w:rsidRPr="00C876C7">
        <w:t>; przypomina, że EIC jest jedynym w swoim rodzaju instrumentem, który łączy finansowanie z budżetu UE i od inwestorów prywa</w:t>
      </w:r>
      <w:r w:rsidRPr="00C876C7">
        <w:t xml:space="preserve">tnych, aby umożliwić przedsiębiorstwom uzyskanie dostępu do znacznego kapitału na etapie rozruchu, wzrostu i zwiększania skali działalności; zdecydowanie nawołuje do kontynuowania w kolejnych WRF misji Europejskiego Funduszu na rzecz Przedsiębiorstw </w:t>
      </w:r>
      <w:proofErr w:type="spellStart"/>
      <w:r w:rsidRPr="00C876C7">
        <w:t>Scale-up</w:t>
      </w:r>
      <w:proofErr w:type="spellEnd"/>
      <w:r w:rsidRPr="00C876C7">
        <w:t xml:space="preserve"> w ramach EIC; podkreśla, że konieczne jest wprowadzenie zabezpieczeń zapewniających należyte sprawowanie kontroli budżetowej oraz zapobiegających uszczerbkowi dla reputacji budżetu UE; w tym kontekście zauważa, że ze względu na szczególny charakter EIC </w:t>
      </w:r>
      <w:r w:rsidRPr="00C876C7">
        <w:t>oraz konieczność jej funkcjonowania na szybko zmieniającym się globalnym rynku kapitału wysokiego ryzyka, na którym znaczące straty kapitałowe są nieuniknione, można – w razie potrzeby – przewidzieć ukierunkowane odstępstwa od rozporządzenia finansowego, we współpracy z Komisją Budżetową i Komisją Kontroli Budżetowej; podkreśla, że odstępstwa te muszą być należycie uzasadnione i nie powinny naruszać prerogatyw Parlamentu jako władzy budżetowej; przypomina o znaczeniu inwestowania w europejskie sektory strat</w:t>
      </w:r>
      <w:r w:rsidRPr="00C876C7">
        <w:t>egiczne, w tym sztuczną inteligencję, technologie kwantowe, technologie podwójnego zastosowania, obronne i czyste technologie, aby zwiększyć konkurencyjność i europejską autonomię strategiczną;</w:t>
      </w:r>
    </w:p>
    <w:p w14:paraId="6225063F" w14:textId="77777777" w:rsidR="00205307" w:rsidRPr="00C876C7" w:rsidRDefault="008E0D25" w:rsidP="00205307">
      <w:pPr>
        <w:pStyle w:val="NormalHanging12a"/>
        <w:rPr>
          <w:bCs/>
          <w:iCs/>
        </w:rPr>
      </w:pPr>
      <w:r w:rsidRPr="00C876C7">
        <w:t>16.</w:t>
      </w:r>
      <w:r w:rsidRPr="00C876C7">
        <w:tab/>
        <w:t xml:space="preserve">podkreśla potrzebę wspierania przedsiębiorstw </w:t>
      </w:r>
      <w:proofErr w:type="spellStart"/>
      <w:r w:rsidRPr="00C876C7">
        <w:t>scale-up</w:t>
      </w:r>
      <w:proofErr w:type="spellEnd"/>
      <w:r w:rsidRPr="00C876C7">
        <w:t xml:space="preserve"> i pomagania europejskim przedsiębiorstwom typu start-</w:t>
      </w:r>
      <w:proofErr w:type="spellStart"/>
      <w:r w:rsidRPr="00C876C7">
        <w:t>up</w:t>
      </w:r>
      <w:proofErr w:type="spellEnd"/>
      <w:r w:rsidRPr="00C876C7">
        <w:t xml:space="preserve"> w przejściu przez „dolinę śmierci”, w której brak komercjalizacji często prowadzi do niepowodzenia lub przeniesienia działalności poza UE; podkreśla, że program „Horyzont Europa” powinien stawiać badania naukowe i innowacje w centrum unijnej strategii gospodarczej i inwestycyjnej, natomiast Europejski Fundusz Konkurencyjności powinien koncentrować się na przyspieszonym rozwoju, wdrażaniu i konkure</w:t>
      </w:r>
      <w:r w:rsidRPr="00C876C7">
        <w:t>ncyjności przemysłowej oraz na przekształcaniu najsilniejszych rezultatów europejskich badań naukowych i innowacji w przedsięwzięcia o większej skali i wdrożenia na skalę europejską;</w:t>
      </w:r>
    </w:p>
    <w:p w14:paraId="416D87C9" w14:textId="77777777" w:rsidR="00205307" w:rsidRPr="00C876C7" w:rsidRDefault="008E0D25" w:rsidP="00205307">
      <w:pPr>
        <w:pStyle w:val="NormalHanging12a"/>
      </w:pPr>
      <w:r w:rsidRPr="00C876C7">
        <w:t>17.</w:t>
      </w:r>
      <w:r w:rsidRPr="00C876C7">
        <w:tab/>
        <w:t xml:space="preserve">przypomina, że program „Horyzont Europa” powinien obejmować zarówno podejście „otwarte” (oddolne), jak i podejście oparte na „porządku publicznym” (odgórne), w ścisłej koordynacji i synergii z Europejskim Funduszem Konkurencyjności i jego segmentami polityki, zwłaszcza w odniesieniu do technologii podwójnego zastosowania, których skalę można zwiększać w ramach EFK; podkreśla, że taka synergia oraz ukierunkowanie na wydajność i skuteczność są niezbędne do zapewnienia </w:t>
      </w:r>
      <w:r w:rsidRPr="00C876C7">
        <w:lastRenderedPageBreak/>
        <w:t>zgodności z zasadą należytego zarządzani</w:t>
      </w:r>
      <w:r w:rsidRPr="00C876C7">
        <w:t>a finansami;</w:t>
      </w:r>
    </w:p>
    <w:p w14:paraId="21FF0F40" w14:textId="77777777" w:rsidR="00205307" w:rsidRPr="00C876C7" w:rsidRDefault="008E0D25" w:rsidP="00205307">
      <w:pPr>
        <w:pStyle w:val="NormalHanging12a"/>
        <w:rPr>
          <w:bCs/>
          <w:iCs/>
        </w:rPr>
      </w:pPr>
      <w:r w:rsidRPr="00C876C7">
        <w:t>18.</w:t>
      </w:r>
      <w:r w:rsidRPr="00C876C7">
        <w:tab/>
        <w:t>przypomina, że postępowania administracyjne należy uprościć dla wszystkich wnioskodawców, w szczególności w przypadku mniejszych lub średnich projektów, aby zapewnić większy udział MŚP i przedsiębiorstw typu start-</w:t>
      </w:r>
      <w:proofErr w:type="spellStart"/>
      <w:r w:rsidRPr="00C876C7">
        <w:t>up</w:t>
      </w:r>
      <w:proofErr w:type="spellEnd"/>
      <w:r w:rsidRPr="00C876C7">
        <w:t>, w tym przez zmniejszenie obciążeń związanych ze składaniem wniosków i szybszą wypłatę dotacji; podkreśla w związku z tym, że program powinien ułatwiać udział wszystkim rodzajom zainteresowanych stron, zwłaszcza nowym uczestnikom, MŚP, innowacyjnym przedsiębiorstwom typu start-</w:t>
      </w:r>
      <w:proofErr w:type="spellStart"/>
      <w:r w:rsidRPr="00C876C7">
        <w:t>up</w:t>
      </w:r>
      <w:proofErr w:type="spellEnd"/>
      <w:r w:rsidRPr="00C876C7">
        <w:t xml:space="preserve"> i </w:t>
      </w:r>
      <w:proofErr w:type="spellStart"/>
      <w:r w:rsidRPr="00C876C7">
        <w:t>scale-up</w:t>
      </w:r>
      <w:proofErr w:type="spellEnd"/>
      <w:r w:rsidRPr="00C876C7">
        <w:t>, ś</w:t>
      </w:r>
      <w:r w:rsidRPr="00C876C7">
        <w:t>rodowisku akademickiemu oraz nowym grupom docelowym, w szczególności za pośrednictwem KPK, które muszą współdziałać z odpowiednimi strukturami wsparcia w ramach innych programów Unii;</w:t>
      </w:r>
    </w:p>
    <w:p w14:paraId="50F8CCEF" w14:textId="77777777" w:rsidR="00205307" w:rsidRPr="00C876C7" w:rsidRDefault="008E0D25" w:rsidP="00205307">
      <w:pPr>
        <w:pStyle w:val="NormalHanging12a"/>
      </w:pPr>
      <w:r w:rsidRPr="00C876C7">
        <w:t>19.</w:t>
      </w:r>
      <w:r w:rsidRPr="00C876C7">
        <w:tab/>
        <w:t>podkreśla, że wykorzystanie w programie „Horyzont Europa” zewnętrznych dochodów przeznaczonych na określony cel musi być w pełni przejrzyste oraz musi podlegać skutecznej kontroli parlamentarnej; odnotowuje w związku z tym przepisy dotyczące wkładów finansowych uczestniczących państw trzecich i innych darczyńców; podkreśla, że jeżeli komisja prowadząca postanowi zmienić przepisy dotyczące zewnętrznych dochodów przeznaczonych na określony cel, powinna to zrobić we współpracy z Komisją Budżetową i innymi kom</w:t>
      </w:r>
      <w:r w:rsidRPr="00C876C7">
        <w:t>isjami, gwoli spójności;</w:t>
      </w:r>
    </w:p>
    <w:p w14:paraId="73DADFFC" w14:textId="77777777" w:rsidR="00205307" w:rsidRPr="00C876C7" w:rsidRDefault="008E0D25" w:rsidP="00205307">
      <w:pPr>
        <w:pStyle w:val="NormalHanging12a"/>
      </w:pPr>
      <w:r w:rsidRPr="00C876C7">
        <w:t>20.</w:t>
      </w:r>
      <w:r w:rsidRPr="00C876C7">
        <w:tab/>
        <w:t>przypomina o wniosku dotyczącym rozporządzenia ustanawiającego ramy monitorowania wydatków budżetowych i ramy wykonania budżetu oraz inne przepisy horyzontalne dla programów i działań UE („rozporządzenie w sprawie wykonania”), w którym ustanowiono jednolity uproszczony wykaz wskaźników wykonania oraz przepisy dotyczące monitorowania i oceny, przy czym niektóre z nich są istotne dla programu „Horyzont Europa”; przypomina, że stosowanie zasad horyzontalnych powinno być w miarę możliwości i w stosownych przyp</w:t>
      </w:r>
      <w:r w:rsidRPr="00C876C7">
        <w:t>adkach zgodne z przepisami sektorowymi, jak przewidziano w wersji przekształconej rozporządzenia finansowego, aby zapewnić ich stosowanie w sposób należycie uwzględniający specyfikę programów sektorowych; podkreśla, że zmiany w strukturze, celach i działaniach kwalifikowalnych w ramach programu będą wymagały właściwego odzwierciedlenia w odpowiednich przepisach i w załączniku I do rozporządzenia w sprawie wykonania, a to podczas zmiany i negocjowania tego rozporządzenia; zwraca uwagę, że choć przepisy sekto</w:t>
      </w:r>
      <w:r w:rsidRPr="00C876C7">
        <w:t>rowe mogą uzupełniać rozporządzenie w sprawie wykonania, na przykład w odniesieniu do ocen programów, powinny pozostać zgodne z przepisami tego rozporządzenia;</w:t>
      </w:r>
    </w:p>
    <w:p w14:paraId="2ECFCDB8" w14:textId="77777777" w:rsidR="00205307" w:rsidRPr="00C876C7" w:rsidRDefault="008E0D25" w:rsidP="00205307">
      <w:pPr>
        <w:ind w:left="567" w:hanging="567"/>
      </w:pPr>
      <w:r w:rsidRPr="00C876C7">
        <w:t>21.</w:t>
      </w:r>
      <w:r w:rsidRPr="00C876C7">
        <w:tab/>
        <w:t>uważa, że umorzenia środków na badania naukowe powinny być w pełni ponownie wykorzystywane, aby pomóc we wzmocnieniu zdolności badawczych UE, bez sztucznego ograniczania kwot, czego nie przewidziano w rozporządzeniu finansowym; uważa również, że środki powracające z instrumentów finansowych powinny pozostać dostępne w ramach programu „Horyzont Europa”.</w:t>
      </w:r>
    </w:p>
    <w:p w14:paraId="7513D964" w14:textId="77777777" w:rsidR="00C8553D" w:rsidRPr="00C876C7" w:rsidRDefault="00C8553D" w:rsidP="00C8553D"/>
    <w:p w14:paraId="1587D175" w14:textId="77777777" w:rsidR="00755CD7" w:rsidRPr="00C876C7" w:rsidRDefault="00755CD7" w:rsidP="00C8553D">
      <w:pPr>
        <w:sectPr w:rsidR="00755CD7" w:rsidRPr="00C876C7" w:rsidSect="00C876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14:paraId="167B405C" w14:textId="77777777" w:rsidR="00CE73B2" w:rsidRPr="00C876C7" w:rsidRDefault="008E0D25" w:rsidP="00825069">
      <w:pPr>
        <w:pStyle w:val="Normal12a"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  <w:r w:rsidRPr="00C876C7">
        <w:lastRenderedPageBreak/>
        <w:t xml:space="preserve">W ramach swojej </w:t>
      </w:r>
      <w:r w:rsidRPr="00C876C7">
        <w:t>oceny budżetowej Komisja Budżetowa przedstawia ponadto następujące poprawki do projektu wniosku.</w:t>
      </w:r>
    </w:p>
    <w:p w14:paraId="1160CE82" w14:textId="77777777" w:rsidR="000F307C" w:rsidRPr="00C876C7" w:rsidRDefault="008E0D25" w:rsidP="00E63984">
      <w:pPr>
        <w:pStyle w:val="AmNumberTabs"/>
      </w:pPr>
      <w:r w:rsidRPr="00C876C7">
        <w:rPr>
          <w:rStyle w:val="HideTWBExt"/>
        </w:rPr>
        <w:t>&lt;RepeatBlock-Amend&gt;</w:t>
      </w:r>
      <w:bookmarkStart w:id="1" w:name="_Hlk203492957"/>
    </w:p>
    <w:p w14:paraId="49DF16D6" w14:textId="77777777" w:rsidR="000F307C" w:rsidRPr="00C876C7" w:rsidRDefault="008E0D25" w:rsidP="00E63984">
      <w:pPr>
        <w:pStyle w:val="AmNumberTabs"/>
      </w:pPr>
      <w:r w:rsidRPr="00C876C7">
        <w:rPr>
          <w:rStyle w:val="HideTWBExt"/>
        </w:rPr>
        <w:t>&lt;Amend&gt;</w:t>
      </w:r>
      <w:r w:rsidRPr="00C876C7">
        <w:t>Poprawka</w:t>
      </w:r>
      <w:r w:rsidRPr="00C876C7">
        <w:tab/>
      </w:r>
      <w:r w:rsidRPr="00C876C7">
        <w:tab/>
      </w:r>
      <w:r w:rsidRPr="00C876C7">
        <w:rPr>
          <w:rStyle w:val="HideTWBExt"/>
        </w:rPr>
        <w:t>&lt;NumAm&gt;</w:t>
      </w:r>
      <w:r w:rsidRPr="00C876C7">
        <w:t>1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NumAm</w:t>
      </w:r>
      <w:proofErr w:type="spellEnd"/>
      <w:r w:rsidRPr="00C876C7">
        <w:rPr>
          <w:rStyle w:val="HideTWBExt"/>
        </w:rPr>
        <w:t>&gt;</w:t>
      </w:r>
    </w:p>
    <w:p w14:paraId="0E7BDFC5" w14:textId="77777777" w:rsidR="000F307C" w:rsidRPr="00C876C7" w:rsidRDefault="008E0D25" w:rsidP="000F307C">
      <w:pPr>
        <w:pStyle w:val="Normal12a"/>
        <w:spacing w:after="0"/>
        <w:rPr>
          <w:b/>
        </w:rPr>
      </w:pPr>
      <w:r w:rsidRPr="00C876C7">
        <w:rPr>
          <w:rStyle w:val="HideTWBExt"/>
        </w:rPr>
        <w:t>&lt;DocAmend&gt;</w:t>
      </w:r>
      <w:r w:rsidRPr="00C876C7">
        <w:rPr>
          <w:b/>
        </w:rPr>
        <w:t>Wniosek dotyczący rozporządzenia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DocAmend</w:t>
      </w:r>
      <w:proofErr w:type="spellEnd"/>
      <w:r w:rsidRPr="00C876C7">
        <w:rPr>
          <w:rStyle w:val="HideTWBExt"/>
        </w:rPr>
        <w:t>&gt;</w:t>
      </w:r>
    </w:p>
    <w:p w14:paraId="41443BBE" w14:textId="77777777" w:rsidR="000F307C" w:rsidRPr="00C876C7" w:rsidRDefault="008E0D25" w:rsidP="000F307C">
      <w:pPr>
        <w:pStyle w:val="Normal12a"/>
        <w:spacing w:after="0"/>
        <w:rPr>
          <w:b/>
        </w:rPr>
      </w:pPr>
      <w:r w:rsidRPr="00C876C7">
        <w:rPr>
          <w:rStyle w:val="HideTWBExt"/>
        </w:rPr>
        <w:t>&lt;Article&gt;</w:t>
      </w:r>
      <w:r w:rsidRPr="00C876C7">
        <w:rPr>
          <w:b/>
        </w:rPr>
        <w:t>Motyw 34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Article</w:t>
      </w:r>
      <w:proofErr w:type="spellEnd"/>
      <w:r w:rsidRPr="00C876C7">
        <w:rPr>
          <w:rStyle w:val="HideTWBExt"/>
        </w:rPr>
        <w:t>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B2D47" w:rsidRPr="00C876C7" w14:paraId="3ED728F3" w14:textId="77777777">
        <w:trPr>
          <w:jc w:val="center"/>
        </w:trPr>
        <w:tc>
          <w:tcPr>
            <w:tcW w:w="9750" w:type="dxa"/>
            <w:gridSpan w:val="2"/>
          </w:tcPr>
          <w:p w14:paraId="71B4C42F" w14:textId="77777777" w:rsidR="000F307C" w:rsidRPr="00C876C7" w:rsidRDefault="000F307C" w:rsidP="005A2392">
            <w:pPr>
              <w:pStyle w:val="Normal6a"/>
            </w:pPr>
          </w:p>
        </w:tc>
      </w:tr>
      <w:tr w:rsidR="002B2D47" w:rsidRPr="00C876C7" w14:paraId="4CC6FD74" w14:textId="77777777">
        <w:trPr>
          <w:jc w:val="center"/>
        </w:trPr>
        <w:tc>
          <w:tcPr>
            <w:tcW w:w="4875" w:type="dxa"/>
            <w:hideMark/>
          </w:tcPr>
          <w:p w14:paraId="5F4ABF14" w14:textId="77777777" w:rsidR="000F307C" w:rsidRPr="00C876C7" w:rsidRDefault="008E0D25" w:rsidP="00E00D3E">
            <w:pPr>
              <w:pStyle w:val="AmColumnHeading"/>
            </w:pPr>
            <w:r w:rsidRPr="00C876C7">
              <w:t xml:space="preserve">Tekst </w:t>
            </w:r>
            <w:r w:rsidRPr="00C876C7">
              <w:t>proponowany przez Komisję</w:t>
            </w:r>
          </w:p>
        </w:tc>
        <w:tc>
          <w:tcPr>
            <w:tcW w:w="4875" w:type="dxa"/>
            <w:hideMark/>
          </w:tcPr>
          <w:p w14:paraId="51914312" w14:textId="77777777" w:rsidR="000F307C" w:rsidRPr="00C876C7" w:rsidRDefault="008E0D25" w:rsidP="00E00D3E">
            <w:pPr>
              <w:pStyle w:val="AmColumnHeading"/>
            </w:pPr>
            <w:r w:rsidRPr="00C876C7">
              <w:t>Poprawka</w:t>
            </w:r>
          </w:p>
        </w:tc>
      </w:tr>
      <w:tr w:rsidR="002B2D47" w:rsidRPr="00C876C7" w14:paraId="28637B0F" w14:textId="77777777" w:rsidTr="000F307C">
        <w:trPr>
          <w:jc w:val="center"/>
        </w:trPr>
        <w:tc>
          <w:tcPr>
            <w:tcW w:w="4875" w:type="dxa"/>
          </w:tcPr>
          <w:p w14:paraId="08F624E9" w14:textId="77777777" w:rsidR="000F307C" w:rsidRPr="00C876C7" w:rsidRDefault="008E0D25" w:rsidP="005A2392">
            <w:pPr>
              <w:pStyle w:val="Normal6a"/>
            </w:pPr>
            <w:r w:rsidRPr="00C876C7">
              <w:t>(34)</w:t>
            </w:r>
            <w:r w:rsidRPr="00C876C7">
              <w:tab/>
              <w:t xml:space="preserve">W </w:t>
            </w:r>
            <w:proofErr w:type="gramStart"/>
            <w:r w:rsidRPr="00C876C7">
              <w:t>przypadku</w:t>
            </w:r>
            <w:proofErr w:type="gramEnd"/>
            <w:r w:rsidRPr="00C876C7">
              <w:t xml:space="preserve"> gdy wsparcie Unii w ramach programu ma być udzielane w formie gwarancji budżetowej lub instrumentu finansowego, w tym w połączeniu z bezzwrotnym wsparciem w ramach działania łączonego, z wyjątkiem instrumentów finansowych w ramach EIC, wsparcie takie powinno być udzielane wyłącznie za pośrednictwem Instrumentu EFK </w:t>
            </w:r>
            <w:proofErr w:type="spellStart"/>
            <w:r w:rsidRPr="00C876C7">
              <w:t>InvestEU</w:t>
            </w:r>
            <w:proofErr w:type="spellEnd"/>
            <w:r w:rsidRPr="00C876C7">
              <w:t xml:space="preserve"> zgodnie z mającymi zastosowanie zasadami tego instrumentu.</w:t>
            </w:r>
            <w:r w:rsidRPr="00C876C7">
              <w:rPr>
                <w:i/>
              </w:rPr>
              <w:t> </w:t>
            </w:r>
          </w:p>
        </w:tc>
        <w:tc>
          <w:tcPr>
            <w:tcW w:w="4875" w:type="dxa"/>
          </w:tcPr>
          <w:p w14:paraId="65F2A2FC" w14:textId="77777777" w:rsidR="000F307C" w:rsidRPr="00C876C7" w:rsidRDefault="008E0D25" w:rsidP="005A2392">
            <w:pPr>
              <w:pStyle w:val="Normal6a"/>
            </w:pPr>
            <w:r w:rsidRPr="00C876C7">
              <w:t>(34)</w:t>
            </w:r>
            <w:r w:rsidRPr="00C876C7">
              <w:tab/>
              <w:t xml:space="preserve">W </w:t>
            </w:r>
            <w:proofErr w:type="gramStart"/>
            <w:r w:rsidRPr="00C876C7">
              <w:t>przypadku</w:t>
            </w:r>
            <w:proofErr w:type="gramEnd"/>
            <w:r w:rsidRPr="00C876C7">
              <w:t xml:space="preserve"> gdy wsparcie Unii w ramach programu ma być udzielane w formie gwarancji budżetowej lub instrumentu finansowego, w tym w połączeniu z bezzwrotnym wsparciem w ramach działania łączonego, z wyjątkiem instrumentów finansowych w ramach EIC</w:t>
            </w:r>
            <w:r w:rsidRPr="00C876C7">
              <w:rPr>
                <w:b/>
                <w:i/>
              </w:rPr>
              <w:t xml:space="preserve">, w tym Funduszu na rzecz Przedsiębiorstw </w:t>
            </w:r>
            <w:proofErr w:type="spellStart"/>
            <w:r w:rsidRPr="00C876C7">
              <w:rPr>
                <w:b/>
                <w:i/>
              </w:rPr>
              <w:t>Scale-up</w:t>
            </w:r>
            <w:proofErr w:type="spellEnd"/>
            <w:r w:rsidRPr="00C876C7">
              <w:t xml:space="preserve">, wsparcie takie powinno być udzielane wyłącznie za pośrednictwem Instrumentu EFK </w:t>
            </w:r>
            <w:proofErr w:type="spellStart"/>
            <w:r w:rsidRPr="00C876C7">
              <w:t>InvestEU</w:t>
            </w:r>
            <w:proofErr w:type="spellEnd"/>
            <w:r w:rsidRPr="00C876C7">
              <w:t xml:space="preserve"> zgodnie z mającymi zastosowanie zasadami tego instrumentu.</w:t>
            </w:r>
          </w:p>
        </w:tc>
      </w:tr>
    </w:tbl>
    <w:p w14:paraId="0B74BC4E" w14:textId="77777777" w:rsidR="00610FA5" w:rsidRPr="00C876C7" w:rsidRDefault="008E0D25" w:rsidP="00E63984">
      <w:pPr>
        <w:pStyle w:val="AmNumberTabs"/>
        <w:rPr>
          <w:rStyle w:val="HideTWBExt"/>
        </w:rPr>
      </w:pPr>
      <w:r w:rsidRPr="00C876C7">
        <w:rPr>
          <w:rStyle w:val="HideTWBExt"/>
        </w:rPr>
        <w:t>&lt;/Amend&gt;</w:t>
      </w:r>
    </w:p>
    <w:p w14:paraId="1868A540" w14:textId="77777777" w:rsidR="00976019" w:rsidRPr="00C876C7" w:rsidRDefault="008E0D25" w:rsidP="00976019">
      <w:pPr>
        <w:pStyle w:val="AmNumberTabs"/>
      </w:pPr>
      <w:r w:rsidRPr="00C876C7">
        <w:rPr>
          <w:rStyle w:val="HideTWBExt"/>
        </w:rPr>
        <w:t>&lt;Amend&gt;</w:t>
      </w:r>
      <w:r w:rsidRPr="00C876C7">
        <w:t>Poprawka</w:t>
      </w:r>
      <w:r w:rsidRPr="00C876C7">
        <w:tab/>
      </w:r>
      <w:r w:rsidRPr="00C876C7">
        <w:tab/>
      </w:r>
      <w:r w:rsidRPr="00C876C7">
        <w:rPr>
          <w:rStyle w:val="HideTWBExt"/>
        </w:rPr>
        <w:t>&lt;NumAm&gt;</w:t>
      </w:r>
      <w:r w:rsidRPr="00C876C7">
        <w:t>2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NumAm</w:t>
      </w:r>
      <w:proofErr w:type="spellEnd"/>
      <w:r w:rsidRPr="00C876C7">
        <w:rPr>
          <w:rStyle w:val="HideTWBExt"/>
        </w:rPr>
        <w:t>&gt;</w:t>
      </w:r>
    </w:p>
    <w:p w14:paraId="01984279" w14:textId="77777777" w:rsidR="00976019" w:rsidRPr="00C876C7" w:rsidRDefault="008E0D25" w:rsidP="00976019">
      <w:pPr>
        <w:pStyle w:val="Normal12a"/>
        <w:spacing w:after="0"/>
        <w:rPr>
          <w:b/>
        </w:rPr>
      </w:pPr>
      <w:r w:rsidRPr="00C876C7">
        <w:rPr>
          <w:rStyle w:val="HideTWBExt"/>
        </w:rPr>
        <w:t>&lt;DocAmend&gt;</w:t>
      </w:r>
      <w:r w:rsidRPr="00C876C7">
        <w:rPr>
          <w:b/>
        </w:rPr>
        <w:t>Wniosek dotyczący rozporządzenia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DocAmend</w:t>
      </w:r>
      <w:proofErr w:type="spellEnd"/>
      <w:r w:rsidRPr="00C876C7">
        <w:rPr>
          <w:rStyle w:val="HideTWBExt"/>
        </w:rPr>
        <w:t>&gt;</w:t>
      </w:r>
    </w:p>
    <w:p w14:paraId="493AD49A" w14:textId="77777777" w:rsidR="00976019" w:rsidRPr="00C876C7" w:rsidRDefault="008E0D25" w:rsidP="00976019">
      <w:pPr>
        <w:pStyle w:val="Normal12a"/>
        <w:spacing w:after="0"/>
        <w:rPr>
          <w:b/>
        </w:rPr>
      </w:pPr>
      <w:r w:rsidRPr="00C876C7">
        <w:rPr>
          <w:rStyle w:val="HideTWBExt"/>
        </w:rPr>
        <w:t>&lt;Article&gt;</w:t>
      </w:r>
      <w:r w:rsidRPr="00C876C7">
        <w:rPr>
          <w:b/>
        </w:rPr>
        <w:t>Motyw 36 a (nowy)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Article</w:t>
      </w:r>
      <w:proofErr w:type="spellEnd"/>
      <w:r w:rsidRPr="00C876C7">
        <w:rPr>
          <w:rStyle w:val="HideTWBExt"/>
        </w:rPr>
        <w:t>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B2D47" w:rsidRPr="00C876C7" w14:paraId="67F1F3F2" w14:textId="77777777" w:rsidTr="00582163">
        <w:trPr>
          <w:jc w:val="center"/>
        </w:trPr>
        <w:tc>
          <w:tcPr>
            <w:tcW w:w="9750" w:type="dxa"/>
            <w:gridSpan w:val="2"/>
          </w:tcPr>
          <w:p w14:paraId="70FAFE12" w14:textId="77777777" w:rsidR="00976019" w:rsidRPr="00C876C7" w:rsidRDefault="00976019" w:rsidP="00582163">
            <w:pPr>
              <w:pStyle w:val="Normal6a"/>
            </w:pPr>
          </w:p>
        </w:tc>
      </w:tr>
      <w:tr w:rsidR="002B2D47" w:rsidRPr="00C876C7" w14:paraId="7007E439" w14:textId="77777777" w:rsidTr="00582163">
        <w:trPr>
          <w:jc w:val="center"/>
        </w:trPr>
        <w:tc>
          <w:tcPr>
            <w:tcW w:w="4875" w:type="dxa"/>
            <w:hideMark/>
          </w:tcPr>
          <w:p w14:paraId="48286B0C" w14:textId="77777777" w:rsidR="00976019" w:rsidRPr="00C876C7" w:rsidRDefault="008E0D25" w:rsidP="00582163">
            <w:pPr>
              <w:pStyle w:val="AmColumnHeading"/>
            </w:pPr>
            <w:r w:rsidRPr="00C876C7">
              <w:t>Tekst proponowany przez Komisję</w:t>
            </w:r>
          </w:p>
        </w:tc>
        <w:tc>
          <w:tcPr>
            <w:tcW w:w="4875" w:type="dxa"/>
            <w:hideMark/>
          </w:tcPr>
          <w:p w14:paraId="519F86EC" w14:textId="77777777" w:rsidR="00976019" w:rsidRPr="00C876C7" w:rsidRDefault="008E0D25" w:rsidP="00582163">
            <w:pPr>
              <w:pStyle w:val="AmColumnHeading"/>
            </w:pPr>
            <w:r w:rsidRPr="00C876C7">
              <w:t>Poprawka</w:t>
            </w:r>
          </w:p>
        </w:tc>
      </w:tr>
      <w:tr w:rsidR="002B2D47" w:rsidRPr="00C876C7" w14:paraId="127AEBE6" w14:textId="77777777" w:rsidTr="00582163">
        <w:trPr>
          <w:jc w:val="center"/>
        </w:trPr>
        <w:tc>
          <w:tcPr>
            <w:tcW w:w="4875" w:type="dxa"/>
          </w:tcPr>
          <w:p w14:paraId="79CB4C66" w14:textId="77777777" w:rsidR="00976019" w:rsidRPr="00C876C7" w:rsidRDefault="00976019" w:rsidP="00582163">
            <w:pPr>
              <w:pStyle w:val="Normal6a"/>
            </w:pPr>
          </w:p>
        </w:tc>
        <w:tc>
          <w:tcPr>
            <w:tcW w:w="4875" w:type="dxa"/>
            <w:hideMark/>
          </w:tcPr>
          <w:p w14:paraId="073EE243" w14:textId="77777777" w:rsidR="00976019" w:rsidRPr="00C876C7" w:rsidRDefault="008E0D25" w:rsidP="00582163">
            <w:pPr>
              <w:pStyle w:val="Normal6a"/>
              <w:rPr>
                <w:b/>
                <w:bCs/>
                <w:i/>
                <w:iCs/>
              </w:rPr>
            </w:pPr>
            <w:r w:rsidRPr="00C876C7">
              <w:rPr>
                <w:b/>
                <w:i/>
              </w:rPr>
              <w:t>(36a)</w:t>
            </w:r>
            <w:r w:rsidRPr="00C876C7">
              <w:rPr>
                <w:b/>
                <w:i/>
              </w:rPr>
              <w:tab/>
              <w:t xml:space="preserve">Komplementarność między programem „Horyzont Europa” a innymi instrumentami Unii – w tym Europejskim Funduszem Konkurencyjności – nie powinna odbywać się kosztem identyfikowalności wydatków ani </w:t>
            </w:r>
            <w:r w:rsidRPr="00C876C7">
              <w:rPr>
                <w:b/>
                <w:i/>
              </w:rPr>
              <w:t xml:space="preserve">uprawnień władzy budżetowej. Wkład programu „Horyzont Europa” w działania współfinansowane powinien pozostawać wyraźnie rozpoznawalny na wszystkich etapach cyklu budżetowego i powinien być należycie odzwierciedlony w </w:t>
            </w:r>
            <w:r w:rsidRPr="00C876C7">
              <w:rPr>
                <w:b/>
                <w:i/>
              </w:rPr>
              <w:lastRenderedPageBreak/>
              <w:t>sprawozdaniu z realizacji programu.</w:t>
            </w:r>
          </w:p>
        </w:tc>
      </w:tr>
    </w:tbl>
    <w:p w14:paraId="10B89BF1" w14:textId="77777777" w:rsidR="00976019" w:rsidRPr="00C876C7" w:rsidRDefault="008E0D25" w:rsidP="00976019">
      <w:pPr>
        <w:pStyle w:val="AmNumberTabs"/>
      </w:pPr>
      <w:r w:rsidRPr="00C876C7">
        <w:rPr>
          <w:rStyle w:val="HideTWBExt"/>
        </w:rPr>
        <w:lastRenderedPageBreak/>
        <w:t>&lt;/Amend&gt;</w:t>
      </w:r>
    </w:p>
    <w:p w14:paraId="154327AC" w14:textId="77777777" w:rsidR="00976019" w:rsidRPr="00C876C7" w:rsidRDefault="00976019" w:rsidP="00E63984">
      <w:pPr>
        <w:pStyle w:val="AmNumberTabs"/>
      </w:pPr>
    </w:p>
    <w:p w14:paraId="4C55B106" w14:textId="77777777" w:rsidR="00610FA5" w:rsidRPr="00C876C7" w:rsidRDefault="008E0D25" w:rsidP="00E63984">
      <w:pPr>
        <w:pStyle w:val="AmNumberTabs"/>
      </w:pPr>
      <w:r w:rsidRPr="00C876C7">
        <w:rPr>
          <w:rStyle w:val="HideTWBExt"/>
        </w:rPr>
        <w:t>&lt;Amend&gt;</w:t>
      </w:r>
      <w:r w:rsidRPr="00C876C7">
        <w:t>Poprawka</w:t>
      </w:r>
      <w:r w:rsidRPr="00C876C7">
        <w:tab/>
      </w:r>
      <w:r w:rsidRPr="00C876C7">
        <w:tab/>
      </w:r>
      <w:r w:rsidRPr="00C876C7">
        <w:rPr>
          <w:rStyle w:val="HideTWBExt"/>
        </w:rPr>
        <w:t>&lt;NumAm&gt;</w:t>
      </w:r>
      <w:r w:rsidRPr="00C876C7">
        <w:t>3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NumAm</w:t>
      </w:r>
      <w:proofErr w:type="spellEnd"/>
      <w:r w:rsidRPr="00C876C7">
        <w:rPr>
          <w:rStyle w:val="HideTWBExt"/>
        </w:rPr>
        <w:t>&gt;</w:t>
      </w:r>
    </w:p>
    <w:p w14:paraId="0E750E39" w14:textId="77777777" w:rsidR="00610FA5" w:rsidRPr="00C876C7" w:rsidRDefault="008E0D25" w:rsidP="00610FA5">
      <w:pPr>
        <w:pStyle w:val="Normal12a"/>
        <w:spacing w:after="0"/>
        <w:rPr>
          <w:b/>
        </w:rPr>
      </w:pPr>
      <w:r w:rsidRPr="00C876C7">
        <w:rPr>
          <w:rStyle w:val="HideTWBExt"/>
        </w:rPr>
        <w:t>&lt;DocAmend&gt;</w:t>
      </w:r>
      <w:r w:rsidRPr="00C876C7">
        <w:rPr>
          <w:b/>
        </w:rPr>
        <w:t>Wniosek dotyczący rozporządzenia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DocAmend</w:t>
      </w:r>
      <w:proofErr w:type="spellEnd"/>
      <w:r w:rsidRPr="00C876C7">
        <w:rPr>
          <w:rStyle w:val="HideTWBExt"/>
        </w:rPr>
        <w:t>&gt;</w:t>
      </w:r>
    </w:p>
    <w:p w14:paraId="3BAF486B" w14:textId="77777777" w:rsidR="00205307" w:rsidRPr="00C876C7" w:rsidRDefault="008E0D25" w:rsidP="00205307">
      <w:pPr>
        <w:pStyle w:val="Normal12a"/>
        <w:rPr>
          <w:rFonts w:ascii="Arial" w:hAnsi="Arial" w:cs="Arial"/>
          <w:b/>
          <w:noProof/>
          <w:color w:val="000080"/>
          <w:sz w:val="20"/>
        </w:rPr>
      </w:pPr>
      <w:r w:rsidRPr="00C876C7">
        <w:rPr>
          <w:rStyle w:val="HideTWBExt"/>
        </w:rPr>
        <w:t>&lt;Article&gt;</w:t>
      </w:r>
      <w:r w:rsidRPr="00C876C7">
        <w:rPr>
          <w:b/>
        </w:rPr>
        <w:t>Motyw 37 b (nowy)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Article</w:t>
      </w:r>
      <w:proofErr w:type="spellEnd"/>
      <w:r w:rsidRPr="00C876C7">
        <w:rPr>
          <w:rStyle w:val="HideTWBExt"/>
        </w:rPr>
        <w:t>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2D47" w:rsidRPr="00C876C7" w14:paraId="3C8667F1" w14:textId="77777777">
        <w:trPr>
          <w:jc w:val="center"/>
        </w:trPr>
        <w:tc>
          <w:tcPr>
            <w:tcW w:w="9752" w:type="dxa"/>
            <w:gridSpan w:val="2"/>
          </w:tcPr>
          <w:p w14:paraId="4E7A150D" w14:textId="77777777" w:rsidR="00610FA5" w:rsidRPr="00C876C7" w:rsidRDefault="00610FA5" w:rsidP="005A2392">
            <w:pPr>
              <w:pStyle w:val="Normal6a"/>
            </w:pPr>
          </w:p>
        </w:tc>
      </w:tr>
      <w:tr w:rsidR="002B2D47" w:rsidRPr="00C876C7" w14:paraId="20BA6035" w14:textId="77777777">
        <w:trPr>
          <w:jc w:val="center"/>
        </w:trPr>
        <w:tc>
          <w:tcPr>
            <w:tcW w:w="4876" w:type="dxa"/>
            <w:hideMark/>
          </w:tcPr>
          <w:p w14:paraId="0B4E68B0" w14:textId="77777777" w:rsidR="00610FA5" w:rsidRPr="00C876C7" w:rsidRDefault="008E0D25" w:rsidP="00E00D3E">
            <w:pPr>
              <w:pStyle w:val="AmColumnHeading"/>
            </w:pPr>
            <w:r w:rsidRPr="00C876C7">
              <w:t>Tekst proponowany przez Komisję</w:t>
            </w:r>
          </w:p>
        </w:tc>
        <w:tc>
          <w:tcPr>
            <w:tcW w:w="4876" w:type="dxa"/>
            <w:hideMark/>
          </w:tcPr>
          <w:p w14:paraId="5A12DD23" w14:textId="77777777" w:rsidR="00610FA5" w:rsidRPr="00C876C7" w:rsidRDefault="008E0D25" w:rsidP="00E00D3E">
            <w:pPr>
              <w:pStyle w:val="AmColumnHeading"/>
            </w:pPr>
            <w:r w:rsidRPr="00C876C7">
              <w:t>Poprawka</w:t>
            </w:r>
          </w:p>
        </w:tc>
      </w:tr>
      <w:tr w:rsidR="002B2D47" w:rsidRPr="00C876C7" w14:paraId="6AB46FB9" w14:textId="77777777">
        <w:trPr>
          <w:jc w:val="center"/>
        </w:trPr>
        <w:tc>
          <w:tcPr>
            <w:tcW w:w="4876" w:type="dxa"/>
            <w:hideMark/>
          </w:tcPr>
          <w:p w14:paraId="29099896" w14:textId="77777777" w:rsidR="00610FA5" w:rsidRPr="00C876C7" w:rsidRDefault="00610FA5" w:rsidP="005A2392">
            <w:pPr>
              <w:pStyle w:val="Normal6a"/>
            </w:pPr>
          </w:p>
        </w:tc>
        <w:tc>
          <w:tcPr>
            <w:tcW w:w="4876" w:type="dxa"/>
            <w:hideMark/>
          </w:tcPr>
          <w:p w14:paraId="702F8955" w14:textId="77777777" w:rsidR="00610FA5" w:rsidRPr="00C876C7" w:rsidRDefault="008E0D25" w:rsidP="005A2392">
            <w:pPr>
              <w:pStyle w:val="Normal6a"/>
              <w:rPr>
                <w:b/>
                <w:bCs/>
                <w:i/>
                <w:iCs/>
              </w:rPr>
            </w:pPr>
            <w:r w:rsidRPr="00C876C7">
              <w:rPr>
                <w:b/>
                <w:i/>
              </w:rPr>
              <w:t>(37b)</w:t>
            </w:r>
            <w:r w:rsidRPr="00C876C7">
              <w:rPr>
                <w:b/>
                <w:i/>
              </w:rPr>
              <w:tab/>
              <w:t xml:space="preserve">Przepisy rozporządzenia oraz zapisane w nim ustalenia dotyczące </w:t>
            </w:r>
            <w:r w:rsidRPr="00C876C7">
              <w:rPr>
                <w:b/>
                <w:i/>
              </w:rPr>
              <w:t>zarządzania powinny sprzyjać właściwemu podejmowaniu decyzji przez władzę budżetową oraz ułatwiać odpowiedni nadzór parlamentarny. W szczególności w nomenklaturze budżetowej należy odpowiednio odzwierciedlić specyfikacje wewnętrznej struktury programu, a to dzięki wprowadzeniu odpowiednich linii budżetowych.</w:t>
            </w:r>
          </w:p>
        </w:tc>
      </w:tr>
    </w:tbl>
    <w:p w14:paraId="272EF123" w14:textId="77777777" w:rsidR="00610FA5" w:rsidRPr="00C876C7" w:rsidRDefault="008E0D25" w:rsidP="00E63984">
      <w:pPr>
        <w:pStyle w:val="AmNumberTabs"/>
      </w:pPr>
      <w:r w:rsidRPr="00C876C7">
        <w:rPr>
          <w:rStyle w:val="HideTWBExt"/>
        </w:rPr>
        <w:t>&lt;/Amend&gt;</w:t>
      </w:r>
    </w:p>
    <w:p w14:paraId="4EE598E4" w14:textId="77777777" w:rsidR="00976019" w:rsidRPr="00C876C7" w:rsidRDefault="008E0D25" w:rsidP="00976019">
      <w:pPr>
        <w:pStyle w:val="AmNumberTabs"/>
      </w:pPr>
      <w:r w:rsidRPr="00C876C7">
        <w:rPr>
          <w:rStyle w:val="HideTWBExt"/>
        </w:rPr>
        <w:t>&lt;Amend&gt;</w:t>
      </w:r>
      <w:r w:rsidRPr="00C876C7">
        <w:t>Poprawka</w:t>
      </w:r>
      <w:r w:rsidRPr="00C876C7">
        <w:tab/>
      </w:r>
      <w:r w:rsidRPr="00C876C7">
        <w:tab/>
      </w:r>
      <w:r w:rsidRPr="00C876C7">
        <w:rPr>
          <w:rStyle w:val="HideTWBExt"/>
        </w:rPr>
        <w:t>&lt;NumAm&gt;</w:t>
      </w:r>
      <w:r w:rsidRPr="00C876C7">
        <w:t>4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NumAm</w:t>
      </w:r>
      <w:proofErr w:type="spellEnd"/>
      <w:r w:rsidRPr="00C876C7">
        <w:rPr>
          <w:rStyle w:val="HideTWBExt"/>
        </w:rPr>
        <w:t>&gt;</w:t>
      </w:r>
    </w:p>
    <w:p w14:paraId="5927401D" w14:textId="77777777" w:rsidR="00976019" w:rsidRPr="00C876C7" w:rsidRDefault="008E0D25" w:rsidP="00976019">
      <w:pPr>
        <w:pStyle w:val="Normal12a"/>
        <w:spacing w:after="0"/>
        <w:rPr>
          <w:b/>
        </w:rPr>
      </w:pPr>
      <w:r w:rsidRPr="00C876C7">
        <w:rPr>
          <w:rStyle w:val="HideTWBExt"/>
        </w:rPr>
        <w:t>&lt;DocAmend&gt;</w:t>
      </w:r>
      <w:r w:rsidRPr="00C876C7">
        <w:rPr>
          <w:b/>
        </w:rPr>
        <w:t>Wniosek dotyczący rozporządzenia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DocAmend</w:t>
      </w:r>
      <w:proofErr w:type="spellEnd"/>
      <w:r w:rsidRPr="00C876C7">
        <w:rPr>
          <w:rStyle w:val="HideTWBExt"/>
        </w:rPr>
        <w:t>&gt;</w:t>
      </w:r>
    </w:p>
    <w:p w14:paraId="51D377D8" w14:textId="77777777" w:rsidR="00976019" w:rsidRPr="00C876C7" w:rsidRDefault="008E0D25" w:rsidP="00976019">
      <w:pPr>
        <w:pStyle w:val="Normal12a"/>
        <w:spacing w:after="0"/>
        <w:rPr>
          <w:b/>
        </w:rPr>
      </w:pPr>
      <w:r w:rsidRPr="00C876C7">
        <w:rPr>
          <w:rStyle w:val="HideTWBExt"/>
        </w:rPr>
        <w:t>&lt;Article&gt;</w:t>
      </w:r>
      <w:r w:rsidRPr="00C876C7">
        <w:rPr>
          <w:b/>
        </w:rPr>
        <w:t>Motyw 37 c (nowy)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Article</w:t>
      </w:r>
      <w:proofErr w:type="spellEnd"/>
      <w:r w:rsidRPr="00C876C7">
        <w:rPr>
          <w:rStyle w:val="HideTWBExt"/>
        </w:rPr>
        <w:t>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B2D47" w:rsidRPr="00C876C7" w14:paraId="57FE6C44" w14:textId="77777777" w:rsidTr="00582163">
        <w:trPr>
          <w:jc w:val="center"/>
        </w:trPr>
        <w:tc>
          <w:tcPr>
            <w:tcW w:w="9752" w:type="dxa"/>
            <w:gridSpan w:val="2"/>
          </w:tcPr>
          <w:p w14:paraId="38A9751B" w14:textId="77777777" w:rsidR="00976019" w:rsidRPr="00C876C7" w:rsidRDefault="00976019" w:rsidP="00582163">
            <w:pPr>
              <w:pStyle w:val="Normal6a"/>
            </w:pPr>
          </w:p>
        </w:tc>
      </w:tr>
      <w:tr w:rsidR="002B2D47" w:rsidRPr="00C876C7" w14:paraId="28846C0D" w14:textId="77777777" w:rsidTr="00582163">
        <w:trPr>
          <w:jc w:val="center"/>
        </w:trPr>
        <w:tc>
          <w:tcPr>
            <w:tcW w:w="4876" w:type="dxa"/>
            <w:hideMark/>
          </w:tcPr>
          <w:p w14:paraId="568C5647" w14:textId="77777777" w:rsidR="00976019" w:rsidRPr="00C876C7" w:rsidRDefault="008E0D25" w:rsidP="00582163">
            <w:pPr>
              <w:pStyle w:val="AmColumnHeading"/>
            </w:pPr>
            <w:r w:rsidRPr="00C876C7">
              <w:t>Tekst proponowany przez Komisję</w:t>
            </w:r>
          </w:p>
        </w:tc>
        <w:tc>
          <w:tcPr>
            <w:tcW w:w="4876" w:type="dxa"/>
            <w:hideMark/>
          </w:tcPr>
          <w:p w14:paraId="60D6B902" w14:textId="77777777" w:rsidR="00976019" w:rsidRPr="00C876C7" w:rsidRDefault="008E0D25" w:rsidP="00582163">
            <w:pPr>
              <w:pStyle w:val="AmColumnHeading"/>
            </w:pPr>
            <w:r w:rsidRPr="00C876C7">
              <w:t>Poprawka</w:t>
            </w:r>
          </w:p>
        </w:tc>
      </w:tr>
      <w:tr w:rsidR="002B2D47" w:rsidRPr="00C876C7" w14:paraId="22643A1E" w14:textId="77777777" w:rsidTr="00582163">
        <w:trPr>
          <w:jc w:val="center"/>
        </w:trPr>
        <w:tc>
          <w:tcPr>
            <w:tcW w:w="4876" w:type="dxa"/>
          </w:tcPr>
          <w:p w14:paraId="7B31FEE5" w14:textId="77777777" w:rsidR="00976019" w:rsidRPr="00C876C7" w:rsidRDefault="00976019" w:rsidP="00582163">
            <w:pPr>
              <w:pStyle w:val="Normal6a"/>
            </w:pPr>
          </w:p>
        </w:tc>
        <w:tc>
          <w:tcPr>
            <w:tcW w:w="4876" w:type="dxa"/>
            <w:shd w:val="clear" w:color="auto" w:fill="auto"/>
            <w:hideMark/>
          </w:tcPr>
          <w:p w14:paraId="480C7EAB" w14:textId="77777777" w:rsidR="00976019" w:rsidRPr="00C876C7" w:rsidRDefault="008E0D25" w:rsidP="00582163">
            <w:pPr>
              <w:pStyle w:val="Normal6a"/>
            </w:pPr>
            <w:r w:rsidRPr="00C876C7">
              <w:rPr>
                <w:b/>
                <w:i/>
              </w:rPr>
              <w:t>(37c)</w:t>
            </w:r>
            <w:r w:rsidRPr="00C876C7">
              <w:rPr>
                <w:b/>
                <w:i/>
              </w:rPr>
              <w:tab/>
              <w:t xml:space="preserve">Zgodnie z </w:t>
            </w:r>
            <w:r w:rsidRPr="00C876C7">
              <w:rPr>
                <w:b/>
                <w:i/>
              </w:rPr>
              <w:t>art. 15 ust. 3 rozporządzenia finansowego umorzenia środków na badania naukowe są ponownie wykorzystywane w celu wzmocnienia zdolności badawczych Unii, bez ograniczania władzy budżetowej w ramach rocznej procedury budżetowej.</w:t>
            </w:r>
            <w:r w:rsidRPr="00C876C7">
              <w:t xml:space="preserve"> </w:t>
            </w:r>
          </w:p>
        </w:tc>
      </w:tr>
    </w:tbl>
    <w:p w14:paraId="7A165C20" w14:textId="77777777" w:rsidR="00976019" w:rsidRPr="00C876C7" w:rsidRDefault="008E0D25" w:rsidP="00976019">
      <w:pPr>
        <w:pStyle w:val="AmNumberTabs"/>
      </w:pPr>
      <w:r w:rsidRPr="00C876C7">
        <w:rPr>
          <w:rStyle w:val="HideTWBExt"/>
        </w:rPr>
        <w:t>&lt;/Amend&gt;</w:t>
      </w:r>
    </w:p>
    <w:p w14:paraId="46D91F8D" w14:textId="77777777" w:rsidR="000F307C" w:rsidRPr="00C876C7" w:rsidRDefault="000F307C" w:rsidP="00E63984">
      <w:pPr>
        <w:pStyle w:val="AmNumberTabs"/>
        <w:rPr>
          <w:rStyle w:val="HideTWBExt"/>
          <w:color w:val="auto"/>
        </w:rPr>
      </w:pPr>
    </w:p>
    <w:p w14:paraId="129C3BAB" w14:textId="77777777" w:rsidR="006D16AE" w:rsidRPr="00C876C7" w:rsidRDefault="008E0D25" w:rsidP="00E63984">
      <w:pPr>
        <w:pStyle w:val="AmNumberTabs"/>
      </w:pPr>
      <w:r w:rsidRPr="00C876C7">
        <w:rPr>
          <w:rStyle w:val="HideTWBExt"/>
        </w:rPr>
        <w:t>&lt;Amend&gt;</w:t>
      </w:r>
      <w:r w:rsidRPr="00C876C7">
        <w:t>Poprawka</w:t>
      </w:r>
      <w:r w:rsidRPr="00C876C7">
        <w:tab/>
      </w:r>
      <w:r w:rsidRPr="00C876C7">
        <w:tab/>
      </w:r>
      <w:r w:rsidRPr="00C876C7">
        <w:rPr>
          <w:rStyle w:val="HideTWBExt"/>
        </w:rPr>
        <w:t>&lt;NumAm&gt;</w:t>
      </w:r>
      <w:r w:rsidRPr="00C876C7">
        <w:t>5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NumAm</w:t>
      </w:r>
      <w:proofErr w:type="spellEnd"/>
      <w:r w:rsidRPr="00C876C7">
        <w:rPr>
          <w:rStyle w:val="HideTWBExt"/>
        </w:rPr>
        <w:t>&gt;</w:t>
      </w:r>
    </w:p>
    <w:p w14:paraId="0EA9C1A0" w14:textId="77777777" w:rsidR="007F1A57" w:rsidRPr="00C876C7" w:rsidRDefault="007F1A57" w:rsidP="000F307C">
      <w:pPr>
        <w:pStyle w:val="Normal12a"/>
        <w:rPr>
          <w:rFonts w:ascii="Arial" w:hAnsi="Arial"/>
          <w:noProof/>
          <w:vanish/>
          <w:color w:val="000080"/>
          <w:sz w:val="20"/>
        </w:rPr>
      </w:pPr>
    </w:p>
    <w:p w14:paraId="2175DAF0" w14:textId="77777777" w:rsidR="006D16AE" w:rsidRPr="00C876C7" w:rsidRDefault="008E0D25" w:rsidP="00760D63">
      <w:pPr>
        <w:pStyle w:val="Normal12a"/>
        <w:spacing w:after="0"/>
        <w:rPr>
          <w:b/>
        </w:rPr>
      </w:pPr>
      <w:r w:rsidRPr="00C876C7">
        <w:rPr>
          <w:rStyle w:val="HideTWBExt"/>
        </w:rPr>
        <w:t>&lt;DocAmend&gt;</w:t>
      </w:r>
      <w:r w:rsidRPr="00C876C7">
        <w:rPr>
          <w:b/>
        </w:rPr>
        <w:t>Wniosek dotyczący rozporządzenia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DocAmend</w:t>
      </w:r>
      <w:proofErr w:type="spellEnd"/>
      <w:r w:rsidRPr="00C876C7">
        <w:rPr>
          <w:rStyle w:val="HideTWBExt"/>
        </w:rPr>
        <w:t>&gt;</w:t>
      </w:r>
    </w:p>
    <w:p w14:paraId="415CEB6D" w14:textId="77777777" w:rsidR="00205307" w:rsidRPr="00C876C7" w:rsidRDefault="008E0D25" w:rsidP="00205307">
      <w:pPr>
        <w:pStyle w:val="Normal12a"/>
        <w:rPr>
          <w:rFonts w:ascii="Arial" w:hAnsi="Arial" w:cs="Arial"/>
          <w:b/>
          <w:noProof/>
          <w:color w:val="000080"/>
          <w:sz w:val="20"/>
        </w:rPr>
      </w:pPr>
      <w:r w:rsidRPr="00C876C7">
        <w:rPr>
          <w:rStyle w:val="HideTWBExt"/>
        </w:rPr>
        <w:t>&lt;Article&gt;</w:t>
      </w:r>
      <w:r w:rsidRPr="00C876C7">
        <w:rPr>
          <w:b/>
        </w:rPr>
        <w:t>Motyw 38 a (nowy)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Article</w:t>
      </w:r>
      <w:proofErr w:type="spellEnd"/>
      <w:r w:rsidRPr="00C876C7">
        <w:rPr>
          <w:rStyle w:val="HideTWBExt"/>
        </w:rPr>
        <w:t>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B2D47" w:rsidRPr="00C876C7" w14:paraId="07ACCCD1" w14:textId="77777777" w:rsidTr="005A2392">
        <w:trPr>
          <w:jc w:val="center"/>
        </w:trPr>
        <w:tc>
          <w:tcPr>
            <w:tcW w:w="9752" w:type="dxa"/>
            <w:gridSpan w:val="2"/>
          </w:tcPr>
          <w:p w14:paraId="24C07DF4" w14:textId="77777777" w:rsidR="006D16AE" w:rsidRPr="00C876C7" w:rsidRDefault="006D16AE" w:rsidP="005A2392">
            <w:pPr>
              <w:pStyle w:val="Normal6a"/>
            </w:pPr>
          </w:p>
        </w:tc>
      </w:tr>
      <w:tr w:rsidR="002B2D47" w:rsidRPr="00C876C7" w14:paraId="6E9E92F4" w14:textId="77777777" w:rsidTr="005A2392">
        <w:trPr>
          <w:jc w:val="center"/>
        </w:trPr>
        <w:tc>
          <w:tcPr>
            <w:tcW w:w="4876" w:type="dxa"/>
            <w:hideMark/>
          </w:tcPr>
          <w:p w14:paraId="0B3A12DE" w14:textId="77777777" w:rsidR="006D16AE" w:rsidRPr="00C876C7" w:rsidRDefault="008E0D25" w:rsidP="00E00D3E">
            <w:pPr>
              <w:pStyle w:val="AmColumnHeading"/>
            </w:pPr>
            <w:r w:rsidRPr="00C876C7">
              <w:t>Tekst proponowany przez Komisję</w:t>
            </w:r>
          </w:p>
        </w:tc>
        <w:tc>
          <w:tcPr>
            <w:tcW w:w="4876" w:type="dxa"/>
            <w:hideMark/>
          </w:tcPr>
          <w:p w14:paraId="4DF2972E" w14:textId="77777777" w:rsidR="006D16AE" w:rsidRPr="00C876C7" w:rsidRDefault="008E0D25" w:rsidP="00E00D3E">
            <w:pPr>
              <w:pStyle w:val="AmColumnHeading"/>
            </w:pPr>
            <w:r w:rsidRPr="00C876C7">
              <w:t>Poprawka</w:t>
            </w:r>
          </w:p>
        </w:tc>
      </w:tr>
      <w:tr w:rsidR="002B2D47" w:rsidRPr="00C876C7" w14:paraId="703D9140" w14:textId="77777777" w:rsidTr="005A2392">
        <w:trPr>
          <w:jc w:val="center"/>
        </w:trPr>
        <w:tc>
          <w:tcPr>
            <w:tcW w:w="4876" w:type="dxa"/>
            <w:hideMark/>
          </w:tcPr>
          <w:p w14:paraId="54789346" w14:textId="77777777" w:rsidR="006D16AE" w:rsidRPr="00C876C7" w:rsidRDefault="006D16AE" w:rsidP="005A2392">
            <w:pPr>
              <w:pStyle w:val="Normal6a"/>
            </w:pPr>
          </w:p>
        </w:tc>
        <w:tc>
          <w:tcPr>
            <w:tcW w:w="4876" w:type="dxa"/>
            <w:hideMark/>
          </w:tcPr>
          <w:p w14:paraId="30B6CF5B" w14:textId="77777777" w:rsidR="006D16AE" w:rsidRPr="00C876C7" w:rsidRDefault="008E0D25" w:rsidP="005A2392">
            <w:pPr>
              <w:pStyle w:val="Normal6a"/>
            </w:pPr>
            <w:r w:rsidRPr="00C876C7">
              <w:rPr>
                <w:b/>
                <w:i/>
              </w:rPr>
              <w:t>(38a)</w:t>
            </w:r>
            <w:r w:rsidRPr="00C876C7">
              <w:rPr>
                <w:b/>
                <w:i/>
              </w:rPr>
              <w:tab/>
              <w:t>Wpływ niniejszego rozporządzenia na budżet Unii został oceniony</w:t>
            </w:r>
            <w:r w:rsidRPr="00C876C7">
              <w:rPr>
                <w:b/>
                <w:i/>
                <w:vertAlign w:val="superscript"/>
              </w:rPr>
              <w:t>+</w:t>
            </w:r>
            <w:r w:rsidRPr="00C876C7">
              <w:rPr>
                <w:b/>
                <w:i/>
              </w:rPr>
              <w:t xml:space="preserve"> zgodnie z art. 310 ust. 4 Traktatu o funkcjonowaniu Unii Europejskiej. Na jego wdrożenie należy przeznaczyć wystarczające zasoby finansowe i kadrowe, a jednocześnie uwzględnić wpływ finansowania na inne programy lub strategie polityczne Unii i zapewnić zgodność z wieloletnimi ramami finansowymi, systemem zasobów własnych i odpowiednim porozumieniem międzyinstytucjonalnym, a także z zasadami budżetowymi określonymi w rozporządzeniu Parlamentu </w:t>
            </w:r>
            <w:r w:rsidRPr="00C876C7">
              <w:rPr>
                <w:b/>
                <w:i/>
              </w:rPr>
              <w:t xml:space="preserve">Europejskiego i Rady (UE, </w:t>
            </w:r>
            <w:proofErr w:type="spellStart"/>
            <w:r w:rsidRPr="00C876C7">
              <w:rPr>
                <w:b/>
                <w:i/>
              </w:rPr>
              <w:t>Euratom</w:t>
            </w:r>
            <w:proofErr w:type="spellEnd"/>
            <w:r w:rsidRPr="00C876C7">
              <w:rPr>
                <w:b/>
                <w:i/>
              </w:rPr>
              <w:t>) 2024/2509</w:t>
            </w:r>
            <w:r w:rsidRPr="00C876C7">
              <w:rPr>
                <w:b/>
                <w:i/>
                <w:vertAlign w:val="superscript"/>
              </w:rPr>
              <w:t>[1]</w:t>
            </w:r>
            <w:r w:rsidRPr="00C876C7">
              <w:rPr>
                <w:b/>
                <w:i/>
              </w:rPr>
              <w:t>.</w:t>
            </w:r>
          </w:p>
        </w:tc>
      </w:tr>
      <w:tr w:rsidR="002B2D47" w:rsidRPr="00C876C7" w14:paraId="36761808" w14:textId="77777777" w:rsidTr="005A2392">
        <w:trPr>
          <w:jc w:val="center"/>
        </w:trPr>
        <w:tc>
          <w:tcPr>
            <w:tcW w:w="4876" w:type="dxa"/>
          </w:tcPr>
          <w:p w14:paraId="04FA3120" w14:textId="77777777" w:rsidR="006D16AE" w:rsidRPr="00C876C7" w:rsidRDefault="006D16AE" w:rsidP="005A2392">
            <w:pPr>
              <w:pStyle w:val="Normal6a"/>
            </w:pPr>
          </w:p>
        </w:tc>
        <w:tc>
          <w:tcPr>
            <w:tcW w:w="4876" w:type="dxa"/>
            <w:hideMark/>
          </w:tcPr>
          <w:p w14:paraId="0D3B4942" w14:textId="77777777" w:rsidR="006D16AE" w:rsidRPr="00C876C7" w:rsidRDefault="008E0D25" w:rsidP="005A2392">
            <w:pPr>
              <w:pStyle w:val="Normal6a"/>
              <w:rPr>
                <w:b/>
                <w:i/>
              </w:rPr>
            </w:pPr>
            <w:r w:rsidRPr="00C876C7">
              <w:rPr>
                <w:b/>
                <w:i/>
              </w:rPr>
              <w:t>____________________</w:t>
            </w:r>
          </w:p>
        </w:tc>
      </w:tr>
      <w:tr w:rsidR="002B2D47" w:rsidRPr="00C876C7" w14:paraId="4DBBEE0D" w14:textId="77777777" w:rsidTr="005A2392">
        <w:trPr>
          <w:jc w:val="center"/>
        </w:trPr>
        <w:tc>
          <w:tcPr>
            <w:tcW w:w="4876" w:type="dxa"/>
          </w:tcPr>
          <w:p w14:paraId="6B84C771" w14:textId="77777777" w:rsidR="006D16AE" w:rsidRPr="00C876C7" w:rsidRDefault="006D16AE" w:rsidP="005A2392">
            <w:pPr>
              <w:pStyle w:val="Normal6a"/>
            </w:pPr>
          </w:p>
        </w:tc>
        <w:tc>
          <w:tcPr>
            <w:tcW w:w="4876" w:type="dxa"/>
            <w:hideMark/>
          </w:tcPr>
          <w:p w14:paraId="5FE42067" w14:textId="77777777" w:rsidR="006D16AE" w:rsidRPr="00C876C7" w:rsidRDefault="008E0D25" w:rsidP="005A2392">
            <w:pPr>
              <w:pStyle w:val="Normal6a"/>
              <w:rPr>
                <w:b/>
                <w:bCs/>
                <w:i/>
                <w:iCs/>
              </w:rPr>
            </w:pPr>
            <w:r w:rsidRPr="00C876C7">
              <w:rPr>
                <w:b/>
                <w:i/>
                <w:vertAlign w:val="superscript"/>
              </w:rPr>
              <w:t xml:space="preserve">+ </w:t>
            </w:r>
            <w:proofErr w:type="spellStart"/>
            <w:r w:rsidRPr="00C876C7">
              <w:rPr>
                <w:b/>
                <w:i/>
              </w:rPr>
              <w:t>P.m</w:t>
            </w:r>
            <w:proofErr w:type="spellEnd"/>
            <w:r w:rsidRPr="00C876C7">
              <w:rPr>
                <w:b/>
                <w:i/>
              </w:rPr>
              <w:t>.: ocena budżetowa Komisji Budżetowej Parlamentu Europejskiego z dnia 23 czerwca 2026 r. w sprawie wniosku dotyczącego decyzji Rady w sprawie rozporządzenia Parlamentu Europejskiego i Rady ustanawiającego program ramowy w zakresie badań naukowych i innowacji „Horyzont Europa” na lata 2028–2034 oraz zasady uczestnictwa i upowszechniania obowiązujące w tym programie oraz uchylającego rozporządzenie (UE) 2021/695 (</w:t>
            </w:r>
            <w:proofErr w:type="gramStart"/>
            <w:r w:rsidRPr="00C876C7">
              <w:rPr>
                <w:b/>
                <w:i/>
              </w:rPr>
              <w:t>COM(</w:t>
            </w:r>
            <w:proofErr w:type="gramEnd"/>
            <w:r w:rsidRPr="00C876C7">
              <w:rPr>
                <w:b/>
                <w:i/>
              </w:rPr>
              <w:t>2025)0543).</w:t>
            </w:r>
          </w:p>
        </w:tc>
      </w:tr>
      <w:tr w:rsidR="002B2D47" w:rsidRPr="00C876C7" w14:paraId="558E66DE" w14:textId="77777777" w:rsidTr="005A2392">
        <w:trPr>
          <w:jc w:val="center"/>
        </w:trPr>
        <w:tc>
          <w:tcPr>
            <w:tcW w:w="4876" w:type="dxa"/>
          </w:tcPr>
          <w:p w14:paraId="3DA8525F" w14:textId="77777777" w:rsidR="005A2392" w:rsidRPr="00C876C7" w:rsidRDefault="005A2392" w:rsidP="005A2392">
            <w:pPr>
              <w:pStyle w:val="Normal6a"/>
            </w:pPr>
          </w:p>
        </w:tc>
        <w:tc>
          <w:tcPr>
            <w:tcW w:w="4876" w:type="dxa"/>
          </w:tcPr>
          <w:p w14:paraId="7D6CE4B1" w14:textId="07171C8A" w:rsidR="005A2392" w:rsidRPr="00C876C7" w:rsidRDefault="008E0D25" w:rsidP="005A2392">
            <w:pPr>
              <w:pStyle w:val="Normal6a"/>
              <w:rPr>
                <w:i/>
                <w:vertAlign w:val="superscript"/>
              </w:rPr>
            </w:pPr>
            <w:r w:rsidRPr="00C876C7">
              <w:rPr>
                <w:b/>
                <w:i/>
                <w:vertAlign w:val="superscript"/>
              </w:rPr>
              <w:t>[1]</w:t>
            </w:r>
            <w:r w:rsidRPr="00C876C7">
              <w:rPr>
                <w:b/>
                <w:i/>
              </w:rPr>
              <w:t xml:space="preserve"> Rozporządzenie Parlamentu Europejskiego i Rady (UE, </w:t>
            </w:r>
            <w:proofErr w:type="spellStart"/>
            <w:r w:rsidRPr="00C876C7">
              <w:rPr>
                <w:b/>
                <w:i/>
              </w:rPr>
              <w:t>Euratom</w:t>
            </w:r>
            <w:proofErr w:type="spellEnd"/>
            <w:r w:rsidRPr="00C876C7">
              <w:rPr>
                <w:b/>
                <w:i/>
              </w:rPr>
              <w:t xml:space="preserve">) 2024/2509 z dnia 23 września 2024 r. w sprawie zasad finansowych mających </w:t>
            </w:r>
            <w:r w:rsidRPr="00C876C7">
              <w:rPr>
                <w:b/>
                <w:i/>
              </w:rPr>
              <w:lastRenderedPageBreak/>
              <w:t xml:space="preserve">zastosowanie do budżetu ogólnego Unii (Dz.U. L, 2024/2509, </w:t>
            </w:r>
            <w:proofErr w:type="gramStart"/>
            <w:r w:rsidRPr="00C876C7">
              <w:rPr>
                <w:b/>
                <w:i/>
              </w:rPr>
              <w:t>26.9.2024</w:t>
            </w:r>
            <w:proofErr w:type="gramEnd"/>
            <w:r w:rsidRPr="00C876C7">
              <w:rPr>
                <w:b/>
                <w:i/>
              </w:rPr>
              <w:t xml:space="preserve">, ELI:  </w:t>
            </w:r>
            <w:hyperlink r:id="rId15" w:history="1">
              <w:r w:rsidR="005A2392" w:rsidRPr="00C876C7">
                <w:rPr>
                  <w:rStyle w:val="Hyperlink"/>
                  <w:b/>
                  <w:i/>
                  <w:color w:val="auto"/>
                </w:rPr>
                <w:t>http://data.europa.eu/eli/reg/2024/2509/oj</w:t>
              </w:r>
            </w:hyperlink>
            <w:r w:rsidRPr="00C876C7">
              <w:rPr>
                <w:b/>
                <w:i/>
              </w:rPr>
              <w:t>).</w:t>
            </w:r>
          </w:p>
        </w:tc>
      </w:tr>
    </w:tbl>
    <w:p w14:paraId="530D2332" w14:textId="77777777" w:rsidR="00F26123" w:rsidRPr="00C876C7" w:rsidRDefault="008E0D25" w:rsidP="00E63984">
      <w:pPr>
        <w:pStyle w:val="AmNumberTabs"/>
      </w:pPr>
      <w:r w:rsidRPr="00C876C7">
        <w:rPr>
          <w:rStyle w:val="HideTWBExt"/>
        </w:rPr>
        <w:lastRenderedPageBreak/>
        <w:t>&lt;/Amend&gt;</w:t>
      </w:r>
    </w:p>
    <w:p w14:paraId="3A0C191E" w14:textId="77777777" w:rsidR="00C04E9D" w:rsidRPr="00C876C7" w:rsidRDefault="008E0D25" w:rsidP="00E63984">
      <w:pPr>
        <w:pStyle w:val="AmNumberTabs"/>
      </w:pPr>
      <w:bookmarkStart w:id="2" w:name="_Hlk233194052"/>
      <w:bookmarkStart w:id="3" w:name="_Hlk233194012"/>
      <w:r w:rsidRPr="00C876C7">
        <w:rPr>
          <w:rStyle w:val="HideTWBExt"/>
        </w:rPr>
        <w:t>&lt;Amend&gt;</w:t>
      </w:r>
      <w:r w:rsidRPr="00C876C7">
        <w:t>Poprawka</w:t>
      </w:r>
      <w:r w:rsidRPr="00C876C7">
        <w:tab/>
      </w:r>
      <w:r w:rsidRPr="00C876C7">
        <w:tab/>
      </w:r>
      <w:r w:rsidRPr="00C876C7">
        <w:rPr>
          <w:rStyle w:val="HideTWBExt"/>
        </w:rPr>
        <w:t>&lt;NumAm&gt;</w:t>
      </w:r>
      <w:r w:rsidRPr="00C876C7">
        <w:t>6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NumAm</w:t>
      </w:r>
      <w:proofErr w:type="spellEnd"/>
      <w:r w:rsidRPr="00C876C7">
        <w:rPr>
          <w:rStyle w:val="HideTWBExt"/>
        </w:rPr>
        <w:t>&gt;</w:t>
      </w:r>
    </w:p>
    <w:p w14:paraId="7D2C7993" w14:textId="77777777" w:rsidR="00C04E9D" w:rsidRPr="00C876C7" w:rsidRDefault="008E0D25" w:rsidP="00760D63">
      <w:pPr>
        <w:pStyle w:val="Normal12a"/>
        <w:spacing w:after="0"/>
        <w:rPr>
          <w:b/>
        </w:rPr>
      </w:pPr>
      <w:r w:rsidRPr="00C876C7">
        <w:rPr>
          <w:rStyle w:val="HideTWBExt"/>
        </w:rPr>
        <w:t>&lt;DocAmend&gt;</w:t>
      </w:r>
      <w:r w:rsidRPr="00C876C7">
        <w:rPr>
          <w:b/>
        </w:rPr>
        <w:t>Wniosek dotyczący rozporządzenia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DocAmend</w:t>
      </w:r>
      <w:proofErr w:type="spellEnd"/>
      <w:r w:rsidRPr="00C876C7">
        <w:rPr>
          <w:rStyle w:val="HideTWBExt"/>
        </w:rPr>
        <w:t>&gt;</w:t>
      </w:r>
    </w:p>
    <w:p w14:paraId="2E40E8E6" w14:textId="77777777" w:rsidR="00C04E9D" w:rsidRPr="00C876C7" w:rsidRDefault="008E0D25" w:rsidP="00760D63">
      <w:pPr>
        <w:pStyle w:val="Normal12a"/>
        <w:spacing w:after="0"/>
        <w:rPr>
          <w:b/>
        </w:rPr>
      </w:pPr>
      <w:r w:rsidRPr="00C876C7">
        <w:rPr>
          <w:rStyle w:val="HideTWBExt"/>
        </w:rPr>
        <w:t>&lt;Article&gt;</w:t>
      </w:r>
      <w:r w:rsidRPr="00C876C7">
        <w:rPr>
          <w:b/>
        </w:rPr>
        <w:t>Artykuł 6 – ustęp 1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Article</w:t>
      </w:r>
      <w:proofErr w:type="spellEnd"/>
      <w:r w:rsidRPr="00C876C7">
        <w:rPr>
          <w:rStyle w:val="HideTWBExt"/>
        </w:rPr>
        <w:t>&gt;</w:t>
      </w:r>
    </w:p>
    <w:bookmarkEnd w:id="2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B2D47" w:rsidRPr="00C876C7" w14:paraId="55A78854" w14:textId="77777777" w:rsidTr="00D22A96">
        <w:trPr>
          <w:jc w:val="center"/>
        </w:trPr>
        <w:tc>
          <w:tcPr>
            <w:tcW w:w="9750" w:type="dxa"/>
            <w:gridSpan w:val="2"/>
          </w:tcPr>
          <w:p w14:paraId="0B3399FF" w14:textId="77777777" w:rsidR="00C04E9D" w:rsidRPr="00C876C7" w:rsidRDefault="00C04E9D" w:rsidP="005A2392">
            <w:pPr>
              <w:pStyle w:val="Normal6a"/>
            </w:pPr>
          </w:p>
        </w:tc>
      </w:tr>
      <w:tr w:rsidR="002B2D47" w:rsidRPr="00C876C7" w14:paraId="1452E81C" w14:textId="77777777" w:rsidTr="00D22A96">
        <w:trPr>
          <w:jc w:val="center"/>
        </w:trPr>
        <w:tc>
          <w:tcPr>
            <w:tcW w:w="4875" w:type="dxa"/>
            <w:hideMark/>
          </w:tcPr>
          <w:p w14:paraId="1725DD4D" w14:textId="77777777" w:rsidR="00C04E9D" w:rsidRPr="00C876C7" w:rsidRDefault="008E0D25" w:rsidP="00E00D3E">
            <w:pPr>
              <w:pStyle w:val="AmColumnHeading"/>
            </w:pPr>
            <w:r w:rsidRPr="00C876C7">
              <w:t>Tekst proponowany przez Komisję</w:t>
            </w:r>
          </w:p>
        </w:tc>
        <w:tc>
          <w:tcPr>
            <w:tcW w:w="4875" w:type="dxa"/>
            <w:hideMark/>
          </w:tcPr>
          <w:p w14:paraId="22A7A432" w14:textId="77777777" w:rsidR="00C04E9D" w:rsidRPr="00C876C7" w:rsidRDefault="008E0D25" w:rsidP="00E00D3E">
            <w:pPr>
              <w:pStyle w:val="AmColumnHeading"/>
            </w:pPr>
            <w:r w:rsidRPr="00C876C7">
              <w:t>Poprawka</w:t>
            </w:r>
          </w:p>
        </w:tc>
      </w:tr>
      <w:tr w:rsidR="002B2D47" w:rsidRPr="00C876C7" w14:paraId="697F5513" w14:textId="77777777" w:rsidTr="00D22A96">
        <w:trPr>
          <w:jc w:val="center"/>
        </w:trPr>
        <w:tc>
          <w:tcPr>
            <w:tcW w:w="4875" w:type="dxa"/>
          </w:tcPr>
          <w:p w14:paraId="4B9F3AC2" w14:textId="77777777" w:rsidR="00D22A96" w:rsidRPr="00C876C7" w:rsidRDefault="008E0D25" w:rsidP="005A2392">
            <w:pPr>
              <w:pStyle w:val="Normal6a"/>
            </w:pPr>
            <w:r w:rsidRPr="00C876C7">
              <w:rPr>
                <w:b/>
                <w:i/>
              </w:rPr>
              <w:t>1.</w:t>
            </w:r>
            <w:r w:rsidRPr="00C876C7">
              <w:rPr>
                <w:b/>
                <w:i/>
              </w:rPr>
              <w:tab/>
              <w:t>Orientacyjna pula</w:t>
            </w:r>
            <w:r w:rsidRPr="00C876C7">
              <w:t xml:space="preserve"> środków finansowych </w:t>
            </w:r>
            <w:r w:rsidRPr="00C876C7">
              <w:rPr>
                <w:b/>
                <w:i/>
              </w:rPr>
              <w:t>przeznaczonych</w:t>
            </w:r>
            <w:r w:rsidRPr="00C876C7">
              <w:t xml:space="preserve"> na </w:t>
            </w:r>
            <w:r w:rsidRPr="00C876C7">
              <w:rPr>
                <w:b/>
                <w:i/>
              </w:rPr>
              <w:t>program</w:t>
            </w:r>
            <w:r w:rsidRPr="00C876C7">
              <w:t xml:space="preserve"> na </w:t>
            </w:r>
            <w:r w:rsidRPr="00C876C7">
              <w:rPr>
                <w:b/>
                <w:i/>
              </w:rPr>
              <w:t>okres od dnia 1 stycznia 2028 r. do dnia 31 grudnia 2034 r. wynosi 175 002</w:t>
            </w:r>
            <w:r w:rsidRPr="00C876C7">
              <w:t xml:space="preserve"> 000 000 EUR w cenach </w:t>
            </w:r>
            <w:r w:rsidRPr="00C876C7">
              <w:rPr>
                <w:b/>
                <w:i/>
              </w:rPr>
              <w:t>bieżących</w:t>
            </w:r>
            <w:r w:rsidRPr="00C876C7">
              <w:t>.</w:t>
            </w:r>
          </w:p>
        </w:tc>
        <w:tc>
          <w:tcPr>
            <w:tcW w:w="4875" w:type="dxa"/>
            <w:hideMark/>
          </w:tcPr>
          <w:p w14:paraId="369E1458" w14:textId="77777777" w:rsidR="00D22A96" w:rsidRPr="00C876C7" w:rsidRDefault="008E0D25" w:rsidP="005A2392">
            <w:pPr>
              <w:pStyle w:val="Normal6a"/>
            </w:pPr>
            <w:r w:rsidRPr="00C876C7">
              <w:t>1.</w:t>
            </w:r>
            <w:r w:rsidRPr="00C876C7">
              <w:tab/>
            </w:r>
            <w:r w:rsidRPr="00C876C7">
              <w:rPr>
                <w:b/>
                <w:i/>
              </w:rPr>
              <w:t>Pulę</w:t>
            </w:r>
            <w:r w:rsidRPr="00C876C7">
              <w:t xml:space="preserve"> środków finansowych </w:t>
            </w:r>
            <w:r w:rsidRPr="00C876C7">
              <w:rPr>
                <w:b/>
                <w:i/>
              </w:rPr>
              <w:t>w ramach programu</w:t>
            </w:r>
            <w:r w:rsidRPr="00C876C7">
              <w:t xml:space="preserve"> na </w:t>
            </w:r>
            <w:r w:rsidRPr="00C876C7">
              <w:rPr>
                <w:b/>
                <w:i/>
              </w:rPr>
              <w:t>realizację rozporządzenia</w:t>
            </w:r>
            <w:r w:rsidRPr="00C876C7">
              <w:t xml:space="preserve"> na </w:t>
            </w:r>
            <w:r w:rsidRPr="00C876C7">
              <w:rPr>
                <w:b/>
                <w:i/>
              </w:rPr>
              <w:t xml:space="preserve">lata </w:t>
            </w:r>
            <w:r w:rsidRPr="00C876C7">
              <w:rPr>
                <w:b/>
                <w:i/>
              </w:rPr>
              <w:t>2028–2034 określa się na poziomie 200 003 562 000 EUR w cenach bieżących (177 010</w:t>
            </w:r>
            <w:r w:rsidRPr="00C876C7">
              <w:t xml:space="preserve"> 000 000 EUR w cenach </w:t>
            </w:r>
            <w:r w:rsidRPr="00C876C7">
              <w:rPr>
                <w:b/>
                <w:i/>
              </w:rPr>
              <w:t>z 2025 r.)</w:t>
            </w:r>
            <w:r w:rsidRPr="00C876C7">
              <w:t>.</w:t>
            </w:r>
          </w:p>
        </w:tc>
      </w:tr>
    </w:tbl>
    <w:p w14:paraId="54EFA353" w14:textId="77777777" w:rsidR="00D22A96" w:rsidRPr="00C876C7" w:rsidRDefault="008E0D25" w:rsidP="00E63984">
      <w:pPr>
        <w:pStyle w:val="AmNumberTabs"/>
      </w:pPr>
      <w:r w:rsidRPr="00C876C7">
        <w:rPr>
          <w:rStyle w:val="HideTWBExt"/>
        </w:rPr>
        <w:t>&lt;/Amend&gt;</w:t>
      </w:r>
    </w:p>
    <w:bookmarkEnd w:id="3"/>
    <w:p w14:paraId="085996CD" w14:textId="77777777" w:rsidR="00760D63" w:rsidRPr="00C876C7" w:rsidRDefault="008E0D25" w:rsidP="00E63984">
      <w:pPr>
        <w:pStyle w:val="AmNumberTabs"/>
      </w:pPr>
      <w:r w:rsidRPr="00C876C7">
        <w:rPr>
          <w:rStyle w:val="HideTWBExt"/>
        </w:rPr>
        <w:t>&lt;Amend&gt;</w:t>
      </w:r>
      <w:r w:rsidRPr="00C876C7">
        <w:t>Poprawka</w:t>
      </w:r>
      <w:r w:rsidRPr="00C876C7">
        <w:tab/>
      </w:r>
      <w:r w:rsidRPr="00C876C7">
        <w:tab/>
      </w:r>
      <w:r w:rsidRPr="00C876C7">
        <w:rPr>
          <w:rStyle w:val="HideTWBExt"/>
        </w:rPr>
        <w:t>&lt;NumAm&gt;</w:t>
      </w:r>
      <w:r w:rsidRPr="00C876C7">
        <w:t>7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NumAm</w:t>
      </w:r>
      <w:proofErr w:type="spellEnd"/>
      <w:r w:rsidRPr="00C876C7">
        <w:rPr>
          <w:rStyle w:val="HideTWBExt"/>
        </w:rPr>
        <w:t>&gt;</w:t>
      </w:r>
    </w:p>
    <w:p w14:paraId="6FFADC4F" w14:textId="77777777" w:rsidR="00760D63" w:rsidRPr="00C876C7" w:rsidRDefault="008E0D25" w:rsidP="00760D63">
      <w:pPr>
        <w:pStyle w:val="Normal12a"/>
        <w:spacing w:after="0"/>
        <w:rPr>
          <w:b/>
        </w:rPr>
      </w:pPr>
      <w:r w:rsidRPr="00C876C7">
        <w:rPr>
          <w:rStyle w:val="HideTWBExt"/>
        </w:rPr>
        <w:t>&lt;DocAmend&gt;</w:t>
      </w:r>
      <w:r w:rsidRPr="00C876C7">
        <w:rPr>
          <w:b/>
        </w:rPr>
        <w:t>Wniosek dotyczący rozporządzenia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DocAmend</w:t>
      </w:r>
      <w:proofErr w:type="spellEnd"/>
      <w:r w:rsidRPr="00C876C7">
        <w:rPr>
          <w:rStyle w:val="HideTWBExt"/>
        </w:rPr>
        <w:t>&gt;</w:t>
      </w:r>
    </w:p>
    <w:p w14:paraId="05E2B87E" w14:textId="77777777" w:rsidR="00760D63" w:rsidRPr="00C876C7" w:rsidRDefault="008E0D25" w:rsidP="00760D63">
      <w:pPr>
        <w:pStyle w:val="Normal12a"/>
        <w:spacing w:after="0"/>
        <w:rPr>
          <w:b/>
        </w:rPr>
      </w:pPr>
      <w:r w:rsidRPr="00C876C7">
        <w:rPr>
          <w:rStyle w:val="HideTWBExt"/>
        </w:rPr>
        <w:t>&lt;Article&gt;</w:t>
      </w:r>
      <w:r w:rsidRPr="00C876C7">
        <w:rPr>
          <w:b/>
        </w:rPr>
        <w:t>Artykuł 7 – ustęp 2 a (nowy)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Article</w:t>
      </w:r>
      <w:proofErr w:type="spellEnd"/>
      <w:r w:rsidRPr="00C876C7">
        <w:rPr>
          <w:rStyle w:val="HideTWBExt"/>
        </w:rPr>
        <w:t>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B2D47" w:rsidRPr="00C876C7" w14:paraId="6BE1A071" w14:textId="77777777">
        <w:trPr>
          <w:jc w:val="center"/>
        </w:trPr>
        <w:tc>
          <w:tcPr>
            <w:tcW w:w="9750" w:type="dxa"/>
            <w:gridSpan w:val="2"/>
          </w:tcPr>
          <w:p w14:paraId="65CC5B90" w14:textId="77777777" w:rsidR="00760D63" w:rsidRPr="00C876C7" w:rsidRDefault="00760D63" w:rsidP="005A2392">
            <w:pPr>
              <w:pStyle w:val="Normal6a"/>
            </w:pPr>
          </w:p>
        </w:tc>
      </w:tr>
      <w:tr w:rsidR="002B2D47" w:rsidRPr="00C876C7" w14:paraId="27EA94BD" w14:textId="77777777">
        <w:trPr>
          <w:jc w:val="center"/>
        </w:trPr>
        <w:tc>
          <w:tcPr>
            <w:tcW w:w="4875" w:type="dxa"/>
            <w:hideMark/>
          </w:tcPr>
          <w:p w14:paraId="49D4F5ED" w14:textId="77777777" w:rsidR="00760D63" w:rsidRPr="00C876C7" w:rsidRDefault="008E0D25" w:rsidP="00E00D3E">
            <w:pPr>
              <w:pStyle w:val="AmColumnHeading"/>
            </w:pPr>
            <w:r w:rsidRPr="00C876C7">
              <w:t>Tekst proponowany przez Komisję</w:t>
            </w:r>
          </w:p>
        </w:tc>
        <w:tc>
          <w:tcPr>
            <w:tcW w:w="4875" w:type="dxa"/>
            <w:hideMark/>
          </w:tcPr>
          <w:p w14:paraId="09EB6E13" w14:textId="77777777" w:rsidR="00760D63" w:rsidRPr="00C876C7" w:rsidRDefault="008E0D25" w:rsidP="00E00D3E">
            <w:pPr>
              <w:pStyle w:val="AmColumnHeading"/>
            </w:pPr>
            <w:r w:rsidRPr="00C876C7">
              <w:t>Poprawka</w:t>
            </w:r>
          </w:p>
        </w:tc>
      </w:tr>
      <w:tr w:rsidR="002B2D47" w:rsidRPr="00C876C7" w14:paraId="7D995152" w14:textId="77777777">
        <w:trPr>
          <w:jc w:val="center"/>
        </w:trPr>
        <w:tc>
          <w:tcPr>
            <w:tcW w:w="4875" w:type="dxa"/>
          </w:tcPr>
          <w:p w14:paraId="6D58D539" w14:textId="77777777" w:rsidR="00760D63" w:rsidRPr="00C876C7" w:rsidRDefault="00760D63" w:rsidP="005A2392">
            <w:pPr>
              <w:pStyle w:val="Normal6a"/>
            </w:pPr>
          </w:p>
        </w:tc>
        <w:tc>
          <w:tcPr>
            <w:tcW w:w="4875" w:type="dxa"/>
            <w:hideMark/>
          </w:tcPr>
          <w:p w14:paraId="03F8DF40" w14:textId="77777777" w:rsidR="00760D63" w:rsidRPr="00C876C7" w:rsidRDefault="008E0D25" w:rsidP="005A2392">
            <w:pPr>
              <w:pStyle w:val="Normal6a"/>
            </w:pPr>
            <w:r w:rsidRPr="00C876C7">
              <w:rPr>
                <w:b/>
                <w:i/>
              </w:rPr>
              <w:t>2a.</w:t>
            </w:r>
            <w:r w:rsidRPr="00C876C7">
              <w:rPr>
                <w:b/>
                <w:i/>
              </w:rPr>
              <w:tab/>
              <w:t>[Od dnia 1 stycznia 2028 r. / data rozpoczęcia programu], na zasadzie odstępstwa od art. 212 ust. 3 akapit pierwszy, drugi i czwarty rozporządzenia finansowego dochody, spłaty i kwoty odzyskane z instrumentów finansowych zasilanych środkami finansowymi na podstawie niniejszego rozporządzenia i jego poprzedników z rezerwy Europejskiego Funduszu Konkurencyjności, wykorzystuje się do udzielenia wsparcia Unii w ramach programu „Horyzont Europa”. Na zasadzie odstępstwa od art. 21 ust. 3 lit. f) i zgodnie z art.</w:t>
            </w:r>
            <w:r w:rsidRPr="00C876C7">
              <w:rPr>
                <w:b/>
                <w:i/>
              </w:rPr>
              <w:t xml:space="preserve"> 21 ust. 5 rozporządzenia </w:t>
            </w:r>
            <w:r w:rsidRPr="00C876C7">
              <w:rPr>
                <w:b/>
                <w:i/>
              </w:rPr>
              <w:lastRenderedPageBreak/>
              <w:t>finansowego zasoby te stanowią zewnętrzne dochody przeznaczone na określony cel na rzecz programu „Horyzont Europa”. Dochody, spłaty i kwoty odzyskane z instrumentów finansowych wdrażanych przez fundusz EIC pozostają na saldzie funduszu EIC.</w:t>
            </w:r>
          </w:p>
        </w:tc>
      </w:tr>
    </w:tbl>
    <w:p w14:paraId="7DD1A408" w14:textId="77777777" w:rsidR="00BA7BC0" w:rsidRPr="00C876C7" w:rsidRDefault="008E0D25" w:rsidP="00E63984">
      <w:pPr>
        <w:pStyle w:val="AmNumberTabs"/>
      </w:pPr>
      <w:r w:rsidRPr="00C876C7">
        <w:rPr>
          <w:rStyle w:val="HideTWBExt"/>
        </w:rPr>
        <w:lastRenderedPageBreak/>
        <w:t>&lt;/Amend&gt;</w:t>
      </w:r>
    </w:p>
    <w:p w14:paraId="6E8EC0D0" w14:textId="77777777" w:rsidR="00BA7BC0" w:rsidRPr="00C876C7" w:rsidRDefault="008E0D25" w:rsidP="00E63984">
      <w:pPr>
        <w:pStyle w:val="AmNumberTabs"/>
      </w:pPr>
      <w:r w:rsidRPr="00C876C7">
        <w:rPr>
          <w:rStyle w:val="HideTWBExt"/>
        </w:rPr>
        <w:t>&lt;Amend&gt;</w:t>
      </w:r>
      <w:r w:rsidRPr="00C876C7">
        <w:t>Poprawka</w:t>
      </w:r>
      <w:r w:rsidRPr="00C876C7">
        <w:tab/>
      </w:r>
      <w:r w:rsidRPr="00C876C7">
        <w:tab/>
      </w:r>
      <w:r w:rsidRPr="00C876C7">
        <w:rPr>
          <w:rStyle w:val="HideTWBExt"/>
        </w:rPr>
        <w:t>&lt;NumAm&gt;</w:t>
      </w:r>
      <w:r w:rsidRPr="00C876C7">
        <w:t>8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NumAm</w:t>
      </w:r>
      <w:proofErr w:type="spellEnd"/>
      <w:r w:rsidRPr="00C876C7">
        <w:rPr>
          <w:rStyle w:val="HideTWBExt"/>
        </w:rPr>
        <w:t>&gt;</w:t>
      </w:r>
    </w:p>
    <w:p w14:paraId="7587D9C7" w14:textId="77777777" w:rsidR="00BA7BC0" w:rsidRPr="00C876C7" w:rsidRDefault="008E0D25" w:rsidP="00BA7BC0">
      <w:pPr>
        <w:pStyle w:val="Normal12a"/>
        <w:spacing w:after="0"/>
        <w:rPr>
          <w:b/>
        </w:rPr>
      </w:pPr>
      <w:r w:rsidRPr="00C876C7">
        <w:rPr>
          <w:rStyle w:val="HideTWBExt"/>
        </w:rPr>
        <w:t>&lt;DocAmend&gt;</w:t>
      </w:r>
      <w:r w:rsidRPr="00C876C7">
        <w:rPr>
          <w:b/>
        </w:rPr>
        <w:t>Wniosek dotyczący rozporządzenia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DocAmend</w:t>
      </w:r>
      <w:proofErr w:type="spellEnd"/>
      <w:r w:rsidRPr="00C876C7">
        <w:rPr>
          <w:rStyle w:val="HideTWBExt"/>
        </w:rPr>
        <w:t>&gt;</w:t>
      </w:r>
    </w:p>
    <w:p w14:paraId="77BAAEFC" w14:textId="77777777" w:rsidR="00BA7BC0" w:rsidRPr="00C876C7" w:rsidRDefault="008E0D25" w:rsidP="00BA7BC0">
      <w:pPr>
        <w:pStyle w:val="Normal12a"/>
        <w:spacing w:after="0"/>
        <w:rPr>
          <w:b/>
        </w:rPr>
      </w:pPr>
      <w:r w:rsidRPr="00C876C7">
        <w:rPr>
          <w:rStyle w:val="HideTWBExt"/>
        </w:rPr>
        <w:t>&lt;Article&gt;</w:t>
      </w:r>
      <w:r w:rsidRPr="00C876C7">
        <w:rPr>
          <w:b/>
        </w:rPr>
        <w:t>Artykuł 7 – ustęp 2 b (nowy)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Article</w:t>
      </w:r>
      <w:proofErr w:type="spellEnd"/>
      <w:r w:rsidRPr="00C876C7">
        <w:rPr>
          <w:rStyle w:val="HideTWBExt"/>
        </w:rPr>
        <w:t>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B2D47" w:rsidRPr="00C876C7" w14:paraId="2B500F9A" w14:textId="77777777">
        <w:trPr>
          <w:jc w:val="center"/>
        </w:trPr>
        <w:tc>
          <w:tcPr>
            <w:tcW w:w="9750" w:type="dxa"/>
            <w:gridSpan w:val="2"/>
          </w:tcPr>
          <w:p w14:paraId="4FD7F7F3" w14:textId="77777777" w:rsidR="00BA7BC0" w:rsidRPr="00C876C7" w:rsidRDefault="00BA7BC0" w:rsidP="005A2392">
            <w:pPr>
              <w:pStyle w:val="Normal6a"/>
            </w:pPr>
          </w:p>
        </w:tc>
      </w:tr>
      <w:tr w:rsidR="002B2D47" w:rsidRPr="00C876C7" w14:paraId="315B93CC" w14:textId="77777777">
        <w:trPr>
          <w:jc w:val="center"/>
        </w:trPr>
        <w:tc>
          <w:tcPr>
            <w:tcW w:w="4875" w:type="dxa"/>
            <w:hideMark/>
          </w:tcPr>
          <w:p w14:paraId="3973571F" w14:textId="77777777" w:rsidR="00BA7BC0" w:rsidRPr="00C876C7" w:rsidRDefault="008E0D25" w:rsidP="00E00D3E">
            <w:pPr>
              <w:pStyle w:val="AmColumnHeading"/>
            </w:pPr>
            <w:r w:rsidRPr="00C876C7">
              <w:t xml:space="preserve">Tekst proponowany przez </w:t>
            </w:r>
            <w:r w:rsidRPr="00C876C7">
              <w:t>Komisję</w:t>
            </w:r>
          </w:p>
        </w:tc>
        <w:tc>
          <w:tcPr>
            <w:tcW w:w="4875" w:type="dxa"/>
            <w:hideMark/>
          </w:tcPr>
          <w:p w14:paraId="18E20161" w14:textId="77777777" w:rsidR="00BA7BC0" w:rsidRPr="00C876C7" w:rsidRDefault="008E0D25" w:rsidP="00E00D3E">
            <w:pPr>
              <w:pStyle w:val="AmColumnHeading"/>
            </w:pPr>
            <w:r w:rsidRPr="00C876C7">
              <w:t>Poprawka</w:t>
            </w:r>
          </w:p>
        </w:tc>
      </w:tr>
      <w:tr w:rsidR="002B2D47" w:rsidRPr="00C876C7" w14:paraId="1E567428" w14:textId="77777777">
        <w:trPr>
          <w:jc w:val="center"/>
        </w:trPr>
        <w:tc>
          <w:tcPr>
            <w:tcW w:w="4875" w:type="dxa"/>
          </w:tcPr>
          <w:p w14:paraId="2141BD5F" w14:textId="77777777" w:rsidR="00BA7BC0" w:rsidRPr="00C876C7" w:rsidRDefault="00BA7BC0" w:rsidP="005A2392">
            <w:pPr>
              <w:pStyle w:val="Normal6a"/>
            </w:pPr>
          </w:p>
        </w:tc>
        <w:tc>
          <w:tcPr>
            <w:tcW w:w="4875" w:type="dxa"/>
            <w:hideMark/>
          </w:tcPr>
          <w:p w14:paraId="720AAB31" w14:textId="77777777" w:rsidR="00BA7BC0" w:rsidRPr="00C876C7" w:rsidRDefault="008E0D25" w:rsidP="005A2392">
            <w:pPr>
              <w:pStyle w:val="Normal6a"/>
            </w:pPr>
            <w:r w:rsidRPr="00C876C7">
              <w:rPr>
                <w:b/>
                <w:i/>
              </w:rPr>
              <w:t>2b.</w:t>
            </w:r>
            <w:r w:rsidRPr="00C876C7">
              <w:rPr>
                <w:b/>
                <w:i/>
              </w:rPr>
              <w:tab/>
              <w:t xml:space="preserve">Środki na zobowiązania odpowiadające kwocie umorzeń wynikających z całkowitego lub częściowego niewykonania projektów badawczych są ponownie udostępniane na rzecz niniejszego programu, w kontekście procedury budżetowej, z </w:t>
            </w:r>
            <w:r w:rsidRPr="00C876C7">
              <w:rPr>
                <w:b/>
                <w:i/>
              </w:rPr>
              <w:t>pierwszeństwem dla tego samego celu.</w:t>
            </w:r>
          </w:p>
        </w:tc>
      </w:tr>
    </w:tbl>
    <w:p w14:paraId="75B2F805" w14:textId="77777777" w:rsidR="00BA7BC0" w:rsidRPr="00C876C7" w:rsidRDefault="008E0D25" w:rsidP="00BA7BC0">
      <w:pPr>
        <w:pStyle w:val="Normal12a"/>
      </w:pPr>
      <w:r w:rsidRPr="00C876C7">
        <w:rPr>
          <w:rStyle w:val="HideTWBExt"/>
        </w:rPr>
        <w:t>&lt;/Amend&gt;</w:t>
      </w:r>
    </w:p>
    <w:p w14:paraId="6DE1E1AF" w14:textId="77777777" w:rsidR="009E64BF" w:rsidRPr="00C876C7" w:rsidRDefault="008E0D25" w:rsidP="009E64BF">
      <w:pPr>
        <w:pStyle w:val="AmNumberTabs"/>
      </w:pPr>
      <w:r w:rsidRPr="00C876C7">
        <w:rPr>
          <w:rStyle w:val="HideTWBExt"/>
        </w:rPr>
        <w:t>&lt;Amend&gt;</w:t>
      </w:r>
      <w:r w:rsidRPr="00C876C7">
        <w:t>Poprawka</w:t>
      </w:r>
      <w:r w:rsidRPr="00C876C7">
        <w:tab/>
      </w:r>
      <w:r w:rsidRPr="00C876C7">
        <w:tab/>
      </w:r>
      <w:r w:rsidRPr="00C876C7">
        <w:rPr>
          <w:rStyle w:val="HideTWBExt"/>
        </w:rPr>
        <w:t>&lt;NumAm&gt;</w:t>
      </w:r>
      <w:r w:rsidRPr="00C876C7">
        <w:t>9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NumAm</w:t>
      </w:r>
      <w:proofErr w:type="spellEnd"/>
      <w:r w:rsidRPr="00C876C7">
        <w:rPr>
          <w:rStyle w:val="HideTWBExt"/>
        </w:rPr>
        <w:t>&gt;</w:t>
      </w:r>
    </w:p>
    <w:p w14:paraId="0D9BD8CF" w14:textId="77777777" w:rsidR="009E64BF" w:rsidRPr="00C876C7" w:rsidRDefault="008E0D25" w:rsidP="009E64BF">
      <w:pPr>
        <w:pStyle w:val="Normal12a"/>
        <w:spacing w:after="0"/>
        <w:rPr>
          <w:b/>
        </w:rPr>
      </w:pPr>
      <w:r w:rsidRPr="00C876C7">
        <w:rPr>
          <w:rStyle w:val="HideTWBExt"/>
        </w:rPr>
        <w:t>&lt;DocAmend&gt;</w:t>
      </w:r>
      <w:r w:rsidRPr="00C876C7">
        <w:rPr>
          <w:b/>
        </w:rPr>
        <w:t>Wniosek dotyczący rozporządzenia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DocAmend</w:t>
      </w:r>
      <w:proofErr w:type="spellEnd"/>
      <w:r w:rsidRPr="00C876C7">
        <w:rPr>
          <w:rStyle w:val="HideTWBExt"/>
        </w:rPr>
        <w:t>&gt;</w:t>
      </w:r>
    </w:p>
    <w:p w14:paraId="2ED935C5" w14:textId="77777777" w:rsidR="009E64BF" w:rsidRPr="00C876C7" w:rsidRDefault="008E0D25" w:rsidP="009E64BF">
      <w:pPr>
        <w:pStyle w:val="Normal12a"/>
        <w:spacing w:after="0"/>
        <w:rPr>
          <w:b/>
        </w:rPr>
      </w:pPr>
      <w:r w:rsidRPr="00C876C7">
        <w:rPr>
          <w:rStyle w:val="HideTWBExt"/>
        </w:rPr>
        <w:t>&lt;Article&gt;</w:t>
      </w:r>
      <w:r w:rsidRPr="00C876C7">
        <w:rPr>
          <w:b/>
        </w:rPr>
        <w:t>Artykuł 10 – ustęp 3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Article</w:t>
      </w:r>
      <w:proofErr w:type="spellEnd"/>
      <w:r w:rsidRPr="00C876C7">
        <w:rPr>
          <w:rStyle w:val="HideTWBExt"/>
        </w:rPr>
        <w:t>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B2D47" w:rsidRPr="00C876C7" w14:paraId="74129E45" w14:textId="77777777" w:rsidTr="003D43B7">
        <w:trPr>
          <w:jc w:val="center"/>
        </w:trPr>
        <w:tc>
          <w:tcPr>
            <w:tcW w:w="9750" w:type="dxa"/>
            <w:gridSpan w:val="2"/>
          </w:tcPr>
          <w:p w14:paraId="5DF0A5B9" w14:textId="77777777" w:rsidR="009E64BF" w:rsidRPr="00C876C7" w:rsidRDefault="009E64BF" w:rsidP="003D43B7">
            <w:pPr>
              <w:pStyle w:val="Normal6a"/>
            </w:pPr>
          </w:p>
        </w:tc>
      </w:tr>
      <w:tr w:rsidR="002B2D47" w:rsidRPr="00C876C7" w14:paraId="79ECD6CD" w14:textId="77777777" w:rsidTr="003D43B7">
        <w:trPr>
          <w:jc w:val="center"/>
        </w:trPr>
        <w:tc>
          <w:tcPr>
            <w:tcW w:w="4875" w:type="dxa"/>
            <w:hideMark/>
          </w:tcPr>
          <w:p w14:paraId="094EA4C5" w14:textId="77777777" w:rsidR="009E64BF" w:rsidRPr="00C876C7" w:rsidRDefault="008E0D25" w:rsidP="003D43B7">
            <w:pPr>
              <w:pStyle w:val="AmColumnHeading"/>
            </w:pPr>
            <w:r w:rsidRPr="00C876C7">
              <w:t>Tekst proponowany przez Komisję</w:t>
            </w:r>
          </w:p>
        </w:tc>
        <w:tc>
          <w:tcPr>
            <w:tcW w:w="4875" w:type="dxa"/>
            <w:hideMark/>
          </w:tcPr>
          <w:p w14:paraId="2913DC08" w14:textId="77777777" w:rsidR="009E64BF" w:rsidRPr="00C876C7" w:rsidRDefault="008E0D25" w:rsidP="003D43B7">
            <w:pPr>
              <w:pStyle w:val="AmColumnHeading"/>
            </w:pPr>
            <w:r w:rsidRPr="00C876C7">
              <w:t>Poprawka</w:t>
            </w:r>
          </w:p>
        </w:tc>
      </w:tr>
      <w:tr w:rsidR="002B2D47" w:rsidRPr="00C876C7" w14:paraId="7D894358" w14:textId="77777777" w:rsidTr="003D43B7">
        <w:trPr>
          <w:jc w:val="center"/>
        </w:trPr>
        <w:tc>
          <w:tcPr>
            <w:tcW w:w="4875" w:type="dxa"/>
          </w:tcPr>
          <w:p w14:paraId="0DF963A6" w14:textId="77777777" w:rsidR="009E64BF" w:rsidRPr="00C876C7" w:rsidRDefault="008E0D25" w:rsidP="003D43B7">
            <w:pPr>
              <w:pStyle w:val="Normal6a"/>
            </w:pPr>
            <w:r w:rsidRPr="00C876C7">
              <w:t>3.</w:t>
            </w:r>
            <w:r w:rsidRPr="00C876C7">
              <w:tab/>
              <w:t xml:space="preserve">Z wyjątkiem </w:t>
            </w:r>
            <w:r w:rsidRPr="00C876C7">
              <w:t xml:space="preserve">instrumentów finansowych w ramach EIC (Funduszu), w przypadku których wsparcie Unii udzielane jest w formie gwarancji budżetowej lub instrumentu finansowego, w tym w połączeniu z bezzwrotnym wsparciem w ramach działania łączonego, jest ono udzielane wyłącznie za pośrednictwem Instrumentu EFK </w:t>
            </w:r>
            <w:proofErr w:type="spellStart"/>
            <w:r w:rsidRPr="00C876C7">
              <w:t>InvestEU</w:t>
            </w:r>
            <w:proofErr w:type="spellEnd"/>
            <w:r w:rsidRPr="00C876C7">
              <w:t xml:space="preserve"> i wdrażane zgodnie z mającymi zastosowanie </w:t>
            </w:r>
            <w:r w:rsidRPr="00C876C7">
              <w:lastRenderedPageBreak/>
              <w:t xml:space="preserve">zasadami tego instrumentu w drodze zawartych w tym celu umów o przyznanie wkładu lub umów w sprawie gwarancji. Jeżeli w ramach programu korzysta się z Instrumentu EFK </w:t>
            </w:r>
            <w:proofErr w:type="spellStart"/>
            <w:r w:rsidRPr="00C876C7">
              <w:t>InvestEU</w:t>
            </w:r>
            <w:proofErr w:type="spellEnd"/>
            <w:r w:rsidRPr="00C876C7">
              <w:t>, zapewnia on tworzenie rezerw na gwarancję budżetową i finansowanie do instrumentów finansowych, w tym w przypadku połączenia z bezzwrotnym wsparciem w ramach działania łączonego.</w:t>
            </w:r>
            <w:r w:rsidRPr="00C876C7">
              <w:rPr>
                <w:i/>
              </w:rPr>
              <w:t> </w:t>
            </w:r>
          </w:p>
        </w:tc>
        <w:tc>
          <w:tcPr>
            <w:tcW w:w="4875" w:type="dxa"/>
          </w:tcPr>
          <w:p w14:paraId="33707D72" w14:textId="77777777" w:rsidR="009E64BF" w:rsidRPr="00C876C7" w:rsidRDefault="008E0D25" w:rsidP="003D43B7">
            <w:pPr>
              <w:pStyle w:val="Normal6a"/>
            </w:pPr>
            <w:r w:rsidRPr="00C876C7">
              <w:lastRenderedPageBreak/>
              <w:t>3.</w:t>
            </w:r>
            <w:r w:rsidRPr="00C876C7">
              <w:tab/>
              <w:t>Z wyjątkiem instrumentów finansowych w ramach EIC (Funduszu)</w:t>
            </w:r>
            <w:r w:rsidRPr="00C876C7">
              <w:rPr>
                <w:b/>
                <w:i/>
              </w:rPr>
              <w:t xml:space="preserve">, w tym Funduszu na rzecz Przedsiębiorstw </w:t>
            </w:r>
            <w:proofErr w:type="spellStart"/>
            <w:r w:rsidRPr="00C876C7">
              <w:rPr>
                <w:b/>
                <w:i/>
              </w:rPr>
              <w:t>Scale-up</w:t>
            </w:r>
            <w:proofErr w:type="spellEnd"/>
            <w:r w:rsidRPr="00C876C7">
              <w:t xml:space="preserve">, w przypadku których wsparcie Unii udzielane jest w formie gwarancji budżetowej lub instrumentu finansowego, w tym w połączeniu z bezzwrotnym wsparciem w ramach działania łączonego, jest ono udzielane wyłącznie za pośrednictwem Instrumentu EFK </w:t>
            </w:r>
            <w:proofErr w:type="spellStart"/>
            <w:r w:rsidRPr="00C876C7">
              <w:t>InvestEU</w:t>
            </w:r>
            <w:proofErr w:type="spellEnd"/>
            <w:r w:rsidRPr="00C876C7">
              <w:t xml:space="preserve"> </w:t>
            </w:r>
            <w:r w:rsidRPr="00C876C7">
              <w:lastRenderedPageBreak/>
              <w:t>i wdrażane zgodnie z mającymi zastosowanie zasadami tego instrumentu w drodze zawartych w tym celu umów o przyznanie wkładu lub umów w sprawie gwar</w:t>
            </w:r>
            <w:r w:rsidRPr="00C876C7">
              <w:t xml:space="preserve">ancji. Jeżeli w ramach programu korzysta się z Instrumentu EFK </w:t>
            </w:r>
            <w:proofErr w:type="spellStart"/>
            <w:r w:rsidRPr="00C876C7">
              <w:t>InvestEU</w:t>
            </w:r>
            <w:proofErr w:type="spellEnd"/>
            <w:r w:rsidRPr="00C876C7">
              <w:t>, zapewnia on tworzenie rezerw na gwarancję budżetową i finansowanie do instrumentów finansowych, w tym w przypadku połączenia z bezzwrotnym wsparciem w ramach działania łączonego</w:t>
            </w:r>
            <w:r w:rsidRPr="00C876C7">
              <w:rPr>
                <w:b/>
                <w:i/>
              </w:rPr>
              <w:t>, do maksymalnej wysokości gwarancji budżetowej określonej w rozporządzeniu w sprawie Europejskiego Funduszu Konkurencyjności (EFK)</w:t>
            </w:r>
            <w:r w:rsidRPr="00C876C7">
              <w:t>.</w:t>
            </w:r>
            <w:r w:rsidRPr="00C876C7">
              <w:rPr>
                <w:i/>
              </w:rPr>
              <w:t> </w:t>
            </w:r>
          </w:p>
        </w:tc>
      </w:tr>
    </w:tbl>
    <w:p w14:paraId="15E98B5F" w14:textId="77777777" w:rsidR="009E64BF" w:rsidRPr="00C876C7" w:rsidRDefault="008E0D25" w:rsidP="007E03E2">
      <w:pPr>
        <w:pStyle w:val="AmNumberTabs"/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 w:rsidRPr="00C876C7">
        <w:rPr>
          <w:rStyle w:val="HideTWBExt"/>
        </w:rPr>
        <w:lastRenderedPageBreak/>
        <w:t>&lt;/Amend&gt;</w:t>
      </w:r>
    </w:p>
    <w:bookmarkEnd w:id="1"/>
    <w:p w14:paraId="3B946D7D" w14:textId="77777777" w:rsidR="00E81E17" w:rsidRPr="00C876C7" w:rsidRDefault="008E0D25" w:rsidP="00C878DE">
      <w:r w:rsidRPr="00C876C7">
        <w:rPr>
          <w:rStyle w:val="HideTWBExt"/>
        </w:rPr>
        <w:t>&lt;/RepeatBlock-Amend&gt;</w:t>
      </w:r>
    </w:p>
    <w:p w14:paraId="4839342B" w14:textId="77777777" w:rsidR="00017014" w:rsidRPr="00C876C7" w:rsidRDefault="00017014" w:rsidP="00017014">
      <w:pPr>
        <w:pStyle w:val="Footprint12b"/>
        <w:sectPr w:rsidR="00017014" w:rsidRPr="00C876C7" w:rsidSect="00017014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559334B4" w14:textId="77777777" w:rsidR="00017014" w:rsidRPr="00C876C7" w:rsidRDefault="008E0D25" w:rsidP="00017014">
      <w:pPr>
        <w:pStyle w:val="PageHeadingNotTOC"/>
      </w:pPr>
      <w:bookmarkStart w:id="4" w:name="FootprintPageAD"/>
      <w:bookmarkStart w:id="5" w:name="ProcPageAD"/>
      <w:r w:rsidRPr="00C876C7">
        <w:lastRenderedPageBreak/>
        <w:t>ZAŁĄCZNIK: WYKAZ PODMIOTÓW, OD KTÓRYCH SPRAWOZDAWCA OTRZYMAŁ INFORMACJE</w:t>
      </w:r>
    </w:p>
    <w:p w14:paraId="0B59CA7D" w14:textId="77777777" w:rsidR="00017014" w:rsidRPr="00C876C7" w:rsidRDefault="008E0D25" w:rsidP="00017014">
      <w:pPr>
        <w:pStyle w:val="Normal24a"/>
      </w:pPr>
      <w:r w:rsidRPr="00C876C7">
        <w:rPr>
          <w:rStyle w:val="HideTWBExt"/>
        </w:rPr>
        <w:t>&lt;FootprintIntro&gt;</w:t>
      </w:r>
      <w:r w:rsidRPr="00C876C7">
        <w:t>Zgodnie z art. 8 załącznika I do Regulaminu sprawozdawca ds. oceny budżetowej oświadcza, że ujął w swojej ocenie budżetowej informacje dotyczące kwestii związanych z tematem, które otrzymał podczas sporządzania oceny budżetowej, do czasu przyjęcia jej w komisji, od następujących przedstawicieli grup interesu objętych zakresem porozumienia międzyinstytucjonalnego w sprawie obowiązkowego rejestru służącego przejrzystości</w:t>
      </w:r>
      <w:r w:rsidRPr="00C876C7">
        <w:rPr>
          <w:rStyle w:val="FootnoteReference"/>
        </w:rPr>
        <w:footnoteReference w:id="3"/>
      </w:r>
      <w:r w:rsidRPr="00C876C7">
        <w:t xml:space="preserve"> lub od następujących przedstawicieli organów publicznych państw trzecich, w tym ich misji dyplomatycznych i ambasad:</w:t>
      </w:r>
      <w:r w:rsidRPr="00C876C7">
        <w:rPr>
          <w:rStyle w:val="HideTWBExt"/>
        </w:rPr>
        <w:t>&lt;/</w:t>
      </w:r>
      <w:proofErr w:type="spellStart"/>
      <w:r w:rsidRPr="00C876C7">
        <w:rPr>
          <w:rStyle w:val="HideTWBExt"/>
        </w:rPr>
        <w:t>FootprintIntro</w:t>
      </w:r>
      <w:proofErr w:type="spellEnd"/>
      <w:r w:rsidRPr="00C876C7">
        <w:rPr>
          <w:rStyle w:val="HideTWBExt"/>
        </w:rPr>
        <w:t>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  <w:gridCol w:w="34"/>
      </w:tblGrid>
      <w:tr w:rsidR="002B2D47" w:rsidRPr="00C876C7" w14:paraId="0C41471A" w14:textId="77777777" w:rsidTr="006F2815">
        <w:tc>
          <w:tcPr>
            <w:tcW w:w="9050" w:type="dxa"/>
            <w:gridSpan w:val="2"/>
            <w:shd w:val="clear" w:color="auto" w:fill="auto"/>
          </w:tcPr>
          <w:p w14:paraId="0EB9E2DF" w14:textId="77777777" w:rsidR="00017014" w:rsidRPr="00C876C7" w:rsidRDefault="008E0D25" w:rsidP="006F2815">
            <w:pPr>
              <w:pStyle w:val="NormalBoldCenter"/>
            </w:pPr>
            <w:r w:rsidRPr="00C876C7">
              <w:t>1. Przedstawiciele grup interesu objęci zakresem porozumienia międzyinstytucjonalnego w sprawie obowiązkowego rejestru służącego przejrzystości</w:t>
            </w:r>
          </w:p>
        </w:tc>
      </w:tr>
      <w:tr w:rsidR="002B2D47" w:rsidRPr="00C876C7" w14:paraId="31A3D8B3" w14:textId="77777777" w:rsidTr="006F2815">
        <w:tc>
          <w:tcPr>
            <w:tcW w:w="9050" w:type="dxa"/>
            <w:gridSpan w:val="2"/>
            <w:shd w:val="clear" w:color="auto" w:fill="auto"/>
          </w:tcPr>
          <w:p w14:paraId="3F516BDD" w14:textId="77777777" w:rsidR="00017014" w:rsidRPr="00C876C7" w:rsidRDefault="008E0D25" w:rsidP="006F2815">
            <w:pPr>
              <w:pStyle w:val="NormalSingle"/>
            </w:pPr>
            <w:r w:rsidRPr="00C876C7">
              <w:t xml:space="preserve">Marie Curie Alumni </w:t>
            </w:r>
            <w:proofErr w:type="spellStart"/>
            <w:r w:rsidRPr="00C876C7">
              <w:t>Association</w:t>
            </w:r>
            <w:proofErr w:type="spellEnd"/>
          </w:p>
        </w:tc>
      </w:tr>
      <w:tr w:rsidR="002B2D47" w:rsidRPr="00C876C7" w14:paraId="71F1C4B3" w14:textId="77777777" w:rsidTr="006F2815">
        <w:trPr>
          <w:gridAfter w:val="1"/>
          <w:wAfter w:w="34" w:type="dxa"/>
        </w:trPr>
        <w:tc>
          <w:tcPr>
            <w:tcW w:w="9050" w:type="dxa"/>
            <w:shd w:val="clear" w:color="auto" w:fill="auto"/>
          </w:tcPr>
          <w:p w14:paraId="75BD1594" w14:textId="77777777" w:rsidR="00017014" w:rsidRPr="00C876C7" w:rsidRDefault="008E0D25" w:rsidP="006F2815">
            <w:pPr>
              <w:pStyle w:val="NormalBoldCenter"/>
            </w:pPr>
            <w:r w:rsidRPr="00C876C7">
              <w:t xml:space="preserve">2. Przedstawiciele organów publicznych państw trzecich, w tym ich misji </w:t>
            </w:r>
            <w:r w:rsidRPr="00C876C7">
              <w:t>dyplomatycznych i ambasad</w:t>
            </w:r>
          </w:p>
        </w:tc>
      </w:tr>
      <w:tr w:rsidR="002B2D47" w:rsidRPr="00C876C7" w14:paraId="11DC3A64" w14:textId="77777777" w:rsidTr="006F2815">
        <w:trPr>
          <w:gridAfter w:val="1"/>
          <w:wAfter w:w="34" w:type="dxa"/>
        </w:trPr>
        <w:tc>
          <w:tcPr>
            <w:tcW w:w="9050" w:type="dxa"/>
            <w:shd w:val="clear" w:color="auto" w:fill="auto"/>
          </w:tcPr>
          <w:p w14:paraId="631403A2" w14:textId="77777777" w:rsidR="00446D42" w:rsidRPr="00C876C7" w:rsidRDefault="008E0D25" w:rsidP="00446D42">
            <w:pPr>
              <w:pStyle w:val="NormalBoldCenter"/>
              <w:jc w:val="left"/>
            </w:pPr>
            <w:r w:rsidRPr="00C876C7">
              <w:t>Brak</w:t>
            </w:r>
          </w:p>
        </w:tc>
      </w:tr>
    </w:tbl>
    <w:p w14:paraId="48B8CE51" w14:textId="77777777" w:rsidR="00017014" w:rsidRPr="00C876C7" w:rsidRDefault="008E0D25" w:rsidP="00017014">
      <w:pPr>
        <w:pStyle w:val="Footprint12b"/>
      </w:pPr>
      <w:r w:rsidRPr="00C876C7">
        <w:t>Powyższy wykaz został sporządzony na wyłączną odpowiedzialność sprawozdawcy.</w:t>
      </w:r>
    </w:p>
    <w:p w14:paraId="74CFD7E8" w14:textId="71A25319" w:rsidR="00017014" w:rsidRPr="00C876C7" w:rsidRDefault="008E0D25" w:rsidP="00017014">
      <w:pPr>
        <w:pStyle w:val="Footprint12b"/>
      </w:pPr>
      <w:r w:rsidRPr="00C876C7">
        <w:t xml:space="preserve">Gdy osoby fizyczne są wymienione w wykazie z imienia i nazwiska, zidentyfikowane poprzez swoją funkcję lub wymienione z imienia i nazwiska </w:t>
      </w:r>
      <w:r w:rsidRPr="00C876C7">
        <w:t>wraz z podaniem ich funkcji, sprawozdawca oświadcza, że przedstawił tym osobom fizycznym Oświadczenie o ochronie prywatności w Parlamencie Europejskim nr 484 (</w:t>
      </w:r>
      <w:hyperlink r:id="rId16" w:tooltip="https://www.europarl.europa.eu/data-protect/index.do" w:history="1">
        <w:r w:rsidR="00017014" w:rsidRPr="00C876C7">
          <w:rPr>
            <w:rStyle w:val="Hyperlink"/>
          </w:rPr>
          <w:t>https://www.europarl.europa.eu/data-protect/index.do</w:t>
        </w:r>
      </w:hyperlink>
      <w:r w:rsidRPr="00C876C7">
        <w:t>) w którym określono warunki mające zastosowanie do przetwarzania danych osobowych tych osób oraz prawa związane z takim przetwarzaniem.</w:t>
      </w:r>
    </w:p>
    <w:bookmarkEnd w:id="4"/>
    <w:p w14:paraId="649AE15B" w14:textId="77777777" w:rsidR="00017014" w:rsidRPr="00C876C7" w:rsidRDefault="00017014" w:rsidP="00017014"/>
    <w:p w14:paraId="24C4467D" w14:textId="77777777" w:rsidR="00017014" w:rsidRPr="00C876C7" w:rsidRDefault="00017014" w:rsidP="00017014">
      <w:pPr>
        <w:sectPr w:rsidR="00017014" w:rsidRPr="00C876C7" w:rsidSect="00017014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18D0E881" w14:textId="77777777" w:rsidR="00017014" w:rsidRPr="00C876C7" w:rsidRDefault="008E0D25" w:rsidP="008D2A3C">
      <w:pPr>
        <w:pStyle w:val="PageHeadingNotTOC"/>
      </w:pPr>
      <w:r w:rsidRPr="00C876C7">
        <w:lastRenderedPageBreak/>
        <w:t>PROCEDURA W KOMISJI SPORZĄDZAJĄCEJ OCENĘ BUDŻETOWĄ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2B2D47" w:rsidRPr="00C876C7" w14:paraId="31207377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1744E18" w14:textId="77777777" w:rsidR="00017014" w:rsidRPr="00C876C7" w:rsidRDefault="008E0D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876C7">
              <w:rPr>
                <w:b/>
                <w:color w:val="000000"/>
                <w:sz w:val="20"/>
              </w:rPr>
              <w:t>Tytuł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5E4AF29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Ustanowienie programu ramowego w zakresie badań naukowych i innowacji „Horyzont Europa” na lata 2028–2034 oraz zasad uczestnictwa i upowszechniania obowiązujących w tym programie oraz uchylenie rozporządzenia (UE) 2021/695</w:t>
            </w:r>
          </w:p>
        </w:tc>
      </w:tr>
      <w:tr w:rsidR="002B2D47" w:rsidRPr="00C876C7" w14:paraId="7730625A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4FA5F37" w14:textId="77777777" w:rsidR="00017014" w:rsidRPr="00C876C7" w:rsidRDefault="008E0D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876C7">
              <w:rPr>
                <w:b/>
                <w:color w:val="000000"/>
                <w:sz w:val="20"/>
              </w:rPr>
              <w:t>Odsyłacze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423A9A8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gramStart"/>
            <w:r w:rsidRPr="00C876C7">
              <w:rPr>
                <w:color w:val="000000"/>
                <w:sz w:val="20"/>
              </w:rPr>
              <w:t>COM(</w:t>
            </w:r>
            <w:proofErr w:type="gramEnd"/>
            <w:r w:rsidRPr="00C876C7">
              <w:rPr>
                <w:color w:val="000000"/>
                <w:sz w:val="20"/>
              </w:rPr>
              <w:t>2025)0543 – C10-0164/2025 – 2025/0543(COD)</w:t>
            </w:r>
          </w:p>
        </w:tc>
      </w:tr>
      <w:tr w:rsidR="002B2D47" w:rsidRPr="00C876C7" w14:paraId="25088381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63A0C1C" w14:textId="77777777" w:rsidR="00017014" w:rsidRPr="00C876C7" w:rsidRDefault="008E0D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876C7">
              <w:rPr>
                <w:b/>
                <w:color w:val="000000"/>
                <w:sz w:val="20"/>
              </w:rPr>
              <w:t>Komisje przedmiotowo właściwe</w:t>
            </w:r>
          </w:p>
          <w:p w14:paraId="4BEF59ED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       Data ogłoszenia na posiedzeniu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859A513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ITRE</w:t>
            </w:r>
          </w:p>
          <w:p w14:paraId="621EAAC8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D8AB58A" w14:textId="77777777" w:rsidR="00017014" w:rsidRPr="00C876C7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D6344C6" w14:textId="77777777" w:rsidR="00017014" w:rsidRPr="00C876C7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452515F" w14:textId="77777777" w:rsidR="00017014" w:rsidRPr="00C876C7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2B2D47" w:rsidRPr="00C876C7" w14:paraId="18AC2D24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2A9A51C" w14:textId="77777777" w:rsidR="00017014" w:rsidRPr="00C876C7" w:rsidRDefault="008E0D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876C7">
              <w:rPr>
                <w:b/>
                <w:color w:val="000000"/>
                <w:sz w:val="20"/>
              </w:rPr>
              <w:t>Ocena budżetowa sporządzona przez</w:t>
            </w:r>
          </w:p>
          <w:p w14:paraId="512FF452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 xml:space="preserve">       Data ogłoszenia na </w:t>
            </w:r>
            <w:r w:rsidRPr="00C876C7">
              <w:rPr>
                <w:color w:val="000000"/>
                <w:sz w:val="20"/>
              </w:rPr>
              <w:t>posiedzeniu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7BCBCC4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BUDG</w:t>
            </w:r>
          </w:p>
          <w:p w14:paraId="5EA26FE9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23.10.2025</w:t>
            </w:r>
          </w:p>
        </w:tc>
      </w:tr>
      <w:tr w:rsidR="002B2D47" w:rsidRPr="00C876C7" w14:paraId="43A64AC3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4C7C59" w14:textId="77777777" w:rsidR="00017014" w:rsidRPr="00C876C7" w:rsidRDefault="008E0D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876C7">
              <w:rPr>
                <w:b/>
                <w:color w:val="000000"/>
                <w:sz w:val="20"/>
              </w:rPr>
              <w:t>Sprawozdawczyni ds. oceny budżetowej</w:t>
            </w:r>
          </w:p>
          <w:p w14:paraId="314B13A3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       Data powołania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83D1BA0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spellStart"/>
            <w:r w:rsidRPr="00C876C7">
              <w:rPr>
                <w:color w:val="000000"/>
                <w:sz w:val="20"/>
              </w:rPr>
              <w:t>Hélder</w:t>
            </w:r>
            <w:proofErr w:type="spellEnd"/>
            <w:r w:rsidRPr="00C876C7">
              <w:rPr>
                <w:color w:val="000000"/>
                <w:sz w:val="20"/>
              </w:rPr>
              <w:t xml:space="preserve"> </w:t>
            </w:r>
            <w:proofErr w:type="spellStart"/>
            <w:r w:rsidRPr="00C876C7">
              <w:rPr>
                <w:color w:val="000000"/>
                <w:sz w:val="20"/>
              </w:rPr>
              <w:t>Sousa</w:t>
            </w:r>
            <w:proofErr w:type="spellEnd"/>
            <w:r w:rsidRPr="00C876C7">
              <w:rPr>
                <w:color w:val="000000"/>
                <w:sz w:val="20"/>
              </w:rPr>
              <w:t xml:space="preserve"> Silva</w:t>
            </w:r>
          </w:p>
          <w:p w14:paraId="4B598092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gramStart"/>
            <w:r w:rsidRPr="00C876C7">
              <w:rPr>
                <w:color w:val="000000"/>
                <w:sz w:val="20"/>
              </w:rPr>
              <w:t>13.1.2026</w:t>
            </w:r>
            <w:proofErr w:type="gramEnd"/>
          </w:p>
        </w:tc>
      </w:tr>
      <w:tr w:rsidR="002B2D47" w:rsidRPr="00C876C7" w14:paraId="26F9B8F7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D8EFFFE" w14:textId="77777777" w:rsidR="00017014" w:rsidRPr="00C876C7" w:rsidRDefault="008E0D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876C7">
              <w:rPr>
                <w:b/>
                <w:color w:val="000000"/>
                <w:sz w:val="20"/>
              </w:rPr>
              <w:t>Rozpatrzenie w komisji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1FF955B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gramStart"/>
            <w:r w:rsidRPr="00C876C7">
              <w:rPr>
                <w:color w:val="000000"/>
                <w:sz w:val="20"/>
              </w:rPr>
              <w:t>8.4.2026</w:t>
            </w:r>
            <w:proofErr w:type="gramEnd"/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51194FB" w14:textId="77777777" w:rsidR="00017014" w:rsidRPr="00C876C7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E8D419E" w14:textId="77777777" w:rsidR="00017014" w:rsidRPr="00C876C7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C1B1B79" w14:textId="77777777" w:rsidR="00017014" w:rsidRPr="00C876C7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2B2D47" w:rsidRPr="00C876C7" w14:paraId="6DAEF167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539A48F" w14:textId="77777777" w:rsidR="00017014" w:rsidRPr="00C876C7" w:rsidRDefault="008E0D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876C7"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F6AF112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gramStart"/>
            <w:r w:rsidRPr="00C876C7">
              <w:rPr>
                <w:color w:val="000000"/>
                <w:sz w:val="20"/>
              </w:rPr>
              <w:t>23.6.2026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AF0153" w14:textId="77777777" w:rsidR="00017014" w:rsidRPr="00C876C7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8D2B96D" w14:textId="77777777" w:rsidR="00017014" w:rsidRPr="00C876C7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7205022" w14:textId="77777777" w:rsidR="00017014" w:rsidRPr="00C876C7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2B2D47" w:rsidRPr="00C876C7" w14:paraId="38E28DE4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B700070" w14:textId="77777777" w:rsidR="00017014" w:rsidRPr="00C876C7" w:rsidRDefault="008E0D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876C7"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2CDCAFD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+:</w:t>
            </w:r>
          </w:p>
          <w:p w14:paraId="6BF120F4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–:</w:t>
            </w:r>
          </w:p>
          <w:p w14:paraId="1C8A10B4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7AF77C5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29</w:t>
            </w:r>
          </w:p>
          <w:p w14:paraId="2192AB1E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4</w:t>
            </w:r>
          </w:p>
          <w:p w14:paraId="12BB5CC4" w14:textId="77777777" w:rsidR="00017014" w:rsidRPr="00C876C7" w:rsidRDefault="008E0D2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876C7">
              <w:rPr>
                <w:color w:val="000000"/>
                <w:sz w:val="20"/>
              </w:rPr>
              <w:t>1</w:t>
            </w:r>
          </w:p>
        </w:tc>
      </w:tr>
    </w:tbl>
    <w:p w14:paraId="666A30A1" w14:textId="77777777" w:rsidR="00017014" w:rsidRPr="00C876C7" w:rsidRDefault="00017014"/>
    <w:bookmarkEnd w:id="5"/>
    <w:p w14:paraId="12D8714C" w14:textId="77777777" w:rsidR="00784770" w:rsidRPr="00C876C7" w:rsidRDefault="00784770" w:rsidP="00017014">
      <w:pPr>
        <w:sectPr w:rsidR="00784770" w:rsidRPr="00C876C7" w:rsidSect="00017014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147F3E2A" w14:textId="77777777" w:rsidR="00784770" w:rsidRPr="00C876C7" w:rsidRDefault="008E0D25" w:rsidP="00C36610">
      <w:pPr>
        <w:pStyle w:val="PageHeadingNotTOC"/>
      </w:pPr>
      <w:bookmarkStart w:id="6" w:name="RollCallPageAD"/>
      <w:r w:rsidRPr="00C876C7">
        <w:t>GŁOSOWANIE KOŃCOWE W FORMIE GŁOSOWANIA IMIENNEGO</w:t>
      </w:r>
      <w:r w:rsidRPr="00C876C7">
        <w:br/>
        <w:t>W KOMISJI SPORZĄDZAJĄCEJ OCENĘ BUDŻETOWĄ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B2D47" w:rsidRPr="00C876C7" w14:paraId="52B926AB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08084A8" w14:textId="77777777" w:rsidR="00784770" w:rsidRPr="00C876C7" w:rsidRDefault="008E0D25" w:rsidP="003858C5">
            <w:pPr>
              <w:pStyle w:val="RollCallVotes"/>
            </w:pPr>
            <w:r w:rsidRPr="00C876C7">
              <w:t>29</w:t>
            </w:r>
          </w:p>
        </w:tc>
        <w:tc>
          <w:tcPr>
            <w:tcW w:w="7371" w:type="dxa"/>
            <w:shd w:val="pct10" w:color="000000" w:fill="FFFFFF"/>
          </w:tcPr>
          <w:p w14:paraId="0D6E121A" w14:textId="77777777" w:rsidR="00784770" w:rsidRPr="00C876C7" w:rsidRDefault="008E0D25" w:rsidP="003858C5">
            <w:pPr>
              <w:pStyle w:val="RollCallSymbols14pt"/>
            </w:pPr>
            <w:r w:rsidRPr="00C876C7">
              <w:t>+</w:t>
            </w:r>
          </w:p>
        </w:tc>
      </w:tr>
      <w:tr w:rsidR="002B2D47" w:rsidRPr="00C876C7" w14:paraId="147EF45A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40D42F1" w14:textId="77777777" w:rsidR="00784770" w:rsidRPr="00C876C7" w:rsidRDefault="008E0D25" w:rsidP="003858C5">
            <w:pPr>
              <w:pStyle w:val="RollCallTable"/>
            </w:pPr>
            <w:r w:rsidRPr="00C876C7">
              <w:t>ECR</w:t>
            </w:r>
          </w:p>
        </w:tc>
        <w:tc>
          <w:tcPr>
            <w:tcW w:w="7371" w:type="dxa"/>
            <w:shd w:val="clear" w:color="auto" w:fill="FFFFFF"/>
          </w:tcPr>
          <w:p w14:paraId="2BCDE2B5" w14:textId="77777777" w:rsidR="00784770" w:rsidRPr="00C876C7" w:rsidRDefault="008E0D25" w:rsidP="003858C5">
            <w:pPr>
              <w:pStyle w:val="RollCallTable"/>
            </w:pPr>
            <w:r w:rsidRPr="00C876C7">
              <w:t>Tobiasz Bocheński, Arkadiusz Mularczyk, Bogdan Rzońca</w:t>
            </w:r>
          </w:p>
        </w:tc>
      </w:tr>
      <w:tr w:rsidR="002B2D47" w:rsidRPr="00C876C7" w14:paraId="6AF0B90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570D5D1" w14:textId="77777777" w:rsidR="00784770" w:rsidRPr="00C876C7" w:rsidRDefault="008E0D25" w:rsidP="003858C5">
            <w:pPr>
              <w:pStyle w:val="RollCallTable"/>
            </w:pPr>
            <w:r w:rsidRPr="00C876C7">
              <w:t>PPE</w:t>
            </w:r>
          </w:p>
        </w:tc>
        <w:tc>
          <w:tcPr>
            <w:tcW w:w="7371" w:type="dxa"/>
            <w:shd w:val="clear" w:color="auto" w:fill="FFFFFF"/>
          </w:tcPr>
          <w:p w14:paraId="34C7AAD0" w14:textId="77777777" w:rsidR="00784770" w:rsidRPr="00C876C7" w:rsidRDefault="008E0D25" w:rsidP="003858C5">
            <w:pPr>
              <w:pStyle w:val="RollCallTable"/>
            </w:pPr>
            <w:r w:rsidRPr="00C876C7">
              <w:t xml:space="preserve">Isabel </w:t>
            </w:r>
            <w:proofErr w:type="spellStart"/>
            <w:r w:rsidRPr="00C876C7">
              <w:t>Benjumea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Benjumea</w:t>
            </w:r>
            <w:proofErr w:type="spellEnd"/>
            <w:r w:rsidRPr="00C876C7">
              <w:t xml:space="preserve">, Michalis </w:t>
            </w:r>
            <w:proofErr w:type="spellStart"/>
            <w:r w:rsidRPr="00C876C7">
              <w:t>Hadjipantela</w:t>
            </w:r>
            <w:proofErr w:type="spellEnd"/>
            <w:r w:rsidRPr="00C876C7">
              <w:t xml:space="preserve">, Andrzej Halicki, Monika </w:t>
            </w:r>
            <w:proofErr w:type="spellStart"/>
            <w:r w:rsidRPr="00C876C7">
              <w:t>Hohlmeier</w:t>
            </w:r>
            <w:proofErr w:type="spellEnd"/>
            <w:r w:rsidRPr="00C876C7">
              <w:t xml:space="preserve">, Janusz </w:t>
            </w:r>
            <w:r w:rsidRPr="00C876C7">
              <w:t xml:space="preserve">Lewandowski, Gabriel Mato, </w:t>
            </w:r>
            <w:proofErr w:type="spellStart"/>
            <w:r w:rsidRPr="00C876C7">
              <w:t>Danuše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Nerudová</w:t>
            </w:r>
            <w:proofErr w:type="spellEnd"/>
            <w:r w:rsidRPr="00C876C7">
              <w:t xml:space="preserve">, </w:t>
            </w:r>
            <w:proofErr w:type="spellStart"/>
            <w:r w:rsidRPr="00C876C7">
              <w:t>Karlo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Ressler</w:t>
            </w:r>
            <w:proofErr w:type="spellEnd"/>
            <w:r w:rsidRPr="00C876C7">
              <w:t xml:space="preserve">, </w:t>
            </w:r>
            <w:proofErr w:type="spellStart"/>
            <w:r w:rsidRPr="00C876C7">
              <w:t>Hélder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Sousa</w:t>
            </w:r>
            <w:proofErr w:type="spellEnd"/>
            <w:r w:rsidRPr="00C876C7">
              <w:t xml:space="preserve"> Silva</w:t>
            </w:r>
          </w:p>
        </w:tc>
      </w:tr>
      <w:tr w:rsidR="002B2D47" w:rsidRPr="00C876C7" w14:paraId="3D58316C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FF6A4EC" w14:textId="77777777" w:rsidR="00784770" w:rsidRPr="00C876C7" w:rsidRDefault="008E0D25" w:rsidP="003858C5">
            <w:pPr>
              <w:pStyle w:val="RollCallTable"/>
            </w:pPr>
            <w:proofErr w:type="spellStart"/>
            <w:r w:rsidRPr="00C876C7"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2421BCE4" w14:textId="77777777" w:rsidR="00784770" w:rsidRPr="00C876C7" w:rsidRDefault="008E0D25" w:rsidP="003858C5">
            <w:pPr>
              <w:pStyle w:val="RollCallTable"/>
            </w:pPr>
            <w:r w:rsidRPr="00C876C7">
              <w:t xml:space="preserve">Tomasz Buczek, </w:t>
            </w:r>
            <w:proofErr w:type="spellStart"/>
            <w:r w:rsidRPr="00C876C7">
              <w:t>Tamás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Deutsch</w:t>
            </w:r>
            <w:proofErr w:type="spellEnd"/>
            <w:r w:rsidRPr="00C876C7">
              <w:t xml:space="preserve">, </w:t>
            </w:r>
            <w:proofErr w:type="spellStart"/>
            <w:r w:rsidRPr="00C876C7">
              <w:t>Antonín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Staněk</w:t>
            </w:r>
            <w:proofErr w:type="spellEnd"/>
          </w:p>
        </w:tc>
      </w:tr>
      <w:tr w:rsidR="002B2D47" w:rsidRPr="00C876C7" w14:paraId="298EC26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7B6CD7B8" w14:textId="77777777" w:rsidR="00784770" w:rsidRPr="00C876C7" w:rsidRDefault="008E0D25" w:rsidP="003858C5">
            <w:pPr>
              <w:pStyle w:val="RollCallTable"/>
            </w:pPr>
            <w:proofErr w:type="spellStart"/>
            <w:r w:rsidRPr="00C876C7">
              <w:t>Renew</w:t>
            </w:r>
            <w:proofErr w:type="spellEnd"/>
            <w:r w:rsidRPr="00C876C7">
              <w:t xml:space="preserve"> Europe</w:t>
            </w:r>
          </w:p>
        </w:tc>
        <w:tc>
          <w:tcPr>
            <w:tcW w:w="7371" w:type="dxa"/>
            <w:shd w:val="clear" w:color="auto" w:fill="FFFFFF"/>
          </w:tcPr>
          <w:p w14:paraId="199CA5BB" w14:textId="77777777" w:rsidR="00784770" w:rsidRPr="00C876C7" w:rsidRDefault="008E0D25" w:rsidP="003858C5">
            <w:pPr>
              <w:pStyle w:val="RollCallTable"/>
            </w:pPr>
            <w:r w:rsidRPr="00C876C7">
              <w:t xml:space="preserve">Olivier </w:t>
            </w:r>
            <w:proofErr w:type="spellStart"/>
            <w:r w:rsidRPr="00C876C7">
              <w:t>Chastel</w:t>
            </w:r>
            <w:proofErr w:type="spellEnd"/>
            <w:r w:rsidRPr="00C876C7">
              <w:t xml:space="preserve">, </w:t>
            </w:r>
            <w:proofErr w:type="spellStart"/>
            <w:r w:rsidRPr="00C876C7">
              <w:t>Fabienne</w:t>
            </w:r>
            <w:proofErr w:type="spellEnd"/>
            <w:r w:rsidRPr="00C876C7">
              <w:t xml:space="preserve"> Keller, Lucia </w:t>
            </w:r>
            <w:proofErr w:type="spellStart"/>
            <w:r w:rsidRPr="00C876C7">
              <w:t>Yar</w:t>
            </w:r>
            <w:proofErr w:type="spellEnd"/>
          </w:p>
        </w:tc>
      </w:tr>
      <w:tr w:rsidR="002B2D47" w:rsidRPr="00C876C7" w14:paraId="1B07D88A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4C4266E" w14:textId="77777777" w:rsidR="00784770" w:rsidRPr="00C876C7" w:rsidRDefault="008E0D25" w:rsidP="003858C5">
            <w:pPr>
              <w:pStyle w:val="RollCallTable"/>
            </w:pPr>
            <w:r w:rsidRPr="00C876C7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54033B54" w14:textId="77777777" w:rsidR="00784770" w:rsidRPr="00C876C7" w:rsidRDefault="008E0D25" w:rsidP="003858C5">
            <w:pPr>
              <w:pStyle w:val="RollCallTable"/>
            </w:pPr>
            <w:r w:rsidRPr="00C876C7">
              <w:t xml:space="preserve">Mohammed </w:t>
            </w:r>
            <w:proofErr w:type="spellStart"/>
            <w:r w:rsidRPr="00C876C7">
              <w:t>Chahim</w:t>
            </w:r>
            <w:proofErr w:type="spellEnd"/>
            <w:r w:rsidRPr="00C876C7">
              <w:t xml:space="preserve">, </w:t>
            </w:r>
            <w:proofErr w:type="spellStart"/>
            <w:r w:rsidRPr="00C876C7">
              <w:t>Matthias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Ecke</w:t>
            </w:r>
            <w:proofErr w:type="spellEnd"/>
            <w:r w:rsidRPr="00C876C7">
              <w:t xml:space="preserve">, </w:t>
            </w:r>
            <w:proofErr w:type="spellStart"/>
            <w:r w:rsidRPr="00C876C7">
              <w:t>Nikolas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Farantouris</w:t>
            </w:r>
            <w:proofErr w:type="spellEnd"/>
            <w:r w:rsidRPr="00C876C7">
              <w:t xml:space="preserve">, </w:t>
            </w:r>
            <w:r w:rsidRPr="00C876C7">
              <w:t>Jean-</w:t>
            </w:r>
            <w:proofErr w:type="spellStart"/>
            <w:r w:rsidRPr="00C876C7">
              <w:t>Marc</w:t>
            </w:r>
            <w:proofErr w:type="spellEnd"/>
            <w:r w:rsidRPr="00C876C7">
              <w:t xml:space="preserve"> Germain, Sandra </w:t>
            </w:r>
            <w:proofErr w:type="spellStart"/>
            <w:r w:rsidRPr="00C876C7">
              <w:t>Gómez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López</w:t>
            </w:r>
            <w:proofErr w:type="spellEnd"/>
            <w:r w:rsidRPr="00C876C7">
              <w:t xml:space="preserve">, Victor </w:t>
            </w:r>
            <w:proofErr w:type="spellStart"/>
            <w:r w:rsidRPr="00C876C7">
              <w:t>Negrescu</w:t>
            </w:r>
            <w:proofErr w:type="spellEnd"/>
            <w:r w:rsidRPr="00C876C7">
              <w:t xml:space="preserve">, </w:t>
            </w:r>
            <w:proofErr w:type="spellStart"/>
            <w:r w:rsidRPr="00C876C7">
              <w:t>Matjaž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Nemec</w:t>
            </w:r>
            <w:proofErr w:type="spellEnd"/>
            <w:r w:rsidRPr="00C876C7">
              <w:t xml:space="preserve">, </w:t>
            </w:r>
            <w:proofErr w:type="spellStart"/>
            <w:r w:rsidRPr="00C876C7">
              <w:t>Nils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Ušakovs</w:t>
            </w:r>
            <w:proofErr w:type="spellEnd"/>
          </w:p>
        </w:tc>
      </w:tr>
      <w:tr w:rsidR="002B2D47" w:rsidRPr="00C876C7" w14:paraId="33B42DED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70AE380" w14:textId="77777777" w:rsidR="00784770" w:rsidRPr="00C876C7" w:rsidRDefault="008E0D25" w:rsidP="003858C5">
            <w:pPr>
              <w:pStyle w:val="RollCallTable"/>
            </w:pPr>
            <w:proofErr w:type="spellStart"/>
            <w:r w:rsidRPr="00C876C7">
              <w:t>Verts</w:t>
            </w:r>
            <w:proofErr w:type="spellEnd"/>
            <w:r w:rsidRPr="00C876C7">
              <w:t>/ALE</w:t>
            </w:r>
          </w:p>
        </w:tc>
        <w:tc>
          <w:tcPr>
            <w:tcW w:w="7371" w:type="dxa"/>
            <w:shd w:val="clear" w:color="auto" w:fill="FFFFFF"/>
          </w:tcPr>
          <w:p w14:paraId="17C67647" w14:textId="77777777" w:rsidR="00784770" w:rsidRPr="00C876C7" w:rsidRDefault="008E0D25" w:rsidP="003858C5">
            <w:pPr>
              <w:pStyle w:val="RollCallTable"/>
            </w:pPr>
            <w:proofErr w:type="spellStart"/>
            <w:r w:rsidRPr="00C876C7">
              <w:t>Ignazio</w:t>
            </w:r>
            <w:proofErr w:type="spellEnd"/>
            <w:r w:rsidRPr="00C876C7">
              <w:t xml:space="preserve"> Roberto Marino, </w:t>
            </w:r>
            <w:proofErr w:type="spellStart"/>
            <w:r w:rsidRPr="00C876C7">
              <w:t>Rasmus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Nordqvist</w:t>
            </w:r>
            <w:proofErr w:type="spellEnd"/>
            <w:r w:rsidRPr="00C876C7">
              <w:t xml:space="preserve">, </w:t>
            </w:r>
            <w:proofErr w:type="spellStart"/>
            <w:r w:rsidRPr="00C876C7">
              <w:t>Nicolae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Ștefănuță</w:t>
            </w:r>
            <w:proofErr w:type="spellEnd"/>
          </w:p>
        </w:tc>
      </w:tr>
    </w:tbl>
    <w:p w14:paraId="2252B66A" w14:textId="77777777" w:rsidR="00784770" w:rsidRPr="00C876C7" w:rsidRDefault="00784770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B2D47" w:rsidRPr="00C876C7" w14:paraId="11701CDF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5A2CC7C3" w14:textId="77777777" w:rsidR="00784770" w:rsidRPr="00C876C7" w:rsidRDefault="008E0D25" w:rsidP="003858C5">
            <w:pPr>
              <w:pStyle w:val="RollCallVotes"/>
            </w:pPr>
            <w:r w:rsidRPr="00C876C7">
              <w:t>4</w:t>
            </w:r>
          </w:p>
        </w:tc>
        <w:tc>
          <w:tcPr>
            <w:tcW w:w="7371" w:type="dxa"/>
            <w:shd w:val="pct10" w:color="000000" w:fill="FFFFFF"/>
          </w:tcPr>
          <w:p w14:paraId="02F87A15" w14:textId="77777777" w:rsidR="00784770" w:rsidRPr="00C876C7" w:rsidRDefault="008E0D25" w:rsidP="003858C5">
            <w:pPr>
              <w:pStyle w:val="RollCallSymbols14pt"/>
            </w:pPr>
            <w:r w:rsidRPr="00C876C7">
              <w:t>-</w:t>
            </w:r>
          </w:p>
        </w:tc>
      </w:tr>
      <w:tr w:rsidR="002B2D47" w:rsidRPr="00C876C7" w14:paraId="2B1B1CE7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510550F" w14:textId="77777777" w:rsidR="00784770" w:rsidRPr="00C876C7" w:rsidRDefault="008E0D25" w:rsidP="003858C5">
            <w:pPr>
              <w:pStyle w:val="RollCallTable"/>
            </w:pPr>
            <w:r w:rsidRPr="00C876C7">
              <w:t>ESN</w:t>
            </w:r>
          </w:p>
        </w:tc>
        <w:tc>
          <w:tcPr>
            <w:tcW w:w="7371" w:type="dxa"/>
            <w:shd w:val="clear" w:color="auto" w:fill="FFFFFF"/>
          </w:tcPr>
          <w:p w14:paraId="2E9BD3DA" w14:textId="77777777" w:rsidR="00784770" w:rsidRPr="00C876C7" w:rsidRDefault="008E0D25" w:rsidP="003858C5">
            <w:pPr>
              <w:pStyle w:val="RollCallTable"/>
            </w:pPr>
            <w:r w:rsidRPr="00C876C7">
              <w:t xml:space="preserve">Alexander </w:t>
            </w:r>
            <w:proofErr w:type="spellStart"/>
            <w:r w:rsidRPr="00C876C7">
              <w:t>Jungbluth</w:t>
            </w:r>
            <w:proofErr w:type="spellEnd"/>
          </w:p>
        </w:tc>
      </w:tr>
      <w:tr w:rsidR="002B2D47" w:rsidRPr="00C876C7" w14:paraId="054FD6D2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4A308111" w14:textId="77777777" w:rsidR="00784770" w:rsidRPr="00C876C7" w:rsidRDefault="008E0D25" w:rsidP="003858C5">
            <w:pPr>
              <w:pStyle w:val="RollCallTable"/>
            </w:pPr>
            <w:r w:rsidRPr="00C876C7">
              <w:t>NI</w:t>
            </w:r>
          </w:p>
        </w:tc>
        <w:tc>
          <w:tcPr>
            <w:tcW w:w="7371" w:type="dxa"/>
            <w:shd w:val="clear" w:color="auto" w:fill="FFFFFF"/>
          </w:tcPr>
          <w:p w14:paraId="41D43707" w14:textId="77777777" w:rsidR="00784770" w:rsidRPr="00C876C7" w:rsidRDefault="008E0D25" w:rsidP="003858C5">
            <w:pPr>
              <w:pStyle w:val="RollCallTable"/>
            </w:pPr>
            <w:r w:rsidRPr="00C876C7">
              <w:t xml:space="preserve">Thomas </w:t>
            </w:r>
            <w:proofErr w:type="spellStart"/>
            <w:r w:rsidRPr="00C876C7">
              <w:t>Geisel</w:t>
            </w:r>
            <w:proofErr w:type="spellEnd"/>
          </w:p>
        </w:tc>
      </w:tr>
      <w:tr w:rsidR="002B2D47" w:rsidRPr="00C876C7" w14:paraId="638F05EC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2F0F082" w14:textId="77777777" w:rsidR="00784770" w:rsidRPr="00C876C7" w:rsidRDefault="008E0D25" w:rsidP="003858C5">
            <w:pPr>
              <w:pStyle w:val="RollCallTable"/>
            </w:pPr>
            <w:proofErr w:type="spellStart"/>
            <w:r w:rsidRPr="00C876C7"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0478A3C" w14:textId="77777777" w:rsidR="00784770" w:rsidRPr="00C876C7" w:rsidRDefault="008E0D25" w:rsidP="003858C5">
            <w:pPr>
              <w:pStyle w:val="RollCallTable"/>
            </w:pPr>
            <w:proofErr w:type="spellStart"/>
            <w:r w:rsidRPr="00C876C7">
              <w:t>Valérie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Deloge</w:t>
            </w:r>
            <w:proofErr w:type="spellEnd"/>
            <w:r w:rsidRPr="00C876C7">
              <w:t xml:space="preserve">, </w:t>
            </w:r>
            <w:proofErr w:type="spellStart"/>
            <w:r w:rsidRPr="00C876C7">
              <w:t>Aleksandar</w:t>
            </w:r>
            <w:proofErr w:type="spellEnd"/>
            <w:r w:rsidRPr="00C876C7">
              <w:t xml:space="preserve"> </w:t>
            </w:r>
            <w:proofErr w:type="spellStart"/>
            <w:r w:rsidRPr="00C876C7">
              <w:t>Nikolic</w:t>
            </w:r>
            <w:proofErr w:type="spellEnd"/>
          </w:p>
        </w:tc>
      </w:tr>
    </w:tbl>
    <w:p w14:paraId="00E31EAE" w14:textId="77777777" w:rsidR="00784770" w:rsidRPr="00C876C7" w:rsidRDefault="00784770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B2D47" w:rsidRPr="00C876C7" w14:paraId="7B68B5C9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41CBAED" w14:textId="77777777" w:rsidR="00784770" w:rsidRPr="00C876C7" w:rsidRDefault="008E0D25" w:rsidP="003858C5">
            <w:pPr>
              <w:pStyle w:val="RollCallVotes"/>
            </w:pPr>
            <w:r w:rsidRPr="00C876C7">
              <w:t>1</w:t>
            </w:r>
          </w:p>
        </w:tc>
        <w:tc>
          <w:tcPr>
            <w:tcW w:w="7371" w:type="dxa"/>
            <w:shd w:val="pct10" w:color="000000" w:fill="FFFFFF"/>
          </w:tcPr>
          <w:p w14:paraId="7D3BD509" w14:textId="77777777" w:rsidR="00784770" w:rsidRPr="00C876C7" w:rsidRDefault="008E0D25" w:rsidP="003858C5">
            <w:pPr>
              <w:pStyle w:val="RollCallSymbols14pt"/>
            </w:pPr>
            <w:r w:rsidRPr="00C876C7">
              <w:t>0</w:t>
            </w:r>
          </w:p>
        </w:tc>
      </w:tr>
      <w:tr w:rsidR="002B2D47" w:rsidRPr="00C876C7" w14:paraId="05ED521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7B12DDD2" w14:textId="77777777" w:rsidR="00784770" w:rsidRPr="00C876C7" w:rsidRDefault="008E0D25" w:rsidP="003858C5">
            <w:pPr>
              <w:pStyle w:val="RollCallTable"/>
            </w:pPr>
            <w:r w:rsidRPr="00C876C7">
              <w:t xml:space="preserve">The </w:t>
            </w:r>
            <w:proofErr w:type="spellStart"/>
            <w:r w:rsidRPr="00C876C7"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1DD4C098" w14:textId="77777777" w:rsidR="00784770" w:rsidRPr="00C876C7" w:rsidRDefault="008E0D25" w:rsidP="003858C5">
            <w:pPr>
              <w:pStyle w:val="RollCallTable"/>
            </w:pPr>
            <w:proofErr w:type="spellStart"/>
            <w:r w:rsidRPr="00C876C7">
              <w:t>João</w:t>
            </w:r>
            <w:proofErr w:type="spellEnd"/>
            <w:r w:rsidRPr="00C876C7">
              <w:t xml:space="preserve"> Oliveira</w:t>
            </w:r>
          </w:p>
        </w:tc>
      </w:tr>
    </w:tbl>
    <w:p w14:paraId="7C7267FC" w14:textId="77777777" w:rsidR="00784770" w:rsidRPr="00C876C7" w:rsidRDefault="00784770" w:rsidP="00147FBF">
      <w:pPr>
        <w:pStyle w:val="Normal12a"/>
      </w:pPr>
    </w:p>
    <w:p w14:paraId="4C0C1A85" w14:textId="77777777" w:rsidR="00784770" w:rsidRPr="00C876C7" w:rsidRDefault="008E0D25" w:rsidP="00B735E3">
      <w:r w:rsidRPr="00C876C7">
        <w:t>Objaśnienie używanych znaków:</w:t>
      </w:r>
    </w:p>
    <w:p w14:paraId="0762306B" w14:textId="77777777" w:rsidR="00784770" w:rsidRPr="00C876C7" w:rsidRDefault="008E0D25" w:rsidP="003858C5">
      <w:pPr>
        <w:pStyle w:val="RollCallTabs"/>
      </w:pPr>
      <w:r w:rsidRPr="00C876C7">
        <w:t>+</w:t>
      </w:r>
      <w:r w:rsidRPr="00C876C7">
        <w:tab/>
        <w:t>:</w:t>
      </w:r>
      <w:r w:rsidRPr="00C876C7">
        <w:tab/>
        <w:t>za</w:t>
      </w:r>
    </w:p>
    <w:p w14:paraId="5CE83304" w14:textId="77777777" w:rsidR="00784770" w:rsidRPr="00C876C7" w:rsidRDefault="008E0D25" w:rsidP="003858C5">
      <w:pPr>
        <w:pStyle w:val="RollCallTabs"/>
      </w:pPr>
      <w:r w:rsidRPr="00C876C7">
        <w:t>–</w:t>
      </w:r>
      <w:r w:rsidRPr="00C876C7">
        <w:tab/>
        <w:t>:</w:t>
      </w:r>
      <w:r w:rsidRPr="00C876C7">
        <w:tab/>
        <w:t>przeciw</w:t>
      </w:r>
    </w:p>
    <w:p w14:paraId="52F9F87E" w14:textId="77777777" w:rsidR="00784770" w:rsidRPr="00C876C7" w:rsidRDefault="008E0D25" w:rsidP="003858C5">
      <w:pPr>
        <w:pStyle w:val="RollCallTabs"/>
      </w:pPr>
      <w:r w:rsidRPr="00C876C7">
        <w:t>0</w:t>
      </w:r>
      <w:r w:rsidRPr="00C876C7">
        <w:tab/>
        <w:t>:</w:t>
      </w:r>
      <w:r w:rsidRPr="00C876C7">
        <w:tab/>
        <w:t>wstrzymało się</w:t>
      </w:r>
    </w:p>
    <w:bookmarkEnd w:id="6"/>
    <w:sectPr w:rsidR="00784770" w:rsidRPr="00C876C7" w:rsidSect="00017014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DEA71" w14:textId="77777777" w:rsidR="008E0D25" w:rsidRPr="00C876C7" w:rsidRDefault="008E0D25">
      <w:r w:rsidRPr="00C876C7">
        <w:separator/>
      </w:r>
    </w:p>
  </w:endnote>
  <w:endnote w:type="continuationSeparator" w:id="0">
    <w:p w14:paraId="3A7AAC52" w14:textId="77777777" w:rsidR="008E0D25" w:rsidRPr="00C876C7" w:rsidRDefault="008E0D25">
      <w:r w:rsidRPr="00C876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490D" w14:textId="77777777" w:rsidR="00C876C7" w:rsidRPr="00C876C7" w:rsidRDefault="00C876C7" w:rsidP="00C876C7">
    <w:pPr>
      <w:pStyle w:val="EPFooter"/>
    </w:pPr>
    <w:r w:rsidRPr="00C876C7">
      <w:t>PE</w:t>
    </w:r>
    <w:r w:rsidRPr="00C876C7">
      <w:rPr>
        <w:rStyle w:val="HideTWBExt"/>
      </w:rPr>
      <w:t>&lt;</w:t>
    </w:r>
    <w:proofErr w:type="spellStart"/>
    <w:r w:rsidRPr="00C876C7">
      <w:rPr>
        <w:rStyle w:val="HideTWBExt"/>
      </w:rPr>
      <w:t>NoPE</w:t>
    </w:r>
    <w:proofErr w:type="spellEnd"/>
    <w:r w:rsidRPr="00C876C7">
      <w:rPr>
        <w:rStyle w:val="HideTWBExt"/>
      </w:rPr>
      <w:t>&gt;</w:t>
    </w:r>
    <w:r w:rsidRPr="00C876C7">
      <w:t>782.453</w:t>
    </w:r>
    <w:r w:rsidRPr="00C876C7">
      <w:rPr>
        <w:rStyle w:val="HideTWBExt"/>
      </w:rPr>
      <w:t>&lt;/</w:t>
    </w:r>
    <w:proofErr w:type="spellStart"/>
    <w:r w:rsidRPr="00C876C7">
      <w:rPr>
        <w:rStyle w:val="HideTWBExt"/>
      </w:rPr>
      <w:t>NoPE</w:t>
    </w:r>
    <w:proofErr w:type="spellEnd"/>
    <w:r w:rsidRPr="00C876C7">
      <w:rPr>
        <w:rStyle w:val="HideTWBExt"/>
      </w:rPr>
      <w:t>&gt;&lt;Version&gt;</w:t>
    </w:r>
    <w:r w:rsidRPr="00C876C7">
      <w:t>v03-00</w:t>
    </w:r>
    <w:r w:rsidRPr="00C876C7">
      <w:rPr>
        <w:rStyle w:val="HideTWBExt"/>
      </w:rPr>
      <w:t>&lt;/Version&gt;</w:t>
    </w:r>
    <w:r w:rsidRPr="00C876C7">
      <w:tab/>
    </w:r>
    <w:r w:rsidRPr="00C876C7">
      <w:fldChar w:fldCharType="begin"/>
    </w:r>
    <w:r w:rsidRPr="00C876C7">
      <w:instrText xml:space="preserve"> PAGE  \* MERGEFORMAT </w:instrText>
    </w:r>
    <w:r w:rsidRPr="00C876C7">
      <w:fldChar w:fldCharType="separate"/>
    </w:r>
    <w:r w:rsidRPr="00C876C7">
      <w:rPr>
        <w:noProof/>
      </w:rPr>
      <w:t>2</w:t>
    </w:r>
    <w:r w:rsidRPr="00C876C7">
      <w:fldChar w:fldCharType="end"/>
    </w:r>
    <w:r w:rsidRPr="00C876C7">
      <w:t>/</w:t>
    </w:r>
    <w:fldSimple w:instr=" NUMPAGES  \* MERGEFORMAT ">
      <w:r w:rsidRPr="00C876C7">
        <w:rPr>
          <w:noProof/>
        </w:rPr>
        <w:t>17</w:t>
      </w:r>
    </w:fldSimple>
    <w:r w:rsidRPr="00C876C7">
      <w:tab/>
    </w:r>
    <w:r w:rsidRPr="00C876C7">
      <w:rPr>
        <w:rStyle w:val="HideTWBExt"/>
      </w:rPr>
      <w:t>&lt;PathFdR&gt;</w:t>
    </w:r>
    <w:r w:rsidRPr="00C876C7">
      <w:t>AD\1342281PL.docx</w:t>
    </w:r>
    <w:r w:rsidRPr="00C876C7">
      <w:rPr>
        <w:rStyle w:val="HideTWBExt"/>
      </w:rPr>
      <w:t>&lt;/</w:t>
    </w:r>
    <w:proofErr w:type="spellStart"/>
    <w:r w:rsidRPr="00C876C7">
      <w:rPr>
        <w:rStyle w:val="HideTWBExt"/>
      </w:rPr>
      <w:t>PathFdR</w:t>
    </w:r>
    <w:proofErr w:type="spellEnd"/>
    <w:r w:rsidRPr="00C876C7">
      <w:rPr>
        <w:rStyle w:val="HideTWBExt"/>
      </w:rPr>
      <w:t>&gt;</w:t>
    </w:r>
  </w:p>
  <w:p w14:paraId="2447D7E3" w14:textId="10F18094" w:rsidR="002E2F2E" w:rsidRPr="00C876C7" w:rsidRDefault="00C876C7" w:rsidP="00C876C7">
    <w:pPr>
      <w:pStyle w:val="EPFooter2"/>
    </w:pPr>
    <w:r w:rsidRPr="00C876C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8109A" w14:textId="77777777" w:rsidR="00C876C7" w:rsidRPr="00C876C7" w:rsidRDefault="00C876C7" w:rsidP="00C876C7">
    <w:pPr>
      <w:pStyle w:val="EPFooter"/>
    </w:pPr>
    <w:r w:rsidRPr="00C876C7">
      <w:rPr>
        <w:rStyle w:val="HideTWBExt"/>
      </w:rPr>
      <w:t>&lt;PathFdR&gt;</w:t>
    </w:r>
    <w:r w:rsidRPr="00C876C7">
      <w:t>AD\1342281PL.docx</w:t>
    </w:r>
    <w:r w:rsidRPr="00C876C7">
      <w:rPr>
        <w:rStyle w:val="HideTWBExt"/>
      </w:rPr>
      <w:t>&lt;/</w:t>
    </w:r>
    <w:proofErr w:type="spellStart"/>
    <w:r w:rsidRPr="00C876C7">
      <w:rPr>
        <w:rStyle w:val="HideTWBExt"/>
      </w:rPr>
      <w:t>PathFdR</w:t>
    </w:r>
    <w:proofErr w:type="spellEnd"/>
    <w:r w:rsidRPr="00C876C7">
      <w:rPr>
        <w:rStyle w:val="HideTWBExt"/>
      </w:rPr>
      <w:t>&gt;</w:t>
    </w:r>
    <w:r w:rsidRPr="00C876C7">
      <w:tab/>
    </w:r>
    <w:r w:rsidRPr="00C876C7">
      <w:fldChar w:fldCharType="begin"/>
    </w:r>
    <w:r w:rsidRPr="00C876C7">
      <w:instrText xml:space="preserve"> PAGE  \* MERGEFORMAT </w:instrText>
    </w:r>
    <w:r w:rsidRPr="00C876C7">
      <w:fldChar w:fldCharType="separate"/>
    </w:r>
    <w:r w:rsidRPr="00C876C7">
      <w:rPr>
        <w:noProof/>
      </w:rPr>
      <w:t>17</w:t>
    </w:r>
    <w:r w:rsidRPr="00C876C7">
      <w:fldChar w:fldCharType="end"/>
    </w:r>
    <w:r w:rsidRPr="00C876C7">
      <w:t>/</w:t>
    </w:r>
    <w:fldSimple w:instr=" NUMPAGES  \* MERGEFORMAT ">
      <w:r w:rsidRPr="00C876C7">
        <w:rPr>
          <w:noProof/>
        </w:rPr>
        <w:t>17</w:t>
      </w:r>
    </w:fldSimple>
    <w:r w:rsidRPr="00C876C7">
      <w:tab/>
      <w:t>PE</w:t>
    </w:r>
    <w:r w:rsidRPr="00C876C7">
      <w:rPr>
        <w:rStyle w:val="HideTWBExt"/>
      </w:rPr>
      <w:t>&lt;</w:t>
    </w:r>
    <w:proofErr w:type="spellStart"/>
    <w:r w:rsidRPr="00C876C7">
      <w:rPr>
        <w:rStyle w:val="HideTWBExt"/>
      </w:rPr>
      <w:t>NoPE</w:t>
    </w:r>
    <w:proofErr w:type="spellEnd"/>
    <w:r w:rsidRPr="00C876C7">
      <w:rPr>
        <w:rStyle w:val="HideTWBExt"/>
      </w:rPr>
      <w:t>&gt;</w:t>
    </w:r>
    <w:r w:rsidRPr="00C876C7">
      <w:t>782.453</w:t>
    </w:r>
    <w:r w:rsidRPr="00C876C7">
      <w:rPr>
        <w:rStyle w:val="HideTWBExt"/>
      </w:rPr>
      <w:t>&lt;/</w:t>
    </w:r>
    <w:proofErr w:type="spellStart"/>
    <w:r w:rsidRPr="00C876C7">
      <w:rPr>
        <w:rStyle w:val="HideTWBExt"/>
      </w:rPr>
      <w:t>NoPE</w:t>
    </w:r>
    <w:proofErr w:type="spellEnd"/>
    <w:r w:rsidRPr="00C876C7">
      <w:rPr>
        <w:rStyle w:val="HideTWBExt"/>
      </w:rPr>
      <w:t>&gt;&lt;Version&gt;</w:t>
    </w:r>
    <w:r w:rsidRPr="00C876C7">
      <w:t>v03-00</w:t>
    </w:r>
    <w:r w:rsidRPr="00C876C7">
      <w:rPr>
        <w:rStyle w:val="HideTWBExt"/>
      </w:rPr>
      <w:t>&lt;/Version&gt;</w:t>
    </w:r>
  </w:p>
  <w:p w14:paraId="170FD585" w14:textId="254FCF47" w:rsidR="002E2F2E" w:rsidRPr="00C876C7" w:rsidRDefault="00C876C7" w:rsidP="00C876C7">
    <w:pPr>
      <w:pStyle w:val="EPFooter2"/>
    </w:pPr>
    <w:r w:rsidRPr="00C876C7">
      <w:tab/>
    </w:r>
    <w:r w:rsidRPr="00C876C7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7916A" w14:textId="77777777" w:rsidR="00C876C7" w:rsidRPr="00C876C7" w:rsidRDefault="00C876C7" w:rsidP="00C876C7">
    <w:pPr>
      <w:pStyle w:val="EPFooter"/>
    </w:pPr>
    <w:r w:rsidRPr="00C876C7">
      <w:rPr>
        <w:rStyle w:val="HideTWBExt"/>
      </w:rPr>
      <w:t>&lt;PathFdR&gt;</w:t>
    </w:r>
    <w:r w:rsidRPr="00C876C7">
      <w:t>AD\1342281PL.docx</w:t>
    </w:r>
    <w:r w:rsidRPr="00C876C7">
      <w:rPr>
        <w:rStyle w:val="HideTWBExt"/>
      </w:rPr>
      <w:t>&lt;/</w:t>
    </w:r>
    <w:proofErr w:type="spellStart"/>
    <w:r w:rsidRPr="00C876C7">
      <w:rPr>
        <w:rStyle w:val="HideTWBExt"/>
      </w:rPr>
      <w:t>PathFdR</w:t>
    </w:r>
    <w:proofErr w:type="spellEnd"/>
    <w:r w:rsidRPr="00C876C7">
      <w:rPr>
        <w:rStyle w:val="HideTWBExt"/>
      </w:rPr>
      <w:t>&gt;</w:t>
    </w:r>
    <w:r w:rsidRPr="00C876C7">
      <w:tab/>
    </w:r>
    <w:r w:rsidRPr="00C876C7">
      <w:tab/>
      <w:t>PE</w:t>
    </w:r>
    <w:r w:rsidRPr="00C876C7">
      <w:rPr>
        <w:rStyle w:val="HideTWBExt"/>
      </w:rPr>
      <w:t>&lt;</w:t>
    </w:r>
    <w:proofErr w:type="spellStart"/>
    <w:r w:rsidRPr="00C876C7">
      <w:rPr>
        <w:rStyle w:val="HideTWBExt"/>
      </w:rPr>
      <w:t>NoPE</w:t>
    </w:r>
    <w:proofErr w:type="spellEnd"/>
    <w:r w:rsidRPr="00C876C7">
      <w:rPr>
        <w:rStyle w:val="HideTWBExt"/>
      </w:rPr>
      <w:t>&gt;</w:t>
    </w:r>
    <w:r w:rsidRPr="00C876C7">
      <w:t>782.453</w:t>
    </w:r>
    <w:r w:rsidRPr="00C876C7">
      <w:rPr>
        <w:rStyle w:val="HideTWBExt"/>
      </w:rPr>
      <w:t>&lt;/</w:t>
    </w:r>
    <w:proofErr w:type="spellStart"/>
    <w:r w:rsidRPr="00C876C7">
      <w:rPr>
        <w:rStyle w:val="HideTWBExt"/>
      </w:rPr>
      <w:t>NoPE</w:t>
    </w:r>
    <w:proofErr w:type="spellEnd"/>
    <w:r w:rsidRPr="00C876C7">
      <w:rPr>
        <w:rStyle w:val="HideTWBExt"/>
      </w:rPr>
      <w:t>&gt;&lt;Version&gt;</w:t>
    </w:r>
    <w:r w:rsidRPr="00C876C7">
      <w:t>v03-00</w:t>
    </w:r>
    <w:r w:rsidRPr="00C876C7">
      <w:rPr>
        <w:rStyle w:val="HideTWBExt"/>
      </w:rPr>
      <w:t>&lt;/Version&gt;</w:t>
    </w:r>
  </w:p>
  <w:p w14:paraId="62C96056" w14:textId="1E6183F2" w:rsidR="002E2F2E" w:rsidRPr="00C876C7" w:rsidRDefault="00C876C7" w:rsidP="00C876C7">
    <w:pPr>
      <w:pStyle w:val="EPFooter2"/>
    </w:pPr>
    <w:r w:rsidRPr="00C876C7">
      <w:t>PL</w:t>
    </w:r>
    <w:r w:rsidRPr="00C876C7">
      <w:tab/>
    </w:r>
    <w:r w:rsidRPr="00C876C7">
      <w:rPr>
        <w:b w:val="0"/>
        <w:i/>
        <w:color w:val="C0C0C0"/>
        <w:sz w:val="22"/>
      </w:rPr>
      <w:t>Zjednoczona w różnorodności</w:t>
    </w:r>
    <w:r w:rsidRPr="00C876C7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9A212" w14:textId="77777777" w:rsidR="00E61C10" w:rsidRPr="00C876C7" w:rsidRDefault="008E0D25">
      <w:r w:rsidRPr="00C876C7">
        <w:separator/>
      </w:r>
    </w:p>
  </w:footnote>
  <w:footnote w:type="continuationSeparator" w:id="0">
    <w:p w14:paraId="249E65DD" w14:textId="77777777" w:rsidR="00E61C10" w:rsidRPr="00C876C7" w:rsidRDefault="008E0D25">
      <w:r w:rsidRPr="00C876C7">
        <w:continuationSeparator/>
      </w:r>
    </w:p>
  </w:footnote>
  <w:footnote w:id="1">
    <w:p w14:paraId="5C016EE8" w14:textId="77777777" w:rsidR="00217B7E" w:rsidRPr="00C876C7" w:rsidRDefault="008E0D25" w:rsidP="00217B7E">
      <w:pPr>
        <w:pStyle w:val="FootnoteText"/>
      </w:pPr>
      <w:r w:rsidRPr="00C876C7">
        <w:rPr>
          <w:rStyle w:val="FootnoteReference"/>
        </w:rPr>
        <w:footnoteRef/>
      </w:r>
      <w:r w:rsidRPr="00C876C7">
        <w:t xml:space="preserve"> Dokument roboczy służb Komisji z 20 kwietnia 2025 r. pt. „Interim Evaluation of the Horizon Europe Framework </w:t>
      </w:r>
      <w:proofErr w:type="spellStart"/>
      <w:r w:rsidRPr="00C876C7">
        <w:t>Programme</w:t>
      </w:r>
      <w:proofErr w:type="spellEnd"/>
      <w:r w:rsidRPr="00C876C7">
        <w:t xml:space="preserve"> for </w:t>
      </w:r>
      <w:proofErr w:type="spellStart"/>
      <w:r w:rsidRPr="00C876C7">
        <w:t>Research</w:t>
      </w:r>
      <w:proofErr w:type="spellEnd"/>
      <w:r w:rsidRPr="00C876C7">
        <w:t xml:space="preserve"> and </w:t>
      </w:r>
      <w:proofErr w:type="spellStart"/>
      <w:r w:rsidRPr="00C876C7">
        <w:t>Innovation</w:t>
      </w:r>
      <w:proofErr w:type="spellEnd"/>
      <w:r w:rsidRPr="00C876C7">
        <w:t xml:space="preserve"> (2021-2024)” [Ocena śródokresowa programu ramowego „Horyzont Europa” w zakresie badań naukowych i innowacji (2021–2024)] (</w:t>
      </w:r>
      <w:proofErr w:type="gramStart"/>
      <w:r w:rsidRPr="00C876C7">
        <w:t>SWD(</w:t>
      </w:r>
      <w:proofErr w:type="gramEnd"/>
      <w:r w:rsidRPr="00C876C7">
        <w:t>2025)0110).</w:t>
      </w:r>
    </w:p>
  </w:footnote>
  <w:footnote w:id="2">
    <w:p w14:paraId="3E08A009" w14:textId="3CEAEE60" w:rsidR="00BC5686" w:rsidRPr="00C876C7" w:rsidRDefault="008E0D25" w:rsidP="00BC5686">
      <w:pPr>
        <w:pStyle w:val="FootnoteText"/>
      </w:pPr>
      <w:r w:rsidRPr="00C876C7">
        <w:rPr>
          <w:rStyle w:val="FootnoteReference"/>
        </w:rPr>
        <w:footnoteRef/>
      </w:r>
      <w:r w:rsidRPr="00C876C7">
        <w:t xml:space="preserve"> Rozporządzenie Parlamentu Europejskiego i Rady (UE, </w:t>
      </w:r>
      <w:proofErr w:type="spellStart"/>
      <w:r w:rsidRPr="00C876C7">
        <w:t>Euratom</w:t>
      </w:r>
      <w:proofErr w:type="spellEnd"/>
      <w:r w:rsidRPr="00C876C7">
        <w:t>) 2024/2509 z dnia 23 września 2024 r. w sprawie zasad finansowych mających zastosowanie do budżetu ogólnego Unii (Dz.U. L, 2024/2509, ELI: </w:t>
      </w:r>
      <w:hyperlink r:id="rId1" w:tgtFrame="_blank" w:tooltip="Dostęp do dokumentu poprzez identyfikator URI w systemie ELI." w:history="1">
        <w:r w:rsidR="00BC5686" w:rsidRPr="00C876C7">
          <w:rPr>
            <w:rStyle w:val="Hyperlink"/>
          </w:rPr>
          <w:t>http://data.europa.eu/eli/reg/2024/2509/oj</w:t>
        </w:r>
      </w:hyperlink>
      <w:r w:rsidRPr="00C876C7">
        <w:t>).</w:t>
      </w:r>
    </w:p>
    <w:p w14:paraId="6BF0465E" w14:textId="77777777" w:rsidR="00BC5686" w:rsidRPr="00C876C7" w:rsidRDefault="00BC5686">
      <w:pPr>
        <w:pStyle w:val="FootnoteText"/>
      </w:pPr>
    </w:p>
  </w:footnote>
  <w:footnote w:id="3">
    <w:p w14:paraId="7BC880D3" w14:textId="54AD4458" w:rsidR="00017014" w:rsidRPr="00C876C7" w:rsidRDefault="008E0D25" w:rsidP="00017014">
      <w:pPr>
        <w:pStyle w:val="FootnoteText"/>
      </w:pPr>
      <w:r w:rsidRPr="00C876C7">
        <w:rPr>
          <w:rStyle w:val="FootnoteReference"/>
        </w:rPr>
        <w:footnoteRef/>
      </w:r>
      <w:r w:rsidRPr="00C876C7">
        <w:t xml:space="preserve"> Porozumienie międzyinstytucjonalne z 20 maja 2021 r. pomiędzy Parlamentem Europejskim, Radą Unii Europejskiej i Komisją Europejską w sprawie obowiązkowego rejestru służącego przejrzystości (Dz.U. L 207 z </w:t>
      </w:r>
      <w:proofErr w:type="gramStart"/>
      <w:r w:rsidRPr="00C876C7">
        <w:t>11.6.2021</w:t>
      </w:r>
      <w:proofErr w:type="gramEnd"/>
      <w:r w:rsidRPr="00C876C7">
        <w:t xml:space="preserve">, s. 1, ELI: </w:t>
      </w:r>
      <w:hyperlink r:id="rId2" w:tooltip="http://data.europa.eu/eli/agree_interinstit/2021/611/oj" w:history="1">
        <w:r w:rsidR="00017014" w:rsidRPr="00C876C7">
          <w:rPr>
            <w:rStyle w:val="Hyperlink"/>
          </w:rPr>
          <w:t>http://data.europa.eu/eli/agree_interinstit/2021/611/oj</w:t>
        </w:r>
      </w:hyperlink>
      <w:r w:rsidRPr="00C876C7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B0A9" w14:textId="77777777" w:rsidR="00B7750F" w:rsidRDefault="00B775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478B6" w14:textId="77777777" w:rsidR="00B7750F" w:rsidRDefault="00B775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21BD" w14:textId="77777777" w:rsidR="00B7750F" w:rsidRDefault="00B775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13283C"/>
    <w:multiLevelType w:val="hybridMultilevel"/>
    <w:tmpl w:val="5B46F140"/>
    <w:lvl w:ilvl="0" w:tplc="0DEEC38A">
      <w:start w:val="1"/>
      <w:numFmt w:val="decimal"/>
      <w:lvlText w:val="%1."/>
      <w:lvlJc w:val="left"/>
      <w:pPr>
        <w:ind w:left="1080" w:hanging="720"/>
      </w:pPr>
    </w:lvl>
    <w:lvl w:ilvl="1" w:tplc="2892E2AE">
      <w:start w:val="1"/>
      <w:numFmt w:val="lowerLetter"/>
      <w:lvlText w:val="%2."/>
      <w:lvlJc w:val="left"/>
      <w:pPr>
        <w:ind w:left="1440" w:hanging="360"/>
      </w:pPr>
    </w:lvl>
    <w:lvl w:ilvl="2" w:tplc="A96E6812">
      <w:start w:val="1"/>
      <w:numFmt w:val="lowerRoman"/>
      <w:lvlText w:val="%3."/>
      <w:lvlJc w:val="right"/>
      <w:pPr>
        <w:ind w:left="2160" w:hanging="180"/>
      </w:pPr>
    </w:lvl>
    <w:lvl w:ilvl="3" w:tplc="F26CB21C">
      <w:start w:val="1"/>
      <w:numFmt w:val="decimal"/>
      <w:lvlText w:val="%4."/>
      <w:lvlJc w:val="left"/>
      <w:pPr>
        <w:ind w:left="2880" w:hanging="360"/>
      </w:pPr>
    </w:lvl>
    <w:lvl w:ilvl="4" w:tplc="695EA2BC">
      <w:start w:val="1"/>
      <w:numFmt w:val="lowerLetter"/>
      <w:lvlText w:val="%5."/>
      <w:lvlJc w:val="left"/>
      <w:pPr>
        <w:ind w:left="3600" w:hanging="360"/>
      </w:pPr>
    </w:lvl>
    <w:lvl w:ilvl="5" w:tplc="A442E38E">
      <w:start w:val="1"/>
      <w:numFmt w:val="lowerRoman"/>
      <w:lvlText w:val="%6."/>
      <w:lvlJc w:val="right"/>
      <w:pPr>
        <w:ind w:left="4320" w:hanging="180"/>
      </w:pPr>
    </w:lvl>
    <w:lvl w:ilvl="6" w:tplc="438E2360">
      <w:start w:val="1"/>
      <w:numFmt w:val="decimal"/>
      <w:lvlText w:val="%7."/>
      <w:lvlJc w:val="left"/>
      <w:pPr>
        <w:ind w:left="5040" w:hanging="360"/>
      </w:pPr>
    </w:lvl>
    <w:lvl w:ilvl="7" w:tplc="83643B12">
      <w:start w:val="1"/>
      <w:numFmt w:val="lowerLetter"/>
      <w:lvlText w:val="%8."/>
      <w:lvlJc w:val="left"/>
      <w:pPr>
        <w:ind w:left="5760" w:hanging="360"/>
      </w:pPr>
    </w:lvl>
    <w:lvl w:ilvl="8" w:tplc="B0566C48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813154">
    <w:abstractNumId w:val="9"/>
  </w:num>
  <w:num w:numId="2" w16cid:durableId="2063093858">
    <w:abstractNumId w:val="9"/>
  </w:num>
  <w:num w:numId="3" w16cid:durableId="361172421">
    <w:abstractNumId w:val="7"/>
  </w:num>
  <w:num w:numId="4" w16cid:durableId="1058170178">
    <w:abstractNumId w:val="7"/>
  </w:num>
  <w:num w:numId="5" w16cid:durableId="762412137">
    <w:abstractNumId w:val="6"/>
  </w:num>
  <w:num w:numId="6" w16cid:durableId="1160076576">
    <w:abstractNumId w:val="6"/>
  </w:num>
  <w:num w:numId="7" w16cid:durableId="1498111345">
    <w:abstractNumId w:val="5"/>
  </w:num>
  <w:num w:numId="8" w16cid:durableId="1460683345">
    <w:abstractNumId w:val="5"/>
  </w:num>
  <w:num w:numId="9" w16cid:durableId="410003738">
    <w:abstractNumId w:val="4"/>
  </w:num>
  <w:num w:numId="10" w16cid:durableId="1726365935">
    <w:abstractNumId w:val="4"/>
  </w:num>
  <w:num w:numId="11" w16cid:durableId="328140655">
    <w:abstractNumId w:val="8"/>
  </w:num>
  <w:num w:numId="12" w16cid:durableId="1170947739">
    <w:abstractNumId w:val="8"/>
  </w:num>
  <w:num w:numId="13" w16cid:durableId="474568266">
    <w:abstractNumId w:val="3"/>
  </w:num>
  <w:num w:numId="14" w16cid:durableId="1462729716">
    <w:abstractNumId w:val="3"/>
  </w:num>
  <w:num w:numId="15" w16cid:durableId="1651712676">
    <w:abstractNumId w:val="2"/>
  </w:num>
  <w:num w:numId="16" w16cid:durableId="207960257">
    <w:abstractNumId w:val="2"/>
  </w:num>
  <w:num w:numId="17" w16cid:durableId="840856509">
    <w:abstractNumId w:val="1"/>
  </w:num>
  <w:num w:numId="18" w16cid:durableId="1568147373">
    <w:abstractNumId w:val="1"/>
  </w:num>
  <w:num w:numId="19" w16cid:durableId="1116365068">
    <w:abstractNumId w:val="0"/>
  </w:num>
  <w:num w:numId="20" w16cid:durableId="1814253980">
    <w:abstractNumId w:val="0"/>
  </w:num>
  <w:num w:numId="21" w16cid:durableId="566452779">
    <w:abstractNumId w:val="9"/>
  </w:num>
  <w:num w:numId="22" w16cid:durableId="1677267131">
    <w:abstractNumId w:val="7"/>
  </w:num>
  <w:num w:numId="23" w16cid:durableId="1031299402">
    <w:abstractNumId w:val="6"/>
  </w:num>
  <w:num w:numId="24" w16cid:durableId="372849107">
    <w:abstractNumId w:val="5"/>
  </w:num>
  <w:num w:numId="25" w16cid:durableId="1909460531">
    <w:abstractNumId w:val="4"/>
  </w:num>
  <w:num w:numId="26" w16cid:durableId="1494368115">
    <w:abstractNumId w:val="8"/>
  </w:num>
  <w:num w:numId="27" w16cid:durableId="1745910525">
    <w:abstractNumId w:val="3"/>
  </w:num>
  <w:num w:numId="28" w16cid:durableId="1362584610">
    <w:abstractNumId w:val="2"/>
  </w:num>
  <w:num w:numId="29" w16cid:durableId="1495027880">
    <w:abstractNumId w:val="1"/>
  </w:num>
  <w:num w:numId="30" w16cid:durableId="1793591395">
    <w:abstractNumId w:val="0"/>
  </w:num>
  <w:num w:numId="31" w16cid:durableId="397827717">
    <w:abstractNumId w:val="9"/>
  </w:num>
  <w:num w:numId="32" w16cid:durableId="301273040">
    <w:abstractNumId w:val="7"/>
  </w:num>
  <w:num w:numId="33" w16cid:durableId="1726218674">
    <w:abstractNumId w:val="6"/>
  </w:num>
  <w:num w:numId="34" w16cid:durableId="129791181">
    <w:abstractNumId w:val="5"/>
  </w:num>
  <w:num w:numId="35" w16cid:durableId="1382442453">
    <w:abstractNumId w:val="4"/>
  </w:num>
  <w:num w:numId="36" w16cid:durableId="1605922271">
    <w:abstractNumId w:val="8"/>
  </w:num>
  <w:num w:numId="37" w16cid:durableId="1559628368">
    <w:abstractNumId w:val="3"/>
  </w:num>
  <w:num w:numId="38" w16cid:durableId="1839420671">
    <w:abstractNumId w:val="2"/>
  </w:num>
  <w:num w:numId="39" w16cid:durableId="1831142025">
    <w:abstractNumId w:val="1"/>
  </w:num>
  <w:num w:numId="40" w16cid:durableId="54477856">
    <w:abstractNumId w:val="0"/>
  </w:num>
  <w:num w:numId="41" w16cid:durableId="4881390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OPTIONMNU" w:val=" 1"/>
    <w:docVar w:name="AUTHORMFMNU" w:val=" 1"/>
    <w:docVar w:name="CJMNU" w:val="1"/>
    <w:docVar w:name="CODEMNU" w:val=" 3"/>
    <w:docVar w:name="COM2KEY" w:val="ITRE"/>
    <w:docVar w:name="COMKEY" w:val="BUDG"/>
    <w:docVar w:name="CONTRIBUTIONMNU" w:val=" 1"/>
    <w:docVar w:name="CopyToNetwork" w:val="-1"/>
    <w:docVar w:name="DOCDT" w:val="19/03/2026"/>
    <w:docVar w:name="FONCTIONMNU" w:val=" 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734988 HideTWBExt;}{\*\cs18 \additive \v\f1\fs20\cf15 _x000d__x000a_\spriority0 \styrsid16734988 HideTWBInt;}{\s19\ql \li0\ri0\nowidctlpar\wrapdefault\aspalpha\aspnum\faauto\adjustright\rin0\lin0\itap0 \rtlch\fcs1 \af0\afs20\alang1025 \ltrch\fcs0 \b\fs24\lang2057\langfe2057\cgrid\langnp2057\langfenp2057 _x000d__x000a_\sbasedon0 \snext19 \spriority0 \styrsid16734988 NormalBold;}{\s20\ql \li0\ri0\sa120\nowidctlpar\wrapdefault\aspalpha\aspnum\faauto\adjustright\rin0\lin0\itap0 \rtlch\fcs1 \af0\afs20\alang1025 \ltrch\fcs0 _x000d__x000a_\fs24\lang2057\langfe2057\cgrid\langnp2057\langfenp2057 \sbasedon0 \snext20 \spriority0 \styrsid16734988 Normal6a;}{\s21\qc \li0\ri0\sa240\nowidctlpar\wrapdefault\aspalpha\aspnum\faauto\adjustright\rin0\lin0\itap0 \rtlch\fcs1 \af0\afs20\alang1025 _x000d__x000a_\ltrch\fcs0 \i\fs24\lang2057\langfe2057\cgrid\langnp2057\langfenp2057 \sbasedon0 \snext21 \spriority0 \styrsid16734988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16734988 AmNumberTabs;}{\s23\ql \li0\ri0\sa240\nowidctlpar\wrapdefault\aspalpha\aspnum\faauto\adjustright\rin0\lin0\itap0 \rtlch\fcs1 _x000d__x000a_\af0\afs20\alang1025 \ltrch\fcs0 \i\fs24\lang2057\langfe2057\cgrid\langnp2057\langfenp2057 \sbasedon0 \snext23 \spriority0 \styrsid16734988 AmJustText;}{_x000d__x000a_\s24\qc \li0\ri0\sb240\sa240\nowidctlpar\wrapdefault\aspalpha\aspnum\faauto\adjustright\rin0\lin0\itap0 \rtlch\fcs1 \af0\afs20\alang1025 \ltrch\fcs0 \i\fs24\lang2057\langfe2057\cgrid\langnp2057\langfenp2057 _x000d__x000a_\sbasedon0 \snext24 \spriority0 \styrsid16734988 AmCrossRef;}{\s25\qc \li0\ri0\sb240\sa240\keepn\nowidctlpar\wrapdefault\aspalpha\aspnum\faauto\adjustright\rin0\lin0\itap0 \rtlch\fcs1 \af0\afs20\alang1025 \ltrch\fcs0 _x000d__x000a_\i\fs24\lang2057\langfe2057\cgrid\langnp2057\langfenp2057 \sbasedon0 \snext23 \spriority0 \styrsid16734988 AmJustTitle;}{\s26\ql \li0\ri0\sb240\nowidctlpar\wrapdefault\aspalpha\aspnum\faauto\adjustright\rin0\lin0\itap0 \rtlch\fcs1 \af0\afs20\alang1025 _x000d__x000a_\ltrch\fcs0 \b\fs24\lang2057\langfe2057\cgrid\langnp2057\langfenp2057 \sbasedon0 \snext26 \spriority0 \styrsid16734988 NormalBold12b;}}{\*\rsidtbl \rsid24658\rsid223860\rsid735077\rsid1718133\rsid2892074\rsid3565327\rsid4666813\rsid6641733\rsid7823322_x000d__x000a_\rsid8456582\rsid9636012\rsid10377208\rsid11215221\rsid11549030\rsid12154954\rsid13179141\rsid14382809\rsid14424199\rsid15204470\rsid15285974\rsid15950462\rsid16324206\rsid16662270\rsid16734988}{\mmathPr\mmathFont34\mbrkBin0\mbrkBinSub0\msmallFrac0_x000d__x000a_\mdispDef1\mlMargin0\mrMargin0\mdefJc1\mwrapIndent1440\mintLim0\mnaryLim1}{\info{\author ANDRINO TIZON Rosalina}{\operator ANDRINO TIZON Rosalina}{\creatim\yr2026\mo4\dy23\hr7\min51}{\revtim\yr2026\mo4\dy23\hr7\min51}{\version1}{\edmins0}{\nofpages1}_x000d__x000a_{\nofwords102}{\nofchars599}{\nofcharsws696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73498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andrin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45658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45658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45658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45658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7366698 \rtlch\fcs1 _x000d__x000a_\af0\afs20\alang1025 \ltrch\fcs0 \b\fs24\lang2057\langfe2057\cgrid\langnp2057\langfenp2057 {\rtlch\fcs1 \af0 \ltrch\fcs0 \cs17\b0\v\fs20\cf9\lang1024\langfe1024\loch\af1\hich\af1\dbch\af31501\noproof\insrsid16734988\charrsid10037553 {\*\bkmkstart restart}_x000d__x000a_\hich\af1\dbch\af31501\loch\f1 &lt;Amend&gt;}{\rtlch\fcs1 \af0 \ltrch\fcs0 \insrsid16734988\charrsid10037553 Amendment\tab \tab }{\rtlch\fcs1 \af0 \ltrch\fcs0 _x000d__x000a_\cs17\b0\v\fs20\cf9\lang1024\langfe1024\loch\af1\hich\af1\dbch\af31501\noproof\insrsid16734988\charrsid10037553 \hich\af1\dbch\af31501\loch\f1 &lt;NumAm&gt;}{\rtlch\fcs1 \af0 \ltrch\fcs0 \insrsid16734988\charrsid10037553 #}{\rtlch\fcs1 \af0 \ltrch\fcs0 _x000d__x000a_\cs18\v\f1\fs20\cf15\insrsid16734988\charrsid10037553 ENMIENDA@NRAM@}{\rtlch\fcs1 \af0 \ltrch\fcs0 \insrsid16734988\charrsid10037553 #}{\rtlch\fcs1 \af0 \ltrch\fcs0 _x000d__x000a_\cs17\b0\v\fs20\cf9\lang1024\langfe1024\loch\af1\hich\af1\dbch\af31501\noproof\insrsid16734988\charrsid10037553 \hich\af1\dbch\af31501\loch\f1 &lt;/NumAm&gt;}{\rtlch\fcs1 \af0 \ltrch\fcs0 \insrsid16734988\charrsid10037553 _x000d__x000a_\par }\pard\plain \ltrpar\s26\ql \li0\ri0\sb240\keepn\nowidctlpar\wrapdefault\aspalpha\aspnum\faauto\adjustright\rin0\lin0\itap0\pararsid7366698 \rtlch\fcs1 \af0\afs20\alang1025 \ltrch\fcs0 \b\fs24\lang2057\langfe2057\cgrid\langnp2057\langfenp2057 {_x000d__x000a_\rtlch\fcs1 \af0 \ltrch\fcs0 \cs17\b0\v\fs20\cf9\lang1024\langfe1024\loch\af1\hich\af1\dbch\af31501\noproof\insrsid16734988\charrsid10037553 \hich\af1\dbch\af31501\loch\f1 &lt;DocAmend&gt;}{\rtlch\fcs1 \af0 \ltrch\fcs0 \insrsid16734988\charrsid10037553 #}{_x000d__x000a_\rtlch\fcs1 \af0 \ltrch\fcs0 \cs18\v\f1\fs20\cf15\insrsid16734988\charrsid10037553 MNU[PROPCOM][PROPCOUNC]@CHOICE@TITLEMNU}{\rtlch\fcs1 \af0 \ltrch\fcs0 \insrsid16734988\charrsid10037553 ##}{\rtlch\fcs1 \af0 \ltrch\fcs0 _x000d__x000a_\cs18\v\f1\fs20\cf15\insrsid16734988\charrsid10037553 MNU[AMACTYES][NOTAPP]@CHOICE@AMACTMNU}{\rtlch\fcs1 \af0 \ltrch\fcs0 \insrsid16734988\charrsid10037553 #}{\rtlch\fcs1 \af0 \ltrch\fcs0 _x000d__x000a_\cs17\b0\v\fs20\cf9\lang1024\langfe1024\loch\af1\hich\af1\dbch\af31501\noproof\insrsid16734988\charrsid10037553 \hich\af1\dbch\af31501\loch\f1 &lt;/DocAmend&gt;}{\rtlch\fcs1 \af0 \ltrch\fcs0 \insrsid16734988\charrsid10037553 _x000d__x000a_\par }\pard\plain \ltrpar\s19\ql \li0\ri0\nowidctlpar\wrapdefault\aspalpha\aspnum\faauto\adjustright\rin0\lin0\itap0\pararsid7366698 \rtlch\fcs1 \af0\afs20\alang1025 \ltrch\fcs0 \b\fs24\lang2057\langfe2057\cgrid\langnp2057\langfenp2057 {\rtlch\fcs1 \af0 _x000d__x000a_\ltrch\fcs0 \cs17\b0\v\fs20\cf9\lang1024\langfe1024\loch\af1\hich\af1\dbch\af31501\noproof\insrsid16734988\charrsid10037553 \hich\af1\dbch\af31501\loch\f1 &lt;Article&gt;}{\rtlch\fcs1 \af0 \ltrch\fcs0 \insrsid16734988\charrsid10037553 #}{\rtlch\fcs1 \af0 _x000d__x000a_\ltrch\fcs0 \cs18\v\f1\fs20\cf15\insrsid16734988\charrsid10037553 MNU[AMACTPARTYES][AMACTPARTNO]@CHOICE@AMACTMNU}{\rtlch\fcs1 \af0 \ltrch\fcs0 \insrsid16734988\charrsid10037553 #}{\rtlch\fcs1 \af0 \ltrch\fcs0 _x000d__x000a_\cs17\b0\v\fs20\cf9\lang1024\langfe1024\loch\af1\hich\af1\dbch\af31501\noproof\insrsid16734988\charrsid10037553 \hich\af1\dbch\af31501\loch\f1 &lt;/Article&gt;}{\rtlch\fcs1 \af0 \ltrch\fcs0 \insrsid16734988\charrsid10037553 _x000d__x000a_\par }\pard\plain \ltrpar\ql \li0\ri0\keepn\widctlpar\wrapdefault\aspalpha\aspnum\faauto\adjustright\rin0\lin0\itap0\pararsid7366698 \rtlch\fcs1 \af0\afs20\alang1025 \ltrch\fcs0 \fs24\lang2057\langfe2057\cgrid\langnp2057\langfenp2057 {\rtlch\fcs1 \af0 _x000d__x000a_\ltrch\fcs0 \cs17\v\fs20\cf9\lang1024\langfe1024\loch\af1\hich\af1\dbch\af31501\noproof\insrsid16734988\charrsid10037553 \hich\af1\dbch\af31501\loch\f1 &lt;DocAmend2&gt;&lt;OptDel&gt;}{\rtlch\fcs1 \af0 \ltrch\fcs0 \insrsid16734988\charrsid10037553 #}{\rtlch\fcs1 _x000d__x000a_\af0 \ltrch\fcs0 \cs18\v\f1\fs20\cf15\insrsid16734988\charrsid10037553 MNU[OPTNRACTYES][NOTAPP]@CHOICE@AMACTMNU}{\rtlch\fcs1 \af0 \ltrch\fcs0 \insrsid16734988\charrsid10037553 #}{\rtlch\fcs1 \af0 \ltrch\fcs0 _x000d__x000a_\cs17\v\fs20\cf9\lang1024\langfe1024\loch\af1\hich\af1\dbch\af31501\noproof\insrsid16734988\charrsid10037553 \hich\af1\dbch\af31501\loch\f1 &lt;/OptDel&gt;&lt;/DocAmend2&gt;}{\rtlch\fcs1 \af0 \ltrch\fcs0 \insrsid16734988\charrsid10037553 _x000d__x000a_\par }\pard \ltrpar\ql \li0\ri0\widctlpar\wrapdefault\aspalpha\aspnum\faauto\adjustright\rin0\lin0\itap0\pararsid7366698 {\rtlch\fcs1 \af0 \ltrch\fcs0 \cs17\v\fs20\cf9\lang1024\langfe1024\loch\af1\hich\af1\dbch\af31501\noproof\insrsid16734988\charrsid10037553 _x000d__x000a_\hich\af1\dbch\af31501\loch\f1 &lt;Article2&gt;&lt;OptDel&gt;}{\rtlch\fcs1 \af0 \ltrch\fcs0 \insrsid16734988\charrsid10037553 #}{\rtlch\fcs1 \af0 \ltrch\fcs0 \cs18\v\f1\fs20\cf15\insrsid16734988\charrsid10037553 MNU[OPTACTPARTYES][NOTAPP]@CHOICE@AMACTMNU}{_x000d__x000a_\rtlch\fcs1 \af0 \ltrch\fcs0 \insrsid16734988\charrsid10037553 #}{\rtlch\fcs1 \af0 \ltrch\fcs0 \cs17\v\fs20\cf9\lang1024\langfe1024\loch\af1\hich\af1\dbch\af31501\noproof\insrsid16734988\charrsid10037553 \hich\af1\dbch\af31501\loch\f1 &lt;/OptDel&gt;&lt;/Article2&gt;_x000d__x000a_}{\rtlch\fcs1 \af0 \ltrch\fcs0 \insrsid16734988\charrsid10037553 _x000d__x000a_\par \ltrrow}\trowd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9752\clshdrawnil \cellx9412\pard \ltrpar\ql \li0\ri0\keepn\widctlpar\intbl\wrapdefault\aspalpha\aspnum\faauto\adjustright\rin0\lin0\pararsid11085200 {\rtlch\fcs1 \af0 \ltrch\fcs0 _x000d__x000a_\insrsid16734988\charrsid10037553 \cell }\pard \ltrpar\ql \li0\ri0\widctlpar\intbl\wrapdefault\aspalpha\aspnum\faauto\adjustright\rin0\lin0 {\rtlch\fcs1 \af0 \ltrch\fcs0 \insrsid16734988\charrsid10037553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9752\clshdrawnil \cellx9412\row \ltrrow}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_x000d__x000a_\pard\plain \ltrpar\s21\qc \li0\ri0\sa240\keepn\nowidctlpar\intbl\wrapdefault\aspalpha\aspnum\faauto\adjustright\rin0\lin0\pararsid11085200 \rtlch\fcs1 \af0\afs20\alang1025 \ltrch\fcs0 \i\fs24\lang2057\langfe2057\cgrid\langnp2057\langfenp2057 {_x000d__x000a_\rtlch\fcs1 \af0 \ltrch\fcs0 \insrsid16734988\charrsid10037553 #}{\rtlch\fcs1 \af0 \ltrch\fcs0 \cs18\v\f1\fs20\cf15\insrsid16734988\charrsid10037553 MNU[OPTLEFTAMACT][LEFTPROP]@CHOICE@AMACTMNU}{\rtlch\fcs1 \af0 \ltrch\fcs0 _x000d__x000a_\insrsid16734988\charrsid10037553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6734988\charrsid10037553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\ltrrow_x000d__x000a_}\pard\plain \ltrpar\s20\ql \li0\ri0\sa120\nowidctlpar\intbl\wrapdefault\aspalpha\aspnum\faauto\adjustright\rin0\lin0\pararsid11085200 \rtlch\fcs1 \af0\afs20\alang1025 \ltrch\fcs0 \fs24\lang2057\langfe2057\cgrid\langnp2057\langfenp2057 {\rtlch\fcs1 \af0 _x000d__x000a_\ltrch\fcs0 \insrsid16734988\charrsid10037553 #}{\rtlch\fcs1 \af0 \ltrch\fcs0 \cs18\v\f1\fs20\cf15\insrsid16734988\charrsid10037553 MNU[TEXTLEVA][TEXTLOTHER]@CHOICE@TEXTRMNU}{\rtlch\fcs1 \af0 \ltrch\fcs0 \insrsid16734988\charrsid10037553 #\cell #}{_x000d__x000a_\rtlch\fcs1 \af0 \ltrch\fcs0 \cs18\v\f1\fs20\cf15\insrsid16734988\charrsid10037553 MNU[TEXTREVA][TEXTROTHER]@CHOICE@TEXTRMNU}{\rtlch\fcs1 \af0 \ltrch\fcs0 \insrsid16734988\charrsid10037553 #\cell }\pard\plain \ltrpar_x000d__x000a_\ql \li0\ri0\widctlpar\intbl\wrapdefault\aspalpha\aspnum\faauto\adjustright\rin0\lin0 \rtlch\fcs1 \af0\afs20\alang1025 \ltrch\fcs0 \fs24\lang2057\langfe2057\cgrid\langnp2057\langfenp2057 {\rtlch\fcs1 \af0 \ltrch\fcs0 \insrsid16734988\charrsid10037553 _x000d__x000a_\trowd \lastrow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4876\clshdrawnil\clhidemark \cellx4536\clvertalt\clbrdrt\brdrtbl \clbrdrl\brdrtbl \clbrdrb\brdrtbl \clbrdrr\brdrtbl \cltxlrtb\clftsWidth3\clwWidth4876\clshdrawnil\clhidemark _x000d__x000a_\cellx9412\row }\pard\plain \ltrpar\s24\qc \li0\ri0\sb240\sa240\nowidctlpar\wrapdefault\aspalpha\aspnum\faauto\adjustright\rin0\lin0\itap0\pararsid7366698 \rtlch\fcs1 \af0\afs20\alang1025 \ltrch\fcs0 _x000d__x000a_\i\fs24\lang2057\langfe2057\cgrid\langnp2057\langfenp2057 {\rtlch\fcs1 \af0 \ltrch\fcs0 \cs17\i0\v\fs20\cf9\lang1024\langfe1024\loch\af1\hich\af1\dbch\af31501\noproof\insrsid16734988\charrsid10037553 \hich\af1\dbch\af31501\loch\f1 &lt;OptDel&gt;}{\rtlch\fcs1 _x000d__x000a_\af0 \ltrch\fcs0 \insrsid16734988\charrsid10037553 #}{\rtlch\fcs1 \af0 \ltrch\fcs0 \cs18\v\f1\fs20\cf15\insrsid16734988\charrsid10037553 MNU[CROSSREFNO][CROSSREFYES]@CHOICE@}{\rtlch\fcs1 \af0 \ltrch\fcs0 \insrsid16734988\charrsid10037553 #}{\rtlch\fcs1 _x000d__x000a_\af0 \ltrch\fcs0 \cs17\i0\v\fs20\cf9\lang1024\langfe1024\loch\af1\hich\af1\dbch\af31501\noproof\insrsid16734988\charrsid10037553 \hich\af1\dbch\af31501\loch\f1 &lt;/OptDel&gt;}{\rtlch\fcs1 \af0 \ltrch\fcs0 \insrsid16734988\charrsid10037553 _x000d__x000a_\par }\pard\plain \ltrpar\s25\qc \li0\ri0\sb240\sa240\keepn\nowidctlpar\wrapdefault\aspalpha\aspnum\faauto\adjustright\rin0\lin0\itap0\pararsid7366698 \rtlch\fcs1 \af0\afs20\alang1025 \ltrch\fcs0 \i\fs24\lang2057\langfe2057\cgrid\langnp2057\langfenp2057 {_x000d__x000a_\rtlch\fcs1 \af0 \ltrch\fcs0 \cs17\i0\v\fs20\cf9\lang1024\langfe1024\loch\af1\hich\af1\dbch\af31501\noproof\insrsid16734988\charrsid10037553 \hich\af1\dbch\af31501\loch\f1 &lt;TitreJust&gt;}{\rtlch\fcs1 \af0 \ltrch\fcs0 \insrsid16734988\charrsid10037553 _x000d__x000a_Justification}{\rtlch\fcs1 \af0 \ltrch\fcs0 \cs17\i0\v\fs20\cf9\lang1024\langfe1024\loch\af1\hich\af1\dbch\af31501\noproof\insrsid16734988\charrsid10037553 \hich\af1\dbch\af31501\loch\f1 &lt;/TitreJust&gt;}{\rtlch\fcs1 \af0 \ltrch\fcs0 _x000d__x000a_\insrsid16734988\charrsid10037553 _x000d__x000a_\par }\pard\plain \ltrpar\s23\ql \li0\ri0\sa240\nowidctlpar\wrapdefault\aspalpha\aspnum\faauto\adjustright\rin0\lin0\itap0\pararsid7366698 \rtlch\fcs1 \af0\afs20\alang1025 \ltrch\fcs0 \i\fs24\lang2057\langfe2057\cgrid\langnp2057\langfenp2057 {\rtlch\fcs1 \af0 _x000d__x000a_\ltrch\fcs0 \cs17\i0\v\fs20\cf9\lang1024\langfe1024\loch\af1\hich\af1\dbch\af31501\noproof\insrsid16734988\charrsid10037553 \hich\af1\dbch\af31501\loch\f1 &lt;OptDelPrev&gt;}{\rtlch\fcs1 \af0 \ltrch\fcs0 \insrsid16734988\charrsid10037553 #}{\rtlch\fcs1 \af0 _x000d__x000a_\ltrch\fcs0 \cs18\v\f1\fs20\cf15\insrsid16734988\charrsid10037553 MNU[TEXTJUSTYES][TEXTJUSTNO]@CHOICE@}{\rtlch\fcs1 \af0 \ltrch\fcs0 \insrsid16734988\charrsid10037553 #}{\rtlch\fcs1 \af0 \ltrch\fcs0 _x000d__x000a_\cs17\i0\v\fs20\cf9\lang1024\langfe1024\loch\af1\hich\af1\dbch\af31501\noproof\insrsid16734988\charrsid10037553 \hich\af1\dbch\af31501\loch\f1 &lt;/OptDelPrev&gt;}{\rtlch\fcs1 \af0 \ltrch\fcs0 \insrsid16734988\charrsid10037553 _x000d__x000a_\par }\pard\plain \ltrpar\ql \li0\ri0\widctlpar\wrapdefault\aspalpha\aspnum\faauto\adjustright\rin0\lin0\itap0\pararsid7366698 \rtlch\fcs1 \af0\afs20\alang1025 \ltrch\fcs0 \fs24\lang2057\langfe2057\cgrid\langnp2057\langfenp2057 {\rtlch\fcs1 \af0 \ltrch\fcs0 _x000d__x000a_\cs17\v\fs20\cf9\lang1024\langfe1024\loch\af1\hich\af1\dbch\af31501\noproof\insrsid16734988\charrsid10037553 \hich\af1\dbch\af31501\loch\f1 &lt;/Amend&gt;}{\rtlch\fcs1 \af0 \ltrch\fcs0 \insrsid16734988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74410 HideTWBExt;}{_x000d__x000a_\s18\ql \li0\ri0\nowidctlpar\wrapdefault\aspalpha\aspnum\faauto\adjustright\rin0\lin0\itap0 \rtlch\fcs1 \af0\afs20\alang1025 \ltrch\fcs0 \b\fs24\lang2057\langfe2057\cgrid\langnp2057\langfenp2057 \sbasedon0 \snext18 \spriority0 \styrsid4074410 NormalBold;}_x000d__x000a_{\s19\ql \li0\ri0\sa120\nowidctlpar\wrapdefault\aspalpha\aspnum\faauto\adjustright\rin0\lin0\itap0 \rtlch\fcs1 \af0\afs20\alang1025 \ltrch\fcs0 \fs24\lang2057\langfe2057\cgrid\langnp2057\langfenp2057 \sbasedon0 \snext19 \spriority0 \styrsid4074410 _x000d__x000a_Normal6a;}{\s20\qc \li0\ri0\sa240\nowidctlpar\wrapdefault\aspalpha\aspnum\faauto\adjustright\rin0\lin0\itap0 \rtlch\fcs1 \af0\afs20\alang1025 \ltrch\fcs0 \i\fs24\lang2057\langfe2057\cgrid\langnp2057\langfenp2057 _x000d__x000a_\sbasedon0 \snext20 \spriority0 \styrsid4074410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4074410 AmNumberTabs;}{\s22\ql \li0\ri0\sa240\nowidctlpar\wrapdefault\aspalpha\aspnum\faauto\adjustright\rin0\lin0\itap0 \rtlch\fcs1 _x000d__x000a_\af0\afs20\alang1025 \ltrch\fcs0 \i\fs24\lang2057\langfe2057\cgrid\langnp2057\langfenp2057 \sbasedon0 \snext22 \spriority0 \styrsid4074410 AmJustText;}{_x000d__x000a_\s23\qc \li0\ri0\sb240\sa240\nowidctlpar\wrapdefault\aspalpha\aspnum\faauto\adjustright\rin0\lin0\itap0 \rtlch\fcs1 \af0\afs20\alang1025 \ltrch\fcs0 \i\fs24\lang2057\langfe2057\cgrid\langnp2057\langfenp2057 \sbasedon0 \snext23 \spriority0 \styrsid4074410 _x000d__x000a_AmCrossRef;}{\s24\qc \li0\ri0\sb240\sa240\keepn\nowidctlpar\wrapdefault\aspalpha\aspnum\faauto\adjustright\rin0\lin0\itap0 \rtlch\fcs1 \af0\afs20\alang1025 \ltrch\fcs0 \i\fs24\lang2057\langfe2057\cgrid\langnp2057\langfenp2057 _x000d__x000a_\sbasedon0 \snext22 \spriority0 \styrsid4074410 AmJustTitle;}{\s25\ql \li0\ri0\sb240\nowidctlpar\wrapdefault\aspalpha\aspnum\faauto\adjustright\rin0\lin0\itap0 \rtlch\fcs1 \af0\afs20\alang1025 \ltrch\fcs0 _x000d__x000a_\b\fs24\lang2057\langfe2057\cgrid\langnp2057\langfenp2057 \sbasedon0 \snext25 \spriority0 \styrsid4074410 NormalBold12b;}}{\*\rsidtbl \rsid24658\rsid223860\rsid735077\rsid1718133\rsid2892074\rsid3565327\rsid4074410\rsid4666813\rsid6641733\rsid7823322_x000d__x000a_\rsid9636012\rsid10377208\rsid10767733\rsid11215221\rsid11549030\rsid12154954\rsid13179141\rsid14382809\rsid14424199\rsid15204470\rsid15285974\rsid15950462\rsid16324206\rsid16662270}{\mmathPr\mmathFont34\mbrkBin0\mbrkBinSub0\msmallFrac0\mdispDef1_x000d__x000a_\mlMargin0\mrMargin0\mdefJc1\mwrapIndent1440\mintLim0\mnaryLim1}{\info{\author ANDRINO TIZON Rosalina}{\operator ANDRINO TIZON Rosalina}{\creatim\yr2026\mo4\dy23\hr7\min51}{\revtim\yr2026\mo4\dy23\hr7\min51}{\version1}{\edmins0}{\nofpages1}{\nofwords53}_x000d__x000a_{\nofchars314}{\nofcharsws365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7441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andrin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677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677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677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677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6293919 \rtlch\fcs1 _x000d__x000a_\af0\afs20\alang1025 \ltrch\fcs0 \b\fs24\lang2057\langfe2057\cgrid\langnp2057\langfenp2057 {\rtlch\fcs1 \af0 \ltrch\fcs0 \cs17\b0\v\fs20\cf9\lang1024\langfe1024\loch\af1\hich\af1\dbch\af31501\noproof\langnp1030\insrsid4074410 {\*\bkmkstart restart}_x000d__x000a_\hich\af1\dbch\af31501\loch\f1 &lt;Amend&gt;}{\rtlch\fcs1 \af0 \ltrch\fcs0 \lang1030\langfe2057\langnp1030\insrsid4074410 [ZAMENDMENT]\tab \tab }{\rtlch\fcs1 \af0 \ltrch\fcs0 _x000d__x000a_\cs17\b0\v\fs20\cf9\lang1024\langfe1024\loch\af1\hich\af1\dbch\af31501\noproof\langnp1030\insrsid4074410 \hich\af1\dbch\af31501\loch\f1 &lt;NumAm&gt;}{\rtlch\fcs1 \af0 \ltrch\fcs0 \lang1030\langfe2057\langnp1030\insrsid4074410 [ZNRAM]}{\rtlch\fcs1 \af0 _x000d__x000a_\ltrch\fcs0 \cs17\b0\v\fs20\cf9\lang1024\langfe1024\loch\af1\hich\af1\dbch\af31501\noproof\langnp1030\insrsid4074410 \hich\af1\dbch\af31501\loch\f1 &lt;/NumAm&gt;}{\rtlch\fcs1 \af0 \ltrch\fcs0 \lang1030\langfe2057\langnp1030\insrsid4074410 _x000d__x000a_\par }\pard\plain \ltrpar\s25\ql \li0\ri0\sb240\keepn\nowidctlpar\wrapdefault\aspalpha\aspnum\faauto\adjustright\rin0\lin0\itap0\pararsid6293919 \rtlch\fcs1 \af0\afs20\alang1025 \ltrch\fcs0 \b\fs24\lang2057\langfe2057\cgrid\langnp2057\langfenp2057 {_x000d__x000a_\rtlch\fcs1 \af0 \ltrch\fcs0 \cs17\b0\v\fs20\cf9\lang1024\langfe1024\loch\af1\hich\af1\dbch\af31501\noproof\langnp1030\insrsid4074410 \hich\af1\dbch\af31501\loch\f1 &lt;DocAmend&gt;}{\rtlch\fcs1 \af0 \ltrch\fcs0 \lang1030\langfe2057\langnp1030\insrsid4074410 _x000d__x000a_[ZPROPOSAL][ZAMACT]}{\rtlch\fcs1 \af0 \ltrch\fcs0 \cs17\b0\v\fs20\cf9\lang1024\langfe1024\loch\af1\hich\af1\dbch\af31501\noproof\langnp1030\insrsid4074410 \hich\af1\dbch\af31501\loch\f1 &lt;/DocAmend&gt;}{\rtlch\fcs1 \af0 \ltrch\fcs0 _x000d__x000a_\lang1030\langfe2057\langnp1030\insrsid4074410 _x000d__x000a_\par }\pard\plain \ltrpar\s18\ql \li0\ri0\nowidctlpar\wrapdefault\aspalpha\aspnum\faauto\adjustright\rin0\lin0\itap0\pararsid6293919 \rtlch\fcs1 \af0\afs20\alang1025 \ltrch\fcs0 \b\fs24\lang2057\langfe2057\cgrid\langnp2057\langfenp2057 {\rtlch\fcs1 \af0 _x000d__x000a_\ltrch\fcs0 \cs17\b0\v\fs20\cf9\lang1024\langfe1024\loch\af1\hich\af1\dbch\af31501\noproof\langnp1030\insrsid4074410 \hich\af1\dbch\af31501\loch\f1 &lt;Article&gt;}{\rtlch\fcs1 \af0 \ltrch\fcs0 \lang1030\langfe2057\langnp1030\insrsid4074410 [ZAMPART]}{_x000d__x000a_\rtlch\fcs1 \af0 \ltrch\fcs0 \cs17\b0\v\fs20\cf9\lang1024\langfe1024\loch\af1\hich\af1\dbch\af31501\noproof\langnp1030\insrsid4074410 \hich\af1\dbch\af31501\loch\f1 &lt;/Article&gt;}{\rtlch\fcs1 \af0 \ltrch\fcs0 \lang1030\langfe2057\langnp1030\insrsid4074410 _x000d__x000a__x000d__x000a_\par }\pard\plain \ltrpar\ql \li0\ri0\keepn\widctlpar\wrapdefault\aspalpha\aspnum\faauto\adjustright\rin0\lin0\itap0\pararsid6293919 \rtlch\fcs1 \af0\afs20\alang1025 \ltrch\fcs0 \fs24\lang2057\langfe2057\cgrid\langnp2057\langfenp2057 {\rtlch\fcs1 \af0 _x000d__x000a_\ltrch\fcs0 \cs17\v\fs20\cf9\lang1024\langfe1024\loch\af1\hich\af1\dbch\af31501\noproof\langnp1030\insrsid4074410 \hich\af1\dbch\af31501\loch\f1 &lt;DocAmend2&gt;&lt;OptDel&gt;}{\rtlch\fcs1 \af0 \ltrch\fcs0 \lang1030\langfe2057\langnp1030\insrsid4074410 [ZNRACT]}{_x000d__x000a_\rtlch\fcs1 \af0 \ltrch\fcs0 \cs17\v\fs20\cf9\lang1024\langfe1024\loch\af1\hich\af1\dbch\af31501\noproof\langnp1030\insrsid4074410 \hich\af1\dbch\af31501\loch\f1 &lt;/OptDel&gt;&lt;/DocAmend2&gt;}{\rtlch\fcs1 \af0 \ltrch\fcs0 _x000d__x000a_\lang1030\langfe2057\langnp1030\insrsid4074410 _x000d__x000a_\par }\pard \ltrpar\ql \li0\ri0\widctlpar\wrapdefault\aspalpha\aspnum\faauto\adjustright\rin0\lin0\itap0\pararsid6293919 {\rtlch\fcs1 \af0 \ltrch\fcs0 \cs17\v\fs20\cf9\lang1024\langfe1024\loch\af1\hich\af1\dbch\af31501\noproof\langnp1036\insrsid4074410 _x000d__x000a_\hich\af1\dbch\af31501\loch\f1 &lt;Article2&gt;&lt;OptDel&gt;}{\rtlch\fcs1 \af0 \ltrch\fcs0 \lang1036\langfe2057\langnp1036\insrsid4074410 [ZACTPART]}{\rtlch\fcs1 \af0 \ltrch\fcs0 _x000d__x000a_\cs17\v\fs20\cf9\lang1024\langfe1024\loch\af1\hich\af1\dbch\af31501\noproof\langnp1036\insrsid4074410 \hich\af1\dbch\af31501\loch\f1 &lt;/OptDel&gt;&lt;/Article2&gt;}{\rtlch\fcs1 \af0 \ltrch\fcs0 \lang1036\langfe2057\langnp1036\insrsid4074410 _x000d__x000a_\par \ltrrow}\trowd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9752\clshdrawnil \cellx9412\pard \ltrpar\ql \li0\ri0\keepn\widctlpar\intbl\wrapdefault\aspalpha\aspnum\faauto\adjustright\rin0\lin0\pararsid11085200 {\rtlch\fcs1 \af0 \ltrch\fcs0 _x000d__x000a_\lang1036\langfe2057\langnp1036\insrsid4074410 \cell }\pard \ltrpar\ql \li0\ri0\widctlpar\intbl\wrapdefault\aspalpha\aspnum\faauto\adjustright\rin0\lin0 {\rtlch\fcs1 \af0 \ltrch\fcs0 \insrsid4074410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9752\clshdrawnil \cellx9412\row \ltrrow}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_x000d__x000a_\pard\plain \ltrpar\s20\qc \li0\ri0\sa240\keepn\nowidctlpar\intbl\wrapdefault\aspalpha\aspnum\faauto\adjustright\rin0\lin0\pararsid11085200 \rtlch\fcs1 \af0\afs20\alang1025 \ltrch\fcs0 \i\fs24\lang2057\langfe2057\cgrid\langnp2057\langfenp2057 {_x000d__x000a_\rtlch\fcs1 \af0 \ltrch\fcs0 \insrsid4074410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4074410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\ltrrow_x000d__x000a_}\pard\plain \ltrpar\s19\ql \li0\ri0\sa120\nowidctlpar\intbl\wrapdefault\aspalpha\aspnum\faauto\adjustright\rin0\lin0\pararsid11085200 \rtlch\fcs1 \af0\afs20\alang1025 \ltrch\fcs0 \fs24\lang2057\langfe2057\cgrid\langnp2057\langfenp2057 {\rtlch\fcs1 \af0 _x000d__x000a_\ltrch\fcs0 \insrsid4074410 [ZTEXTL]\cell [ZTEXTR]\cell }\pard\plain \ltrpar\ql \li0\ri0\widctlpar\intbl\wrapdefault\aspalpha\aspnum\faauto\adjustright\rin0\lin0 \rtlch\fcs1 \af0\afs20\alang1025 \ltrch\fcs0 _x000d__x000a_\fs24\lang2057\langfe2057\cgrid\langnp2057\langfenp2057 {\rtlch\fcs1 \af0 \ltrch\fcs0 \insrsid4074410 \trowd \lastrow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_x000d__x000a_}\pard\plain \ltrpar\s23\qc \li0\ri0\sb240\sa240\nowidctlpar\wrapdefault\aspalpha\aspnum\faauto\adjustright\rin0\lin0\itap0\pararsid6293919 \rtlch\fcs1 \af0\afs20\alang1025 \ltrch\fcs0 \i\fs24\lang2057\langfe2057\cgrid\langnp2057\langfenp2057 {_x000d__x000a_\rtlch\fcs1 \af0 \ltrch\fcs0 \cs17\i0\v\fs20\cf9\lang1024\langfe1024\loch\af1\hich\af1\dbch\af31501\noproof\insrsid4074410 \hich\af1\dbch\af31501\loch\f1 &lt;OptDel&gt;}{\rtlch\fcs1 \af0 \ltrch\fcs0 \insrsid4074410 [ZCROSSREF]}{\rtlch\fcs1 \af0 \ltrch\fcs0 _x000d__x000a_\cs17\i0\v\fs20\cf9\lang1024\langfe1024\loch\af1\hich\af1\dbch\af31501\noproof\insrsid4074410 \hich\af1\dbch\af31501\loch\f1 &lt;/OptDel&gt;}{\rtlch\fcs1 \af0 \ltrch\fcs0 \insrsid4074410 _x000d__x000a_\par }\pard\plain \ltrpar\s24\qc \li0\ri0\sb240\sa240\keepn\nowidctlpar\wrapdefault\aspalpha\aspnum\faauto\adjustright\rin0\lin0\itap0\pararsid6293919 \rtlch\fcs1 \af0\afs20\alang1025 \ltrch\fcs0 \i\fs24\lang2057\langfe2057\cgrid\langnp2057\langfenp2057 {_x000d__x000a_\rtlch\fcs1 \af0 \ltrch\fcs0 \cs17\i0\v\fs20\cf9\lang1024\langfe1024\loch\af1\hich\af1\dbch\af31501\noproof\insrsid4074410 \hich\af1\dbch\af31501\loch\f1 &lt;TitreJust&gt;}{\rtlch\fcs1 \af0 \ltrch\fcs0 \insrsid4074410 [ZJUSTIFICATION]}{\rtlch\fcs1 \af0 _x000d__x000a_\ltrch\fcs0 \cs17\i0\v\fs20\cf9\lang1024\langfe1024\loch\af1\hich\af1\dbch\af31501\noproof\insrsid4074410 \hich\af1\dbch\af31501\loch\f1 &lt;/TitreJust&gt;}{\rtlch\fcs1 \af0 \ltrch\fcs0 \insrsid4074410 _x000d__x000a_\par }\pard\plain \ltrpar\s22\ql \li0\ri0\sa240\nowidctlpar\wrapdefault\aspalpha\aspnum\faauto\adjustright\rin0\lin0\itap0\pararsid6293919 \rtlch\fcs1 \af0\afs20\alang1025 \ltrch\fcs0 \i\fs24\lang2057\langfe2057\cgrid\langnp2057\langfenp2057 {\rtlch\fcs1 \af0 _x000d__x000a_\ltrch\fcs0 \cs17\i0\v\fs20\cf9\lang1024\langfe1024\loch\af1\hich\af1\dbch\af31501\noproof\insrsid4074410 \hich\af1\dbch\af31501\loch\f1 &lt;OptDelPrev&gt;}{\rtlch\fcs1 \af0 \ltrch\fcs0 \insrsid4074410 [ZTEXTJUST]}{\rtlch\fcs1 \af0 \ltrch\fcs0 _x000d__x000a_\cs17\i0\v\fs20\cf9\lang1024\langfe1024\loch\af1\hich\af1\dbch\af31501\noproof\insrsid4074410 \hich\af1\dbch\af31501\loch\f1 &lt;/OptDelPrev&gt;}{\rtlch\fcs1 \af0 \ltrch\fcs0 \insrsid4074410 _x000d__x000a_\par }\pard\plain \ltrpar\ql \li0\ri0\widctlpar\wrapdefault\aspalpha\aspnum\faauto\adjustright\rin0\lin0\itap0\pararsid6293919 \rtlch\fcs1 \af0\afs20\alang1025 \ltrch\fcs0 \fs24\lang2057\langfe2057\cgrid\langnp2057\langfenp2057 {\rtlch\fcs1 \af0 \ltrch\fcs0 _x000d__x000a_\cs17\v\fs20\cf9\lang1024\langfe1024\loch\af1\hich\af1\dbch\af31501\noproof\insrsid4074410 \hich\af1\dbch\af31501\loch\f1 &lt;/Amend&gt;}{\rtlch\fcs1 \af0 \ltrch\fcs0 \insrsid4074410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Evaluation"/>
    <w:docVar w:name="strSubDir" w:val="1342"/>
    <w:docVar w:name="TITLECODMNU" w:val=" 1"/>
    <w:docVar w:name="TITLEMNU" w:val=" 1"/>
    <w:docVar w:name="TXTAUTHOR" w:val="Hélder Sousa Silva"/>
    <w:docVar w:name="TXTLANGUE" w:val="EN"/>
    <w:docVar w:name="TXTLANGUEMIN" w:val="en"/>
    <w:docVar w:name="TXTNRC" w:val="XX"/>
    <w:docVar w:name="TXTNRCOM" w:val="XX"/>
    <w:docVar w:name="TXTNRPE" w:val="782.453"/>
    <w:docVar w:name="TXTNRPROC" w:val="2025/0543"/>
    <w:docVar w:name="TXTPEorAP" w:val="PE"/>
    <w:docVar w:name="TXTROUTE" w:val="AD\1342281EN.docx"/>
    <w:docVar w:name="TXTTITLE" w:val="XX"/>
    <w:docVar w:name="TXTVERSION" w:val="03-00"/>
  </w:docVars>
  <w:rsids>
    <w:rsidRoot w:val="002F1CDB"/>
    <w:rsid w:val="00002AF5"/>
    <w:rsid w:val="00006F54"/>
    <w:rsid w:val="00007C5D"/>
    <w:rsid w:val="00012B42"/>
    <w:rsid w:val="00017014"/>
    <w:rsid w:val="0001754B"/>
    <w:rsid w:val="00030B88"/>
    <w:rsid w:val="0003367A"/>
    <w:rsid w:val="00041599"/>
    <w:rsid w:val="00052101"/>
    <w:rsid w:val="00055C82"/>
    <w:rsid w:val="00066D73"/>
    <w:rsid w:val="00086729"/>
    <w:rsid w:val="000976C1"/>
    <w:rsid w:val="000A354D"/>
    <w:rsid w:val="000A4299"/>
    <w:rsid w:val="000B0E62"/>
    <w:rsid w:val="000B3516"/>
    <w:rsid w:val="000D1033"/>
    <w:rsid w:val="000E7EBF"/>
    <w:rsid w:val="000F2D1C"/>
    <w:rsid w:val="000F307C"/>
    <w:rsid w:val="00100083"/>
    <w:rsid w:val="00102D30"/>
    <w:rsid w:val="00113B68"/>
    <w:rsid w:val="00124F60"/>
    <w:rsid w:val="00134532"/>
    <w:rsid w:val="00135121"/>
    <w:rsid w:val="00140BE6"/>
    <w:rsid w:val="001449F5"/>
    <w:rsid w:val="00147F4E"/>
    <w:rsid w:val="00147FBF"/>
    <w:rsid w:val="00162767"/>
    <w:rsid w:val="0016635E"/>
    <w:rsid w:val="0016705E"/>
    <w:rsid w:val="0017131D"/>
    <w:rsid w:val="0017277D"/>
    <w:rsid w:val="00173215"/>
    <w:rsid w:val="001746D0"/>
    <w:rsid w:val="00195E4A"/>
    <w:rsid w:val="001A2259"/>
    <w:rsid w:val="001B7393"/>
    <w:rsid w:val="001D2ED9"/>
    <w:rsid w:val="001E42AF"/>
    <w:rsid w:val="001F21C1"/>
    <w:rsid w:val="001F2C77"/>
    <w:rsid w:val="00205307"/>
    <w:rsid w:val="00214B82"/>
    <w:rsid w:val="00217B7E"/>
    <w:rsid w:val="00225FA0"/>
    <w:rsid w:val="002365D3"/>
    <w:rsid w:val="0024480A"/>
    <w:rsid w:val="00246EC9"/>
    <w:rsid w:val="002668E6"/>
    <w:rsid w:val="00270617"/>
    <w:rsid w:val="00281C9F"/>
    <w:rsid w:val="00283121"/>
    <w:rsid w:val="0028399F"/>
    <w:rsid w:val="002920E2"/>
    <w:rsid w:val="002A7567"/>
    <w:rsid w:val="002B2D47"/>
    <w:rsid w:val="002B5650"/>
    <w:rsid w:val="002C2C3F"/>
    <w:rsid w:val="002D28A7"/>
    <w:rsid w:val="002D3164"/>
    <w:rsid w:val="002D7635"/>
    <w:rsid w:val="002E1718"/>
    <w:rsid w:val="002E2F2E"/>
    <w:rsid w:val="002E3A29"/>
    <w:rsid w:val="002E4AA3"/>
    <w:rsid w:val="002E5DE4"/>
    <w:rsid w:val="002E6F98"/>
    <w:rsid w:val="002F1CDB"/>
    <w:rsid w:val="002F24FD"/>
    <w:rsid w:val="002F4CC3"/>
    <w:rsid w:val="00306B00"/>
    <w:rsid w:val="003230B1"/>
    <w:rsid w:val="00325BCB"/>
    <w:rsid w:val="00325D7F"/>
    <w:rsid w:val="00325EDE"/>
    <w:rsid w:val="00331944"/>
    <w:rsid w:val="00332AD9"/>
    <w:rsid w:val="003402B9"/>
    <w:rsid w:val="00345CBF"/>
    <w:rsid w:val="00347D2C"/>
    <w:rsid w:val="003508DA"/>
    <w:rsid w:val="003575E8"/>
    <w:rsid w:val="00357761"/>
    <w:rsid w:val="00362463"/>
    <w:rsid w:val="00367A50"/>
    <w:rsid w:val="0037356F"/>
    <w:rsid w:val="003767EF"/>
    <w:rsid w:val="003858C5"/>
    <w:rsid w:val="00390EB2"/>
    <w:rsid w:val="00391AC1"/>
    <w:rsid w:val="00396A0E"/>
    <w:rsid w:val="003A5DEB"/>
    <w:rsid w:val="003B229E"/>
    <w:rsid w:val="003B2862"/>
    <w:rsid w:val="003B4426"/>
    <w:rsid w:val="003B507D"/>
    <w:rsid w:val="003C3A38"/>
    <w:rsid w:val="003D43B7"/>
    <w:rsid w:val="003D5C9C"/>
    <w:rsid w:val="003E2402"/>
    <w:rsid w:val="003E5A8F"/>
    <w:rsid w:val="003E6B61"/>
    <w:rsid w:val="003F2D3B"/>
    <w:rsid w:val="00401780"/>
    <w:rsid w:val="00402E8B"/>
    <w:rsid w:val="004272F5"/>
    <w:rsid w:val="0043045C"/>
    <w:rsid w:val="004456FB"/>
    <w:rsid w:val="00446D42"/>
    <w:rsid w:val="00450A7E"/>
    <w:rsid w:val="0046245A"/>
    <w:rsid w:val="004667D1"/>
    <w:rsid w:val="00466D44"/>
    <w:rsid w:val="0047642E"/>
    <w:rsid w:val="00477552"/>
    <w:rsid w:val="00481B23"/>
    <w:rsid w:val="00483F34"/>
    <w:rsid w:val="00485C5C"/>
    <w:rsid w:val="004A1C45"/>
    <w:rsid w:val="004A609B"/>
    <w:rsid w:val="004A7D39"/>
    <w:rsid w:val="004C28FB"/>
    <w:rsid w:val="004C3B63"/>
    <w:rsid w:val="004C44C0"/>
    <w:rsid w:val="004D0E3B"/>
    <w:rsid w:val="004D18F2"/>
    <w:rsid w:val="004D4FA4"/>
    <w:rsid w:val="004E2AB4"/>
    <w:rsid w:val="004F093C"/>
    <w:rsid w:val="00514274"/>
    <w:rsid w:val="00517318"/>
    <w:rsid w:val="0052544E"/>
    <w:rsid w:val="00526F89"/>
    <w:rsid w:val="005365D3"/>
    <w:rsid w:val="00546BD2"/>
    <w:rsid w:val="00556CD6"/>
    <w:rsid w:val="00566D37"/>
    <w:rsid w:val="0056775B"/>
    <w:rsid w:val="0057732D"/>
    <w:rsid w:val="0058215E"/>
    <w:rsid w:val="00582163"/>
    <w:rsid w:val="005940C3"/>
    <w:rsid w:val="00594C48"/>
    <w:rsid w:val="005A2392"/>
    <w:rsid w:val="005B2376"/>
    <w:rsid w:val="005B2F11"/>
    <w:rsid w:val="005B62FD"/>
    <w:rsid w:val="005C0BDF"/>
    <w:rsid w:val="005D024F"/>
    <w:rsid w:val="005D60C6"/>
    <w:rsid w:val="005D6788"/>
    <w:rsid w:val="005E2EB2"/>
    <w:rsid w:val="005F2C93"/>
    <w:rsid w:val="005F64C9"/>
    <w:rsid w:val="00600957"/>
    <w:rsid w:val="00601537"/>
    <w:rsid w:val="006017DD"/>
    <w:rsid w:val="006102E7"/>
    <w:rsid w:val="00610FA5"/>
    <w:rsid w:val="006217F2"/>
    <w:rsid w:val="00621F8F"/>
    <w:rsid w:val="00630767"/>
    <w:rsid w:val="00630B5E"/>
    <w:rsid w:val="00631ECA"/>
    <w:rsid w:val="00640C1B"/>
    <w:rsid w:val="00646D7F"/>
    <w:rsid w:val="00654905"/>
    <w:rsid w:val="00657AFB"/>
    <w:rsid w:val="006770A2"/>
    <w:rsid w:val="00685EBC"/>
    <w:rsid w:val="00686DF1"/>
    <w:rsid w:val="00693DC6"/>
    <w:rsid w:val="006B5641"/>
    <w:rsid w:val="006B5685"/>
    <w:rsid w:val="006D16AE"/>
    <w:rsid w:val="006D5BF7"/>
    <w:rsid w:val="006D5D60"/>
    <w:rsid w:val="006E207B"/>
    <w:rsid w:val="006E3D25"/>
    <w:rsid w:val="006E43BA"/>
    <w:rsid w:val="006F2815"/>
    <w:rsid w:val="006F4E35"/>
    <w:rsid w:val="006F6345"/>
    <w:rsid w:val="00700D2A"/>
    <w:rsid w:val="00702A88"/>
    <w:rsid w:val="00730988"/>
    <w:rsid w:val="007323CD"/>
    <w:rsid w:val="007343B3"/>
    <w:rsid w:val="0074139F"/>
    <w:rsid w:val="00753996"/>
    <w:rsid w:val="00754C04"/>
    <w:rsid w:val="00755CD7"/>
    <w:rsid w:val="00757C4C"/>
    <w:rsid w:val="007604CE"/>
    <w:rsid w:val="00760D63"/>
    <w:rsid w:val="007638D0"/>
    <w:rsid w:val="00770214"/>
    <w:rsid w:val="00783C83"/>
    <w:rsid w:val="00784770"/>
    <w:rsid w:val="007A0439"/>
    <w:rsid w:val="007A403A"/>
    <w:rsid w:val="007B107D"/>
    <w:rsid w:val="007B2187"/>
    <w:rsid w:val="007B5CC7"/>
    <w:rsid w:val="007C6D0D"/>
    <w:rsid w:val="007C704E"/>
    <w:rsid w:val="007E03E2"/>
    <w:rsid w:val="007E0990"/>
    <w:rsid w:val="007E4EEA"/>
    <w:rsid w:val="007E6C91"/>
    <w:rsid w:val="007F1A57"/>
    <w:rsid w:val="00800C20"/>
    <w:rsid w:val="0080329C"/>
    <w:rsid w:val="00803693"/>
    <w:rsid w:val="00816BE5"/>
    <w:rsid w:val="00825069"/>
    <w:rsid w:val="008313E7"/>
    <w:rsid w:val="00840391"/>
    <w:rsid w:val="00842418"/>
    <w:rsid w:val="008479EC"/>
    <w:rsid w:val="00850EEA"/>
    <w:rsid w:val="00852263"/>
    <w:rsid w:val="00854CAC"/>
    <w:rsid w:val="00873BF3"/>
    <w:rsid w:val="008815E1"/>
    <w:rsid w:val="008829FE"/>
    <w:rsid w:val="00882CB5"/>
    <w:rsid w:val="008869C5"/>
    <w:rsid w:val="008901B1"/>
    <w:rsid w:val="008A0FE4"/>
    <w:rsid w:val="008A32C5"/>
    <w:rsid w:val="008C0B61"/>
    <w:rsid w:val="008C2388"/>
    <w:rsid w:val="008C6203"/>
    <w:rsid w:val="008D2A3C"/>
    <w:rsid w:val="008D61E7"/>
    <w:rsid w:val="008D6468"/>
    <w:rsid w:val="008E0D25"/>
    <w:rsid w:val="008E17AF"/>
    <w:rsid w:val="008E2BE3"/>
    <w:rsid w:val="008F33FC"/>
    <w:rsid w:val="008F7002"/>
    <w:rsid w:val="00946BEF"/>
    <w:rsid w:val="00955944"/>
    <w:rsid w:val="0095761F"/>
    <w:rsid w:val="00961E8B"/>
    <w:rsid w:val="009626A8"/>
    <w:rsid w:val="00962782"/>
    <w:rsid w:val="00963DF4"/>
    <w:rsid w:val="00976019"/>
    <w:rsid w:val="00993D65"/>
    <w:rsid w:val="0099493F"/>
    <w:rsid w:val="009B13EE"/>
    <w:rsid w:val="009B4FF7"/>
    <w:rsid w:val="009C316C"/>
    <w:rsid w:val="009C4706"/>
    <w:rsid w:val="009C7BBC"/>
    <w:rsid w:val="009D1AB2"/>
    <w:rsid w:val="009D51C1"/>
    <w:rsid w:val="009E64BF"/>
    <w:rsid w:val="009F1C99"/>
    <w:rsid w:val="00A16BEA"/>
    <w:rsid w:val="00A24629"/>
    <w:rsid w:val="00A30C8E"/>
    <w:rsid w:val="00A312B3"/>
    <w:rsid w:val="00A401F5"/>
    <w:rsid w:val="00A47E2F"/>
    <w:rsid w:val="00A56164"/>
    <w:rsid w:val="00A72C35"/>
    <w:rsid w:val="00A73317"/>
    <w:rsid w:val="00A82E7D"/>
    <w:rsid w:val="00A91B4A"/>
    <w:rsid w:val="00AA0704"/>
    <w:rsid w:val="00AA0D98"/>
    <w:rsid w:val="00AA0F95"/>
    <w:rsid w:val="00AA4C55"/>
    <w:rsid w:val="00AA6C9D"/>
    <w:rsid w:val="00AA6CB5"/>
    <w:rsid w:val="00AB5733"/>
    <w:rsid w:val="00AC5AAD"/>
    <w:rsid w:val="00AE180F"/>
    <w:rsid w:val="00AE5581"/>
    <w:rsid w:val="00AE79AF"/>
    <w:rsid w:val="00AF5611"/>
    <w:rsid w:val="00B05A76"/>
    <w:rsid w:val="00B2497D"/>
    <w:rsid w:val="00B32115"/>
    <w:rsid w:val="00B362F7"/>
    <w:rsid w:val="00B5456B"/>
    <w:rsid w:val="00B735E3"/>
    <w:rsid w:val="00B74B53"/>
    <w:rsid w:val="00B7750F"/>
    <w:rsid w:val="00B84ED1"/>
    <w:rsid w:val="00B87BB2"/>
    <w:rsid w:val="00B978D5"/>
    <w:rsid w:val="00BA3E9A"/>
    <w:rsid w:val="00BA7B93"/>
    <w:rsid w:val="00BA7BC0"/>
    <w:rsid w:val="00BB19A4"/>
    <w:rsid w:val="00BC26E4"/>
    <w:rsid w:val="00BC5686"/>
    <w:rsid w:val="00BD09AE"/>
    <w:rsid w:val="00BD1ABA"/>
    <w:rsid w:val="00BD1EAA"/>
    <w:rsid w:val="00BD546B"/>
    <w:rsid w:val="00BE3888"/>
    <w:rsid w:val="00BF0AFC"/>
    <w:rsid w:val="00BF6786"/>
    <w:rsid w:val="00C04E9D"/>
    <w:rsid w:val="00C22D82"/>
    <w:rsid w:val="00C304C7"/>
    <w:rsid w:val="00C33C10"/>
    <w:rsid w:val="00C3435E"/>
    <w:rsid w:val="00C36610"/>
    <w:rsid w:val="00C36A5B"/>
    <w:rsid w:val="00C44B11"/>
    <w:rsid w:val="00C508FC"/>
    <w:rsid w:val="00C52739"/>
    <w:rsid w:val="00C60A46"/>
    <w:rsid w:val="00C717AF"/>
    <w:rsid w:val="00C736C1"/>
    <w:rsid w:val="00C827FF"/>
    <w:rsid w:val="00C84881"/>
    <w:rsid w:val="00C8553D"/>
    <w:rsid w:val="00C876C7"/>
    <w:rsid w:val="00C878DE"/>
    <w:rsid w:val="00C9183D"/>
    <w:rsid w:val="00C91905"/>
    <w:rsid w:val="00CB0E24"/>
    <w:rsid w:val="00CB198D"/>
    <w:rsid w:val="00CD34AC"/>
    <w:rsid w:val="00CE0A97"/>
    <w:rsid w:val="00CE6558"/>
    <w:rsid w:val="00CE73B2"/>
    <w:rsid w:val="00CF2CEE"/>
    <w:rsid w:val="00D006EE"/>
    <w:rsid w:val="00D05797"/>
    <w:rsid w:val="00D05B70"/>
    <w:rsid w:val="00D067E4"/>
    <w:rsid w:val="00D13BB8"/>
    <w:rsid w:val="00D21BB0"/>
    <w:rsid w:val="00D22A96"/>
    <w:rsid w:val="00D318E7"/>
    <w:rsid w:val="00D40947"/>
    <w:rsid w:val="00D411F7"/>
    <w:rsid w:val="00D57A1A"/>
    <w:rsid w:val="00D717FD"/>
    <w:rsid w:val="00D7202C"/>
    <w:rsid w:val="00D8432D"/>
    <w:rsid w:val="00D92AE2"/>
    <w:rsid w:val="00D93847"/>
    <w:rsid w:val="00DB5868"/>
    <w:rsid w:val="00DC14A8"/>
    <w:rsid w:val="00DC4F54"/>
    <w:rsid w:val="00DE19FF"/>
    <w:rsid w:val="00DF0799"/>
    <w:rsid w:val="00E00D3E"/>
    <w:rsid w:val="00E128BB"/>
    <w:rsid w:val="00E14B38"/>
    <w:rsid w:val="00E154EF"/>
    <w:rsid w:val="00E17380"/>
    <w:rsid w:val="00E1768C"/>
    <w:rsid w:val="00E263DF"/>
    <w:rsid w:val="00E34244"/>
    <w:rsid w:val="00E40C7D"/>
    <w:rsid w:val="00E57C99"/>
    <w:rsid w:val="00E61C10"/>
    <w:rsid w:val="00E63984"/>
    <w:rsid w:val="00E8005A"/>
    <w:rsid w:val="00E81BA6"/>
    <w:rsid w:val="00E81E17"/>
    <w:rsid w:val="00E856D2"/>
    <w:rsid w:val="00E86A77"/>
    <w:rsid w:val="00E929A7"/>
    <w:rsid w:val="00E92C76"/>
    <w:rsid w:val="00E93EA3"/>
    <w:rsid w:val="00EA5F7F"/>
    <w:rsid w:val="00EB736D"/>
    <w:rsid w:val="00EB761F"/>
    <w:rsid w:val="00EC43A3"/>
    <w:rsid w:val="00ED2DAE"/>
    <w:rsid w:val="00EF0228"/>
    <w:rsid w:val="00F01DE1"/>
    <w:rsid w:val="00F17A62"/>
    <w:rsid w:val="00F26123"/>
    <w:rsid w:val="00F46189"/>
    <w:rsid w:val="00F51012"/>
    <w:rsid w:val="00F53349"/>
    <w:rsid w:val="00F655A9"/>
    <w:rsid w:val="00F74E92"/>
    <w:rsid w:val="00F751AE"/>
    <w:rsid w:val="00F83B8C"/>
    <w:rsid w:val="00F95B55"/>
    <w:rsid w:val="00FA0E98"/>
    <w:rsid w:val="00FA31F3"/>
    <w:rsid w:val="00FB440F"/>
    <w:rsid w:val="00FB5399"/>
    <w:rsid w:val="00FB74AF"/>
    <w:rsid w:val="00FC228C"/>
    <w:rsid w:val="00FC42F1"/>
    <w:rsid w:val="00FC5490"/>
    <w:rsid w:val="00FC6460"/>
    <w:rsid w:val="00FD0D14"/>
    <w:rsid w:val="00FD4BC4"/>
    <w:rsid w:val="00FE24DE"/>
    <w:rsid w:val="00FF49A3"/>
    <w:rsid w:val="00FF4B50"/>
    <w:rsid w:val="00FF5EE7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C47B3"/>
  <w15:chartTrackingRefBased/>
  <w15:docId w15:val="{2A471FD1-8A50-4278-A925-7B04971E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019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8432D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843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8432D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8432D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8432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8432D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8432D"/>
    <w:pPr>
      <w:spacing w:after="480"/>
      <w:ind w:left="1417"/>
    </w:pPr>
  </w:style>
  <w:style w:type="paragraph" w:customStyle="1" w:styleId="CoverNormal">
    <w:name w:val="CoverNormal"/>
    <w:basedOn w:val="Normal"/>
    <w:rsid w:val="00D8432D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8432D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8432D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8432D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8432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8432D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8432D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8432D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8432D"/>
    <w:pPr>
      <w:jc w:val="right"/>
    </w:pPr>
  </w:style>
  <w:style w:type="paragraph" w:customStyle="1" w:styleId="NormalHanging12a">
    <w:name w:val="NormalHanging12a"/>
    <w:basedOn w:val="Normal"/>
    <w:rsid w:val="00D8432D"/>
    <w:pPr>
      <w:spacing w:after="240"/>
      <w:ind w:left="567" w:hanging="567"/>
    </w:pPr>
  </w:style>
  <w:style w:type="paragraph" w:customStyle="1" w:styleId="EPFooter">
    <w:name w:val="EPFooter"/>
    <w:basedOn w:val="Normal"/>
    <w:rsid w:val="00D843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customStyle="1" w:styleId="AmDocTypeTab">
    <w:name w:val="AmDocTypeTab"/>
    <w:basedOn w:val="Normal"/>
    <w:rsid w:val="00D8432D"/>
    <w:pPr>
      <w:tabs>
        <w:tab w:val="right" w:pos="9072"/>
      </w:tabs>
    </w:pPr>
    <w:rPr>
      <w:b/>
    </w:rPr>
  </w:style>
  <w:style w:type="paragraph" w:customStyle="1" w:styleId="NormalBold">
    <w:name w:val="NormalBold"/>
    <w:basedOn w:val="Normal"/>
    <w:rsid w:val="00D8432D"/>
    <w:rPr>
      <w:b/>
    </w:rPr>
  </w:style>
  <w:style w:type="paragraph" w:customStyle="1" w:styleId="AmOrLang">
    <w:name w:val="AmOrLang"/>
    <w:basedOn w:val="Normal"/>
    <w:rsid w:val="00D8432D"/>
    <w:pPr>
      <w:spacing w:before="240" w:after="240"/>
      <w:jc w:val="right"/>
    </w:pPr>
  </w:style>
  <w:style w:type="paragraph" w:customStyle="1" w:styleId="Normal6a">
    <w:name w:val="Normal6a"/>
    <w:basedOn w:val="Normal"/>
    <w:rsid w:val="00D8432D"/>
    <w:pPr>
      <w:spacing w:after="120"/>
    </w:pPr>
  </w:style>
  <w:style w:type="paragraph" w:customStyle="1" w:styleId="AmDateTab">
    <w:name w:val="AmDateTab"/>
    <w:basedOn w:val="Normal"/>
    <w:rsid w:val="00D8432D"/>
    <w:pPr>
      <w:tabs>
        <w:tab w:val="right" w:pos="9072"/>
      </w:tabs>
    </w:pPr>
  </w:style>
  <w:style w:type="paragraph" w:customStyle="1" w:styleId="AmColumnHeading">
    <w:name w:val="AmColumnHeading"/>
    <w:basedOn w:val="Normal"/>
    <w:rsid w:val="00D843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843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JustText">
    <w:name w:val="AmJustText"/>
    <w:basedOn w:val="Normal"/>
    <w:rsid w:val="00D8432D"/>
    <w:pPr>
      <w:spacing w:after="240"/>
    </w:pPr>
    <w:rPr>
      <w:i/>
    </w:rPr>
  </w:style>
  <w:style w:type="paragraph" w:customStyle="1" w:styleId="AmCrossRef">
    <w:name w:val="AmCrossRef"/>
    <w:basedOn w:val="Normal"/>
    <w:rsid w:val="00D8432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8432D"/>
    <w:pPr>
      <w:keepNext/>
      <w:spacing w:before="240" w:after="240"/>
      <w:jc w:val="center"/>
    </w:pPr>
    <w:rPr>
      <w:i/>
    </w:rPr>
  </w:style>
  <w:style w:type="paragraph" w:customStyle="1" w:styleId="NormalBold12b">
    <w:name w:val="NormalBold12b"/>
    <w:basedOn w:val="Normal"/>
    <w:rsid w:val="00D8432D"/>
    <w:pPr>
      <w:spacing w:before="240"/>
    </w:pPr>
    <w:rPr>
      <w:b/>
    </w:rPr>
  </w:style>
  <w:style w:type="paragraph" w:customStyle="1" w:styleId="Normal24a">
    <w:name w:val="Normal24a"/>
    <w:basedOn w:val="Normal"/>
    <w:rsid w:val="00D8432D"/>
    <w:pPr>
      <w:spacing w:after="480"/>
    </w:pPr>
  </w:style>
  <w:style w:type="paragraph" w:customStyle="1" w:styleId="NormalBoldCenter">
    <w:name w:val="NormalBoldCenter"/>
    <w:basedOn w:val="Normal"/>
    <w:rsid w:val="00D8432D"/>
    <w:pPr>
      <w:jc w:val="center"/>
    </w:pPr>
    <w:rPr>
      <w:b/>
    </w:rPr>
  </w:style>
  <w:style w:type="paragraph" w:customStyle="1" w:styleId="Footprint12b">
    <w:name w:val="Footprint12b"/>
    <w:basedOn w:val="Normal"/>
    <w:rsid w:val="00D8432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8432D"/>
    <w:rPr>
      <w:szCs w:val="24"/>
    </w:rPr>
  </w:style>
  <w:style w:type="paragraph" w:customStyle="1" w:styleId="EPComma">
    <w:name w:val="EPComma"/>
    <w:basedOn w:val="Normal"/>
    <w:rsid w:val="00D8432D"/>
    <w:pPr>
      <w:spacing w:before="480" w:after="240"/>
    </w:pPr>
  </w:style>
  <w:style w:type="paragraph" w:styleId="FootnoteText">
    <w:name w:val="footnote text"/>
    <w:basedOn w:val="Normal"/>
    <w:link w:val="FootnoteTextChar"/>
    <w:rsid w:val="00755CD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55CD7"/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nhideWhenUsed/>
    <w:rsid w:val="00755CD7"/>
    <w:rPr>
      <w:vertAlign w:val="superscript"/>
    </w:rPr>
  </w:style>
  <w:style w:type="character" w:styleId="Hyperlink">
    <w:name w:val="Hyperlink"/>
    <w:basedOn w:val="DefaultParagraphFont"/>
    <w:unhideWhenUsed/>
    <w:rsid w:val="00755C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6AE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nhideWhenUsed/>
    <w:rsid w:val="00C04E9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4E9D"/>
  </w:style>
  <w:style w:type="character" w:styleId="CommentReference">
    <w:name w:val="annotation reference"/>
    <w:basedOn w:val="DefaultParagraphFont"/>
    <w:unhideWhenUsed/>
    <w:rsid w:val="00C04E9D"/>
    <w:rPr>
      <w:sz w:val="16"/>
      <w:szCs w:val="16"/>
    </w:rPr>
  </w:style>
  <w:style w:type="paragraph" w:styleId="Footer">
    <w:name w:val="footer"/>
    <w:basedOn w:val="Normal"/>
    <w:link w:val="FooterChar"/>
    <w:semiHidden/>
    <w:rsid w:val="008479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479EC"/>
    <w:rPr>
      <w:sz w:val="24"/>
    </w:rPr>
  </w:style>
  <w:style w:type="paragraph" w:styleId="Revision">
    <w:name w:val="Revision"/>
    <w:hidden/>
    <w:uiPriority w:val="99"/>
    <w:semiHidden/>
    <w:rsid w:val="00E00D3E"/>
    <w:rPr>
      <w:sz w:val="24"/>
    </w:rPr>
  </w:style>
  <w:style w:type="paragraph" w:customStyle="1" w:styleId="RollCallSymbols14pt">
    <w:name w:val="RollCallSymbols14pt"/>
    <w:basedOn w:val="Normal"/>
    <w:rsid w:val="00C878D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878D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878D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878DE"/>
    <w:pPr>
      <w:spacing w:before="120" w:after="120"/>
    </w:pPr>
    <w:rPr>
      <w:snapToGrid w:val="0"/>
      <w:sz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63D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63D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uroparl.europa.eu/data-protect/index.d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data.europa.eu/eli/reg/2024/2509/oj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instit/2021/611/oj" TargetMode="External"/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7B569-51A9-4E74-BD30-49EBA0FDA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3941</Words>
  <Characters>26720</Characters>
  <Application>Microsoft Office Word</Application>
  <DocSecurity>0</DocSecurity>
  <Lines>668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PA_LegEvaluation</vt:lpstr>
    </vt:vector>
  </TitlesOfParts>
  <Company/>
  <LinksUpToDate>false</LinksUpToDate>
  <CharactersWithSpaces>30454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PA_LegEvaluation</dc:title>
  <dc:creator>European Parliament</dc:creator>
  <cp:lastModifiedBy>European Parliament</cp:lastModifiedBy>
  <cp:revision>2</cp:revision>
  <cp:lastPrinted>2026-07-09T07:35:00Z</cp:lastPrinted>
  <dcterms:created xsi:type="dcterms:W3CDTF">2026-07-09T09:50:00Z</dcterms:created>
  <dcterms:modified xsi:type="dcterms:W3CDTF">2026-07-09T09:50:00Z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1342281</vt:lpwstr>
  </property>
  <property fmtid="{D5CDD505-2E9C-101B-9397-08002B2CF9AE}" pid="4" name="&lt;Model&gt;">
    <vt:lpwstr>PA_LegEvaluation</vt:lpwstr>
  </property>
  <property fmtid="{D5CDD505-2E9C-101B-9397-08002B2CF9AE}" pid="5" name="&lt;ModelCod&gt;">
    <vt:lpwstr>\\eiciBRUpr1\pdocep$\DocEP\DOCS\General\PA\PA_Leg\PA_LegEvaluation.dotx(18/03/2025 12:35:01)</vt:lpwstr>
  </property>
  <property fmtid="{D5CDD505-2E9C-101B-9397-08002B2CF9AE}" pid="6" name="&lt;ModelTra&gt;">
    <vt:lpwstr>\\eiciBRUpr1\pdocep$\DocEP\TRANSFIL\EN\PA_LegEvaluation.EN(03/03/2026 10:04:10)</vt:lpwstr>
  </property>
  <property fmtid="{D5CDD505-2E9C-101B-9397-08002B2CF9AE}" pid="7" name="&lt;Type&gt;">
    <vt:lpwstr>AD</vt:lpwstr>
  </property>
  <property fmtid="{D5CDD505-2E9C-101B-9397-08002B2CF9AE}" pid="8" name="Bookout">
    <vt:lpwstr>OK - 2026/07/09 11:50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AD\1342281PL.docx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782.453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>NOK(Major:TWBEXT)(Minor:HDG) - 2026/06/26 11:20</vt:lpwstr>
  </property>
</Properties>
</file>