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D908F0" w14:paraId="6FC3E226" w14:textId="77777777">
        <w:trPr>
          <w:trHeight w:hRule="exact" w:val="1418"/>
        </w:trPr>
        <w:tc>
          <w:tcPr>
            <w:tcW w:w="6804" w:type="dxa"/>
            <w:shd w:val="clear" w:color="auto" w:fill="auto"/>
            <w:vAlign w:val="center"/>
          </w:tcPr>
          <w:p w14:paraId="1831A487" w14:textId="77777777" w:rsidR="00854CAC" w:rsidRPr="00A83DC1" w:rsidRDefault="00914827">
            <w:pPr>
              <w:pStyle w:val="EPName"/>
            </w:pPr>
            <w:r>
              <w:t>Parlamentul European</w:t>
            </w:r>
          </w:p>
          <w:p w14:paraId="43818EF5" w14:textId="77777777" w:rsidR="00854CAC" w:rsidRPr="00A83DC1" w:rsidRDefault="00914827">
            <w:pPr>
              <w:pStyle w:val="EPTerm"/>
            </w:pPr>
            <w:r>
              <w:t>2024-2029</w:t>
            </w:r>
          </w:p>
        </w:tc>
        <w:tc>
          <w:tcPr>
            <w:tcW w:w="2268" w:type="dxa"/>
            <w:shd w:val="clear" w:color="auto" w:fill="auto"/>
          </w:tcPr>
          <w:p w14:paraId="5C562485" w14:textId="77777777" w:rsidR="00854CAC" w:rsidRPr="00A83DC1" w:rsidRDefault="00914827">
            <w:pPr>
              <w:pStyle w:val="EPLogo"/>
            </w:pPr>
            <w:r w:rsidRPr="00A83DC1">
              <w:rPr>
                <w:noProof/>
                <w:lang w:eastAsia="ja-JP"/>
              </w:rPr>
              <w:drawing>
                <wp:inline distT="0" distB="0" distL="0" distR="0" wp14:anchorId="7BC1054D" wp14:editId="36F5441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8C7B1DB" w14:textId="77777777" w:rsidR="001746D0" w:rsidRPr="00A83DC1" w:rsidRDefault="001746D0" w:rsidP="001746D0">
      <w:pPr>
        <w:pStyle w:val="LineTop"/>
      </w:pPr>
    </w:p>
    <w:p w14:paraId="2FFF07AF" w14:textId="77777777" w:rsidR="001746D0" w:rsidRPr="00A83DC1" w:rsidRDefault="00914827" w:rsidP="001746D0">
      <w:pPr>
        <w:pStyle w:val="EPBody"/>
      </w:pPr>
      <w:r>
        <w:rPr>
          <w:rStyle w:val="HideTWBExt"/>
        </w:rPr>
        <w:t>&lt;</w:t>
      </w:r>
      <w:r>
        <w:rPr>
          <w:rStyle w:val="HideTWBExt"/>
          <w:i w:val="0"/>
        </w:rPr>
        <w:t>Commission</w:t>
      </w:r>
      <w:r>
        <w:rPr>
          <w:rStyle w:val="HideTWBExt"/>
        </w:rPr>
        <w:t>&gt;</w:t>
      </w:r>
      <w:r>
        <w:rPr>
          <w:rStyle w:val="HideTWBInt"/>
          <w:i w:val="0"/>
          <w:color w:val="auto"/>
        </w:rPr>
        <w:t>{BUDG}</w:t>
      </w:r>
      <w:r>
        <w:t>Comisia pentru bugete</w:t>
      </w:r>
      <w:r>
        <w:rPr>
          <w:rStyle w:val="HideTWBExt"/>
        </w:rPr>
        <w:t>&lt;/</w:t>
      </w:r>
      <w:r>
        <w:rPr>
          <w:rStyle w:val="HideTWBExt"/>
          <w:i w:val="0"/>
        </w:rPr>
        <w:t>Commission</w:t>
      </w:r>
      <w:r>
        <w:rPr>
          <w:rStyle w:val="HideTWBExt"/>
        </w:rPr>
        <w:t>&gt;</w:t>
      </w:r>
    </w:p>
    <w:p w14:paraId="65D69858" w14:textId="77777777" w:rsidR="001746D0" w:rsidRPr="00A83DC1" w:rsidRDefault="001746D0" w:rsidP="001746D0">
      <w:pPr>
        <w:pStyle w:val="LineBottom"/>
      </w:pPr>
    </w:p>
    <w:p w14:paraId="749F44A7" w14:textId="77777777" w:rsidR="002E2F2E" w:rsidRPr="00A83DC1" w:rsidRDefault="00914827">
      <w:pPr>
        <w:pStyle w:val="CoverReference"/>
      </w:pPr>
      <w:r>
        <w:rPr>
          <w:rStyle w:val="HideTWBExt"/>
          <w:b w:val="0"/>
        </w:rPr>
        <w:t>&lt;RefProc&gt;</w:t>
      </w:r>
      <w:r>
        <w:t>2025/0543</w:t>
      </w:r>
      <w:r>
        <w:rPr>
          <w:rStyle w:val="HideTWBExt"/>
          <w:b w:val="0"/>
        </w:rPr>
        <w:t>&lt;/RefProc&gt;&lt;RefTypeProc&gt;</w:t>
      </w:r>
      <w:r>
        <w:t>(COD)</w:t>
      </w:r>
      <w:r>
        <w:rPr>
          <w:rStyle w:val="HideTWBExt"/>
          <w:b w:val="0"/>
        </w:rPr>
        <w:t>&lt;/RefTypeProc&gt;</w:t>
      </w:r>
    </w:p>
    <w:p w14:paraId="1D19AEF6" w14:textId="77777777" w:rsidR="002E2F2E" w:rsidRPr="00A83DC1" w:rsidRDefault="00914827">
      <w:pPr>
        <w:pStyle w:val="CoverDate"/>
      </w:pPr>
      <w:r>
        <w:rPr>
          <w:rStyle w:val="HideTWBExt"/>
        </w:rPr>
        <w:t>&lt;Date&gt;</w:t>
      </w:r>
      <w:r>
        <w:rPr>
          <w:rStyle w:val="HideTWBInt"/>
          <w:color w:val="auto"/>
        </w:rPr>
        <w:t>{25/06/2026}</w:t>
      </w:r>
      <w:r>
        <w:t>25.6.2026</w:t>
      </w:r>
      <w:r>
        <w:rPr>
          <w:rStyle w:val="HideTWBExt"/>
        </w:rPr>
        <w:t>&lt;/Date&gt;</w:t>
      </w:r>
    </w:p>
    <w:p w14:paraId="7D59C33E" w14:textId="77777777" w:rsidR="002E2F2E" w:rsidRPr="00A83DC1" w:rsidRDefault="00914827">
      <w:pPr>
        <w:pStyle w:val="CoverDocType24a"/>
      </w:pPr>
      <w:r>
        <w:rPr>
          <w:rStyle w:val="HideTWBExt"/>
          <w:b w:val="0"/>
        </w:rPr>
        <w:t>&lt;TitreType&gt;</w:t>
      </w:r>
      <w:r>
        <w:t>EVALUARE BUGETARĂ</w:t>
      </w:r>
      <w:r>
        <w:rPr>
          <w:rStyle w:val="HideTWBExt"/>
          <w:b w:val="0"/>
        </w:rPr>
        <w:t>&lt;/TitreType&gt;</w:t>
      </w:r>
    </w:p>
    <w:p w14:paraId="77A42458" w14:textId="77777777" w:rsidR="002E2F2E" w:rsidRPr="00A83DC1" w:rsidRDefault="00914827">
      <w:pPr>
        <w:pStyle w:val="CoverNormal24a"/>
      </w:pPr>
      <w:r>
        <w:rPr>
          <w:rStyle w:val="HideTWBExt"/>
        </w:rPr>
        <w:t>&lt;CommissionResp&gt;</w:t>
      </w:r>
      <w:r>
        <w:t>a Comisiei pentru bugete</w:t>
      </w:r>
      <w:r>
        <w:rPr>
          <w:rStyle w:val="HideTWBExt"/>
        </w:rPr>
        <w:t>&lt;/CommissionResp&gt;</w:t>
      </w:r>
    </w:p>
    <w:p w14:paraId="6F1349DD" w14:textId="77777777" w:rsidR="002E2F2E" w:rsidRPr="00A83DC1" w:rsidRDefault="00914827">
      <w:pPr>
        <w:pStyle w:val="CoverNormal24a"/>
      </w:pPr>
      <w:r>
        <w:rPr>
          <w:rStyle w:val="HideTWBExt"/>
        </w:rPr>
        <w:t>&lt;CommissionInt&gt;</w:t>
      </w:r>
      <w:r>
        <w:t>destinată Comisiei pentru industrie, cercetare și energie</w:t>
      </w:r>
      <w:r>
        <w:rPr>
          <w:rStyle w:val="HideTWBExt"/>
        </w:rPr>
        <w:t>&lt;/CommissionInt&gt;</w:t>
      </w:r>
    </w:p>
    <w:p w14:paraId="520593E7" w14:textId="77777777" w:rsidR="004D18F2" w:rsidRPr="00A83DC1" w:rsidRDefault="00914827" w:rsidP="004D18F2">
      <w:pPr>
        <w:pStyle w:val="CoverNormal"/>
      </w:pPr>
      <w:r>
        <w:rPr>
          <w:rStyle w:val="HideTWBExt"/>
        </w:rPr>
        <w:t>&lt;Titre&gt;</w:t>
      </w:r>
      <w:r>
        <w:t>referitoare la propunerea de regulament al Parlamentului European și al Consiliului de instituire a programului-cadru pentru cercetare și inovare Orizont Europa pentru perioada 2028-2034, de stabilire a normelor sale de participare și de diseminare și de abrogare a Regulamentului (UE) 2021/695</w:t>
      </w:r>
    </w:p>
    <w:p w14:paraId="3B07DF0F" w14:textId="77777777" w:rsidR="002E2F2E" w:rsidRPr="00A83DC1" w:rsidRDefault="00914827">
      <w:pPr>
        <w:pStyle w:val="CoverNormal"/>
      </w:pPr>
      <w:r>
        <w:rPr>
          <w:rStyle w:val="HideTWBExt"/>
        </w:rPr>
        <w:t>&lt;/Titre&gt;</w:t>
      </w:r>
    </w:p>
    <w:p w14:paraId="380509A2" w14:textId="77777777" w:rsidR="002E2F2E" w:rsidRPr="00A83DC1" w:rsidRDefault="00914827">
      <w:pPr>
        <w:pStyle w:val="CoverNormal24a"/>
      </w:pPr>
      <w:r>
        <w:rPr>
          <w:rStyle w:val="HideTWBExt"/>
        </w:rPr>
        <w:t>&lt;DocRef&gt;</w:t>
      </w:r>
      <w:r>
        <w:t>(COM(2025)0543 – C10</w:t>
      </w:r>
      <w:r>
        <w:noBreakHyphen/>
        <w:t>0164/2025 – 2025/0543(COD))</w:t>
      </w:r>
      <w:r>
        <w:rPr>
          <w:rStyle w:val="HideTWBExt"/>
        </w:rPr>
        <w:t>&lt;/DocRef&gt;</w:t>
      </w:r>
    </w:p>
    <w:p w14:paraId="344F54C2" w14:textId="77777777" w:rsidR="00217B7E" w:rsidRPr="00A83DC1" w:rsidRDefault="00914827" w:rsidP="00217B7E">
      <w:pPr>
        <w:pStyle w:val="CoverNormal24a"/>
        <w:rPr>
          <w:rStyle w:val="HideTWBExt"/>
        </w:rPr>
      </w:pPr>
      <w:r>
        <w:t xml:space="preserve">Raportor pentru evaluare bugetară: </w:t>
      </w:r>
      <w:r>
        <w:rPr>
          <w:rStyle w:val="HideTWBExt"/>
        </w:rPr>
        <w:t>&lt;Depute&gt;</w:t>
      </w:r>
      <w:r>
        <w:t>Hélder Sousa Silva</w:t>
      </w:r>
      <w:r>
        <w:rPr>
          <w:rStyle w:val="HideTWBExt"/>
        </w:rPr>
        <w:t>&lt;/Depute&gt;</w:t>
      </w:r>
    </w:p>
    <w:p w14:paraId="62736633" w14:textId="77777777" w:rsidR="002E2F2E" w:rsidRPr="00A83DC1" w:rsidRDefault="00914827" w:rsidP="00E856D2">
      <w:pPr>
        <w:widowControl/>
        <w:tabs>
          <w:tab w:val="center" w:pos="4677"/>
        </w:tabs>
      </w:pPr>
      <w:r>
        <w:br w:type="page"/>
      </w:r>
      <w:r>
        <w:lastRenderedPageBreak/>
        <w:t>PA_LegEvaluation</w:t>
      </w:r>
    </w:p>
    <w:p w14:paraId="00249690" w14:textId="77777777" w:rsidR="002E2F2E" w:rsidRPr="00A83DC1" w:rsidRDefault="00914827" w:rsidP="00757C4C">
      <w:pPr>
        <w:pStyle w:val="PageHeadingNotTOC"/>
      </w:pPr>
      <w:r>
        <w:br w:type="page"/>
      </w:r>
      <w:r>
        <w:lastRenderedPageBreak/>
        <w:t>EVALUARE BUGETARĂ</w:t>
      </w:r>
    </w:p>
    <w:p w14:paraId="16B0B23C" w14:textId="77777777" w:rsidR="004D18F2" w:rsidRPr="00A83DC1" w:rsidRDefault="00914827" w:rsidP="004D18F2">
      <w:pPr>
        <w:pStyle w:val="NormalBold"/>
      </w:pPr>
      <w:r>
        <w:t xml:space="preserve">destinată Comisia pentru industrie, cercetare și energie referitoare la propunerea de regulament al Parlamentului European și al </w:t>
      </w:r>
      <w:r>
        <w:t>Consiliului de instituire a Programului-cadru pentru cercetare și inovare Orizont Europa pentru perioada 2028-2034, de stabilire a normelor sale de participare și de diseminare și de abrogare a Regulamentului (UE) 2021/695</w:t>
      </w:r>
    </w:p>
    <w:p w14:paraId="13B269D0" w14:textId="77777777" w:rsidR="004D18F2" w:rsidRPr="00A83DC1" w:rsidRDefault="00914827" w:rsidP="004D18F2">
      <w:pPr>
        <w:pStyle w:val="NormalBold"/>
      </w:pPr>
      <w:r>
        <w:t>(COM (2025)0543 – C10</w:t>
      </w:r>
      <w:r>
        <w:noBreakHyphen/>
        <w:t>0164/2025 – 2025/0543(COD))</w:t>
      </w:r>
    </w:p>
    <w:p w14:paraId="3E921361" w14:textId="77777777" w:rsidR="00AE79AF" w:rsidRPr="00A83DC1" w:rsidRDefault="00914827" w:rsidP="00006F54">
      <w:pPr>
        <w:pStyle w:val="Normal12a"/>
        <w:spacing w:before="480"/>
      </w:pPr>
      <w:r>
        <w:rPr>
          <w:rStyle w:val="HideTWBExt"/>
        </w:rPr>
        <w:t>&lt;Intro&gt;</w:t>
      </w:r>
      <w:r>
        <w:t>Comisia pentru bugete a efectuat, în temeiul articolului 58 din Regulamentul de procedură, o evaluare a propunerii și a constatat următoarele:</w:t>
      </w:r>
      <w:r>
        <w:rPr>
          <w:rStyle w:val="HideTWBExt"/>
        </w:rPr>
        <w:t>&lt;/Intro&gt;</w:t>
      </w:r>
    </w:p>
    <w:p w14:paraId="04FE52D4" w14:textId="77777777" w:rsidR="00CE6558" w:rsidRPr="00A83DC1" w:rsidRDefault="00914827" w:rsidP="00CE6558">
      <w:pPr>
        <w:pStyle w:val="EPComma"/>
      </w:pPr>
      <w:r>
        <w:rPr>
          <w:i/>
          <w:iCs/>
        </w:rPr>
        <w:t>Comisia pentru bugete</w:t>
      </w:r>
      <w:r>
        <w:t>,</w:t>
      </w:r>
    </w:p>
    <w:p w14:paraId="2BBC4BDC" w14:textId="77777777" w:rsidR="00217B7E" w:rsidRPr="00A83DC1" w:rsidRDefault="00914827" w:rsidP="00217B7E">
      <w:pPr>
        <w:pStyle w:val="NormalHanging12a"/>
        <w:rPr>
          <w:bCs/>
          <w:iCs/>
        </w:rPr>
      </w:pPr>
      <w:r>
        <w:t>A.</w:t>
      </w:r>
      <w:r>
        <w:tab/>
        <w:t xml:space="preserve">întrucât, potrivit raportului Draghi, </w:t>
      </w:r>
      <w:r>
        <w:t>cercetarea și inovarea (C&amp;I) reprezintă unul dintre principalii factori determinanți ai productivității și ai prosperității, care pot genera externalități pozitive și sprijini autonomia strategică și sistemul social ale UE; întrucât raportul sprijină conceperea unui program reformat și mai simplu, axat pe priorități specifice și cu un buget majorat de 200 de miliarde EUR; întrucât raportul Draghi remarcă accentul insuficient pus pe inovarea revoluționară în actualul sistem de inovare al Uniunii;</w:t>
      </w:r>
    </w:p>
    <w:p w14:paraId="71B6FD47" w14:textId="77777777" w:rsidR="00217B7E" w:rsidRPr="00A83DC1" w:rsidRDefault="00914827" w:rsidP="00217B7E">
      <w:pPr>
        <w:pStyle w:val="NormalHanging12a"/>
      </w:pPr>
      <w:r>
        <w:t>B.</w:t>
      </w:r>
      <w:r>
        <w:tab/>
        <w:t>întrucât evaluarea intermediară a programului Orizont Europa</w:t>
      </w:r>
      <w:r>
        <w:rPr>
          <w:vertAlign w:val="superscript"/>
        </w:rPr>
        <w:footnoteReference w:id="1"/>
      </w:r>
      <w:r>
        <w:t xml:space="preserve"> confirmă valoarea sa adăugată europeană ridicată, pertinența și eficacitatea sa; întrucât evaluarea subliniază că, deși rata medie de succes a crescut de la 12 % în cadrul programului Orizont 2020 la 16,4 % în cadrul programului Orizont Europa (și de la 9 % la 14 % în țările vizate de extinderea participării), numai 30 % din propunerile de înaltă calitate au putut fi finanțate și ar fi fost necesară o sumă suplimentară de 81,8 miliarde EUR pentru a le finanța pe toate;</w:t>
      </w:r>
    </w:p>
    <w:p w14:paraId="141F7C24" w14:textId="77777777" w:rsidR="00755CD7" w:rsidRPr="00A83DC1" w:rsidRDefault="00914827" w:rsidP="00E00D3E">
      <w:pPr>
        <w:pStyle w:val="NormalHanging12a"/>
      </w:pPr>
      <w:r>
        <w:t>C.</w:t>
      </w:r>
      <w:r>
        <w:tab/>
        <w:t>întrucât Declarația de la Budapesta reafirmă importanța alocării a 3 % din PIB pentru cercetare și dezvoltare (C&amp;D) până în 2030; întrucât, în cei 26 de ani de la Declarația de la Barcelona, doar câteva state membre au atins acest obiectiv; întrucât programul Orizont Europa poate sprijini atingerea acestui obiectiv și poate mobiliza fonduri suplimentare de la entități publice și private;</w:t>
      </w:r>
    </w:p>
    <w:p w14:paraId="16EA218F" w14:textId="77777777" w:rsidR="00217B7E" w:rsidRPr="00A83DC1" w:rsidRDefault="00914827" w:rsidP="00217B7E">
      <w:pPr>
        <w:pStyle w:val="NormalHanging12a"/>
      </w:pPr>
      <w:bookmarkStart w:id="0" w:name="_Hlk224037259"/>
      <w:r>
        <w:t>D.</w:t>
      </w:r>
      <w:r>
        <w:tab/>
        <w:t>întrucât raportul Letta propune „o nouă a cincea libertate pentru a consolida cercetarea, inovarea și educația pe piața unică”, care necesită un Spațiu european de cercetare (SEC) consolidat și pe deplin operațional; întrucât programul Orizont Europa ar trebui să contribuie la asigurarea acestei noi libertăți, de exemplu prin sprijinirea mobilității cercetătorilor în cadrul SEC;</w:t>
      </w:r>
    </w:p>
    <w:p w14:paraId="2F16326F" w14:textId="77777777" w:rsidR="00217B7E" w:rsidRPr="00A83DC1" w:rsidRDefault="00914827" w:rsidP="00217B7E">
      <w:pPr>
        <w:pStyle w:val="NormalHanging12a"/>
      </w:pPr>
      <w:r>
        <w:t>E.</w:t>
      </w:r>
      <w:r>
        <w:tab/>
        <w:t xml:space="preserve">întrucât este important să se asigure că mobilizarea resurselor și creșterea investițiilor în </w:t>
      </w:r>
      <w:r>
        <w:lastRenderedPageBreak/>
        <w:t>C&amp;I nu provin exclusiv din sectorul public, care ar trebui să acționeze ca o pârghie pentru mobilizarea investițiilor private, făcând domeniile de investiții în C&amp;I atractive pentru întreprinderi, inclusiv pentru întreprinderile mici și mijlocii;</w:t>
      </w:r>
    </w:p>
    <w:p w14:paraId="01998ABE" w14:textId="77777777" w:rsidR="00217B7E" w:rsidRPr="00A83DC1" w:rsidRDefault="00914827" w:rsidP="00217B7E">
      <w:pPr>
        <w:pStyle w:val="NormalHanging12a"/>
      </w:pPr>
      <w:r>
        <w:t>F.</w:t>
      </w:r>
      <w:r>
        <w:tab/>
        <w:t>întrucât disparitățile persistente de performanță în materie de C&amp;I continuă să limiteze competitivitatea generală a Uniunii; întrucât este necesară o convergență consolidată în cadrul SEC pentru a reduce decalajul în materie de inovare și pentru a debloca excelența neexploatată în toate statele membre;</w:t>
      </w:r>
    </w:p>
    <w:p w14:paraId="7A6C5A42" w14:textId="77777777" w:rsidR="00217B7E" w:rsidRPr="00A83DC1" w:rsidRDefault="00914827" w:rsidP="00217B7E">
      <w:pPr>
        <w:pStyle w:val="NormalHanging12a"/>
      </w:pPr>
      <w:r>
        <w:t>G.</w:t>
      </w:r>
      <w:r>
        <w:tab/>
        <w:t>întrucât războiul la scară largă în curs din Ucraina demonstrează importanța tehnologiilor cu dublă utilizare;</w:t>
      </w:r>
    </w:p>
    <w:bookmarkEnd w:id="0"/>
    <w:p w14:paraId="29CFA1DF" w14:textId="77777777" w:rsidR="00217B7E" w:rsidRPr="00A83DC1" w:rsidRDefault="00914827" w:rsidP="00217B7E">
      <w:pPr>
        <w:pStyle w:val="NormalHanging12a"/>
      </w:pPr>
      <w:r>
        <w:t>1.</w:t>
      </w:r>
      <w:r>
        <w:tab/>
        <w:t>consideră că pachetul financiar al programului ar trebui majorat de la 154 de miliarde EUR la 200 de miliarde EUR (sau 177 de miliarde EUR la prețurile din 2025) pentru a da competitivității europene impulsul necesar inovării în sectoare-cheie, pentru a sprijini baza de cercetare a UE și pentru a da noi soluții la problemele mondiale ale societății, pentru a asigura niveluri adecvate de finanțare pentru toate prioritățile și obiectivele programului, sprijinind obiectivul de a aloca 3 % din PIB cheltuielilo</w:t>
      </w:r>
      <w:r>
        <w:t>r pentru C&amp;D până în 2030;</w:t>
      </w:r>
    </w:p>
    <w:p w14:paraId="1D81ABD3" w14:textId="77777777" w:rsidR="00217B7E" w:rsidRPr="00A83DC1" w:rsidRDefault="00914827" w:rsidP="00217B7E">
      <w:pPr>
        <w:pStyle w:val="NormalHanging12a"/>
      </w:pPr>
      <w:r>
        <w:t>2.</w:t>
      </w:r>
      <w:r>
        <w:tab/>
        <w:t>consideră că sunt necesare resurse umane, tehnice și IT suficiente încă de la început și pe parcursul întregii perioade de programare a viitorului cadru financiar multianual 2028-2034 (CFM) pentru a asigura punerea în aplicare eficace a programului Orizont Europa;</w:t>
      </w:r>
    </w:p>
    <w:p w14:paraId="12A97FE4" w14:textId="77777777" w:rsidR="00217B7E" w:rsidRPr="00A83DC1" w:rsidRDefault="00914827" w:rsidP="00217B7E">
      <w:pPr>
        <w:pStyle w:val="NormalHanging12a"/>
        <w:rPr>
          <w:bCs/>
          <w:iCs/>
        </w:rPr>
      </w:pPr>
      <w:r>
        <w:t>3.</w:t>
      </w:r>
      <w:r>
        <w:tab/>
        <w:t>consideră că C&amp;I sunt principalii factori determinanți ai competitivității pe termen lung; menționează așadar că intervențiile de la rubrica 2 din următorul cadru financiar, în general, și din Orizont Europa, în special, ar trebui să fie direcționate, printre altele, către eliminarea decalajului în materie de inovare dintre UE și concurenții de la nivel mondial, pentru a consolida capacitatea competitivă a Uniunii Europene, asigurând o tranziție lină de la excelența în cercetare la soluții care pot fi come</w:t>
      </w:r>
      <w:r>
        <w:t>rcializate și oferind întreprinderilor europene avantajul tehnologic necesar pentru a prospera într-un context mondial de concurență deschisă;</w:t>
      </w:r>
    </w:p>
    <w:p w14:paraId="0B9C1730" w14:textId="77777777" w:rsidR="00217B7E" w:rsidRPr="00A83DC1" w:rsidRDefault="00914827" w:rsidP="00217B7E">
      <w:pPr>
        <w:pStyle w:val="NormalHanging12a"/>
        <w:rPr>
          <w:bCs/>
          <w:iCs/>
        </w:rPr>
      </w:pPr>
      <w:r>
        <w:t>4.</w:t>
      </w:r>
      <w:r>
        <w:tab/>
        <w:t>consideră că ar trebui direcționate resurse importante către tehnologii de securitate, cu dublă utilizare și legate de apărare și către proiecte de C&amp;I pentru a consolida suveranitatea și reziliența tehnologică; ia act de propunerea Comisiei de program specific pentru cercetarea în domeniul apărării, ca parte a Fondului european pentru competitivitate; salută faptul că programul Orizont Europa rămâne dedicat sprijinirii cercetării civile și celei cu dublă utilizare;</w:t>
      </w:r>
    </w:p>
    <w:p w14:paraId="7E32393E" w14:textId="77777777" w:rsidR="00217B7E" w:rsidRPr="00A83DC1" w:rsidRDefault="00914827" w:rsidP="00217B7E">
      <w:pPr>
        <w:pStyle w:val="NormalHanging12a"/>
      </w:pPr>
      <w:r>
        <w:t>5.</w:t>
      </w:r>
      <w:r>
        <w:tab/>
        <w:t>subliniază că defalcarea bugetului de la articolul 6 include doar 7 sume orientative la nivel de post bugetar, comparativ cu 15 în perioada 2021-2027; își exprimă îngrijorarea cu privire la lipsa unui buget previzibil pentru multe acțiuni – în special în cadrul pilonilor I și III – în care beneficiarii nu dispun de un pachet financiar clar; observă cu îngrijorare că acest lucru ar oferi Comisiei o mare libertate de a schimba și de a decide cu privire la prioritățile în materie de cheltuieli în timpul execu</w:t>
      </w:r>
      <w:r>
        <w:t xml:space="preserve">ției, fără nicio valoare adăugată pentru cercetătorii, inovatorii și IMM-urile care beneficiază de program; recomandă stabilirea unor subpachete orientative pentru fiecare pilon și pentru fiecare </w:t>
      </w:r>
      <w:r>
        <w:lastRenderedPageBreak/>
        <w:t>subprogram în actul de bază pentru o mai bună previzibilitate pe termen lung, transparență și responsabilitate democratică;</w:t>
      </w:r>
    </w:p>
    <w:p w14:paraId="67CAF130" w14:textId="77777777" w:rsidR="00217B7E" w:rsidRPr="00A83DC1" w:rsidRDefault="00914827" w:rsidP="00217B7E">
      <w:pPr>
        <w:pStyle w:val="NormalHanging12a"/>
      </w:pPr>
      <w:r>
        <w:t>6.</w:t>
      </w:r>
      <w:r>
        <w:tab/>
        <w:t>admite că Institutul European de Inovare și Tehnologie (EIT) a oblăduit mai multe generații de comunități de cunoaștere și inovare (CCI), valorificând forța sistemului de C&amp;I din UE; consideră că EIT ar trebui să servească drept catalizator pentru succesul acestor comunități prin schimbul de bune practici, sprijinirea administrării fondurilor publice și crearea de valoare adăugată între ele; solicită să se aloce acestui Institut resursele financiare și umane adecvate pentru a pentru a-și îndeplini viitorul</w:t>
      </w:r>
      <w:r>
        <w:t xml:space="preserve"> mandat și sarcinile care i-au fost încredințate;</w:t>
      </w:r>
    </w:p>
    <w:p w14:paraId="6F93AD67" w14:textId="77777777" w:rsidR="00217B7E" w:rsidRPr="00A83DC1" w:rsidRDefault="00914827" w:rsidP="00217B7E">
      <w:pPr>
        <w:pStyle w:val="NormalHanging12a"/>
        <w:rPr>
          <w:bCs/>
          <w:iCs/>
        </w:rPr>
      </w:pPr>
      <w:r>
        <w:t>7.</w:t>
      </w:r>
      <w:r>
        <w:tab/>
        <w:t xml:space="preserve">consideră că Orizont Europa ar trebui să rămână un program pe deplin autonom și independent, totodată coerent și complementar cu Fondul european pentru competitivitate prin alinierea priorităților strategice, fără a i se modifica structura de guvernanță, criteriile de evaluare bazate pe excelență și reglementarea independentă; consideră totodată că este imperativ ca Orizont Europa să rămână un program coordonat cu orice alt program al UE care ar putea avea legătură cu inovarea și cercetarea, de la formare </w:t>
      </w:r>
      <w:r>
        <w:t>și sănătate la atragerea de investiții sau stimularea capacității competitive a întreprinderilor noastre; ia act de sinergiile propuse între programul Orizont Europa și Fondul european pentru competitivitate; împărtășește opinia că cele două programe ar trebui să colaboreze îndeaproape pentru ca bugetul UE să poată sprijini inovatorii europeni, de la cercetarea de bază până la etapa de comercializare; subliniază, în acest sens, că orice contribuții transversale între programe trebuie să se reflecte fidel în</w:t>
      </w:r>
      <w:r>
        <w:t xml:space="preserve"> fișa de performanță a programului; relevă că o mai mare complementaritate între programe nu trebuie să aibă ca efect o complexitate disproporționată pentru beneficiari; solicită ca finanțarea UE să fie mai transparentă, mai accesibilă și mai coerentă, pentru a facilita absorbția și a maximiza impactul investițiilor;</w:t>
      </w:r>
    </w:p>
    <w:p w14:paraId="0F704900" w14:textId="77777777" w:rsidR="00217B7E" w:rsidRPr="00A83DC1" w:rsidRDefault="00914827" w:rsidP="00217B7E">
      <w:pPr>
        <w:pStyle w:val="NormalHanging12a"/>
        <w:rPr>
          <w:bCs/>
          <w:iCs/>
        </w:rPr>
      </w:pPr>
      <w:r>
        <w:t>8.</w:t>
      </w:r>
      <w:r>
        <w:tab/>
        <w:t>subliniază cu îngrijorare decalajul structural persistent de C&amp;I dintre statele membre și solicită intensificarea eforturilor de reducere a acestuia în UE;</w:t>
      </w:r>
    </w:p>
    <w:p w14:paraId="61AD2CC9" w14:textId="77777777" w:rsidR="00217B7E" w:rsidRPr="00A83DC1" w:rsidRDefault="00914827" w:rsidP="00217B7E">
      <w:pPr>
        <w:pStyle w:val="NormalHanging12a"/>
      </w:pPr>
      <w:r>
        <w:t>9.</w:t>
      </w:r>
      <w:r>
        <w:tab/>
        <w:t xml:space="preserve">admite că flexibilitatea este o caracteristică importantă a arhitecturii CFM 2028-2034, astfel cum a fost propus de Comisie; reamintește însă necesitatea de a asigura resurse anuale previzibile și suficiente pentru programul Orizont Europa, având în vedere caracterul pe termen lung al proiectelor de C&amp;I; consideră că o alocare bugetară orientativă pentru fiecare post al programului ar asigura previzibilitatea pentru beneficiarii finali, fără a priva autoritatea bugetară de prerogativele sale; </w:t>
      </w:r>
    </w:p>
    <w:p w14:paraId="4B9C062B" w14:textId="77777777" w:rsidR="00217B7E" w:rsidRPr="00A83DC1" w:rsidRDefault="00914827" w:rsidP="00217B7E">
      <w:pPr>
        <w:pStyle w:val="NormalHanging12a"/>
      </w:pPr>
      <w:r>
        <w:t>10.</w:t>
      </w:r>
      <w:r>
        <w:tab/>
      </w:r>
      <w:r>
        <w:t>regretă lipsa unei nomenclaturi bugetare orientative suficient de detaliate propuse în fișa financiară legislativă și digitală (LFDS), care include doar 5 linii bugetare, comparativ cu 44 în perioada 2021-2027; consideră că acest lucru va împiedica supravegherea, previzibilitatea și capacitatea autorității bugetare de a orienta cu precizie prioritățile de politică în cadrul procedurii bugetare anuale; își exprimă îngrijorarea despre o arhitectură bugetară prea agregată care ar face mult prea ușoare transfer</w:t>
      </w:r>
      <w:r>
        <w:t xml:space="preserve">urile care nu fac obiectul deciziei autorității bugetare; recomandă, prin urmare, un nomenclator mai detaliat, care să reflecte în mod corespunzător obiectivele și structura programului și să sporească transparența, responsabilitatea și controlul parlamentar; reamintește că nomenclatorul bugetar trebuie să fie conform cu articolul 47 alineatul (2) din </w:t>
      </w:r>
      <w:r>
        <w:lastRenderedPageBreak/>
        <w:t>Regulamentul financiar</w:t>
      </w:r>
      <w:r>
        <w:rPr>
          <w:rStyle w:val="FootnoteReference"/>
        </w:rPr>
        <w:footnoteReference w:id="2"/>
      </w:r>
      <w:r>
        <w:t xml:space="preserve">, care prevede că fiecare titlu trebuie să corespundă unui domeniu de politică, iar un capitol corespunde, de regulă, unui program sau unei activități, respectând principiile specificității, bunei gestiuni financiare și transparenței; insistă asupra faptului că nomenclatorul bugetar face parte integrantă din poziția de negociere a Parlamentului și trebuie discutat în cadrul negocierilor interinstituționale; consideră, în acest sens, că fișa financiară legislativă și digitală revizuită trebuie să facă parte </w:t>
      </w:r>
      <w:r>
        <w:t>din acordul politic final;</w:t>
      </w:r>
    </w:p>
    <w:p w14:paraId="3BA56FB8" w14:textId="77777777" w:rsidR="00205307" w:rsidRPr="00A83DC1" w:rsidRDefault="00914827" w:rsidP="00205307">
      <w:pPr>
        <w:pStyle w:val="NormalHanging12a"/>
        <w:rPr>
          <w:bCs/>
          <w:iCs/>
        </w:rPr>
      </w:pPr>
      <w:r>
        <w:t>11.</w:t>
      </w:r>
      <w:r>
        <w:tab/>
        <w:t>insistă pe ideea că o legislație suficient de detaliată și solidă, cu un nivel adecvat de guvernanță, este o condiție pentru un proces decizional bugetar adecvat și pentru un control parlamentar corespunzător pe parcursul execuției bugetului; consideră că un „mecanism de coordonare” construit necorespunzător nu poate compensa nicio pierdere a competențelor legislative sau bugetare ale Parlamentului și nu este adecvat pentru coordonarea unui program care să sprijine cercetarea de vârf în știință, tehnologie</w:t>
      </w:r>
      <w:r>
        <w:t xml:space="preserve"> și inovare – în special pentru că ciclurile de inovare din anumite sectoare strategice sunt măsurate în săptămâni sau luni, iar mecanismul de coordonare în ani;</w:t>
      </w:r>
    </w:p>
    <w:p w14:paraId="54BBC65A" w14:textId="77777777" w:rsidR="00205307" w:rsidRPr="00A83DC1" w:rsidRDefault="00914827" w:rsidP="00205307">
      <w:pPr>
        <w:pStyle w:val="NormalHanging12a"/>
      </w:pPr>
      <w:r>
        <w:t>12.</w:t>
      </w:r>
      <w:r>
        <w:tab/>
        <w:t>consideră că orice opțiuni importante de politică, inclusiv prioritățile în materie de cheltuieli și alocările financiare trebuie stabilite în actul de bază al Orizont Europa, cu respectarea deplină a prerogativelor Parlamentului în calitate de colegiuitor și de componentă a autorității bugetare a UE; reamintește că orice elemente neesențiale care implică opțiuni de politică ce nu sunt incluse în actul de bază trebuie adoptate prin acte delegate, inclusiv programele de lucru;</w:t>
      </w:r>
    </w:p>
    <w:p w14:paraId="42B542BC" w14:textId="77777777" w:rsidR="00205307" w:rsidRPr="00A83DC1" w:rsidRDefault="00914827" w:rsidP="00205307">
      <w:pPr>
        <w:pStyle w:val="NormalHanging12a"/>
      </w:pPr>
      <w:r>
        <w:t>13.</w:t>
      </w:r>
      <w:r>
        <w:tab/>
        <w:t>subliniază că aplicarea și dezvoltarea programului ar trebui să fie transparente, respectând în același timp valorile europene și respectarea drepturilor omului și a dreptului internațional, susținute de instituții democratice;</w:t>
      </w:r>
    </w:p>
    <w:p w14:paraId="3ECE108C" w14:textId="77777777" w:rsidR="00205307" w:rsidRPr="00A83DC1" w:rsidRDefault="00914827" w:rsidP="00205307">
      <w:pPr>
        <w:pStyle w:val="NormalHanging12a"/>
      </w:pPr>
      <w:r>
        <w:t>14.</w:t>
      </w:r>
      <w:r>
        <w:tab/>
        <w:t>reamintește că propunerea include posibilitatea de a recurge la o garanție bugetară; subliniază că implicațiile bugetare ale operațiunilor de împrumut și de credit din programul-cadru Orizont Europa trebuie să fie clar identificate, prezentate în mod transparent și monitorizate atent pe parcursul întregii perioade a CFM; insistă că toate deciziile legate de astfel de operațiuni trebuie să respecte pe deplin competențele colegiuitorilor și prerogativele autorității bugetare; evidențiază că astfel de instrum</w:t>
      </w:r>
      <w:r>
        <w:t>ente ar trebui utilizate strategic pentru a maximiza impactul, eficiența și sustenabilitatea finanțării din partea UE, asigurând, în același timp, transparența deplină, buna gestionare a riscurilor și respectarea prerogativelor autorității bugetare; reamintește că interesele financiare ale UE ar trebui protejate și prin garantarea accesului deplin la date care pot fi auditate, a drepturilor de investigare ale Oficiului European de Luptă Antifraudă și ale Parchetului European, precum și a drepturilor de audi</w:t>
      </w:r>
      <w:r>
        <w:t>t ale Curții de Conturi Europene;</w:t>
      </w:r>
    </w:p>
    <w:p w14:paraId="025D9412" w14:textId="77777777" w:rsidR="00205307" w:rsidRPr="00A83DC1" w:rsidRDefault="00914827" w:rsidP="00205307">
      <w:pPr>
        <w:pStyle w:val="NormalHanging12a"/>
      </w:pPr>
      <w:r>
        <w:t>15.</w:t>
      </w:r>
      <w:r>
        <w:tab/>
        <w:t xml:space="preserve">subliniază că Consiliul European pentru Inovare (CEI), în special prin intermediul Fondului CEI, inclusiv al Fondului „Scale-up Europe”, servește obiectivului de a </w:t>
      </w:r>
      <w:r>
        <w:lastRenderedPageBreak/>
        <w:t>sprijini start-upurile și întreprinderile europene în curs de extindere din domeniul tehnologiei profunde care oferă valoare strategică pe termen lung pentru UE, în conformitate cu obiectivele raportului Draghi; reamintește că CEI este un instrument unic, care reunește finanțare de la bugetul UE și investitori privați pentru a permite întreprind</w:t>
      </w:r>
      <w:r>
        <w:t>erilor să aibă acces la capital substanțial în etapele de înființare, creștere și extindere; solicită insistent ca Fondul „Scale-up Europe” să își continue misiunea în cadrul Consiliului European pentru Inovare în următorul CFM; subliniază că trebuie instituite garanții pentru a asigura un control bugetar solid și pentru a evita prejudicierea reputației bugetului UE; ia act aici de faptul că, având în vedere caracterul unic al CEI și că acesta operează pe o piață mondială a capitalului de risc cu evoluție r</w:t>
      </w:r>
      <w:r>
        <w:t>apidă, în care pierderile importante de capital sunt inevitabile, ar putea fi prevăzute derogări specifice de la Regulamentul financiar, acolo unde este necesar, în coordonare cu Comisia pentru bugete și Comisia pentru control bugetar; subliniază că aceste derogări trebuie justificate temeinic și nu ar trebui să submineze prerogativele Parlamentului în calitate de autoritate bugetară; reamintește că este important să se investească în sectoarele strategice europene, inclusiv în inteligența artificială, tehn</w:t>
      </w:r>
      <w:r>
        <w:t>ologiile cuantice, de apărare, cele du dublă utilizare și tehnologiile curate, pentru a stimula competitivitatea și autonomia strategică europeană;</w:t>
      </w:r>
    </w:p>
    <w:p w14:paraId="5B061568" w14:textId="77777777" w:rsidR="00205307" w:rsidRPr="00A83DC1" w:rsidRDefault="00914827" w:rsidP="00205307">
      <w:pPr>
        <w:pStyle w:val="NormalHanging12a"/>
        <w:rPr>
          <w:bCs/>
          <w:iCs/>
        </w:rPr>
      </w:pPr>
      <w:r>
        <w:t>16.</w:t>
      </w:r>
      <w:r>
        <w:tab/>
        <w:t>subliniază necesitatea de a sprijini întreprinderile în curs de extindere și de a le ajuta pe cele nou-înființate să treacă de perioadele critice, în care eșecul comercial atrage adesea falimentul sau la mutarea în afara UE; subliniază că Orizont Europa ar trebui să plaseze C&amp;I în centrul strategiei economice și de investiții a UE, iar Fondul european pentru competitivitate ar trebui să se concentreze pe accelerarea dezvoltării, a implementării și a competitivității industriale și pe transformarea campioni</w:t>
      </w:r>
      <w:r>
        <w:t>lor în C&amp;I din Europa în întreprinderi în curs de extindere și cu implementare la scară europeană;</w:t>
      </w:r>
    </w:p>
    <w:p w14:paraId="137030B2" w14:textId="77777777" w:rsidR="00205307" w:rsidRPr="00A83DC1" w:rsidRDefault="00914827" w:rsidP="00205307">
      <w:pPr>
        <w:pStyle w:val="NormalHanging12a"/>
      </w:pPr>
      <w:r>
        <w:t>17.</w:t>
      </w:r>
      <w:r>
        <w:tab/>
        <w:t xml:space="preserve">reamintește că programul Orizont Europa ar trebui să includă atât o abordare „deschisă” (ascendentă), cât și o abordare „de politici publice” (descendentă), în strânsă coordonare și sinergie cu Fondul european pentru competitivitate și cu componentele sale de politică, în special în ceea ce privește tehnologiile cu dublă utilizare, care ar putea fi extinse în cadrul FEC; subliniază că o astfel de sinergie și concentrarea pe eficiență și eficacitate sunt indispensabile pentru respectarea principiului bunei </w:t>
      </w:r>
      <w:r>
        <w:t>gestiuni financiare;</w:t>
      </w:r>
    </w:p>
    <w:p w14:paraId="5208D516" w14:textId="77777777" w:rsidR="00205307" w:rsidRPr="00A83DC1" w:rsidRDefault="00914827" w:rsidP="00205307">
      <w:pPr>
        <w:pStyle w:val="NormalHanging12a"/>
        <w:rPr>
          <w:bCs/>
          <w:iCs/>
        </w:rPr>
      </w:pPr>
      <w:r>
        <w:t>18.</w:t>
      </w:r>
      <w:r>
        <w:tab/>
        <w:t>reamintește că procedurile administrative trebuie simplificate pentru toți solicitanții, în special pentru proiectele mai mici sau medii, pentru a asigura o mai bună participare a IMM-urilor și a întreprinderilor nou-înființate, inclusiv reducerea sarcinilor de depunere a cererilor și plata mai rapidă a granturilor; subliniază, în acest sens, că programul ar trebui să faciliteze participarea tuturor tipurilor de părți interesate, în special a nou-veniților, a IMM-urilor, a întreprinderilor nou-înființate ș</w:t>
      </w:r>
      <w:r>
        <w:t>i a celor inovatoare în curs de extindere, a mediului academic și a noilor grupuri-țintă, în special prin punctele naționale de contact, care să interacționeze cu structurile de sprijin relevante din cadrul altor programe ale UE;</w:t>
      </w:r>
    </w:p>
    <w:p w14:paraId="37E37E37" w14:textId="77777777" w:rsidR="00205307" w:rsidRPr="00A83DC1" w:rsidRDefault="00914827" w:rsidP="00205307">
      <w:pPr>
        <w:pStyle w:val="NormalHanging12a"/>
      </w:pPr>
      <w:r>
        <w:t>19.</w:t>
      </w:r>
      <w:r>
        <w:tab/>
        <w:t xml:space="preserve">evidențiază că utilizarea veniturilor alocate externe în cadrul programului Orizont Europa trebuie să fie clar delimitată, pe deplin transparentă și supusă unui control parlamentar eficace; ia act, în acest sens, de dispozițiile referitoare la contribuțiile financiare ale oricărei țări terțe participante și ale altor donatori; subliniază că, dacă </w:t>
      </w:r>
      <w:r>
        <w:lastRenderedPageBreak/>
        <w:t>comisia competentă are în vedere modificarea dispozițiilor referitoare la veniturile alocate externe, acest lucru ar trebui să se facă în coordonare cu Comisia pe</w:t>
      </w:r>
      <w:r>
        <w:t>ntru bugete și cu celelalte comisii, pentru a asigura o abordare coerentă;</w:t>
      </w:r>
    </w:p>
    <w:p w14:paraId="2D6DD9ED" w14:textId="77777777" w:rsidR="00205307" w:rsidRPr="00A83DC1" w:rsidRDefault="00914827" w:rsidP="00205307">
      <w:pPr>
        <w:pStyle w:val="NormalHanging12a"/>
      </w:pPr>
      <w:r>
        <w:t>20.</w:t>
      </w:r>
      <w:r>
        <w:tab/>
        <w:t>reamintește propunerea de regulament de instituire a unui cadru de urmărire a cheltuielilor bugetare și de performanță a bugetului și de stabilire a altor norme orizontale pentru programele și activitățile Uniunii („Regulamentul privind performanța bugetului”), care stabilește o listă unică sintetizată de indicatori de performanță și dispoziții privind monitorizarea și evaluarea, unele dintre acestea fiind relevante pentru programul Orizont Europa; reamintește că aplicarea principiilor orizontale ar trebui</w:t>
      </w:r>
      <w:r>
        <w:t xml:space="preserve"> să fie, atunci când este fezabil și adecvat, în conformitate cu normele sectoriale specifice, astfel cum se prevede în reformarea Regulamentului financiar, pentru a se asigura că acestea sunt aplicate într-un mod care ține corect seama de particularitățile programelor sectoriale; evidențiază că orice modificare a arhitecturii, a obiectivelor și a acțiunilor eligibile în cadrul programului va trebui să se reflecte în mod corespunzător în dispozițiile pertinente și în anexa I la Regulamentul privind performa</w:t>
      </w:r>
      <w:r>
        <w:t>nța bugetului, ca parte a procesului de modificare și negociere a regulamentului respectiv; evidențiază că, deși legislația sectorială poate completa Regulamentul privind performanța, de exemplu în ceea ce privește evaluările programelor, ar trebui să rămână coerentă cu dispozițiile din respectivul regulament;</w:t>
      </w:r>
    </w:p>
    <w:p w14:paraId="6A4E19AF" w14:textId="77777777" w:rsidR="00205307" w:rsidRPr="00A83DC1" w:rsidRDefault="00914827" w:rsidP="00205307">
      <w:pPr>
        <w:ind w:left="567" w:hanging="567"/>
      </w:pPr>
      <w:r>
        <w:t>21.</w:t>
      </w:r>
      <w:r>
        <w:tab/>
        <w:t>consideră că dezangajările din domeniul cercetării ar trebui reutilizate integral pentru a contribui la consolidarea capacității de cercetare a UE, fără a limita în mod artificial sumele, ceea ce nu este prevăzut în Regulamentul financiar; consideră totodată că restituirile din instrumentele financiare ar trebui să rămână disponibile în cadrul programului Orizont Europa.</w:t>
      </w:r>
    </w:p>
    <w:p w14:paraId="513C3E71" w14:textId="77777777" w:rsidR="00C8553D" w:rsidRPr="00A83DC1" w:rsidRDefault="00C8553D" w:rsidP="00C8553D"/>
    <w:p w14:paraId="0F345629" w14:textId="77777777" w:rsidR="00755CD7" w:rsidRPr="00A83DC1" w:rsidRDefault="00755CD7" w:rsidP="00C8553D">
      <w:pPr>
        <w:sectPr w:rsidR="00755CD7" w:rsidRPr="00A83DC1" w:rsidSect="004D5760">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14:paraId="65DA25F4" w14:textId="77777777" w:rsidR="00CE73B2" w:rsidRPr="00A83DC1" w:rsidRDefault="00914827" w:rsidP="00825069">
      <w:pPr>
        <w:pStyle w:val="Normal12a"/>
        <w:rPr>
          <w:rStyle w:val="HideTWBExt"/>
          <w:rFonts w:ascii="Times New Roman" w:hAnsi="Times New Roman"/>
          <w:noProof w:val="0"/>
          <w:vanish w:val="0"/>
          <w:color w:val="auto"/>
          <w:sz w:val="24"/>
        </w:rPr>
      </w:pPr>
      <w:r>
        <w:lastRenderedPageBreak/>
        <w:t>În cadrul evaluării bugetare, Comisia pentru bugete prezintă, de asemenea, următoarele amendamente la proiectul de propunere.</w:t>
      </w:r>
    </w:p>
    <w:p w14:paraId="7CEEF148" w14:textId="77777777" w:rsidR="000F307C" w:rsidRPr="00A83DC1" w:rsidRDefault="00914827" w:rsidP="00E63984">
      <w:pPr>
        <w:pStyle w:val="AmNumberTabs"/>
      </w:pPr>
      <w:r>
        <w:rPr>
          <w:rStyle w:val="HideTWBExt"/>
        </w:rPr>
        <w:t>&lt;RepeatBlock-Amend&gt;</w:t>
      </w:r>
      <w:bookmarkStart w:id="1" w:name="_Hlk203492957"/>
    </w:p>
    <w:p w14:paraId="75AB49B8" w14:textId="77777777" w:rsidR="000F307C" w:rsidRPr="00A83DC1" w:rsidRDefault="00914827" w:rsidP="00E63984">
      <w:pPr>
        <w:pStyle w:val="AmNumberTabs"/>
      </w:pPr>
      <w:r>
        <w:rPr>
          <w:rStyle w:val="HideTWBExt"/>
        </w:rPr>
        <w:t>&lt;Amend&gt;</w:t>
      </w:r>
      <w:r>
        <w:t>Amendamentul</w:t>
      </w:r>
      <w:r>
        <w:tab/>
      </w:r>
      <w:r>
        <w:tab/>
      </w:r>
      <w:r>
        <w:rPr>
          <w:rStyle w:val="HideTWBExt"/>
        </w:rPr>
        <w:t>&lt;NumAm&gt;</w:t>
      </w:r>
      <w:r>
        <w:t>1</w:t>
      </w:r>
      <w:r>
        <w:rPr>
          <w:rStyle w:val="HideTWBExt"/>
        </w:rPr>
        <w:t>&lt;/NumAm&gt;</w:t>
      </w:r>
    </w:p>
    <w:p w14:paraId="47380DB5" w14:textId="77777777" w:rsidR="000F307C" w:rsidRPr="00A83DC1" w:rsidRDefault="00914827" w:rsidP="000F307C">
      <w:pPr>
        <w:pStyle w:val="Normal12a"/>
        <w:spacing w:after="0"/>
        <w:rPr>
          <w:b/>
        </w:rPr>
      </w:pPr>
      <w:r>
        <w:rPr>
          <w:rStyle w:val="HideTWBExt"/>
        </w:rPr>
        <w:t>&lt;DocAmend&gt;</w:t>
      </w:r>
      <w:r>
        <w:rPr>
          <w:b/>
        </w:rPr>
        <w:t xml:space="preserve">Propunere de </w:t>
      </w:r>
      <w:r>
        <w:rPr>
          <w:b/>
        </w:rPr>
        <w:t>regulament</w:t>
      </w:r>
      <w:r>
        <w:rPr>
          <w:rStyle w:val="HideTWBExt"/>
        </w:rPr>
        <w:t>&lt;/DocAmend&gt;</w:t>
      </w:r>
    </w:p>
    <w:p w14:paraId="4C72A7F4" w14:textId="77777777" w:rsidR="000F307C" w:rsidRPr="00A83DC1" w:rsidRDefault="00914827" w:rsidP="000F307C">
      <w:pPr>
        <w:pStyle w:val="Normal12a"/>
        <w:spacing w:after="0"/>
        <w:rPr>
          <w:b/>
        </w:rPr>
      </w:pPr>
      <w:r>
        <w:rPr>
          <w:rStyle w:val="HideTWBExt"/>
        </w:rPr>
        <w:t>&lt;Article&gt;</w:t>
      </w:r>
      <w:r>
        <w:rPr>
          <w:b/>
        </w:rPr>
        <w:t>Considerentul 34</w:t>
      </w:r>
      <w:r>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D908F0" w14:paraId="161641BF" w14:textId="77777777">
        <w:trPr>
          <w:jc w:val="center"/>
        </w:trPr>
        <w:tc>
          <w:tcPr>
            <w:tcW w:w="9750" w:type="dxa"/>
            <w:gridSpan w:val="2"/>
          </w:tcPr>
          <w:p w14:paraId="65A21541" w14:textId="77777777" w:rsidR="000F307C" w:rsidRPr="00A83DC1" w:rsidRDefault="000F307C" w:rsidP="005A2392">
            <w:pPr>
              <w:pStyle w:val="Normal6a"/>
            </w:pPr>
          </w:p>
        </w:tc>
      </w:tr>
      <w:tr w:rsidR="00D908F0" w14:paraId="3149CF16" w14:textId="77777777">
        <w:trPr>
          <w:jc w:val="center"/>
        </w:trPr>
        <w:tc>
          <w:tcPr>
            <w:tcW w:w="4875" w:type="dxa"/>
            <w:hideMark/>
          </w:tcPr>
          <w:p w14:paraId="6EE4FBC6" w14:textId="77777777" w:rsidR="000F307C" w:rsidRPr="00A83DC1" w:rsidRDefault="00914827" w:rsidP="00E00D3E">
            <w:pPr>
              <w:pStyle w:val="AmColumnHeading"/>
            </w:pPr>
            <w:r>
              <w:t>Textul propus de Comisie</w:t>
            </w:r>
          </w:p>
        </w:tc>
        <w:tc>
          <w:tcPr>
            <w:tcW w:w="4875" w:type="dxa"/>
            <w:hideMark/>
          </w:tcPr>
          <w:p w14:paraId="619BCE64" w14:textId="77777777" w:rsidR="000F307C" w:rsidRPr="00A83DC1" w:rsidRDefault="00914827" w:rsidP="00E00D3E">
            <w:pPr>
              <w:pStyle w:val="AmColumnHeading"/>
            </w:pPr>
            <w:r>
              <w:t>Amendamentul</w:t>
            </w:r>
          </w:p>
        </w:tc>
      </w:tr>
      <w:tr w:rsidR="00D908F0" w14:paraId="477A2F01" w14:textId="77777777" w:rsidTr="000F307C">
        <w:trPr>
          <w:jc w:val="center"/>
        </w:trPr>
        <w:tc>
          <w:tcPr>
            <w:tcW w:w="4875" w:type="dxa"/>
          </w:tcPr>
          <w:p w14:paraId="779A4306" w14:textId="77777777" w:rsidR="000F307C" w:rsidRPr="00A83DC1" w:rsidRDefault="00914827" w:rsidP="005A2392">
            <w:pPr>
              <w:pStyle w:val="Normal6a"/>
            </w:pPr>
            <w:r>
              <w:t>34.</w:t>
            </w:r>
            <w:r>
              <w:tab/>
              <w:t xml:space="preserve">În cazul în care sprijinul acordat din partea Uniunii în cadrul programului trebuie furnizat sub forma unei garanții bugetare sau a unui </w:t>
            </w:r>
            <w:r>
              <w:t>instrument financiar, inclusiv atunci când este combinat cu sprijin nerambursabil în cadrul unei operațiuni de finanțare mixtă, cu excepția instrumentelor financiare din cadrul CEI, acest sprijin trebuie furnizat exclusiv prin intermediul instrumentului InvestEU al FEC în conformitate cu normele aplicabile ale Instrumentului InvestEU FEC.</w:t>
            </w:r>
            <w:r>
              <w:rPr>
                <w:i/>
              </w:rPr>
              <w:t> </w:t>
            </w:r>
          </w:p>
        </w:tc>
        <w:tc>
          <w:tcPr>
            <w:tcW w:w="4875" w:type="dxa"/>
          </w:tcPr>
          <w:p w14:paraId="740A3AAF" w14:textId="77777777" w:rsidR="000F307C" w:rsidRPr="00A83DC1" w:rsidRDefault="00914827" w:rsidP="005A2392">
            <w:pPr>
              <w:pStyle w:val="Normal6a"/>
            </w:pPr>
            <w:r>
              <w:t>34.</w:t>
            </w:r>
            <w:r>
              <w:tab/>
              <w:t xml:space="preserve">În cazul în care sprijinul acordat din partea Uniunii în cadrul programului trebuie furnizat sub forma unei garanții bugetare sau a unui instrument financiar, inclusiv atunci când este combinat cu sprijin nerambursabil în cadrul unei operațiuni de finanțare mixtă, cu excepția instrumentelor financiare din cadrul CEI </w:t>
            </w:r>
            <w:r>
              <w:rPr>
                <w:b/>
                <w:bCs/>
                <w:i/>
                <w:iCs/>
              </w:rPr>
              <w:t>- inclusiv Fondul „Scaleup Europe”,</w:t>
            </w:r>
            <w:r>
              <w:t xml:space="preserve"> acest sprijin trebuie furnizat exclusiv prin intermediul instrumentului InvestEU al FEC în conformitate cu normele aplicabile ale Instrumentului InvestEU FEC</w:t>
            </w:r>
            <w:r>
              <w:t>.</w:t>
            </w:r>
          </w:p>
        </w:tc>
      </w:tr>
    </w:tbl>
    <w:p w14:paraId="356A14B4" w14:textId="77777777" w:rsidR="00610FA5" w:rsidRPr="00A83DC1" w:rsidRDefault="00914827" w:rsidP="00E63984">
      <w:pPr>
        <w:pStyle w:val="AmNumberTabs"/>
        <w:rPr>
          <w:rStyle w:val="HideTWBExt"/>
        </w:rPr>
      </w:pPr>
      <w:r>
        <w:rPr>
          <w:rStyle w:val="HideTWBExt"/>
        </w:rPr>
        <w:t>&lt;/Amend&gt;</w:t>
      </w:r>
    </w:p>
    <w:p w14:paraId="41A900FA" w14:textId="77777777" w:rsidR="00976019" w:rsidRPr="00A83DC1" w:rsidRDefault="00914827" w:rsidP="00976019">
      <w:pPr>
        <w:pStyle w:val="AmNumberTabs"/>
      </w:pPr>
      <w:r>
        <w:rPr>
          <w:rStyle w:val="HideTWBExt"/>
        </w:rPr>
        <w:t>&lt;Amend&gt;</w:t>
      </w:r>
      <w:r>
        <w:t>Amendamentul</w:t>
      </w:r>
      <w:r>
        <w:tab/>
      </w:r>
      <w:r>
        <w:tab/>
      </w:r>
      <w:r>
        <w:rPr>
          <w:rStyle w:val="HideTWBExt"/>
        </w:rPr>
        <w:t>&lt;NumAm&gt;</w:t>
      </w:r>
      <w:r>
        <w:t>2</w:t>
      </w:r>
      <w:r>
        <w:rPr>
          <w:rStyle w:val="HideTWBExt"/>
        </w:rPr>
        <w:t>&lt;/NumAm&gt;</w:t>
      </w:r>
    </w:p>
    <w:p w14:paraId="0B974A85" w14:textId="77777777" w:rsidR="00976019" w:rsidRPr="00A83DC1" w:rsidRDefault="00914827" w:rsidP="00976019">
      <w:pPr>
        <w:pStyle w:val="Normal12a"/>
        <w:spacing w:after="0"/>
        <w:rPr>
          <w:b/>
        </w:rPr>
      </w:pPr>
      <w:r>
        <w:rPr>
          <w:rStyle w:val="HideTWBExt"/>
        </w:rPr>
        <w:t>&lt;DocAmend&gt;</w:t>
      </w:r>
      <w:r>
        <w:rPr>
          <w:b/>
        </w:rPr>
        <w:t>Propunere de regulament</w:t>
      </w:r>
      <w:r>
        <w:rPr>
          <w:rStyle w:val="HideTWBExt"/>
        </w:rPr>
        <w:t>&lt;/DocAmend&gt;</w:t>
      </w:r>
    </w:p>
    <w:p w14:paraId="46127FAC" w14:textId="77777777" w:rsidR="00976019" w:rsidRPr="00A83DC1" w:rsidRDefault="00914827" w:rsidP="00976019">
      <w:pPr>
        <w:pStyle w:val="Normal12a"/>
        <w:spacing w:after="0"/>
        <w:rPr>
          <w:b/>
        </w:rPr>
      </w:pPr>
      <w:r>
        <w:rPr>
          <w:rStyle w:val="HideTWBExt"/>
        </w:rPr>
        <w:t>&lt;Article&gt;</w:t>
      </w:r>
      <w:r>
        <w:rPr>
          <w:b/>
        </w:rPr>
        <w:t>Considerentul 36 a (nou)</w:t>
      </w:r>
      <w:r>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D908F0" w14:paraId="1FFF2647" w14:textId="77777777" w:rsidTr="00582163">
        <w:trPr>
          <w:jc w:val="center"/>
        </w:trPr>
        <w:tc>
          <w:tcPr>
            <w:tcW w:w="9750" w:type="dxa"/>
            <w:gridSpan w:val="2"/>
          </w:tcPr>
          <w:p w14:paraId="4EB8BB88" w14:textId="77777777" w:rsidR="00976019" w:rsidRPr="00A83DC1" w:rsidRDefault="00976019" w:rsidP="00582163">
            <w:pPr>
              <w:pStyle w:val="Normal6a"/>
            </w:pPr>
          </w:p>
        </w:tc>
      </w:tr>
      <w:tr w:rsidR="00D908F0" w14:paraId="664AAC15" w14:textId="77777777" w:rsidTr="00582163">
        <w:trPr>
          <w:jc w:val="center"/>
        </w:trPr>
        <w:tc>
          <w:tcPr>
            <w:tcW w:w="4875" w:type="dxa"/>
            <w:hideMark/>
          </w:tcPr>
          <w:p w14:paraId="1A6C2B6A" w14:textId="77777777" w:rsidR="00976019" w:rsidRPr="00A83DC1" w:rsidRDefault="00914827" w:rsidP="00582163">
            <w:pPr>
              <w:pStyle w:val="AmColumnHeading"/>
            </w:pPr>
            <w:r>
              <w:t xml:space="preserve">Textul propus de </w:t>
            </w:r>
            <w:r>
              <w:t>Comisie</w:t>
            </w:r>
          </w:p>
        </w:tc>
        <w:tc>
          <w:tcPr>
            <w:tcW w:w="4875" w:type="dxa"/>
            <w:hideMark/>
          </w:tcPr>
          <w:p w14:paraId="42CA4F22" w14:textId="77777777" w:rsidR="00976019" w:rsidRPr="00A83DC1" w:rsidRDefault="00914827" w:rsidP="00582163">
            <w:pPr>
              <w:pStyle w:val="AmColumnHeading"/>
            </w:pPr>
            <w:r>
              <w:t>Amendamentul</w:t>
            </w:r>
          </w:p>
        </w:tc>
      </w:tr>
      <w:tr w:rsidR="00D908F0" w14:paraId="49809036" w14:textId="77777777" w:rsidTr="00582163">
        <w:trPr>
          <w:jc w:val="center"/>
        </w:trPr>
        <w:tc>
          <w:tcPr>
            <w:tcW w:w="4875" w:type="dxa"/>
          </w:tcPr>
          <w:p w14:paraId="59B88E93" w14:textId="77777777" w:rsidR="00976019" w:rsidRPr="00A83DC1" w:rsidRDefault="00976019" w:rsidP="00582163">
            <w:pPr>
              <w:pStyle w:val="Normal6a"/>
            </w:pPr>
          </w:p>
        </w:tc>
        <w:tc>
          <w:tcPr>
            <w:tcW w:w="4875" w:type="dxa"/>
            <w:hideMark/>
          </w:tcPr>
          <w:p w14:paraId="18427B4A" w14:textId="77777777" w:rsidR="00976019" w:rsidRPr="00A83DC1" w:rsidRDefault="00914827" w:rsidP="00582163">
            <w:pPr>
              <w:pStyle w:val="Normal6a"/>
              <w:rPr>
                <w:b/>
                <w:bCs/>
                <w:i/>
                <w:iCs/>
              </w:rPr>
            </w:pPr>
            <w:r>
              <w:rPr>
                <w:b/>
                <w:i/>
              </w:rPr>
              <w:t>(36a)</w:t>
            </w:r>
            <w:r>
              <w:rPr>
                <w:b/>
                <w:i/>
              </w:rPr>
              <w:tab/>
              <w:t xml:space="preserve">O mai mare complementaritate între programul Orizont Europa și alte instrumente ale Uniunii, printre care Fondul european pentru competitivitate, nu ar trebui să fie în detrimentul trasabilității cheltuielilor sau al </w:t>
            </w:r>
            <w:r>
              <w:rPr>
                <w:b/>
                <w:i/>
              </w:rPr>
              <w:t xml:space="preserve">prerogativelor autorității bugetare. Contribuția programului Orizont Europa la acțiunile finanțate în comun ar trebui </w:t>
            </w:r>
            <w:r>
              <w:rPr>
                <w:b/>
                <w:i/>
              </w:rPr>
              <w:lastRenderedPageBreak/>
              <w:t>să rămână identificabilă în mod explicit în toate etapele ciclului bugetar și să se reflecte corespunzător în fișa de performanță a programului.</w:t>
            </w:r>
          </w:p>
        </w:tc>
      </w:tr>
    </w:tbl>
    <w:p w14:paraId="642948A6" w14:textId="77777777" w:rsidR="00976019" w:rsidRPr="00A83DC1" w:rsidRDefault="00914827" w:rsidP="00976019">
      <w:pPr>
        <w:pStyle w:val="AmNumberTabs"/>
      </w:pPr>
      <w:r>
        <w:rPr>
          <w:rStyle w:val="HideTWBExt"/>
        </w:rPr>
        <w:lastRenderedPageBreak/>
        <w:t>&lt;/Amend&gt;</w:t>
      </w:r>
    </w:p>
    <w:p w14:paraId="1ED4EAC3" w14:textId="77777777" w:rsidR="00976019" w:rsidRPr="00A83DC1" w:rsidRDefault="00976019" w:rsidP="00E63984">
      <w:pPr>
        <w:pStyle w:val="AmNumberTabs"/>
      </w:pPr>
    </w:p>
    <w:p w14:paraId="693F083D" w14:textId="77777777" w:rsidR="00610FA5" w:rsidRPr="00A83DC1" w:rsidRDefault="00914827" w:rsidP="00E63984">
      <w:pPr>
        <w:pStyle w:val="AmNumberTabs"/>
      </w:pPr>
      <w:r>
        <w:rPr>
          <w:rStyle w:val="HideTWBExt"/>
        </w:rPr>
        <w:t>&lt;Amend&gt;</w:t>
      </w:r>
      <w:r>
        <w:t>Amendamentul</w:t>
      </w:r>
      <w:r>
        <w:tab/>
      </w:r>
      <w:r>
        <w:tab/>
      </w:r>
      <w:r>
        <w:rPr>
          <w:rStyle w:val="HideTWBExt"/>
        </w:rPr>
        <w:t>&lt;NumAm&gt;</w:t>
      </w:r>
      <w:r>
        <w:t>3</w:t>
      </w:r>
      <w:r>
        <w:rPr>
          <w:rStyle w:val="HideTWBExt"/>
        </w:rPr>
        <w:t>&lt;/NumAm&gt;</w:t>
      </w:r>
    </w:p>
    <w:p w14:paraId="322BFE5A" w14:textId="77777777" w:rsidR="00610FA5" w:rsidRPr="00A83DC1" w:rsidRDefault="00914827" w:rsidP="00610FA5">
      <w:pPr>
        <w:pStyle w:val="Normal12a"/>
        <w:spacing w:after="0"/>
        <w:rPr>
          <w:b/>
        </w:rPr>
      </w:pPr>
      <w:r>
        <w:rPr>
          <w:rStyle w:val="HideTWBExt"/>
        </w:rPr>
        <w:t>&lt;DocAmend&gt;</w:t>
      </w:r>
      <w:r>
        <w:rPr>
          <w:b/>
        </w:rPr>
        <w:t>Propunere de regulament</w:t>
      </w:r>
      <w:r>
        <w:rPr>
          <w:rStyle w:val="HideTWBExt"/>
        </w:rPr>
        <w:t>&lt;/DocAmend&gt;</w:t>
      </w:r>
    </w:p>
    <w:p w14:paraId="5CC995A4" w14:textId="77777777" w:rsidR="00205307" w:rsidRPr="00A83DC1" w:rsidRDefault="00914827" w:rsidP="00205307">
      <w:pPr>
        <w:pStyle w:val="Normal12a"/>
        <w:rPr>
          <w:rFonts w:ascii="Arial" w:hAnsi="Arial" w:cs="Arial"/>
          <w:b/>
          <w:noProof/>
          <w:color w:val="000080"/>
          <w:sz w:val="20"/>
        </w:rPr>
      </w:pPr>
      <w:r>
        <w:rPr>
          <w:rStyle w:val="HideTWBExt"/>
        </w:rPr>
        <w:t>&lt;Article&gt;</w:t>
      </w:r>
      <w:r>
        <w:rPr>
          <w:b/>
        </w:rPr>
        <w:t>Considerentul 37 b (nou)</w:t>
      </w:r>
      <w:r>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D908F0" w14:paraId="5E9A8B7F" w14:textId="77777777">
        <w:trPr>
          <w:jc w:val="center"/>
        </w:trPr>
        <w:tc>
          <w:tcPr>
            <w:tcW w:w="9752" w:type="dxa"/>
            <w:gridSpan w:val="2"/>
          </w:tcPr>
          <w:p w14:paraId="3C7E9157" w14:textId="77777777" w:rsidR="00610FA5" w:rsidRPr="00A83DC1" w:rsidRDefault="00610FA5" w:rsidP="005A2392">
            <w:pPr>
              <w:pStyle w:val="Normal6a"/>
            </w:pPr>
          </w:p>
        </w:tc>
      </w:tr>
      <w:tr w:rsidR="00D908F0" w14:paraId="7C547071" w14:textId="77777777">
        <w:trPr>
          <w:jc w:val="center"/>
        </w:trPr>
        <w:tc>
          <w:tcPr>
            <w:tcW w:w="4876" w:type="dxa"/>
            <w:hideMark/>
          </w:tcPr>
          <w:p w14:paraId="69E67F9F" w14:textId="77777777" w:rsidR="00610FA5" w:rsidRPr="00A83DC1" w:rsidRDefault="00914827" w:rsidP="00E00D3E">
            <w:pPr>
              <w:pStyle w:val="AmColumnHeading"/>
            </w:pPr>
            <w:r>
              <w:t>Textul propus de Comisie</w:t>
            </w:r>
          </w:p>
        </w:tc>
        <w:tc>
          <w:tcPr>
            <w:tcW w:w="4876" w:type="dxa"/>
            <w:hideMark/>
          </w:tcPr>
          <w:p w14:paraId="4ABAD399" w14:textId="77777777" w:rsidR="00610FA5" w:rsidRPr="00A83DC1" w:rsidRDefault="00914827" w:rsidP="00E00D3E">
            <w:pPr>
              <w:pStyle w:val="AmColumnHeading"/>
            </w:pPr>
            <w:r>
              <w:t>Amendamentul</w:t>
            </w:r>
          </w:p>
        </w:tc>
      </w:tr>
      <w:tr w:rsidR="00D908F0" w14:paraId="262B190F" w14:textId="77777777">
        <w:trPr>
          <w:jc w:val="center"/>
        </w:trPr>
        <w:tc>
          <w:tcPr>
            <w:tcW w:w="4876" w:type="dxa"/>
            <w:hideMark/>
          </w:tcPr>
          <w:p w14:paraId="4E6A936A" w14:textId="77777777" w:rsidR="00610FA5" w:rsidRPr="00A83DC1" w:rsidRDefault="00610FA5" w:rsidP="005A2392">
            <w:pPr>
              <w:pStyle w:val="Normal6a"/>
            </w:pPr>
          </w:p>
        </w:tc>
        <w:tc>
          <w:tcPr>
            <w:tcW w:w="4876" w:type="dxa"/>
            <w:hideMark/>
          </w:tcPr>
          <w:p w14:paraId="69A626CB" w14:textId="77777777" w:rsidR="00610FA5" w:rsidRPr="00A83DC1" w:rsidRDefault="00914827" w:rsidP="005A2392">
            <w:pPr>
              <w:pStyle w:val="Normal6a"/>
              <w:rPr>
                <w:b/>
                <w:bCs/>
                <w:i/>
                <w:iCs/>
              </w:rPr>
            </w:pPr>
            <w:r>
              <w:rPr>
                <w:b/>
                <w:i/>
              </w:rPr>
              <w:t>(37b)</w:t>
            </w:r>
            <w:r>
              <w:rPr>
                <w:b/>
                <w:i/>
              </w:rPr>
              <w:tab/>
              <w:t xml:space="preserve">Dispozițiile prezentului regulament, precum și </w:t>
            </w:r>
            <w:r>
              <w:rPr>
                <w:b/>
                <w:i/>
              </w:rPr>
              <w:t>mecanismele sale de guvernanță ar trebui să sprijine autoritatea bugetară să ia decizii bine fundamentate și să susțină un control parlamentar adecvat. În special, orice specificare a arhitecturii interne a programului ar trebui să se reflecte în mod corespunzător în nomenclatorul bugetar prin introducerea unor linii bugetare corespunzătoare.</w:t>
            </w:r>
          </w:p>
        </w:tc>
      </w:tr>
    </w:tbl>
    <w:p w14:paraId="5E6D09B9" w14:textId="77777777" w:rsidR="00610FA5" w:rsidRPr="00A83DC1" w:rsidRDefault="00914827" w:rsidP="00E63984">
      <w:pPr>
        <w:pStyle w:val="AmNumberTabs"/>
      </w:pPr>
      <w:r>
        <w:rPr>
          <w:rStyle w:val="HideTWBExt"/>
        </w:rPr>
        <w:t>&lt;/Amend&gt;</w:t>
      </w:r>
    </w:p>
    <w:p w14:paraId="181ADDAB" w14:textId="77777777" w:rsidR="00976019" w:rsidRPr="00A83DC1" w:rsidRDefault="00914827" w:rsidP="00976019">
      <w:pPr>
        <w:pStyle w:val="AmNumberTabs"/>
      </w:pPr>
      <w:r>
        <w:rPr>
          <w:rStyle w:val="HideTWBExt"/>
        </w:rPr>
        <w:t>&lt;Amend&gt;</w:t>
      </w:r>
      <w:r>
        <w:t>Amendamentul</w:t>
      </w:r>
      <w:r>
        <w:tab/>
      </w:r>
      <w:r>
        <w:tab/>
      </w:r>
      <w:r>
        <w:rPr>
          <w:rStyle w:val="HideTWBExt"/>
        </w:rPr>
        <w:t>&lt;NumAm&gt;</w:t>
      </w:r>
      <w:r>
        <w:t>4</w:t>
      </w:r>
      <w:r>
        <w:rPr>
          <w:rStyle w:val="HideTWBExt"/>
        </w:rPr>
        <w:t>&lt;/NumAm&gt;</w:t>
      </w:r>
    </w:p>
    <w:p w14:paraId="59B6AC55" w14:textId="77777777" w:rsidR="00976019" w:rsidRPr="00A83DC1" w:rsidRDefault="00914827" w:rsidP="00976019">
      <w:pPr>
        <w:pStyle w:val="Normal12a"/>
        <w:spacing w:after="0"/>
        <w:rPr>
          <w:b/>
        </w:rPr>
      </w:pPr>
      <w:r>
        <w:rPr>
          <w:rStyle w:val="HideTWBExt"/>
        </w:rPr>
        <w:t>&lt;DocAmend&gt;</w:t>
      </w:r>
      <w:r>
        <w:rPr>
          <w:b/>
        </w:rPr>
        <w:t>Propunere de regulament</w:t>
      </w:r>
      <w:r>
        <w:rPr>
          <w:rStyle w:val="HideTWBExt"/>
        </w:rPr>
        <w:t>&lt;/DocAmend&gt;</w:t>
      </w:r>
    </w:p>
    <w:p w14:paraId="4FFE1018" w14:textId="77777777" w:rsidR="00976019" w:rsidRPr="00A83DC1" w:rsidRDefault="00914827" w:rsidP="00976019">
      <w:pPr>
        <w:pStyle w:val="Normal12a"/>
        <w:spacing w:after="0"/>
        <w:rPr>
          <w:b/>
        </w:rPr>
      </w:pPr>
      <w:r>
        <w:rPr>
          <w:rStyle w:val="HideTWBExt"/>
        </w:rPr>
        <w:t>&lt;Article&gt;</w:t>
      </w:r>
      <w:r>
        <w:rPr>
          <w:b/>
        </w:rPr>
        <w:t>Considerentul 37 c (nou)</w:t>
      </w:r>
      <w:r>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D908F0" w14:paraId="33CA9D2C" w14:textId="77777777" w:rsidTr="00582163">
        <w:trPr>
          <w:jc w:val="center"/>
        </w:trPr>
        <w:tc>
          <w:tcPr>
            <w:tcW w:w="9752" w:type="dxa"/>
            <w:gridSpan w:val="2"/>
          </w:tcPr>
          <w:p w14:paraId="60BC530A" w14:textId="77777777" w:rsidR="00976019" w:rsidRPr="00A83DC1" w:rsidRDefault="00976019" w:rsidP="00582163">
            <w:pPr>
              <w:pStyle w:val="Normal6a"/>
            </w:pPr>
          </w:p>
        </w:tc>
      </w:tr>
      <w:tr w:rsidR="00D908F0" w14:paraId="0C6743A0" w14:textId="77777777" w:rsidTr="00582163">
        <w:trPr>
          <w:jc w:val="center"/>
        </w:trPr>
        <w:tc>
          <w:tcPr>
            <w:tcW w:w="4876" w:type="dxa"/>
            <w:hideMark/>
          </w:tcPr>
          <w:p w14:paraId="7EFC6218" w14:textId="77777777" w:rsidR="00976019" w:rsidRPr="00A83DC1" w:rsidRDefault="00914827" w:rsidP="00582163">
            <w:pPr>
              <w:pStyle w:val="AmColumnHeading"/>
            </w:pPr>
            <w:r>
              <w:t xml:space="preserve">Textul propus de </w:t>
            </w:r>
            <w:r>
              <w:t>Comisie</w:t>
            </w:r>
          </w:p>
        </w:tc>
        <w:tc>
          <w:tcPr>
            <w:tcW w:w="4876" w:type="dxa"/>
            <w:hideMark/>
          </w:tcPr>
          <w:p w14:paraId="334C2D01" w14:textId="77777777" w:rsidR="00976019" w:rsidRPr="00A83DC1" w:rsidRDefault="00914827" w:rsidP="00582163">
            <w:pPr>
              <w:pStyle w:val="AmColumnHeading"/>
            </w:pPr>
            <w:r>
              <w:t>Amendamentul</w:t>
            </w:r>
          </w:p>
        </w:tc>
      </w:tr>
      <w:tr w:rsidR="00D908F0" w14:paraId="11E45F4C" w14:textId="77777777" w:rsidTr="00582163">
        <w:trPr>
          <w:jc w:val="center"/>
        </w:trPr>
        <w:tc>
          <w:tcPr>
            <w:tcW w:w="4876" w:type="dxa"/>
          </w:tcPr>
          <w:p w14:paraId="709A16CE" w14:textId="77777777" w:rsidR="00976019" w:rsidRPr="00A83DC1" w:rsidRDefault="00976019" w:rsidP="00582163">
            <w:pPr>
              <w:pStyle w:val="Normal6a"/>
            </w:pPr>
          </w:p>
        </w:tc>
        <w:tc>
          <w:tcPr>
            <w:tcW w:w="4876" w:type="dxa"/>
            <w:shd w:val="clear" w:color="auto" w:fill="auto"/>
            <w:hideMark/>
          </w:tcPr>
          <w:p w14:paraId="6269DA30" w14:textId="77777777" w:rsidR="00976019" w:rsidRPr="00A83DC1" w:rsidRDefault="00914827" w:rsidP="00582163">
            <w:pPr>
              <w:pStyle w:val="Normal6a"/>
            </w:pPr>
            <w:r>
              <w:rPr>
                <w:b/>
                <w:i/>
              </w:rPr>
              <w:t>(37c)</w:t>
            </w:r>
            <w:r>
              <w:rPr>
                <w:b/>
                <w:i/>
              </w:rPr>
              <w:tab/>
              <w:t xml:space="preserve">În conformitate cu articolul 15 alineatul (3) din Regulamentul financiar, dezangajările din domeniul cercetării se reutilizează pentru consolidarea capacității de cercetare a Uniunii, fără niciun plafon preventiv care să </w:t>
            </w:r>
            <w:r>
              <w:rPr>
                <w:b/>
                <w:i/>
              </w:rPr>
              <w:lastRenderedPageBreak/>
              <w:t>restricționeze autoritatea bugetară în cadrul procedurii bugetare anuale.</w:t>
            </w:r>
            <w:r>
              <w:t xml:space="preserve"> </w:t>
            </w:r>
          </w:p>
        </w:tc>
      </w:tr>
    </w:tbl>
    <w:p w14:paraId="0128A3C1" w14:textId="77777777" w:rsidR="00976019" w:rsidRPr="00A83DC1" w:rsidRDefault="00914827" w:rsidP="00976019">
      <w:pPr>
        <w:pStyle w:val="AmNumberTabs"/>
      </w:pPr>
      <w:r>
        <w:rPr>
          <w:rStyle w:val="HideTWBExt"/>
        </w:rPr>
        <w:lastRenderedPageBreak/>
        <w:t>&lt;/Amend&gt;</w:t>
      </w:r>
    </w:p>
    <w:p w14:paraId="0F1EDEFC" w14:textId="77777777" w:rsidR="000F307C" w:rsidRPr="00A83DC1" w:rsidRDefault="000F307C" w:rsidP="00E63984">
      <w:pPr>
        <w:pStyle w:val="AmNumberTabs"/>
        <w:rPr>
          <w:rStyle w:val="HideTWBExt"/>
          <w:color w:val="auto"/>
        </w:rPr>
      </w:pPr>
    </w:p>
    <w:p w14:paraId="2E5D220C" w14:textId="77777777" w:rsidR="006D16AE" w:rsidRPr="00A83DC1" w:rsidRDefault="00914827" w:rsidP="00E63984">
      <w:pPr>
        <w:pStyle w:val="AmNumberTabs"/>
      </w:pPr>
      <w:r>
        <w:rPr>
          <w:rStyle w:val="HideTWBExt"/>
        </w:rPr>
        <w:t>&lt;Amend&gt;</w:t>
      </w:r>
      <w:r>
        <w:t>Amendamentul</w:t>
      </w:r>
      <w:r>
        <w:tab/>
      </w:r>
      <w:r>
        <w:tab/>
      </w:r>
      <w:r>
        <w:rPr>
          <w:rStyle w:val="HideTWBExt"/>
        </w:rPr>
        <w:t>&lt;NumAm&gt;</w:t>
      </w:r>
      <w:r>
        <w:t>5</w:t>
      </w:r>
      <w:r>
        <w:rPr>
          <w:rStyle w:val="HideTWBExt"/>
        </w:rPr>
        <w:t>&lt;/NumAm&gt;</w:t>
      </w:r>
    </w:p>
    <w:p w14:paraId="45EFE3B0" w14:textId="77777777" w:rsidR="007F1A57" w:rsidRPr="00A83DC1" w:rsidRDefault="007F1A57" w:rsidP="000F307C">
      <w:pPr>
        <w:pStyle w:val="Normal12a"/>
        <w:rPr>
          <w:rFonts w:ascii="Arial" w:hAnsi="Arial"/>
          <w:noProof/>
          <w:vanish/>
          <w:color w:val="000080"/>
          <w:sz w:val="20"/>
        </w:rPr>
      </w:pPr>
    </w:p>
    <w:p w14:paraId="1EFEB769" w14:textId="77777777" w:rsidR="006D16AE" w:rsidRPr="00A83DC1" w:rsidRDefault="00914827" w:rsidP="00760D63">
      <w:pPr>
        <w:pStyle w:val="Normal12a"/>
        <w:spacing w:after="0"/>
        <w:rPr>
          <w:b/>
        </w:rPr>
      </w:pPr>
      <w:r>
        <w:rPr>
          <w:rStyle w:val="HideTWBExt"/>
        </w:rPr>
        <w:t>&lt;DocAmend&gt;</w:t>
      </w:r>
      <w:r>
        <w:rPr>
          <w:b/>
        </w:rPr>
        <w:t>Propunere de regulament</w:t>
      </w:r>
      <w:r>
        <w:rPr>
          <w:rStyle w:val="HideTWBExt"/>
        </w:rPr>
        <w:t>&lt;/DocAmend&gt;</w:t>
      </w:r>
    </w:p>
    <w:p w14:paraId="2CCEF87C" w14:textId="77777777" w:rsidR="00205307" w:rsidRPr="00A83DC1" w:rsidRDefault="00914827" w:rsidP="00205307">
      <w:pPr>
        <w:pStyle w:val="Normal12a"/>
        <w:rPr>
          <w:rFonts w:ascii="Arial" w:hAnsi="Arial" w:cs="Arial"/>
          <w:b/>
          <w:noProof/>
          <w:color w:val="000080"/>
          <w:sz w:val="20"/>
        </w:rPr>
      </w:pPr>
      <w:r>
        <w:rPr>
          <w:rStyle w:val="HideTWBExt"/>
        </w:rPr>
        <w:t>&lt;Article&gt;</w:t>
      </w:r>
      <w:r>
        <w:rPr>
          <w:b/>
        </w:rPr>
        <w:t>Considerentul 38 a (nou)</w:t>
      </w:r>
      <w:r>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D908F0" w14:paraId="2005AC7D" w14:textId="77777777" w:rsidTr="005A2392">
        <w:trPr>
          <w:jc w:val="center"/>
        </w:trPr>
        <w:tc>
          <w:tcPr>
            <w:tcW w:w="9752" w:type="dxa"/>
            <w:gridSpan w:val="2"/>
          </w:tcPr>
          <w:p w14:paraId="1B1F6F83" w14:textId="77777777" w:rsidR="006D16AE" w:rsidRPr="00A83DC1" w:rsidRDefault="006D16AE" w:rsidP="005A2392">
            <w:pPr>
              <w:pStyle w:val="Normal6a"/>
            </w:pPr>
          </w:p>
        </w:tc>
      </w:tr>
      <w:tr w:rsidR="00D908F0" w14:paraId="763047E4" w14:textId="77777777" w:rsidTr="005A2392">
        <w:trPr>
          <w:jc w:val="center"/>
        </w:trPr>
        <w:tc>
          <w:tcPr>
            <w:tcW w:w="4876" w:type="dxa"/>
            <w:hideMark/>
          </w:tcPr>
          <w:p w14:paraId="14B6FE38" w14:textId="77777777" w:rsidR="006D16AE" w:rsidRPr="00A83DC1" w:rsidRDefault="00914827" w:rsidP="00E00D3E">
            <w:pPr>
              <w:pStyle w:val="AmColumnHeading"/>
            </w:pPr>
            <w:r>
              <w:t>Textul propus de Comisie</w:t>
            </w:r>
          </w:p>
        </w:tc>
        <w:tc>
          <w:tcPr>
            <w:tcW w:w="4876" w:type="dxa"/>
            <w:hideMark/>
          </w:tcPr>
          <w:p w14:paraId="4B4376C5" w14:textId="77777777" w:rsidR="006D16AE" w:rsidRPr="00A83DC1" w:rsidRDefault="00914827" w:rsidP="00E00D3E">
            <w:pPr>
              <w:pStyle w:val="AmColumnHeading"/>
            </w:pPr>
            <w:r>
              <w:t>Amendamentul</w:t>
            </w:r>
          </w:p>
        </w:tc>
      </w:tr>
      <w:tr w:rsidR="00D908F0" w14:paraId="1F914AC3" w14:textId="77777777" w:rsidTr="005A2392">
        <w:trPr>
          <w:jc w:val="center"/>
        </w:trPr>
        <w:tc>
          <w:tcPr>
            <w:tcW w:w="4876" w:type="dxa"/>
            <w:hideMark/>
          </w:tcPr>
          <w:p w14:paraId="3542FE59" w14:textId="77777777" w:rsidR="006D16AE" w:rsidRPr="00A83DC1" w:rsidRDefault="006D16AE" w:rsidP="005A2392">
            <w:pPr>
              <w:pStyle w:val="Normal6a"/>
            </w:pPr>
          </w:p>
        </w:tc>
        <w:tc>
          <w:tcPr>
            <w:tcW w:w="4876" w:type="dxa"/>
            <w:hideMark/>
          </w:tcPr>
          <w:p w14:paraId="6624745F" w14:textId="77777777" w:rsidR="006D16AE" w:rsidRPr="00A83DC1" w:rsidRDefault="00914827" w:rsidP="005A2392">
            <w:pPr>
              <w:pStyle w:val="Normal6a"/>
            </w:pPr>
            <w:r>
              <w:rPr>
                <w:b/>
                <w:i/>
              </w:rPr>
              <w:t>(38a)</w:t>
            </w:r>
            <w:r>
              <w:rPr>
                <w:b/>
                <w:i/>
              </w:rPr>
              <w:tab/>
              <w:t>Implicațiile prezentului regulament asupra bugetului Uniunii au fost evaluate</w:t>
            </w:r>
            <w:r>
              <w:rPr>
                <w:b/>
                <w:i/>
                <w:vertAlign w:val="superscript"/>
              </w:rPr>
              <w:t>+</w:t>
            </w:r>
            <w:r>
              <w:rPr>
                <w:b/>
                <w:i/>
              </w:rPr>
              <w:t xml:space="preserve"> în conformitate cu articolul 310 alineatul (4) din Tratatul privind funcționarea Uniunii Europene. Ar trebui să fie alocate resurse financiare și umane suficiente pentru punerea sa în aplicare, ținându-se seama, în același timp, de impactul finanțării sale asupra altor programe sau politici ale Uniunii și asigurând compatibilitatea sa cu cadrul financiar multianual, cu sistemul de resurse proprii și cu acordul interinstituțional</w:t>
            </w:r>
            <w:r>
              <w:rPr>
                <w:b/>
                <w:i/>
              </w:rPr>
              <w:t xml:space="preserve"> corespunzător, precum și cu principiile bugetare stabilite în Regulamentul (UE, Euratom) 2024/2509 al Parlamentului European și al Consiliului</w:t>
            </w:r>
            <w:r>
              <w:rPr>
                <w:b/>
                <w:i/>
                <w:vertAlign w:val="superscript"/>
              </w:rPr>
              <w:t>[1]</w:t>
            </w:r>
            <w:r>
              <w:rPr>
                <w:b/>
                <w:i/>
              </w:rPr>
              <w:t>.</w:t>
            </w:r>
          </w:p>
        </w:tc>
      </w:tr>
      <w:tr w:rsidR="00D908F0" w14:paraId="0C104BC4" w14:textId="77777777" w:rsidTr="005A2392">
        <w:trPr>
          <w:jc w:val="center"/>
        </w:trPr>
        <w:tc>
          <w:tcPr>
            <w:tcW w:w="4876" w:type="dxa"/>
          </w:tcPr>
          <w:p w14:paraId="23EDE40C" w14:textId="77777777" w:rsidR="006D16AE" w:rsidRPr="00A83DC1" w:rsidRDefault="006D16AE" w:rsidP="005A2392">
            <w:pPr>
              <w:pStyle w:val="Normal6a"/>
            </w:pPr>
          </w:p>
        </w:tc>
        <w:tc>
          <w:tcPr>
            <w:tcW w:w="4876" w:type="dxa"/>
            <w:hideMark/>
          </w:tcPr>
          <w:p w14:paraId="78526597" w14:textId="77777777" w:rsidR="006D16AE" w:rsidRPr="00A83DC1" w:rsidRDefault="00914827" w:rsidP="005A2392">
            <w:pPr>
              <w:pStyle w:val="Normal6a"/>
              <w:rPr>
                <w:b/>
                <w:i/>
              </w:rPr>
            </w:pPr>
            <w:r>
              <w:rPr>
                <w:b/>
                <w:i/>
              </w:rPr>
              <w:t>____________________</w:t>
            </w:r>
          </w:p>
        </w:tc>
      </w:tr>
      <w:tr w:rsidR="00D908F0" w14:paraId="0233A6C1" w14:textId="77777777" w:rsidTr="005A2392">
        <w:trPr>
          <w:jc w:val="center"/>
        </w:trPr>
        <w:tc>
          <w:tcPr>
            <w:tcW w:w="4876" w:type="dxa"/>
          </w:tcPr>
          <w:p w14:paraId="6837660F" w14:textId="77777777" w:rsidR="006D16AE" w:rsidRPr="00A83DC1" w:rsidRDefault="006D16AE" w:rsidP="005A2392">
            <w:pPr>
              <w:pStyle w:val="Normal6a"/>
            </w:pPr>
          </w:p>
        </w:tc>
        <w:tc>
          <w:tcPr>
            <w:tcW w:w="4876" w:type="dxa"/>
            <w:hideMark/>
          </w:tcPr>
          <w:p w14:paraId="30532EB5" w14:textId="77777777" w:rsidR="006D16AE" w:rsidRPr="00A83DC1" w:rsidRDefault="00914827" w:rsidP="005A2392">
            <w:pPr>
              <w:pStyle w:val="Normal6a"/>
              <w:rPr>
                <w:b/>
                <w:bCs/>
                <w:i/>
                <w:iCs/>
              </w:rPr>
            </w:pPr>
            <w:r>
              <w:rPr>
                <w:b/>
                <w:i/>
                <w:vertAlign w:val="superscript"/>
              </w:rPr>
              <w:t>+</w:t>
            </w:r>
            <w:r>
              <w:rPr>
                <w:b/>
                <w:i/>
              </w:rPr>
              <w:t xml:space="preserve"> A se vedea: Evaluarea bugetară a Comisiei pentru bugete a </w:t>
            </w:r>
            <w:r>
              <w:rPr>
                <w:b/>
                <w:i/>
              </w:rPr>
              <w:t xml:space="preserve">Parlamentului European din 23 iunie 2026 referitoare la propunerea de decizie a Consiliului privind un regulament al Parlamentului European și al Consiliului de instituire a Programului-cadru pentru cercetare și </w:t>
            </w:r>
            <w:r>
              <w:rPr>
                <w:b/>
                <w:i/>
              </w:rPr>
              <w:lastRenderedPageBreak/>
              <w:t>inovare Orizont Europa pentru perioada 2028-2034, de stabilire a normelor sale de participare și de diseminare și de abrogare a Regulamentului (UE) 2021/695 (COM(2025)0543).</w:t>
            </w:r>
          </w:p>
        </w:tc>
      </w:tr>
      <w:tr w:rsidR="00D908F0" w14:paraId="177988A6" w14:textId="77777777" w:rsidTr="005A2392">
        <w:trPr>
          <w:jc w:val="center"/>
        </w:trPr>
        <w:tc>
          <w:tcPr>
            <w:tcW w:w="4876" w:type="dxa"/>
          </w:tcPr>
          <w:p w14:paraId="1290FB27" w14:textId="77777777" w:rsidR="005A2392" w:rsidRPr="00A83DC1" w:rsidRDefault="005A2392" w:rsidP="005A2392">
            <w:pPr>
              <w:pStyle w:val="Normal6a"/>
            </w:pPr>
          </w:p>
        </w:tc>
        <w:tc>
          <w:tcPr>
            <w:tcW w:w="4876" w:type="dxa"/>
          </w:tcPr>
          <w:p w14:paraId="5EFFD41F" w14:textId="2A7329AF" w:rsidR="005A2392" w:rsidRPr="00A83DC1" w:rsidRDefault="00914827" w:rsidP="005A2392">
            <w:pPr>
              <w:pStyle w:val="Normal6a"/>
              <w:rPr>
                <w:i/>
                <w:vertAlign w:val="superscript"/>
              </w:rPr>
            </w:pPr>
            <w:r>
              <w:rPr>
                <w:b/>
                <w:i/>
                <w:vertAlign w:val="superscript"/>
              </w:rPr>
              <w:t>[1]</w:t>
            </w:r>
            <w:r>
              <w:rPr>
                <w:b/>
                <w:i/>
              </w:rPr>
              <w:t xml:space="preserve"> Regulamentul (UE, Euratom) 2024/2509 al Parlamentului European și al Consiliului din 23 septembrie 2024 privind normele financiare aplicabile bugetului general al Uniunii (JO L, 2024/2509, 26.9.2024, ELI: </w:t>
            </w:r>
            <w:hyperlink r:id="rId15" w:history="1">
              <w:r w:rsidR="005A2392">
                <w:rPr>
                  <w:rStyle w:val="Hyperlink"/>
                  <w:b/>
                  <w:i/>
                  <w:color w:val="auto"/>
                </w:rPr>
                <w:t>http://data.europa.eu/eli/reg/2024/2509/oj</w:t>
              </w:r>
            </w:hyperlink>
            <w:r>
              <w:rPr>
                <w:b/>
                <w:i/>
              </w:rPr>
              <w:t>).</w:t>
            </w:r>
          </w:p>
        </w:tc>
      </w:tr>
    </w:tbl>
    <w:p w14:paraId="2C7C048C" w14:textId="77777777" w:rsidR="00F26123" w:rsidRPr="00A83DC1" w:rsidRDefault="00914827" w:rsidP="00E63984">
      <w:pPr>
        <w:pStyle w:val="AmNumberTabs"/>
      </w:pPr>
      <w:r>
        <w:rPr>
          <w:rStyle w:val="HideTWBExt"/>
        </w:rPr>
        <w:t>&lt;/Amend&gt;</w:t>
      </w:r>
    </w:p>
    <w:p w14:paraId="2CC74A33" w14:textId="77777777" w:rsidR="00C04E9D" w:rsidRPr="00A83DC1" w:rsidRDefault="00914827" w:rsidP="00E63984">
      <w:pPr>
        <w:pStyle w:val="AmNumberTabs"/>
      </w:pPr>
      <w:bookmarkStart w:id="2" w:name="_Hlk233194052"/>
      <w:bookmarkStart w:id="3" w:name="_Hlk233194012"/>
      <w:r>
        <w:rPr>
          <w:rStyle w:val="HideTWBExt"/>
        </w:rPr>
        <w:t>&lt;Amend&gt;</w:t>
      </w:r>
      <w:r>
        <w:t>Amendamentul</w:t>
      </w:r>
      <w:r>
        <w:tab/>
      </w:r>
      <w:r>
        <w:tab/>
      </w:r>
      <w:r>
        <w:rPr>
          <w:rStyle w:val="HideTWBExt"/>
        </w:rPr>
        <w:t>&lt;NumAm&gt;</w:t>
      </w:r>
      <w:r>
        <w:t>6</w:t>
      </w:r>
      <w:r>
        <w:rPr>
          <w:rStyle w:val="HideTWBExt"/>
        </w:rPr>
        <w:t>&lt;/NumAm&gt;</w:t>
      </w:r>
    </w:p>
    <w:p w14:paraId="74764A1C" w14:textId="77777777" w:rsidR="00C04E9D" w:rsidRPr="00A83DC1" w:rsidRDefault="00914827" w:rsidP="00760D63">
      <w:pPr>
        <w:pStyle w:val="Normal12a"/>
        <w:spacing w:after="0"/>
        <w:rPr>
          <w:b/>
        </w:rPr>
      </w:pPr>
      <w:r>
        <w:rPr>
          <w:rStyle w:val="HideTWBExt"/>
        </w:rPr>
        <w:t>&lt;DocAmend&gt;</w:t>
      </w:r>
      <w:r>
        <w:rPr>
          <w:b/>
        </w:rPr>
        <w:t>Propunere de regulament</w:t>
      </w:r>
      <w:r>
        <w:rPr>
          <w:rStyle w:val="HideTWBExt"/>
        </w:rPr>
        <w:t>&lt;/DocAmend&gt;</w:t>
      </w:r>
    </w:p>
    <w:p w14:paraId="79060E3A" w14:textId="77777777" w:rsidR="00C04E9D" w:rsidRPr="00A83DC1" w:rsidRDefault="00914827" w:rsidP="00760D63">
      <w:pPr>
        <w:pStyle w:val="Normal12a"/>
        <w:spacing w:after="0"/>
        <w:rPr>
          <w:b/>
        </w:rPr>
      </w:pPr>
      <w:r>
        <w:rPr>
          <w:rStyle w:val="HideTWBExt"/>
        </w:rPr>
        <w:t>&lt;Article&gt;</w:t>
      </w:r>
      <w:r>
        <w:rPr>
          <w:b/>
        </w:rPr>
        <w:t>Articolul 6 – alineatul 1</w:t>
      </w:r>
      <w:r>
        <w:rPr>
          <w:rStyle w:val="HideTWBExt"/>
        </w:rPr>
        <w:t>&lt;/Article&gt;</w:t>
      </w:r>
    </w:p>
    <w:bookmarkEnd w:id="2"/>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D908F0" w14:paraId="19BA612A" w14:textId="77777777" w:rsidTr="00D22A96">
        <w:trPr>
          <w:jc w:val="center"/>
        </w:trPr>
        <w:tc>
          <w:tcPr>
            <w:tcW w:w="9750" w:type="dxa"/>
            <w:gridSpan w:val="2"/>
          </w:tcPr>
          <w:p w14:paraId="785CC339" w14:textId="77777777" w:rsidR="00C04E9D" w:rsidRPr="00A83DC1" w:rsidRDefault="00C04E9D" w:rsidP="005A2392">
            <w:pPr>
              <w:pStyle w:val="Normal6a"/>
            </w:pPr>
          </w:p>
        </w:tc>
      </w:tr>
      <w:tr w:rsidR="00D908F0" w14:paraId="5FA57503" w14:textId="77777777" w:rsidTr="00D22A96">
        <w:trPr>
          <w:jc w:val="center"/>
        </w:trPr>
        <w:tc>
          <w:tcPr>
            <w:tcW w:w="4875" w:type="dxa"/>
            <w:hideMark/>
          </w:tcPr>
          <w:p w14:paraId="1E2E3AB0" w14:textId="77777777" w:rsidR="00C04E9D" w:rsidRPr="00A83DC1" w:rsidRDefault="00914827" w:rsidP="00E00D3E">
            <w:pPr>
              <w:pStyle w:val="AmColumnHeading"/>
            </w:pPr>
            <w:r>
              <w:t xml:space="preserve">Textul propus de </w:t>
            </w:r>
            <w:r>
              <w:t>Comisie</w:t>
            </w:r>
          </w:p>
        </w:tc>
        <w:tc>
          <w:tcPr>
            <w:tcW w:w="4875" w:type="dxa"/>
            <w:hideMark/>
          </w:tcPr>
          <w:p w14:paraId="6E8E2EC7" w14:textId="77777777" w:rsidR="00C04E9D" w:rsidRPr="00A83DC1" w:rsidRDefault="00914827" w:rsidP="00E00D3E">
            <w:pPr>
              <w:pStyle w:val="AmColumnHeading"/>
            </w:pPr>
            <w:r>
              <w:t>Amendamentul</w:t>
            </w:r>
          </w:p>
        </w:tc>
      </w:tr>
      <w:tr w:rsidR="00D908F0" w14:paraId="107E1341" w14:textId="77777777" w:rsidTr="00D22A96">
        <w:trPr>
          <w:jc w:val="center"/>
        </w:trPr>
        <w:tc>
          <w:tcPr>
            <w:tcW w:w="4875" w:type="dxa"/>
          </w:tcPr>
          <w:p w14:paraId="6986E382" w14:textId="77777777" w:rsidR="00D22A96" w:rsidRPr="00A83DC1" w:rsidRDefault="00914827" w:rsidP="005A2392">
            <w:pPr>
              <w:pStyle w:val="Normal6a"/>
            </w:pPr>
            <w:r>
              <w:t>1.</w:t>
            </w:r>
            <w:r>
              <w:tab/>
              <w:t xml:space="preserve">Pachetul financiar </w:t>
            </w:r>
            <w:r>
              <w:rPr>
                <w:b/>
                <w:i/>
              </w:rPr>
              <w:t>indicativ</w:t>
            </w:r>
            <w:r>
              <w:t xml:space="preserve"> al programului pentru </w:t>
            </w:r>
            <w:r>
              <w:rPr>
                <w:b/>
                <w:i/>
              </w:rPr>
              <w:t>perioada cuprinsă între 1 ianuarie 2028 și 31 decembrie 2034</w:t>
            </w:r>
            <w:r>
              <w:t xml:space="preserve"> este de </w:t>
            </w:r>
            <w:r>
              <w:rPr>
                <w:b/>
                <w:i/>
              </w:rPr>
              <w:t>175 002 000</w:t>
            </w:r>
            <w:r>
              <w:t xml:space="preserve"> </w:t>
            </w:r>
            <w:r>
              <w:rPr>
                <w:b/>
                <w:bCs/>
                <w:i/>
                <w:iCs/>
              </w:rPr>
              <w:t>000</w:t>
            </w:r>
            <w:r>
              <w:t xml:space="preserve"> EUR în prețuri curente.</w:t>
            </w:r>
          </w:p>
        </w:tc>
        <w:tc>
          <w:tcPr>
            <w:tcW w:w="4875" w:type="dxa"/>
            <w:hideMark/>
          </w:tcPr>
          <w:p w14:paraId="76D2CFE2" w14:textId="77777777" w:rsidR="00D22A96" w:rsidRPr="00A83DC1" w:rsidRDefault="00914827" w:rsidP="005A2392">
            <w:pPr>
              <w:pStyle w:val="Normal6a"/>
            </w:pPr>
            <w:r>
              <w:t>1.</w:t>
            </w:r>
            <w:r>
              <w:tab/>
              <w:t xml:space="preserve">Pachetul financiar al programului pentru </w:t>
            </w:r>
            <w:r>
              <w:rPr>
                <w:b/>
                <w:i/>
              </w:rPr>
              <w:t>punerea în aplicare a regulamentului în perioada 2028-2034</w:t>
            </w:r>
            <w:r>
              <w:t xml:space="preserve"> este de </w:t>
            </w:r>
            <w:r>
              <w:rPr>
                <w:b/>
                <w:i/>
              </w:rPr>
              <w:t>200 003 562</w:t>
            </w:r>
            <w:r>
              <w:t> </w:t>
            </w:r>
            <w:r>
              <w:rPr>
                <w:b/>
                <w:bCs/>
                <w:i/>
                <w:iCs/>
              </w:rPr>
              <w:t>000</w:t>
            </w:r>
            <w:r>
              <w:t xml:space="preserve"> EUR în prețuri curente </w:t>
            </w:r>
            <w:r>
              <w:rPr>
                <w:b/>
                <w:i/>
              </w:rPr>
              <w:t>(177 010 000 000 EUR la prețurile din 2025)</w:t>
            </w:r>
            <w:r>
              <w:t>.</w:t>
            </w:r>
          </w:p>
        </w:tc>
      </w:tr>
    </w:tbl>
    <w:p w14:paraId="4FB56BB8" w14:textId="77777777" w:rsidR="00D22A96" w:rsidRPr="00A83DC1" w:rsidRDefault="00914827" w:rsidP="00E63984">
      <w:pPr>
        <w:pStyle w:val="AmNumberTabs"/>
      </w:pPr>
      <w:r>
        <w:rPr>
          <w:rStyle w:val="HideTWBExt"/>
        </w:rPr>
        <w:t>&lt;/Amend&gt;</w:t>
      </w:r>
    </w:p>
    <w:bookmarkEnd w:id="3"/>
    <w:p w14:paraId="7DF25A24" w14:textId="77777777" w:rsidR="00760D63" w:rsidRPr="00A83DC1" w:rsidRDefault="00914827" w:rsidP="00E63984">
      <w:pPr>
        <w:pStyle w:val="AmNumberTabs"/>
      </w:pPr>
      <w:r>
        <w:rPr>
          <w:rStyle w:val="HideTWBExt"/>
        </w:rPr>
        <w:t>&lt;Amend&gt;</w:t>
      </w:r>
      <w:r>
        <w:t>Amendamentul</w:t>
      </w:r>
      <w:r>
        <w:tab/>
      </w:r>
      <w:r>
        <w:tab/>
      </w:r>
      <w:r>
        <w:rPr>
          <w:rStyle w:val="HideTWBExt"/>
        </w:rPr>
        <w:t>&lt;NumAm&gt;</w:t>
      </w:r>
      <w:r>
        <w:t>7</w:t>
      </w:r>
      <w:r>
        <w:rPr>
          <w:rStyle w:val="HideTWBExt"/>
        </w:rPr>
        <w:t>&lt;/NumAm&gt;</w:t>
      </w:r>
    </w:p>
    <w:p w14:paraId="55791149" w14:textId="77777777" w:rsidR="00760D63" w:rsidRPr="00A83DC1" w:rsidRDefault="00914827" w:rsidP="00760D63">
      <w:pPr>
        <w:pStyle w:val="Normal12a"/>
        <w:spacing w:after="0"/>
        <w:rPr>
          <w:b/>
        </w:rPr>
      </w:pPr>
      <w:r>
        <w:rPr>
          <w:rStyle w:val="HideTWBExt"/>
        </w:rPr>
        <w:t>&lt;DocAmend&gt;</w:t>
      </w:r>
      <w:r>
        <w:rPr>
          <w:b/>
        </w:rPr>
        <w:t>Propunere de regulament</w:t>
      </w:r>
      <w:r>
        <w:rPr>
          <w:rStyle w:val="HideTWBExt"/>
        </w:rPr>
        <w:t>&lt;/DocAmend&gt;</w:t>
      </w:r>
    </w:p>
    <w:p w14:paraId="20990140" w14:textId="77777777" w:rsidR="00760D63" w:rsidRPr="00A83DC1" w:rsidRDefault="00914827" w:rsidP="00760D63">
      <w:pPr>
        <w:pStyle w:val="Normal12a"/>
        <w:spacing w:after="0"/>
        <w:rPr>
          <w:b/>
        </w:rPr>
      </w:pPr>
      <w:r>
        <w:rPr>
          <w:rStyle w:val="HideTWBExt"/>
        </w:rPr>
        <w:t>&lt;Article&gt;</w:t>
      </w:r>
      <w:r>
        <w:rPr>
          <w:b/>
        </w:rPr>
        <w:t xml:space="preserve">Articolul 7 – </w:t>
      </w:r>
      <w:r>
        <w:rPr>
          <w:b/>
        </w:rPr>
        <w:t>alineatul 2 a (nou)</w:t>
      </w:r>
      <w:r>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D908F0" w14:paraId="128049AE" w14:textId="77777777">
        <w:trPr>
          <w:jc w:val="center"/>
        </w:trPr>
        <w:tc>
          <w:tcPr>
            <w:tcW w:w="9750" w:type="dxa"/>
            <w:gridSpan w:val="2"/>
          </w:tcPr>
          <w:p w14:paraId="28D1C506" w14:textId="77777777" w:rsidR="00760D63" w:rsidRPr="00A83DC1" w:rsidRDefault="00760D63" w:rsidP="005A2392">
            <w:pPr>
              <w:pStyle w:val="Normal6a"/>
            </w:pPr>
          </w:p>
        </w:tc>
      </w:tr>
      <w:tr w:rsidR="00D908F0" w14:paraId="31E304D4" w14:textId="77777777">
        <w:trPr>
          <w:jc w:val="center"/>
        </w:trPr>
        <w:tc>
          <w:tcPr>
            <w:tcW w:w="4875" w:type="dxa"/>
            <w:hideMark/>
          </w:tcPr>
          <w:p w14:paraId="5E974B29" w14:textId="77777777" w:rsidR="00760D63" w:rsidRPr="00A83DC1" w:rsidRDefault="00914827" w:rsidP="00E00D3E">
            <w:pPr>
              <w:pStyle w:val="AmColumnHeading"/>
            </w:pPr>
            <w:r>
              <w:t>Textul propus de Comisie</w:t>
            </w:r>
          </w:p>
        </w:tc>
        <w:tc>
          <w:tcPr>
            <w:tcW w:w="4875" w:type="dxa"/>
            <w:hideMark/>
          </w:tcPr>
          <w:p w14:paraId="6D2B5183" w14:textId="77777777" w:rsidR="00760D63" w:rsidRPr="00A83DC1" w:rsidRDefault="00914827" w:rsidP="00E00D3E">
            <w:pPr>
              <w:pStyle w:val="AmColumnHeading"/>
            </w:pPr>
            <w:r>
              <w:t>Amendamentul</w:t>
            </w:r>
          </w:p>
        </w:tc>
      </w:tr>
      <w:tr w:rsidR="00D908F0" w14:paraId="0E634688" w14:textId="77777777">
        <w:trPr>
          <w:jc w:val="center"/>
        </w:trPr>
        <w:tc>
          <w:tcPr>
            <w:tcW w:w="4875" w:type="dxa"/>
          </w:tcPr>
          <w:p w14:paraId="6D3D04C4" w14:textId="77777777" w:rsidR="00760D63" w:rsidRPr="00A83DC1" w:rsidRDefault="00760D63" w:rsidP="005A2392">
            <w:pPr>
              <w:pStyle w:val="Normal6a"/>
            </w:pPr>
          </w:p>
        </w:tc>
        <w:tc>
          <w:tcPr>
            <w:tcW w:w="4875" w:type="dxa"/>
            <w:hideMark/>
          </w:tcPr>
          <w:p w14:paraId="58ECC58B" w14:textId="77777777" w:rsidR="00760D63" w:rsidRPr="00A83DC1" w:rsidRDefault="00914827" w:rsidP="005A2392">
            <w:pPr>
              <w:pStyle w:val="Normal6a"/>
            </w:pPr>
            <w:r>
              <w:rPr>
                <w:b/>
                <w:i/>
              </w:rPr>
              <w:t>2a.</w:t>
            </w:r>
            <w:r>
              <w:rPr>
                <w:b/>
                <w:i/>
              </w:rPr>
              <w:tab/>
              <w:t xml:space="preserve">[De la 1 ianuarie 2028/data de începere a programului], prin derogare de la articolul 212 alineatul (3) primul, al </w:t>
            </w:r>
            <w:r>
              <w:rPr>
                <w:b/>
                <w:i/>
              </w:rPr>
              <w:lastRenderedPageBreak/>
              <w:t>doilea și al patrulea paragraf din Regulamentul (UE, Euratom) 2024/2509, veniturile, rambursările și recuperările din instrumentele financiare finanțate din prezentul regulament și din predecesoarele sale provizionate prin Fondul european pentru competitivitate se utilizează pentru a furniza sprijin din partea Uniunii prin programul Orizont Europa. Prin derogare de la articolul 21 alineatul (3</w:t>
            </w:r>
            <w:r>
              <w:rPr>
                <w:b/>
                <w:i/>
              </w:rPr>
              <w:t>) litera (f) și în conformitate cu articolul 21 alineatul (5) din Regulamentul financiar, aceste resurse constituie venituri alocate externe pentru programul Orizont Europa. Veniturile, rambursările și recuperările din instrumentele financiare puse în aplicare de Fondul CEI rămân în soldul Fondului CEI.</w:t>
            </w:r>
          </w:p>
        </w:tc>
      </w:tr>
    </w:tbl>
    <w:p w14:paraId="11958B80" w14:textId="77777777" w:rsidR="00BA7BC0" w:rsidRPr="00A83DC1" w:rsidRDefault="00914827" w:rsidP="00E63984">
      <w:pPr>
        <w:pStyle w:val="AmNumberTabs"/>
      </w:pPr>
      <w:r>
        <w:rPr>
          <w:rStyle w:val="HideTWBExt"/>
        </w:rPr>
        <w:lastRenderedPageBreak/>
        <w:t>&lt;/Amend&gt;</w:t>
      </w:r>
    </w:p>
    <w:p w14:paraId="31157AE7" w14:textId="77777777" w:rsidR="00BA7BC0" w:rsidRPr="00A83DC1" w:rsidRDefault="00914827" w:rsidP="00E63984">
      <w:pPr>
        <w:pStyle w:val="AmNumberTabs"/>
      </w:pPr>
      <w:r>
        <w:rPr>
          <w:rStyle w:val="HideTWBExt"/>
        </w:rPr>
        <w:t>&lt;Amend&gt;</w:t>
      </w:r>
      <w:r>
        <w:t>Amendamentul</w:t>
      </w:r>
      <w:r>
        <w:tab/>
      </w:r>
      <w:r>
        <w:tab/>
      </w:r>
      <w:r>
        <w:rPr>
          <w:rStyle w:val="HideTWBExt"/>
        </w:rPr>
        <w:t>&lt;NumAm&gt;</w:t>
      </w:r>
      <w:r>
        <w:t>8</w:t>
      </w:r>
      <w:r>
        <w:rPr>
          <w:rStyle w:val="HideTWBExt"/>
        </w:rPr>
        <w:t>&lt;/NumAm&gt;</w:t>
      </w:r>
    </w:p>
    <w:p w14:paraId="2018BBBF" w14:textId="77777777" w:rsidR="00BA7BC0" w:rsidRPr="00A83DC1" w:rsidRDefault="00914827" w:rsidP="00BA7BC0">
      <w:pPr>
        <w:pStyle w:val="Normal12a"/>
        <w:spacing w:after="0"/>
        <w:rPr>
          <w:b/>
        </w:rPr>
      </w:pPr>
      <w:r>
        <w:rPr>
          <w:rStyle w:val="HideTWBExt"/>
        </w:rPr>
        <w:t>&lt;DocAmend&gt;</w:t>
      </w:r>
      <w:r>
        <w:rPr>
          <w:b/>
        </w:rPr>
        <w:t>Propunere de regulament</w:t>
      </w:r>
      <w:r>
        <w:rPr>
          <w:rStyle w:val="HideTWBExt"/>
        </w:rPr>
        <w:t>&lt;/DocAmend&gt;</w:t>
      </w:r>
    </w:p>
    <w:p w14:paraId="6FE76154" w14:textId="77777777" w:rsidR="00BA7BC0" w:rsidRPr="00A83DC1" w:rsidRDefault="00914827" w:rsidP="00BA7BC0">
      <w:pPr>
        <w:pStyle w:val="Normal12a"/>
        <w:spacing w:after="0"/>
        <w:rPr>
          <w:b/>
        </w:rPr>
      </w:pPr>
      <w:r>
        <w:rPr>
          <w:rStyle w:val="HideTWBExt"/>
        </w:rPr>
        <w:t>&lt;Article&gt;</w:t>
      </w:r>
      <w:r>
        <w:rPr>
          <w:b/>
        </w:rPr>
        <w:t xml:space="preserve">Articolul 7 – </w:t>
      </w:r>
      <w:r>
        <w:rPr>
          <w:b/>
        </w:rPr>
        <w:t>alineatul 2 b (nou)</w:t>
      </w:r>
      <w:r>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D908F0" w14:paraId="4E70269F" w14:textId="77777777">
        <w:trPr>
          <w:jc w:val="center"/>
        </w:trPr>
        <w:tc>
          <w:tcPr>
            <w:tcW w:w="9750" w:type="dxa"/>
            <w:gridSpan w:val="2"/>
          </w:tcPr>
          <w:p w14:paraId="1A8DD6A5" w14:textId="77777777" w:rsidR="00BA7BC0" w:rsidRPr="00A83DC1" w:rsidRDefault="00BA7BC0" w:rsidP="005A2392">
            <w:pPr>
              <w:pStyle w:val="Normal6a"/>
            </w:pPr>
          </w:p>
        </w:tc>
      </w:tr>
      <w:tr w:rsidR="00D908F0" w14:paraId="7A669FB6" w14:textId="77777777">
        <w:trPr>
          <w:jc w:val="center"/>
        </w:trPr>
        <w:tc>
          <w:tcPr>
            <w:tcW w:w="4875" w:type="dxa"/>
            <w:hideMark/>
          </w:tcPr>
          <w:p w14:paraId="3F8681D2" w14:textId="77777777" w:rsidR="00BA7BC0" w:rsidRPr="00A83DC1" w:rsidRDefault="00914827" w:rsidP="00E00D3E">
            <w:pPr>
              <w:pStyle w:val="AmColumnHeading"/>
            </w:pPr>
            <w:r>
              <w:t>Textul propus de Comisie</w:t>
            </w:r>
          </w:p>
        </w:tc>
        <w:tc>
          <w:tcPr>
            <w:tcW w:w="4875" w:type="dxa"/>
            <w:hideMark/>
          </w:tcPr>
          <w:p w14:paraId="262F29E3" w14:textId="77777777" w:rsidR="00BA7BC0" w:rsidRPr="00A83DC1" w:rsidRDefault="00914827" w:rsidP="00E00D3E">
            <w:pPr>
              <w:pStyle w:val="AmColumnHeading"/>
            </w:pPr>
            <w:r>
              <w:t>Amendamentul</w:t>
            </w:r>
          </w:p>
        </w:tc>
      </w:tr>
      <w:tr w:rsidR="00D908F0" w14:paraId="05780BAF" w14:textId="77777777">
        <w:trPr>
          <w:jc w:val="center"/>
        </w:trPr>
        <w:tc>
          <w:tcPr>
            <w:tcW w:w="4875" w:type="dxa"/>
          </w:tcPr>
          <w:p w14:paraId="4E09F670" w14:textId="77777777" w:rsidR="00BA7BC0" w:rsidRPr="00A83DC1" w:rsidRDefault="00BA7BC0" w:rsidP="005A2392">
            <w:pPr>
              <w:pStyle w:val="Normal6a"/>
            </w:pPr>
          </w:p>
        </w:tc>
        <w:tc>
          <w:tcPr>
            <w:tcW w:w="4875" w:type="dxa"/>
            <w:hideMark/>
          </w:tcPr>
          <w:p w14:paraId="6F400120" w14:textId="77777777" w:rsidR="00BA7BC0" w:rsidRPr="00A83DC1" w:rsidRDefault="00914827" w:rsidP="005A2392">
            <w:pPr>
              <w:pStyle w:val="Normal6a"/>
            </w:pPr>
            <w:r>
              <w:rPr>
                <w:b/>
                <w:i/>
              </w:rPr>
              <w:t>2b.</w:t>
            </w:r>
            <w:r>
              <w:rPr>
                <w:b/>
                <w:i/>
              </w:rPr>
              <w:tab/>
              <w:t xml:space="preserve">Creditele de angajament corespunzătoare cuantumului dezangajărilor rezultate din neexecutarea totală sau parțială a proiectelor de cercetare sunt repuse la dispoziția </w:t>
            </w:r>
            <w:r>
              <w:rPr>
                <w:b/>
                <w:i/>
              </w:rPr>
              <w:t>acestui program, în contextul procedurii bugetare, în mod prioritar pentru același obiectiv.</w:t>
            </w:r>
          </w:p>
        </w:tc>
      </w:tr>
    </w:tbl>
    <w:p w14:paraId="6964F125" w14:textId="77777777" w:rsidR="00BA7BC0" w:rsidRPr="00A83DC1" w:rsidRDefault="00914827" w:rsidP="00BA7BC0">
      <w:pPr>
        <w:pStyle w:val="Normal12a"/>
      </w:pPr>
      <w:r>
        <w:rPr>
          <w:rStyle w:val="HideTWBExt"/>
        </w:rPr>
        <w:t>&lt;/Amend&gt;</w:t>
      </w:r>
    </w:p>
    <w:p w14:paraId="6083F799" w14:textId="77777777" w:rsidR="009E64BF" w:rsidRPr="00A83DC1" w:rsidRDefault="00914827" w:rsidP="009E64BF">
      <w:pPr>
        <w:pStyle w:val="AmNumberTabs"/>
      </w:pPr>
      <w:r>
        <w:rPr>
          <w:rStyle w:val="HideTWBExt"/>
        </w:rPr>
        <w:t>&lt;Amend&gt;</w:t>
      </w:r>
      <w:r>
        <w:t>Amendamentul</w:t>
      </w:r>
      <w:r>
        <w:tab/>
      </w:r>
      <w:r>
        <w:tab/>
      </w:r>
      <w:r>
        <w:rPr>
          <w:rStyle w:val="HideTWBExt"/>
        </w:rPr>
        <w:t>&lt;NumAm&gt;</w:t>
      </w:r>
      <w:r>
        <w:t>9</w:t>
      </w:r>
      <w:r>
        <w:rPr>
          <w:rStyle w:val="HideTWBExt"/>
        </w:rPr>
        <w:t>&lt;/NumAm&gt;</w:t>
      </w:r>
    </w:p>
    <w:p w14:paraId="41BE9CA5" w14:textId="77777777" w:rsidR="009E64BF" w:rsidRPr="00A83DC1" w:rsidRDefault="00914827" w:rsidP="009E64BF">
      <w:pPr>
        <w:pStyle w:val="Normal12a"/>
        <w:spacing w:after="0"/>
        <w:rPr>
          <w:b/>
        </w:rPr>
      </w:pPr>
      <w:r>
        <w:rPr>
          <w:rStyle w:val="HideTWBExt"/>
        </w:rPr>
        <w:t>&lt;DocAmend&gt;</w:t>
      </w:r>
      <w:r>
        <w:rPr>
          <w:b/>
        </w:rPr>
        <w:t>Propunere de regulament</w:t>
      </w:r>
      <w:r>
        <w:rPr>
          <w:rStyle w:val="HideTWBExt"/>
        </w:rPr>
        <w:t>&lt;/DocAmend&gt;</w:t>
      </w:r>
    </w:p>
    <w:p w14:paraId="488C4DA4" w14:textId="77777777" w:rsidR="009E64BF" w:rsidRPr="00A83DC1" w:rsidRDefault="00914827" w:rsidP="009E64BF">
      <w:pPr>
        <w:pStyle w:val="Normal12a"/>
        <w:spacing w:after="0"/>
        <w:rPr>
          <w:b/>
        </w:rPr>
      </w:pPr>
      <w:r>
        <w:rPr>
          <w:rStyle w:val="HideTWBExt"/>
        </w:rPr>
        <w:t>&lt;Article&gt;</w:t>
      </w:r>
      <w:r>
        <w:rPr>
          <w:b/>
        </w:rPr>
        <w:t>Articolul 10 – alineatul 3</w:t>
      </w:r>
      <w:r>
        <w:rPr>
          <w:rStyle w:val="HideTWBExt"/>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D908F0" w14:paraId="0623CEAE" w14:textId="77777777" w:rsidTr="003D43B7">
        <w:trPr>
          <w:jc w:val="center"/>
        </w:trPr>
        <w:tc>
          <w:tcPr>
            <w:tcW w:w="9750" w:type="dxa"/>
            <w:gridSpan w:val="2"/>
          </w:tcPr>
          <w:p w14:paraId="498B7567" w14:textId="77777777" w:rsidR="009E64BF" w:rsidRPr="00A83DC1" w:rsidRDefault="009E64BF" w:rsidP="003D43B7">
            <w:pPr>
              <w:pStyle w:val="Normal6a"/>
            </w:pPr>
          </w:p>
        </w:tc>
      </w:tr>
      <w:tr w:rsidR="00D908F0" w14:paraId="79E03AD9" w14:textId="77777777" w:rsidTr="003D43B7">
        <w:trPr>
          <w:jc w:val="center"/>
        </w:trPr>
        <w:tc>
          <w:tcPr>
            <w:tcW w:w="4875" w:type="dxa"/>
            <w:hideMark/>
          </w:tcPr>
          <w:p w14:paraId="26BCB005" w14:textId="77777777" w:rsidR="009E64BF" w:rsidRPr="00A83DC1" w:rsidRDefault="00914827" w:rsidP="003D43B7">
            <w:pPr>
              <w:pStyle w:val="AmColumnHeading"/>
            </w:pPr>
            <w:r>
              <w:lastRenderedPageBreak/>
              <w:t xml:space="preserve">Textul propus de </w:t>
            </w:r>
            <w:r>
              <w:t>Comisie</w:t>
            </w:r>
          </w:p>
        </w:tc>
        <w:tc>
          <w:tcPr>
            <w:tcW w:w="4875" w:type="dxa"/>
            <w:hideMark/>
          </w:tcPr>
          <w:p w14:paraId="2FB97C3F" w14:textId="77777777" w:rsidR="009E64BF" w:rsidRPr="00A83DC1" w:rsidRDefault="00914827" w:rsidP="003D43B7">
            <w:pPr>
              <w:pStyle w:val="AmColumnHeading"/>
            </w:pPr>
            <w:r>
              <w:t>Amendamentul</w:t>
            </w:r>
          </w:p>
        </w:tc>
      </w:tr>
      <w:tr w:rsidR="00D908F0" w14:paraId="63BF718B" w14:textId="77777777" w:rsidTr="003D43B7">
        <w:trPr>
          <w:jc w:val="center"/>
        </w:trPr>
        <w:tc>
          <w:tcPr>
            <w:tcW w:w="4875" w:type="dxa"/>
          </w:tcPr>
          <w:p w14:paraId="2A3E9F5A" w14:textId="77777777" w:rsidR="009E64BF" w:rsidRPr="00A83DC1" w:rsidRDefault="00914827" w:rsidP="003D43B7">
            <w:pPr>
              <w:pStyle w:val="Normal6a"/>
            </w:pPr>
            <w:r>
              <w:t>3.</w:t>
            </w:r>
            <w:r>
              <w:tab/>
              <w:t xml:space="preserve">Cu excepția instrumentelor financiare din cadrul (Fondului) CEI, în cazul în care sprijinul din partea Uniunii este furnizat sub forma unei garanții bugetare sau a unui instrument financiar, inclusiv atunci când este </w:t>
            </w:r>
            <w:r>
              <w:t>combinat cu sprijin nerambursabil în cadrul unei operațiuni de finanțare mixtă, trebuie furnizat exclusiv prin intermediul instrumentului InvestEU al Fondului european pentru competitivitate și implementat în conformitate cu normele aplicabile ale instrumentului InvestEU al Fondului european pentru competitivitate prin acorduri de contribuție sau de garanție încheiate în acel scop. În cazul în care programul utilizează instrumentul InvestEU al FEC, acesta furnizează provizionarea pentru garanția bugetară și</w:t>
            </w:r>
            <w:r>
              <w:t xml:space="preserve"> finanțarea pentru instrumentele financiare, inclusiv atunci când este combinat cu sprijin nerambursabil sub forma unei operațiuni de finanțare mixtă.</w:t>
            </w:r>
            <w:r>
              <w:rPr>
                <w:i/>
              </w:rPr>
              <w:t> </w:t>
            </w:r>
          </w:p>
        </w:tc>
        <w:tc>
          <w:tcPr>
            <w:tcW w:w="4875" w:type="dxa"/>
          </w:tcPr>
          <w:p w14:paraId="3F7417BD" w14:textId="77777777" w:rsidR="009E64BF" w:rsidRPr="00A83DC1" w:rsidRDefault="00914827" w:rsidP="003D43B7">
            <w:pPr>
              <w:pStyle w:val="Normal6a"/>
            </w:pPr>
            <w:r>
              <w:t>3.</w:t>
            </w:r>
            <w:r>
              <w:tab/>
              <w:t xml:space="preserve">Cu excepția instrumentelor financiare din cadrul (Fondului) CEI, </w:t>
            </w:r>
            <w:r>
              <w:rPr>
                <w:b/>
                <w:i/>
              </w:rPr>
              <w:t>inclusiv Fondul „Scaleup Europe”,</w:t>
            </w:r>
            <w:r>
              <w:t xml:space="preserve"> în cazul în care sprijinul din partea Uniunii este furnizat sub forma unei garanții bugetare sau a unui instrument financiar, inclusiv atunci când este combinat cu sprijin nerambursabil în cadrul unei operațiuni de finanțare mixtă, trebuie furnizat exclusiv prin intermediul instrumentului InvestEU al Fondului european pentru competitivitate și implementat în conformitate cu normele aplicabile ale instrumentul</w:t>
            </w:r>
            <w:r>
              <w:t>ui InvestEU al Fondului european pentru competitivitate prin acorduri de contribuție sau de garanție încheiate în acel scop. În cazul în care programul utilizează instrumentul InvestEU al FEC, acesta furnizează provizionarea pentru garanția bugetară și finanțarea pentru instrumentele financiare, inclusiv atunci când este combinat cu sprijin nerambursabil sub forma unei operațiuni de finanțare mixtă</w:t>
            </w:r>
            <w:r>
              <w:rPr>
                <w:b/>
                <w:i/>
              </w:rPr>
              <w:t>, în limita sumei maxime a garanției bugetare introduse prin Regulamentul MIE</w:t>
            </w:r>
            <w:r>
              <w:t>.</w:t>
            </w:r>
            <w:r>
              <w:rPr>
                <w:i/>
              </w:rPr>
              <w:t> </w:t>
            </w:r>
          </w:p>
        </w:tc>
      </w:tr>
    </w:tbl>
    <w:p w14:paraId="4273D111" w14:textId="77777777" w:rsidR="009E64BF" w:rsidRPr="00A83DC1" w:rsidRDefault="00914827" w:rsidP="007E03E2">
      <w:pPr>
        <w:pStyle w:val="AmNumberTabs"/>
        <w:rPr>
          <w:rStyle w:val="HideTWBExt"/>
          <w:rFonts w:ascii="Times New Roman" w:hAnsi="Times New Roman" w:cs="Times New Roman"/>
          <w:noProof w:val="0"/>
          <w:vanish w:val="0"/>
          <w:color w:val="auto"/>
          <w:sz w:val="24"/>
        </w:rPr>
      </w:pPr>
      <w:r>
        <w:rPr>
          <w:rStyle w:val="HideTWBExt"/>
        </w:rPr>
        <w:t>&lt;/Amend&gt;</w:t>
      </w:r>
    </w:p>
    <w:bookmarkEnd w:id="1"/>
    <w:p w14:paraId="70283E68" w14:textId="77777777" w:rsidR="00E81E17" w:rsidRPr="00A83DC1" w:rsidRDefault="00914827" w:rsidP="00C878DE">
      <w:r>
        <w:rPr>
          <w:rStyle w:val="HideTWBExt"/>
        </w:rPr>
        <w:t>&lt;/RepeatBlock-Amend&gt;</w:t>
      </w:r>
    </w:p>
    <w:p w14:paraId="52EF15B0" w14:textId="77777777" w:rsidR="00017014" w:rsidRPr="00A83DC1" w:rsidRDefault="00017014" w:rsidP="00017014">
      <w:pPr>
        <w:pStyle w:val="Footprint12b"/>
        <w:sectPr w:rsidR="00017014" w:rsidRPr="00A83DC1" w:rsidSect="00017014">
          <w:pgSz w:w="11894" w:h="15840"/>
          <w:pgMar w:top="1700" w:right="1417" w:bottom="1417" w:left="1417" w:header="720" w:footer="720" w:gutter="0"/>
          <w:cols w:space="720"/>
          <w:noEndnote/>
          <w:docGrid w:linePitch="326"/>
        </w:sectPr>
      </w:pPr>
    </w:p>
    <w:p w14:paraId="391FEF28" w14:textId="77777777" w:rsidR="00017014" w:rsidRPr="00A83DC1" w:rsidRDefault="00914827" w:rsidP="00017014">
      <w:pPr>
        <w:pStyle w:val="PageHeadingNotTOC"/>
      </w:pPr>
      <w:bookmarkStart w:id="4" w:name="FootprintPageAD"/>
      <w:r>
        <w:lastRenderedPageBreak/>
        <w:t>ANEXĂ: DECLARAȚIE PRIVIND CONTRIBUȚIILE</w:t>
      </w:r>
    </w:p>
    <w:p w14:paraId="1926B2CA" w14:textId="77777777" w:rsidR="00017014" w:rsidRPr="00A83DC1" w:rsidRDefault="00914827" w:rsidP="00017014">
      <w:pPr>
        <w:pStyle w:val="Normal24a"/>
      </w:pPr>
      <w:r>
        <w:rPr>
          <w:rStyle w:val="HideTWBExt"/>
        </w:rPr>
        <w:t>&lt;FootprintIntro&gt;</w:t>
      </w:r>
      <w:r>
        <w:t>În conformitate cu articolul 8 din anexa I la Regulamentul de procedură, raportorul pentru evaluare bugetară declară că a inclus în evaluarea sa bugetară contribuții privind aspecte care țin de subiectul dosarului, pe care le-a primit pentru elaborarea evaluării bugetare, înainte de adoptarea acesteia în comisie, de la următorii reprezentanți de interese care intră sub incidența Acordului interinstituțional privind un registru de transparență obligatoriu</w:t>
      </w:r>
      <w:r>
        <w:rPr>
          <w:rStyle w:val="FootnoteReference"/>
        </w:rPr>
        <w:footnoteReference w:id="3"/>
      </w:r>
      <w:r>
        <w:t xml:space="preserve"> sau de la următorii reprezentanți ai autorităților publice din țările terțe, inclusiv misiuni diplomatice și ambasade ale acestora:</w:t>
      </w:r>
      <w:r>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gridCol w:w="34"/>
      </w:tblGrid>
      <w:tr w:rsidR="00D908F0" w14:paraId="7DD230A3" w14:textId="77777777" w:rsidTr="006F2815">
        <w:tc>
          <w:tcPr>
            <w:tcW w:w="9050" w:type="dxa"/>
            <w:gridSpan w:val="2"/>
            <w:shd w:val="clear" w:color="auto" w:fill="auto"/>
          </w:tcPr>
          <w:p w14:paraId="7CA5C060" w14:textId="77777777" w:rsidR="00017014" w:rsidRPr="00A83DC1" w:rsidRDefault="00914827" w:rsidP="006F2815">
            <w:pPr>
              <w:pStyle w:val="NormalBoldCenter"/>
            </w:pPr>
            <w:r>
              <w:t>1. Reprezentanți de interese care intră sub incidența Acordului interinstituțional privind un registru de transparență obligatoriu</w:t>
            </w:r>
          </w:p>
        </w:tc>
      </w:tr>
      <w:tr w:rsidR="00D908F0" w14:paraId="4B6CB9DD" w14:textId="77777777" w:rsidTr="006F2815">
        <w:tc>
          <w:tcPr>
            <w:tcW w:w="9050" w:type="dxa"/>
            <w:gridSpan w:val="2"/>
            <w:shd w:val="clear" w:color="auto" w:fill="auto"/>
          </w:tcPr>
          <w:p w14:paraId="03A0D089" w14:textId="77777777" w:rsidR="00017014" w:rsidRPr="00A83DC1" w:rsidRDefault="00914827" w:rsidP="006F2815">
            <w:pPr>
              <w:pStyle w:val="NormalSingle"/>
            </w:pPr>
            <w:r>
              <w:t>Marie Curie Alumni Association</w:t>
            </w:r>
          </w:p>
        </w:tc>
      </w:tr>
      <w:tr w:rsidR="00D908F0" w14:paraId="4F7EADB4" w14:textId="77777777" w:rsidTr="006F2815">
        <w:trPr>
          <w:gridAfter w:val="1"/>
          <w:wAfter w:w="34" w:type="dxa"/>
        </w:trPr>
        <w:tc>
          <w:tcPr>
            <w:tcW w:w="9050" w:type="dxa"/>
            <w:shd w:val="clear" w:color="auto" w:fill="auto"/>
          </w:tcPr>
          <w:p w14:paraId="25231F90" w14:textId="77777777" w:rsidR="00017014" w:rsidRPr="00A83DC1" w:rsidRDefault="00914827" w:rsidP="006F2815">
            <w:pPr>
              <w:pStyle w:val="NormalBoldCenter"/>
            </w:pPr>
            <w:r>
              <w:t xml:space="preserve">2. </w:t>
            </w:r>
            <w:r>
              <w:t>Reprezentanți ai autorităților publice din țările terțe, inclusiv misiuni diplomatice și ambasade ale acestora</w:t>
            </w:r>
          </w:p>
        </w:tc>
      </w:tr>
      <w:tr w:rsidR="00D908F0" w14:paraId="67896886" w14:textId="77777777" w:rsidTr="006F2815">
        <w:trPr>
          <w:gridAfter w:val="1"/>
          <w:wAfter w:w="34" w:type="dxa"/>
        </w:trPr>
        <w:tc>
          <w:tcPr>
            <w:tcW w:w="9050" w:type="dxa"/>
            <w:shd w:val="clear" w:color="auto" w:fill="auto"/>
          </w:tcPr>
          <w:p w14:paraId="49DABCCA" w14:textId="77777777" w:rsidR="00446D42" w:rsidRPr="00A83DC1" w:rsidRDefault="00914827" w:rsidP="00446D42">
            <w:pPr>
              <w:pStyle w:val="NormalBoldCenter"/>
              <w:jc w:val="left"/>
            </w:pPr>
            <w:r>
              <w:t>Nu au existat</w:t>
            </w:r>
          </w:p>
        </w:tc>
      </w:tr>
    </w:tbl>
    <w:p w14:paraId="1D7BC009" w14:textId="77777777" w:rsidR="00017014" w:rsidRPr="00A83DC1" w:rsidRDefault="00914827" w:rsidP="00017014">
      <w:pPr>
        <w:pStyle w:val="Footprint12b"/>
      </w:pPr>
      <w:r>
        <w:t>Raportorul elaborează lista de mai sus pe propria răspundere.</w:t>
      </w:r>
    </w:p>
    <w:p w14:paraId="2F82ED91" w14:textId="10B14754" w:rsidR="00017014" w:rsidRPr="00A83DC1" w:rsidRDefault="00914827" w:rsidP="00017014">
      <w:pPr>
        <w:pStyle w:val="Footprint12b"/>
      </w:pPr>
      <w:r>
        <w:t xml:space="preserve">Dacă în listă sunt identificate persoane fizice prin numele sau </w:t>
      </w:r>
      <w:r>
        <w:t>funcția lor ori prin ambele, raportorul declară că a transmis persoanelor fizice în cauză Avizul nr. 484 al Parlamentului European privind protecția datelor (</w:t>
      </w:r>
      <w:hyperlink r:id="rId16" w:tooltip="https://www.europarl.europa.eu/data-protect/index.do" w:history="1">
        <w:r w:rsidR="00017014">
          <w:rPr>
            <w:rStyle w:val="Hyperlink"/>
          </w:rPr>
          <w:t>https://www.europarl.europa.eu/data-protect/index.do</w:t>
        </w:r>
      </w:hyperlink>
      <w:r>
        <w:t>), în care sunt stabilite condițiile în care sunt prelucrate datele lor cu caracter personal, precum și drepturile legate de prelucrarea respectivă.</w:t>
      </w:r>
    </w:p>
    <w:bookmarkEnd w:id="4"/>
    <w:p w14:paraId="4CE0946A" w14:textId="77777777" w:rsidR="00017014" w:rsidRPr="008665FF" w:rsidRDefault="00017014" w:rsidP="008665FF"/>
    <w:p w14:paraId="5EAA7DF3" w14:textId="77777777" w:rsidR="00017014" w:rsidRPr="008665FF" w:rsidRDefault="00017014" w:rsidP="008665FF">
      <w:pPr>
        <w:sectPr w:rsidR="00017014" w:rsidRPr="008665FF" w:rsidSect="00017014">
          <w:pgSz w:w="11894" w:h="15840"/>
          <w:pgMar w:top="1700" w:right="1417" w:bottom="1417" w:left="1417" w:header="720" w:footer="720" w:gutter="0"/>
          <w:cols w:space="720"/>
          <w:noEndnote/>
          <w:docGrid w:linePitch="326"/>
        </w:sectPr>
      </w:pPr>
    </w:p>
    <w:p w14:paraId="4DAEAC24" w14:textId="77777777" w:rsidR="008665FF" w:rsidRDefault="00914827" w:rsidP="008665FF">
      <w:pPr>
        <w:pStyle w:val="PageHeadingNotTOC"/>
      </w:pPr>
      <w:bookmarkStart w:id="5" w:name="ProcPageAD"/>
      <w:r>
        <w:lastRenderedPageBreak/>
        <w:t>PROCEDURA COMISIEI SESIZATE PENTRU EVALUARE BUDGETARĂ</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D908F0" w14:paraId="3EAFFA8D"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10ECB40" w14:textId="77777777" w:rsidR="008665FF" w:rsidRDefault="00914827">
            <w:pPr>
              <w:autoSpaceDE w:val="0"/>
              <w:autoSpaceDN w:val="0"/>
              <w:adjustRightInd w:val="0"/>
              <w:rPr>
                <w:b/>
                <w:bCs/>
                <w:color w:val="000000"/>
                <w:sz w:val="20"/>
              </w:rPr>
            </w:pPr>
            <w:r>
              <w:rPr>
                <w:b/>
                <w:color w:val="000000"/>
                <w:sz w:val="20"/>
              </w:rPr>
              <w:t>Titlu</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F983ED9" w14:textId="77777777" w:rsidR="008665FF" w:rsidRDefault="00914827">
            <w:pPr>
              <w:autoSpaceDE w:val="0"/>
              <w:autoSpaceDN w:val="0"/>
              <w:adjustRightInd w:val="0"/>
              <w:rPr>
                <w:color w:val="000000"/>
                <w:sz w:val="20"/>
              </w:rPr>
            </w:pPr>
            <w:r>
              <w:rPr>
                <w:color w:val="000000"/>
                <w:sz w:val="20"/>
              </w:rPr>
              <w:t xml:space="preserve">Instituirea programului-cadru pentru cercetare și inovare Orizont Europa pentru perioada 2028-2034, stabilirea normelor sale de participare și de diseminare și </w:t>
            </w:r>
            <w:r>
              <w:rPr>
                <w:color w:val="000000"/>
                <w:sz w:val="20"/>
              </w:rPr>
              <w:t>abrogarea Regulamentului (UE) 2021/695</w:t>
            </w:r>
          </w:p>
        </w:tc>
      </w:tr>
      <w:tr w:rsidR="00D908F0" w14:paraId="3558F80F"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02BC679" w14:textId="77777777" w:rsidR="008665FF" w:rsidRDefault="00914827">
            <w:pPr>
              <w:autoSpaceDE w:val="0"/>
              <w:autoSpaceDN w:val="0"/>
              <w:adjustRightInd w:val="0"/>
              <w:rPr>
                <w:b/>
                <w:bCs/>
                <w:color w:val="000000"/>
                <w:sz w:val="20"/>
              </w:rPr>
            </w:pPr>
            <w:r>
              <w:rPr>
                <w:b/>
                <w:color w:val="000000"/>
                <w:sz w:val="20"/>
              </w:rPr>
              <w:t>Referințe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2A69BBDE" w14:textId="77777777" w:rsidR="008665FF" w:rsidRDefault="00914827">
            <w:pPr>
              <w:autoSpaceDE w:val="0"/>
              <w:autoSpaceDN w:val="0"/>
              <w:adjustRightInd w:val="0"/>
              <w:rPr>
                <w:color w:val="000000"/>
                <w:sz w:val="20"/>
              </w:rPr>
            </w:pPr>
            <w:r>
              <w:rPr>
                <w:color w:val="000000"/>
                <w:sz w:val="20"/>
              </w:rPr>
              <w:t>COM(2025)0543 – C10-0164/2025 – 2025/0543(COD)</w:t>
            </w:r>
          </w:p>
        </w:tc>
      </w:tr>
      <w:tr w:rsidR="00D908F0" w14:paraId="0927FF4D"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1313975" w14:textId="77777777" w:rsidR="008665FF" w:rsidRDefault="00914827">
            <w:pPr>
              <w:autoSpaceDE w:val="0"/>
              <w:autoSpaceDN w:val="0"/>
              <w:adjustRightInd w:val="0"/>
              <w:rPr>
                <w:b/>
                <w:bCs/>
                <w:color w:val="000000"/>
                <w:sz w:val="20"/>
              </w:rPr>
            </w:pPr>
            <w:r>
              <w:rPr>
                <w:b/>
                <w:color w:val="000000"/>
                <w:sz w:val="20"/>
              </w:rPr>
              <w:t>Comisie competentă</w:t>
            </w:r>
          </w:p>
          <w:p w14:paraId="48760775" w14:textId="77777777" w:rsidR="008665FF" w:rsidRDefault="00914827">
            <w:pPr>
              <w:autoSpaceDE w:val="0"/>
              <w:autoSpaceDN w:val="0"/>
              <w:adjustRightInd w:val="0"/>
              <w:rPr>
                <w:color w:val="000000"/>
                <w:sz w:val="20"/>
              </w:rPr>
            </w:pPr>
            <w:r>
              <w:rPr>
                <w:color w:val="000000"/>
                <w:sz w:val="20"/>
              </w:rPr>
              <w:t>       Data anunțului în plen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308F80E" w14:textId="77777777" w:rsidR="008665FF" w:rsidRDefault="00914827">
            <w:pPr>
              <w:autoSpaceDE w:val="0"/>
              <w:autoSpaceDN w:val="0"/>
              <w:adjustRightInd w:val="0"/>
              <w:rPr>
                <w:color w:val="000000"/>
                <w:sz w:val="20"/>
              </w:rPr>
            </w:pPr>
            <w:r>
              <w:rPr>
                <w:color w:val="000000"/>
                <w:sz w:val="20"/>
              </w:rPr>
              <w:t>ITRE</w:t>
            </w:r>
          </w:p>
          <w:p w14:paraId="3A212826" w14:textId="77777777" w:rsidR="008665FF" w:rsidRDefault="00914827">
            <w:pPr>
              <w:autoSpaceDE w:val="0"/>
              <w:autoSpaceDN w:val="0"/>
              <w:adjustRightInd w:val="0"/>
              <w:rPr>
                <w:color w:val="000000"/>
                <w:sz w:val="20"/>
              </w:rPr>
            </w:pPr>
            <w:r>
              <w:rPr>
                <w:color w:val="000000"/>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50E0569" w14:textId="77777777" w:rsidR="008665FF" w:rsidRDefault="008665F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5F24B30" w14:textId="77777777" w:rsidR="008665FF" w:rsidRDefault="008665F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B3B3333" w14:textId="77777777" w:rsidR="008665FF" w:rsidRDefault="008665FF">
            <w:pPr>
              <w:autoSpaceDE w:val="0"/>
              <w:autoSpaceDN w:val="0"/>
              <w:adjustRightInd w:val="0"/>
              <w:rPr>
                <w:rFonts w:ascii="sans-serif" w:hAnsi="sans-serif" w:cs="sans-serif"/>
                <w:color w:val="000000"/>
              </w:rPr>
            </w:pPr>
          </w:p>
        </w:tc>
      </w:tr>
      <w:tr w:rsidR="00D908F0" w14:paraId="56E2C99B"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E79E34B" w14:textId="77777777" w:rsidR="008665FF" w:rsidRDefault="00914827">
            <w:pPr>
              <w:autoSpaceDE w:val="0"/>
              <w:autoSpaceDN w:val="0"/>
              <w:adjustRightInd w:val="0"/>
              <w:rPr>
                <w:b/>
                <w:bCs/>
                <w:color w:val="000000"/>
                <w:sz w:val="20"/>
              </w:rPr>
            </w:pPr>
            <w:r>
              <w:rPr>
                <w:b/>
                <w:color w:val="000000"/>
                <w:sz w:val="20"/>
              </w:rPr>
              <w:t>Evaluare bugetară de către</w:t>
            </w:r>
          </w:p>
          <w:p w14:paraId="0511A88A" w14:textId="77777777" w:rsidR="008665FF" w:rsidRDefault="00914827">
            <w:pPr>
              <w:autoSpaceDE w:val="0"/>
              <w:autoSpaceDN w:val="0"/>
              <w:adjustRightInd w:val="0"/>
              <w:rPr>
                <w:color w:val="000000"/>
                <w:sz w:val="20"/>
              </w:rPr>
            </w:pPr>
            <w:r>
              <w:rPr>
                <w:color w:val="000000"/>
                <w:sz w:val="20"/>
              </w:rPr>
              <w:t>       Data anunțului în plen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17B6604" w14:textId="77777777" w:rsidR="008665FF" w:rsidRDefault="00914827">
            <w:pPr>
              <w:autoSpaceDE w:val="0"/>
              <w:autoSpaceDN w:val="0"/>
              <w:adjustRightInd w:val="0"/>
              <w:rPr>
                <w:color w:val="000000"/>
                <w:sz w:val="20"/>
              </w:rPr>
            </w:pPr>
            <w:r>
              <w:rPr>
                <w:color w:val="000000"/>
                <w:sz w:val="20"/>
              </w:rPr>
              <w:t>BUDG</w:t>
            </w:r>
          </w:p>
          <w:p w14:paraId="46055D8D" w14:textId="77777777" w:rsidR="008665FF" w:rsidRDefault="00914827">
            <w:pPr>
              <w:autoSpaceDE w:val="0"/>
              <w:autoSpaceDN w:val="0"/>
              <w:adjustRightInd w:val="0"/>
              <w:rPr>
                <w:color w:val="000000"/>
                <w:sz w:val="20"/>
              </w:rPr>
            </w:pPr>
            <w:r>
              <w:rPr>
                <w:color w:val="000000"/>
                <w:sz w:val="20"/>
              </w:rPr>
              <w:t>23.10.2025</w:t>
            </w:r>
          </w:p>
        </w:tc>
      </w:tr>
      <w:tr w:rsidR="00D908F0" w14:paraId="15BC4EB7"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55D21EA" w14:textId="77777777" w:rsidR="008665FF" w:rsidRDefault="00914827">
            <w:pPr>
              <w:autoSpaceDE w:val="0"/>
              <w:autoSpaceDN w:val="0"/>
              <w:adjustRightInd w:val="0"/>
              <w:rPr>
                <w:b/>
                <w:bCs/>
                <w:color w:val="000000"/>
                <w:sz w:val="20"/>
              </w:rPr>
            </w:pPr>
            <w:r>
              <w:rPr>
                <w:b/>
                <w:color w:val="000000"/>
                <w:sz w:val="20"/>
              </w:rPr>
              <w:t>Raportor pentru evaluare bugetară</w:t>
            </w:r>
          </w:p>
          <w:p w14:paraId="70EAE958" w14:textId="77777777" w:rsidR="008665FF" w:rsidRDefault="00914827">
            <w:pPr>
              <w:autoSpaceDE w:val="0"/>
              <w:autoSpaceDN w:val="0"/>
              <w:adjustRightInd w:val="0"/>
              <w:rPr>
                <w:color w:val="000000"/>
                <w:sz w:val="20"/>
              </w:rPr>
            </w:pPr>
            <w:r>
              <w:rPr>
                <w:color w:val="000000"/>
                <w:sz w:val="20"/>
              </w:rPr>
              <w:t>       Data numirii</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F06BEEA" w14:textId="77777777" w:rsidR="008665FF" w:rsidRDefault="00914827">
            <w:pPr>
              <w:autoSpaceDE w:val="0"/>
              <w:autoSpaceDN w:val="0"/>
              <w:adjustRightInd w:val="0"/>
              <w:rPr>
                <w:color w:val="000000"/>
                <w:sz w:val="20"/>
              </w:rPr>
            </w:pPr>
            <w:r>
              <w:rPr>
                <w:color w:val="000000"/>
                <w:sz w:val="20"/>
              </w:rPr>
              <w:t>Hélder Sousa Silva</w:t>
            </w:r>
          </w:p>
          <w:p w14:paraId="40D71137" w14:textId="77777777" w:rsidR="008665FF" w:rsidRDefault="00914827">
            <w:pPr>
              <w:autoSpaceDE w:val="0"/>
              <w:autoSpaceDN w:val="0"/>
              <w:adjustRightInd w:val="0"/>
              <w:rPr>
                <w:color w:val="000000"/>
                <w:sz w:val="20"/>
              </w:rPr>
            </w:pPr>
            <w:r>
              <w:rPr>
                <w:color w:val="000000"/>
                <w:sz w:val="20"/>
              </w:rPr>
              <w:t>13.1.2026</w:t>
            </w:r>
          </w:p>
        </w:tc>
      </w:tr>
      <w:tr w:rsidR="00D908F0" w14:paraId="5639C55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4246CE3" w14:textId="77777777" w:rsidR="008665FF" w:rsidRDefault="00914827">
            <w:pPr>
              <w:autoSpaceDE w:val="0"/>
              <w:autoSpaceDN w:val="0"/>
              <w:adjustRightInd w:val="0"/>
              <w:rPr>
                <w:b/>
                <w:bCs/>
                <w:color w:val="000000"/>
                <w:sz w:val="20"/>
              </w:rPr>
            </w:pPr>
            <w:r>
              <w:rPr>
                <w:b/>
                <w:color w:val="000000"/>
                <w:sz w:val="20"/>
              </w:rPr>
              <w:t>Examinare în comisie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4723953" w14:textId="77777777" w:rsidR="008665FF" w:rsidRDefault="00914827">
            <w:pPr>
              <w:autoSpaceDE w:val="0"/>
              <w:autoSpaceDN w:val="0"/>
              <w:adjustRightInd w:val="0"/>
              <w:rPr>
                <w:color w:val="000000"/>
                <w:sz w:val="20"/>
              </w:rPr>
            </w:pPr>
            <w:r>
              <w:rPr>
                <w:color w:val="000000"/>
                <w:sz w:val="20"/>
              </w:rPr>
              <w:t>8.4.2026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D0DFE8B" w14:textId="77777777" w:rsidR="008665FF" w:rsidRDefault="008665F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CEAE8B9" w14:textId="77777777" w:rsidR="008665FF" w:rsidRDefault="008665FF">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AEECCF6" w14:textId="77777777" w:rsidR="008665FF" w:rsidRDefault="008665FF">
            <w:pPr>
              <w:autoSpaceDE w:val="0"/>
              <w:autoSpaceDN w:val="0"/>
              <w:adjustRightInd w:val="0"/>
              <w:rPr>
                <w:rFonts w:ascii="sans-serif" w:hAnsi="sans-serif" w:cs="sans-serif"/>
                <w:color w:val="000000"/>
              </w:rPr>
            </w:pPr>
          </w:p>
        </w:tc>
      </w:tr>
      <w:tr w:rsidR="00D908F0" w14:paraId="36D4EA21" w14:textId="7777777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0154A1DB" w14:textId="77777777" w:rsidR="008665FF" w:rsidRDefault="00914827">
            <w:pPr>
              <w:autoSpaceDE w:val="0"/>
              <w:autoSpaceDN w:val="0"/>
              <w:adjustRightInd w:val="0"/>
              <w:rPr>
                <w:b/>
                <w:bCs/>
                <w:color w:val="000000"/>
                <w:sz w:val="20"/>
              </w:rPr>
            </w:pPr>
            <w:r>
              <w:rPr>
                <w:b/>
                <w:color w:val="000000"/>
                <w:sz w:val="20"/>
              </w:rPr>
              <w:t>Data adoptării</w:t>
            </w:r>
          </w:p>
        </w:tc>
        <w:tc>
          <w:tcPr>
            <w:tcW w:w="1530" w:type="dxa"/>
            <w:tcBorders>
              <w:top w:val="nil"/>
              <w:left w:val="nil"/>
              <w:bottom w:val="single" w:sz="8" w:space="0" w:color="000000"/>
              <w:right w:val="nil"/>
            </w:tcBorders>
            <w:tcMar>
              <w:top w:w="79" w:type="dxa"/>
              <w:left w:w="79" w:type="dxa"/>
              <w:bottom w:w="79" w:type="dxa"/>
              <w:right w:w="79" w:type="dxa"/>
            </w:tcMar>
          </w:tcPr>
          <w:p w14:paraId="26D1FCB7" w14:textId="77777777" w:rsidR="008665FF" w:rsidRDefault="00914827">
            <w:pPr>
              <w:autoSpaceDE w:val="0"/>
              <w:autoSpaceDN w:val="0"/>
              <w:adjustRightInd w:val="0"/>
              <w:rPr>
                <w:color w:val="000000"/>
                <w:sz w:val="20"/>
              </w:rPr>
            </w:pPr>
            <w:r>
              <w:rPr>
                <w:color w:val="000000"/>
                <w:sz w:val="20"/>
              </w:rPr>
              <w:t>23.6.2026</w:t>
            </w:r>
          </w:p>
        </w:tc>
        <w:tc>
          <w:tcPr>
            <w:tcW w:w="1474" w:type="dxa"/>
            <w:tcBorders>
              <w:top w:val="nil"/>
              <w:left w:val="nil"/>
              <w:bottom w:val="single" w:sz="8" w:space="0" w:color="000000"/>
              <w:right w:val="nil"/>
            </w:tcBorders>
            <w:tcMar>
              <w:top w:w="79" w:type="dxa"/>
              <w:left w:w="79" w:type="dxa"/>
              <w:bottom w:w="79" w:type="dxa"/>
              <w:right w:w="79" w:type="dxa"/>
            </w:tcMar>
          </w:tcPr>
          <w:p w14:paraId="60D8CE1F" w14:textId="77777777" w:rsidR="008665FF" w:rsidRDefault="008665FF">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78687834" w14:textId="77777777" w:rsidR="008665FF" w:rsidRDefault="008665FF">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5AD84B7D" w14:textId="77777777" w:rsidR="008665FF" w:rsidRDefault="008665FF">
            <w:pPr>
              <w:autoSpaceDE w:val="0"/>
              <w:autoSpaceDN w:val="0"/>
              <w:adjustRightInd w:val="0"/>
              <w:rPr>
                <w:rFonts w:ascii="sans-serif" w:hAnsi="sans-serif" w:cs="sans-serif"/>
                <w:color w:val="000000"/>
              </w:rPr>
            </w:pPr>
          </w:p>
        </w:tc>
      </w:tr>
      <w:tr w:rsidR="00D908F0" w14:paraId="51305DA4"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126C729" w14:textId="77777777" w:rsidR="008665FF" w:rsidRDefault="00914827">
            <w:pPr>
              <w:autoSpaceDE w:val="0"/>
              <w:autoSpaceDN w:val="0"/>
              <w:adjustRightInd w:val="0"/>
              <w:rPr>
                <w:b/>
                <w:bCs/>
                <w:color w:val="000000"/>
                <w:sz w:val="20"/>
              </w:rPr>
            </w:pPr>
            <w:r>
              <w:rPr>
                <w:b/>
                <w:color w:val="000000"/>
                <w:sz w:val="20"/>
              </w:rPr>
              <w:t>Rezultatul votului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7B33B32" w14:textId="77777777" w:rsidR="008665FF" w:rsidRDefault="00914827">
            <w:pPr>
              <w:autoSpaceDE w:val="0"/>
              <w:autoSpaceDN w:val="0"/>
              <w:adjustRightInd w:val="0"/>
              <w:rPr>
                <w:color w:val="000000"/>
                <w:sz w:val="20"/>
              </w:rPr>
            </w:pPr>
            <w:r>
              <w:rPr>
                <w:color w:val="000000"/>
                <w:sz w:val="20"/>
              </w:rPr>
              <w:t>+:</w:t>
            </w:r>
          </w:p>
          <w:p w14:paraId="61F2DC0E" w14:textId="77777777" w:rsidR="008665FF" w:rsidRDefault="00914827">
            <w:pPr>
              <w:autoSpaceDE w:val="0"/>
              <w:autoSpaceDN w:val="0"/>
              <w:adjustRightInd w:val="0"/>
              <w:rPr>
                <w:color w:val="000000"/>
                <w:sz w:val="20"/>
              </w:rPr>
            </w:pPr>
            <w:r>
              <w:rPr>
                <w:color w:val="000000"/>
                <w:sz w:val="20"/>
              </w:rPr>
              <w:t>–:</w:t>
            </w:r>
          </w:p>
          <w:p w14:paraId="3CF0FEB2" w14:textId="77777777" w:rsidR="008665FF" w:rsidRDefault="00914827">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467C4F0" w14:textId="77777777" w:rsidR="008665FF" w:rsidRDefault="00914827">
            <w:pPr>
              <w:autoSpaceDE w:val="0"/>
              <w:autoSpaceDN w:val="0"/>
              <w:adjustRightInd w:val="0"/>
              <w:rPr>
                <w:color w:val="000000"/>
                <w:sz w:val="20"/>
              </w:rPr>
            </w:pPr>
            <w:r>
              <w:rPr>
                <w:color w:val="000000"/>
                <w:sz w:val="20"/>
              </w:rPr>
              <w:t>29</w:t>
            </w:r>
          </w:p>
          <w:p w14:paraId="1BFAEF99" w14:textId="77777777" w:rsidR="008665FF" w:rsidRDefault="00914827">
            <w:pPr>
              <w:autoSpaceDE w:val="0"/>
              <w:autoSpaceDN w:val="0"/>
              <w:adjustRightInd w:val="0"/>
              <w:rPr>
                <w:color w:val="000000"/>
                <w:sz w:val="20"/>
              </w:rPr>
            </w:pPr>
            <w:r>
              <w:rPr>
                <w:color w:val="000000"/>
                <w:sz w:val="20"/>
              </w:rPr>
              <w:t>4</w:t>
            </w:r>
          </w:p>
          <w:p w14:paraId="04C69435" w14:textId="77777777" w:rsidR="008665FF" w:rsidRDefault="00914827">
            <w:pPr>
              <w:autoSpaceDE w:val="0"/>
              <w:autoSpaceDN w:val="0"/>
              <w:adjustRightInd w:val="0"/>
              <w:rPr>
                <w:color w:val="000000"/>
                <w:sz w:val="20"/>
              </w:rPr>
            </w:pPr>
            <w:r>
              <w:rPr>
                <w:color w:val="000000"/>
                <w:sz w:val="20"/>
              </w:rPr>
              <w:t>1</w:t>
            </w:r>
          </w:p>
        </w:tc>
      </w:tr>
    </w:tbl>
    <w:p w14:paraId="478532BF" w14:textId="77777777" w:rsidR="008665FF" w:rsidRDefault="008665FF"/>
    <w:bookmarkEnd w:id="5"/>
    <w:p w14:paraId="5BF89EE1" w14:textId="77777777" w:rsidR="00784770" w:rsidRPr="008665FF" w:rsidRDefault="00784770" w:rsidP="008665FF">
      <w:pPr>
        <w:sectPr w:rsidR="00784770" w:rsidRPr="008665FF" w:rsidSect="00017014">
          <w:pgSz w:w="11894" w:h="15840"/>
          <w:pgMar w:top="1700" w:right="1417" w:bottom="1417" w:left="1417" w:header="720" w:footer="720" w:gutter="0"/>
          <w:cols w:space="720"/>
          <w:noEndnote/>
          <w:docGrid w:linePitch="326"/>
        </w:sectPr>
      </w:pPr>
    </w:p>
    <w:p w14:paraId="6BF4013E" w14:textId="77777777" w:rsidR="00784770" w:rsidRPr="00A83DC1" w:rsidRDefault="00914827" w:rsidP="00C36610">
      <w:pPr>
        <w:pStyle w:val="PageHeadingNotTOC"/>
      </w:pPr>
      <w:bookmarkStart w:id="6" w:name="RollCallPageAD"/>
      <w:r>
        <w:lastRenderedPageBreak/>
        <w:t>VOT FINAL PRIN APEL NOMINAL</w:t>
      </w:r>
      <w:r>
        <w:br/>
        <w:t xml:space="preserve">DE CĂTRE </w:t>
      </w:r>
      <w:r>
        <w:t>COMISIA SESIZATĂ PENTRU EVALUARE BUGETARĂ</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D908F0" w14:paraId="33CFFB85" w14:textId="77777777" w:rsidTr="008920AC">
        <w:trPr>
          <w:cantSplit/>
        </w:trPr>
        <w:tc>
          <w:tcPr>
            <w:tcW w:w="1701" w:type="dxa"/>
            <w:shd w:val="pct10" w:color="000000" w:fill="FFFFFF"/>
            <w:vAlign w:val="center"/>
          </w:tcPr>
          <w:p w14:paraId="0AE089C2" w14:textId="77777777" w:rsidR="00784770" w:rsidRPr="00A83DC1" w:rsidRDefault="00914827" w:rsidP="003858C5">
            <w:pPr>
              <w:pStyle w:val="RollCallVotes"/>
            </w:pPr>
            <w:r>
              <w:t>29</w:t>
            </w:r>
          </w:p>
        </w:tc>
        <w:tc>
          <w:tcPr>
            <w:tcW w:w="7371" w:type="dxa"/>
            <w:shd w:val="pct10" w:color="000000" w:fill="FFFFFF"/>
          </w:tcPr>
          <w:p w14:paraId="6311900C" w14:textId="77777777" w:rsidR="00784770" w:rsidRPr="00A83DC1" w:rsidRDefault="00914827" w:rsidP="003858C5">
            <w:pPr>
              <w:pStyle w:val="RollCallSymbols14pt"/>
            </w:pPr>
            <w:r>
              <w:t>+</w:t>
            </w:r>
          </w:p>
        </w:tc>
      </w:tr>
      <w:tr w:rsidR="00D908F0" w14:paraId="0BC820FF" w14:textId="77777777" w:rsidTr="008920AC">
        <w:trPr>
          <w:cantSplit/>
        </w:trPr>
        <w:tc>
          <w:tcPr>
            <w:tcW w:w="1701" w:type="dxa"/>
            <w:shd w:val="clear" w:color="auto" w:fill="FFFFFF"/>
          </w:tcPr>
          <w:p w14:paraId="4CF0EB04" w14:textId="77777777" w:rsidR="00784770" w:rsidRPr="00A83DC1" w:rsidRDefault="00914827" w:rsidP="003858C5">
            <w:pPr>
              <w:pStyle w:val="RollCallTable"/>
            </w:pPr>
            <w:r>
              <w:t>ECR</w:t>
            </w:r>
          </w:p>
        </w:tc>
        <w:tc>
          <w:tcPr>
            <w:tcW w:w="7371" w:type="dxa"/>
            <w:shd w:val="clear" w:color="auto" w:fill="FFFFFF"/>
          </w:tcPr>
          <w:p w14:paraId="5174E027" w14:textId="77777777" w:rsidR="00784770" w:rsidRPr="00A83DC1" w:rsidRDefault="00914827" w:rsidP="003858C5">
            <w:pPr>
              <w:pStyle w:val="RollCallTable"/>
            </w:pPr>
            <w:r>
              <w:t>Tobiasz Bocheński, Arkadiusz Mularczyk, Bogdan Rzońca</w:t>
            </w:r>
          </w:p>
        </w:tc>
      </w:tr>
      <w:tr w:rsidR="00D908F0" w14:paraId="626BCE31" w14:textId="77777777" w:rsidTr="008920AC">
        <w:trPr>
          <w:cantSplit/>
        </w:trPr>
        <w:tc>
          <w:tcPr>
            <w:tcW w:w="1701" w:type="dxa"/>
            <w:shd w:val="clear" w:color="auto" w:fill="FFFFFF"/>
          </w:tcPr>
          <w:p w14:paraId="17A68E89" w14:textId="77777777" w:rsidR="00784770" w:rsidRPr="00A83DC1" w:rsidRDefault="00914827" w:rsidP="003858C5">
            <w:pPr>
              <w:pStyle w:val="RollCallTable"/>
            </w:pPr>
            <w:r>
              <w:t>PPE</w:t>
            </w:r>
          </w:p>
        </w:tc>
        <w:tc>
          <w:tcPr>
            <w:tcW w:w="7371" w:type="dxa"/>
            <w:shd w:val="clear" w:color="auto" w:fill="FFFFFF"/>
          </w:tcPr>
          <w:p w14:paraId="6BB6E493" w14:textId="77777777" w:rsidR="00784770" w:rsidRPr="00A83DC1" w:rsidRDefault="00914827" w:rsidP="003858C5">
            <w:pPr>
              <w:pStyle w:val="RollCallTable"/>
            </w:pPr>
            <w:r>
              <w:t xml:space="preserve">Isabel Benjumea Benjumea, Michalis Hadjipantela, Andrzej Halicki, Monika Hohlmeier, Janusz Lewandowski, Gabriel Mato, Danuše Nerudová, Karlo </w:t>
            </w:r>
            <w:r>
              <w:t>Ressler, Hélder Sousa Silva</w:t>
            </w:r>
          </w:p>
        </w:tc>
      </w:tr>
      <w:tr w:rsidR="00D908F0" w14:paraId="7C3E8954" w14:textId="77777777" w:rsidTr="008920AC">
        <w:trPr>
          <w:cantSplit/>
        </w:trPr>
        <w:tc>
          <w:tcPr>
            <w:tcW w:w="1701" w:type="dxa"/>
            <w:shd w:val="clear" w:color="auto" w:fill="FFFFFF"/>
          </w:tcPr>
          <w:p w14:paraId="5CD21221" w14:textId="77777777" w:rsidR="00784770" w:rsidRPr="00A83DC1" w:rsidRDefault="00914827" w:rsidP="003858C5">
            <w:pPr>
              <w:pStyle w:val="RollCallTable"/>
            </w:pPr>
            <w:r>
              <w:t>PfE</w:t>
            </w:r>
          </w:p>
        </w:tc>
        <w:tc>
          <w:tcPr>
            <w:tcW w:w="7371" w:type="dxa"/>
            <w:shd w:val="clear" w:color="auto" w:fill="FFFFFF"/>
          </w:tcPr>
          <w:p w14:paraId="020E5E26" w14:textId="77777777" w:rsidR="00784770" w:rsidRPr="00A83DC1" w:rsidRDefault="00914827" w:rsidP="003858C5">
            <w:pPr>
              <w:pStyle w:val="RollCallTable"/>
            </w:pPr>
            <w:r>
              <w:t>Tomasz Buczek, Tamás Deutsch, Antonín Staněk</w:t>
            </w:r>
          </w:p>
        </w:tc>
      </w:tr>
      <w:tr w:rsidR="00D908F0" w14:paraId="7A4366E6" w14:textId="77777777" w:rsidTr="008920AC">
        <w:trPr>
          <w:cantSplit/>
        </w:trPr>
        <w:tc>
          <w:tcPr>
            <w:tcW w:w="1701" w:type="dxa"/>
            <w:shd w:val="clear" w:color="auto" w:fill="FFFFFF"/>
          </w:tcPr>
          <w:p w14:paraId="06275E32" w14:textId="77777777" w:rsidR="00784770" w:rsidRPr="00A83DC1" w:rsidRDefault="00914827" w:rsidP="003858C5">
            <w:pPr>
              <w:pStyle w:val="RollCallTable"/>
            </w:pPr>
            <w:r>
              <w:t>Renew</w:t>
            </w:r>
          </w:p>
        </w:tc>
        <w:tc>
          <w:tcPr>
            <w:tcW w:w="7371" w:type="dxa"/>
            <w:shd w:val="clear" w:color="auto" w:fill="FFFFFF"/>
          </w:tcPr>
          <w:p w14:paraId="2F556654" w14:textId="77777777" w:rsidR="00784770" w:rsidRPr="00A83DC1" w:rsidRDefault="00914827" w:rsidP="003858C5">
            <w:pPr>
              <w:pStyle w:val="RollCallTable"/>
            </w:pPr>
            <w:r>
              <w:t>Olivier Chastel, Fabienne Keller, Lucia Yar</w:t>
            </w:r>
          </w:p>
        </w:tc>
      </w:tr>
      <w:tr w:rsidR="00D908F0" w14:paraId="54EB9BC8" w14:textId="77777777" w:rsidTr="008920AC">
        <w:trPr>
          <w:cantSplit/>
        </w:trPr>
        <w:tc>
          <w:tcPr>
            <w:tcW w:w="1701" w:type="dxa"/>
            <w:shd w:val="clear" w:color="auto" w:fill="FFFFFF"/>
          </w:tcPr>
          <w:p w14:paraId="06CF8337" w14:textId="77777777" w:rsidR="00784770" w:rsidRPr="00A83DC1" w:rsidRDefault="00914827" w:rsidP="003858C5">
            <w:pPr>
              <w:pStyle w:val="RollCallTable"/>
            </w:pPr>
            <w:r>
              <w:t>S&amp;D</w:t>
            </w:r>
          </w:p>
        </w:tc>
        <w:tc>
          <w:tcPr>
            <w:tcW w:w="7371" w:type="dxa"/>
            <w:shd w:val="clear" w:color="auto" w:fill="FFFFFF"/>
          </w:tcPr>
          <w:p w14:paraId="61E9799E" w14:textId="77777777" w:rsidR="00784770" w:rsidRPr="00A83DC1" w:rsidRDefault="00914827" w:rsidP="003858C5">
            <w:pPr>
              <w:pStyle w:val="RollCallTable"/>
            </w:pPr>
            <w:r>
              <w:t xml:space="preserve">Mohammed Chahim, Matthias Ecke, Nikolas Farantouris, Jean-Marc Germain, Sandra Gómez López, Victor Negrescu, Matjaž </w:t>
            </w:r>
            <w:r>
              <w:t>Nemec, Nils Ušakovs</w:t>
            </w:r>
          </w:p>
        </w:tc>
      </w:tr>
      <w:tr w:rsidR="00D908F0" w14:paraId="269D364F" w14:textId="77777777" w:rsidTr="008920AC">
        <w:trPr>
          <w:cantSplit/>
        </w:trPr>
        <w:tc>
          <w:tcPr>
            <w:tcW w:w="1701" w:type="dxa"/>
            <w:shd w:val="clear" w:color="auto" w:fill="FFFFFF"/>
          </w:tcPr>
          <w:p w14:paraId="6DC42B62" w14:textId="77777777" w:rsidR="00784770" w:rsidRPr="00A83DC1" w:rsidRDefault="00914827" w:rsidP="003858C5">
            <w:pPr>
              <w:pStyle w:val="RollCallTable"/>
            </w:pPr>
            <w:r>
              <w:t>Verts/ALE</w:t>
            </w:r>
          </w:p>
        </w:tc>
        <w:tc>
          <w:tcPr>
            <w:tcW w:w="7371" w:type="dxa"/>
            <w:shd w:val="clear" w:color="auto" w:fill="FFFFFF"/>
          </w:tcPr>
          <w:p w14:paraId="19C145BD" w14:textId="77777777" w:rsidR="00784770" w:rsidRPr="00A83DC1" w:rsidRDefault="00914827" w:rsidP="003858C5">
            <w:pPr>
              <w:pStyle w:val="RollCallTable"/>
            </w:pPr>
            <w:r>
              <w:t>Ignazio Roberto Marino, Rasmus Nordqvist, Nicolae Ștefănuță</w:t>
            </w:r>
          </w:p>
        </w:tc>
      </w:tr>
    </w:tbl>
    <w:p w14:paraId="78393596" w14:textId="77777777" w:rsidR="00784770" w:rsidRPr="00A83DC1" w:rsidRDefault="00784770"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D908F0" w14:paraId="5E2420A5" w14:textId="77777777" w:rsidTr="008920AC">
        <w:trPr>
          <w:cantSplit/>
        </w:trPr>
        <w:tc>
          <w:tcPr>
            <w:tcW w:w="1701" w:type="dxa"/>
            <w:shd w:val="pct10" w:color="000000" w:fill="FFFFFF"/>
            <w:vAlign w:val="center"/>
          </w:tcPr>
          <w:p w14:paraId="45C9A0DF" w14:textId="77777777" w:rsidR="00784770" w:rsidRPr="00A83DC1" w:rsidRDefault="00914827" w:rsidP="003858C5">
            <w:pPr>
              <w:pStyle w:val="RollCallVotes"/>
            </w:pPr>
            <w:r>
              <w:t>4</w:t>
            </w:r>
          </w:p>
        </w:tc>
        <w:tc>
          <w:tcPr>
            <w:tcW w:w="7371" w:type="dxa"/>
            <w:shd w:val="pct10" w:color="000000" w:fill="FFFFFF"/>
          </w:tcPr>
          <w:p w14:paraId="632D5BB5" w14:textId="77777777" w:rsidR="00784770" w:rsidRPr="00A83DC1" w:rsidRDefault="00914827" w:rsidP="003858C5">
            <w:pPr>
              <w:pStyle w:val="RollCallSymbols14pt"/>
            </w:pPr>
            <w:r>
              <w:t>-</w:t>
            </w:r>
          </w:p>
        </w:tc>
      </w:tr>
      <w:tr w:rsidR="00D908F0" w14:paraId="2B90B7A9" w14:textId="77777777" w:rsidTr="008920AC">
        <w:trPr>
          <w:cantSplit/>
        </w:trPr>
        <w:tc>
          <w:tcPr>
            <w:tcW w:w="1701" w:type="dxa"/>
            <w:shd w:val="clear" w:color="auto" w:fill="FFFFFF"/>
          </w:tcPr>
          <w:p w14:paraId="2B053761" w14:textId="77777777" w:rsidR="00784770" w:rsidRPr="00A83DC1" w:rsidRDefault="00914827" w:rsidP="003858C5">
            <w:pPr>
              <w:pStyle w:val="RollCallTable"/>
            </w:pPr>
            <w:r>
              <w:t>ESN</w:t>
            </w:r>
          </w:p>
        </w:tc>
        <w:tc>
          <w:tcPr>
            <w:tcW w:w="7371" w:type="dxa"/>
            <w:shd w:val="clear" w:color="auto" w:fill="FFFFFF"/>
          </w:tcPr>
          <w:p w14:paraId="022A4B20" w14:textId="77777777" w:rsidR="00784770" w:rsidRPr="00A83DC1" w:rsidRDefault="00914827" w:rsidP="003858C5">
            <w:pPr>
              <w:pStyle w:val="RollCallTable"/>
            </w:pPr>
            <w:r>
              <w:t>Alexander Jungbluth</w:t>
            </w:r>
          </w:p>
        </w:tc>
      </w:tr>
      <w:tr w:rsidR="00D908F0" w14:paraId="13C2C8F8" w14:textId="77777777" w:rsidTr="008920AC">
        <w:trPr>
          <w:cantSplit/>
        </w:trPr>
        <w:tc>
          <w:tcPr>
            <w:tcW w:w="1701" w:type="dxa"/>
            <w:shd w:val="clear" w:color="auto" w:fill="FFFFFF"/>
          </w:tcPr>
          <w:p w14:paraId="69E2883D" w14:textId="77777777" w:rsidR="00784770" w:rsidRPr="00A83DC1" w:rsidRDefault="00914827" w:rsidP="003858C5">
            <w:pPr>
              <w:pStyle w:val="RollCallTable"/>
            </w:pPr>
            <w:r>
              <w:t>NI</w:t>
            </w:r>
          </w:p>
        </w:tc>
        <w:tc>
          <w:tcPr>
            <w:tcW w:w="7371" w:type="dxa"/>
            <w:shd w:val="clear" w:color="auto" w:fill="FFFFFF"/>
          </w:tcPr>
          <w:p w14:paraId="329185B2" w14:textId="77777777" w:rsidR="00784770" w:rsidRPr="00A83DC1" w:rsidRDefault="00914827" w:rsidP="003858C5">
            <w:pPr>
              <w:pStyle w:val="RollCallTable"/>
            </w:pPr>
            <w:r>
              <w:t>Thomas Geisel</w:t>
            </w:r>
          </w:p>
        </w:tc>
      </w:tr>
      <w:tr w:rsidR="00D908F0" w14:paraId="1CD671C9" w14:textId="77777777" w:rsidTr="008920AC">
        <w:trPr>
          <w:cantSplit/>
        </w:trPr>
        <w:tc>
          <w:tcPr>
            <w:tcW w:w="1701" w:type="dxa"/>
            <w:shd w:val="clear" w:color="auto" w:fill="FFFFFF"/>
          </w:tcPr>
          <w:p w14:paraId="32A49AA0" w14:textId="77777777" w:rsidR="00784770" w:rsidRPr="00A83DC1" w:rsidRDefault="00914827" w:rsidP="003858C5">
            <w:pPr>
              <w:pStyle w:val="RollCallTable"/>
            </w:pPr>
            <w:r>
              <w:t>PfE</w:t>
            </w:r>
          </w:p>
        </w:tc>
        <w:tc>
          <w:tcPr>
            <w:tcW w:w="7371" w:type="dxa"/>
            <w:shd w:val="clear" w:color="auto" w:fill="FFFFFF"/>
          </w:tcPr>
          <w:p w14:paraId="6FCCBF5E" w14:textId="77777777" w:rsidR="00784770" w:rsidRPr="00A83DC1" w:rsidRDefault="00914827" w:rsidP="003858C5">
            <w:pPr>
              <w:pStyle w:val="RollCallTable"/>
            </w:pPr>
            <w:r>
              <w:t>Valérie Deloge, Aleksandar Nikolic</w:t>
            </w:r>
          </w:p>
        </w:tc>
      </w:tr>
    </w:tbl>
    <w:p w14:paraId="69D7F094" w14:textId="77777777" w:rsidR="00784770" w:rsidRPr="00A83DC1" w:rsidRDefault="00784770"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D908F0" w14:paraId="27A43F50" w14:textId="77777777" w:rsidTr="008920AC">
        <w:trPr>
          <w:cantSplit/>
        </w:trPr>
        <w:tc>
          <w:tcPr>
            <w:tcW w:w="1701" w:type="dxa"/>
            <w:shd w:val="pct10" w:color="000000" w:fill="FFFFFF"/>
            <w:vAlign w:val="center"/>
          </w:tcPr>
          <w:p w14:paraId="1C353F53" w14:textId="77777777" w:rsidR="00784770" w:rsidRPr="00A83DC1" w:rsidRDefault="00914827" w:rsidP="003858C5">
            <w:pPr>
              <w:pStyle w:val="RollCallVotes"/>
            </w:pPr>
            <w:r>
              <w:t>1</w:t>
            </w:r>
          </w:p>
        </w:tc>
        <w:tc>
          <w:tcPr>
            <w:tcW w:w="7371" w:type="dxa"/>
            <w:shd w:val="pct10" w:color="000000" w:fill="FFFFFF"/>
          </w:tcPr>
          <w:p w14:paraId="41CB19A9" w14:textId="77777777" w:rsidR="00784770" w:rsidRPr="00A83DC1" w:rsidRDefault="00914827" w:rsidP="003858C5">
            <w:pPr>
              <w:pStyle w:val="RollCallSymbols14pt"/>
            </w:pPr>
            <w:r>
              <w:t>0</w:t>
            </w:r>
          </w:p>
        </w:tc>
      </w:tr>
      <w:tr w:rsidR="00D908F0" w14:paraId="56F52EDD" w14:textId="77777777" w:rsidTr="008920AC">
        <w:trPr>
          <w:cantSplit/>
        </w:trPr>
        <w:tc>
          <w:tcPr>
            <w:tcW w:w="1701" w:type="dxa"/>
            <w:shd w:val="clear" w:color="auto" w:fill="FFFFFF"/>
          </w:tcPr>
          <w:p w14:paraId="631DAE83" w14:textId="77777777" w:rsidR="00784770" w:rsidRPr="00A83DC1" w:rsidRDefault="00914827" w:rsidP="003858C5">
            <w:pPr>
              <w:pStyle w:val="RollCallTable"/>
            </w:pPr>
            <w:r>
              <w:t>The Left</w:t>
            </w:r>
          </w:p>
        </w:tc>
        <w:tc>
          <w:tcPr>
            <w:tcW w:w="7371" w:type="dxa"/>
            <w:shd w:val="clear" w:color="auto" w:fill="FFFFFF"/>
          </w:tcPr>
          <w:p w14:paraId="04BCB840" w14:textId="77777777" w:rsidR="00784770" w:rsidRPr="00A83DC1" w:rsidRDefault="00914827" w:rsidP="003858C5">
            <w:pPr>
              <w:pStyle w:val="RollCallTable"/>
            </w:pPr>
            <w:r>
              <w:t>João Oliveira</w:t>
            </w:r>
          </w:p>
        </w:tc>
      </w:tr>
    </w:tbl>
    <w:p w14:paraId="1713B64B" w14:textId="77777777" w:rsidR="00784770" w:rsidRPr="00A83DC1" w:rsidRDefault="00784770" w:rsidP="00147FBF">
      <w:pPr>
        <w:pStyle w:val="Normal12a"/>
      </w:pPr>
    </w:p>
    <w:p w14:paraId="6A452533" w14:textId="77777777" w:rsidR="00784770" w:rsidRPr="00A83DC1" w:rsidRDefault="00914827" w:rsidP="00B735E3">
      <w:r>
        <w:t>Legenda simbolurilor utilizate:</w:t>
      </w:r>
    </w:p>
    <w:p w14:paraId="79B0FA14" w14:textId="77777777" w:rsidR="00784770" w:rsidRPr="00A83DC1" w:rsidRDefault="00914827" w:rsidP="003858C5">
      <w:pPr>
        <w:pStyle w:val="RollCallTabs"/>
      </w:pPr>
      <w:r>
        <w:t>+</w:t>
      </w:r>
      <w:r>
        <w:tab/>
        <w:t>:</w:t>
      </w:r>
      <w:r>
        <w:tab/>
      </w:r>
      <w:r>
        <w:t>pentru</w:t>
      </w:r>
    </w:p>
    <w:p w14:paraId="1576C854" w14:textId="77777777" w:rsidR="00784770" w:rsidRPr="00A83DC1" w:rsidRDefault="00914827" w:rsidP="003858C5">
      <w:pPr>
        <w:pStyle w:val="RollCallTabs"/>
      </w:pPr>
      <w:r>
        <w:t>-</w:t>
      </w:r>
      <w:r>
        <w:tab/>
        <w:t>:</w:t>
      </w:r>
      <w:r>
        <w:tab/>
        <w:t>împotrivă</w:t>
      </w:r>
    </w:p>
    <w:p w14:paraId="08F00A1F" w14:textId="77777777" w:rsidR="00784770" w:rsidRPr="00A83DC1" w:rsidRDefault="00914827" w:rsidP="003858C5">
      <w:pPr>
        <w:pStyle w:val="RollCallTabs"/>
      </w:pPr>
      <w:r>
        <w:t>0</w:t>
      </w:r>
      <w:r>
        <w:tab/>
        <w:t>:</w:t>
      </w:r>
      <w:r>
        <w:tab/>
        <w:t>abțineri</w:t>
      </w:r>
    </w:p>
    <w:bookmarkEnd w:id="6"/>
    <w:sectPr w:rsidR="00784770" w:rsidRPr="00A83DC1" w:rsidSect="00017014">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63374" w14:textId="77777777" w:rsidR="00914827" w:rsidRDefault="00914827">
      <w:r>
        <w:separator/>
      </w:r>
    </w:p>
  </w:endnote>
  <w:endnote w:type="continuationSeparator" w:id="0">
    <w:p w14:paraId="234A369F" w14:textId="77777777" w:rsidR="00914827" w:rsidRDefault="0091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A2F5B" w14:textId="77777777" w:rsidR="004D5760" w:rsidRPr="00A83DC1" w:rsidRDefault="00914827" w:rsidP="004D5760">
    <w:pPr>
      <w:pStyle w:val="EPFooter"/>
    </w:pPr>
    <w:r w:rsidRPr="00A83DC1">
      <w:t>PE</w:t>
    </w:r>
    <w:r w:rsidRPr="00A83DC1">
      <w:rPr>
        <w:rStyle w:val="HideTWBExt"/>
      </w:rPr>
      <w:t>&lt;NoPE&gt;</w:t>
    </w:r>
    <w:r w:rsidRPr="00A83DC1">
      <w:t>782.453</w:t>
    </w:r>
    <w:r w:rsidRPr="00A83DC1">
      <w:rPr>
        <w:rStyle w:val="HideTWBExt"/>
      </w:rPr>
      <w:t>&lt;/NoPE&gt;&lt;Version&gt;</w:t>
    </w:r>
    <w:r w:rsidRPr="00A83DC1">
      <w:t>v03-00</w:t>
    </w:r>
    <w:r w:rsidRPr="00A83DC1">
      <w:rPr>
        <w:rStyle w:val="HideTWBExt"/>
      </w:rPr>
      <w:t>&lt;/Version&gt;</w:t>
    </w:r>
    <w:r w:rsidRPr="00A83DC1">
      <w:tab/>
    </w:r>
    <w:r w:rsidRPr="00A83DC1">
      <w:fldChar w:fldCharType="begin"/>
    </w:r>
    <w:r w:rsidRPr="00A83DC1">
      <w:instrText xml:space="preserve"> PAGE  \* MERGEFORMAT </w:instrText>
    </w:r>
    <w:r w:rsidRPr="00A83DC1">
      <w:fldChar w:fldCharType="separate"/>
    </w:r>
    <w:r w:rsidRPr="00A83DC1">
      <w:rPr>
        <w:noProof/>
      </w:rPr>
      <w:t>16</w:t>
    </w:r>
    <w:r w:rsidRPr="00A83DC1">
      <w:fldChar w:fldCharType="end"/>
    </w:r>
    <w:r w:rsidRPr="00A83DC1">
      <w:t>/</w:t>
    </w:r>
    <w:r w:rsidRPr="00A83DC1">
      <w:fldChar w:fldCharType="begin"/>
    </w:r>
    <w:r>
      <w:instrText xml:space="preserve"> NUMPAGES  \* MERGEFORMAT </w:instrText>
    </w:r>
    <w:r w:rsidRPr="00A83DC1">
      <w:fldChar w:fldCharType="separate"/>
    </w:r>
    <w:r w:rsidRPr="00A83DC1">
      <w:rPr>
        <w:noProof/>
      </w:rPr>
      <w:t>17</w:t>
    </w:r>
    <w:r w:rsidRPr="00A83DC1">
      <w:rPr>
        <w:noProof/>
      </w:rPr>
      <w:fldChar w:fldCharType="end"/>
    </w:r>
    <w:r w:rsidRPr="00A83DC1">
      <w:tab/>
    </w:r>
    <w:r w:rsidRPr="00A83DC1">
      <w:rPr>
        <w:rStyle w:val="HideTWBExt"/>
      </w:rPr>
      <w:t>&lt;PathFdR&gt;</w:t>
    </w:r>
    <w:r w:rsidRPr="00A83DC1">
      <w:t>AD\1342281RO.docx</w:t>
    </w:r>
    <w:r w:rsidRPr="00A83DC1">
      <w:rPr>
        <w:rStyle w:val="HideTWBExt"/>
      </w:rPr>
      <w:t>&lt;/PathFdR&gt;</w:t>
    </w:r>
  </w:p>
  <w:p w14:paraId="69479524" w14:textId="77777777" w:rsidR="002E2F2E" w:rsidRPr="00A83DC1" w:rsidRDefault="00914827" w:rsidP="004D5760">
    <w:pPr>
      <w:pStyle w:val="EPFooter2"/>
    </w:pPr>
    <w:r w:rsidRPr="00A83DC1">
      <w:t>RO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F2AAD" w14:textId="77777777" w:rsidR="004D5760" w:rsidRPr="00A83DC1" w:rsidRDefault="00914827" w:rsidP="004D5760">
    <w:pPr>
      <w:pStyle w:val="EPFooter"/>
    </w:pPr>
    <w:r w:rsidRPr="00A83DC1">
      <w:rPr>
        <w:rStyle w:val="HideTWBExt"/>
      </w:rPr>
      <w:t>&lt;PathFdR&gt;</w:t>
    </w:r>
    <w:r w:rsidRPr="00A83DC1">
      <w:t>AD\1342281RO.docx</w:t>
    </w:r>
    <w:r w:rsidRPr="00A83DC1">
      <w:rPr>
        <w:rStyle w:val="HideTWBExt"/>
      </w:rPr>
      <w:t>&lt;/PathFdR&gt;</w:t>
    </w:r>
    <w:r w:rsidRPr="00A83DC1">
      <w:tab/>
    </w:r>
    <w:r w:rsidRPr="00A83DC1">
      <w:fldChar w:fldCharType="begin"/>
    </w:r>
    <w:r w:rsidRPr="00A83DC1">
      <w:instrText xml:space="preserve"> PAGE  \* MERGEFORMAT </w:instrText>
    </w:r>
    <w:r w:rsidRPr="00A83DC1">
      <w:fldChar w:fldCharType="separate"/>
    </w:r>
    <w:r w:rsidRPr="00A83DC1">
      <w:rPr>
        <w:noProof/>
      </w:rPr>
      <w:t>17</w:t>
    </w:r>
    <w:r w:rsidRPr="00A83DC1">
      <w:fldChar w:fldCharType="end"/>
    </w:r>
    <w:r w:rsidRPr="00A83DC1">
      <w:t>/</w:t>
    </w:r>
    <w:r w:rsidRPr="00A83DC1">
      <w:fldChar w:fldCharType="begin"/>
    </w:r>
    <w:r>
      <w:instrText xml:space="preserve"> NUMPAGES  \* MERGEFORMAT </w:instrText>
    </w:r>
    <w:r w:rsidRPr="00A83DC1">
      <w:fldChar w:fldCharType="separate"/>
    </w:r>
    <w:r w:rsidRPr="00A83DC1">
      <w:rPr>
        <w:noProof/>
      </w:rPr>
      <w:t>17</w:t>
    </w:r>
    <w:r w:rsidRPr="00A83DC1">
      <w:rPr>
        <w:noProof/>
      </w:rPr>
      <w:fldChar w:fldCharType="end"/>
    </w:r>
    <w:r w:rsidRPr="00A83DC1">
      <w:tab/>
      <w:t>PE</w:t>
    </w:r>
    <w:r w:rsidRPr="00A83DC1">
      <w:rPr>
        <w:rStyle w:val="HideTWBExt"/>
      </w:rPr>
      <w:t>&lt;NoPE&gt;</w:t>
    </w:r>
    <w:r w:rsidRPr="00A83DC1">
      <w:t>782.453</w:t>
    </w:r>
    <w:r w:rsidRPr="00A83DC1">
      <w:rPr>
        <w:rStyle w:val="HideTWBExt"/>
      </w:rPr>
      <w:t>&lt;/NoPE&gt;&lt;Version&gt;</w:t>
    </w:r>
    <w:r w:rsidRPr="00A83DC1">
      <w:t>v03-00</w:t>
    </w:r>
    <w:r w:rsidRPr="00A83DC1">
      <w:rPr>
        <w:rStyle w:val="HideTWBExt"/>
      </w:rPr>
      <w:t>&lt;/Version&gt;</w:t>
    </w:r>
  </w:p>
  <w:p w14:paraId="04B5132E" w14:textId="77777777" w:rsidR="002E2F2E" w:rsidRPr="00A83DC1" w:rsidRDefault="00914827" w:rsidP="004D5760">
    <w:pPr>
      <w:pStyle w:val="EPFooter2"/>
    </w:pPr>
    <w:r w:rsidRPr="00A83DC1">
      <w:tab/>
    </w:r>
    <w:r w:rsidRPr="00A83DC1">
      <w:tab/>
      <w:t>RO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4FE0B" w14:textId="77777777" w:rsidR="004D5760" w:rsidRPr="00A83DC1" w:rsidRDefault="00914827" w:rsidP="004D5760">
    <w:pPr>
      <w:pStyle w:val="EPFooter"/>
    </w:pPr>
    <w:r w:rsidRPr="00A83DC1">
      <w:rPr>
        <w:rStyle w:val="HideTWBExt"/>
      </w:rPr>
      <w:t>&lt;PathFdR&gt;</w:t>
    </w:r>
    <w:r w:rsidRPr="00A83DC1">
      <w:t>AD\1342281RO.docx</w:t>
    </w:r>
    <w:r w:rsidRPr="00A83DC1">
      <w:rPr>
        <w:rStyle w:val="HideTWBExt"/>
      </w:rPr>
      <w:t>&lt;/PathFdR&gt;</w:t>
    </w:r>
    <w:r w:rsidRPr="00A83DC1">
      <w:tab/>
    </w:r>
    <w:r w:rsidRPr="00A83DC1">
      <w:tab/>
      <w:t>PE</w:t>
    </w:r>
    <w:r w:rsidRPr="00A83DC1">
      <w:rPr>
        <w:rStyle w:val="HideTWBExt"/>
      </w:rPr>
      <w:t>&lt;NoPE&gt;</w:t>
    </w:r>
    <w:r w:rsidRPr="00A83DC1">
      <w:t>782.453</w:t>
    </w:r>
    <w:r w:rsidRPr="00A83DC1">
      <w:rPr>
        <w:rStyle w:val="HideTWBExt"/>
      </w:rPr>
      <w:t>&lt;/NoPE&gt;&lt;Version&gt;</w:t>
    </w:r>
    <w:r w:rsidRPr="00A83DC1">
      <w:t>v03-00</w:t>
    </w:r>
    <w:r w:rsidRPr="00A83DC1">
      <w:rPr>
        <w:rStyle w:val="HideTWBExt"/>
      </w:rPr>
      <w:t>&lt;/Version&gt;</w:t>
    </w:r>
  </w:p>
  <w:p w14:paraId="5AE2D6D8" w14:textId="77777777" w:rsidR="002E2F2E" w:rsidRPr="00A83DC1" w:rsidRDefault="00914827" w:rsidP="004D5760">
    <w:pPr>
      <w:pStyle w:val="EPFooter2"/>
    </w:pPr>
    <w:r w:rsidRPr="00A83DC1">
      <w:t>RO</w:t>
    </w:r>
    <w:r w:rsidRPr="00A83DC1">
      <w:tab/>
    </w:r>
    <w:r w:rsidRPr="00A83DC1">
      <w:rPr>
        <w:b w:val="0"/>
        <w:i/>
        <w:color w:val="C0C0C0"/>
        <w:sz w:val="22"/>
      </w:rPr>
      <w:t>Unită în diversitate</w:t>
    </w:r>
    <w:r w:rsidRPr="00A83DC1">
      <w:tab/>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7D5C0" w14:textId="77777777" w:rsidR="00E61C10" w:rsidRPr="00A83DC1" w:rsidRDefault="00914827">
      <w:r w:rsidRPr="00A83DC1">
        <w:separator/>
      </w:r>
    </w:p>
  </w:footnote>
  <w:footnote w:type="continuationSeparator" w:id="0">
    <w:p w14:paraId="7441CBBA" w14:textId="77777777" w:rsidR="00E61C10" w:rsidRPr="00A83DC1" w:rsidRDefault="00914827">
      <w:r w:rsidRPr="00A83DC1">
        <w:continuationSeparator/>
      </w:r>
    </w:p>
  </w:footnote>
  <w:footnote w:id="1">
    <w:p w14:paraId="4B3766CF" w14:textId="77777777" w:rsidR="00217B7E" w:rsidRPr="00A83DC1" w:rsidRDefault="00914827" w:rsidP="00217B7E">
      <w:pPr>
        <w:pStyle w:val="FootnoteText"/>
      </w:pPr>
      <w:r>
        <w:rPr>
          <w:rStyle w:val="FootnoteReference"/>
        </w:rPr>
        <w:footnoteRef/>
      </w:r>
      <w:r>
        <w:t xml:space="preserve"> Documentul de lucru al serviciilor Comisiei din 20 aprilie 2025 intitulat „Interim Evaluation of the Horizon Europe Framework Programme for Research and Innovation (2021-2024)” [Evaluarea intermediară a programului-cadru pentru cercetare și inovare Orizont Europa (2021-2024)] [SWD(2025)0110].</w:t>
      </w:r>
    </w:p>
  </w:footnote>
  <w:footnote w:id="2">
    <w:p w14:paraId="276FE52C" w14:textId="15083041" w:rsidR="00BC5686" w:rsidRPr="00A83DC1" w:rsidRDefault="00914827" w:rsidP="00BC5686">
      <w:pPr>
        <w:pStyle w:val="FootnoteText"/>
      </w:pPr>
      <w:r>
        <w:rPr>
          <w:rStyle w:val="FootnoteReference"/>
        </w:rPr>
        <w:footnoteRef/>
      </w:r>
      <w:r>
        <w:t xml:space="preserve"> Regulamentul (UE, Euratom) 2024/2509 al Parlamentului European și al Consiliului din 23 septembrie 2024 privind normele financiare aplicabile bugetului general al Uniunii (JO L, 2024/2509, ELI: </w:t>
      </w:r>
      <w:hyperlink r:id="rId1" w:tgtFrame="_blank" w:tooltip="Oferă acces la acest document prin identificatorul său uniform de resurse ELI." w:history="1">
        <w:r w:rsidR="00BC5686">
          <w:rPr>
            <w:rStyle w:val="Hyperlink"/>
          </w:rPr>
          <w:t>http://data.europa.eu/eli/reg/2024/2509/oj</w:t>
        </w:r>
      </w:hyperlink>
      <w:r>
        <w:t>).</w:t>
      </w:r>
    </w:p>
    <w:p w14:paraId="0AB797E3" w14:textId="77777777" w:rsidR="00BC5686" w:rsidRPr="00A83DC1" w:rsidRDefault="00BC5686">
      <w:pPr>
        <w:pStyle w:val="FootnoteText"/>
      </w:pPr>
    </w:p>
  </w:footnote>
  <w:footnote w:id="3">
    <w:p w14:paraId="404A9D35" w14:textId="259BC3E0" w:rsidR="00017014" w:rsidRPr="00A83DC1" w:rsidRDefault="00914827" w:rsidP="00017014">
      <w:pPr>
        <w:pStyle w:val="FootnoteText"/>
      </w:pPr>
      <w:r>
        <w:rPr>
          <w:rStyle w:val="FootnoteReference"/>
        </w:rPr>
        <w:footnoteRef/>
      </w:r>
      <w:r>
        <w:t xml:space="preserve"> Acordul interinstituțional din 20 mai 2021 dintre Parlamentul European, Consiliul Uniunii Europene și Comisia Europeană privind un registru de transparență obligatoriu (JO L 207, 11.6.2021, p. 1, ELI: </w:t>
      </w:r>
      <w:hyperlink r:id="rId2" w:tooltip="http://data.europa.eu/eli/agree_interinstit/2021/611/oj" w:history="1">
        <w:r w:rsidR="00017014">
          <w:rPr>
            <w:rStyle w:val="Hyperlink"/>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E4F18" w14:textId="77777777" w:rsidR="008665FF" w:rsidRDefault="008665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0850E" w14:textId="77777777" w:rsidR="008665FF" w:rsidRDefault="008665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437C1" w14:textId="77777777" w:rsidR="008665FF" w:rsidRDefault="008665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F13283C"/>
    <w:multiLevelType w:val="hybridMultilevel"/>
    <w:tmpl w:val="5B46F140"/>
    <w:lvl w:ilvl="0" w:tplc="608662CA">
      <w:start w:val="1"/>
      <w:numFmt w:val="decimal"/>
      <w:lvlText w:val="%1."/>
      <w:lvlJc w:val="left"/>
      <w:pPr>
        <w:ind w:left="1080" w:hanging="720"/>
      </w:pPr>
    </w:lvl>
    <w:lvl w:ilvl="1" w:tplc="43C2D250">
      <w:start w:val="1"/>
      <w:numFmt w:val="lowerLetter"/>
      <w:lvlText w:val="%2."/>
      <w:lvlJc w:val="left"/>
      <w:pPr>
        <w:ind w:left="1440" w:hanging="360"/>
      </w:pPr>
    </w:lvl>
    <w:lvl w:ilvl="2" w:tplc="056EA458">
      <w:start w:val="1"/>
      <w:numFmt w:val="lowerRoman"/>
      <w:lvlText w:val="%3."/>
      <w:lvlJc w:val="right"/>
      <w:pPr>
        <w:ind w:left="2160" w:hanging="180"/>
      </w:pPr>
    </w:lvl>
    <w:lvl w:ilvl="3" w:tplc="54803C1C">
      <w:start w:val="1"/>
      <w:numFmt w:val="decimal"/>
      <w:lvlText w:val="%4."/>
      <w:lvlJc w:val="left"/>
      <w:pPr>
        <w:ind w:left="2880" w:hanging="360"/>
      </w:pPr>
    </w:lvl>
    <w:lvl w:ilvl="4" w:tplc="4B8C9A2E">
      <w:start w:val="1"/>
      <w:numFmt w:val="lowerLetter"/>
      <w:lvlText w:val="%5."/>
      <w:lvlJc w:val="left"/>
      <w:pPr>
        <w:ind w:left="3600" w:hanging="360"/>
      </w:pPr>
    </w:lvl>
    <w:lvl w:ilvl="5" w:tplc="4072B586">
      <w:start w:val="1"/>
      <w:numFmt w:val="lowerRoman"/>
      <w:lvlText w:val="%6."/>
      <w:lvlJc w:val="right"/>
      <w:pPr>
        <w:ind w:left="4320" w:hanging="180"/>
      </w:pPr>
    </w:lvl>
    <w:lvl w:ilvl="6" w:tplc="5D760BD6">
      <w:start w:val="1"/>
      <w:numFmt w:val="decimal"/>
      <w:lvlText w:val="%7."/>
      <w:lvlJc w:val="left"/>
      <w:pPr>
        <w:ind w:left="5040" w:hanging="360"/>
      </w:pPr>
    </w:lvl>
    <w:lvl w:ilvl="7" w:tplc="6AEA09C2">
      <w:start w:val="1"/>
      <w:numFmt w:val="lowerLetter"/>
      <w:lvlText w:val="%8."/>
      <w:lvlJc w:val="left"/>
      <w:pPr>
        <w:ind w:left="5760" w:hanging="360"/>
      </w:pPr>
    </w:lvl>
    <w:lvl w:ilvl="8" w:tplc="9FD8B4D4">
      <w:start w:val="1"/>
      <w:numFmt w:val="lowerRoman"/>
      <w:lvlText w:val="%9."/>
      <w:lvlJc w:val="right"/>
      <w:pPr>
        <w:ind w:left="6480" w:hanging="180"/>
      </w:pPr>
    </w:lvl>
  </w:abstractNum>
  <w:num w:numId="1" w16cid:durableId="1430813154">
    <w:abstractNumId w:val="9"/>
  </w:num>
  <w:num w:numId="2" w16cid:durableId="2063093858">
    <w:abstractNumId w:val="9"/>
  </w:num>
  <w:num w:numId="3" w16cid:durableId="361172421">
    <w:abstractNumId w:val="7"/>
  </w:num>
  <w:num w:numId="4" w16cid:durableId="1058170178">
    <w:abstractNumId w:val="7"/>
  </w:num>
  <w:num w:numId="5" w16cid:durableId="762412137">
    <w:abstractNumId w:val="6"/>
  </w:num>
  <w:num w:numId="6" w16cid:durableId="1160076576">
    <w:abstractNumId w:val="6"/>
  </w:num>
  <w:num w:numId="7" w16cid:durableId="1498111345">
    <w:abstractNumId w:val="5"/>
  </w:num>
  <w:num w:numId="8" w16cid:durableId="1460683345">
    <w:abstractNumId w:val="5"/>
  </w:num>
  <w:num w:numId="9" w16cid:durableId="410003738">
    <w:abstractNumId w:val="4"/>
  </w:num>
  <w:num w:numId="10" w16cid:durableId="1726365935">
    <w:abstractNumId w:val="4"/>
  </w:num>
  <w:num w:numId="11" w16cid:durableId="328140655">
    <w:abstractNumId w:val="8"/>
  </w:num>
  <w:num w:numId="12" w16cid:durableId="1170947739">
    <w:abstractNumId w:val="8"/>
  </w:num>
  <w:num w:numId="13" w16cid:durableId="474568266">
    <w:abstractNumId w:val="3"/>
  </w:num>
  <w:num w:numId="14" w16cid:durableId="1462729716">
    <w:abstractNumId w:val="3"/>
  </w:num>
  <w:num w:numId="15" w16cid:durableId="1651712676">
    <w:abstractNumId w:val="2"/>
  </w:num>
  <w:num w:numId="16" w16cid:durableId="207960257">
    <w:abstractNumId w:val="2"/>
  </w:num>
  <w:num w:numId="17" w16cid:durableId="840856509">
    <w:abstractNumId w:val="1"/>
  </w:num>
  <w:num w:numId="18" w16cid:durableId="1568147373">
    <w:abstractNumId w:val="1"/>
  </w:num>
  <w:num w:numId="19" w16cid:durableId="1116365068">
    <w:abstractNumId w:val="0"/>
  </w:num>
  <w:num w:numId="20" w16cid:durableId="1814253980">
    <w:abstractNumId w:val="0"/>
  </w:num>
  <w:num w:numId="21" w16cid:durableId="566452779">
    <w:abstractNumId w:val="9"/>
  </w:num>
  <w:num w:numId="22" w16cid:durableId="1677267131">
    <w:abstractNumId w:val="7"/>
  </w:num>
  <w:num w:numId="23" w16cid:durableId="1031299402">
    <w:abstractNumId w:val="6"/>
  </w:num>
  <w:num w:numId="24" w16cid:durableId="372849107">
    <w:abstractNumId w:val="5"/>
  </w:num>
  <w:num w:numId="25" w16cid:durableId="1909460531">
    <w:abstractNumId w:val="4"/>
  </w:num>
  <w:num w:numId="26" w16cid:durableId="1494368115">
    <w:abstractNumId w:val="8"/>
  </w:num>
  <w:num w:numId="27" w16cid:durableId="1745910525">
    <w:abstractNumId w:val="3"/>
  </w:num>
  <w:num w:numId="28" w16cid:durableId="1362584610">
    <w:abstractNumId w:val="2"/>
  </w:num>
  <w:num w:numId="29" w16cid:durableId="1495027880">
    <w:abstractNumId w:val="1"/>
  </w:num>
  <w:num w:numId="30" w16cid:durableId="1793591395">
    <w:abstractNumId w:val="0"/>
  </w:num>
  <w:num w:numId="31" w16cid:durableId="397827717">
    <w:abstractNumId w:val="9"/>
  </w:num>
  <w:num w:numId="32" w16cid:durableId="301273040">
    <w:abstractNumId w:val="7"/>
  </w:num>
  <w:num w:numId="33" w16cid:durableId="1726218674">
    <w:abstractNumId w:val="6"/>
  </w:num>
  <w:num w:numId="34" w16cid:durableId="129791181">
    <w:abstractNumId w:val="5"/>
  </w:num>
  <w:num w:numId="35" w16cid:durableId="1382442453">
    <w:abstractNumId w:val="4"/>
  </w:num>
  <w:num w:numId="36" w16cid:durableId="1605922271">
    <w:abstractNumId w:val="8"/>
  </w:num>
  <w:num w:numId="37" w16cid:durableId="1559628368">
    <w:abstractNumId w:val="3"/>
  </w:num>
  <w:num w:numId="38" w16cid:durableId="1839420671">
    <w:abstractNumId w:val="2"/>
  </w:num>
  <w:num w:numId="39" w16cid:durableId="1831142025">
    <w:abstractNumId w:val="1"/>
  </w:num>
  <w:num w:numId="40" w16cid:durableId="54477856">
    <w:abstractNumId w:val="0"/>
  </w:num>
  <w:num w:numId="41" w16cid:durableId="4881390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OPTIONMNU" w:val=" 1"/>
    <w:docVar w:name="AUTHORMFMNU" w:val=" 1"/>
    <w:docVar w:name="CJMNU" w:val="1"/>
    <w:docVar w:name="CODEMNU" w:val=" 3"/>
    <w:docVar w:name="COM2KEY" w:val="ITRE"/>
    <w:docVar w:name="COMKEY" w:val="BUDG"/>
    <w:docVar w:name="CONTRIBUTIONMNU" w:val=" 1"/>
    <w:docVar w:name="CopyToNetwork" w:val="-1"/>
    <w:docVar w:name="DOCDT" w:val="19/03/2026"/>
    <w:docVar w:name="FONCTION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734988 HideTWBExt;}{\*\cs18 \additive \v\f1\fs20\cf15 _x000d__x000a_\spriority0 \styrsid16734988 HideTWBInt;}{\s19\ql \li0\ri0\nowidctlpar\wrapdefault\aspalpha\aspnum\faauto\adjustright\rin0\lin0\itap0 \rtlch\fcs1 \af0\afs20\alang1025 \ltrch\fcs0 \b\fs24\lang2057\langfe2057\cgrid\langnp2057\langfenp2057 _x000d__x000a_\sbasedon0 \snext19 \spriority0 \styrsid16734988 NormalBold;}{\s20\ql \li0\ri0\sa120\nowidctlpar\wrapdefault\aspalpha\aspnum\faauto\adjustright\rin0\lin0\itap0 \rtlch\fcs1 \af0\afs20\alang1025 \ltrch\fcs0 _x000d__x000a_\fs24\lang2057\langfe2057\cgrid\langnp2057\langfenp2057 \sbasedon0 \snext20 \spriority0 \styrsid16734988 Normal6a;}{\s21\qc \li0\ri0\sa240\nowidctlpar\wrapdefault\aspalpha\aspnum\faauto\adjustright\rin0\lin0\itap0 \rtlch\fcs1 \af0\afs20\alang1025 _x000d__x000a_\ltrch\fcs0 \i\fs24\lang2057\langfe2057\cgrid\langnp2057\langfenp2057 \sbasedon0 \snext21 \spriority0 \styrsid16734988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16734988 AmNumberTabs;}{\s23\ql \li0\ri0\sa240\nowidctlpar\wrapdefault\aspalpha\aspnum\faauto\adjustright\rin0\lin0\itap0 \rtlch\fcs1 _x000d__x000a_\af0\afs20\alang1025 \ltrch\fcs0 \i\fs24\lang2057\langfe2057\cgrid\langnp2057\langfenp2057 \sbasedon0 \snext23 \spriority0 \styrsid16734988 AmJustText;}{_x000d__x000a_\s24\qc \li0\ri0\sb240\sa240\nowidctlpar\wrapdefault\aspalpha\aspnum\faauto\adjustright\rin0\lin0\itap0 \rtlch\fcs1 \af0\afs20\alang1025 \ltrch\fcs0 \i\fs24\lang2057\langfe2057\cgrid\langnp2057\langfenp2057 _x000d__x000a_\sbasedon0 \snext24 \spriority0 \styrsid16734988 AmCrossRef;}{\s25\qc \li0\ri0\sb240\sa240\keepn\nowidctlpar\wrapdefault\aspalpha\aspnum\faauto\adjustright\rin0\lin0\itap0 \rtlch\fcs1 \af0\afs20\alang1025 \ltrch\fcs0 _x000d__x000a_\i\fs24\lang2057\langfe2057\cgrid\langnp2057\langfenp2057 \sbasedon0 \snext23 \spriority0 \styrsid16734988 AmJustTitle;}{\s26\ql \li0\ri0\sb240\nowidctlpar\wrapdefault\aspalpha\aspnum\faauto\adjustright\rin0\lin0\itap0 \rtlch\fcs1 \af0\afs20\alang1025 _x000d__x000a_\ltrch\fcs0 \b\fs24\lang2057\langfe2057\cgrid\langnp2057\langfenp2057 \sbasedon0 \snext26 \spriority0 \styrsid16734988 NormalBold12b;}}{\*\rsidtbl \rsid24658\rsid223860\rsid735077\rsid1718133\rsid2892074\rsid3565327\rsid4666813\rsid6641733\rsid7823322_x000d__x000a_\rsid8456582\rsid9636012\rsid10377208\rsid11215221\rsid11549030\rsid12154954\rsid13179141\rsid14382809\rsid14424199\rsid15204470\rsid15285974\rsid15950462\rsid16324206\rsid16662270\rsid16734988}{\mmathPr\mmathFont34\mbrkBin0\mbrkBinSub0\msmallFrac0_x000d__x000a_\mdispDef1\mlMargin0\mrMargin0\mdefJc1\mwrapIndent1440\mintLim0\mnaryLim1}{\info{\author ANDRINO TIZON Rosalina}{\operator ANDRINO TIZON Rosalina}{\creatim\yr2026\mo4\dy23\hr7\min51}{\revtim\yr2026\mo4\dy23\hr7\min51}{\version1}{\edmins0}{\nofpages1}_x000d__x000a_{\nofwords102}{\nofchars599}{\nofcharsws696}{\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734988\newtblstyruls\nogrowautofit\usenormstyforlist\noindnmbrts\felnbrelev\nocxsptable\indrlsweleven\noafcnsttbl\afelev\utinl\hwelev\spltpgpar\notcvasp\notbrkcnstfrctbl\notvatxbx\krnprsnet\cachedcolbal _x000d__x000a_\nouicompat \fet0{\*\wgrffmtfilter 013f}\nofeaturethrottle1\ilfomacatclnup0{\*\template C:\\Users\\randrino\\AppData\\Local\\Temp\\Blank1.dotx}{\*\ftnsep \ltrpar \pard\plain \ltrpar_x000d__x000a_\ql \li0\ri0\widctlpar\wrapdefault\aspalpha\aspnum\faauto\adjustright\rin0\lin0\itap0 \rtlch\fcs1 \af0\afs20\alang1025 \ltrch\fcs0 \fs24\lang2057\langfe2057\cgrid\langnp2057\langfenp2057 {\rtlch\fcs1 \af0 \ltrch\fcs0 \insrsid8456582 \chftnsep _x000d__x000a_\par }}{\*\ftnsepc \ltrpar \pard\plain \ltrpar\ql \li0\ri0\widctlpar\wrapdefault\aspalpha\aspnum\faauto\adjustright\rin0\lin0\itap0 \rtlch\fcs1 \af0\afs20\alang1025 \ltrch\fcs0 \fs24\lang2057\langfe2057\cgrid\langnp2057\langfenp2057 {\rtlch\fcs1 \af0 _x000d__x000a_\ltrch\fcs0 \insrsid8456582 \chftnsepc _x000d__x000a_\par }}{\*\aftnsep \ltrpar \pard\plain \ltrpar\ql \li0\ri0\widctlpar\wrapdefault\aspalpha\aspnum\faauto\adjustright\rin0\lin0\itap0 \rtlch\fcs1 \af0\afs20\alang1025 \ltrch\fcs0 \fs24\lang2057\langfe2057\cgrid\langnp2057\langfenp2057 {\rtlch\fcs1 \af0 _x000d__x000a_\ltrch\fcs0 \insrsid8456582 \chftnsep _x000d__x000a_\par }}{\*\aftnsepc \ltrpar \pard\plain \ltrpar\ql \li0\ri0\widctlpar\wrapdefault\aspalpha\aspnum\faauto\adjustright\rin0\lin0\itap0 \rtlch\fcs1 \af0\afs20\alang1025 \ltrch\fcs0 \fs24\lang2057\langfe2057\cgrid\langnp2057\langfenp2057 {\rtlch\fcs1 \af0 _x000d__x000a_\ltrch\fcs0 \insrsid84565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7366698 \rtlch\fcs1 _x000d__x000a_\af0\afs20\alang1025 \ltrch\fcs0 \b\fs24\lang2057\langfe2057\cgrid\langnp2057\langfenp2057 {\rtlch\fcs1 \af0 \ltrch\fcs0 \cs17\b0\v\fs20\cf9\lang1024\langfe1024\loch\af1\hich\af1\dbch\af31501\noproof\insrsid16734988\charrsid10037553 {\*\bkmkstart restart}_x000d__x000a_\hich\af1\dbch\af31501\loch\f1 &lt;Amend&gt;}{\rtlch\fcs1 \af0 \ltrch\fcs0 \insrsid16734988\charrsid10037553 Amendment\tab \tab }{\rtlch\fcs1 \af0 \ltrch\fcs0 _x000d__x000a_\cs17\b0\v\fs20\cf9\lang1024\langfe1024\loch\af1\hich\af1\dbch\af31501\noproof\insrsid16734988\charrsid10037553 \hich\af1\dbch\af31501\loch\f1 &lt;NumAm&gt;}{\rtlch\fcs1 \af0 \ltrch\fcs0 \insrsid16734988\charrsid10037553 #}{\rtlch\fcs1 \af0 \ltrch\fcs0 _x000d__x000a_\cs18\v\f1\fs20\cf15\insrsid16734988\charrsid10037553 ENMIENDA@NRAM@}{\rtlch\fcs1 \af0 \ltrch\fcs0 \insrsid16734988\charrsid10037553 #}{\rtlch\fcs1 \af0 \ltrch\fcs0 _x000d__x000a_\cs17\b0\v\fs20\cf9\lang1024\langfe1024\loch\af1\hich\af1\dbch\af31501\noproof\insrsid16734988\charrsid10037553 \hich\af1\dbch\af31501\loch\f1 &lt;/NumAm&gt;}{\rtlch\fcs1 \af0 \ltrch\fcs0 \insrsid16734988\charrsid10037553 _x000d__x000a_\par }\pard\plain \ltrpar\s26\ql \li0\ri0\sb240\keepn\nowidctlpar\wrapdefault\aspalpha\aspnum\faauto\adjustright\rin0\lin0\itap0\pararsid7366698 \rtlch\fcs1 \af0\afs20\alang1025 \ltrch\fcs0 \b\fs24\lang2057\langfe2057\cgrid\langnp2057\langfenp2057 {_x000d__x000a_\rtlch\fcs1 \af0 \ltrch\fcs0 \cs17\b0\v\fs20\cf9\lang1024\langfe1024\loch\af1\hich\af1\dbch\af31501\noproof\insrsid16734988\charrsid10037553 \hich\af1\dbch\af31501\loch\f1 &lt;DocAmend&gt;}{\rtlch\fcs1 \af0 \ltrch\fcs0 \insrsid16734988\charrsid10037553 #}{_x000d__x000a_\rtlch\fcs1 \af0 \ltrch\fcs0 \cs18\v\f1\fs20\cf15\insrsid16734988\charrsid10037553 MNU[PROPCOM][PROPCOUNC]@CHOICE@TITLEMNU}{\rtlch\fcs1 \af0 \ltrch\fcs0 \insrsid16734988\charrsid10037553 ##}{\rtlch\fcs1 \af0 \ltrch\fcs0 _x000d__x000a_\cs18\v\f1\fs20\cf15\insrsid16734988\charrsid10037553 MNU[AMACTYES][NOTAPP]@CHOICE@AMACTMNU}{\rtlch\fcs1 \af0 \ltrch\fcs0 \insrsid16734988\charrsid10037553 #}{\rtlch\fcs1 \af0 \ltrch\fcs0 _x000d__x000a_\cs17\b0\v\fs20\cf9\lang1024\langfe1024\loch\af1\hich\af1\dbch\af31501\noproof\insrsid16734988\charrsid10037553 \hich\af1\dbch\af31501\loch\f1 &lt;/DocAmend&gt;}{\rtlch\fcs1 \af0 \ltrch\fcs0 \insrsid16734988\charrsid10037553 _x000d__x000a_\par }\pard\plain \ltrpar\s19\ql \li0\ri0\nowidctlpar\wrapdefault\aspalpha\aspnum\faauto\adjustright\rin0\lin0\itap0\pararsid7366698 \rtlch\fcs1 \af0\afs20\alang1025 \ltrch\fcs0 \b\fs24\lang2057\langfe2057\cgrid\langnp2057\langfenp2057 {\rtlch\fcs1 \af0 _x000d__x000a_\ltrch\fcs0 \cs17\b0\v\fs20\cf9\lang1024\langfe1024\loch\af1\hich\af1\dbch\af31501\noproof\insrsid16734988\charrsid10037553 \hich\af1\dbch\af31501\loch\f1 &lt;Article&gt;}{\rtlch\fcs1 \af0 \ltrch\fcs0 \insrsid16734988\charrsid10037553 #}{\rtlch\fcs1 \af0 _x000d__x000a_\ltrch\fcs0 \cs18\v\f1\fs20\cf15\insrsid16734988\charrsid10037553 MNU[AMACTPARTYES][AMACTPARTNO]@CHOICE@AMACTMNU}{\rtlch\fcs1 \af0 \ltrch\fcs0 \insrsid16734988\charrsid10037553 #}{\rtlch\fcs1 \af0 \ltrch\fcs0 _x000d__x000a_\cs17\b0\v\fs20\cf9\lang1024\langfe1024\loch\af1\hich\af1\dbch\af31501\noproof\insrsid16734988\charrsid10037553 \hich\af1\dbch\af31501\loch\f1 &lt;/Article&gt;}{\rtlch\fcs1 \af0 \ltrch\fcs0 \insrsid16734988\charrsid10037553 _x000d__x000a_\par }\pard\plain \ltrpar\ql \li0\ri0\keepn\widctlpar\wrapdefault\aspalpha\aspnum\faauto\adjustright\rin0\lin0\itap0\pararsid7366698 \rtlch\fcs1 \af0\afs20\alang1025 \ltrch\fcs0 \fs24\lang2057\langfe2057\cgrid\langnp2057\langfenp2057 {\rtlch\fcs1 \af0 _x000d__x000a_\ltrch\fcs0 \cs17\v\fs20\cf9\lang1024\langfe1024\loch\af1\hich\af1\dbch\af31501\noproof\insrsid16734988\charrsid10037553 \hich\af1\dbch\af31501\loch\f1 &lt;DocAmend2&gt;&lt;OptDel&gt;}{\rtlch\fcs1 \af0 \ltrch\fcs0 \insrsid16734988\charrsid10037553 #}{\rtlch\fcs1 _x000d__x000a_\af0 \ltrch\fcs0 \cs18\v\f1\fs20\cf15\insrsid16734988\charrsid10037553 MNU[OPTNRACTYES][NOTAPP]@CHOICE@AMACTMNU}{\rtlch\fcs1 \af0 \ltrch\fcs0 \insrsid16734988\charrsid10037553 #}{\rtlch\fcs1 \af0 \ltrch\fcs0 _x000d__x000a_\cs17\v\fs20\cf9\lang1024\langfe1024\loch\af1\hich\af1\dbch\af31501\noproof\insrsid16734988\charrsid10037553 \hich\af1\dbch\af31501\loch\f1 &lt;/OptDel&gt;&lt;/DocAmend2&gt;}{\rtlch\fcs1 \af0 \ltrch\fcs0 \insrsid16734988\charrsid10037553 _x000d__x000a_\par }\pard \ltrpar\ql \li0\ri0\widctlpar\wrapdefault\aspalpha\aspnum\faauto\adjustright\rin0\lin0\itap0\pararsid7366698 {\rtlch\fcs1 \af0 \ltrch\fcs0 \cs17\v\fs20\cf9\lang1024\langfe1024\loch\af1\hich\af1\dbch\af31501\noproof\insrsid16734988\charrsid10037553 _x000d__x000a_\hich\af1\dbch\af31501\loch\f1 &lt;Article2&gt;&lt;OptDel&gt;}{\rtlch\fcs1 \af0 \ltrch\fcs0 \insrsid16734988\charrsid10037553 #}{\rtlch\fcs1 \af0 \ltrch\fcs0 \cs18\v\f1\fs20\cf15\insrsid16734988\charrsid10037553 MNU[OPTACTPARTYES][NOTAPP]@CHOICE@AMACTMNU}{_x000d__x000a_\rtlch\fcs1 \af0 \ltrch\fcs0 \insrsid16734988\charrsid10037553 #}{\rtlch\fcs1 \af0 \ltrch\fcs0 \cs17\v\fs20\cf9\lang1024\langfe1024\loch\af1\hich\af1\dbch\af31501\noproof\insrsid16734988\charrsid10037553 \hich\af1\dbch\af31501\loch\f1 &lt;/OptDel&gt;&lt;/Article2&gt;_x000d__x000a_}{\rtlch\fcs1 \af0 \ltrch\fcs0 \insrsid16734988\charrsid10037553 _x000d__x000a_\par \ltrrow}\trowd \ltrrow\ts11\trqc\trgaph340\trleft-340\trftsWidth3\trftsWidthB3\trpaddl340\trpaddr340\trpaddfl3\trpaddft3\trpaddfb3\trpaddfr3\tblrsid11085200\tbllkhdrrows\tbllkhdrcols\tbllknocolband\tblind0\tblindtype3 \clvertalt\clbrdrt\brdrtbl \clbrdrl_x000d__x000a_\brdrtbl \clbrdrb\brdrtbl \clbrdrr\brdrtbl \cltxlrtb\clftsWidth3\clwWidth9752\clshdrawnil \cellx9412\pard \ltrpar\ql \li0\ri0\keepn\widctlpar\intbl\wrapdefault\aspalpha\aspnum\faauto\adjustright\rin0\lin0\pararsid11085200 {\rtlch\fcs1 \af0 \ltrch\fcs0 _x000d__x000a_\insrsid16734988\charrsid10037553 \cell }\pard \ltrpar\ql \li0\ri0\widctlpar\intbl\wrapdefault\aspalpha\aspnum\faauto\adjustright\rin0\lin0 {\rtlch\fcs1 \af0 \ltrch\fcs0 \insrsid16734988\charrsid10037553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9752\clshdrawnil \cellx9412\row \ltrrow}\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_x000d__x000a_\pard\plain \ltrpar\s21\qc \li0\ri0\sa240\keepn\nowidctlpar\intbl\wrapdefault\aspalpha\aspnum\faauto\adjustright\rin0\lin0\pararsid11085200 \rtlch\fcs1 \af0\afs20\alang1025 \ltrch\fcs0 \i\fs24\lang2057\langfe2057\cgrid\langnp2057\langfenp2057 {_x000d__x000a_\rtlch\fcs1 \af0 \ltrch\fcs0 \insrsid16734988\charrsid10037553 #}{\rtlch\fcs1 \af0 \ltrch\fcs0 \cs18\v\f1\fs20\cf15\insrsid16734988\charrsid10037553 MNU[OPTLEFTAMACT][LEFTPROP]@CHOICE@AMACTMNU}{\rtlch\fcs1 \af0 \ltrch\fcs0 _x000d__x000a_\insrsid16734988\charrsid10037553 #\cell Amendment\cell }\pard\plain \ltrpar\ql \li0\ri0\widctlpar\intbl\wrapdefault\aspalpha\aspnum\faauto\adjustright\rin0\lin0 \rtlch\fcs1 \af0\afs20\alang1025 \ltrch\fcs0 _x000d__x000a_\fs24\lang2057\langfe2057\cgrid\langnp2057\langfenp2057 {\rtlch\fcs1 \af0 \ltrch\fcs0 \insrsid16734988\charrsid10037553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row \ltrrow_x000d__x000a_}\pard\plain \ltrpar\s20\ql \li0\ri0\sa120\nowidctlpar\intbl\wrapdefault\aspalpha\aspnum\faauto\adjustright\rin0\lin0\pararsid11085200 \rtlch\fcs1 \af0\afs20\alang1025 \ltrch\fcs0 \fs24\lang2057\langfe2057\cgrid\langnp2057\langfenp2057 {\rtlch\fcs1 \af0 _x000d__x000a_\ltrch\fcs0 \insrsid16734988\charrsid10037553 #}{\rtlch\fcs1 \af0 \ltrch\fcs0 \cs18\v\f1\fs20\cf15\insrsid16734988\charrsid10037553 MNU[TEXTLEVA][TEXTLOTHER]@CHOICE@TEXTRMNU}{\rtlch\fcs1 \af0 \ltrch\fcs0 \insrsid16734988\charrsid10037553 #\cell #}{_x000d__x000a_\rtlch\fcs1 \af0 \ltrch\fcs0 \cs18\v\f1\fs20\cf15\insrsid16734988\charrsid10037553 MNU[TEXTREVA][TEXTROTHER]@CHOICE@TEXTRMNU}{\rtlch\fcs1 \af0 \ltrch\fcs0 \insrsid16734988\charrsid10037553 #\cell }\pard\plain \ltrpar_x000d__x000a_\ql \li0\ri0\widctlpar\intbl\wrapdefault\aspalpha\aspnum\faauto\adjustright\rin0\lin0 \rtlch\fcs1 \af0\afs20\alang1025 \ltrch\fcs0 \fs24\lang2057\langfe2057\cgrid\langnp2057\langfenp2057 {\rtlch\fcs1 \af0 \ltrch\fcs0 \insrsid16734988\charrsid10037553 _x000d__x000a_\trowd \lastrow \ltrrow\ts11\trqc\trgaph340\trleft-340\trftsWidth3\trftsWidthB3\trpaddl340\trpaddr340\trpaddfl3\trpaddft3\trpaddfb3\trpaddfr3\tblrsid11085200\tbllkhdrrows\tbllkhdrcols\tbllknocolband\tblind0\tblindtype3 \clvertalt\clbrdrt\brdrtbl \clbrdrl_x000d__x000a_\brdrtbl \clbrdrb\brdrtbl \clbrdrr\brdrtbl \cltxlrtb\clftsWidth3\clwWidth4876\clshdrawnil\clhidemark \cellx4536\clvertalt\clbrdrt\brdrtbl \clbrdrl\brdrtbl \clbrdrb\brdrtbl \clbrdrr\brdrtbl \cltxlrtb\clftsWidth3\clwWidth4876\clshdrawnil\clhidemark _x000d__x000a_\cellx9412\row }\pard\plain \ltrpar\s24\qc \li0\ri0\sb240\sa240\nowidctlpar\wrapdefault\aspalpha\aspnum\faauto\adjustright\rin0\lin0\itap0\pararsid7366698 \rtlch\fcs1 \af0\afs20\alang1025 \ltrch\fcs0 _x000d__x000a_\i\fs24\lang2057\langfe2057\cgrid\langnp2057\langfenp2057 {\rtlch\fcs1 \af0 \ltrch\fcs0 \cs17\i0\v\fs20\cf9\lang1024\langfe1024\loch\af1\hich\af1\dbch\af31501\noproof\insrsid16734988\charrsid10037553 \hich\af1\dbch\af31501\loch\f1 &lt;OptDel&gt;}{\rtlch\fcs1 _x000d__x000a_\af0 \ltrch\fcs0 \insrsid16734988\charrsid10037553 #}{\rtlch\fcs1 \af0 \ltrch\fcs0 \cs18\v\f1\fs20\cf15\insrsid16734988\charrsid10037553 MNU[CROSSREFNO][CROSSREFYES]@CHOICE@}{\rtlch\fcs1 \af0 \ltrch\fcs0 \insrsid16734988\charrsid10037553 #}{\rtlch\fcs1 _x000d__x000a_\af0 \ltrch\fcs0 \cs17\i0\v\fs20\cf9\lang1024\langfe1024\loch\af1\hich\af1\dbch\af31501\noproof\insrsid16734988\charrsid10037553 \hich\af1\dbch\af31501\loch\f1 &lt;/OptDel&gt;}{\rtlch\fcs1 \af0 \ltrch\fcs0 \insrsid16734988\charrsid10037553 _x000d__x000a_\par }\pard\plain \ltrpar\s25\qc \li0\ri0\sb240\sa240\keepn\nowidctlpar\wrapdefault\aspalpha\aspnum\faauto\adjustright\rin0\lin0\itap0\pararsid7366698 \rtlch\fcs1 \af0\afs20\alang1025 \ltrch\fcs0 \i\fs24\lang2057\langfe2057\cgrid\langnp2057\langfenp2057 {_x000d__x000a_\rtlch\fcs1 \af0 \ltrch\fcs0 \cs17\i0\v\fs20\cf9\lang1024\langfe1024\loch\af1\hich\af1\dbch\af31501\noproof\insrsid16734988\charrsid10037553 \hich\af1\dbch\af31501\loch\f1 &lt;TitreJust&gt;}{\rtlch\fcs1 \af0 \ltrch\fcs0 \insrsid16734988\charrsid10037553 _x000d__x000a_Justification}{\rtlch\fcs1 \af0 \ltrch\fcs0 \cs17\i0\v\fs20\cf9\lang1024\langfe1024\loch\af1\hich\af1\dbch\af31501\noproof\insrsid16734988\charrsid10037553 \hich\af1\dbch\af31501\loch\f1 &lt;/TitreJust&gt;}{\rtlch\fcs1 \af0 \ltrch\fcs0 _x000d__x000a_\insrsid16734988\charrsid10037553 _x000d__x000a_\par }\pard\plain \ltrpar\s23\ql \li0\ri0\sa240\nowidctlpar\wrapdefault\aspalpha\aspnum\faauto\adjustright\rin0\lin0\itap0\pararsid7366698 \rtlch\fcs1 \af0\afs20\alang1025 \ltrch\fcs0 \i\fs24\lang2057\langfe2057\cgrid\langnp2057\langfenp2057 {\rtlch\fcs1 \af0 _x000d__x000a_\ltrch\fcs0 \cs17\i0\v\fs20\cf9\lang1024\langfe1024\loch\af1\hich\af1\dbch\af31501\noproof\insrsid16734988\charrsid10037553 \hich\af1\dbch\af31501\loch\f1 &lt;OptDelPrev&gt;}{\rtlch\fcs1 \af0 \ltrch\fcs0 \insrsid16734988\charrsid10037553 #}{\rtlch\fcs1 \af0 _x000d__x000a_\ltrch\fcs0 \cs18\v\f1\fs20\cf15\insrsid16734988\charrsid10037553 MNU[TEXTJUSTYES][TEXTJUSTNO]@CHOICE@}{\rtlch\fcs1 \af0 \ltrch\fcs0 \insrsid16734988\charrsid10037553 #}{\rtlch\fcs1 \af0 \ltrch\fcs0 _x000d__x000a_\cs17\i0\v\fs20\cf9\lang1024\langfe1024\loch\af1\hich\af1\dbch\af31501\noproof\insrsid16734988\charrsid10037553 \hich\af1\dbch\af31501\loch\f1 &lt;/OptDelPrev&gt;}{\rtlch\fcs1 \af0 \ltrch\fcs0 \insrsid16734988\charrsid10037553 _x000d__x000a_\par }\pard\plain \ltrpar\ql \li0\ri0\widctlpar\wrapdefault\aspalpha\aspnum\faauto\adjustright\rin0\lin0\itap0\pararsid7366698 \rtlch\fcs1 \af0\afs20\alang1025 \ltrch\fcs0 \fs24\lang2057\langfe2057\cgrid\langnp2057\langfenp2057 {\rtlch\fcs1 \af0 \ltrch\fcs0 _x000d__x000a_\cs17\v\fs20\cf9\lang1024\langfe1024\loch\af1\hich\af1\dbch\af31501\noproof\insrsid16734988\charrsid10037553 \hich\af1\dbch\af31501\loch\f1 &lt;/Amend&gt;}{\rtlch\fcs1 \af0 \ltrch\fcs0 \insrsid16734988\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fd_x000d__x000a_362be5d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2\fbidi \froman\fcharset238\fprq2 Times New Roman CE;}{\f53\fbidi \froman\fcharset204\fprq2 Times New Roman Cyr;}_x000d__x000a_{\f55\fbidi \froman\fcharset161\fprq2 Times New Roman Greek;}{\f56\fbidi \froman\fcharset162\fprq2 Times New Roman Tur;}{\f57\fbidi \froman\fcharset177\fprq2 Times New Roman (Hebrew);}{\f58\fbidi \froman\fcharset178\fprq2 Times New Roman (Arabic);}_x000d__x000a_{\f59\fbidi \froman\fcharset186\fprq2 Times New Roman Baltic;}{\f60\fbidi \froman\fcharset163\fprq2 Times New Roman (Vietnamese);}{\f62\fbidi \fswiss\fcharset238\fprq2 Arial CE;}{\f63\fbidi \fswiss\fcharset204\fprq2 Arial Cyr;}_x000d__x000a_{\f65\fbidi \fswiss\fcharset161\fprq2 Arial Greek;}{\f66\fbidi \fswiss\fcharset162\fprq2 Arial Tur;}{\f67\fbidi \fswiss\fcharset177\fprq2 Arial (Hebrew);}{\f68\fbidi \fswiss\fcharset178\fprq2 Arial (Arabic);}_x000d__x000a_{\f69\fbidi \fswiss\fcharset186\fprq2 Arial Baltic;}{\f70\fbidi \fswiss\fcharset163\fprq2 Arial (Vietnamese);}{\f392\fbidi \froman\fcharset238\fprq2 Cambria Math CE;}{\f393\fbidi \froman\fcharset204\fprq2 Cambria Math Cyr;}_x000d__x000a_{\f395\fbidi \froman\fcharset161\fprq2 Cambria Math Greek;}{\f396\fbidi \froman\fcharset162\fprq2 Cambria Math Tur;}{\f399\fbidi \froman\fcharset186\fprq2 Cambria Math Baltic;}{\f40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074410 HideTWBExt;}{_x000d__x000a_\s18\ql \li0\ri0\nowidctlpar\wrapdefault\aspalpha\aspnum\faauto\adjustright\rin0\lin0\itap0 \rtlch\fcs1 \af0\afs20\alang1025 \ltrch\fcs0 \b\fs24\lang2057\langfe2057\cgrid\langnp2057\langfenp2057 \sbasedon0 \snext18 \spriority0 \styrsid4074410 NormalBold;}_x000d__x000a_{\s19\ql \li0\ri0\sa120\nowidctlpar\wrapdefault\aspalpha\aspnum\faauto\adjustright\rin0\lin0\itap0 \rtlch\fcs1 \af0\afs20\alang1025 \ltrch\fcs0 \fs24\lang2057\langfe2057\cgrid\langnp2057\langfenp2057 \sbasedon0 \snext19 \spriority0 \styrsid4074410 _x000d__x000a_Normal6a;}{\s20\qc \li0\ri0\sa240\nowidctlpar\wrapdefault\aspalpha\aspnum\faauto\adjustright\rin0\lin0\itap0 \rtlch\fcs1 \af0\afs20\alang1025 \ltrch\fcs0 \i\fs24\lang2057\langfe2057\cgrid\langnp2057\langfenp2057 _x000d__x000a_\sbasedon0 \snext20 \spriority0 \styrsid4074410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4074410 AmNumberTabs;}{\s22\ql \li0\ri0\sa240\nowidctlpar\wrapdefault\aspalpha\aspnum\faauto\adjustright\rin0\lin0\itap0 \rtlch\fcs1 _x000d__x000a_\af0\afs20\alang1025 \ltrch\fcs0 \i\fs24\lang2057\langfe2057\cgrid\langnp2057\langfenp2057 \sbasedon0 \snext22 \spriority0 \styrsid4074410 AmJustText;}{_x000d__x000a_\s23\qc \li0\ri0\sb240\sa240\nowidctlpar\wrapdefault\aspalpha\aspnum\faauto\adjustright\rin0\lin0\itap0 \rtlch\fcs1 \af0\afs20\alang1025 \ltrch\fcs0 \i\fs24\lang2057\langfe2057\cgrid\langnp2057\langfenp2057 \sbasedon0 \snext23 \spriority0 \styrsid4074410 _x000d__x000a_AmCrossRef;}{\s24\qc \li0\ri0\sb240\sa240\keepn\nowidctlpar\wrapdefault\aspalpha\aspnum\faauto\adjustright\rin0\lin0\itap0 \rtlch\fcs1 \af0\afs20\alang1025 \ltrch\fcs0 \i\fs24\lang2057\langfe2057\cgrid\langnp2057\langfenp2057 _x000d__x000a_\sbasedon0 \snext22 \spriority0 \styrsid4074410 AmJustTitle;}{\s25\ql \li0\ri0\sb240\nowidctlpar\wrapdefault\aspalpha\aspnum\faauto\adjustright\rin0\lin0\itap0 \rtlch\fcs1 \af0\afs20\alang1025 \ltrch\fcs0 _x000d__x000a_\b\fs24\lang2057\langfe2057\cgrid\langnp2057\langfenp2057 \sbasedon0 \snext25 \spriority0 \styrsid4074410 NormalBold12b;}}{\*\rsidtbl \rsid24658\rsid223860\rsid735077\rsid1718133\rsid2892074\rsid3565327\rsid4074410\rsid4666813\rsid6641733\rsid7823322_x000d__x000a_\rsid9636012\rsid10377208\rsid10767733\rsid11215221\rsid11549030\rsid12154954\rsid13179141\rsid14382809\rsid14424199\rsid15204470\rsid15285974\rsid15950462\rsid16324206\rsid16662270}{\mmathPr\mmathFont34\mbrkBin0\mbrkBinSub0\msmallFrac0\mdispDef1_x000d__x000a_\mlMargin0\mrMargin0\mdefJc1\mwrapIndent1440\mintLim0\mnaryLim1}{\info{\author ANDRINO TIZON Rosalina}{\operator ANDRINO TIZON Rosalina}{\creatim\yr2026\mo4\dy23\hr7\min51}{\revtim\yr2026\mo4\dy23\hr7\min51}{\version1}{\edmins0}{\nofpages1}{\nofwords53}_x000d__x000a_{\nofchars314}{\nofcharsws365}{\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074410\newtblstyruls\nogrowautofit\usenormstyforlist\noindnmbrts\felnbrelev\nocxsptable\indrlsweleven\noafcnsttbl\afelev\utinl\hwelev\spltpgpar\notcvasp\notbrkcnstfrctbl\notvatxbx\krnprsnet\cachedcolbal _x000d__x000a_\nouicompat \fet0{\*\wgrffmtfilter 013f}\nofeaturethrottle1\ilfomacatclnup0{\*\template C:\\Users\\randrino\\AppData\\Local\\Temp\\Blank1.dotx}{\*\ftnsep \ltrpar \pard\plain \ltrpar_x000d__x000a_\ql \li0\ri0\widctlpar\wrapdefault\aspalpha\aspnum\faauto\adjustright\rin0\lin0\itap0 \rtlch\fcs1 \af0\afs20\alang1025 \ltrch\fcs0 \fs24\lang2057\langfe2057\cgrid\langnp2057\langfenp2057 {\rtlch\fcs1 \af0 \ltrch\fcs0 \insrsid10767733 \chftnsep _x000d__x000a_\par }}{\*\ftnsepc \ltrpar \pard\plain \ltrpar\ql \li0\ri0\widctlpar\wrapdefault\aspalpha\aspnum\faauto\adjustright\rin0\lin0\itap0 \rtlch\fcs1 \af0\afs20\alang1025 \ltrch\fcs0 \fs24\lang2057\langfe2057\cgrid\langnp2057\langfenp2057 {\rtlch\fcs1 \af0 _x000d__x000a_\ltrch\fcs0 \insrsid10767733 \chftnsepc _x000d__x000a_\par }}{\*\aftnsep \ltrpar \pard\plain \ltrpar\ql \li0\ri0\widctlpar\wrapdefault\aspalpha\aspnum\faauto\adjustright\rin0\lin0\itap0 \rtlch\fcs1 \af0\afs20\alang1025 \ltrch\fcs0 \fs24\lang2057\langfe2057\cgrid\langnp2057\langfenp2057 {\rtlch\fcs1 \af0 _x000d__x000a_\ltrch\fcs0 \insrsid10767733 \chftnsep _x000d__x000a_\par }}{\*\aftnsepc \ltrpar \pard\plain \ltrpar\ql \li0\ri0\widctlpar\wrapdefault\aspalpha\aspnum\faauto\adjustright\rin0\lin0\itap0 \rtlch\fcs1 \af0\afs20\alang1025 \ltrch\fcs0 \fs24\lang2057\langfe2057\cgrid\langnp2057\langfenp2057 {\rtlch\fcs1 \af0 _x000d__x000a_\ltrch\fcs0 \insrsid1076773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6293919 \rtlch\fcs1 _x000d__x000a_\af0\afs20\alang1025 \ltrch\fcs0 \b\fs24\lang2057\langfe2057\cgrid\langnp2057\langfenp2057 {\rtlch\fcs1 \af0 \ltrch\fcs0 \cs17\b0\v\fs20\cf9\lang1024\langfe1024\loch\af1\hich\af1\dbch\af31501\noproof\langnp1030\insrsid4074410 {\*\bkmkstart restart}_x000d__x000a_\hich\af1\dbch\af31501\loch\f1 &lt;Amend&gt;}{\rtlch\fcs1 \af0 \ltrch\fcs0 \lang1030\langfe2057\langnp1030\insrsid4074410 [ZAMENDMENT]\tab \tab }{\rtlch\fcs1 \af0 \ltrch\fcs0 _x000d__x000a_\cs17\b0\v\fs20\cf9\lang1024\langfe1024\loch\af1\hich\af1\dbch\af31501\noproof\langnp1030\insrsid4074410 \hich\af1\dbch\af31501\loch\f1 &lt;NumAm&gt;}{\rtlch\fcs1 \af0 \ltrch\fcs0 \lang1030\langfe2057\langnp1030\insrsid4074410 [ZNRAM]}{\rtlch\fcs1 \af0 _x000d__x000a_\ltrch\fcs0 \cs17\b0\v\fs20\cf9\lang1024\langfe1024\loch\af1\hich\af1\dbch\af31501\noproof\langnp1030\insrsid4074410 \hich\af1\dbch\af31501\loch\f1 &lt;/NumAm&gt;}{\rtlch\fcs1 \af0 \ltrch\fcs0 \lang1030\langfe2057\langnp1030\insrsid4074410 _x000d__x000a_\par }\pard\plain \ltrpar\s25\ql \li0\ri0\sb240\keepn\nowidctlpar\wrapdefault\aspalpha\aspnum\faauto\adjustright\rin0\lin0\itap0\pararsid6293919 \rtlch\fcs1 \af0\afs20\alang1025 \ltrch\fcs0 \b\fs24\lang2057\langfe2057\cgrid\langnp2057\langfenp2057 {_x000d__x000a_\rtlch\fcs1 \af0 \ltrch\fcs0 \cs17\b0\v\fs20\cf9\lang1024\langfe1024\loch\af1\hich\af1\dbch\af31501\noproof\langnp1030\insrsid4074410 \hich\af1\dbch\af31501\loch\f1 &lt;DocAmend&gt;}{\rtlch\fcs1 \af0 \ltrch\fcs0 \lang1030\langfe2057\langnp1030\insrsid4074410 _x000d__x000a_[ZPROPOSAL][ZAMACT]}{\rtlch\fcs1 \af0 \ltrch\fcs0 \cs17\b0\v\fs20\cf9\lang1024\langfe1024\loch\af1\hich\af1\dbch\af31501\noproof\langnp1030\insrsid4074410 \hich\af1\dbch\af31501\loch\f1 &lt;/DocAmend&gt;}{\rtlch\fcs1 \af0 \ltrch\fcs0 _x000d__x000a_\lang1030\langfe2057\langnp1030\insrsid4074410 _x000d__x000a_\par }\pard\plain \ltrpar\s18\ql \li0\ri0\nowidctlpar\wrapdefault\aspalpha\aspnum\faauto\adjustright\rin0\lin0\itap0\pararsid6293919 \rtlch\fcs1 \af0\afs20\alang1025 \ltrch\fcs0 \b\fs24\lang2057\langfe2057\cgrid\langnp2057\langfenp2057 {\rtlch\fcs1 \af0 _x000d__x000a_\ltrch\fcs0 \cs17\b0\v\fs20\cf9\lang1024\langfe1024\loch\af1\hich\af1\dbch\af31501\noproof\langnp1030\insrsid4074410 \hich\af1\dbch\af31501\loch\f1 &lt;Article&gt;}{\rtlch\fcs1 \af0 \ltrch\fcs0 \lang1030\langfe2057\langnp1030\insrsid4074410 [ZAMPART]}{_x000d__x000a_\rtlch\fcs1 \af0 \ltrch\fcs0 \cs17\b0\v\fs20\cf9\lang1024\langfe1024\loch\af1\hich\af1\dbch\af31501\noproof\langnp1030\insrsid4074410 \hich\af1\dbch\af31501\loch\f1 &lt;/Article&gt;}{\rtlch\fcs1 \af0 \ltrch\fcs0 \lang1030\langfe2057\langnp1030\insrsid4074410 _x000d__x000a__x000d__x000a_\par }\pard\plain \ltrpar\ql \li0\ri0\keepn\widctlpar\wrapdefault\aspalpha\aspnum\faauto\adjustright\rin0\lin0\itap0\pararsid6293919 \rtlch\fcs1 \af0\afs20\alang1025 \ltrch\fcs0 \fs24\lang2057\langfe2057\cgrid\langnp2057\langfenp2057 {\rtlch\fcs1 \af0 _x000d__x000a_\ltrch\fcs0 \cs17\v\fs20\cf9\lang1024\langfe1024\loch\af1\hich\af1\dbch\af31501\noproof\langnp1030\insrsid4074410 \hich\af1\dbch\af31501\loch\f1 &lt;DocAmend2&gt;&lt;OptDel&gt;}{\rtlch\fcs1 \af0 \ltrch\fcs0 \lang1030\langfe2057\langnp1030\insrsid4074410 [ZNRACT]}{_x000d__x000a_\rtlch\fcs1 \af0 \ltrch\fcs0 \cs17\v\fs20\cf9\lang1024\langfe1024\loch\af1\hich\af1\dbch\af31501\noproof\langnp1030\insrsid4074410 \hich\af1\dbch\af31501\loch\f1 &lt;/OptDel&gt;&lt;/DocAmend2&gt;}{\rtlch\fcs1 \af0 \ltrch\fcs0 _x000d__x000a_\lang1030\langfe2057\langnp1030\insrsid4074410 _x000d__x000a_\par }\pard \ltrpar\ql \li0\ri0\widctlpar\wrapdefault\aspalpha\aspnum\faauto\adjustright\rin0\lin0\itap0\pararsid6293919 {\rtlch\fcs1 \af0 \ltrch\fcs0 \cs17\v\fs20\cf9\lang1024\langfe1024\loch\af1\hich\af1\dbch\af31501\noproof\langnp1036\insrsid4074410 _x000d__x000a_\hich\af1\dbch\af31501\loch\f1 &lt;Article2&gt;&lt;OptDel&gt;}{\rtlch\fcs1 \af0 \ltrch\fcs0 \lang1036\langfe2057\langnp1036\insrsid4074410 [ZACTPART]}{\rtlch\fcs1 \af0 \ltrch\fcs0 _x000d__x000a_\cs17\v\fs20\cf9\lang1024\langfe1024\loch\af1\hich\af1\dbch\af31501\noproof\langnp1036\insrsid4074410 \hich\af1\dbch\af31501\loch\f1 &lt;/OptDel&gt;&lt;/Article2&gt;}{\rtlch\fcs1 \af0 \ltrch\fcs0 \lang1036\langfe2057\langnp1036\insrsid4074410 _x000d__x000a_\par \ltrrow}\trowd \ltrrow\ts11\trqc\trgaph340\trleft-340\trftsWidth3\trftsWidthB3\trpaddl340\trpaddr340\trpaddfl3\trpaddft3\trpaddfb3\trpaddfr3\tblrsid11085200\tbllkhdrrows\tbllkhdrcols\tbllknocolband\tblind0\tblindtype3 \clvertalt\clbrdrt\brdrtbl \clbrdrl_x000d__x000a_\brdrtbl \clbrdrb\brdrtbl \clbrdrr\brdrtbl \cltxlrtb\clftsWidth3\clwWidth9752\clshdrawnil \cellx9412\pard \ltrpar\ql \li0\ri0\keepn\widctlpar\intbl\wrapdefault\aspalpha\aspnum\faauto\adjustright\rin0\lin0\pararsid11085200 {\rtlch\fcs1 \af0 \ltrch\fcs0 _x000d__x000a_\lang1036\langfe2057\langnp1036\insrsid4074410 \cell }\pard \ltrpar\ql \li0\ri0\widctlpar\intbl\wrapdefault\aspalpha\aspnum\faauto\adjustright\rin0\lin0 {\rtlch\fcs1 \af0 \ltrch\fcs0 \insrsid4074410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9752\clshdrawnil \cellx9412\row \ltrrow}\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_x000d__x000a_\pard\plain \ltrpar\s20\qc \li0\ri0\sa240\keepn\nowidctlpar\intbl\wrapdefault\aspalpha\aspnum\faauto\adjustright\rin0\lin0\pararsid11085200 \rtlch\fcs1 \af0\afs20\alang1025 \ltrch\fcs0 \i\fs24\lang2057\langfe2057\cgrid\langnp2057\langfenp2057 {_x000d__x000a_\rtlch\fcs1 \af0 \ltrch\fcs0 \insrsid4074410 [ZLEFT]\cell [ZRIGHT]\cell }\pard\plain \ltrpar\ql \li0\ri0\widctlpar\intbl\wrapdefault\aspalpha\aspnum\faauto\adjustright\rin0\lin0 \rtlch\fcs1 \af0\afs20\alang1025 \ltrch\fcs0 _x000d__x000a_\fs24\lang2057\langfe2057\cgrid\langnp2057\langfenp2057 {\rtlch\fcs1 \af0 \ltrch\fcs0 \insrsid4074410 \trowd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row \ltrrow_x000d__x000a_}\pard\plain \ltrpar\s19\ql \li0\ri0\sa120\nowidctlpar\intbl\wrapdefault\aspalpha\aspnum\faauto\adjustright\rin0\lin0\pararsid11085200 \rtlch\fcs1 \af0\afs20\alang1025 \ltrch\fcs0 \fs24\lang2057\langfe2057\cgrid\langnp2057\langfenp2057 {\rtlch\fcs1 \af0 _x000d__x000a_\ltrch\fcs0 \insrsid4074410 [ZTEXTL]\cell [ZTEXTR]\cell }\pard\plain \ltrpar\ql \li0\ri0\widctlpar\intbl\wrapdefault\aspalpha\aspnum\faauto\adjustright\rin0\lin0 \rtlch\fcs1 \af0\afs20\alang1025 \ltrch\fcs0 _x000d__x000a_\fs24\lang2057\langfe2057\cgrid\langnp2057\langfenp2057 {\rtlch\fcs1 \af0 \ltrch\fcs0 \insrsid4074410 \trowd \lastrow \ltrrow_x000d__x000a_\ts11\trqc\trgaph340\trleft-340\trftsWidth3\trftsWidthB3\trpaddl340\trpaddr340\trpaddfl3\trpaddft3\trpaddfb3\trpaddfr3\tblrsid11085200\tbllkhdrrows\tbllkhdrcols\tbllknocolband\tblind0\tblindtype3 \clvertalt\clbrdrt\brdrtbl \clbrdrl\brdrtbl \clbrdrb_x000d__x000a_\brdrtbl \clbrdrr\brdrtbl \cltxlrtb\clftsWidth3\clwWidth4876\clshdrawnil\clhidemark \cellx4536\clvertalt\clbrdrt\brdrtbl \clbrdrl\brdrtbl \clbrdrb\brdrtbl \clbrdrr\brdrtbl \cltxlrtb\clftsWidth3\clwWidth4876\clshdrawnil\clhidemark \cellx9412\row _x000d__x000a_}\pard\plain \ltrpar\s23\qc \li0\ri0\sb240\sa240\nowidctlpar\wrapdefault\aspalpha\aspnum\faauto\adjustright\rin0\lin0\itap0\pararsid6293919 \rtlch\fcs1 \af0\afs20\alang1025 \ltrch\fcs0 \i\fs24\lang2057\langfe2057\cgrid\langnp2057\langfenp2057 {_x000d__x000a_\rtlch\fcs1 \af0 \ltrch\fcs0 \cs17\i0\v\fs20\cf9\lang1024\langfe1024\loch\af1\hich\af1\dbch\af31501\noproof\insrsid4074410 \hich\af1\dbch\af31501\loch\f1 &lt;OptDel&gt;}{\rtlch\fcs1 \af0 \ltrch\fcs0 \insrsid4074410 [ZCROSSREF]}{\rtlch\fcs1 \af0 \ltrch\fcs0 _x000d__x000a_\cs17\i0\v\fs20\cf9\lang1024\langfe1024\loch\af1\hich\af1\dbch\af31501\noproof\insrsid4074410 \hich\af1\dbch\af31501\loch\f1 &lt;/OptDel&gt;}{\rtlch\fcs1 \af0 \ltrch\fcs0 \insrsid4074410 _x000d__x000a_\par }\pard\plain \ltrpar\s24\qc \li0\ri0\sb240\sa240\keepn\nowidctlpar\wrapdefault\aspalpha\aspnum\faauto\adjustright\rin0\lin0\itap0\pararsid6293919 \rtlch\fcs1 \af0\afs20\alang1025 \ltrch\fcs0 \i\fs24\lang2057\langfe2057\cgrid\langnp2057\langfenp2057 {_x000d__x000a_\rtlch\fcs1 \af0 \ltrch\fcs0 \cs17\i0\v\fs20\cf9\lang1024\langfe1024\loch\af1\hich\af1\dbch\af31501\noproof\insrsid4074410 \hich\af1\dbch\af31501\loch\f1 &lt;TitreJust&gt;}{\rtlch\fcs1 \af0 \ltrch\fcs0 \insrsid4074410 [ZJUSTIFICATION]}{\rtlch\fcs1 \af0 _x000d__x000a_\ltrch\fcs0 \cs17\i0\v\fs20\cf9\lang1024\langfe1024\loch\af1\hich\af1\dbch\af31501\noproof\insrsid4074410 \hich\af1\dbch\af31501\loch\f1 &lt;/TitreJust&gt;}{\rtlch\fcs1 \af0 \ltrch\fcs0 \insrsid4074410 _x000d__x000a_\par }\pard\plain \ltrpar\s22\ql \li0\ri0\sa240\nowidctlpar\wrapdefault\aspalpha\aspnum\faauto\adjustright\rin0\lin0\itap0\pararsid6293919 \rtlch\fcs1 \af0\afs20\alang1025 \ltrch\fcs0 \i\fs24\lang2057\langfe2057\cgrid\langnp2057\langfenp2057 {\rtlch\fcs1 \af0 _x000d__x000a_\ltrch\fcs0 \cs17\i0\v\fs20\cf9\lang1024\langfe1024\loch\af1\hich\af1\dbch\af31501\noproof\insrsid4074410 \hich\af1\dbch\af31501\loch\f1 &lt;OptDelPrev&gt;}{\rtlch\fcs1 \af0 \ltrch\fcs0 \insrsid4074410 [ZTEXTJUST]}{\rtlch\fcs1 \af0 \ltrch\fcs0 _x000d__x000a_\cs17\i0\v\fs20\cf9\lang1024\langfe1024\loch\af1\hich\af1\dbch\af31501\noproof\insrsid4074410 \hich\af1\dbch\af31501\loch\f1 &lt;/OptDelPrev&gt;}{\rtlch\fcs1 \af0 \ltrch\fcs0 \insrsid4074410 _x000d__x000a_\par }\pard\plain \ltrpar\ql \li0\ri0\widctlpar\wrapdefault\aspalpha\aspnum\faauto\adjustright\rin0\lin0\itap0\pararsid6293919 \rtlch\fcs1 \af0\afs20\alang1025 \ltrch\fcs0 \fs24\lang2057\langfe2057\cgrid\langnp2057\langfenp2057 {\rtlch\fcs1 \af0 \ltrch\fcs0 _x000d__x000a_\cs17\v\fs20\cf9\lang1024\langfe1024\loch\af1\hich\af1\dbch\af31501\noproof\insrsid4074410 \hich\af1\dbch\af31501\loch\f1 &lt;/Amend&gt;}{\rtlch\fcs1 \af0 \ltrch\fcs0 \insrsid4074410\charrsid16324206 {\*\bkmkend restart}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4e_x000d__x000a_7d2ee5d2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Evaluation"/>
    <w:docVar w:name="strSubDir" w:val="1342"/>
    <w:docVar w:name="TITLECODMNU" w:val=" 1"/>
    <w:docVar w:name="TITLEMNU" w:val=" 1"/>
    <w:docVar w:name="TXTAUTHOR" w:val="Hélder Sousa Silva"/>
    <w:docVar w:name="TXTLANGUE" w:val="RO"/>
    <w:docVar w:name="TXTLANGUEMIN" w:val="ro"/>
    <w:docVar w:name="TXTNRC" w:val="XX"/>
    <w:docVar w:name="TXTNRCOM" w:val="XX"/>
    <w:docVar w:name="TXTNRPE" w:val="782.453"/>
    <w:docVar w:name="TXTNRPROC" w:val="2025/0543"/>
    <w:docVar w:name="TXTPEorAP" w:val="PE"/>
    <w:docVar w:name="TXTROUTE" w:val="AD\1342281RO.docx"/>
    <w:docVar w:name="TXTTITLE" w:val="XX"/>
    <w:docVar w:name="TXTVERSION" w:val="03-00"/>
  </w:docVars>
  <w:rsids>
    <w:rsidRoot w:val="002F1CDB"/>
    <w:rsid w:val="00002AF5"/>
    <w:rsid w:val="00006F54"/>
    <w:rsid w:val="00007C5D"/>
    <w:rsid w:val="00012B42"/>
    <w:rsid w:val="00017014"/>
    <w:rsid w:val="00030B88"/>
    <w:rsid w:val="0003367A"/>
    <w:rsid w:val="00041599"/>
    <w:rsid w:val="00052101"/>
    <w:rsid w:val="00066D73"/>
    <w:rsid w:val="00086729"/>
    <w:rsid w:val="000976C1"/>
    <w:rsid w:val="000A4299"/>
    <w:rsid w:val="000B0E62"/>
    <w:rsid w:val="000B3516"/>
    <w:rsid w:val="000D1033"/>
    <w:rsid w:val="000E7EBF"/>
    <w:rsid w:val="000F2D1C"/>
    <w:rsid w:val="000F307C"/>
    <w:rsid w:val="00100083"/>
    <w:rsid w:val="00102D30"/>
    <w:rsid w:val="00113B68"/>
    <w:rsid w:val="00124F60"/>
    <w:rsid w:val="00135121"/>
    <w:rsid w:val="00140BE6"/>
    <w:rsid w:val="001449F5"/>
    <w:rsid w:val="00147F4E"/>
    <w:rsid w:val="00147FBF"/>
    <w:rsid w:val="00162767"/>
    <w:rsid w:val="0016635E"/>
    <w:rsid w:val="0017131D"/>
    <w:rsid w:val="00173215"/>
    <w:rsid w:val="001746D0"/>
    <w:rsid w:val="00195E4A"/>
    <w:rsid w:val="001A2259"/>
    <w:rsid w:val="001B7393"/>
    <w:rsid w:val="001D2ED9"/>
    <w:rsid w:val="001E42AF"/>
    <w:rsid w:val="001F21C1"/>
    <w:rsid w:val="001F2C77"/>
    <w:rsid w:val="00205307"/>
    <w:rsid w:val="00214B82"/>
    <w:rsid w:val="00217B7E"/>
    <w:rsid w:val="00225FA0"/>
    <w:rsid w:val="002365D3"/>
    <w:rsid w:val="0024480A"/>
    <w:rsid w:val="00246EC9"/>
    <w:rsid w:val="002668E6"/>
    <w:rsid w:val="00270617"/>
    <w:rsid w:val="00281C9F"/>
    <w:rsid w:val="00283121"/>
    <w:rsid w:val="0028399F"/>
    <w:rsid w:val="002920E2"/>
    <w:rsid w:val="002A7567"/>
    <w:rsid w:val="002B5650"/>
    <w:rsid w:val="002C2C3F"/>
    <w:rsid w:val="002D28A7"/>
    <w:rsid w:val="002D3164"/>
    <w:rsid w:val="002D7635"/>
    <w:rsid w:val="002E1718"/>
    <w:rsid w:val="002E2F2E"/>
    <w:rsid w:val="002E3A29"/>
    <w:rsid w:val="002E4AA3"/>
    <w:rsid w:val="002E5DE4"/>
    <w:rsid w:val="002E6F98"/>
    <w:rsid w:val="002F1CDB"/>
    <w:rsid w:val="002F24FD"/>
    <w:rsid w:val="002F4CC3"/>
    <w:rsid w:val="00306B00"/>
    <w:rsid w:val="003230B1"/>
    <w:rsid w:val="00325BCB"/>
    <w:rsid w:val="00325D7F"/>
    <w:rsid w:val="00325EDE"/>
    <w:rsid w:val="00331944"/>
    <w:rsid w:val="00332AD9"/>
    <w:rsid w:val="003402B9"/>
    <w:rsid w:val="00347D2C"/>
    <w:rsid w:val="003508DA"/>
    <w:rsid w:val="003575E8"/>
    <w:rsid w:val="00357761"/>
    <w:rsid w:val="00362463"/>
    <w:rsid w:val="00367A50"/>
    <w:rsid w:val="0037356F"/>
    <w:rsid w:val="003767EF"/>
    <w:rsid w:val="003858C5"/>
    <w:rsid w:val="00390EB2"/>
    <w:rsid w:val="00391AC1"/>
    <w:rsid w:val="00396A0E"/>
    <w:rsid w:val="003A5DEB"/>
    <w:rsid w:val="003B229E"/>
    <w:rsid w:val="003B2862"/>
    <w:rsid w:val="003B507D"/>
    <w:rsid w:val="003D43B7"/>
    <w:rsid w:val="003D5C9C"/>
    <w:rsid w:val="003E2402"/>
    <w:rsid w:val="003E5A8F"/>
    <w:rsid w:val="003E6B61"/>
    <w:rsid w:val="003F2D3B"/>
    <w:rsid w:val="00401780"/>
    <w:rsid w:val="00402E8B"/>
    <w:rsid w:val="004272F5"/>
    <w:rsid w:val="0043045C"/>
    <w:rsid w:val="004456FB"/>
    <w:rsid w:val="00446D42"/>
    <w:rsid w:val="00450A7E"/>
    <w:rsid w:val="004667D1"/>
    <w:rsid w:val="00466D44"/>
    <w:rsid w:val="0047642E"/>
    <w:rsid w:val="00477552"/>
    <w:rsid w:val="00481B23"/>
    <w:rsid w:val="00483F34"/>
    <w:rsid w:val="00485C5C"/>
    <w:rsid w:val="004A609B"/>
    <w:rsid w:val="004A7D39"/>
    <w:rsid w:val="004C28FB"/>
    <w:rsid w:val="004C3B63"/>
    <w:rsid w:val="004C44C0"/>
    <w:rsid w:val="004D0E3B"/>
    <w:rsid w:val="004D18F2"/>
    <w:rsid w:val="004D4FA4"/>
    <w:rsid w:val="004D5760"/>
    <w:rsid w:val="004E2AB4"/>
    <w:rsid w:val="004F093C"/>
    <w:rsid w:val="00514274"/>
    <w:rsid w:val="00517318"/>
    <w:rsid w:val="0052544E"/>
    <w:rsid w:val="00526F89"/>
    <w:rsid w:val="005365D3"/>
    <w:rsid w:val="00546BD2"/>
    <w:rsid w:val="00556CD6"/>
    <w:rsid w:val="00566D37"/>
    <w:rsid w:val="0056775B"/>
    <w:rsid w:val="0057732D"/>
    <w:rsid w:val="0058215E"/>
    <w:rsid w:val="00582163"/>
    <w:rsid w:val="005940C3"/>
    <w:rsid w:val="00594C48"/>
    <w:rsid w:val="005A2392"/>
    <w:rsid w:val="005B2376"/>
    <w:rsid w:val="005B2F11"/>
    <w:rsid w:val="005B62FD"/>
    <w:rsid w:val="005C0BDF"/>
    <w:rsid w:val="005D024F"/>
    <w:rsid w:val="005D60C6"/>
    <w:rsid w:val="005D6788"/>
    <w:rsid w:val="005E2EB2"/>
    <w:rsid w:val="005F2C93"/>
    <w:rsid w:val="005F64C9"/>
    <w:rsid w:val="00600957"/>
    <w:rsid w:val="00601537"/>
    <w:rsid w:val="006017DD"/>
    <w:rsid w:val="006102E7"/>
    <w:rsid w:val="00610FA5"/>
    <w:rsid w:val="006217F2"/>
    <w:rsid w:val="00630767"/>
    <w:rsid w:val="00630B5E"/>
    <w:rsid w:val="00640C1B"/>
    <w:rsid w:val="00646D7F"/>
    <w:rsid w:val="00657AFB"/>
    <w:rsid w:val="006770A2"/>
    <w:rsid w:val="00685EBC"/>
    <w:rsid w:val="00686DF1"/>
    <w:rsid w:val="00693DC6"/>
    <w:rsid w:val="006B5641"/>
    <w:rsid w:val="006B5685"/>
    <w:rsid w:val="006D16AE"/>
    <w:rsid w:val="006D5BF7"/>
    <w:rsid w:val="006D5D60"/>
    <w:rsid w:val="006E207B"/>
    <w:rsid w:val="006E3D25"/>
    <w:rsid w:val="006E43BA"/>
    <w:rsid w:val="006F2815"/>
    <w:rsid w:val="006F4E35"/>
    <w:rsid w:val="006F6345"/>
    <w:rsid w:val="00700D2A"/>
    <w:rsid w:val="00702A88"/>
    <w:rsid w:val="00730988"/>
    <w:rsid w:val="007323CD"/>
    <w:rsid w:val="007343B3"/>
    <w:rsid w:val="0074139F"/>
    <w:rsid w:val="00753996"/>
    <w:rsid w:val="00755CD7"/>
    <w:rsid w:val="00757C4C"/>
    <w:rsid w:val="007604CE"/>
    <w:rsid w:val="00760D63"/>
    <w:rsid w:val="007638D0"/>
    <w:rsid w:val="00770214"/>
    <w:rsid w:val="00783C83"/>
    <w:rsid w:val="00784770"/>
    <w:rsid w:val="007A0439"/>
    <w:rsid w:val="007A403A"/>
    <w:rsid w:val="007B107D"/>
    <w:rsid w:val="007B2187"/>
    <w:rsid w:val="007B5CC7"/>
    <w:rsid w:val="007C6D0D"/>
    <w:rsid w:val="007C704E"/>
    <w:rsid w:val="007E03E2"/>
    <w:rsid w:val="007E0990"/>
    <w:rsid w:val="007E4EEA"/>
    <w:rsid w:val="007E6C91"/>
    <w:rsid w:val="007F1A57"/>
    <w:rsid w:val="00800C20"/>
    <w:rsid w:val="0080329C"/>
    <w:rsid w:val="00803693"/>
    <w:rsid w:val="00816BE5"/>
    <w:rsid w:val="00825069"/>
    <w:rsid w:val="008313E7"/>
    <w:rsid w:val="00840391"/>
    <w:rsid w:val="00842418"/>
    <w:rsid w:val="008479EC"/>
    <w:rsid w:val="00850EEA"/>
    <w:rsid w:val="00852263"/>
    <w:rsid w:val="00854CAC"/>
    <w:rsid w:val="008665FF"/>
    <w:rsid w:val="00873BF3"/>
    <w:rsid w:val="008815E1"/>
    <w:rsid w:val="008829FE"/>
    <w:rsid w:val="00882CB5"/>
    <w:rsid w:val="008869C5"/>
    <w:rsid w:val="008901B1"/>
    <w:rsid w:val="008A0FE4"/>
    <w:rsid w:val="008A32C5"/>
    <w:rsid w:val="008C2388"/>
    <w:rsid w:val="008C6203"/>
    <w:rsid w:val="008D2A3C"/>
    <w:rsid w:val="008D61E7"/>
    <w:rsid w:val="008D6468"/>
    <w:rsid w:val="008E17AF"/>
    <w:rsid w:val="008E2BE3"/>
    <w:rsid w:val="008F33FC"/>
    <w:rsid w:val="008F7002"/>
    <w:rsid w:val="00914827"/>
    <w:rsid w:val="00946BEF"/>
    <w:rsid w:val="00955944"/>
    <w:rsid w:val="0095761F"/>
    <w:rsid w:val="00961E8B"/>
    <w:rsid w:val="009626A8"/>
    <w:rsid w:val="00962782"/>
    <w:rsid w:val="00963DF4"/>
    <w:rsid w:val="00976019"/>
    <w:rsid w:val="0099493F"/>
    <w:rsid w:val="009B13EE"/>
    <w:rsid w:val="009B4FF7"/>
    <w:rsid w:val="009C316C"/>
    <w:rsid w:val="009C4706"/>
    <w:rsid w:val="009C7BBC"/>
    <w:rsid w:val="009D1AB2"/>
    <w:rsid w:val="009D51C1"/>
    <w:rsid w:val="009E64BF"/>
    <w:rsid w:val="009F1C99"/>
    <w:rsid w:val="00A16BEA"/>
    <w:rsid w:val="00A24629"/>
    <w:rsid w:val="00A30C8E"/>
    <w:rsid w:val="00A312B3"/>
    <w:rsid w:val="00A47E2F"/>
    <w:rsid w:val="00A56164"/>
    <w:rsid w:val="00A72C35"/>
    <w:rsid w:val="00A73317"/>
    <w:rsid w:val="00A82E7D"/>
    <w:rsid w:val="00A83DC1"/>
    <w:rsid w:val="00A91B4A"/>
    <w:rsid w:val="00AA0704"/>
    <w:rsid w:val="00AA0D98"/>
    <w:rsid w:val="00AA0F95"/>
    <w:rsid w:val="00AA4C55"/>
    <w:rsid w:val="00AA6C9D"/>
    <w:rsid w:val="00AB5733"/>
    <w:rsid w:val="00AC5AAD"/>
    <w:rsid w:val="00AE180F"/>
    <w:rsid w:val="00AE5581"/>
    <w:rsid w:val="00AE79AF"/>
    <w:rsid w:val="00AF5611"/>
    <w:rsid w:val="00B05A76"/>
    <w:rsid w:val="00B2497D"/>
    <w:rsid w:val="00B32115"/>
    <w:rsid w:val="00B362F7"/>
    <w:rsid w:val="00B5456B"/>
    <w:rsid w:val="00B735E3"/>
    <w:rsid w:val="00B74B53"/>
    <w:rsid w:val="00B84ED1"/>
    <w:rsid w:val="00B87BB2"/>
    <w:rsid w:val="00B978D5"/>
    <w:rsid w:val="00BA3E9A"/>
    <w:rsid w:val="00BA7B93"/>
    <w:rsid w:val="00BA7BC0"/>
    <w:rsid w:val="00BB19A4"/>
    <w:rsid w:val="00BC26E4"/>
    <w:rsid w:val="00BC5686"/>
    <w:rsid w:val="00BD09AE"/>
    <w:rsid w:val="00BD1ABA"/>
    <w:rsid w:val="00BD1EAA"/>
    <w:rsid w:val="00BD546B"/>
    <w:rsid w:val="00BE3888"/>
    <w:rsid w:val="00BF0AFC"/>
    <w:rsid w:val="00BF6786"/>
    <w:rsid w:val="00C04E9D"/>
    <w:rsid w:val="00C22D82"/>
    <w:rsid w:val="00C304C7"/>
    <w:rsid w:val="00C33C10"/>
    <w:rsid w:val="00C3435E"/>
    <w:rsid w:val="00C36610"/>
    <w:rsid w:val="00C36A5B"/>
    <w:rsid w:val="00C44B11"/>
    <w:rsid w:val="00C508FC"/>
    <w:rsid w:val="00C52739"/>
    <w:rsid w:val="00C60A46"/>
    <w:rsid w:val="00C717AF"/>
    <w:rsid w:val="00C736C1"/>
    <w:rsid w:val="00C827FF"/>
    <w:rsid w:val="00C84881"/>
    <w:rsid w:val="00C8553D"/>
    <w:rsid w:val="00C878DE"/>
    <w:rsid w:val="00C9183D"/>
    <w:rsid w:val="00C91905"/>
    <w:rsid w:val="00CB0E24"/>
    <w:rsid w:val="00CB198D"/>
    <w:rsid w:val="00CD34AC"/>
    <w:rsid w:val="00CE6558"/>
    <w:rsid w:val="00CE73B2"/>
    <w:rsid w:val="00CF2CEE"/>
    <w:rsid w:val="00D006EE"/>
    <w:rsid w:val="00D05797"/>
    <w:rsid w:val="00D05B70"/>
    <w:rsid w:val="00D067E4"/>
    <w:rsid w:val="00D06B50"/>
    <w:rsid w:val="00D13BB8"/>
    <w:rsid w:val="00D21BB0"/>
    <w:rsid w:val="00D22A96"/>
    <w:rsid w:val="00D318E7"/>
    <w:rsid w:val="00D40947"/>
    <w:rsid w:val="00D411F7"/>
    <w:rsid w:val="00D57A1A"/>
    <w:rsid w:val="00D717FD"/>
    <w:rsid w:val="00D7202C"/>
    <w:rsid w:val="00D8432D"/>
    <w:rsid w:val="00D908F0"/>
    <w:rsid w:val="00D92AE2"/>
    <w:rsid w:val="00D93847"/>
    <w:rsid w:val="00DB5868"/>
    <w:rsid w:val="00DC14A8"/>
    <w:rsid w:val="00DC4F54"/>
    <w:rsid w:val="00DE19FF"/>
    <w:rsid w:val="00E00D3E"/>
    <w:rsid w:val="00E128BB"/>
    <w:rsid w:val="00E14B38"/>
    <w:rsid w:val="00E154EF"/>
    <w:rsid w:val="00E17380"/>
    <w:rsid w:val="00E1768C"/>
    <w:rsid w:val="00E263DF"/>
    <w:rsid w:val="00E34244"/>
    <w:rsid w:val="00E34EF0"/>
    <w:rsid w:val="00E40C7D"/>
    <w:rsid w:val="00E57C99"/>
    <w:rsid w:val="00E61C10"/>
    <w:rsid w:val="00E63984"/>
    <w:rsid w:val="00E8005A"/>
    <w:rsid w:val="00E81BA6"/>
    <w:rsid w:val="00E81E17"/>
    <w:rsid w:val="00E856D2"/>
    <w:rsid w:val="00E86A77"/>
    <w:rsid w:val="00E929A7"/>
    <w:rsid w:val="00E92C76"/>
    <w:rsid w:val="00E93EA3"/>
    <w:rsid w:val="00EA5F7F"/>
    <w:rsid w:val="00EB736D"/>
    <w:rsid w:val="00EB761F"/>
    <w:rsid w:val="00ED2DAE"/>
    <w:rsid w:val="00EF0228"/>
    <w:rsid w:val="00F01DE1"/>
    <w:rsid w:val="00F17A62"/>
    <w:rsid w:val="00F26123"/>
    <w:rsid w:val="00F46189"/>
    <w:rsid w:val="00F51012"/>
    <w:rsid w:val="00F53349"/>
    <w:rsid w:val="00F655A9"/>
    <w:rsid w:val="00F74E92"/>
    <w:rsid w:val="00F751AE"/>
    <w:rsid w:val="00F83B8C"/>
    <w:rsid w:val="00F95B55"/>
    <w:rsid w:val="00FA0E98"/>
    <w:rsid w:val="00FA31F3"/>
    <w:rsid w:val="00FB5399"/>
    <w:rsid w:val="00FC228C"/>
    <w:rsid w:val="00FC42F1"/>
    <w:rsid w:val="00FC5490"/>
    <w:rsid w:val="00FC6460"/>
    <w:rsid w:val="00FD0D14"/>
    <w:rsid w:val="00FD4BC4"/>
    <w:rsid w:val="00FE24DE"/>
    <w:rsid w:val="00FF49A3"/>
    <w:rsid w:val="00FF4B50"/>
    <w:rsid w:val="00FF5EE7"/>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E84E17"/>
  <w15:chartTrackingRefBased/>
  <w15:docId w15:val="{2A471FD1-8A50-4278-A925-7B04971E8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76019"/>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8432D"/>
    <w:rPr>
      <w:rFonts w:ascii="Arial" w:hAnsi="Arial" w:cs="Arial"/>
      <w:noProof/>
      <w:vanish/>
      <w:color w:val="000080"/>
      <w:sz w:val="20"/>
    </w:rPr>
  </w:style>
  <w:style w:type="paragraph" w:customStyle="1" w:styleId="EPFooter2">
    <w:name w:val="EPFooter2"/>
    <w:basedOn w:val="Normal"/>
    <w:next w:val="Normal"/>
    <w:rsid w:val="00D8432D"/>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8432D"/>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8432D"/>
    <w:rPr>
      <w:rFonts w:ascii="Arial" w:hAnsi="Arial"/>
      <w:vanish/>
      <w:color w:val="808080"/>
      <w:sz w:val="20"/>
    </w:rPr>
  </w:style>
  <w:style w:type="paragraph" w:customStyle="1" w:styleId="PageHeadingNotTOC">
    <w:name w:val="PageHeadingNotTOC"/>
    <w:basedOn w:val="Normal"/>
    <w:rsid w:val="00D8432D"/>
    <w:pPr>
      <w:keepNext/>
      <w:spacing w:after="480"/>
      <w:jc w:val="center"/>
    </w:pPr>
    <w:rPr>
      <w:rFonts w:ascii="Arial" w:hAnsi="Arial" w:cs="Arial"/>
      <w:b/>
    </w:rPr>
  </w:style>
  <w:style w:type="paragraph" w:customStyle="1" w:styleId="EPName">
    <w:name w:val="EPName"/>
    <w:basedOn w:val="Normal"/>
    <w:rsid w:val="00D8432D"/>
    <w:pPr>
      <w:spacing w:before="80" w:after="80"/>
    </w:pPr>
    <w:rPr>
      <w:rFonts w:ascii="Arial Narrow" w:hAnsi="Arial Narrow" w:cs="Arial"/>
      <w:b/>
      <w:sz w:val="32"/>
      <w:szCs w:val="22"/>
    </w:rPr>
  </w:style>
  <w:style w:type="paragraph" w:customStyle="1" w:styleId="CoverNormal24a">
    <w:name w:val="CoverNormal24a"/>
    <w:basedOn w:val="Normal"/>
    <w:rsid w:val="00D8432D"/>
    <w:pPr>
      <w:spacing w:after="480"/>
      <w:ind w:left="1417"/>
    </w:pPr>
  </w:style>
  <w:style w:type="paragraph" w:customStyle="1" w:styleId="CoverNormal">
    <w:name w:val="CoverNormal"/>
    <w:basedOn w:val="Normal"/>
    <w:rsid w:val="00D8432D"/>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D8432D"/>
    <w:pPr>
      <w:spacing w:before="1080"/>
      <w:jc w:val="right"/>
    </w:pPr>
    <w:rPr>
      <w:rFonts w:ascii="Arial" w:hAnsi="Arial"/>
      <w:b/>
    </w:rPr>
  </w:style>
  <w:style w:type="paragraph" w:customStyle="1" w:styleId="CoverDocType24a">
    <w:name w:val="CoverDocType24a"/>
    <w:basedOn w:val="Normal"/>
    <w:rsid w:val="00D8432D"/>
    <w:pPr>
      <w:spacing w:after="480"/>
      <w:ind w:left="1417"/>
    </w:pPr>
    <w:rPr>
      <w:rFonts w:ascii="Arial" w:hAnsi="Arial" w:cs="Arial"/>
      <w:b/>
      <w:sz w:val="48"/>
    </w:rPr>
  </w:style>
  <w:style w:type="paragraph" w:customStyle="1" w:styleId="CoverDate">
    <w:name w:val="CoverDate"/>
    <w:basedOn w:val="Normal"/>
    <w:rsid w:val="00D8432D"/>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8432D"/>
    <w:pPr>
      <w:jc w:val="center"/>
    </w:pPr>
    <w:rPr>
      <w:rFonts w:ascii="Arial" w:hAnsi="Arial" w:cs="Arial"/>
      <w:i/>
      <w:sz w:val="22"/>
      <w:szCs w:val="22"/>
    </w:rPr>
  </w:style>
  <w:style w:type="paragraph" w:customStyle="1" w:styleId="LineTop">
    <w:name w:val="LineTop"/>
    <w:basedOn w:val="Normal"/>
    <w:next w:val="Normal"/>
    <w:rsid w:val="00D8432D"/>
    <w:pPr>
      <w:pBdr>
        <w:top w:val="single" w:sz="4" w:space="1" w:color="auto"/>
      </w:pBdr>
      <w:jc w:val="center"/>
    </w:pPr>
    <w:rPr>
      <w:rFonts w:ascii="Arial" w:hAnsi="Arial"/>
      <w:sz w:val="16"/>
      <w:szCs w:val="16"/>
    </w:rPr>
  </w:style>
  <w:style w:type="paragraph" w:customStyle="1" w:styleId="LineBottom">
    <w:name w:val="LineBottom"/>
    <w:basedOn w:val="Normal"/>
    <w:next w:val="Normal"/>
    <w:rsid w:val="00D8432D"/>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8432D"/>
    <w:pPr>
      <w:spacing w:after="80"/>
    </w:pPr>
    <w:rPr>
      <w:rFonts w:ascii="Arial" w:hAnsi="Arial" w:cs="Arial"/>
      <w:sz w:val="20"/>
      <w:szCs w:val="22"/>
    </w:rPr>
  </w:style>
  <w:style w:type="paragraph" w:customStyle="1" w:styleId="EPLogo">
    <w:name w:val="EPLogo"/>
    <w:basedOn w:val="Normal"/>
    <w:qFormat/>
    <w:rsid w:val="00D8432D"/>
    <w:pPr>
      <w:jc w:val="right"/>
    </w:pPr>
  </w:style>
  <w:style w:type="paragraph" w:customStyle="1" w:styleId="NormalHanging12a">
    <w:name w:val="NormalHanging12a"/>
    <w:basedOn w:val="Normal"/>
    <w:rsid w:val="00D8432D"/>
    <w:pPr>
      <w:spacing w:after="240"/>
      <w:ind w:left="567" w:hanging="567"/>
    </w:pPr>
  </w:style>
  <w:style w:type="paragraph" w:customStyle="1" w:styleId="EPFooter">
    <w:name w:val="EPFooter"/>
    <w:basedOn w:val="Normal"/>
    <w:rsid w:val="00D8432D"/>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customStyle="1" w:styleId="AmDocTypeTab">
    <w:name w:val="AmDocTypeTab"/>
    <w:basedOn w:val="Normal"/>
    <w:rsid w:val="00D8432D"/>
    <w:pPr>
      <w:tabs>
        <w:tab w:val="right" w:pos="9072"/>
      </w:tabs>
    </w:pPr>
    <w:rPr>
      <w:b/>
    </w:rPr>
  </w:style>
  <w:style w:type="paragraph" w:customStyle="1" w:styleId="NormalBold">
    <w:name w:val="NormalBold"/>
    <w:basedOn w:val="Normal"/>
    <w:rsid w:val="00D8432D"/>
    <w:rPr>
      <w:b/>
    </w:rPr>
  </w:style>
  <w:style w:type="paragraph" w:customStyle="1" w:styleId="AmOrLang">
    <w:name w:val="AmOrLang"/>
    <w:basedOn w:val="Normal"/>
    <w:rsid w:val="00D8432D"/>
    <w:pPr>
      <w:spacing w:before="240" w:after="240"/>
      <w:jc w:val="right"/>
    </w:pPr>
  </w:style>
  <w:style w:type="paragraph" w:customStyle="1" w:styleId="Normal6a">
    <w:name w:val="Normal6a"/>
    <w:basedOn w:val="Normal"/>
    <w:rsid w:val="00D8432D"/>
    <w:pPr>
      <w:spacing w:after="120"/>
    </w:pPr>
  </w:style>
  <w:style w:type="paragraph" w:customStyle="1" w:styleId="AmDateTab">
    <w:name w:val="AmDateTab"/>
    <w:basedOn w:val="Normal"/>
    <w:rsid w:val="00D8432D"/>
    <w:pPr>
      <w:tabs>
        <w:tab w:val="right" w:pos="9072"/>
      </w:tabs>
    </w:pPr>
  </w:style>
  <w:style w:type="paragraph" w:customStyle="1" w:styleId="AmColumnHeading">
    <w:name w:val="AmColumnHeading"/>
    <w:basedOn w:val="Normal"/>
    <w:rsid w:val="00D8432D"/>
    <w:pPr>
      <w:spacing w:after="240"/>
      <w:jc w:val="center"/>
    </w:pPr>
    <w:rPr>
      <w:i/>
    </w:rPr>
  </w:style>
  <w:style w:type="paragraph" w:customStyle="1" w:styleId="AmNumberTabs">
    <w:name w:val="AmNumberTabs"/>
    <w:basedOn w:val="Normal"/>
    <w:rsid w:val="00D8432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AmJustText">
    <w:name w:val="AmJustText"/>
    <w:basedOn w:val="Normal"/>
    <w:rsid w:val="00D8432D"/>
    <w:pPr>
      <w:spacing w:after="240"/>
    </w:pPr>
    <w:rPr>
      <w:i/>
    </w:rPr>
  </w:style>
  <w:style w:type="paragraph" w:customStyle="1" w:styleId="AmCrossRef">
    <w:name w:val="AmCrossRef"/>
    <w:basedOn w:val="Normal"/>
    <w:rsid w:val="00D8432D"/>
    <w:pPr>
      <w:spacing w:before="240" w:after="240"/>
      <w:jc w:val="center"/>
    </w:pPr>
    <w:rPr>
      <w:i/>
    </w:rPr>
  </w:style>
  <w:style w:type="paragraph" w:customStyle="1" w:styleId="AmJustTitle">
    <w:name w:val="AmJustTitle"/>
    <w:basedOn w:val="Normal"/>
    <w:next w:val="AmJustText"/>
    <w:rsid w:val="00D8432D"/>
    <w:pPr>
      <w:keepNext/>
      <w:spacing w:before="240" w:after="240"/>
      <w:jc w:val="center"/>
    </w:pPr>
    <w:rPr>
      <w:i/>
    </w:rPr>
  </w:style>
  <w:style w:type="paragraph" w:customStyle="1" w:styleId="NormalBold12b">
    <w:name w:val="NormalBold12b"/>
    <w:basedOn w:val="Normal"/>
    <w:rsid w:val="00D8432D"/>
    <w:pPr>
      <w:spacing w:before="240"/>
    </w:pPr>
    <w:rPr>
      <w:b/>
    </w:rPr>
  </w:style>
  <w:style w:type="paragraph" w:customStyle="1" w:styleId="Normal24a">
    <w:name w:val="Normal24a"/>
    <w:basedOn w:val="Normal"/>
    <w:rsid w:val="00D8432D"/>
    <w:pPr>
      <w:spacing w:after="480"/>
    </w:pPr>
  </w:style>
  <w:style w:type="paragraph" w:customStyle="1" w:styleId="NormalBoldCenter">
    <w:name w:val="NormalBoldCenter"/>
    <w:basedOn w:val="Normal"/>
    <w:rsid w:val="00D8432D"/>
    <w:pPr>
      <w:jc w:val="center"/>
    </w:pPr>
    <w:rPr>
      <w:b/>
    </w:rPr>
  </w:style>
  <w:style w:type="paragraph" w:customStyle="1" w:styleId="Footprint12b">
    <w:name w:val="Footprint12b"/>
    <w:basedOn w:val="Normal"/>
    <w:rsid w:val="00D8432D"/>
    <w:pPr>
      <w:spacing w:before="240"/>
    </w:pPr>
    <w:rPr>
      <w:szCs w:val="24"/>
    </w:rPr>
  </w:style>
  <w:style w:type="paragraph" w:customStyle="1" w:styleId="NormalSingle">
    <w:name w:val="NormalSingle"/>
    <w:basedOn w:val="Normal"/>
    <w:qFormat/>
    <w:rsid w:val="00D8432D"/>
    <w:rPr>
      <w:szCs w:val="24"/>
    </w:rPr>
  </w:style>
  <w:style w:type="paragraph" w:customStyle="1" w:styleId="EPComma">
    <w:name w:val="EPComma"/>
    <w:basedOn w:val="Normal"/>
    <w:rsid w:val="00D8432D"/>
    <w:pPr>
      <w:spacing w:before="480" w:after="240"/>
    </w:pPr>
  </w:style>
  <w:style w:type="paragraph" w:styleId="FootnoteText">
    <w:name w:val="footnote text"/>
    <w:basedOn w:val="Normal"/>
    <w:link w:val="FootnoteTextChar"/>
    <w:rsid w:val="00755CD7"/>
    <w:rPr>
      <w:sz w:val="20"/>
    </w:rPr>
  </w:style>
  <w:style w:type="character" w:customStyle="1" w:styleId="FootnoteTextChar">
    <w:name w:val="Footnote Text Char"/>
    <w:basedOn w:val="DefaultParagraphFont"/>
    <w:link w:val="FootnoteText"/>
    <w:rsid w:val="00755CD7"/>
  </w:style>
  <w:style w:type="character" w:styleId="FootnoteReference">
    <w:name w:val="footnote reference"/>
    <w:aliases w:val="-E Fußnotenzeichen,BVI fnr,E FNZ,Exposant 3 Point,Footnote,Footnote Reference Number,Footnote Reference Superscript,Footnote sign,Footnote symboFußnotenzeichen,Footnote symbol,Footnote#,Ref,SUPER,Times 10 Point,de nota al pie,stylish"/>
    <w:unhideWhenUsed/>
    <w:rsid w:val="00755CD7"/>
    <w:rPr>
      <w:vertAlign w:val="superscript"/>
    </w:rPr>
  </w:style>
  <w:style w:type="character" w:styleId="Hyperlink">
    <w:name w:val="Hyperlink"/>
    <w:basedOn w:val="DefaultParagraphFont"/>
    <w:unhideWhenUsed/>
    <w:rsid w:val="00755CD7"/>
    <w:rPr>
      <w:color w:val="0563C1" w:themeColor="hyperlink"/>
      <w:u w:val="single"/>
    </w:rPr>
  </w:style>
  <w:style w:type="character" w:styleId="UnresolvedMention">
    <w:name w:val="Unresolved Mention"/>
    <w:basedOn w:val="DefaultParagraphFont"/>
    <w:uiPriority w:val="99"/>
    <w:semiHidden/>
    <w:unhideWhenUsed/>
    <w:rsid w:val="006D16AE"/>
    <w:rPr>
      <w:color w:val="605E5C"/>
      <w:shd w:val="clear" w:color="auto" w:fill="E1DFDD"/>
    </w:rPr>
  </w:style>
  <w:style w:type="paragraph" w:styleId="CommentText">
    <w:name w:val="annotation text"/>
    <w:basedOn w:val="Normal"/>
    <w:link w:val="CommentTextChar"/>
    <w:unhideWhenUsed/>
    <w:rsid w:val="00C04E9D"/>
    <w:rPr>
      <w:sz w:val="20"/>
    </w:rPr>
  </w:style>
  <w:style w:type="character" w:customStyle="1" w:styleId="CommentTextChar">
    <w:name w:val="Comment Text Char"/>
    <w:basedOn w:val="DefaultParagraphFont"/>
    <w:link w:val="CommentText"/>
    <w:rsid w:val="00C04E9D"/>
  </w:style>
  <w:style w:type="character" w:styleId="CommentReference">
    <w:name w:val="annotation reference"/>
    <w:basedOn w:val="DefaultParagraphFont"/>
    <w:unhideWhenUsed/>
    <w:rsid w:val="00C04E9D"/>
    <w:rPr>
      <w:sz w:val="16"/>
      <w:szCs w:val="16"/>
    </w:rPr>
  </w:style>
  <w:style w:type="paragraph" w:styleId="Footer">
    <w:name w:val="footer"/>
    <w:basedOn w:val="Normal"/>
    <w:link w:val="FooterChar"/>
    <w:semiHidden/>
    <w:rsid w:val="008479EC"/>
    <w:pPr>
      <w:tabs>
        <w:tab w:val="center" w:pos="4513"/>
        <w:tab w:val="right" w:pos="9026"/>
      </w:tabs>
    </w:pPr>
  </w:style>
  <w:style w:type="character" w:customStyle="1" w:styleId="FooterChar">
    <w:name w:val="Footer Char"/>
    <w:basedOn w:val="DefaultParagraphFont"/>
    <w:link w:val="Footer"/>
    <w:semiHidden/>
    <w:rsid w:val="008479EC"/>
    <w:rPr>
      <w:sz w:val="24"/>
    </w:rPr>
  </w:style>
  <w:style w:type="paragraph" w:styleId="Revision">
    <w:name w:val="Revision"/>
    <w:hidden/>
    <w:uiPriority w:val="99"/>
    <w:semiHidden/>
    <w:rsid w:val="00E00D3E"/>
    <w:rPr>
      <w:sz w:val="24"/>
    </w:rPr>
  </w:style>
  <w:style w:type="paragraph" w:customStyle="1" w:styleId="RollCallSymbols14pt">
    <w:name w:val="RollCallSymbols14pt"/>
    <w:basedOn w:val="Normal"/>
    <w:rsid w:val="00C878DE"/>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C878DE"/>
    <w:pPr>
      <w:tabs>
        <w:tab w:val="center" w:pos="284"/>
        <w:tab w:val="left" w:pos="426"/>
      </w:tabs>
    </w:pPr>
    <w:rPr>
      <w:snapToGrid w:val="0"/>
      <w:lang w:eastAsia="en-US"/>
    </w:rPr>
  </w:style>
  <w:style w:type="paragraph" w:customStyle="1" w:styleId="RollCallVotes">
    <w:name w:val="RollCallVotes"/>
    <w:basedOn w:val="Normal"/>
    <w:rsid w:val="00C878DE"/>
    <w:pPr>
      <w:spacing w:before="120" w:after="120"/>
      <w:jc w:val="center"/>
    </w:pPr>
    <w:rPr>
      <w:b/>
      <w:bCs/>
      <w:snapToGrid w:val="0"/>
      <w:sz w:val="16"/>
      <w:lang w:eastAsia="en-US"/>
    </w:rPr>
  </w:style>
  <w:style w:type="paragraph" w:customStyle="1" w:styleId="RollCallTable">
    <w:name w:val="RollCallTable"/>
    <w:basedOn w:val="Normal"/>
    <w:rsid w:val="00C878DE"/>
    <w:pPr>
      <w:spacing w:before="120" w:after="120"/>
    </w:pPr>
    <w:rPr>
      <w:snapToGrid w:val="0"/>
      <w:sz w:val="16"/>
      <w:lang w:eastAsia="en-US"/>
    </w:rPr>
  </w:style>
  <w:style w:type="paragraph" w:styleId="CommentSubject">
    <w:name w:val="annotation subject"/>
    <w:basedOn w:val="CommentText"/>
    <w:next w:val="CommentText"/>
    <w:link w:val="CommentSubjectChar"/>
    <w:semiHidden/>
    <w:unhideWhenUsed/>
    <w:rsid w:val="00963DF4"/>
    <w:rPr>
      <w:b/>
      <w:bCs/>
    </w:rPr>
  </w:style>
  <w:style w:type="character" w:customStyle="1" w:styleId="CommentSubjectChar">
    <w:name w:val="Comment Subject Char"/>
    <w:basedOn w:val="CommentTextChar"/>
    <w:link w:val="CommentSubject"/>
    <w:semiHidden/>
    <w:rsid w:val="00963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uroparl.europa.eu/data-protect/index.d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data.europa.eu/eli/reg/2024/2509/oj"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agree_interinstit/2021/611/oj" TargetMode="External"/><Relationship Id="rId1" Type="http://schemas.openxmlformats.org/officeDocument/2006/relationships/hyperlink" Target="http://data.europa.eu/eli/reg/2024/2509/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7B569-51A9-4E74-BD30-49EBA0FDA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4345</Words>
  <Characters>26638</Characters>
  <Application>Microsoft Office Word</Application>
  <DocSecurity>0</DocSecurity>
  <Lines>649</Lines>
  <Paragraphs>209</Paragraphs>
  <ScaleCrop>false</ScaleCrop>
  <HeadingPairs>
    <vt:vector size="2" baseType="variant">
      <vt:variant>
        <vt:lpstr>Title</vt:lpstr>
      </vt:variant>
      <vt:variant>
        <vt:i4>1</vt:i4>
      </vt:variant>
    </vt:vector>
  </HeadingPairs>
  <TitlesOfParts>
    <vt:vector size="1" baseType="lpstr">
      <vt:lpstr>PA_LegEvaluation</vt:lpstr>
    </vt:vector>
  </TitlesOfParts>
  <Company/>
  <LinksUpToDate>false</LinksUpToDate>
  <CharactersWithSpaces>30774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PA_LegEvaluation</dc:title>
  <dc:creator>European Parliament</dc:creator>
  <cp:lastModifiedBy>European Parliament</cp:lastModifiedBy>
  <cp:revision>2</cp:revision>
  <cp:lastPrinted>2026-06-29T16:36:00Z</cp:lastPrinted>
  <dcterms:created xsi:type="dcterms:W3CDTF">2026-07-09T12:59:00Z</dcterms:created>
  <dcterms:modified xsi:type="dcterms:W3CDTF">2026-07-09T12:59:00Z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1342281</vt:lpwstr>
  </property>
  <property fmtid="{D5CDD505-2E9C-101B-9397-08002B2CF9AE}" pid="4" name="&lt;Model&gt;">
    <vt:lpwstr>PA_LegEvaluation</vt:lpwstr>
  </property>
  <property fmtid="{D5CDD505-2E9C-101B-9397-08002B2CF9AE}" pid="5" name="&lt;ModelCod&gt;">
    <vt:lpwstr>\\eiciBRUpr1\pdocep$\DocEP\DOCS\General\PA\PA_Leg\PA_LegEvaluation.dotx(18/03/2025 12:35:01)</vt:lpwstr>
  </property>
  <property fmtid="{D5CDD505-2E9C-101B-9397-08002B2CF9AE}" pid="6" name="&lt;ModelTra&gt;">
    <vt:lpwstr>\\eiciBRUpr1\pdocep$\DocEP\TRANSFIL\EN\PA_LegEvaluation.EN(03/03/2026 10:04:10)</vt:lpwstr>
  </property>
  <property fmtid="{D5CDD505-2E9C-101B-9397-08002B2CF9AE}" pid="7" name="&lt;Type&gt;">
    <vt:lpwstr>AD</vt:lpwstr>
  </property>
  <property fmtid="{D5CDD505-2E9C-101B-9397-08002B2CF9AE}" pid="8" name="Bookout">
    <vt:lpwstr>OK - 2026/07/09 14:59</vt:lpwstr>
  </property>
  <property fmtid="{D5CDD505-2E9C-101B-9397-08002B2CF9AE}" pid="9" name="Created with">
    <vt:lpwstr>10.2.1 Build [20260301]</vt:lpwstr>
  </property>
  <property fmtid="{D5CDD505-2E9C-101B-9397-08002B2CF9AE}" pid="10" name="FooterPath">
    <vt:lpwstr>AD\1342281RO.docx</vt:lpwstr>
  </property>
  <property fmtid="{D5CDD505-2E9C-101B-9397-08002B2CF9AE}" pid="11" name="LastEdited with">
    <vt:lpwstr>10.3.0 Build [20260401]</vt:lpwstr>
  </property>
  <property fmtid="{D5CDD505-2E9C-101B-9397-08002B2CF9AE}" pid="12" name="OriLang">
    <vt:lpwstr>EN</vt:lpwstr>
  </property>
  <property fmtid="{D5CDD505-2E9C-101B-9397-08002B2CF9AE}" pid="13" name="PE number">
    <vt:lpwstr>782.453</vt:lpwstr>
  </property>
  <property fmtid="{D5CDD505-2E9C-101B-9397-08002B2CF9AE}" pid="14" name="RegistreCheck">
    <vt:lpwstr>OK</vt:lpwstr>
  </property>
  <property fmtid="{D5CDD505-2E9C-101B-9397-08002B2CF9AE}" pid="15" name="SDLStudio">
    <vt:lpwstr/>
  </property>
  <property fmtid="{D5CDD505-2E9C-101B-9397-08002B2CF9AE}" pid="16" name="SendToEpades">
    <vt:lpwstr>NOK(Major:TWBEXT)(Minor:HDG) - 2026/06/26 11:20</vt:lpwstr>
  </property>
</Properties>
</file>