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A0AC7" w:rsidRPr="008B07EC" w14:paraId="1A1C04A5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C6EE62" w14:textId="77777777" w:rsidR="00854CAC" w:rsidRPr="008B07EC" w:rsidRDefault="008476E3">
            <w:pPr>
              <w:pStyle w:val="EPName"/>
            </w:pPr>
            <w:r w:rsidRPr="008B07EC">
              <w:t>Európsky parlament</w:t>
            </w:r>
          </w:p>
          <w:p w14:paraId="60B40C40" w14:textId="77777777" w:rsidR="00854CAC" w:rsidRPr="008B07EC" w:rsidRDefault="008476E3">
            <w:pPr>
              <w:pStyle w:val="EPTerm"/>
            </w:pPr>
            <w:r w:rsidRPr="008B07EC">
              <w:t>2024 - 2029</w:t>
            </w:r>
          </w:p>
        </w:tc>
        <w:tc>
          <w:tcPr>
            <w:tcW w:w="2268" w:type="dxa"/>
            <w:shd w:val="clear" w:color="auto" w:fill="auto"/>
          </w:tcPr>
          <w:p w14:paraId="7646EDC1" w14:textId="77777777" w:rsidR="00854CAC" w:rsidRPr="008B07EC" w:rsidRDefault="008476E3">
            <w:pPr>
              <w:pStyle w:val="EPLogo"/>
            </w:pPr>
            <w:r w:rsidRPr="008B07EC">
              <w:rPr>
                <w:noProof/>
                <w:lang w:eastAsia="ja-JP"/>
              </w:rPr>
              <w:drawing>
                <wp:inline distT="0" distB="0" distL="0" distR="0" wp14:anchorId="4E14FEA6" wp14:editId="167A13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EAE769" w14:textId="77777777" w:rsidR="001746D0" w:rsidRPr="008B07EC" w:rsidRDefault="001746D0" w:rsidP="001746D0">
      <w:pPr>
        <w:pStyle w:val="LineTop"/>
      </w:pPr>
    </w:p>
    <w:p w14:paraId="31BC8D33" w14:textId="77777777" w:rsidR="001746D0" w:rsidRPr="008B07EC" w:rsidRDefault="008476E3" w:rsidP="001746D0">
      <w:pPr>
        <w:pStyle w:val="EPBody"/>
      </w:pPr>
      <w:r w:rsidRPr="008B07EC">
        <w:rPr>
          <w:rStyle w:val="HideTWBExt"/>
        </w:rPr>
        <w:t>&lt;</w:t>
      </w:r>
      <w:r w:rsidRPr="008B07EC">
        <w:rPr>
          <w:rStyle w:val="HideTWBExt"/>
          <w:i w:val="0"/>
        </w:rPr>
        <w:t>Commission</w:t>
      </w:r>
      <w:r w:rsidRPr="008B07EC">
        <w:rPr>
          <w:rStyle w:val="HideTWBExt"/>
        </w:rPr>
        <w:t>&gt;</w:t>
      </w:r>
      <w:r w:rsidRPr="008B07EC">
        <w:rPr>
          <w:rStyle w:val="HideTWBInt"/>
          <w:i w:val="0"/>
          <w:color w:val="auto"/>
        </w:rPr>
        <w:t>{BUDG}</w:t>
      </w:r>
      <w:r w:rsidRPr="008B07EC">
        <w:t>Výbor pre rozpočet</w:t>
      </w:r>
      <w:r w:rsidRPr="008B07EC">
        <w:rPr>
          <w:rStyle w:val="HideTWBExt"/>
        </w:rPr>
        <w:t>&lt;/</w:t>
      </w:r>
      <w:r w:rsidRPr="008B07EC">
        <w:rPr>
          <w:rStyle w:val="HideTWBExt"/>
          <w:i w:val="0"/>
        </w:rPr>
        <w:t>Commission</w:t>
      </w:r>
      <w:r w:rsidRPr="008B07EC">
        <w:rPr>
          <w:rStyle w:val="HideTWBExt"/>
        </w:rPr>
        <w:t>&gt;</w:t>
      </w:r>
    </w:p>
    <w:p w14:paraId="2981A024" w14:textId="77777777" w:rsidR="001746D0" w:rsidRPr="008B07EC" w:rsidRDefault="001746D0" w:rsidP="001746D0">
      <w:pPr>
        <w:pStyle w:val="LineBottom"/>
      </w:pPr>
    </w:p>
    <w:p w14:paraId="6CE94AE9" w14:textId="77777777" w:rsidR="002E2F2E" w:rsidRPr="008B07EC" w:rsidRDefault="008476E3">
      <w:pPr>
        <w:pStyle w:val="CoverReference"/>
      </w:pPr>
      <w:r w:rsidRPr="008B07EC">
        <w:rPr>
          <w:rStyle w:val="HideTWBExt"/>
          <w:b w:val="0"/>
        </w:rPr>
        <w:t>&lt;RefProc&gt;</w:t>
      </w:r>
      <w:r w:rsidRPr="008B07EC">
        <w:t>2025/0543</w:t>
      </w:r>
      <w:r w:rsidRPr="008B07EC">
        <w:rPr>
          <w:rStyle w:val="HideTWBExt"/>
          <w:b w:val="0"/>
        </w:rPr>
        <w:t>&lt;/RefProc&gt;&lt;RefTypeProc&gt;</w:t>
      </w:r>
      <w:r w:rsidRPr="008B07EC">
        <w:t>(COD)</w:t>
      </w:r>
      <w:r w:rsidRPr="008B07EC">
        <w:rPr>
          <w:rStyle w:val="HideTWBExt"/>
          <w:b w:val="0"/>
        </w:rPr>
        <w:t>&lt;/RefTypeProc&gt;</w:t>
      </w:r>
    </w:p>
    <w:p w14:paraId="4CEBB193" w14:textId="77777777" w:rsidR="002E2F2E" w:rsidRPr="008B07EC" w:rsidRDefault="008476E3">
      <w:pPr>
        <w:pStyle w:val="CoverDate"/>
      </w:pPr>
      <w:r w:rsidRPr="008B07EC">
        <w:rPr>
          <w:rStyle w:val="HideTWBExt"/>
        </w:rPr>
        <w:t>&lt;Date&gt;</w:t>
      </w:r>
      <w:r w:rsidRPr="008B07EC">
        <w:rPr>
          <w:rStyle w:val="HideTWBInt"/>
          <w:color w:val="auto"/>
        </w:rPr>
        <w:t>{25/06/2026}</w:t>
      </w:r>
      <w:r w:rsidRPr="008B07EC">
        <w:t>25.6.2026</w:t>
      </w:r>
      <w:r w:rsidRPr="008B07EC">
        <w:rPr>
          <w:rStyle w:val="HideTWBExt"/>
        </w:rPr>
        <w:t>&lt;/Date&gt;</w:t>
      </w:r>
    </w:p>
    <w:p w14:paraId="090821A8" w14:textId="77777777" w:rsidR="002E2F2E" w:rsidRPr="008B07EC" w:rsidRDefault="008476E3">
      <w:pPr>
        <w:pStyle w:val="CoverDocType24a"/>
      </w:pPr>
      <w:r w:rsidRPr="008B07EC">
        <w:rPr>
          <w:rStyle w:val="HideTWBExt"/>
          <w:b w:val="0"/>
        </w:rPr>
        <w:t>&lt;TitreType&gt;</w:t>
      </w:r>
      <w:r w:rsidRPr="008B07EC">
        <w:t>ROZPOČTOVÉ POSÚDENIE</w:t>
      </w:r>
      <w:r w:rsidRPr="008B07EC">
        <w:rPr>
          <w:rStyle w:val="HideTWBExt"/>
          <w:b w:val="0"/>
        </w:rPr>
        <w:t>&lt;/TitreType&gt;</w:t>
      </w:r>
    </w:p>
    <w:p w14:paraId="17FFE7ED" w14:textId="77777777" w:rsidR="002E2F2E" w:rsidRPr="008B07EC" w:rsidRDefault="008476E3">
      <w:pPr>
        <w:pStyle w:val="CoverNormal24a"/>
      </w:pPr>
      <w:r w:rsidRPr="008B07EC">
        <w:rPr>
          <w:rStyle w:val="HideTWBExt"/>
        </w:rPr>
        <w:t>&lt;CommissionResp&gt;</w:t>
      </w:r>
      <w:r w:rsidRPr="008B07EC">
        <w:t>Výboru pre rozpočet</w:t>
      </w:r>
      <w:r w:rsidRPr="008B07EC">
        <w:rPr>
          <w:rStyle w:val="HideTWBExt"/>
        </w:rPr>
        <w:t>&lt;/CommissionResp&gt;</w:t>
      </w:r>
    </w:p>
    <w:p w14:paraId="4F7123EC" w14:textId="77777777" w:rsidR="002E2F2E" w:rsidRPr="008B07EC" w:rsidRDefault="008476E3">
      <w:pPr>
        <w:pStyle w:val="CoverNormal24a"/>
      </w:pPr>
      <w:r w:rsidRPr="008B07EC">
        <w:rPr>
          <w:rStyle w:val="HideTWBExt"/>
        </w:rPr>
        <w:t>&lt;CommissionInt&gt;</w:t>
      </w:r>
      <w:r w:rsidRPr="008B07EC">
        <w:t>pre Výbor pre priemysel, výskum a energetiku</w:t>
      </w:r>
      <w:r w:rsidRPr="008B07EC">
        <w:rPr>
          <w:rStyle w:val="HideTWBExt"/>
        </w:rPr>
        <w:t>&lt;/CommissionInt&gt;</w:t>
      </w:r>
    </w:p>
    <w:p w14:paraId="427BF0BF" w14:textId="77777777" w:rsidR="004D18F2" w:rsidRPr="008B07EC" w:rsidRDefault="008476E3" w:rsidP="004D18F2">
      <w:pPr>
        <w:pStyle w:val="CoverNormal"/>
      </w:pPr>
      <w:r w:rsidRPr="008B07EC">
        <w:rPr>
          <w:rStyle w:val="HideTWBExt"/>
        </w:rPr>
        <w:t>&lt;Titre&gt;</w:t>
      </w:r>
      <w:r w:rsidRPr="008B07EC">
        <w:t>k návrhu nariadenia Európskeho parlamentu a Rady, ktorým sa ustanovuje rámcový program pre výskum a inovácie Horizont Európa na obdobie 2028 – 2034, stanovujú pravidlá účasti na ňom a pravidlá šírenia jeho výsledkov a ktorým sa zrušuje nariadenie (EÚ) 2021/695</w:t>
      </w:r>
    </w:p>
    <w:p w14:paraId="27CFAB53" w14:textId="77777777" w:rsidR="002E2F2E" w:rsidRPr="008B07EC" w:rsidRDefault="008476E3">
      <w:pPr>
        <w:pStyle w:val="CoverNormal"/>
      </w:pPr>
      <w:r w:rsidRPr="008B07EC">
        <w:rPr>
          <w:rStyle w:val="HideTWBExt"/>
        </w:rPr>
        <w:t>&lt;/Titre&gt;</w:t>
      </w:r>
    </w:p>
    <w:p w14:paraId="64EC641E" w14:textId="77777777" w:rsidR="002E2F2E" w:rsidRPr="008B07EC" w:rsidRDefault="008476E3">
      <w:pPr>
        <w:pStyle w:val="CoverNormal24a"/>
      </w:pPr>
      <w:r w:rsidRPr="008B07EC">
        <w:rPr>
          <w:rStyle w:val="HideTWBExt"/>
        </w:rPr>
        <w:t>&lt;DocRef&gt;</w:t>
      </w:r>
      <w:r w:rsidRPr="008B07EC">
        <w:t>(COM(2025)0543 – C10</w:t>
      </w:r>
      <w:r w:rsidRPr="008B07EC">
        <w:noBreakHyphen/>
        <w:t>0164/2025 – 2025/0543(COD))</w:t>
      </w:r>
      <w:r w:rsidRPr="008B07EC">
        <w:rPr>
          <w:rStyle w:val="HideTWBExt"/>
        </w:rPr>
        <w:t>&lt;/DocRef&gt;</w:t>
      </w:r>
    </w:p>
    <w:p w14:paraId="5BC9D25A" w14:textId="77777777" w:rsidR="00217B7E" w:rsidRPr="008B07EC" w:rsidRDefault="008476E3" w:rsidP="00217B7E">
      <w:pPr>
        <w:pStyle w:val="CoverNormal24a"/>
        <w:rPr>
          <w:rStyle w:val="HideTWBExt"/>
        </w:rPr>
      </w:pPr>
      <w:r w:rsidRPr="008B07EC">
        <w:t xml:space="preserve">Spravodajca pre rozpočtové </w:t>
      </w:r>
      <w:r w:rsidRPr="008B07EC">
        <w:t xml:space="preserve">posúdenie: </w:t>
      </w:r>
      <w:r w:rsidRPr="008B07EC">
        <w:rPr>
          <w:rStyle w:val="HideTWBExt"/>
        </w:rPr>
        <w:t>&lt;Depute&gt;</w:t>
      </w:r>
      <w:r w:rsidRPr="008B07EC">
        <w:t>Hélder Sousa Silva</w:t>
      </w:r>
      <w:r w:rsidRPr="008B07EC">
        <w:rPr>
          <w:rStyle w:val="HideTWBExt"/>
        </w:rPr>
        <w:t>&lt;/Depute&gt;</w:t>
      </w:r>
    </w:p>
    <w:p w14:paraId="68979F69" w14:textId="77777777" w:rsidR="002E2F2E" w:rsidRPr="008B07EC" w:rsidRDefault="008476E3" w:rsidP="00E856D2">
      <w:pPr>
        <w:widowControl/>
        <w:tabs>
          <w:tab w:val="center" w:pos="4677"/>
        </w:tabs>
      </w:pPr>
      <w:r w:rsidRPr="008B07EC">
        <w:br w:type="page"/>
      </w:r>
      <w:r w:rsidRPr="008B07EC">
        <w:lastRenderedPageBreak/>
        <w:t>PA_LegEvaluation</w:t>
      </w:r>
    </w:p>
    <w:p w14:paraId="1BCB5B62" w14:textId="77777777" w:rsidR="002E2F2E" w:rsidRPr="008B07EC" w:rsidRDefault="008476E3" w:rsidP="00757C4C">
      <w:pPr>
        <w:pStyle w:val="PageHeadingNotTOC"/>
      </w:pPr>
      <w:r w:rsidRPr="008B07EC">
        <w:br w:type="page"/>
      </w:r>
      <w:r w:rsidRPr="008B07EC">
        <w:lastRenderedPageBreak/>
        <w:t>ROZPOČTOVÉ POSÚDENIE</w:t>
      </w:r>
    </w:p>
    <w:p w14:paraId="637D8914" w14:textId="77777777" w:rsidR="004D18F2" w:rsidRPr="008B07EC" w:rsidRDefault="008476E3" w:rsidP="004D18F2">
      <w:pPr>
        <w:pStyle w:val="NormalBold"/>
      </w:pPr>
      <w:r w:rsidRPr="008B07EC">
        <w:t>pre Výbor pre priemysel, výskum a energetiku k návrhu nariadenia Európskeho parlamentu a Rady, ktorým sa ustanovuje rámcový program pre výskum a inovácie Horizont Európa na obdobie 2028 – 2034, stanovujú pravidlá účasti na ňom a pravidlá šírenia výsledkov a ktorým sa zrušuje nariadenie (EÚ) 2021/695</w:t>
      </w:r>
    </w:p>
    <w:p w14:paraId="6200B33C" w14:textId="77777777" w:rsidR="004D18F2" w:rsidRPr="008B07EC" w:rsidRDefault="008476E3" w:rsidP="004D18F2">
      <w:pPr>
        <w:pStyle w:val="NormalBold"/>
      </w:pPr>
      <w:r w:rsidRPr="008B07EC">
        <w:t>(COM (2025)0543 – C10</w:t>
      </w:r>
      <w:r w:rsidRPr="008B07EC">
        <w:noBreakHyphen/>
        <w:t>0164/2025 – 2025/0543(COD))</w:t>
      </w:r>
    </w:p>
    <w:p w14:paraId="4FE8DF03" w14:textId="77777777" w:rsidR="00AE79AF" w:rsidRPr="008B07EC" w:rsidRDefault="008476E3" w:rsidP="00006F54">
      <w:pPr>
        <w:pStyle w:val="Normal12a"/>
        <w:spacing w:before="480"/>
      </w:pPr>
      <w:r w:rsidRPr="008B07EC">
        <w:rPr>
          <w:rStyle w:val="HideTWBExt"/>
        </w:rPr>
        <w:t>&lt;Intro&gt;</w:t>
      </w:r>
      <w:r w:rsidRPr="008B07EC">
        <w:t xml:space="preserve">Výbor pre rozpočet v súlade s článkom 58 rokovacieho </w:t>
      </w:r>
      <w:r w:rsidRPr="008B07EC">
        <w:t>poriadku vydal rozpočtové posúdenie k návrhu a dospel k tomuto záveru:</w:t>
      </w:r>
      <w:r w:rsidRPr="008B07EC">
        <w:rPr>
          <w:rStyle w:val="HideTWBExt"/>
        </w:rPr>
        <w:t>&lt;/Intro&gt;</w:t>
      </w:r>
    </w:p>
    <w:p w14:paraId="33C0443E" w14:textId="77777777" w:rsidR="00CE6558" w:rsidRPr="008B07EC" w:rsidRDefault="008476E3" w:rsidP="00CE6558">
      <w:pPr>
        <w:pStyle w:val="EPComma"/>
      </w:pPr>
      <w:r w:rsidRPr="008B07EC">
        <w:rPr>
          <w:i/>
        </w:rPr>
        <w:t>Výbor pre rozpočet</w:t>
      </w:r>
      <w:r w:rsidRPr="008B07EC">
        <w:t>,</w:t>
      </w:r>
    </w:p>
    <w:p w14:paraId="7206C34E" w14:textId="77777777" w:rsidR="00217B7E" w:rsidRPr="008B07EC" w:rsidRDefault="008476E3" w:rsidP="00217B7E">
      <w:pPr>
        <w:pStyle w:val="NormalHanging12a"/>
        <w:rPr>
          <w:bCs/>
          <w:iCs/>
        </w:rPr>
      </w:pPr>
      <w:r w:rsidRPr="008B07EC">
        <w:t>A.</w:t>
      </w:r>
      <w:r w:rsidRPr="008B07EC">
        <w:tab/>
        <w:t>keďže Draghiho správa označuje výskum a inovácie za jednu z hlavných hnacích síl produktivity a blahobytu ľudí, pretože môžu vytvárať pozitívne externality a podporovať strategickú autonómiu a sociálny model EÚ; keďže uvedená správa podporuje návrh prepracovaného a jednoduchšieho programu zameraného na vybrané priority a zvýšený rozpočet 200 miliárd EUR; keďže Draghiho správa zdôrazňuje nedostatočné zameranie na prelomové inovácie v súčasnom inovačnom systéme EÚ;</w:t>
      </w:r>
    </w:p>
    <w:p w14:paraId="087F7DCD" w14:textId="77777777" w:rsidR="00217B7E" w:rsidRPr="008B07EC" w:rsidRDefault="008476E3" w:rsidP="00217B7E">
      <w:pPr>
        <w:pStyle w:val="NormalHanging12a"/>
      </w:pPr>
      <w:r w:rsidRPr="008B07EC">
        <w:t>B.</w:t>
      </w:r>
      <w:r w:rsidRPr="008B07EC">
        <w:tab/>
        <w:t>keďže priebežné hodnotenie programu Horizont Európa</w:t>
      </w:r>
      <w:r w:rsidRPr="008B07EC">
        <w:rPr>
          <w:vertAlign w:val="superscript"/>
        </w:rPr>
        <w:footnoteReference w:id="1"/>
      </w:r>
      <w:r w:rsidRPr="008B07EC">
        <w:t xml:space="preserve"> potvrdzuje vysokú európsku pridanú hodnotu, relevantnosť a účinnosť; keďže v hodnotení sa zdôrazňuje, že napriek zvýšeniu priemernej miery úspešnosti z 12 % v programe Horizont 2020 na 16,4 % v programe Horizont Európa (od 9 do 14 % v krajinách, ktorých sa týka rozširovanie účasti) bolo možné financovať len 30 % vysokokvalitných návrhov a na financovanie všetkých by bolo potrebných ďalších 81,8 miliardy EUR;</w:t>
      </w:r>
    </w:p>
    <w:p w14:paraId="1E09DBB2" w14:textId="77777777" w:rsidR="00755CD7" w:rsidRPr="008B07EC" w:rsidRDefault="008476E3" w:rsidP="00E00D3E">
      <w:pPr>
        <w:pStyle w:val="NormalHanging12a"/>
      </w:pPr>
      <w:r w:rsidRPr="008B07EC">
        <w:t>C.</w:t>
      </w:r>
      <w:r w:rsidRPr="008B07EC">
        <w:tab/>
        <w:t>keďže vo vyhlásení z Budapešti sa opätovne zdôrazňuje význam vyčlenenia 3 % HDP na výskum a vývoj do roku 2030; keďže za 26 rokov od Barcelonskej deklarácie tento cieľ dosiahlo len niekoľko členských štátov; keďže program Horizont Európa môže podporiť dosiahnutie tohto cieľa a mobilizovať dodatočné finančné prostriedky od verejných a súkromných subjektov;</w:t>
      </w:r>
    </w:p>
    <w:p w14:paraId="7B3DF44E" w14:textId="77777777" w:rsidR="00217B7E" w:rsidRPr="008B07EC" w:rsidRDefault="008476E3" w:rsidP="00217B7E">
      <w:pPr>
        <w:pStyle w:val="NormalHanging12a"/>
      </w:pPr>
      <w:bookmarkStart w:id="0" w:name="_Hlk224037259"/>
      <w:r w:rsidRPr="008B07EC">
        <w:t>D.</w:t>
      </w:r>
      <w:r w:rsidRPr="008B07EC">
        <w:tab/>
        <w:t>keďže v Lettovej správe sa navrhuje nová „piata sloboda na posilnenie výskumu, inovácií a vzdelávania na jednotnom trhu“, čo si vyžaduje silnejší a plne funkčný európsky výskumný priestor (EVP); keďže program Horizont Európa by mal prispieť k uplatňovaniu tejto dodatočnej slobody, a to aj podporou mobility výskumných pracovníkov v rámci EVP;</w:t>
      </w:r>
    </w:p>
    <w:p w14:paraId="12D260D4" w14:textId="77777777" w:rsidR="00217B7E" w:rsidRPr="008B07EC" w:rsidRDefault="008476E3" w:rsidP="00217B7E">
      <w:pPr>
        <w:pStyle w:val="NormalHanging12a"/>
      </w:pPr>
      <w:r w:rsidRPr="008B07EC">
        <w:t>E.</w:t>
      </w:r>
      <w:r w:rsidRPr="008B07EC">
        <w:tab/>
        <w:t>keďže je dôležité, aby mobilizácia zdrojov a zvýšené investície do výskumu a inovácií nepochádzali len z verejného sektora, ale aby pôsobili aj ako páka na mobilizáciu súkromných investícií, čím sa výskum a inovácie stanú atraktívnymi investičnými oblasťami pre spoločnosti vrátane malých a stredných podnikov;</w:t>
      </w:r>
    </w:p>
    <w:p w14:paraId="2BD96EAC" w14:textId="77777777" w:rsidR="00217B7E" w:rsidRPr="008B07EC" w:rsidRDefault="008476E3" w:rsidP="00217B7E">
      <w:pPr>
        <w:pStyle w:val="NormalHanging12a"/>
      </w:pPr>
      <w:r w:rsidRPr="008B07EC">
        <w:lastRenderedPageBreak/>
        <w:t>F.</w:t>
      </w:r>
      <w:r w:rsidRPr="008B07EC">
        <w:tab/>
        <w:t>keďže pretrvávajúce rozdiely vo výkonnosti výskumu a inovácií naďalej obmedzujú celkovú konkurencieschopnosť EÚ; keďže posilnená konvergencia v rámci EVP je potrebná na preklenutie inovačnej priepasti a uvoľnenie nevyužitej excelentnosti vo všetkých členských štátoch;</w:t>
      </w:r>
    </w:p>
    <w:p w14:paraId="4F77852A" w14:textId="77777777" w:rsidR="00217B7E" w:rsidRPr="008B07EC" w:rsidRDefault="008476E3" w:rsidP="00217B7E">
      <w:pPr>
        <w:pStyle w:val="NormalHanging12a"/>
      </w:pPr>
      <w:r w:rsidRPr="008B07EC">
        <w:t>G.</w:t>
      </w:r>
      <w:r w:rsidRPr="008B07EC">
        <w:tab/>
        <w:t>keďže prebiehajúca rozsiahla vojna na Ukrajine poukazuje na význam technológií dvojakého použitia;</w:t>
      </w:r>
    </w:p>
    <w:bookmarkEnd w:id="0"/>
    <w:p w14:paraId="373C7D71" w14:textId="77777777" w:rsidR="00217B7E" w:rsidRPr="008B07EC" w:rsidRDefault="008476E3" w:rsidP="00217B7E">
      <w:pPr>
        <w:pStyle w:val="NormalHanging12a"/>
      </w:pPr>
      <w:r w:rsidRPr="008B07EC">
        <w:t>1.</w:t>
      </w:r>
      <w:r w:rsidRPr="008B07EC">
        <w:tab/>
        <w:t>domnieva sa, že finančné krytie programu by sa malo zvýšiť zo 154 miliárd EUR na 200 miliárd EUR (alebo 177 miliárd EUR v cenách z roku 2025) s cieľom poskytnúť európskemu hospodárstvu potrebný impulz pre inovácie v kľúčových odvetviach podporovať výskumnú základňu EÚ a podporovať nové riešenia globálnych spoločenských výziev s cieľom zabezpečiť primeranú úroveň financovania všetkých priorít a cieľov programu, čím sa podporí cieľ vyčleniť do roku 2030 3 % HDP na výdavky na výskum a vývoj;</w:t>
      </w:r>
    </w:p>
    <w:p w14:paraId="26A52215" w14:textId="77777777" w:rsidR="00217B7E" w:rsidRPr="008B07EC" w:rsidRDefault="008476E3" w:rsidP="00217B7E">
      <w:pPr>
        <w:pStyle w:val="NormalHanging12a"/>
      </w:pPr>
      <w:r w:rsidRPr="008B07EC">
        <w:t>2.</w:t>
      </w:r>
      <w:r w:rsidRPr="008B07EC">
        <w:tab/>
        <w:t>domnieva sa, že od začiatku a počas celého programového obdobia viacročného finančného rámca (VFR) 2028 – 2034 musia byť k dispozícii dostatočné ľudské, technické a informačno-technické zdroje, aby sa zabezpečilo účinné vykonávanie programu Horizont Európa;</w:t>
      </w:r>
    </w:p>
    <w:p w14:paraId="281944CA" w14:textId="77777777" w:rsidR="00217B7E" w:rsidRPr="008B07EC" w:rsidRDefault="008476E3" w:rsidP="00217B7E">
      <w:pPr>
        <w:pStyle w:val="NormalHanging12a"/>
        <w:rPr>
          <w:bCs/>
          <w:iCs/>
        </w:rPr>
      </w:pPr>
      <w:r w:rsidRPr="008B07EC">
        <w:t>3.</w:t>
      </w:r>
      <w:r w:rsidRPr="008B07EC">
        <w:tab/>
        <w:t>domnieva sa, že výskum a inovácie sú hlavnými hnacími silami dlhodobej konkurencieschopnosti; preto zastáva názor, že intervencie okruhu 2 budúceho finančného rámca vo všeobecnosti a najmä program Horizont Európa by sa mali zamerať okrem iného na preklenutie inovačnej priepasti v porovnaní s globálnymi konkurentmi EÚ s cieľom posilniť konkurencieschopnosť EÚ, zabezpečiť plynulý prechod od vysokokvalitného výskumu k trhovo využiteľným riešeniam a poskytnúť spoločnostiam EÚ technologickú výhodu, ktorú potreb</w:t>
      </w:r>
      <w:r w:rsidRPr="008B07EC">
        <w:t>ujú na to, aby prosperovali v otvorenej globálnej hospodárskej súťaži;</w:t>
      </w:r>
    </w:p>
    <w:p w14:paraId="6C70C5F5" w14:textId="77777777" w:rsidR="00217B7E" w:rsidRPr="008B07EC" w:rsidRDefault="008476E3" w:rsidP="00217B7E">
      <w:pPr>
        <w:pStyle w:val="NormalHanging12a"/>
        <w:rPr>
          <w:bCs/>
          <w:iCs/>
        </w:rPr>
      </w:pPr>
      <w:r w:rsidRPr="008B07EC">
        <w:t>4.</w:t>
      </w:r>
      <w:r w:rsidRPr="008B07EC">
        <w:tab/>
        <w:t>domnieva sa, že značné zdroje by sa mali nasmerovať na bezpečnostné technológie, technológie s dvojakým použitím a technológie súvisiace s obranou a projekty v oblasti výskumu a inovácií s cieľom posilniť technologickú suverenitu a odolnosť; konštatuje, že Komisia navrhla osobitný program pre výskum súvisiaci s obranou ako súčasť Európskeho fondu pre konkurencieschopnosť; víta skutočnosť, že program Horizont Európa je naďalej zameraný na civilný výskum a výskum položiek s dvojakým použitím;</w:t>
      </w:r>
    </w:p>
    <w:p w14:paraId="3D673A45" w14:textId="77777777" w:rsidR="00217B7E" w:rsidRPr="008B07EC" w:rsidRDefault="008476E3" w:rsidP="00217B7E">
      <w:pPr>
        <w:pStyle w:val="NormalHanging12a"/>
      </w:pPr>
      <w:r w:rsidRPr="008B07EC">
        <w:t>5.</w:t>
      </w:r>
      <w:r w:rsidRPr="008B07EC">
        <w:tab/>
        <w:t>poukazuje na to, že rozdelenie rozpočtu v článku 6 zahŕňa len 7 orientačných súm na úrovni položiek v porovnaní s 15 sumami v období 2021 – 2027; vyjadruje znepokojenie nad tým, že chýba predvídateľný rozpočet na mnohé opatrenia, najmä v rámci piliera I a piliera III, kde prijímateľom chýba jasné finančné krytie; so znepokojením konštatuje, že by to Komisii poskytlo veľkú voľnosť pri presune a rozhodovaní o výdavkových prioritách počas vykonávania bez akejkoľvek pridanej hodnoty pre výskumných pracovníkov,</w:t>
      </w:r>
      <w:r w:rsidRPr="008B07EC">
        <w:t xml:space="preserve"> inovátorov a MSP, ktorí majú z programu prospech; odporúča stanoviť orientačné čiastkové balíky pre každý balík a každý podprogram v základnom akte s cieľom zvýšiť dlhodobú predvídateľnosť, transparentnosť a demokratickú zodpovednosť;</w:t>
      </w:r>
    </w:p>
    <w:p w14:paraId="3C33430E" w14:textId="77777777" w:rsidR="00217B7E" w:rsidRPr="008B07EC" w:rsidRDefault="008476E3" w:rsidP="00217B7E">
      <w:pPr>
        <w:pStyle w:val="NormalHanging12a"/>
      </w:pPr>
      <w:r w:rsidRPr="008B07EC">
        <w:lastRenderedPageBreak/>
        <w:t>6.</w:t>
      </w:r>
      <w:r w:rsidRPr="008B07EC">
        <w:tab/>
        <w:t>uznáva, že Európsky inovačný a technologický inštitút (EIT) vytvoril niekoľko generácií znalostných a inovačných spoločenstiev (ZIS), ktoré využívajú silu ekosystému výskumu a inovácií v EÚ; domnieva sa, že EIT by mal pôsobiť ako faktor umožňujúci úspech ZIS výmenou najlepších postupov, podporou správy verejných finančných prostriedkov a vytváraním pridanej hodnoty naprieč ZIS; vyzýva na pridelenie primeraných finančných a ľudských zdrojov EIT, čím sa zabezpečí, aby táto decentralizovaná agentúra mala dost</w:t>
      </w:r>
      <w:r w:rsidRPr="008B07EC">
        <w:t>atočné prostriedky na plnenie svojho budúceho mandátu a úloh, ktoré jej boli zverené;</w:t>
      </w:r>
    </w:p>
    <w:p w14:paraId="15A04FB3" w14:textId="77777777" w:rsidR="00217B7E" w:rsidRPr="008B07EC" w:rsidRDefault="008476E3" w:rsidP="00217B7E">
      <w:pPr>
        <w:pStyle w:val="NormalHanging12a"/>
        <w:rPr>
          <w:bCs/>
          <w:iCs/>
        </w:rPr>
      </w:pPr>
      <w:r w:rsidRPr="008B07EC">
        <w:t>7.</w:t>
      </w:r>
      <w:r w:rsidRPr="008B07EC">
        <w:tab/>
        <w:t>domnieva sa, že program Horizont Európa by mal zostať plne autonómnym a nezávislým programom, pričom by mal súčasne prostredníctvom zosúladených strategických priorít zaručovať koherentnosť a komplementárnosť s Európskym fondom pre konkurencieschopnosť, a to bez toho, aby bolo dotknuté jeho vlastné riadenie, hodnotiace kritériá založené na excelentnosti a nezávislé pravidlá; zároveň je nevyhnutné, aby sa zachovala táto koordinácia programu Horizont Európa so všetkými programami EÚ, ktoré môžu súvisieť s in</w:t>
      </w:r>
      <w:r w:rsidRPr="008B07EC">
        <w:t>ováciami a výskumom, od vzdelávania, zdravotníctva, prilákania investícií až po podporu konkurencieschopnosti podnikov EÚ; berie na vedomie navrhované synergie medzi programom Horizont Európa a Európskym fondom pre konkurencieschopnosť; stotožňuje sa s posúdením, že tieto dva programy by mali úzko spolupracovať, aby sa zabezpečilo, že rozpočet EÚ bude vhodný na podporu európskych inovátorov od základného výskumu až po komercializáciu; v tejto súvislosti zdôrazňuje, že každý krížový príspevok medzi programam</w:t>
      </w:r>
      <w:r w:rsidRPr="008B07EC">
        <w:t>i sa musí náležite zohľadniť vo vyhlásení o výkonnosti programu; zdôrazňuje, že zvýšená komplementárnosť medzi programami nesmie viesť k neprimeranej zložitosti pre prijímateľov; žiada, aby financovanie EÚ bolo jasnejšie, prístupnejšie a súdržnejšie s cieľom uľahčiť jeho využívanie a maximalizovať dosah investícií;</w:t>
      </w:r>
    </w:p>
    <w:p w14:paraId="421E30D0" w14:textId="77777777" w:rsidR="00217B7E" w:rsidRPr="008B07EC" w:rsidRDefault="008476E3" w:rsidP="00217B7E">
      <w:pPr>
        <w:pStyle w:val="NormalHanging12a"/>
        <w:rPr>
          <w:bCs/>
          <w:iCs/>
        </w:rPr>
      </w:pPr>
      <w:r w:rsidRPr="008B07EC">
        <w:t>8.</w:t>
      </w:r>
      <w:r w:rsidRPr="008B07EC">
        <w:tab/>
        <w:t>so znepokojením poukazuje na pretrvávajúce štrukturálne rozdiely medzi členskými štátmi v oblasti výskumu a inovácií a vyzýva na intenzívnejšie úsilie o odstránenie týchto rozdielov v rámci EÚ;</w:t>
      </w:r>
    </w:p>
    <w:p w14:paraId="1B436A8A" w14:textId="77777777" w:rsidR="00217B7E" w:rsidRPr="008B07EC" w:rsidRDefault="008476E3" w:rsidP="00217B7E">
      <w:pPr>
        <w:pStyle w:val="NormalHanging12a"/>
      </w:pPr>
      <w:r w:rsidRPr="008B07EC">
        <w:t>9.</w:t>
      </w:r>
      <w:r w:rsidRPr="008B07EC">
        <w:tab/>
        <w:t xml:space="preserve">uznáva, že flexibilita je dôležitým prvkom štruktúry VFR na roky 2028 – 2034, ako to navrhuje Komisia; pripomína však, že treba zabezpečiť predvídateľné a dostatočné ročné zdroje na program Horizont Európa vzhľadom na dlhodobý charakter výskumných a inovačných projektov; domnieva sa, že orientačné pridelenie rozpočtových prostriedkov na každú položku programu by zabezpečilo predvídateľnosť pre konečných príjemcov bez toho, aby boli dotknuté výsady rozpočtového orgánu; </w:t>
      </w:r>
    </w:p>
    <w:p w14:paraId="045AF4D9" w14:textId="77777777" w:rsidR="00217B7E" w:rsidRPr="008B07EC" w:rsidRDefault="008476E3" w:rsidP="00217B7E">
      <w:pPr>
        <w:pStyle w:val="NormalHanging12a"/>
      </w:pPr>
      <w:r w:rsidRPr="008B07EC">
        <w:t>10.</w:t>
      </w:r>
      <w:r w:rsidRPr="008B07EC">
        <w:tab/>
        <w:t xml:space="preserve">vyjadruje poľutovanie nad </w:t>
      </w:r>
      <w:r w:rsidRPr="008B07EC">
        <w:t>tým, že v legislatívnom finančnom a digitálnom výkaze (LFDS) nie je navrhnutá dostatočne podrobná orientačná rozpočtová nomenklatúra a obsahuje len 5 rozpočtových riadkov v porovnaní so 44 v období 2021 – 2027; domnieva sa, že to bude brániť dohľadu, predvídateľnosti a obmedzí schopnosť rozpočtového orgánu presne riadiť politické priority v ročnom rozpočtovom postupe; vyjadruje znepokojenie nad tým, že príliš agregovaná rozpočtová štruktúra by dramaticky uľahčila presuny, ktoré nepodliehajú rozhodnutiu rozp</w:t>
      </w:r>
      <w:r w:rsidRPr="008B07EC">
        <w:t xml:space="preserve">očtového orgánu; odporúča preto podrobnejšiu nomenklatúru, ktorá náležite odráža ciele a štruktúru programu a zvyšuje transparentnosť, zodpovednosť a parlamentnú kontrolu; pripomína, </w:t>
      </w:r>
      <w:r w:rsidRPr="008B07EC">
        <w:lastRenderedPageBreak/>
        <w:t>že rozpočtová nomenklatúra musí byť v súlade s článkom 47 ods. 2 nariadenia o rozpočtových pravidlách</w:t>
      </w:r>
      <w:r w:rsidRPr="008B07EC">
        <w:rPr>
          <w:rStyle w:val="FootnoteReference"/>
        </w:rPr>
        <w:footnoteReference w:id="2"/>
      </w:r>
      <w:r w:rsidRPr="008B07EC">
        <w:t>, v ktorom sa stanovuje, že každá hlava musí zodpovedať určitej oblasti politiky a každá kapitola spravidla programu alebo činnosti v súlade so zásadami špecifikácie, správneho finančného riadenia a transparentnosti; trvá na tom, že rozpočtová nomenklatúra je neoddeliteľnou súčasťou rokovacej pozície Parlamentu a musí byť predmetom medziinštitucionálnych rokovaní; v tejto súvislosti sa domnieva, že revidovaný legislatívny finančný a digitálny výkaz musí byť súčasťou konečnej politickej dohody;</w:t>
      </w:r>
    </w:p>
    <w:p w14:paraId="306FCB9A" w14:textId="77777777" w:rsidR="00205307" w:rsidRPr="008B07EC" w:rsidRDefault="008476E3" w:rsidP="00205307">
      <w:pPr>
        <w:pStyle w:val="NormalHanging12a"/>
        <w:rPr>
          <w:bCs/>
          <w:iCs/>
        </w:rPr>
      </w:pPr>
      <w:r w:rsidRPr="008B07EC">
        <w:t>11.</w:t>
      </w:r>
      <w:r w:rsidRPr="008B07EC">
        <w:tab/>
        <w:t>trvá na tom, že podmienkou správneho rozpočtového rozhodovania a primeraného parlamentného dohľadu počas plnenia rozpočtu sú dostatočne podrobné a spoľahlivé právne predpisy a primeraná úroveň riadenia; domnieva sa, že nedostatočne koncipovaný riadiaci mechanizmus nemôže kompenzovať žiadnu stratu legislatívnych alebo rozpočtových právomocí Parlamentu a nie je vhodný na riadenie programu, ktorý podporuje prácu na hraniciach vedy, technológií a inovácií, najmä so zreteľom na to, že inovačné cykly v strategic</w:t>
      </w:r>
      <w:r w:rsidRPr="008B07EC">
        <w:t>kých odvetviach sa merajú v týždňoch alebo mesiacoch, zatiaľ čo riadiaci mechanizmus je postup trvajúci niekoľko rokov;</w:t>
      </w:r>
    </w:p>
    <w:p w14:paraId="4BE29136" w14:textId="77777777" w:rsidR="00205307" w:rsidRPr="008B07EC" w:rsidRDefault="008476E3" w:rsidP="00205307">
      <w:pPr>
        <w:pStyle w:val="NormalHanging12a"/>
      </w:pPr>
      <w:r w:rsidRPr="008B07EC">
        <w:t>12.</w:t>
      </w:r>
      <w:r w:rsidRPr="008B07EC">
        <w:tab/>
        <w:t>domnieva sa, že všetky politické voľby vrátane výdavkových priorít a pridelených finančných prostriedkov sa musia určiť v základnom akte Horizontu Európa pri plnom rešpektovaní výsad Parlamentu ako spoluzákonodarcu a jednej zložky rozpočtového orgánu EÚ; pripomína, že akékoľvek nepodstatné prvky, ktoré si vyžadujú politické rozhodnutia a ktoré nie sú zahrnuté v základnom akte, sa musia prijať prostredníctvom delegovaných aktov vrátane pracovných programov;</w:t>
      </w:r>
    </w:p>
    <w:p w14:paraId="4DE99C48" w14:textId="77777777" w:rsidR="00205307" w:rsidRPr="008B07EC" w:rsidRDefault="008476E3" w:rsidP="00205307">
      <w:pPr>
        <w:pStyle w:val="NormalHanging12a"/>
      </w:pPr>
      <w:r w:rsidRPr="008B07EC">
        <w:t>13.</w:t>
      </w:r>
      <w:r w:rsidRPr="008B07EC">
        <w:tab/>
        <w:t>zdôrazňuje, že vykonávanie a rozvoj programu by mali byť transparentné a zároveň by mali rešpektovať európske hodnoty a dodržiavať ľudské práva a medzinárodné právo s podporou demokratických inštitúcií;</w:t>
      </w:r>
    </w:p>
    <w:p w14:paraId="161D63EE" w14:textId="77777777" w:rsidR="00205307" w:rsidRPr="008B07EC" w:rsidRDefault="008476E3" w:rsidP="00205307">
      <w:pPr>
        <w:pStyle w:val="NormalHanging12a"/>
      </w:pPr>
      <w:r w:rsidRPr="008B07EC">
        <w:t>14.</w:t>
      </w:r>
      <w:r w:rsidRPr="008B07EC">
        <w:tab/>
        <w:t>pripomína, že návrh zahŕňa možnosť použiť rozpočtovú záruku; zdôrazňuje, že vplyv operácií prijímania a poskytovania úverov v rámcovom programe Horizont Európa musí byť jasne identifikovaný, transparentne prezentovaný a starostlivo monitorovaný počas celého obdobia VFR; trvá na tom, že všetky rozhodnutia týkajúce sa takýchto operácií musia plne rešpektovať právomoci spoluzákonodarcov a výsady rozpočtového orgánu; zdôrazňuje, že tieto nástroje by sa mali využívať strategicky s cieľom maximalizovať vplyv, ef</w:t>
      </w:r>
      <w:r w:rsidRPr="008B07EC">
        <w:t>ektívnosť a udržateľnosť financovania zo strany EÚ a zároveň zabezpečiť úplnú transparentnosť, správne riadenie rizík a rešpektovanie výsad rozpočtového orgánu; pripomína, že finančné záujmy Únie by sa mali chrániť okrem iného tým, že sa zaručí úplný prístup k kontrolovateľným údajom, vyšetrovacie práva Európskeho úradu pre boj proti podvodom a Európskej prokuratúry a audítorské práva Európskeho dvora audítorov;</w:t>
      </w:r>
    </w:p>
    <w:p w14:paraId="008F58E9" w14:textId="77777777" w:rsidR="00205307" w:rsidRPr="008B07EC" w:rsidRDefault="008476E3" w:rsidP="00205307">
      <w:pPr>
        <w:pStyle w:val="NormalHanging12a"/>
      </w:pPr>
      <w:r w:rsidRPr="008B07EC">
        <w:t>15.</w:t>
      </w:r>
      <w:r w:rsidRPr="008B07EC">
        <w:tab/>
        <w:t xml:space="preserve">zdôrazňuje, že Európska rada pre inovácie (EIC), najmä prostredníctvom Fondu EIC vrátane Európskeho fondu pre scaleupy, slúži cieľu podporovať európske špičkové </w:t>
      </w:r>
      <w:r w:rsidRPr="008B07EC">
        <w:lastRenderedPageBreak/>
        <w:t>technologické startupy a scaleupy, ktoré prinášajú dlhodobú strategickú hodnotu pre EÚ v súlade s cieľmi Draghiho správy; pripomína, že EIC je jedinečným nástrojom, ktorý spája financovanie z rozpočtu EÚ a súkromných investorov s cieľom umožniť spoločnostiam prístup k značnému kapitálu v počiatočnej fáze, fáze rastu a fáze rozširovania; dôrazne pož</w:t>
      </w:r>
      <w:r w:rsidRPr="008B07EC">
        <w:t>aduje, aby Európsky fond pre scaleupy pokračoval vo svojom poslaní v rámci EIC v budúcom VFR; zdôrazňuje, že je potrebné zaviesť záruky na zabezpečenie riadnej rozpočtovej kontroly a na zabránenie poškodeniu dobrého mena rozpočtu EÚ; v tejto súvislosti konštatuje, že vzhľadom na jedinečnú povahu EIC a jej potrebu pôsobiť na rýchlo sa meniacom globálnom trhu s rizikovým kapitálom, na ktorom sú nevyhnutné značné kapitálové straty, by sa v prípade potreby mohli stanoviť cielené výnimky z nariadenia o rozpočtov</w:t>
      </w:r>
      <w:r w:rsidRPr="008B07EC">
        <w:t>ých pravidlách v koordinácii s Výborom pre rozpočet a Výborom pre kontrolu rozpočtu; zdôrazňuje, že tieto výnimky musia byť dôkladne odôvodnené a nemali by oslabovať výsady Parlamentu ako rozpočtového orgánu; pripomína, že je dôležité investovať do európskych strategických odvetví vrátane umelej inteligencie, kvantových technológií, technológií dvojakého využitia, technológií obrany a čistých technológií s cieľom zvýšiť konkurencieschopnosť a európsku strategickú autonómiu;</w:t>
      </w:r>
    </w:p>
    <w:p w14:paraId="1652A602" w14:textId="77777777" w:rsidR="00205307" w:rsidRPr="008B07EC" w:rsidRDefault="008476E3" w:rsidP="00205307">
      <w:pPr>
        <w:pStyle w:val="NormalHanging12a"/>
        <w:rPr>
          <w:bCs/>
          <w:iCs/>
        </w:rPr>
      </w:pPr>
      <w:r w:rsidRPr="008B07EC">
        <w:t>16.</w:t>
      </w:r>
      <w:r w:rsidRPr="008B07EC">
        <w:tab/>
        <w:t>zdôrazňuje, že je potrebné podporovať scaleupy a pomáhať európskym startupom orientovať sa v „údolí smrti“, kde nedostatočná komercializácia často vedie k neúspechu alebo premiestneniu mimo EÚ; zdôrazňuje, že program horizont Európa Program by mal postaviť výskum a inovácie do centra hospodárstva EÚ, zatiaľ čo Európsky fond pre konkurencieschopnosť by sa mal sústrediť na zrýchlený vývoj, vykonávanie a priemyselnú konkurencieschopnosť a na premenu najsilnejších európskych výskumných a inovačných projektov n</w:t>
      </w:r>
      <w:r w:rsidRPr="008B07EC">
        <w:t>a rozsiahle projekty a ich zavedenie v európskom meradle;</w:t>
      </w:r>
    </w:p>
    <w:p w14:paraId="7BB75984" w14:textId="77777777" w:rsidR="00205307" w:rsidRPr="008B07EC" w:rsidRDefault="008476E3" w:rsidP="00205307">
      <w:pPr>
        <w:pStyle w:val="NormalHanging12a"/>
      </w:pPr>
      <w:r w:rsidRPr="008B07EC">
        <w:t>17.</w:t>
      </w:r>
      <w:r w:rsidRPr="008B07EC">
        <w:tab/>
        <w:t>pripomína, že program Horizont Európa by mal zahŕňať „otvorený“ prístup (zdola nahor) aj prístup verejnej politiky (zhora nadol) založený na výzvach, a to v úzkej koordinácii a synergii s Európskym fondom pre konkurencieschopnosť a jeho segmentmi politiky, najmä v oblasti technológií dvojakého použitia, ktoré by sa mohli rozšíriť v rámci ECF; zdôrazňuje, že takáto synergia a zameranie na efektívnosť a účinnosť sú nevyhnutné na dodržanie zásady správneho finančného riadenia;</w:t>
      </w:r>
    </w:p>
    <w:p w14:paraId="43F20A89" w14:textId="77777777" w:rsidR="00205307" w:rsidRPr="008B07EC" w:rsidRDefault="008476E3" w:rsidP="00205307">
      <w:pPr>
        <w:pStyle w:val="NormalHanging12a"/>
        <w:rPr>
          <w:bCs/>
          <w:iCs/>
        </w:rPr>
      </w:pPr>
      <w:r w:rsidRPr="008B07EC">
        <w:t>18.</w:t>
      </w:r>
      <w:r w:rsidRPr="008B07EC">
        <w:tab/>
        <w:t>pripomína, že administratívne postupy sa musia zjednodušiť pre všetkých žiadateľov, najmä pre menšie alebo stredné projekty, s cieľom zabezpečiť lepšiu účasť MSP a startupov vrátane zníženia zaťaženia spojeného so žiadosťami a rýchlejšieho vyplácania grantov; v tejto súvislosti zdôrazňuje, že program by mal uľahčiť účasť všetkých typov zainteresovaných strán, najmä nových účastníkov, MSP, inovatívnych startupov a scaleupov, akademickej obce a nových cieľových skupín, najmä prostredníctvom národných kontakt</w:t>
      </w:r>
      <w:r w:rsidRPr="008B07EC">
        <w:t>ných bodov, ktoré musia spolupracovať s príslušnými podpornými štruktúrami v rámci iných programov EÚ;</w:t>
      </w:r>
    </w:p>
    <w:p w14:paraId="378B0974" w14:textId="77777777" w:rsidR="00205307" w:rsidRPr="008B07EC" w:rsidRDefault="008476E3" w:rsidP="00205307">
      <w:pPr>
        <w:pStyle w:val="NormalHanging12a"/>
      </w:pPr>
      <w:r w:rsidRPr="008B07EC">
        <w:t>19.</w:t>
      </w:r>
      <w:r w:rsidRPr="008B07EC">
        <w:tab/>
        <w:t xml:space="preserve">zdôrazňuje, že využívanie vonkajších pripísaných príjmov v programe Horizont Európa musí byť plne transparentné a musí podliehať účinnej parlamentnej kontrole; v tejto súvislosti berie na vedomie ustanovenia týkajúce sa finančných príspevkov prípadných zúčastnených tretích krajín a iných darcov; zdôrazňuje, že ak by gestorský výbor uvažoval o zmene ustanovení týkajúcich sa vonkajších pripísaných príjmov, malo by sa </w:t>
      </w:r>
      <w:r w:rsidRPr="008B07EC">
        <w:lastRenderedPageBreak/>
        <w:t>to uskutočniť v koordinácii s Výborom pre rozpočet a ostatnými výbormi s cieľom zabezpečiť k</w:t>
      </w:r>
      <w:r w:rsidRPr="008B07EC">
        <w:t>onzistentný prístup;</w:t>
      </w:r>
    </w:p>
    <w:p w14:paraId="6BF67F41" w14:textId="77777777" w:rsidR="00205307" w:rsidRPr="008B07EC" w:rsidRDefault="008476E3" w:rsidP="00205307">
      <w:pPr>
        <w:pStyle w:val="NormalHanging12a"/>
      </w:pPr>
      <w:r w:rsidRPr="008B07EC">
        <w:t>20.</w:t>
      </w:r>
      <w:r w:rsidRPr="008B07EC">
        <w:tab/>
        <w:t>pripomína návrh nariadenia stanovujúci rámec sledovania výdavkov a výkonnosti rozpočtu a ďalšie horizontálne pravidlá pre programy a činnosti EÚ (ďalej len „nariadenie o výkonnosti“), ktorý zavádza jednotný zjednodušený zoznam ukazovateľov výkonnosti a ustanovenia o monitorovaní a hodnotení, z ktorých niektoré sú relevantné pre program Horizont Európa; pripomína, že uplatňovanie horizontálnych zásad by malo byť, ak je to uskutočniteľné a vhodné, v súlade s pravidlami platnými v jednotlivých odvetviach, ako</w:t>
      </w:r>
      <w:r w:rsidRPr="008B07EC">
        <w:t xml:space="preserve"> sa stanovuje v prepracovanom znení nariadenia o rozpočtových pravidlách, aby sa zabezpečilo, že sa budú uplatňovať spôsobom, ktorý náležite zohľadňuje osobitosti sektorových programov; zdôrazňuje, že akákoľvek zmena štruktúry, cieľov a oprávnených opatrení v rámci programu sa bude musieť primerane zohľadniť v príslušných ustanoveniach a v prílohe I k nariadeniu o výkonnosti ako súčasť procesu zmeny tohto nariadenia a rokovania o ňom; poukazuje na to, že hoci odvetvové právne predpisy môžu dopĺňať nariadeni</w:t>
      </w:r>
      <w:r w:rsidRPr="008B07EC">
        <w:t>e o výkonnosti, napríklad pokiaľ ide o hodnotenia programov, mali by byť v súlade s ustanoveniami tohto nariadenia;</w:t>
      </w:r>
    </w:p>
    <w:p w14:paraId="6A7CD1D4" w14:textId="77777777" w:rsidR="00205307" w:rsidRPr="008B07EC" w:rsidRDefault="008476E3" w:rsidP="00205307">
      <w:pPr>
        <w:ind w:left="567" w:hanging="567"/>
      </w:pPr>
      <w:r w:rsidRPr="008B07EC">
        <w:t>21.</w:t>
      </w:r>
      <w:r w:rsidRPr="008B07EC">
        <w:tab/>
        <w:t>domnieva sa, že zrušené záväzky v oblasti výskumu by sa mali v plnej miere opätovne použiť na pomoc pri posilňovaní výskumných kapacít EÚ bez umelého obmedzovania súm, čo nie je stanovené v nariadení o rozpočtových pravidlách; domnieva sa tiež, že spätné toky prostriedkov z finančných nástrojov by mali zostať k dispozícii v rámci programu Horizont Európa.</w:t>
      </w:r>
    </w:p>
    <w:p w14:paraId="518A9D89" w14:textId="77777777" w:rsidR="00C8553D" w:rsidRPr="008B07EC" w:rsidRDefault="00C8553D" w:rsidP="00C8553D"/>
    <w:p w14:paraId="4DCA83B6" w14:textId="77777777" w:rsidR="00755CD7" w:rsidRPr="008B07EC" w:rsidRDefault="00755CD7" w:rsidP="00C8553D">
      <w:pPr>
        <w:sectPr w:rsidR="00755CD7" w:rsidRPr="008B07EC" w:rsidSect="008B07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14:paraId="6D2BA904" w14:textId="77777777" w:rsidR="00CE73B2" w:rsidRPr="008B07EC" w:rsidRDefault="008476E3" w:rsidP="00825069">
      <w:pPr>
        <w:pStyle w:val="Normal12a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8B07EC">
        <w:lastRenderedPageBreak/>
        <w:t>Výbor pre rozpočet v rámci svojho rozpočtového posúdenia okrem toho predkladá tieto pozmeňujúce návrhy k návrhu:</w:t>
      </w:r>
    </w:p>
    <w:p w14:paraId="3EFFFEBB" w14:textId="77777777" w:rsidR="000F307C" w:rsidRPr="008B07EC" w:rsidRDefault="008476E3" w:rsidP="00E63984">
      <w:pPr>
        <w:pStyle w:val="AmNumberTabs"/>
      </w:pPr>
      <w:r w:rsidRPr="008B07EC">
        <w:rPr>
          <w:rStyle w:val="HideTWBExt"/>
        </w:rPr>
        <w:t>&lt;RepeatBlock-Amend&gt;</w:t>
      </w:r>
      <w:bookmarkStart w:id="1" w:name="_Hlk203492957"/>
    </w:p>
    <w:p w14:paraId="7DDC2492" w14:textId="77777777" w:rsidR="000F307C" w:rsidRPr="008B07EC" w:rsidRDefault="008476E3" w:rsidP="00E63984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1</w:t>
      </w:r>
      <w:r w:rsidRPr="008B07EC">
        <w:rPr>
          <w:rStyle w:val="HideTWBExt"/>
        </w:rPr>
        <w:t>&lt;/NumAm&gt;</w:t>
      </w:r>
    </w:p>
    <w:p w14:paraId="0173F0AD" w14:textId="77777777" w:rsidR="000F307C" w:rsidRPr="008B07EC" w:rsidRDefault="008476E3" w:rsidP="000F307C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57E4C53C" w14:textId="77777777" w:rsidR="000F307C" w:rsidRPr="008B07EC" w:rsidRDefault="008476E3" w:rsidP="000F307C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Odôvodnenie 34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128138B1" w14:textId="77777777">
        <w:trPr>
          <w:jc w:val="center"/>
        </w:trPr>
        <w:tc>
          <w:tcPr>
            <w:tcW w:w="9750" w:type="dxa"/>
            <w:gridSpan w:val="2"/>
          </w:tcPr>
          <w:p w14:paraId="7E6F64F6" w14:textId="77777777" w:rsidR="000F307C" w:rsidRPr="008B07EC" w:rsidRDefault="000F307C" w:rsidP="005A2392">
            <w:pPr>
              <w:pStyle w:val="Normal6a"/>
            </w:pPr>
          </w:p>
        </w:tc>
      </w:tr>
      <w:tr w:rsidR="005A0AC7" w:rsidRPr="008B07EC" w14:paraId="6AA1DA7F" w14:textId="77777777">
        <w:trPr>
          <w:jc w:val="center"/>
        </w:trPr>
        <w:tc>
          <w:tcPr>
            <w:tcW w:w="4875" w:type="dxa"/>
            <w:hideMark/>
          </w:tcPr>
          <w:p w14:paraId="02689394" w14:textId="77777777" w:rsidR="000F307C" w:rsidRPr="008B07EC" w:rsidRDefault="008476E3" w:rsidP="00E00D3E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5" w:type="dxa"/>
            <w:hideMark/>
          </w:tcPr>
          <w:p w14:paraId="00F24DDD" w14:textId="77777777" w:rsidR="000F307C" w:rsidRPr="008B07EC" w:rsidRDefault="008476E3" w:rsidP="00E00D3E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7EE5939D" w14:textId="77777777" w:rsidTr="000F307C">
        <w:trPr>
          <w:jc w:val="center"/>
        </w:trPr>
        <w:tc>
          <w:tcPr>
            <w:tcW w:w="4875" w:type="dxa"/>
          </w:tcPr>
          <w:p w14:paraId="5E482859" w14:textId="77777777" w:rsidR="000F307C" w:rsidRPr="008B07EC" w:rsidRDefault="008476E3" w:rsidP="005A2392">
            <w:pPr>
              <w:pStyle w:val="Normal6a"/>
            </w:pPr>
            <w:r w:rsidRPr="008B07EC">
              <w:rPr>
                <w:b/>
                <w:i/>
              </w:rPr>
              <w:t>34.</w:t>
            </w:r>
            <w:r w:rsidRPr="008B07EC">
              <w:tab/>
              <w:t xml:space="preserve">Ak sa má podpora Únie v rámci programu poskytovať vo forme rozpočtovej záruky alebo finančného nástroja vrátane prípadov, keď sa kombinuje s nenávratnou podporou </w:t>
            </w:r>
            <w:r w:rsidRPr="008B07EC">
              <w:t>v rámci operácie kombinovaného financovania, s výnimkou finančných nástrojov v rámci EIC by sa takáto podpora mala poskytovať výhradne prostredníctvom nástroja ECF InvestEU v súlade s jeho uplatniteľnými pravidlami.</w:t>
            </w:r>
            <w:r w:rsidRPr="008B07EC">
              <w:rPr>
                <w:i/>
              </w:rPr>
              <w:t> </w:t>
            </w:r>
          </w:p>
        </w:tc>
        <w:tc>
          <w:tcPr>
            <w:tcW w:w="4875" w:type="dxa"/>
          </w:tcPr>
          <w:p w14:paraId="1140D2D9" w14:textId="77777777" w:rsidR="000F307C" w:rsidRPr="008B07EC" w:rsidRDefault="008476E3" w:rsidP="005A2392">
            <w:pPr>
              <w:pStyle w:val="Normal6a"/>
            </w:pPr>
            <w:r w:rsidRPr="008B07EC">
              <w:t>34.</w:t>
            </w:r>
            <w:r w:rsidRPr="008B07EC">
              <w:tab/>
              <w:t>Ak sa má podpora Únie v rámci programu poskytovať vo forme rozpočtovej záruky alebo finančného nástroja vrátane prípadov, keď sa kombinuje s nenávratnou podporou v rámci operácie kombinovaného financovania, s výnimkou finančných nástrojov v rámci EIC</w:t>
            </w:r>
            <w:r w:rsidRPr="008B07EC">
              <w:rPr>
                <w:b/>
                <w:i/>
              </w:rPr>
              <w:t>, vrátane Európskeho fondu pre scaleupy,</w:t>
            </w:r>
            <w:r w:rsidRPr="008B07EC">
              <w:t xml:space="preserve"> takáto podpora by sa mala poskytovať výhradne prostredníctvom nástroja ECF InvestEU v súlade s jeho uplatniteľnými pravidlami.</w:t>
            </w:r>
          </w:p>
        </w:tc>
      </w:tr>
    </w:tbl>
    <w:p w14:paraId="485CE47F" w14:textId="77777777" w:rsidR="00610FA5" w:rsidRPr="008B07EC" w:rsidRDefault="008476E3" w:rsidP="00E63984">
      <w:pPr>
        <w:pStyle w:val="AmNumberTabs"/>
        <w:rPr>
          <w:rStyle w:val="HideTWBExt"/>
        </w:rPr>
      </w:pPr>
      <w:r w:rsidRPr="008B07EC">
        <w:rPr>
          <w:rStyle w:val="HideTWBExt"/>
        </w:rPr>
        <w:t>&lt;/Amend&gt;</w:t>
      </w:r>
    </w:p>
    <w:p w14:paraId="2EB6BCB8" w14:textId="77777777" w:rsidR="00976019" w:rsidRPr="008B07EC" w:rsidRDefault="008476E3" w:rsidP="00976019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2</w:t>
      </w:r>
      <w:r w:rsidRPr="008B07EC">
        <w:rPr>
          <w:rStyle w:val="HideTWBExt"/>
        </w:rPr>
        <w:t>&lt;/NumAm&gt;</w:t>
      </w:r>
    </w:p>
    <w:p w14:paraId="3372BDDB" w14:textId="77777777" w:rsidR="00976019" w:rsidRPr="008B07EC" w:rsidRDefault="008476E3" w:rsidP="00976019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53EA3A52" w14:textId="77777777" w:rsidR="00976019" w:rsidRPr="008B07EC" w:rsidRDefault="008476E3" w:rsidP="00976019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Odôvodnenie 36 a (nové)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47822D02" w14:textId="77777777" w:rsidTr="00582163">
        <w:trPr>
          <w:jc w:val="center"/>
        </w:trPr>
        <w:tc>
          <w:tcPr>
            <w:tcW w:w="9750" w:type="dxa"/>
            <w:gridSpan w:val="2"/>
          </w:tcPr>
          <w:p w14:paraId="5BCC4BBB" w14:textId="77777777" w:rsidR="00976019" w:rsidRPr="008B07EC" w:rsidRDefault="00976019" w:rsidP="00582163">
            <w:pPr>
              <w:pStyle w:val="Normal6a"/>
            </w:pPr>
          </w:p>
        </w:tc>
      </w:tr>
      <w:tr w:rsidR="005A0AC7" w:rsidRPr="008B07EC" w14:paraId="7B980BFD" w14:textId="77777777" w:rsidTr="00582163">
        <w:trPr>
          <w:jc w:val="center"/>
        </w:trPr>
        <w:tc>
          <w:tcPr>
            <w:tcW w:w="4875" w:type="dxa"/>
            <w:hideMark/>
          </w:tcPr>
          <w:p w14:paraId="68058B07" w14:textId="77777777" w:rsidR="00976019" w:rsidRPr="008B07EC" w:rsidRDefault="008476E3" w:rsidP="00582163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5" w:type="dxa"/>
            <w:hideMark/>
          </w:tcPr>
          <w:p w14:paraId="37B37B90" w14:textId="77777777" w:rsidR="00976019" w:rsidRPr="008B07EC" w:rsidRDefault="008476E3" w:rsidP="00582163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7ED066CC" w14:textId="77777777" w:rsidTr="00582163">
        <w:trPr>
          <w:jc w:val="center"/>
        </w:trPr>
        <w:tc>
          <w:tcPr>
            <w:tcW w:w="4875" w:type="dxa"/>
          </w:tcPr>
          <w:p w14:paraId="1310F075" w14:textId="77777777" w:rsidR="00976019" w:rsidRPr="008B07EC" w:rsidRDefault="00976019" w:rsidP="00582163">
            <w:pPr>
              <w:pStyle w:val="Normal6a"/>
            </w:pPr>
          </w:p>
        </w:tc>
        <w:tc>
          <w:tcPr>
            <w:tcW w:w="4875" w:type="dxa"/>
            <w:hideMark/>
          </w:tcPr>
          <w:p w14:paraId="0BE5829D" w14:textId="77777777" w:rsidR="00976019" w:rsidRPr="008B07EC" w:rsidRDefault="008476E3" w:rsidP="00582163">
            <w:pPr>
              <w:pStyle w:val="Normal6a"/>
              <w:rPr>
                <w:b/>
                <w:bCs/>
                <w:i/>
                <w:iCs/>
              </w:rPr>
            </w:pPr>
            <w:r w:rsidRPr="008B07EC">
              <w:rPr>
                <w:b/>
                <w:i/>
              </w:rPr>
              <w:t>(36a)</w:t>
            </w:r>
            <w:r w:rsidRPr="008B07EC">
              <w:rPr>
                <w:b/>
                <w:i/>
              </w:rPr>
              <w:tab/>
              <w:t xml:space="preserve">Komplementárnosť medzi programom a inými nástrojmi Únie – vrátane Európskeho fondu pre konkurencieschopnosť – by nemala byť na úkor vysledovateľnosti výdavkov alebo výsad rozpočtového orgánu. </w:t>
            </w:r>
            <w:r w:rsidRPr="008B07EC">
              <w:rPr>
                <w:b/>
                <w:i/>
              </w:rPr>
              <w:t xml:space="preserve">Príspevok programu Horizont Európa k spoločne financovaným akciám by mal zostať jasne identifikovateľný vo všetkých fázach rozpočtového cyklu a mal by sa náležite </w:t>
            </w:r>
            <w:r w:rsidRPr="008B07EC">
              <w:rPr>
                <w:b/>
                <w:i/>
              </w:rPr>
              <w:lastRenderedPageBreak/>
              <w:t>zohľadniť vo vyhlásení o výkonnosti programu.</w:t>
            </w:r>
          </w:p>
        </w:tc>
      </w:tr>
    </w:tbl>
    <w:p w14:paraId="1C048EEE" w14:textId="77777777" w:rsidR="00976019" w:rsidRPr="008B07EC" w:rsidRDefault="008476E3" w:rsidP="00976019">
      <w:pPr>
        <w:pStyle w:val="AmNumberTabs"/>
      </w:pPr>
      <w:r w:rsidRPr="008B07EC">
        <w:rPr>
          <w:rStyle w:val="HideTWBExt"/>
        </w:rPr>
        <w:lastRenderedPageBreak/>
        <w:t>&lt;/Amend&gt;</w:t>
      </w:r>
    </w:p>
    <w:p w14:paraId="75EC0CCF" w14:textId="77777777" w:rsidR="00976019" w:rsidRPr="008B07EC" w:rsidRDefault="00976019" w:rsidP="00E63984">
      <w:pPr>
        <w:pStyle w:val="AmNumberTabs"/>
      </w:pPr>
    </w:p>
    <w:p w14:paraId="7BB464EB" w14:textId="77777777" w:rsidR="00610FA5" w:rsidRPr="008B07EC" w:rsidRDefault="008476E3" w:rsidP="00E63984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3</w:t>
      </w:r>
      <w:r w:rsidRPr="008B07EC">
        <w:rPr>
          <w:rStyle w:val="HideTWBExt"/>
        </w:rPr>
        <w:t>&lt;/NumAm&gt;</w:t>
      </w:r>
    </w:p>
    <w:p w14:paraId="52909829" w14:textId="77777777" w:rsidR="00610FA5" w:rsidRPr="008B07EC" w:rsidRDefault="008476E3" w:rsidP="00610FA5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102A426D" w14:textId="77777777" w:rsidR="00205307" w:rsidRPr="008B07EC" w:rsidRDefault="008476E3" w:rsidP="00205307">
      <w:pPr>
        <w:pStyle w:val="Normal12a"/>
        <w:rPr>
          <w:rFonts w:ascii="Arial" w:hAnsi="Arial" w:cs="Arial"/>
          <w:b/>
          <w:noProof/>
          <w:color w:val="000080"/>
          <w:sz w:val="20"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Odôvodnenie 37 b (nové)</w:t>
      </w:r>
      <w:r w:rsidRPr="008B07EC">
        <w:rPr>
          <w:rStyle w:val="HideTWBExt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AC7" w:rsidRPr="008B07EC" w14:paraId="668ED96D" w14:textId="77777777">
        <w:trPr>
          <w:jc w:val="center"/>
        </w:trPr>
        <w:tc>
          <w:tcPr>
            <w:tcW w:w="9752" w:type="dxa"/>
            <w:gridSpan w:val="2"/>
          </w:tcPr>
          <w:p w14:paraId="404307CB" w14:textId="77777777" w:rsidR="00610FA5" w:rsidRPr="008B07EC" w:rsidRDefault="00610FA5" w:rsidP="005A2392">
            <w:pPr>
              <w:pStyle w:val="Normal6a"/>
            </w:pPr>
          </w:p>
        </w:tc>
      </w:tr>
      <w:tr w:rsidR="005A0AC7" w:rsidRPr="008B07EC" w14:paraId="62BB7674" w14:textId="77777777">
        <w:trPr>
          <w:jc w:val="center"/>
        </w:trPr>
        <w:tc>
          <w:tcPr>
            <w:tcW w:w="4876" w:type="dxa"/>
            <w:hideMark/>
          </w:tcPr>
          <w:p w14:paraId="11380CE8" w14:textId="77777777" w:rsidR="00610FA5" w:rsidRPr="008B07EC" w:rsidRDefault="008476E3" w:rsidP="00E00D3E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6" w:type="dxa"/>
            <w:hideMark/>
          </w:tcPr>
          <w:p w14:paraId="2E53DFBF" w14:textId="77777777" w:rsidR="00610FA5" w:rsidRPr="008B07EC" w:rsidRDefault="008476E3" w:rsidP="00E00D3E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5ABDD91E" w14:textId="77777777">
        <w:trPr>
          <w:jc w:val="center"/>
        </w:trPr>
        <w:tc>
          <w:tcPr>
            <w:tcW w:w="4876" w:type="dxa"/>
            <w:hideMark/>
          </w:tcPr>
          <w:p w14:paraId="4CBC38B3" w14:textId="77777777" w:rsidR="00610FA5" w:rsidRPr="008B07EC" w:rsidRDefault="00610FA5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6BD80ED4" w14:textId="77777777" w:rsidR="00610FA5" w:rsidRPr="008B07EC" w:rsidRDefault="008476E3" w:rsidP="005A2392">
            <w:pPr>
              <w:pStyle w:val="Normal6a"/>
              <w:rPr>
                <w:b/>
                <w:bCs/>
                <w:i/>
                <w:iCs/>
              </w:rPr>
            </w:pPr>
            <w:r w:rsidRPr="008B07EC">
              <w:rPr>
                <w:b/>
                <w:i/>
              </w:rPr>
              <w:t>(37b)</w:t>
            </w:r>
            <w:r w:rsidRPr="008B07EC">
              <w:rPr>
                <w:b/>
                <w:i/>
              </w:rPr>
              <w:tab/>
              <w:t>Ustanovenia tohto nariadenia, ako aj jeho mechanizmy správy a riadenia by mali napomáhať riadnemu rozhodovaniu rozpočtového orgánu a primeranému parlamentnému dohľadu. V rozpočtovej nomenklatúre by sa mali náležite zohľadniť najmä všetky špecifikácie vnútornej štruktúry programu, a to zavedením zodpovedajúcich rozpočtových riadkov.</w:t>
            </w:r>
          </w:p>
        </w:tc>
      </w:tr>
    </w:tbl>
    <w:p w14:paraId="403F48B6" w14:textId="77777777" w:rsidR="00610FA5" w:rsidRPr="008B07EC" w:rsidRDefault="008476E3" w:rsidP="00E63984">
      <w:pPr>
        <w:pStyle w:val="AmNumberTabs"/>
      </w:pPr>
      <w:r w:rsidRPr="008B07EC">
        <w:rPr>
          <w:rStyle w:val="HideTWBExt"/>
        </w:rPr>
        <w:t>&lt;/Amend&gt;</w:t>
      </w:r>
    </w:p>
    <w:p w14:paraId="56D54EC6" w14:textId="77777777" w:rsidR="00976019" w:rsidRPr="008B07EC" w:rsidRDefault="008476E3" w:rsidP="00976019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4</w:t>
      </w:r>
      <w:r w:rsidRPr="008B07EC">
        <w:rPr>
          <w:rStyle w:val="HideTWBExt"/>
        </w:rPr>
        <w:t>&lt;/NumAm&gt;</w:t>
      </w:r>
    </w:p>
    <w:p w14:paraId="503BE7E8" w14:textId="77777777" w:rsidR="00976019" w:rsidRPr="008B07EC" w:rsidRDefault="008476E3" w:rsidP="00976019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253C914A" w14:textId="77777777" w:rsidR="00976019" w:rsidRPr="008B07EC" w:rsidRDefault="008476E3" w:rsidP="00976019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Odôvodnenie 37 c (nové)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20B42F4C" w14:textId="77777777" w:rsidTr="00582163">
        <w:trPr>
          <w:jc w:val="center"/>
        </w:trPr>
        <w:tc>
          <w:tcPr>
            <w:tcW w:w="9752" w:type="dxa"/>
            <w:gridSpan w:val="2"/>
          </w:tcPr>
          <w:p w14:paraId="1F9E8DD7" w14:textId="77777777" w:rsidR="00976019" w:rsidRPr="008B07EC" w:rsidRDefault="00976019" w:rsidP="00582163">
            <w:pPr>
              <w:pStyle w:val="Normal6a"/>
            </w:pPr>
          </w:p>
        </w:tc>
      </w:tr>
      <w:tr w:rsidR="005A0AC7" w:rsidRPr="008B07EC" w14:paraId="30B62782" w14:textId="77777777" w:rsidTr="00582163">
        <w:trPr>
          <w:jc w:val="center"/>
        </w:trPr>
        <w:tc>
          <w:tcPr>
            <w:tcW w:w="4876" w:type="dxa"/>
            <w:hideMark/>
          </w:tcPr>
          <w:p w14:paraId="3B87474F" w14:textId="77777777" w:rsidR="00976019" w:rsidRPr="008B07EC" w:rsidRDefault="008476E3" w:rsidP="00582163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6" w:type="dxa"/>
            <w:hideMark/>
          </w:tcPr>
          <w:p w14:paraId="4FC76D3A" w14:textId="77777777" w:rsidR="00976019" w:rsidRPr="008B07EC" w:rsidRDefault="008476E3" w:rsidP="00582163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392400E2" w14:textId="77777777" w:rsidTr="00582163">
        <w:trPr>
          <w:jc w:val="center"/>
        </w:trPr>
        <w:tc>
          <w:tcPr>
            <w:tcW w:w="4876" w:type="dxa"/>
          </w:tcPr>
          <w:p w14:paraId="57166D1C" w14:textId="77777777" w:rsidR="00976019" w:rsidRPr="008B07EC" w:rsidRDefault="00976019" w:rsidP="00582163">
            <w:pPr>
              <w:pStyle w:val="Normal6a"/>
            </w:pPr>
          </w:p>
        </w:tc>
        <w:tc>
          <w:tcPr>
            <w:tcW w:w="4876" w:type="dxa"/>
            <w:shd w:val="clear" w:color="auto" w:fill="auto"/>
            <w:hideMark/>
          </w:tcPr>
          <w:p w14:paraId="12649E92" w14:textId="77777777" w:rsidR="00976019" w:rsidRPr="008B07EC" w:rsidRDefault="008476E3" w:rsidP="00582163">
            <w:pPr>
              <w:pStyle w:val="Normal6a"/>
            </w:pPr>
            <w:r w:rsidRPr="008B07EC">
              <w:rPr>
                <w:b/>
                <w:i/>
              </w:rPr>
              <w:t>(37c)</w:t>
            </w:r>
            <w:r w:rsidRPr="008B07EC">
              <w:rPr>
                <w:b/>
                <w:i/>
              </w:rPr>
              <w:tab/>
              <w:t xml:space="preserve">V súlade s článkom 15 ods. 3 nariadenia o rozpočtových pravidlách sa prostriedky, ktorých </w:t>
            </w:r>
            <w:r w:rsidRPr="008B07EC">
              <w:rPr>
                <w:b/>
                <w:i/>
              </w:rPr>
              <w:t>viazanosť bola zrušená, opätovne použijú na posilnenie výskumnej kapacity Únie bez akéhokoľvek preventívneho stropu obmedzujúceho rozpočtový orgán v rámci ročného rozpočtového postupu.</w:t>
            </w:r>
            <w:r w:rsidRPr="008B07EC">
              <w:t xml:space="preserve"> </w:t>
            </w:r>
          </w:p>
        </w:tc>
      </w:tr>
    </w:tbl>
    <w:p w14:paraId="3542C0A2" w14:textId="77777777" w:rsidR="00976019" w:rsidRPr="008B07EC" w:rsidRDefault="008476E3" w:rsidP="00976019">
      <w:pPr>
        <w:pStyle w:val="AmNumberTabs"/>
      </w:pPr>
      <w:r w:rsidRPr="008B07EC">
        <w:rPr>
          <w:rStyle w:val="HideTWBExt"/>
        </w:rPr>
        <w:lastRenderedPageBreak/>
        <w:t>&lt;/Amend&gt;</w:t>
      </w:r>
    </w:p>
    <w:p w14:paraId="5CE4DB38" w14:textId="77777777" w:rsidR="000F307C" w:rsidRPr="008B07EC" w:rsidRDefault="000F307C" w:rsidP="00E63984">
      <w:pPr>
        <w:pStyle w:val="AmNumberTabs"/>
        <w:rPr>
          <w:rStyle w:val="HideTWBExt"/>
          <w:color w:val="auto"/>
        </w:rPr>
      </w:pPr>
    </w:p>
    <w:p w14:paraId="52BAE16A" w14:textId="77777777" w:rsidR="006D16AE" w:rsidRPr="008B07EC" w:rsidRDefault="008476E3" w:rsidP="00E63984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5</w:t>
      </w:r>
      <w:r w:rsidRPr="008B07EC">
        <w:rPr>
          <w:rStyle w:val="HideTWBExt"/>
        </w:rPr>
        <w:t>&lt;/NumAm&gt;</w:t>
      </w:r>
    </w:p>
    <w:p w14:paraId="666672D3" w14:textId="77777777" w:rsidR="007F1A57" w:rsidRPr="008B07EC" w:rsidRDefault="007F1A57" w:rsidP="000F307C">
      <w:pPr>
        <w:pStyle w:val="Normal12a"/>
        <w:rPr>
          <w:rFonts w:ascii="Arial" w:hAnsi="Arial"/>
          <w:noProof/>
          <w:vanish/>
          <w:color w:val="000080"/>
          <w:sz w:val="20"/>
        </w:rPr>
      </w:pPr>
    </w:p>
    <w:p w14:paraId="03500842" w14:textId="77777777" w:rsidR="006D16AE" w:rsidRPr="008B07EC" w:rsidRDefault="008476E3" w:rsidP="00760D63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30598C44" w14:textId="77777777" w:rsidR="00205307" w:rsidRPr="008B07EC" w:rsidRDefault="008476E3" w:rsidP="00205307">
      <w:pPr>
        <w:pStyle w:val="Normal12a"/>
        <w:rPr>
          <w:rFonts w:ascii="Arial" w:hAnsi="Arial" w:cs="Arial"/>
          <w:b/>
          <w:noProof/>
          <w:color w:val="000080"/>
          <w:sz w:val="20"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Odôvodnenie 38 a (nové)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63C71542" w14:textId="77777777" w:rsidTr="005A2392">
        <w:trPr>
          <w:jc w:val="center"/>
        </w:trPr>
        <w:tc>
          <w:tcPr>
            <w:tcW w:w="9752" w:type="dxa"/>
            <w:gridSpan w:val="2"/>
          </w:tcPr>
          <w:p w14:paraId="7666E0B2" w14:textId="77777777" w:rsidR="006D16AE" w:rsidRPr="008B07EC" w:rsidRDefault="006D16AE" w:rsidP="005A2392">
            <w:pPr>
              <w:pStyle w:val="Normal6a"/>
            </w:pPr>
          </w:p>
        </w:tc>
      </w:tr>
      <w:tr w:rsidR="005A0AC7" w:rsidRPr="008B07EC" w14:paraId="2DC16C8A" w14:textId="77777777" w:rsidTr="005A2392">
        <w:trPr>
          <w:jc w:val="center"/>
        </w:trPr>
        <w:tc>
          <w:tcPr>
            <w:tcW w:w="4876" w:type="dxa"/>
            <w:hideMark/>
          </w:tcPr>
          <w:p w14:paraId="678763E9" w14:textId="77777777" w:rsidR="006D16AE" w:rsidRPr="008B07EC" w:rsidRDefault="008476E3" w:rsidP="00E00D3E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6" w:type="dxa"/>
            <w:hideMark/>
          </w:tcPr>
          <w:p w14:paraId="5010C0CE" w14:textId="77777777" w:rsidR="006D16AE" w:rsidRPr="008B07EC" w:rsidRDefault="008476E3" w:rsidP="00E00D3E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5D87FE34" w14:textId="77777777" w:rsidTr="005A2392">
        <w:trPr>
          <w:jc w:val="center"/>
        </w:trPr>
        <w:tc>
          <w:tcPr>
            <w:tcW w:w="4876" w:type="dxa"/>
            <w:hideMark/>
          </w:tcPr>
          <w:p w14:paraId="706DAB78" w14:textId="77777777" w:rsidR="006D16AE" w:rsidRPr="008B07EC" w:rsidRDefault="006D16AE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3A58036B" w14:textId="77777777" w:rsidR="006D16AE" w:rsidRPr="008B07EC" w:rsidRDefault="008476E3" w:rsidP="005A2392">
            <w:pPr>
              <w:pStyle w:val="Normal6a"/>
            </w:pPr>
            <w:r w:rsidRPr="008B07EC">
              <w:rPr>
                <w:b/>
                <w:i/>
              </w:rPr>
              <w:t>(38a)</w:t>
            </w:r>
            <w:r w:rsidRPr="008B07EC">
              <w:rPr>
                <w:b/>
                <w:i/>
              </w:rPr>
              <w:tab/>
              <w:t>Vplyv tohto nariadenia na rozpočet Únie bol posúdený</w:t>
            </w:r>
            <w:r w:rsidRPr="008B07EC">
              <w:rPr>
                <w:b/>
                <w:i/>
                <w:vertAlign w:val="superscript"/>
              </w:rPr>
              <w:t>+</w:t>
            </w:r>
            <w:r w:rsidRPr="008B07EC">
              <w:rPr>
                <w:b/>
                <w:i/>
              </w:rPr>
              <w:t xml:space="preserve"> podľa článku 310 ods. 4 Zmluvy o fungovaní Európskej únie. Na jeho vykonávanie by sa mali vyčleniť dostatočné finančné a ľudské zdroje, pričom by sa mal zohľadniť vplyv jeho financovania na iné programy alebo politiky Únie a mala by sa zaručiť jeho zlučiteľnosť s viacročným finančným rámcom, so systémom vlastných zdrojov a s príslušnou medziinštitucionálnou dohodou, ako aj s rozpočtovými zásadami stanovenými v nariadení Európskeho parlamentu a Rady (EÚ,</w:t>
            </w:r>
            <w:r w:rsidRPr="008B07EC">
              <w:rPr>
                <w:b/>
                <w:i/>
              </w:rPr>
              <w:t xml:space="preserve"> Euratom) 2024/2509</w:t>
            </w:r>
            <w:r w:rsidRPr="008B07EC">
              <w:rPr>
                <w:b/>
                <w:i/>
                <w:vertAlign w:val="superscript"/>
              </w:rPr>
              <w:t>[1]</w:t>
            </w:r>
            <w:r w:rsidRPr="008B07EC">
              <w:rPr>
                <w:b/>
                <w:i/>
              </w:rPr>
              <w:t>.</w:t>
            </w:r>
          </w:p>
        </w:tc>
      </w:tr>
      <w:tr w:rsidR="005A0AC7" w:rsidRPr="008B07EC" w14:paraId="03D01853" w14:textId="77777777" w:rsidTr="005A2392">
        <w:trPr>
          <w:jc w:val="center"/>
        </w:trPr>
        <w:tc>
          <w:tcPr>
            <w:tcW w:w="4876" w:type="dxa"/>
          </w:tcPr>
          <w:p w14:paraId="45300508" w14:textId="77777777" w:rsidR="006D16AE" w:rsidRPr="008B07EC" w:rsidRDefault="006D16AE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5E3DCC36" w14:textId="77777777" w:rsidR="006D16AE" w:rsidRPr="008B07EC" w:rsidRDefault="008476E3" w:rsidP="005A2392">
            <w:pPr>
              <w:pStyle w:val="Normal6a"/>
              <w:rPr>
                <w:b/>
                <w:i/>
              </w:rPr>
            </w:pPr>
            <w:r w:rsidRPr="008B07EC">
              <w:rPr>
                <w:b/>
                <w:i/>
              </w:rPr>
              <w:t>____________________</w:t>
            </w:r>
          </w:p>
        </w:tc>
      </w:tr>
      <w:tr w:rsidR="005A0AC7" w:rsidRPr="008B07EC" w14:paraId="65695449" w14:textId="77777777" w:rsidTr="005A2392">
        <w:trPr>
          <w:jc w:val="center"/>
        </w:trPr>
        <w:tc>
          <w:tcPr>
            <w:tcW w:w="4876" w:type="dxa"/>
          </w:tcPr>
          <w:p w14:paraId="6141E06C" w14:textId="77777777" w:rsidR="006D16AE" w:rsidRPr="008B07EC" w:rsidRDefault="006D16AE" w:rsidP="005A2392">
            <w:pPr>
              <w:pStyle w:val="Normal6a"/>
            </w:pPr>
          </w:p>
        </w:tc>
        <w:tc>
          <w:tcPr>
            <w:tcW w:w="4876" w:type="dxa"/>
            <w:hideMark/>
          </w:tcPr>
          <w:p w14:paraId="374B78E2" w14:textId="77777777" w:rsidR="006D16AE" w:rsidRPr="008B07EC" w:rsidRDefault="008476E3" w:rsidP="005A2392">
            <w:pPr>
              <w:pStyle w:val="Normal6a"/>
              <w:rPr>
                <w:b/>
                <w:bCs/>
                <w:i/>
                <w:iCs/>
              </w:rPr>
            </w:pPr>
            <w:r w:rsidRPr="008B07EC">
              <w:rPr>
                <w:b/>
                <w:i/>
                <w:vertAlign w:val="superscript"/>
              </w:rPr>
              <w:t xml:space="preserve">+ </w:t>
            </w:r>
            <w:r w:rsidRPr="008B07EC">
              <w:rPr>
                <w:b/>
                <w:i/>
              </w:rPr>
              <w:t xml:space="preserve">Pro memoria: Rozpočtové posúdenie Výboru Európskeho parlamentu pre </w:t>
            </w:r>
            <w:r w:rsidRPr="008B07EC">
              <w:rPr>
                <w:b/>
                <w:i/>
              </w:rPr>
              <w:t>rozpočet z 23. júna 2026 k návrhu rozhodnutia Rady o návrhu nariadenia Európskeho parlamentu a Rady, ktorým sa ustanovuje rámcový program pre výskum a inovácie Horizont Európa na obdobie 2028 – 2034, stanovujú pravidlá účasti na ňom a pravidlá šírenia výsledkov a ktorým sa zrušuje nariadenie (EÚ) 2021/695 (COM(2025)0543).</w:t>
            </w:r>
          </w:p>
        </w:tc>
      </w:tr>
      <w:tr w:rsidR="005A0AC7" w:rsidRPr="008B07EC" w14:paraId="069D3F12" w14:textId="77777777" w:rsidTr="005A2392">
        <w:trPr>
          <w:jc w:val="center"/>
        </w:trPr>
        <w:tc>
          <w:tcPr>
            <w:tcW w:w="4876" w:type="dxa"/>
          </w:tcPr>
          <w:p w14:paraId="14D35ABA" w14:textId="77777777" w:rsidR="005A2392" w:rsidRPr="008B07EC" w:rsidRDefault="005A2392" w:rsidP="005A2392">
            <w:pPr>
              <w:pStyle w:val="Normal6a"/>
            </w:pPr>
          </w:p>
        </w:tc>
        <w:tc>
          <w:tcPr>
            <w:tcW w:w="4876" w:type="dxa"/>
          </w:tcPr>
          <w:p w14:paraId="0B4C3BC2" w14:textId="1ED5D72A" w:rsidR="005A2392" w:rsidRPr="008B07EC" w:rsidRDefault="008476E3" w:rsidP="005A2392">
            <w:pPr>
              <w:pStyle w:val="Normal6a"/>
              <w:rPr>
                <w:i/>
                <w:vertAlign w:val="superscript"/>
              </w:rPr>
            </w:pPr>
            <w:r w:rsidRPr="008B07EC">
              <w:rPr>
                <w:b/>
                <w:i/>
                <w:vertAlign w:val="superscript"/>
              </w:rPr>
              <w:t>[1]</w:t>
            </w:r>
            <w:r w:rsidRPr="008B07EC">
              <w:rPr>
                <w:b/>
                <w:i/>
              </w:rPr>
              <w:t xml:space="preserve"> Nariadenie Európskeho parlamentu a Rady (EÚ, Euratom) 2024/2509 </w:t>
            </w:r>
            <w:r w:rsidRPr="008B07EC">
              <w:rPr>
                <w:b/>
                <w:i/>
              </w:rPr>
              <w:lastRenderedPageBreak/>
              <w:t xml:space="preserve">z 23. septembra 2024 o rozpočtových pravidlách, ktoré sa vzťahujú na všeobecný rozpočet Únie (Ú. v. EÚ L, 2024/2509, 26.9.2024, ELI: </w:t>
            </w:r>
            <w:hyperlink r:id="rId15" w:history="1">
              <w:r w:rsidR="005A2392" w:rsidRPr="008B07EC">
                <w:rPr>
                  <w:rStyle w:val="Hyperlink"/>
                  <w:b/>
                  <w:i/>
                  <w:color w:val="auto"/>
                </w:rPr>
                <w:t>http://data.europa.eu/eli/reg/2024/2509/oj</w:t>
              </w:r>
            </w:hyperlink>
            <w:r w:rsidRPr="008B07EC">
              <w:rPr>
                <w:b/>
                <w:i/>
              </w:rPr>
              <w:t>).</w:t>
            </w:r>
          </w:p>
        </w:tc>
      </w:tr>
    </w:tbl>
    <w:p w14:paraId="598954DA" w14:textId="77777777" w:rsidR="00F26123" w:rsidRPr="008B07EC" w:rsidRDefault="008476E3" w:rsidP="00E63984">
      <w:pPr>
        <w:pStyle w:val="AmNumberTabs"/>
      </w:pPr>
      <w:r w:rsidRPr="008B07EC">
        <w:rPr>
          <w:rStyle w:val="HideTWBExt"/>
        </w:rPr>
        <w:lastRenderedPageBreak/>
        <w:t>&lt;/Amend&gt;</w:t>
      </w:r>
    </w:p>
    <w:p w14:paraId="04891BB2" w14:textId="77777777" w:rsidR="00C04E9D" w:rsidRPr="008B07EC" w:rsidRDefault="008476E3" w:rsidP="00E63984">
      <w:pPr>
        <w:pStyle w:val="AmNumberTabs"/>
      </w:pPr>
      <w:bookmarkStart w:id="2" w:name="_Hlk233194052"/>
      <w:bookmarkStart w:id="3" w:name="_Hlk233194012"/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6</w:t>
      </w:r>
      <w:r w:rsidRPr="008B07EC">
        <w:rPr>
          <w:rStyle w:val="HideTWBExt"/>
        </w:rPr>
        <w:t>&lt;/NumAm&gt;</w:t>
      </w:r>
    </w:p>
    <w:p w14:paraId="1AF82FBE" w14:textId="77777777" w:rsidR="00C04E9D" w:rsidRPr="008B07EC" w:rsidRDefault="008476E3" w:rsidP="00760D63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3E4C48B7" w14:textId="77777777" w:rsidR="00C04E9D" w:rsidRPr="008B07EC" w:rsidRDefault="008476E3" w:rsidP="00760D63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Článok 6 – odsek 1</w:t>
      </w:r>
      <w:r w:rsidRPr="008B07EC">
        <w:rPr>
          <w:rStyle w:val="HideTWBExt"/>
        </w:rPr>
        <w:t>&lt;/Article&gt;</w:t>
      </w:r>
    </w:p>
    <w:bookmarkEnd w:id="2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66E8C8EC" w14:textId="77777777" w:rsidTr="00D22A96">
        <w:trPr>
          <w:jc w:val="center"/>
        </w:trPr>
        <w:tc>
          <w:tcPr>
            <w:tcW w:w="9750" w:type="dxa"/>
            <w:gridSpan w:val="2"/>
          </w:tcPr>
          <w:p w14:paraId="0F8E7345" w14:textId="77777777" w:rsidR="00C04E9D" w:rsidRPr="008B07EC" w:rsidRDefault="00C04E9D" w:rsidP="005A2392">
            <w:pPr>
              <w:pStyle w:val="Normal6a"/>
            </w:pPr>
          </w:p>
        </w:tc>
      </w:tr>
      <w:tr w:rsidR="005A0AC7" w:rsidRPr="008B07EC" w14:paraId="7AB6E3FE" w14:textId="77777777" w:rsidTr="00D22A96">
        <w:trPr>
          <w:jc w:val="center"/>
        </w:trPr>
        <w:tc>
          <w:tcPr>
            <w:tcW w:w="4875" w:type="dxa"/>
            <w:hideMark/>
          </w:tcPr>
          <w:p w14:paraId="0B71020B" w14:textId="77777777" w:rsidR="00C04E9D" w:rsidRPr="008B07EC" w:rsidRDefault="008476E3" w:rsidP="00E00D3E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5" w:type="dxa"/>
            <w:hideMark/>
          </w:tcPr>
          <w:p w14:paraId="09682097" w14:textId="77777777" w:rsidR="00C04E9D" w:rsidRPr="008B07EC" w:rsidRDefault="008476E3" w:rsidP="00E00D3E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39B51D0F" w14:textId="77777777" w:rsidTr="00D22A96">
        <w:trPr>
          <w:jc w:val="center"/>
        </w:trPr>
        <w:tc>
          <w:tcPr>
            <w:tcW w:w="4875" w:type="dxa"/>
          </w:tcPr>
          <w:p w14:paraId="55558EBE" w14:textId="77777777" w:rsidR="00D22A96" w:rsidRPr="008B07EC" w:rsidRDefault="008476E3" w:rsidP="005A2392">
            <w:pPr>
              <w:pStyle w:val="Normal6a"/>
            </w:pPr>
            <w:r w:rsidRPr="008B07EC">
              <w:rPr>
                <w:b/>
                <w:i/>
              </w:rPr>
              <w:t>1.</w:t>
            </w:r>
            <w:r w:rsidRPr="008B07EC">
              <w:tab/>
            </w:r>
            <w:r w:rsidRPr="008B07EC">
              <w:rPr>
                <w:b/>
                <w:i/>
              </w:rPr>
              <w:t>Orientačné</w:t>
            </w:r>
            <w:r w:rsidRPr="008B07EC">
              <w:t xml:space="preserve"> finančné krytie programu na </w:t>
            </w:r>
            <w:r w:rsidRPr="008B07EC">
              <w:rPr>
                <w:b/>
                <w:i/>
              </w:rPr>
              <w:t>obdobie od 1. januára</w:t>
            </w:r>
            <w:r w:rsidRPr="008B07EC">
              <w:t xml:space="preserve"> 2028 </w:t>
            </w:r>
            <w:r w:rsidRPr="008B07EC">
              <w:rPr>
                <w:b/>
                <w:i/>
              </w:rPr>
              <w:t>do 31. decembra 2034 je 175 002</w:t>
            </w:r>
            <w:r w:rsidRPr="008B07EC">
              <w:t> 000 000 EUR v </w:t>
            </w:r>
            <w:r w:rsidRPr="008B07EC">
              <w:rPr>
                <w:b/>
                <w:i/>
              </w:rPr>
              <w:t>bežných</w:t>
            </w:r>
            <w:r w:rsidRPr="008B07EC">
              <w:t xml:space="preserve"> cenách.</w:t>
            </w:r>
          </w:p>
        </w:tc>
        <w:tc>
          <w:tcPr>
            <w:tcW w:w="4875" w:type="dxa"/>
            <w:hideMark/>
          </w:tcPr>
          <w:p w14:paraId="4E51F872" w14:textId="77777777" w:rsidR="00D22A96" w:rsidRPr="008B07EC" w:rsidRDefault="008476E3" w:rsidP="005A2392">
            <w:pPr>
              <w:pStyle w:val="Normal6a"/>
            </w:pPr>
            <w:r w:rsidRPr="008B07EC">
              <w:t>1.</w:t>
            </w:r>
            <w:r w:rsidRPr="008B07EC">
              <w:tab/>
            </w:r>
            <w:r w:rsidRPr="008B07EC">
              <w:t xml:space="preserve">Finančné krytie programu na </w:t>
            </w:r>
            <w:r w:rsidRPr="008B07EC">
              <w:rPr>
                <w:b/>
                <w:i/>
              </w:rPr>
              <w:t>vykonávanie nariadenia na obdobie</w:t>
            </w:r>
            <w:r w:rsidRPr="008B07EC">
              <w:t xml:space="preserve"> 2028 </w:t>
            </w:r>
            <w:r w:rsidRPr="008B07EC">
              <w:rPr>
                <w:b/>
                <w:i/>
              </w:rPr>
              <w:t>– 2034 sa stanovuje na 200 003 562 000 EUR v bežných cenách (177 010</w:t>
            </w:r>
            <w:r w:rsidRPr="008B07EC">
              <w:t xml:space="preserve"> 000 000 EUR v cenách </w:t>
            </w:r>
            <w:r w:rsidRPr="008B07EC">
              <w:rPr>
                <w:b/>
                <w:i/>
              </w:rPr>
              <w:t>z roku 2025)</w:t>
            </w:r>
            <w:r w:rsidRPr="008B07EC">
              <w:t>.</w:t>
            </w:r>
          </w:p>
        </w:tc>
      </w:tr>
    </w:tbl>
    <w:p w14:paraId="742894A6" w14:textId="77777777" w:rsidR="00D22A96" w:rsidRPr="008B07EC" w:rsidRDefault="008476E3" w:rsidP="00E63984">
      <w:pPr>
        <w:pStyle w:val="AmNumberTabs"/>
      </w:pPr>
      <w:r w:rsidRPr="008B07EC">
        <w:rPr>
          <w:rStyle w:val="HideTWBExt"/>
        </w:rPr>
        <w:t>&lt;/Amend&gt;</w:t>
      </w:r>
    </w:p>
    <w:bookmarkEnd w:id="3"/>
    <w:p w14:paraId="53DB9A17" w14:textId="77777777" w:rsidR="00760D63" w:rsidRPr="008B07EC" w:rsidRDefault="008476E3" w:rsidP="00E63984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7</w:t>
      </w:r>
      <w:r w:rsidRPr="008B07EC">
        <w:rPr>
          <w:rStyle w:val="HideTWBExt"/>
        </w:rPr>
        <w:t>&lt;/NumAm&gt;</w:t>
      </w:r>
    </w:p>
    <w:p w14:paraId="2AB352E0" w14:textId="77777777" w:rsidR="00760D63" w:rsidRPr="008B07EC" w:rsidRDefault="008476E3" w:rsidP="00760D63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 xml:space="preserve">Návrh </w:t>
      </w:r>
      <w:r w:rsidRPr="008B07EC">
        <w:rPr>
          <w:b/>
        </w:rPr>
        <w:t>nariadenia</w:t>
      </w:r>
      <w:r w:rsidRPr="008B07EC">
        <w:rPr>
          <w:rStyle w:val="HideTWBExt"/>
        </w:rPr>
        <w:t>&lt;/DocAmend&gt;</w:t>
      </w:r>
    </w:p>
    <w:p w14:paraId="3C7F3224" w14:textId="77777777" w:rsidR="00760D63" w:rsidRPr="008B07EC" w:rsidRDefault="008476E3" w:rsidP="00760D63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Článok 7 – odsek 2 a (nový)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5DC0FA8A" w14:textId="77777777">
        <w:trPr>
          <w:jc w:val="center"/>
        </w:trPr>
        <w:tc>
          <w:tcPr>
            <w:tcW w:w="9750" w:type="dxa"/>
            <w:gridSpan w:val="2"/>
          </w:tcPr>
          <w:p w14:paraId="76B375F4" w14:textId="77777777" w:rsidR="00760D63" w:rsidRPr="008B07EC" w:rsidRDefault="00760D63" w:rsidP="005A2392">
            <w:pPr>
              <w:pStyle w:val="Normal6a"/>
            </w:pPr>
          </w:p>
        </w:tc>
      </w:tr>
      <w:tr w:rsidR="005A0AC7" w:rsidRPr="008B07EC" w14:paraId="5435E5C2" w14:textId="77777777">
        <w:trPr>
          <w:jc w:val="center"/>
        </w:trPr>
        <w:tc>
          <w:tcPr>
            <w:tcW w:w="4875" w:type="dxa"/>
            <w:hideMark/>
          </w:tcPr>
          <w:p w14:paraId="4F58655C" w14:textId="77777777" w:rsidR="00760D63" w:rsidRPr="008B07EC" w:rsidRDefault="008476E3" w:rsidP="00E00D3E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5" w:type="dxa"/>
            <w:hideMark/>
          </w:tcPr>
          <w:p w14:paraId="0D35637A" w14:textId="77777777" w:rsidR="00760D63" w:rsidRPr="008B07EC" w:rsidRDefault="008476E3" w:rsidP="00E00D3E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112FD64E" w14:textId="77777777">
        <w:trPr>
          <w:jc w:val="center"/>
        </w:trPr>
        <w:tc>
          <w:tcPr>
            <w:tcW w:w="4875" w:type="dxa"/>
          </w:tcPr>
          <w:p w14:paraId="32BC2449" w14:textId="77777777" w:rsidR="00760D63" w:rsidRPr="008B07EC" w:rsidRDefault="00760D63" w:rsidP="005A2392">
            <w:pPr>
              <w:pStyle w:val="Normal6a"/>
            </w:pPr>
          </w:p>
        </w:tc>
        <w:tc>
          <w:tcPr>
            <w:tcW w:w="4875" w:type="dxa"/>
            <w:hideMark/>
          </w:tcPr>
          <w:p w14:paraId="76C8D211" w14:textId="77777777" w:rsidR="00760D63" w:rsidRPr="008B07EC" w:rsidRDefault="008476E3" w:rsidP="005A2392">
            <w:pPr>
              <w:pStyle w:val="Normal6a"/>
            </w:pPr>
            <w:r w:rsidRPr="008B07EC">
              <w:rPr>
                <w:b/>
                <w:i/>
              </w:rPr>
              <w:t>2a.</w:t>
            </w:r>
            <w:r w:rsidRPr="008B07EC">
              <w:rPr>
                <w:b/>
                <w:i/>
              </w:rPr>
              <w:tab/>
              <w:t xml:space="preserve">[Od 1. januára 2028/dátumu začiatku vykonávania programu] odchylne od článku 212 ods. 3 prvého, druhého a štvrtého pododseku nariadenia o rozpočtových pravidlách sa príjmy, splátky a vymožené sumy z finančných nástrojov financovaných na základe tohto nariadenia a predchádzajúcich nariadení, zabezpečených prostredníctvom Európskeho fondu pre konkurencieschopnosť, použijú na poskytnutie podpory Únie v rámci </w:t>
            </w:r>
            <w:r w:rsidRPr="008B07EC">
              <w:rPr>
                <w:b/>
                <w:i/>
              </w:rPr>
              <w:lastRenderedPageBreak/>
              <w:t>programu Horizont Európa. Odchylne od článku 21 ods. 3 písm. f) a v súlade s článkom 21 ods. 5 nariade</w:t>
            </w:r>
            <w:r w:rsidRPr="008B07EC">
              <w:rPr>
                <w:b/>
                <w:i/>
              </w:rPr>
              <w:t>nia o rozpočtových pravidlách tieto zdroje predstavujú vonkajšie pripísané príjmy pre program Horizont Európa. Príjmy, splátky a vymožené sumy z finančných nástrojov implementovaných fondom EIC zostávajú na zostatku fondu EIC.</w:t>
            </w:r>
          </w:p>
        </w:tc>
      </w:tr>
    </w:tbl>
    <w:p w14:paraId="733D3930" w14:textId="77777777" w:rsidR="00BA7BC0" w:rsidRPr="008B07EC" w:rsidRDefault="008476E3" w:rsidP="00E63984">
      <w:pPr>
        <w:pStyle w:val="AmNumberTabs"/>
      </w:pPr>
      <w:r w:rsidRPr="008B07EC">
        <w:rPr>
          <w:rStyle w:val="HideTWBExt"/>
        </w:rPr>
        <w:lastRenderedPageBreak/>
        <w:t>&lt;/Amend&gt;</w:t>
      </w:r>
    </w:p>
    <w:p w14:paraId="0EC7D1E3" w14:textId="77777777" w:rsidR="00BA7BC0" w:rsidRPr="008B07EC" w:rsidRDefault="008476E3" w:rsidP="00E63984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8</w:t>
      </w:r>
      <w:r w:rsidRPr="008B07EC">
        <w:rPr>
          <w:rStyle w:val="HideTWBExt"/>
        </w:rPr>
        <w:t>&lt;/NumAm&gt;</w:t>
      </w:r>
    </w:p>
    <w:p w14:paraId="22CBB73A" w14:textId="77777777" w:rsidR="00BA7BC0" w:rsidRPr="008B07EC" w:rsidRDefault="008476E3" w:rsidP="00BA7BC0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7C40E3AA" w14:textId="77777777" w:rsidR="00BA7BC0" w:rsidRPr="008B07EC" w:rsidRDefault="008476E3" w:rsidP="00BA7BC0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Článok 7 – odsek 2 b (nový)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00632DDC" w14:textId="77777777">
        <w:trPr>
          <w:jc w:val="center"/>
        </w:trPr>
        <w:tc>
          <w:tcPr>
            <w:tcW w:w="9750" w:type="dxa"/>
            <w:gridSpan w:val="2"/>
          </w:tcPr>
          <w:p w14:paraId="606AE86B" w14:textId="77777777" w:rsidR="00BA7BC0" w:rsidRPr="008B07EC" w:rsidRDefault="00BA7BC0" w:rsidP="005A2392">
            <w:pPr>
              <w:pStyle w:val="Normal6a"/>
            </w:pPr>
          </w:p>
        </w:tc>
      </w:tr>
      <w:tr w:rsidR="005A0AC7" w:rsidRPr="008B07EC" w14:paraId="18027823" w14:textId="77777777">
        <w:trPr>
          <w:jc w:val="center"/>
        </w:trPr>
        <w:tc>
          <w:tcPr>
            <w:tcW w:w="4875" w:type="dxa"/>
            <w:hideMark/>
          </w:tcPr>
          <w:p w14:paraId="77E3145B" w14:textId="77777777" w:rsidR="00BA7BC0" w:rsidRPr="008B07EC" w:rsidRDefault="008476E3" w:rsidP="00E00D3E">
            <w:pPr>
              <w:pStyle w:val="AmColumnHeading"/>
            </w:pPr>
            <w:r w:rsidRPr="008B07EC">
              <w:t xml:space="preserve">Text predložený </w:t>
            </w:r>
            <w:r w:rsidRPr="008B07EC">
              <w:t>Komisiou</w:t>
            </w:r>
          </w:p>
        </w:tc>
        <w:tc>
          <w:tcPr>
            <w:tcW w:w="4875" w:type="dxa"/>
            <w:hideMark/>
          </w:tcPr>
          <w:p w14:paraId="5D90D32E" w14:textId="77777777" w:rsidR="00BA7BC0" w:rsidRPr="008B07EC" w:rsidRDefault="008476E3" w:rsidP="00E00D3E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2EB411A4" w14:textId="77777777">
        <w:trPr>
          <w:jc w:val="center"/>
        </w:trPr>
        <w:tc>
          <w:tcPr>
            <w:tcW w:w="4875" w:type="dxa"/>
          </w:tcPr>
          <w:p w14:paraId="31C783D3" w14:textId="77777777" w:rsidR="00BA7BC0" w:rsidRPr="008B07EC" w:rsidRDefault="00BA7BC0" w:rsidP="005A2392">
            <w:pPr>
              <w:pStyle w:val="Normal6a"/>
            </w:pPr>
          </w:p>
        </w:tc>
        <w:tc>
          <w:tcPr>
            <w:tcW w:w="4875" w:type="dxa"/>
            <w:hideMark/>
          </w:tcPr>
          <w:p w14:paraId="4E18F677" w14:textId="77777777" w:rsidR="00BA7BC0" w:rsidRPr="008B07EC" w:rsidRDefault="008476E3" w:rsidP="005A2392">
            <w:pPr>
              <w:pStyle w:val="Normal6a"/>
            </w:pPr>
            <w:r w:rsidRPr="008B07EC">
              <w:rPr>
                <w:b/>
                <w:i/>
              </w:rPr>
              <w:t>2b.</w:t>
            </w:r>
            <w:r w:rsidRPr="008B07EC">
              <w:rPr>
                <w:b/>
                <w:i/>
              </w:rPr>
              <w:tab/>
              <w:t xml:space="preserve">Viazané rozpočtové prostriedky zodpovedajúce sume rozpočtových prostriedkov, ktorých viazanosť bola zrušená v dôsledku celkového alebo čiastočného nevykonania výskumných projektov, sa opätovne sprístupnia na tento </w:t>
            </w:r>
            <w:r w:rsidRPr="008B07EC">
              <w:rPr>
                <w:b/>
                <w:i/>
              </w:rPr>
              <w:t>program v rámci rozpočtového postupu a prioritne na ten istý cieľ.</w:t>
            </w:r>
          </w:p>
        </w:tc>
      </w:tr>
    </w:tbl>
    <w:p w14:paraId="4D159552" w14:textId="77777777" w:rsidR="00BA7BC0" w:rsidRPr="008B07EC" w:rsidRDefault="008476E3" w:rsidP="00BA7BC0">
      <w:pPr>
        <w:pStyle w:val="Normal12a"/>
      </w:pPr>
      <w:r w:rsidRPr="008B07EC">
        <w:rPr>
          <w:rStyle w:val="HideTWBExt"/>
        </w:rPr>
        <w:t>&lt;/Amend&gt;</w:t>
      </w:r>
    </w:p>
    <w:p w14:paraId="500E5556" w14:textId="77777777" w:rsidR="009E64BF" w:rsidRPr="008B07EC" w:rsidRDefault="008476E3" w:rsidP="009E64BF">
      <w:pPr>
        <w:pStyle w:val="AmNumberTabs"/>
      </w:pPr>
      <w:r w:rsidRPr="008B07EC">
        <w:rPr>
          <w:rStyle w:val="HideTWBExt"/>
        </w:rPr>
        <w:t>&lt;Amend&gt;</w:t>
      </w:r>
      <w:r w:rsidRPr="008B07EC">
        <w:t>Pozmeňujúci návrh</w:t>
      </w:r>
      <w:r w:rsidRPr="008B07EC">
        <w:tab/>
      </w:r>
      <w:r w:rsidRPr="008B07EC">
        <w:tab/>
      </w:r>
      <w:r w:rsidRPr="008B07EC">
        <w:rPr>
          <w:rStyle w:val="HideTWBExt"/>
        </w:rPr>
        <w:t>&lt;NumAm&gt;</w:t>
      </w:r>
      <w:r w:rsidRPr="008B07EC">
        <w:t>9</w:t>
      </w:r>
      <w:r w:rsidRPr="008B07EC">
        <w:rPr>
          <w:rStyle w:val="HideTWBExt"/>
        </w:rPr>
        <w:t>&lt;/NumAm&gt;</w:t>
      </w:r>
    </w:p>
    <w:p w14:paraId="50ECA952" w14:textId="77777777" w:rsidR="009E64BF" w:rsidRPr="008B07EC" w:rsidRDefault="008476E3" w:rsidP="009E64BF">
      <w:pPr>
        <w:pStyle w:val="Normal12a"/>
        <w:spacing w:after="0"/>
        <w:rPr>
          <w:b/>
        </w:rPr>
      </w:pPr>
      <w:r w:rsidRPr="008B07EC">
        <w:rPr>
          <w:rStyle w:val="HideTWBExt"/>
        </w:rPr>
        <w:t>&lt;DocAmend&gt;</w:t>
      </w:r>
      <w:r w:rsidRPr="008B07EC">
        <w:rPr>
          <w:b/>
        </w:rPr>
        <w:t>Návrh nariadenia</w:t>
      </w:r>
      <w:r w:rsidRPr="008B07EC">
        <w:rPr>
          <w:rStyle w:val="HideTWBExt"/>
        </w:rPr>
        <w:t>&lt;/DocAmend&gt;</w:t>
      </w:r>
    </w:p>
    <w:p w14:paraId="222889E7" w14:textId="77777777" w:rsidR="009E64BF" w:rsidRPr="008B07EC" w:rsidRDefault="008476E3" w:rsidP="009E64BF">
      <w:pPr>
        <w:pStyle w:val="Normal12a"/>
        <w:spacing w:after="0"/>
        <w:rPr>
          <w:b/>
        </w:rPr>
      </w:pPr>
      <w:r w:rsidRPr="008B07EC">
        <w:rPr>
          <w:rStyle w:val="HideTWBExt"/>
        </w:rPr>
        <w:t>&lt;Article&gt;</w:t>
      </w:r>
      <w:r w:rsidRPr="008B07EC">
        <w:rPr>
          <w:b/>
        </w:rPr>
        <w:t>Článok 10 – odsek 3</w:t>
      </w:r>
      <w:r w:rsidRPr="008B07EC"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A0AC7" w:rsidRPr="008B07EC" w14:paraId="7C52B86C" w14:textId="77777777" w:rsidTr="003D43B7">
        <w:trPr>
          <w:jc w:val="center"/>
        </w:trPr>
        <w:tc>
          <w:tcPr>
            <w:tcW w:w="9750" w:type="dxa"/>
            <w:gridSpan w:val="2"/>
          </w:tcPr>
          <w:p w14:paraId="083F37F7" w14:textId="77777777" w:rsidR="009E64BF" w:rsidRPr="008B07EC" w:rsidRDefault="009E64BF" w:rsidP="003D43B7">
            <w:pPr>
              <w:pStyle w:val="Normal6a"/>
            </w:pPr>
          </w:p>
        </w:tc>
      </w:tr>
      <w:tr w:rsidR="005A0AC7" w:rsidRPr="008B07EC" w14:paraId="4E73FF56" w14:textId="77777777" w:rsidTr="003D43B7">
        <w:trPr>
          <w:jc w:val="center"/>
        </w:trPr>
        <w:tc>
          <w:tcPr>
            <w:tcW w:w="4875" w:type="dxa"/>
            <w:hideMark/>
          </w:tcPr>
          <w:p w14:paraId="0C7A0232" w14:textId="77777777" w:rsidR="009E64BF" w:rsidRPr="008B07EC" w:rsidRDefault="008476E3" w:rsidP="003D43B7">
            <w:pPr>
              <w:pStyle w:val="AmColumnHeading"/>
            </w:pPr>
            <w:r w:rsidRPr="008B07EC">
              <w:t>Text predložený Komisiou</w:t>
            </w:r>
          </w:p>
        </w:tc>
        <w:tc>
          <w:tcPr>
            <w:tcW w:w="4875" w:type="dxa"/>
            <w:hideMark/>
          </w:tcPr>
          <w:p w14:paraId="3FB2EE7D" w14:textId="77777777" w:rsidR="009E64BF" w:rsidRPr="008B07EC" w:rsidRDefault="008476E3" w:rsidP="003D43B7">
            <w:pPr>
              <w:pStyle w:val="AmColumnHeading"/>
            </w:pPr>
            <w:r w:rsidRPr="008B07EC">
              <w:t>Pozmeňujúci návrh</w:t>
            </w:r>
          </w:p>
        </w:tc>
      </w:tr>
      <w:tr w:rsidR="005A0AC7" w:rsidRPr="008B07EC" w14:paraId="4095A39C" w14:textId="77777777" w:rsidTr="003D43B7">
        <w:trPr>
          <w:jc w:val="center"/>
        </w:trPr>
        <w:tc>
          <w:tcPr>
            <w:tcW w:w="4875" w:type="dxa"/>
          </w:tcPr>
          <w:p w14:paraId="53175C7C" w14:textId="77777777" w:rsidR="009E64BF" w:rsidRPr="008B07EC" w:rsidRDefault="008476E3" w:rsidP="003D43B7">
            <w:pPr>
              <w:pStyle w:val="Normal6a"/>
            </w:pPr>
            <w:r w:rsidRPr="008B07EC">
              <w:rPr>
                <w:b/>
                <w:i/>
              </w:rPr>
              <w:t>3.</w:t>
            </w:r>
            <w:r w:rsidRPr="008B07EC">
              <w:tab/>
            </w:r>
            <w:r w:rsidRPr="008B07EC">
              <w:t xml:space="preserve">S výnimkou finančných nástrojov v rámci (Fondu) EIC, pri ktorých sa podpora Únie poskytuje vo forme rozpočtovej záruky alebo finančného nástroja vrátane prípadov, keď sa kombinuje s nenávratnou podporou v rámci operácie kombinovaného financovania, poskytujú sa výhradne prostredníctvom </w:t>
            </w:r>
            <w:r w:rsidRPr="008B07EC">
              <w:lastRenderedPageBreak/>
              <w:t>nástroja InvestEU Európskeho fondu pre konkurencieschopnosť a implementujú sa v súlade s uplatniteľnými pravidlami nástroja InvestEU Európskeho fondu pre konkurencieschopnosť prostredníctvom dohôd o príspevku alebo záruke uzav</w:t>
            </w:r>
            <w:r w:rsidRPr="008B07EC">
              <w:t>retých na tento účel. Ak sa v rámci programu využíva nástroj ECF InvestEU, zabezpečí sa tvorba rezerv na rozpočtovú záruku a financovanie finančných nástrojov, a to aj v prípade, že sa kombinuje s nenávratnou podporou vo forme operácie kombinovaného financovania.</w:t>
            </w:r>
            <w:r w:rsidRPr="008B07EC">
              <w:rPr>
                <w:i/>
              </w:rPr>
              <w:t> </w:t>
            </w:r>
          </w:p>
        </w:tc>
        <w:tc>
          <w:tcPr>
            <w:tcW w:w="4875" w:type="dxa"/>
          </w:tcPr>
          <w:p w14:paraId="4243DD82" w14:textId="77777777" w:rsidR="009E64BF" w:rsidRPr="008B07EC" w:rsidRDefault="008476E3" w:rsidP="003D43B7">
            <w:pPr>
              <w:pStyle w:val="Normal6a"/>
            </w:pPr>
            <w:r w:rsidRPr="008B07EC">
              <w:lastRenderedPageBreak/>
              <w:t>3.</w:t>
            </w:r>
            <w:r w:rsidRPr="008B07EC">
              <w:tab/>
              <w:t xml:space="preserve">S výnimkou finančných nástrojov v rámci (Fondu) EIC, </w:t>
            </w:r>
            <w:r w:rsidRPr="008B07EC">
              <w:rPr>
                <w:b/>
                <w:i/>
              </w:rPr>
              <w:t>vrátane Európskeho fondu pre scaleupy,</w:t>
            </w:r>
            <w:r w:rsidRPr="008B07EC">
              <w:t xml:space="preserve"> pri ktorých sa podpora Únie poskytuje vo forme rozpočtovej záruky alebo finančného nástroja vrátane prípadov, keď sa kombinuje s nenávratnou podporou v rámci operácie kombinovaného financovania, poskytujú sa výhradne </w:t>
            </w:r>
            <w:r w:rsidRPr="008B07EC">
              <w:lastRenderedPageBreak/>
              <w:t>prostredníctvom nástroja InvestEU Európskeho fondu pre konkurencieschopnosť a implementujú sa v súlade s uplatniteľnými pravidlami nástroja InvestEU Európskeho fondu pre konkurencieschopnosť prostredníc</w:t>
            </w:r>
            <w:r w:rsidRPr="008B07EC">
              <w:t>tvom dohôd o príspevku alebo záruke uzavretých na tento účel. Ak sa v rámci programu využíva nástroj ECF InvestEU, zabezpečí sa tvorba rezerv na rozpočtovú záruku a financovanie finančných nástrojov, a to aj v prípade, že sa kombinuje s nenávratnou podporou vo forme operácie kombinovaného financovania</w:t>
            </w:r>
            <w:r w:rsidRPr="008B07EC">
              <w:rPr>
                <w:b/>
                <w:i/>
              </w:rPr>
              <w:t>, do maximálnej výšky rozpočtovej záruky stanovenej nariadením o ECF</w:t>
            </w:r>
            <w:r w:rsidRPr="008B07EC">
              <w:t>.</w:t>
            </w:r>
            <w:r w:rsidRPr="008B07EC">
              <w:rPr>
                <w:i/>
              </w:rPr>
              <w:t> </w:t>
            </w:r>
          </w:p>
        </w:tc>
      </w:tr>
    </w:tbl>
    <w:p w14:paraId="47B27A47" w14:textId="77777777" w:rsidR="009E64BF" w:rsidRPr="008B07EC" w:rsidRDefault="008476E3" w:rsidP="007E03E2">
      <w:pPr>
        <w:pStyle w:val="AmNumberTabs"/>
        <w:rPr>
          <w:rStyle w:val="HideTWBExt"/>
          <w:rFonts w:ascii="Times New Roman" w:hAnsi="Times New Roman" w:cs="Times New Roman"/>
          <w:noProof w:val="0"/>
          <w:vanish w:val="0"/>
          <w:color w:val="auto"/>
          <w:sz w:val="24"/>
        </w:rPr>
      </w:pPr>
      <w:r w:rsidRPr="008B07EC">
        <w:rPr>
          <w:rStyle w:val="HideTWBExt"/>
        </w:rPr>
        <w:lastRenderedPageBreak/>
        <w:t>&lt;/Amend&gt;</w:t>
      </w:r>
    </w:p>
    <w:bookmarkEnd w:id="1"/>
    <w:p w14:paraId="2509D122" w14:textId="77777777" w:rsidR="00E81E17" w:rsidRPr="008B07EC" w:rsidRDefault="008476E3" w:rsidP="00C878DE">
      <w:r w:rsidRPr="008B07EC">
        <w:rPr>
          <w:rStyle w:val="HideTWBExt"/>
        </w:rPr>
        <w:t>&lt;/RepeatBlock-Amend&gt;</w:t>
      </w:r>
    </w:p>
    <w:p w14:paraId="04A8C8F1" w14:textId="77777777" w:rsidR="00017014" w:rsidRPr="008B07EC" w:rsidRDefault="00017014" w:rsidP="00017014">
      <w:pPr>
        <w:pStyle w:val="Footprint12b"/>
        <w:sectPr w:rsidR="00017014" w:rsidRPr="008B07EC" w:rsidSect="0001701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5A3172E2" w14:textId="77777777" w:rsidR="00017014" w:rsidRPr="008B07EC" w:rsidRDefault="008476E3" w:rsidP="00017014">
      <w:pPr>
        <w:pStyle w:val="PageHeadingNotTOC"/>
      </w:pPr>
      <w:bookmarkStart w:id="4" w:name="FootprintPageAD"/>
      <w:bookmarkStart w:id="5" w:name="ProcPageAD"/>
      <w:r w:rsidRPr="008B07EC">
        <w:lastRenderedPageBreak/>
        <w:t>PRÍLOHA: VYHLÁSENIE O POSKYTNUTÝCH INFORMÁCIÁCH</w:t>
      </w:r>
    </w:p>
    <w:p w14:paraId="36111DD2" w14:textId="77777777" w:rsidR="00017014" w:rsidRPr="008B07EC" w:rsidRDefault="008476E3" w:rsidP="00017014">
      <w:pPr>
        <w:pStyle w:val="Normal24a"/>
      </w:pPr>
      <w:r w:rsidRPr="008B07EC">
        <w:rPr>
          <w:rStyle w:val="HideTWBExt"/>
        </w:rPr>
        <w:t>&lt;FootprintIntro&gt;</w:t>
      </w:r>
      <w:r w:rsidRPr="008B07EC">
        <w:t>V súlade s článkom 8 prílohy I k rokovaciemu poriadku spravodajca pre rozpočtové posúdenie vyhlasuje, že do svojho rozpočtového posúdenia zahrnul informácie k záležitostiam týkajúcim sa predmetu spisu, ktoré mu počas prípravy rozpočtového posúdenia až do jeho prijatia vo výbore poskytli títo zástupcovia záujmových skupín, na ktorých sa vzťahuje medziinštitucionálna dohoda o povinnom registri transparentnosti</w:t>
      </w:r>
      <w:r w:rsidRPr="008B07EC">
        <w:rPr>
          <w:rStyle w:val="FootnoteReference"/>
        </w:rPr>
        <w:footnoteReference w:id="3"/>
      </w:r>
      <w:r w:rsidRPr="008B07EC">
        <w:t>, alebo títo zástupcovia verejných orgánov tretích krajín vrátane ich diplomatických misií a veľvyslanectiev:</w:t>
      </w:r>
      <w:r w:rsidRPr="008B07EC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  <w:gridCol w:w="34"/>
      </w:tblGrid>
      <w:tr w:rsidR="005A0AC7" w:rsidRPr="008B07EC" w14:paraId="4605601C" w14:textId="77777777" w:rsidTr="006F2815">
        <w:tc>
          <w:tcPr>
            <w:tcW w:w="9050" w:type="dxa"/>
            <w:gridSpan w:val="2"/>
            <w:shd w:val="clear" w:color="auto" w:fill="auto"/>
          </w:tcPr>
          <w:p w14:paraId="49B1D356" w14:textId="77777777" w:rsidR="00017014" w:rsidRPr="008B07EC" w:rsidRDefault="008476E3" w:rsidP="006F2815">
            <w:pPr>
              <w:pStyle w:val="NormalBoldCenter"/>
            </w:pPr>
            <w:r w:rsidRPr="008B07EC">
              <w:t>1. Zástupcovia záujmových skupín, na ktorých sa vzťahuje Medziinštitucionálna dohoda o povinnom registri transparentnosti</w:t>
            </w:r>
          </w:p>
        </w:tc>
      </w:tr>
      <w:tr w:rsidR="005A0AC7" w:rsidRPr="008B07EC" w14:paraId="0B0AB629" w14:textId="77777777" w:rsidTr="006F2815">
        <w:tc>
          <w:tcPr>
            <w:tcW w:w="9050" w:type="dxa"/>
            <w:gridSpan w:val="2"/>
            <w:shd w:val="clear" w:color="auto" w:fill="auto"/>
          </w:tcPr>
          <w:p w14:paraId="5744F227" w14:textId="77777777" w:rsidR="00017014" w:rsidRPr="008B07EC" w:rsidRDefault="008476E3" w:rsidP="006F2815">
            <w:pPr>
              <w:pStyle w:val="NormalSingle"/>
            </w:pPr>
            <w:r w:rsidRPr="008B07EC">
              <w:t>Marie Curie Alumni Association</w:t>
            </w:r>
          </w:p>
        </w:tc>
      </w:tr>
      <w:tr w:rsidR="005A0AC7" w:rsidRPr="008B07EC" w14:paraId="1BD2E04A" w14:textId="77777777" w:rsidTr="006F2815">
        <w:trPr>
          <w:gridAfter w:val="1"/>
          <w:wAfter w:w="34" w:type="dxa"/>
        </w:trPr>
        <w:tc>
          <w:tcPr>
            <w:tcW w:w="9050" w:type="dxa"/>
            <w:shd w:val="clear" w:color="auto" w:fill="auto"/>
          </w:tcPr>
          <w:p w14:paraId="34FAFD44" w14:textId="77777777" w:rsidR="00017014" w:rsidRPr="008B07EC" w:rsidRDefault="008476E3" w:rsidP="006F2815">
            <w:pPr>
              <w:pStyle w:val="NormalBoldCenter"/>
            </w:pPr>
            <w:r w:rsidRPr="008B07EC">
              <w:t xml:space="preserve">2. Zástupcovia verejných orgánov tretích krajín vrátane ich </w:t>
            </w:r>
            <w:r w:rsidRPr="008B07EC">
              <w:t>diplomatických misií a veľvyslanectiev</w:t>
            </w:r>
          </w:p>
        </w:tc>
      </w:tr>
      <w:tr w:rsidR="005A0AC7" w:rsidRPr="008B07EC" w14:paraId="2348161D" w14:textId="77777777" w:rsidTr="006F2815">
        <w:trPr>
          <w:gridAfter w:val="1"/>
          <w:wAfter w:w="34" w:type="dxa"/>
        </w:trPr>
        <w:tc>
          <w:tcPr>
            <w:tcW w:w="9050" w:type="dxa"/>
            <w:shd w:val="clear" w:color="auto" w:fill="auto"/>
          </w:tcPr>
          <w:p w14:paraId="03F32E69" w14:textId="77777777" w:rsidR="00446D42" w:rsidRPr="008B07EC" w:rsidRDefault="008476E3" w:rsidP="00446D42">
            <w:pPr>
              <w:pStyle w:val="NormalBoldCenter"/>
              <w:jc w:val="left"/>
            </w:pPr>
            <w:r w:rsidRPr="008B07EC">
              <w:t>Žiadni.</w:t>
            </w:r>
          </w:p>
        </w:tc>
      </w:tr>
    </w:tbl>
    <w:p w14:paraId="1F851135" w14:textId="77777777" w:rsidR="00017014" w:rsidRPr="008B07EC" w:rsidRDefault="008476E3" w:rsidP="00017014">
      <w:pPr>
        <w:pStyle w:val="Footprint12b"/>
      </w:pPr>
      <w:r w:rsidRPr="008B07EC">
        <w:t>Vypracovanie uvedeného zoznamu je vo výlučnej zodpovednosti spravodajcu výboru požiadaného o stanovisko.</w:t>
      </w:r>
    </w:p>
    <w:p w14:paraId="4EF1DA59" w14:textId="20C3012A" w:rsidR="00017014" w:rsidRPr="008B07EC" w:rsidRDefault="008476E3" w:rsidP="00017014">
      <w:pPr>
        <w:pStyle w:val="Footprint12b"/>
      </w:pPr>
      <w:r w:rsidRPr="008B07EC">
        <w:t xml:space="preserve">Ak sú v zozname uvedené mená, funkcie alebo mená a funkcie fyzických osôb, spravodajca </w:t>
      </w:r>
      <w:r w:rsidRPr="008B07EC">
        <w:t>vyhlasuje, že predložil dotknutým fyzickým osobám oznámenie Európskeho parlamentu o ochrane údajov č. 484 (</w:t>
      </w:r>
      <w:hyperlink r:id="rId16" w:tooltip="https://www.europarl.europa.eu/data-protect/index.do." w:history="1">
        <w:r w:rsidR="00017014" w:rsidRPr="008B07EC">
          <w:rPr>
            <w:rStyle w:val="Hyperlink"/>
          </w:rPr>
          <w:t>https://www.europarl.europa.eu/data-protect/index.do</w:t>
        </w:r>
      </w:hyperlink>
      <w:r w:rsidRPr="008B07EC">
        <w:t>), v ktorom sa stanovujú podmienky spracúvania ich osobných údajov a práva súvisiace s týmto spracúvaním.</w:t>
      </w:r>
    </w:p>
    <w:bookmarkEnd w:id="4"/>
    <w:p w14:paraId="2F5255BC" w14:textId="77777777" w:rsidR="00017014" w:rsidRPr="008B07EC" w:rsidRDefault="00017014" w:rsidP="00017014"/>
    <w:p w14:paraId="04AFD921" w14:textId="77777777" w:rsidR="00017014" w:rsidRPr="008B07EC" w:rsidRDefault="00017014" w:rsidP="00017014">
      <w:pPr>
        <w:sectPr w:rsidR="00017014" w:rsidRPr="008B07EC" w:rsidSect="0001701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69297392" w14:textId="77777777" w:rsidR="00017014" w:rsidRPr="008B07EC" w:rsidRDefault="008476E3" w:rsidP="008D2A3C">
      <w:pPr>
        <w:pStyle w:val="PageHeadingNotTOC"/>
      </w:pPr>
      <w:r w:rsidRPr="008B07EC">
        <w:lastRenderedPageBreak/>
        <w:t>POSTUP VÝBORU POŽIADANÉHO O ROZPOČTOVÉ POSÚDENIE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5A0AC7" w:rsidRPr="008B07EC" w14:paraId="2051C559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64384CC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Názov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74A815F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Ustanovenie rámcového programu pre výskum a inovácie Horizont Európa na obdobie 2028 – 2034, stanovenie pravidiel účasti na ňom a pravidiel šírenia jeho výsledkov a zrušenie nariadenia (EÚ) 2021/695</w:t>
            </w:r>
          </w:p>
        </w:tc>
      </w:tr>
      <w:tr w:rsidR="005A0AC7" w:rsidRPr="008B07EC" w14:paraId="600AEFEF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0CA4C5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Referenčné čísla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C1A17AD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COM(2025)0543 – C10-0164/2025 – 2025/0543(COD)</w:t>
            </w:r>
          </w:p>
        </w:tc>
      </w:tr>
      <w:tr w:rsidR="005A0AC7" w:rsidRPr="008B07EC" w14:paraId="0337989B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EA3847C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Gestorské výbory</w:t>
            </w:r>
          </w:p>
          <w:p w14:paraId="021E48AA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       dátum oznámenia na schôdzi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ED65D66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ITRE</w:t>
            </w:r>
          </w:p>
          <w:p w14:paraId="60CA025F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C9F212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E58642C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07B856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5A0AC7" w:rsidRPr="008B07EC" w14:paraId="4DFFC94B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6E6323A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Výbor požiadaný o rozpočtové posúdenie</w:t>
            </w:r>
          </w:p>
          <w:p w14:paraId="48218C3A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       dátum oznámenia na schôdzi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0D5D89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BUDG</w:t>
            </w:r>
          </w:p>
          <w:p w14:paraId="7DCA1E77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23.10.2025</w:t>
            </w:r>
          </w:p>
        </w:tc>
      </w:tr>
      <w:tr w:rsidR="005A0AC7" w:rsidRPr="008B07EC" w14:paraId="471A587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DA2B12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Spravodajca pre rozpočtové posúdenie</w:t>
            </w:r>
          </w:p>
          <w:p w14:paraId="14B32FCD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       dátum vymenovania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93D9248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Hélder Sousa Silva</w:t>
            </w:r>
          </w:p>
          <w:p w14:paraId="0A21A096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13.1.2026</w:t>
            </w:r>
          </w:p>
        </w:tc>
      </w:tr>
      <w:tr w:rsidR="005A0AC7" w:rsidRPr="008B07EC" w14:paraId="6DF21AF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8C062A9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Prerokovanie vo výbore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795C549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8.4.2026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7BE5DD4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2285D3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074DA94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5A0AC7" w:rsidRPr="008B07EC" w14:paraId="0E95C0C9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0115DF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0B1095E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23.6.2026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C130A5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73E715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74F2DC" w14:textId="77777777" w:rsidR="00017014" w:rsidRPr="008B07EC" w:rsidRDefault="0001701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5A0AC7" w:rsidRPr="008B07EC" w14:paraId="34BD868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21190D9" w14:textId="77777777" w:rsidR="00017014" w:rsidRPr="008B07EC" w:rsidRDefault="008476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B07EC">
              <w:rPr>
                <w:b/>
                <w:color w:val="000000"/>
                <w:sz w:val="20"/>
              </w:rPr>
              <w:t>Výsledok záverečného hlasovania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6EEA6A8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+:</w:t>
            </w:r>
          </w:p>
          <w:p w14:paraId="5C7C3BFE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–:</w:t>
            </w:r>
          </w:p>
          <w:p w14:paraId="25166B9F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2B7F43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29</w:t>
            </w:r>
          </w:p>
          <w:p w14:paraId="67BE18A3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4</w:t>
            </w:r>
          </w:p>
          <w:p w14:paraId="02C40341" w14:textId="77777777" w:rsidR="00017014" w:rsidRPr="008B07EC" w:rsidRDefault="008476E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B07EC">
              <w:rPr>
                <w:color w:val="000000"/>
                <w:sz w:val="20"/>
              </w:rPr>
              <w:t>1</w:t>
            </w:r>
          </w:p>
        </w:tc>
      </w:tr>
    </w:tbl>
    <w:p w14:paraId="65DE4EBE" w14:textId="77777777" w:rsidR="00017014" w:rsidRPr="008B07EC" w:rsidRDefault="00017014"/>
    <w:bookmarkEnd w:id="5"/>
    <w:p w14:paraId="1C7FC93C" w14:textId="77777777" w:rsidR="00784770" w:rsidRPr="008B07EC" w:rsidRDefault="00784770" w:rsidP="00017014">
      <w:pPr>
        <w:sectPr w:rsidR="00784770" w:rsidRPr="008B07EC" w:rsidSect="0001701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6D57C016" w14:textId="77777777" w:rsidR="00784770" w:rsidRPr="008B07EC" w:rsidRDefault="008476E3" w:rsidP="00C36610">
      <w:pPr>
        <w:pStyle w:val="PageHeadingNotTOC"/>
      </w:pPr>
      <w:bookmarkStart w:id="6" w:name="RollCallPageAD"/>
      <w:r w:rsidRPr="008B07EC">
        <w:lastRenderedPageBreak/>
        <w:t>ZÁVEREČNÉ HLASOVANIE PODĽA MIEN VO VÝBORE POŽIADANOM O ROZPOČTOVÉ POSÚDENIE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A0AC7" w:rsidRPr="008B07EC" w14:paraId="330C6567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A70FC29" w14:textId="77777777" w:rsidR="00784770" w:rsidRPr="008B07EC" w:rsidRDefault="008476E3" w:rsidP="003858C5">
            <w:pPr>
              <w:pStyle w:val="RollCallVotes"/>
            </w:pPr>
            <w:r w:rsidRPr="008B07EC">
              <w:t>29</w:t>
            </w:r>
          </w:p>
        </w:tc>
        <w:tc>
          <w:tcPr>
            <w:tcW w:w="7371" w:type="dxa"/>
            <w:shd w:val="pct10" w:color="000000" w:fill="FFFFFF"/>
          </w:tcPr>
          <w:p w14:paraId="3B868796" w14:textId="77777777" w:rsidR="00784770" w:rsidRPr="008B07EC" w:rsidRDefault="008476E3" w:rsidP="003858C5">
            <w:pPr>
              <w:pStyle w:val="RollCallSymbols14pt"/>
            </w:pPr>
            <w:r w:rsidRPr="008B07EC">
              <w:t>+</w:t>
            </w:r>
          </w:p>
        </w:tc>
      </w:tr>
      <w:tr w:rsidR="005A0AC7" w:rsidRPr="008B07EC" w14:paraId="1A19E0D6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D9AE712" w14:textId="77777777" w:rsidR="00784770" w:rsidRPr="008B07EC" w:rsidRDefault="008476E3" w:rsidP="003858C5">
            <w:pPr>
              <w:pStyle w:val="RollCallTable"/>
            </w:pPr>
            <w:r w:rsidRPr="008B07EC">
              <w:t>ECR</w:t>
            </w:r>
          </w:p>
        </w:tc>
        <w:tc>
          <w:tcPr>
            <w:tcW w:w="7371" w:type="dxa"/>
            <w:shd w:val="clear" w:color="auto" w:fill="FFFFFF"/>
          </w:tcPr>
          <w:p w14:paraId="3A9FA8C2" w14:textId="77777777" w:rsidR="00784770" w:rsidRPr="008B07EC" w:rsidRDefault="008476E3" w:rsidP="003858C5">
            <w:pPr>
              <w:pStyle w:val="RollCallTable"/>
            </w:pPr>
            <w:r w:rsidRPr="008B07EC">
              <w:t xml:space="preserve">Tobiasz </w:t>
            </w:r>
            <w:r w:rsidRPr="008B07EC">
              <w:t>Bocheński, Arkadiusz Mularczyk, Bogdan Rzońca</w:t>
            </w:r>
          </w:p>
        </w:tc>
      </w:tr>
      <w:tr w:rsidR="005A0AC7" w:rsidRPr="008B07EC" w14:paraId="70CFD48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DD33AB8" w14:textId="77777777" w:rsidR="00784770" w:rsidRPr="008B07EC" w:rsidRDefault="008476E3" w:rsidP="003858C5">
            <w:pPr>
              <w:pStyle w:val="RollCallTable"/>
            </w:pPr>
            <w:r w:rsidRPr="008B07EC">
              <w:t>PPE</w:t>
            </w:r>
          </w:p>
        </w:tc>
        <w:tc>
          <w:tcPr>
            <w:tcW w:w="7371" w:type="dxa"/>
            <w:shd w:val="clear" w:color="auto" w:fill="FFFFFF"/>
          </w:tcPr>
          <w:p w14:paraId="5B80A1E6" w14:textId="77777777" w:rsidR="00784770" w:rsidRPr="008B07EC" w:rsidRDefault="008476E3" w:rsidP="003858C5">
            <w:pPr>
              <w:pStyle w:val="RollCallTable"/>
            </w:pPr>
            <w:r w:rsidRPr="008B07EC">
              <w:t>Isabel Benjumea Benjumea, Michalis Hadjipantela, Andrzej Halicki, Monika Hohlmeier, Janusz Lewandowski, Gabriel Mato, Danuše Nerudová, Karlo Ressler, Hélder Sousa Silva</w:t>
            </w:r>
          </w:p>
        </w:tc>
      </w:tr>
      <w:tr w:rsidR="005A0AC7" w:rsidRPr="008B07EC" w14:paraId="4B2BDC46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0197FC2" w14:textId="77777777" w:rsidR="00784770" w:rsidRPr="008B07EC" w:rsidRDefault="008476E3" w:rsidP="003858C5">
            <w:pPr>
              <w:pStyle w:val="RollCallTable"/>
            </w:pPr>
            <w:r w:rsidRPr="008B07EC">
              <w:t>PfE</w:t>
            </w:r>
          </w:p>
        </w:tc>
        <w:tc>
          <w:tcPr>
            <w:tcW w:w="7371" w:type="dxa"/>
            <w:shd w:val="clear" w:color="auto" w:fill="FFFFFF"/>
          </w:tcPr>
          <w:p w14:paraId="1D471636" w14:textId="77777777" w:rsidR="00784770" w:rsidRPr="008B07EC" w:rsidRDefault="008476E3" w:rsidP="003858C5">
            <w:pPr>
              <w:pStyle w:val="RollCallTable"/>
            </w:pPr>
            <w:r w:rsidRPr="008B07EC">
              <w:t xml:space="preserve">Tomasz Buczek, Tamás </w:t>
            </w:r>
            <w:r w:rsidRPr="008B07EC">
              <w:t>Deutsch, Antonín Staněk</w:t>
            </w:r>
          </w:p>
        </w:tc>
      </w:tr>
      <w:tr w:rsidR="005A0AC7" w:rsidRPr="008B07EC" w14:paraId="2E3B1D0E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CAE4E48" w14:textId="77777777" w:rsidR="00784770" w:rsidRPr="008B07EC" w:rsidRDefault="008476E3" w:rsidP="003858C5">
            <w:pPr>
              <w:pStyle w:val="RollCallTable"/>
            </w:pPr>
            <w:r w:rsidRPr="008B07EC">
              <w:t>Renew</w:t>
            </w:r>
          </w:p>
        </w:tc>
        <w:tc>
          <w:tcPr>
            <w:tcW w:w="7371" w:type="dxa"/>
            <w:shd w:val="clear" w:color="auto" w:fill="FFFFFF"/>
          </w:tcPr>
          <w:p w14:paraId="75FE0CB9" w14:textId="77777777" w:rsidR="00784770" w:rsidRPr="008B07EC" w:rsidRDefault="008476E3" w:rsidP="003858C5">
            <w:pPr>
              <w:pStyle w:val="RollCallTable"/>
            </w:pPr>
            <w:r w:rsidRPr="008B07EC">
              <w:t>Olivier Chastel, Fabienne Keller, Lucia Yar</w:t>
            </w:r>
          </w:p>
        </w:tc>
      </w:tr>
      <w:tr w:rsidR="005A0AC7" w:rsidRPr="008B07EC" w14:paraId="36480D3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CD661B4" w14:textId="77777777" w:rsidR="00784770" w:rsidRPr="008B07EC" w:rsidRDefault="008476E3" w:rsidP="003858C5">
            <w:pPr>
              <w:pStyle w:val="RollCallTable"/>
            </w:pPr>
            <w:r w:rsidRPr="008B07EC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376EF209" w14:textId="77777777" w:rsidR="00784770" w:rsidRPr="008B07EC" w:rsidRDefault="008476E3" w:rsidP="003858C5">
            <w:pPr>
              <w:pStyle w:val="RollCallTable"/>
            </w:pPr>
            <w:r w:rsidRPr="008B07EC">
              <w:t>Mohammed Chahim, Matthias Ecke, Nikolas Farantouris, Jean-Marc Germain, Sandra Gómez López, Victor Negrescu, Matjaž Nemec, Nils Ušakovs</w:t>
            </w:r>
          </w:p>
        </w:tc>
      </w:tr>
      <w:tr w:rsidR="005A0AC7" w:rsidRPr="008B07EC" w14:paraId="4F35422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5302844" w14:textId="77777777" w:rsidR="00784770" w:rsidRPr="008B07EC" w:rsidRDefault="008476E3" w:rsidP="003858C5">
            <w:pPr>
              <w:pStyle w:val="RollCallTable"/>
            </w:pPr>
            <w:r w:rsidRPr="008B07EC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2385630A" w14:textId="77777777" w:rsidR="00784770" w:rsidRPr="008B07EC" w:rsidRDefault="008476E3" w:rsidP="003858C5">
            <w:pPr>
              <w:pStyle w:val="RollCallTable"/>
            </w:pPr>
            <w:r w:rsidRPr="008B07EC">
              <w:t>Ignazio Roberto Marino, Rasmus Nordqvist, Nicolae Ștefănuță</w:t>
            </w:r>
          </w:p>
        </w:tc>
      </w:tr>
    </w:tbl>
    <w:p w14:paraId="4937FC54" w14:textId="77777777" w:rsidR="00784770" w:rsidRPr="008B07EC" w:rsidRDefault="00784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A0AC7" w:rsidRPr="008B07EC" w14:paraId="6FDB0101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3D80FC4" w14:textId="77777777" w:rsidR="00784770" w:rsidRPr="008B07EC" w:rsidRDefault="008476E3" w:rsidP="003858C5">
            <w:pPr>
              <w:pStyle w:val="RollCallVotes"/>
            </w:pPr>
            <w:r w:rsidRPr="008B07EC">
              <w:t>4</w:t>
            </w:r>
          </w:p>
        </w:tc>
        <w:tc>
          <w:tcPr>
            <w:tcW w:w="7371" w:type="dxa"/>
            <w:shd w:val="pct10" w:color="000000" w:fill="FFFFFF"/>
          </w:tcPr>
          <w:p w14:paraId="12E17F3D" w14:textId="77777777" w:rsidR="00784770" w:rsidRPr="008B07EC" w:rsidRDefault="008476E3" w:rsidP="003858C5">
            <w:pPr>
              <w:pStyle w:val="RollCallSymbols14pt"/>
            </w:pPr>
            <w:r w:rsidRPr="008B07EC">
              <w:t>-</w:t>
            </w:r>
          </w:p>
        </w:tc>
      </w:tr>
      <w:tr w:rsidR="005A0AC7" w:rsidRPr="008B07EC" w14:paraId="69F5F9E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FC265E5" w14:textId="77777777" w:rsidR="00784770" w:rsidRPr="008B07EC" w:rsidRDefault="008476E3" w:rsidP="003858C5">
            <w:pPr>
              <w:pStyle w:val="RollCallTable"/>
            </w:pPr>
            <w:r w:rsidRPr="008B07EC">
              <w:t>ESN</w:t>
            </w:r>
          </w:p>
        </w:tc>
        <w:tc>
          <w:tcPr>
            <w:tcW w:w="7371" w:type="dxa"/>
            <w:shd w:val="clear" w:color="auto" w:fill="FFFFFF"/>
          </w:tcPr>
          <w:p w14:paraId="1FCBD6A3" w14:textId="77777777" w:rsidR="00784770" w:rsidRPr="008B07EC" w:rsidRDefault="008476E3" w:rsidP="003858C5">
            <w:pPr>
              <w:pStyle w:val="RollCallTable"/>
            </w:pPr>
            <w:r w:rsidRPr="008B07EC">
              <w:t>Alexander Jungbluth</w:t>
            </w:r>
          </w:p>
        </w:tc>
      </w:tr>
      <w:tr w:rsidR="005A0AC7" w:rsidRPr="008B07EC" w14:paraId="030D96A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C806F08" w14:textId="77777777" w:rsidR="00784770" w:rsidRPr="008B07EC" w:rsidRDefault="008476E3" w:rsidP="003858C5">
            <w:pPr>
              <w:pStyle w:val="RollCallTable"/>
            </w:pPr>
            <w:r w:rsidRPr="008B07EC">
              <w:t>NI</w:t>
            </w:r>
          </w:p>
        </w:tc>
        <w:tc>
          <w:tcPr>
            <w:tcW w:w="7371" w:type="dxa"/>
            <w:shd w:val="clear" w:color="auto" w:fill="FFFFFF"/>
          </w:tcPr>
          <w:p w14:paraId="06303929" w14:textId="77777777" w:rsidR="00784770" w:rsidRPr="008B07EC" w:rsidRDefault="008476E3" w:rsidP="003858C5">
            <w:pPr>
              <w:pStyle w:val="RollCallTable"/>
            </w:pPr>
            <w:r w:rsidRPr="008B07EC">
              <w:t>Thomas Geisel</w:t>
            </w:r>
          </w:p>
        </w:tc>
      </w:tr>
      <w:tr w:rsidR="005A0AC7" w:rsidRPr="008B07EC" w14:paraId="0E27269B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B59B726" w14:textId="77777777" w:rsidR="00784770" w:rsidRPr="008B07EC" w:rsidRDefault="008476E3" w:rsidP="003858C5">
            <w:pPr>
              <w:pStyle w:val="RollCallTable"/>
            </w:pPr>
            <w:r w:rsidRPr="008B07EC">
              <w:t>PfE</w:t>
            </w:r>
          </w:p>
        </w:tc>
        <w:tc>
          <w:tcPr>
            <w:tcW w:w="7371" w:type="dxa"/>
            <w:shd w:val="clear" w:color="auto" w:fill="FFFFFF"/>
          </w:tcPr>
          <w:p w14:paraId="7BD3F9E8" w14:textId="77777777" w:rsidR="00784770" w:rsidRPr="008B07EC" w:rsidRDefault="008476E3" w:rsidP="003858C5">
            <w:pPr>
              <w:pStyle w:val="RollCallTable"/>
            </w:pPr>
            <w:r w:rsidRPr="008B07EC">
              <w:t>Valérie Deloge, Aleksandar Nikolic</w:t>
            </w:r>
          </w:p>
        </w:tc>
      </w:tr>
    </w:tbl>
    <w:p w14:paraId="0F00BC63" w14:textId="77777777" w:rsidR="00784770" w:rsidRPr="008B07EC" w:rsidRDefault="00784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A0AC7" w:rsidRPr="008B07EC" w14:paraId="00F37027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A47DEA9" w14:textId="77777777" w:rsidR="00784770" w:rsidRPr="008B07EC" w:rsidRDefault="008476E3" w:rsidP="003858C5">
            <w:pPr>
              <w:pStyle w:val="RollCallVotes"/>
            </w:pPr>
            <w:r w:rsidRPr="008B07EC">
              <w:t>1</w:t>
            </w:r>
          </w:p>
        </w:tc>
        <w:tc>
          <w:tcPr>
            <w:tcW w:w="7371" w:type="dxa"/>
            <w:shd w:val="pct10" w:color="000000" w:fill="FFFFFF"/>
          </w:tcPr>
          <w:p w14:paraId="2235B1D1" w14:textId="77777777" w:rsidR="00784770" w:rsidRPr="008B07EC" w:rsidRDefault="008476E3" w:rsidP="003858C5">
            <w:pPr>
              <w:pStyle w:val="RollCallSymbols14pt"/>
            </w:pPr>
            <w:r w:rsidRPr="008B07EC">
              <w:t>0</w:t>
            </w:r>
          </w:p>
        </w:tc>
      </w:tr>
      <w:tr w:rsidR="005A0AC7" w:rsidRPr="008B07EC" w14:paraId="4F8BBB9C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62237C0" w14:textId="77777777" w:rsidR="00784770" w:rsidRPr="008B07EC" w:rsidRDefault="008476E3" w:rsidP="003858C5">
            <w:pPr>
              <w:pStyle w:val="RollCallTable"/>
            </w:pPr>
            <w:r w:rsidRPr="008B07EC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39C18157" w14:textId="77777777" w:rsidR="00784770" w:rsidRPr="008B07EC" w:rsidRDefault="008476E3" w:rsidP="003858C5">
            <w:pPr>
              <w:pStyle w:val="RollCallTable"/>
            </w:pPr>
            <w:r w:rsidRPr="008B07EC">
              <w:t>João Oliveira</w:t>
            </w:r>
          </w:p>
        </w:tc>
      </w:tr>
    </w:tbl>
    <w:p w14:paraId="3EA93F77" w14:textId="77777777" w:rsidR="00784770" w:rsidRPr="008B07EC" w:rsidRDefault="00784770" w:rsidP="00147FBF">
      <w:pPr>
        <w:pStyle w:val="Normal12a"/>
      </w:pPr>
    </w:p>
    <w:p w14:paraId="7DF4925E" w14:textId="77777777" w:rsidR="00784770" w:rsidRPr="008B07EC" w:rsidRDefault="008476E3" w:rsidP="00B735E3">
      <w:r w:rsidRPr="008B07EC">
        <w:t>Vysvetlenie použitých znakov:</w:t>
      </w:r>
    </w:p>
    <w:p w14:paraId="2AA00DB2" w14:textId="77777777" w:rsidR="00784770" w:rsidRPr="008B07EC" w:rsidRDefault="008476E3" w:rsidP="003858C5">
      <w:pPr>
        <w:pStyle w:val="RollCallTabs"/>
      </w:pPr>
      <w:r w:rsidRPr="008B07EC">
        <w:t>+</w:t>
      </w:r>
      <w:r w:rsidRPr="008B07EC">
        <w:tab/>
        <w:t>:</w:t>
      </w:r>
      <w:r w:rsidRPr="008B07EC">
        <w:tab/>
        <w:t>za:</w:t>
      </w:r>
    </w:p>
    <w:p w14:paraId="593A2EB8" w14:textId="77777777" w:rsidR="00784770" w:rsidRPr="008B07EC" w:rsidRDefault="008476E3" w:rsidP="003858C5">
      <w:pPr>
        <w:pStyle w:val="RollCallTabs"/>
      </w:pPr>
      <w:r w:rsidRPr="008B07EC">
        <w:t>-</w:t>
      </w:r>
      <w:r w:rsidRPr="008B07EC">
        <w:tab/>
        <w:t>:</w:t>
      </w:r>
      <w:r w:rsidRPr="008B07EC">
        <w:tab/>
        <w:t>proti</w:t>
      </w:r>
    </w:p>
    <w:p w14:paraId="281F2682" w14:textId="77777777" w:rsidR="00784770" w:rsidRPr="008B07EC" w:rsidRDefault="008476E3" w:rsidP="003858C5">
      <w:pPr>
        <w:pStyle w:val="RollCallTabs"/>
      </w:pPr>
      <w:r w:rsidRPr="008B07EC">
        <w:t>0</w:t>
      </w:r>
      <w:r w:rsidRPr="008B07EC">
        <w:tab/>
        <w:t>:</w:t>
      </w:r>
      <w:r w:rsidRPr="008B07EC">
        <w:tab/>
        <w:t>zdržali sa hlasovania</w:t>
      </w:r>
    </w:p>
    <w:bookmarkEnd w:id="6"/>
    <w:sectPr w:rsidR="00784770" w:rsidRPr="008B07EC" w:rsidSect="00017014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042D" w14:textId="77777777" w:rsidR="008476E3" w:rsidRPr="008B07EC" w:rsidRDefault="008476E3">
      <w:r w:rsidRPr="008B07EC">
        <w:separator/>
      </w:r>
    </w:p>
  </w:endnote>
  <w:endnote w:type="continuationSeparator" w:id="0">
    <w:p w14:paraId="5F775CED" w14:textId="77777777" w:rsidR="008476E3" w:rsidRPr="008B07EC" w:rsidRDefault="008476E3">
      <w:r w:rsidRPr="008B07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8CEB" w14:textId="77777777" w:rsidR="008B07EC" w:rsidRPr="008B07EC" w:rsidRDefault="008B07EC" w:rsidP="008B07EC">
    <w:pPr>
      <w:pStyle w:val="EPFooter"/>
    </w:pPr>
    <w:r w:rsidRPr="008B07EC">
      <w:t>PE</w:t>
    </w:r>
    <w:r w:rsidRPr="008B07EC">
      <w:rPr>
        <w:rStyle w:val="HideTWBExt"/>
      </w:rPr>
      <w:t>&lt;NoPE&gt;</w:t>
    </w:r>
    <w:r w:rsidRPr="008B07EC">
      <w:t>782.453</w:t>
    </w:r>
    <w:r w:rsidRPr="008B07EC">
      <w:rPr>
        <w:rStyle w:val="HideTWBExt"/>
      </w:rPr>
      <w:t>&lt;/NoPE&gt;&lt;Version&gt;</w:t>
    </w:r>
    <w:r w:rsidRPr="008B07EC">
      <w:t>v03-00</w:t>
    </w:r>
    <w:r w:rsidRPr="008B07EC">
      <w:rPr>
        <w:rStyle w:val="HideTWBExt"/>
      </w:rPr>
      <w:t>&lt;/Version&gt;</w:t>
    </w:r>
    <w:r w:rsidRPr="008B07EC">
      <w:tab/>
    </w:r>
    <w:r w:rsidRPr="008B07EC">
      <w:fldChar w:fldCharType="begin"/>
    </w:r>
    <w:r w:rsidRPr="008B07EC">
      <w:instrText xml:space="preserve"> PAGE  \* MERGEFORMAT </w:instrText>
    </w:r>
    <w:r w:rsidRPr="008B07EC">
      <w:fldChar w:fldCharType="separate"/>
    </w:r>
    <w:r w:rsidRPr="008B07EC">
      <w:rPr>
        <w:noProof/>
      </w:rPr>
      <w:t>16</w:t>
    </w:r>
    <w:r w:rsidRPr="008B07EC">
      <w:fldChar w:fldCharType="end"/>
    </w:r>
    <w:r w:rsidRPr="008B07EC">
      <w:t>/</w:t>
    </w:r>
    <w:fldSimple w:instr=" NUMPAGES  \* MERGEFORMAT ">
      <w:r w:rsidRPr="008B07EC">
        <w:rPr>
          <w:noProof/>
        </w:rPr>
        <w:t>17</w:t>
      </w:r>
    </w:fldSimple>
    <w:r w:rsidRPr="008B07EC">
      <w:tab/>
    </w:r>
    <w:r w:rsidRPr="008B07EC">
      <w:rPr>
        <w:rStyle w:val="HideTWBExt"/>
      </w:rPr>
      <w:t>&lt;PathFdR&gt;</w:t>
    </w:r>
    <w:r w:rsidRPr="008B07EC">
      <w:t>AD\1342281SK.docx</w:t>
    </w:r>
    <w:r w:rsidRPr="008B07EC">
      <w:rPr>
        <w:rStyle w:val="HideTWBExt"/>
      </w:rPr>
      <w:t>&lt;/PathFdR&gt;</w:t>
    </w:r>
  </w:p>
  <w:p w14:paraId="024AE145" w14:textId="77C4F9F3" w:rsidR="002E2F2E" w:rsidRPr="008B07EC" w:rsidRDefault="008B07EC" w:rsidP="008B07EC">
    <w:pPr>
      <w:pStyle w:val="EPFooter2"/>
    </w:pPr>
    <w:r w:rsidRPr="008B07E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D160" w14:textId="77777777" w:rsidR="008B07EC" w:rsidRPr="008B07EC" w:rsidRDefault="008B07EC" w:rsidP="008B07EC">
    <w:pPr>
      <w:pStyle w:val="EPFooter"/>
    </w:pPr>
    <w:r w:rsidRPr="008B07EC">
      <w:rPr>
        <w:rStyle w:val="HideTWBExt"/>
      </w:rPr>
      <w:t>&lt;PathFdR&gt;</w:t>
    </w:r>
    <w:r w:rsidRPr="008B07EC">
      <w:t>AD\1342281SK.docx</w:t>
    </w:r>
    <w:r w:rsidRPr="008B07EC">
      <w:rPr>
        <w:rStyle w:val="HideTWBExt"/>
      </w:rPr>
      <w:t>&lt;/PathFdR&gt;</w:t>
    </w:r>
    <w:r w:rsidRPr="008B07EC">
      <w:tab/>
    </w:r>
    <w:r w:rsidRPr="008B07EC">
      <w:fldChar w:fldCharType="begin"/>
    </w:r>
    <w:r w:rsidRPr="008B07EC">
      <w:instrText xml:space="preserve"> PAGE  \* MERGEFORMAT </w:instrText>
    </w:r>
    <w:r w:rsidRPr="008B07EC">
      <w:fldChar w:fldCharType="separate"/>
    </w:r>
    <w:r w:rsidRPr="008B07EC">
      <w:rPr>
        <w:noProof/>
      </w:rPr>
      <w:t>17</w:t>
    </w:r>
    <w:r w:rsidRPr="008B07EC">
      <w:fldChar w:fldCharType="end"/>
    </w:r>
    <w:r w:rsidRPr="008B07EC">
      <w:t>/</w:t>
    </w:r>
    <w:fldSimple w:instr=" NUMPAGES  \* MERGEFORMAT ">
      <w:r w:rsidRPr="008B07EC">
        <w:rPr>
          <w:noProof/>
        </w:rPr>
        <w:t>17</w:t>
      </w:r>
    </w:fldSimple>
    <w:r w:rsidRPr="008B07EC">
      <w:tab/>
      <w:t>PE</w:t>
    </w:r>
    <w:r w:rsidRPr="008B07EC">
      <w:rPr>
        <w:rStyle w:val="HideTWBExt"/>
      </w:rPr>
      <w:t>&lt;NoPE&gt;</w:t>
    </w:r>
    <w:r w:rsidRPr="008B07EC">
      <w:t>782.453</w:t>
    </w:r>
    <w:r w:rsidRPr="008B07EC">
      <w:rPr>
        <w:rStyle w:val="HideTWBExt"/>
      </w:rPr>
      <w:t>&lt;/NoPE&gt;&lt;Version&gt;</w:t>
    </w:r>
    <w:r w:rsidRPr="008B07EC">
      <w:t>v03-00</w:t>
    </w:r>
    <w:r w:rsidRPr="008B07EC">
      <w:rPr>
        <w:rStyle w:val="HideTWBExt"/>
      </w:rPr>
      <w:t>&lt;/Version&gt;</w:t>
    </w:r>
  </w:p>
  <w:p w14:paraId="3E3665AD" w14:textId="5D7F9FE4" w:rsidR="002E2F2E" w:rsidRPr="008B07EC" w:rsidRDefault="008B07EC" w:rsidP="008B07EC">
    <w:pPr>
      <w:pStyle w:val="EPFooter2"/>
    </w:pPr>
    <w:r w:rsidRPr="008B07EC">
      <w:tab/>
    </w:r>
    <w:r w:rsidRPr="008B07E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1C3D" w14:textId="77777777" w:rsidR="008B07EC" w:rsidRPr="008B07EC" w:rsidRDefault="008B07EC" w:rsidP="008B07EC">
    <w:pPr>
      <w:pStyle w:val="EPFooter"/>
    </w:pPr>
    <w:r w:rsidRPr="008B07EC">
      <w:rPr>
        <w:rStyle w:val="HideTWBExt"/>
      </w:rPr>
      <w:t>&lt;PathFdR&gt;</w:t>
    </w:r>
    <w:r w:rsidRPr="008B07EC">
      <w:t>AD\1342281SK.docx</w:t>
    </w:r>
    <w:r w:rsidRPr="008B07EC">
      <w:rPr>
        <w:rStyle w:val="HideTWBExt"/>
      </w:rPr>
      <w:t>&lt;/PathFdR&gt;</w:t>
    </w:r>
    <w:r w:rsidRPr="008B07EC">
      <w:tab/>
    </w:r>
    <w:r w:rsidRPr="008B07EC">
      <w:tab/>
      <w:t>PE</w:t>
    </w:r>
    <w:r w:rsidRPr="008B07EC">
      <w:rPr>
        <w:rStyle w:val="HideTWBExt"/>
      </w:rPr>
      <w:t>&lt;NoPE&gt;</w:t>
    </w:r>
    <w:r w:rsidRPr="008B07EC">
      <w:t>782.453</w:t>
    </w:r>
    <w:r w:rsidRPr="008B07EC">
      <w:rPr>
        <w:rStyle w:val="HideTWBExt"/>
      </w:rPr>
      <w:t>&lt;/NoPE&gt;&lt;Version&gt;</w:t>
    </w:r>
    <w:r w:rsidRPr="008B07EC">
      <w:t>v03-00</w:t>
    </w:r>
    <w:r w:rsidRPr="008B07EC">
      <w:rPr>
        <w:rStyle w:val="HideTWBExt"/>
      </w:rPr>
      <w:t>&lt;/Version&gt;</w:t>
    </w:r>
  </w:p>
  <w:p w14:paraId="279F15B5" w14:textId="0099CDD8" w:rsidR="002E2F2E" w:rsidRPr="008B07EC" w:rsidRDefault="008B07EC" w:rsidP="008B07EC">
    <w:pPr>
      <w:pStyle w:val="EPFooter2"/>
    </w:pPr>
    <w:r w:rsidRPr="008B07EC">
      <w:t>SK</w:t>
    </w:r>
    <w:r w:rsidRPr="008B07EC">
      <w:tab/>
    </w:r>
    <w:r w:rsidRPr="008B07EC">
      <w:rPr>
        <w:b w:val="0"/>
        <w:i/>
        <w:color w:val="C0C0C0"/>
        <w:sz w:val="22"/>
      </w:rPr>
      <w:t>Zjednotení v rozmanitosti</w:t>
    </w:r>
    <w:r w:rsidRPr="008B07EC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F063" w14:textId="77777777" w:rsidR="00E61C10" w:rsidRPr="008B07EC" w:rsidRDefault="008476E3">
      <w:r w:rsidRPr="008B07EC">
        <w:separator/>
      </w:r>
    </w:p>
  </w:footnote>
  <w:footnote w:type="continuationSeparator" w:id="0">
    <w:p w14:paraId="6118E336" w14:textId="77777777" w:rsidR="00E61C10" w:rsidRPr="008B07EC" w:rsidRDefault="008476E3">
      <w:r w:rsidRPr="008B07EC">
        <w:continuationSeparator/>
      </w:r>
    </w:p>
  </w:footnote>
  <w:footnote w:id="1">
    <w:p w14:paraId="04F61289" w14:textId="77777777" w:rsidR="00217B7E" w:rsidRPr="008B07EC" w:rsidRDefault="008476E3" w:rsidP="00217B7E">
      <w:pPr>
        <w:pStyle w:val="FootnoteText"/>
      </w:pPr>
      <w:r w:rsidRPr="008B07EC">
        <w:rPr>
          <w:rStyle w:val="FootnoteReference"/>
        </w:rPr>
        <w:footnoteRef/>
      </w:r>
      <w:r w:rsidRPr="008B07EC">
        <w:t xml:space="preserve"> Pracovný dokument útvarov Komisie z 20. apríla 2025 s názvom Priebežné hodnotenie rámcového programu pre výskum a inovácie Horizont Európa (2021 – 2024) (SWD(2025)0110).</w:t>
      </w:r>
    </w:p>
  </w:footnote>
  <w:footnote w:id="2">
    <w:p w14:paraId="6F31C219" w14:textId="40332A52" w:rsidR="00BC5686" w:rsidRPr="008B07EC" w:rsidRDefault="008476E3" w:rsidP="00BC5686">
      <w:pPr>
        <w:pStyle w:val="FootnoteText"/>
      </w:pPr>
      <w:r w:rsidRPr="008B07EC">
        <w:rPr>
          <w:rStyle w:val="FootnoteReference"/>
        </w:rPr>
        <w:footnoteRef/>
      </w:r>
      <w:r w:rsidRPr="008B07EC">
        <w:t xml:space="preserve"> Nariadenie Európskeho parlamentu a Rady (EÚ, Euratom) 2024/2509 z 23. septembra 2024 o rozpočtových pravidlách, ktoré sa vzťahujú na všeobecný rozpočet Únie (Ú. v. EÚ L, 2024/2509, ELI: </w:t>
      </w:r>
      <w:hyperlink r:id="rId1" w:tgtFrame="_blank" w:tooltip="Umožňuje prístup k tomuto dokumentu prostredníctvom identifikátora URI používaného v rámci ELI." w:history="1">
        <w:r w:rsidR="00BC5686" w:rsidRPr="008B07EC">
          <w:rPr>
            <w:rStyle w:val="Hyperlink"/>
          </w:rPr>
          <w:t>http://data.europa.eu/eli/reg/2024/2509/oj</w:t>
        </w:r>
      </w:hyperlink>
      <w:r w:rsidRPr="008B07EC">
        <w:t>).</w:t>
      </w:r>
    </w:p>
    <w:p w14:paraId="62F018FD" w14:textId="77777777" w:rsidR="00BC5686" w:rsidRPr="008B07EC" w:rsidRDefault="00BC5686">
      <w:pPr>
        <w:pStyle w:val="FootnoteText"/>
      </w:pPr>
    </w:p>
  </w:footnote>
  <w:footnote w:id="3">
    <w:p w14:paraId="2FFB8EEF" w14:textId="30BB1947" w:rsidR="00017014" w:rsidRPr="008B07EC" w:rsidRDefault="008476E3" w:rsidP="00017014">
      <w:pPr>
        <w:pStyle w:val="FootnoteText"/>
      </w:pPr>
      <w:r w:rsidRPr="008B07EC">
        <w:rPr>
          <w:rStyle w:val="FootnoteReference"/>
        </w:rPr>
        <w:footnoteRef/>
      </w:r>
      <w:r w:rsidRPr="008B07EC">
        <w:t xml:space="preserve"> Medziinštitucionálna dohoda z 20. mája 2021 medzi Európskym parlamentom, Radou Európskej únie a Európskou komisiou o povinnom registri transparentnosti (Ú. v. EÚ L 207, 11.6.2021, s. 1, ELI: </w:t>
      </w:r>
      <w:hyperlink r:id="rId2" w:tooltip="http://data.europa.eu/eli/agree_interinstit/2021/611/oj" w:history="1">
        <w:r w:rsidR="00017014" w:rsidRPr="008B07EC">
          <w:rPr>
            <w:rStyle w:val="Hyperlink"/>
          </w:rPr>
          <w:t>http://data.europa.eu/eli/agree_interinstit/2021/611/oj</w:t>
        </w:r>
      </w:hyperlink>
      <w:r w:rsidRPr="008B07E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1207" w14:textId="77777777" w:rsidR="008476E3" w:rsidRDefault="008476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8DC8" w14:textId="77777777" w:rsidR="008476E3" w:rsidRDefault="008476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AB7F" w14:textId="77777777" w:rsidR="008476E3" w:rsidRDefault="008476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13283C"/>
    <w:multiLevelType w:val="hybridMultilevel"/>
    <w:tmpl w:val="5B46F140"/>
    <w:lvl w:ilvl="0" w:tplc="7AF6B942">
      <w:start w:val="1"/>
      <w:numFmt w:val="decimal"/>
      <w:lvlText w:val="%1."/>
      <w:lvlJc w:val="left"/>
      <w:pPr>
        <w:ind w:left="1080" w:hanging="720"/>
      </w:pPr>
    </w:lvl>
    <w:lvl w:ilvl="1" w:tplc="9F10A066">
      <w:start w:val="1"/>
      <w:numFmt w:val="lowerLetter"/>
      <w:lvlText w:val="%2."/>
      <w:lvlJc w:val="left"/>
      <w:pPr>
        <w:ind w:left="1440" w:hanging="360"/>
      </w:pPr>
    </w:lvl>
    <w:lvl w:ilvl="2" w:tplc="E42CE68C">
      <w:start w:val="1"/>
      <w:numFmt w:val="lowerRoman"/>
      <w:lvlText w:val="%3."/>
      <w:lvlJc w:val="right"/>
      <w:pPr>
        <w:ind w:left="2160" w:hanging="180"/>
      </w:pPr>
    </w:lvl>
    <w:lvl w:ilvl="3" w:tplc="4F3281D4">
      <w:start w:val="1"/>
      <w:numFmt w:val="decimal"/>
      <w:lvlText w:val="%4."/>
      <w:lvlJc w:val="left"/>
      <w:pPr>
        <w:ind w:left="2880" w:hanging="360"/>
      </w:pPr>
    </w:lvl>
    <w:lvl w:ilvl="4" w:tplc="0D0E3174">
      <w:start w:val="1"/>
      <w:numFmt w:val="lowerLetter"/>
      <w:lvlText w:val="%5."/>
      <w:lvlJc w:val="left"/>
      <w:pPr>
        <w:ind w:left="3600" w:hanging="360"/>
      </w:pPr>
    </w:lvl>
    <w:lvl w:ilvl="5" w:tplc="88EEB056">
      <w:start w:val="1"/>
      <w:numFmt w:val="lowerRoman"/>
      <w:lvlText w:val="%6."/>
      <w:lvlJc w:val="right"/>
      <w:pPr>
        <w:ind w:left="4320" w:hanging="180"/>
      </w:pPr>
    </w:lvl>
    <w:lvl w:ilvl="6" w:tplc="473C3E2C">
      <w:start w:val="1"/>
      <w:numFmt w:val="decimal"/>
      <w:lvlText w:val="%7."/>
      <w:lvlJc w:val="left"/>
      <w:pPr>
        <w:ind w:left="5040" w:hanging="360"/>
      </w:pPr>
    </w:lvl>
    <w:lvl w:ilvl="7" w:tplc="78E0951C">
      <w:start w:val="1"/>
      <w:numFmt w:val="lowerLetter"/>
      <w:lvlText w:val="%8."/>
      <w:lvlJc w:val="left"/>
      <w:pPr>
        <w:ind w:left="5760" w:hanging="360"/>
      </w:pPr>
    </w:lvl>
    <w:lvl w:ilvl="8" w:tplc="DB4ED9E6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813154">
    <w:abstractNumId w:val="9"/>
  </w:num>
  <w:num w:numId="2" w16cid:durableId="2063093858">
    <w:abstractNumId w:val="9"/>
  </w:num>
  <w:num w:numId="3" w16cid:durableId="361172421">
    <w:abstractNumId w:val="7"/>
  </w:num>
  <w:num w:numId="4" w16cid:durableId="1058170178">
    <w:abstractNumId w:val="7"/>
  </w:num>
  <w:num w:numId="5" w16cid:durableId="762412137">
    <w:abstractNumId w:val="6"/>
  </w:num>
  <w:num w:numId="6" w16cid:durableId="1160076576">
    <w:abstractNumId w:val="6"/>
  </w:num>
  <w:num w:numId="7" w16cid:durableId="1498111345">
    <w:abstractNumId w:val="5"/>
  </w:num>
  <w:num w:numId="8" w16cid:durableId="1460683345">
    <w:abstractNumId w:val="5"/>
  </w:num>
  <w:num w:numId="9" w16cid:durableId="410003738">
    <w:abstractNumId w:val="4"/>
  </w:num>
  <w:num w:numId="10" w16cid:durableId="1726365935">
    <w:abstractNumId w:val="4"/>
  </w:num>
  <w:num w:numId="11" w16cid:durableId="328140655">
    <w:abstractNumId w:val="8"/>
  </w:num>
  <w:num w:numId="12" w16cid:durableId="1170947739">
    <w:abstractNumId w:val="8"/>
  </w:num>
  <w:num w:numId="13" w16cid:durableId="474568266">
    <w:abstractNumId w:val="3"/>
  </w:num>
  <w:num w:numId="14" w16cid:durableId="1462729716">
    <w:abstractNumId w:val="3"/>
  </w:num>
  <w:num w:numId="15" w16cid:durableId="1651712676">
    <w:abstractNumId w:val="2"/>
  </w:num>
  <w:num w:numId="16" w16cid:durableId="207960257">
    <w:abstractNumId w:val="2"/>
  </w:num>
  <w:num w:numId="17" w16cid:durableId="840856509">
    <w:abstractNumId w:val="1"/>
  </w:num>
  <w:num w:numId="18" w16cid:durableId="1568147373">
    <w:abstractNumId w:val="1"/>
  </w:num>
  <w:num w:numId="19" w16cid:durableId="1116365068">
    <w:abstractNumId w:val="0"/>
  </w:num>
  <w:num w:numId="20" w16cid:durableId="1814253980">
    <w:abstractNumId w:val="0"/>
  </w:num>
  <w:num w:numId="21" w16cid:durableId="566452779">
    <w:abstractNumId w:val="9"/>
  </w:num>
  <w:num w:numId="22" w16cid:durableId="1677267131">
    <w:abstractNumId w:val="7"/>
  </w:num>
  <w:num w:numId="23" w16cid:durableId="1031299402">
    <w:abstractNumId w:val="6"/>
  </w:num>
  <w:num w:numId="24" w16cid:durableId="372849107">
    <w:abstractNumId w:val="5"/>
  </w:num>
  <w:num w:numId="25" w16cid:durableId="1909460531">
    <w:abstractNumId w:val="4"/>
  </w:num>
  <w:num w:numId="26" w16cid:durableId="1494368115">
    <w:abstractNumId w:val="8"/>
  </w:num>
  <w:num w:numId="27" w16cid:durableId="1745910525">
    <w:abstractNumId w:val="3"/>
  </w:num>
  <w:num w:numId="28" w16cid:durableId="1362584610">
    <w:abstractNumId w:val="2"/>
  </w:num>
  <w:num w:numId="29" w16cid:durableId="1495027880">
    <w:abstractNumId w:val="1"/>
  </w:num>
  <w:num w:numId="30" w16cid:durableId="1793591395">
    <w:abstractNumId w:val="0"/>
  </w:num>
  <w:num w:numId="31" w16cid:durableId="397827717">
    <w:abstractNumId w:val="9"/>
  </w:num>
  <w:num w:numId="32" w16cid:durableId="301273040">
    <w:abstractNumId w:val="7"/>
  </w:num>
  <w:num w:numId="33" w16cid:durableId="1726218674">
    <w:abstractNumId w:val="6"/>
  </w:num>
  <w:num w:numId="34" w16cid:durableId="129791181">
    <w:abstractNumId w:val="5"/>
  </w:num>
  <w:num w:numId="35" w16cid:durableId="1382442453">
    <w:abstractNumId w:val="4"/>
  </w:num>
  <w:num w:numId="36" w16cid:durableId="1605922271">
    <w:abstractNumId w:val="8"/>
  </w:num>
  <w:num w:numId="37" w16cid:durableId="1559628368">
    <w:abstractNumId w:val="3"/>
  </w:num>
  <w:num w:numId="38" w16cid:durableId="1839420671">
    <w:abstractNumId w:val="2"/>
  </w:num>
  <w:num w:numId="39" w16cid:durableId="1831142025">
    <w:abstractNumId w:val="1"/>
  </w:num>
  <w:num w:numId="40" w16cid:durableId="54477856">
    <w:abstractNumId w:val="0"/>
  </w:num>
  <w:num w:numId="41" w16cid:durableId="488139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UTHORMFMNU" w:val=" 1"/>
    <w:docVar w:name="CJMNU" w:val="1"/>
    <w:docVar w:name="CODEMNU" w:val=" 3"/>
    <w:docVar w:name="COM2KEY" w:val="ITRE"/>
    <w:docVar w:name="COMKEY" w:val="BUDG"/>
    <w:docVar w:name="CONTRIBUTIONMNU" w:val=" 1"/>
    <w:docVar w:name="CopyToNetwork" w:val="-1"/>
    <w:docVar w:name="DOCDT" w:val="19/03/2026"/>
    <w:docVar w:name="FONCTION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734988 HideTWBExt;}{\*\cs18 \additive \v\f1\fs20\cf15 _x000d__x000a_\spriority0 \styrsid16734988 HideTWBInt;}{\s19\ql \li0\ri0\nowidctlpar\wrapdefault\aspalpha\aspnum\faauto\adjustright\rin0\lin0\itap0 \rtlch\fcs1 \af0\afs20\alang1025 \ltrch\fcs0 \b\fs24\lang2057\langfe2057\cgrid\langnp2057\langfenp2057 _x000d__x000a_\sbasedon0 \snext19 \spriority0 \styrsid16734988 NormalBold;}{\s20\ql \li0\ri0\sa120\nowidctlpar\wrapdefault\aspalpha\aspnum\faauto\adjustright\rin0\lin0\itap0 \rtlch\fcs1 \af0\afs20\alang1025 \ltrch\fcs0 _x000d__x000a_\fs24\lang2057\langfe2057\cgrid\langnp2057\langfenp2057 \sbasedon0 \snext20 \spriority0 \styrsid16734988 Normal6a;}{\s21\qc \li0\ri0\sa240\nowidctlpar\wrapdefault\aspalpha\aspnum\faauto\adjustright\rin0\lin0\itap0 \rtlch\fcs1 \af0\afs20\alang1025 _x000d__x000a_\ltrch\fcs0 \i\fs24\lang2057\langfe2057\cgrid\langnp2057\langfenp2057 \sbasedon0 \snext21 \spriority0 \styrsid16734988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16734988 AmNumberTabs;}{\s23\ql \li0\ri0\sa240\nowidctlpar\wrapdefault\aspalpha\aspnum\faauto\adjustright\rin0\lin0\itap0 \rtlch\fcs1 _x000d__x000a_\af0\afs20\alang1025 \ltrch\fcs0 \i\fs24\lang2057\langfe2057\cgrid\langnp2057\langfenp2057 \sbasedon0 \snext23 \spriority0 \styrsid16734988 AmJustText;}{_x000d__x000a_\s24\qc \li0\ri0\sb240\sa240\nowidctlpar\wrapdefault\aspalpha\aspnum\faauto\adjustright\rin0\lin0\itap0 \rtlch\fcs1 \af0\afs20\alang1025 \ltrch\fcs0 \i\fs24\lang2057\langfe2057\cgrid\langnp2057\langfenp2057 _x000d__x000a_\sbasedon0 \snext24 \spriority0 \styrsid16734988 AmCrossRef;}{\s25\qc \li0\ri0\sb240\sa240\keepn\nowidctlpar\wrapdefault\aspalpha\aspnum\faauto\adjustright\rin0\lin0\itap0 \rtlch\fcs1 \af0\afs20\alang1025 \ltrch\fcs0 _x000d__x000a_\i\fs24\lang2057\langfe2057\cgrid\langnp2057\langfenp2057 \sbasedon0 \snext23 \spriority0 \styrsid16734988 AmJustTitle;}{\s26\ql \li0\ri0\sb240\nowidctlpar\wrapdefault\aspalpha\aspnum\faauto\adjustright\rin0\lin0\itap0 \rtlch\fcs1 \af0\afs20\alang1025 _x000d__x000a_\ltrch\fcs0 \b\fs24\lang2057\langfe2057\cgrid\langnp2057\langfenp2057 \sbasedon0 \snext26 \spriority0 \styrsid16734988 NormalBold12b;}}{\*\rsidtbl \rsid24658\rsid223860\rsid735077\rsid1718133\rsid2892074\rsid3565327\rsid4666813\rsid6641733\rsid7823322_x000d__x000a_\rsid8456582\rsid9636012\rsid10377208\rsid11215221\rsid11549030\rsid12154954\rsid13179141\rsid14382809\rsid14424199\rsid15204470\rsid15285974\rsid15950462\rsid16324206\rsid16662270\rsid16734988}{\mmathPr\mmathFont34\mbrkBin0\mbrkBinSub0\msmallFrac0_x000d__x000a_\mdispDef1\mlMargin0\mrMargin0\mdefJc1\mwrapIndent1440\mintLim0\mnaryLim1}{\info{\author ANDRINO TIZON Rosalina}{\operator ANDRINO TIZON Rosalina}{\creatim\yr2026\mo4\dy23\hr7\min51}{\revtim\yr2026\mo4\dy23\hr7\min51}{\version1}{\edmins0}{\nofpages1}_x000d__x000a_{\nofwords102}{\nofchars599}{\nofcharsws696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73498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andrin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4565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4565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4565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4565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7366698 \rtlch\fcs1 _x000d__x000a_\af0\afs20\alang1025 \ltrch\fcs0 \b\fs24\lang2057\langfe2057\cgrid\langnp2057\langfenp2057 {\rtlch\fcs1 \af0 \ltrch\fcs0 \cs17\b0\v\fs20\cf9\lang1024\langfe1024\loch\af1\hich\af1\dbch\af31501\noproof\insrsid16734988\charrsid10037553 {\*\bkmkstart restart}_x000d__x000a_\hich\af1\dbch\af31501\loch\f1 &lt;Amend&gt;}{\rtlch\fcs1 \af0 \ltrch\fcs0 \insrsid16734988\charrsid10037553 Amendment\tab \tab }{\rtlch\fcs1 \af0 \ltrch\fcs0 _x000d__x000a_\cs17\b0\v\fs20\cf9\lang1024\langfe1024\loch\af1\hich\af1\dbch\af31501\noproof\insrsid16734988\charrsid10037553 \hich\af1\dbch\af31501\loch\f1 &lt;NumAm&gt;}{\rtlch\fcs1 \af0 \ltrch\fcs0 \insrsid16734988\charrsid10037553 #}{\rtlch\fcs1 \af0 \ltrch\fcs0 _x000d__x000a_\cs18\v\f1\fs20\cf15\insrsid16734988\charrsid10037553 ENMIENDA@NRAM@}{\rtlch\fcs1 \af0 \ltrch\fcs0 \insrsid16734988\charrsid10037553 #}{\rtlch\fcs1 \af0 \ltrch\fcs0 _x000d__x000a_\cs17\b0\v\fs20\cf9\lang1024\langfe1024\loch\af1\hich\af1\dbch\af31501\noproof\insrsid16734988\charrsid10037553 \hich\af1\dbch\af31501\loch\f1 &lt;/NumAm&gt;}{\rtlch\fcs1 \af0 \ltrch\fcs0 \insrsid16734988\charrsid10037553 _x000d__x000a_\par }\pard\plain \ltrpar\s26\ql \li0\ri0\sb240\keepn\nowidctlpar\wrapdefault\aspalpha\aspnum\faauto\adjustright\rin0\lin0\itap0\pararsid7366698 \rtlch\fcs1 \af0\afs20\alang1025 \ltrch\fcs0 \b\fs24\lang2057\langfe2057\cgrid\langnp2057\langfenp2057 {_x000d__x000a_\rtlch\fcs1 \af0 \ltrch\fcs0 \cs17\b0\v\fs20\cf9\lang1024\langfe1024\loch\af1\hich\af1\dbch\af31501\noproof\insrsid16734988\charrsid10037553 \hich\af1\dbch\af31501\loch\f1 &lt;DocAmend&gt;}{\rtlch\fcs1 \af0 \ltrch\fcs0 \insrsid16734988\charrsid10037553 #}{_x000d__x000a_\rtlch\fcs1 \af0 \ltrch\fcs0 \cs18\v\f1\fs20\cf15\insrsid16734988\charrsid10037553 MNU[PROPCOM][PROPCOUNC]@CHOICE@TITLEMNU}{\rtlch\fcs1 \af0 \ltrch\fcs0 \insrsid16734988\charrsid10037553 ##}{\rtlch\fcs1 \af0 \ltrch\fcs0 _x000d__x000a_\cs18\v\f1\fs20\cf15\insrsid16734988\charrsid10037553 MNU[AMACTYES][NOTAPP]@CHOICE@AMACTMNU}{\rtlch\fcs1 \af0 \ltrch\fcs0 \insrsid16734988\charrsid10037553 #}{\rtlch\fcs1 \af0 \ltrch\fcs0 _x000d__x000a_\cs17\b0\v\fs20\cf9\lang1024\langfe1024\loch\af1\hich\af1\dbch\af31501\noproof\insrsid16734988\charrsid10037553 \hich\af1\dbch\af31501\loch\f1 &lt;/DocAmend&gt;}{\rtlch\fcs1 \af0 \ltrch\fcs0 \insrsid16734988\charrsid10037553 _x000d__x000a_\par }\pard\plain \ltrpar\s19\ql \li0\ri0\nowidctlpar\wrapdefault\aspalpha\aspnum\faauto\adjustright\rin0\lin0\itap0\pararsid7366698 \rtlch\fcs1 \af0\afs20\alang1025 \ltrch\fcs0 \b\fs24\lang2057\langfe2057\cgrid\langnp2057\langfenp2057 {\rtlch\fcs1 \af0 _x000d__x000a_\ltrch\fcs0 \cs17\b0\v\fs20\cf9\lang1024\langfe1024\loch\af1\hich\af1\dbch\af31501\noproof\insrsid16734988\charrsid10037553 \hich\af1\dbch\af31501\loch\f1 &lt;Article&gt;}{\rtlch\fcs1 \af0 \ltrch\fcs0 \insrsid16734988\charrsid10037553 #}{\rtlch\fcs1 \af0 _x000d__x000a_\ltrch\fcs0 \cs18\v\f1\fs20\cf15\insrsid16734988\charrsid10037553 MNU[AMACTPARTYES][AMACTPARTNO]@CHOICE@AMACTMNU}{\rtlch\fcs1 \af0 \ltrch\fcs0 \insrsid16734988\charrsid10037553 #}{\rtlch\fcs1 \af0 \ltrch\fcs0 _x000d__x000a_\cs17\b0\v\fs20\cf9\lang1024\langfe1024\loch\af1\hich\af1\dbch\af31501\noproof\insrsid16734988\charrsid10037553 \hich\af1\dbch\af31501\loch\f1 &lt;/Article&gt;}{\rtlch\fcs1 \af0 \ltrch\fcs0 \insrsid16734988\charrsid10037553 _x000d__x000a_\par }\pard\plain \ltrpar\ql \li0\ri0\keepn\widctlpar\wrapdefault\aspalpha\aspnum\faauto\adjustright\rin0\lin0\itap0\pararsid7366698 \rtlch\fcs1 \af0\afs20\alang1025 \ltrch\fcs0 \fs24\lang2057\langfe2057\cgrid\langnp2057\langfenp2057 {\rtlch\fcs1 \af0 _x000d__x000a_\ltrch\fcs0 \cs17\v\fs20\cf9\lang1024\langfe1024\loch\af1\hich\af1\dbch\af31501\noproof\insrsid16734988\charrsid10037553 \hich\af1\dbch\af31501\loch\f1 &lt;DocAmend2&gt;&lt;OptDel&gt;}{\rtlch\fcs1 \af0 \ltrch\fcs0 \insrsid16734988\charrsid10037553 #}{\rtlch\fcs1 _x000d__x000a_\af0 \ltrch\fcs0 \cs18\v\f1\fs20\cf15\insrsid16734988\charrsid10037553 MNU[OPTNRACTYES][NOTAPP]@CHOICE@AMACTMNU}{\rtlch\fcs1 \af0 \ltrch\fcs0 \insrsid16734988\charrsid10037553 #}{\rtlch\fcs1 \af0 \ltrch\fcs0 _x000d__x000a_\cs17\v\fs20\cf9\lang1024\langfe1024\loch\af1\hich\af1\dbch\af31501\noproof\insrsid16734988\charrsid10037553 \hich\af1\dbch\af31501\loch\f1 &lt;/OptDel&gt;&lt;/DocAmend2&gt;}{\rtlch\fcs1 \af0 \ltrch\fcs0 \insrsid16734988\charrsid10037553 _x000d__x000a_\par }\pard \ltrpar\ql \li0\ri0\widctlpar\wrapdefault\aspalpha\aspnum\faauto\adjustright\rin0\lin0\itap0\pararsid7366698 {\rtlch\fcs1 \af0 \ltrch\fcs0 \cs17\v\fs20\cf9\lang1024\langfe1024\loch\af1\hich\af1\dbch\af31501\noproof\insrsid16734988\charrsid10037553 _x000d__x000a_\hich\af1\dbch\af31501\loch\f1 &lt;Article2&gt;&lt;OptDel&gt;}{\rtlch\fcs1 \af0 \ltrch\fcs0 \insrsid16734988\charrsid10037553 #}{\rtlch\fcs1 \af0 \ltrch\fcs0 \cs18\v\f1\fs20\cf15\insrsid16734988\charrsid10037553 MNU[OPTACTPARTYES][NOTAPP]@CHOICE@AMACTMNU}{_x000d__x000a_\rtlch\fcs1 \af0 \ltrch\fcs0 \insrsid16734988\charrsid10037553 #}{\rtlch\fcs1 \af0 \ltrch\fcs0 \cs17\v\fs20\cf9\lang1024\langfe1024\loch\af1\hich\af1\dbch\af31501\noproof\insrsid16734988\charrsid10037553 \hich\af1\dbch\af31501\loch\f1 &lt;/OptDel&gt;&lt;/Article2&gt;_x000d__x000a_}{\rtlch\fcs1 \af0 \ltrch\fcs0 \insrsid16734988\charrsid10037553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insrsid16734988\charrsid10037553 \cell }\pard \ltrpar\ql \li0\ri0\widctlpar\intbl\wrapdefault\aspalpha\aspnum\faauto\adjustright\rin0\lin0 {\rtlch\fcs1 \af0 \ltrch\fcs0 \insrsid16734988\charrsid1003755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1\qc \li0\ri0\sa240\keepn\nowidctlpar\intbl\wrapdefault\aspalpha\aspnum\faauto\adjustright\rin0\lin0\pararsid11085200 \rtlch\fcs1 \af0\afs20\alang1025 \ltrch\fcs0 \i\fs24\lang2057\langfe2057\cgrid\langnp2057\langfenp2057 {_x000d__x000a_\rtlch\fcs1 \af0 \ltrch\fcs0 \insrsid16734988\charrsid10037553 #}{\rtlch\fcs1 \af0 \ltrch\fcs0 \cs18\v\f1\fs20\cf15\insrsid16734988\charrsid10037553 MNU[OPTLEFTAMACT][LEFTPROP]@CHOICE@AMACTMNU}{\rtlch\fcs1 \af0 \ltrch\fcs0 _x000d__x000a_\insrsid16734988\charrsid10037553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734988\charrsid1003755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20\ql \li0\ri0\sa120\nowidctlpar\intbl\wrapdefault\aspalpha\aspnum\faauto\adjustright\rin0\lin0\pararsid11085200 \rtlch\fcs1 \af0\afs20\alang1025 \ltrch\fcs0 \fs24\lang2057\langfe2057\cgrid\langnp2057\langfenp2057 {\rtlch\fcs1 \af0 _x000d__x000a_\ltrch\fcs0 \insrsid16734988\charrsid10037553 #}{\rtlch\fcs1 \af0 \ltrch\fcs0 \cs18\v\f1\fs20\cf15\insrsid16734988\charrsid10037553 MNU[TEXTLEVA][TEXTLOTHER]@CHOICE@TEXTRMNU}{\rtlch\fcs1 \af0 \ltrch\fcs0 \insrsid16734988\charrsid10037553 #\cell #}{_x000d__x000a_\rtlch\fcs1 \af0 \ltrch\fcs0 \cs18\v\f1\fs20\cf15\insrsid16734988\charrsid10037553 MNU[TEXTREVA][TEXTROTHER]@CHOICE@TEXTRMNU}{\rtlch\fcs1 \af0 \ltrch\fcs0 \insrsid16734988\charrsid10037553 #\cell }\pard\plain \ltrpar_x000d__x000a_\ql \li0\ri0\widctlpar\intbl\wrapdefault\aspalpha\aspnum\faauto\adjustright\rin0\lin0 \rtlch\fcs1 \af0\afs20\alang1025 \ltrch\fcs0 \fs24\lang2057\langfe2057\cgrid\langnp2057\langfenp2057 {\rtlch\fcs1 \af0 \ltrch\fcs0 \insrsid16734988\charrsid10037553 _x000d__x000a_\trowd \lastrow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4876\clshdrawnil\clhidemark \cellx4536\clvertalt\clbrdrt\brdrtbl \clbrdrl\brdrtbl \clbrdrb\brdrtbl \clbrdrr\brdrtbl \cltxlrtb\clftsWidth3\clwWidth4876\clshdrawnil\clhidemark _x000d__x000a_\cellx9412\row }\pard\plain \ltrpar\s24\qc \li0\ri0\sb240\sa240\nowidctlpar\wrapdefault\aspalpha\aspnum\faauto\adjustright\rin0\lin0\itap0\pararsid7366698 \rtlch\fcs1 \af0\afs20\alang1025 \ltrch\fcs0 _x000d__x000a_\i\fs24\lang2057\langfe2057\cgrid\langnp2057\langfenp2057 {\rtlch\fcs1 \af0 \ltrch\fcs0 \cs17\i0\v\fs20\cf9\lang1024\langfe1024\loch\af1\hich\af1\dbch\af31501\noproof\insrsid16734988\charrsid10037553 \hich\af1\dbch\af31501\loch\f1 &lt;OptDel&gt;}{\rtlch\fcs1 _x000d__x000a_\af0 \ltrch\fcs0 \insrsid16734988\charrsid10037553 #}{\rtlch\fcs1 \af0 \ltrch\fcs0 \cs18\v\f1\fs20\cf15\insrsid16734988\charrsid10037553 MNU[CROSSREFNO][CROSSREFYES]@CHOICE@}{\rtlch\fcs1 \af0 \ltrch\fcs0 \insrsid16734988\charrsid10037553 #}{\rtlch\fcs1 _x000d__x000a_\af0 \ltrch\fcs0 \cs17\i0\v\fs20\cf9\lang1024\langfe1024\loch\af1\hich\af1\dbch\af31501\noproof\insrsid16734988\charrsid10037553 \hich\af1\dbch\af31501\loch\f1 &lt;/OptDel&gt;}{\rtlch\fcs1 \af0 \ltrch\fcs0 \insrsid16734988\charrsid10037553 _x000d__x000a_\par }\pard\plain \ltrpar\s25\qc \li0\ri0\sb240\sa240\keepn\nowidctlpar\wrapdefault\aspalpha\aspnum\faauto\adjustright\rin0\lin0\itap0\pararsid7366698 \rtlch\fcs1 \af0\afs20\alang1025 \ltrch\fcs0 \i\fs24\lang2057\langfe2057\cgrid\langnp2057\langfenp2057 {_x000d__x000a_\rtlch\fcs1 \af0 \ltrch\fcs0 \cs17\i0\v\fs20\cf9\lang1024\langfe1024\loch\af1\hich\af1\dbch\af31501\noproof\insrsid16734988\charrsid10037553 \hich\af1\dbch\af31501\loch\f1 &lt;TitreJust&gt;}{\rtlch\fcs1 \af0 \ltrch\fcs0 \insrsid16734988\charrsid10037553 _x000d__x000a_Justification}{\rtlch\fcs1 \af0 \ltrch\fcs0 \cs17\i0\v\fs20\cf9\lang1024\langfe1024\loch\af1\hich\af1\dbch\af31501\noproof\insrsid16734988\charrsid10037553 \hich\af1\dbch\af31501\loch\f1 &lt;/TitreJust&gt;}{\rtlch\fcs1 \af0 \ltrch\fcs0 _x000d__x000a_\insrsid16734988\charrsid10037553 _x000d__x000a_\par }\pard\plain \ltrpar\s23\ql \li0\ri0\sa240\nowidctlpar\wrapdefault\aspalpha\aspnum\faauto\adjustright\rin0\lin0\itap0\pararsid7366698 \rtlch\fcs1 \af0\afs20\alang1025 \ltrch\fcs0 \i\fs24\lang2057\langfe2057\cgrid\langnp2057\langfenp2057 {\rtlch\fcs1 \af0 _x000d__x000a_\ltrch\fcs0 \cs17\i0\v\fs20\cf9\lang1024\langfe1024\loch\af1\hich\af1\dbch\af31501\noproof\insrsid16734988\charrsid10037553 \hich\af1\dbch\af31501\loch\f1 &lt;OptDelPrev&gt;}{\rtlch\fcs1 \af0 \ltrch\fcs0 \insrsid16734988\charrsid10037553 #}{\rtlch\fcs1 \af0 _x000d__x000a_\ltrch\fcs0 \cs18\v\f1\fs20\cf15\insrsid16734988\charrsid10037553 MNU[TEXTJUSTYES][TEXTJUSTNO]@CHOICE@}{\rtlch\fcs1 \af0 \ltrch\fcs0 \insrsid16734988\charrsid10037553 #}{\rtlch\fcs1 \af0 \ltrch\fcs0 _x000d__x000a_\cs17\i0\v\fs20\cf9\lang1024\langfe1024\loch\af1\hich\af1\dbch\af31501\noproof\insrsid16734988\charrsid10037553 \hich\af1\dbch\af31501\loch\f1 &lt;/OptDelPrev&gt;}{\rtlch\fcs1 \af0 \ltrch\fcs0 \insrsid16734988\charrsid10037553 _x000d__x000a_\par }\pard\plain \ltrpar\ql \li0\ri0\widctlpar\wrapdefault\aspalpha\aspnum\faauto\adjustright\rin0\lin0\itap0\pararsid7366698 \rtlch\fcs1 \af0\afs20\alang1025 \ltrch\fcs0 \fs24\lang2057\langfe2057\cgrid\langnp2057\langfenp2057 {\rtlch\fcs1 \af0 \ltrch\fcs0 _x000d__x000a_\cs17\v\fs20\cf9\lang1024\langfe1024\loch\af1\hich\af1\dbch\af31501\noproof\insrsid16734988\charrsid10037553 \hich\af1\dbch\af31501\loch\f1 &lt;/Amend&gt;}{\rtlch\fcs1 \af0 \ltrch\fcs0 \insrsid16734988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74410 HideTWBExt;}{_x000d__x000a_\s18\ql \li0\ri0\nowidctlpar\wrapdefault\aspalpha\aspnum\faauto\adjustright\rin0\lin0\itap0 \rtlch\fcs1 \af0\afs20\alang1025 \ltrch\fcs0 \b\fs24\lang2057\langfe2057\cgrid\langnp2057\langfenp2057 \sbasedon0 \snext18 \spriority0 \styrsid4074410 NormalBold;}_x000d__x000a_{\s19\ql \li0\ri0\sa120\nowidctlpar\wrapdefault\aspalpha\aspnum\faauto\adjustright\rin0\lin0\itap0 \rtlch\fcs1 \af0\afs20\alang1025 \ltrch\fcs0 \fs24\lang2057\langfe2057\cgrid\langnp2057\langfenp2057 \sbasedon0 \snext19 \spriority0 \styrsid4074410 _x000d__x000a_Normal6a;}{\s20\qc \li0\ri0\sa240\nowidctlpar\wrapdefault\aspalpha\aspnum\faauto\adjustright\rin0\lin0\itap0 \rtlch\fcs1 \af0\afs20\alang1025 \ltrch\fcs0 \i\fs24\lang2057\langfe2057\cgrid\langnp2057\langfenp2057 _x000d__x000a_\sbasedon0 \snext20 \spriority0 \styrsid4074410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4074410 AmNumberTabs;}{\s22\ql \li0\ri0\sa240\nowidctlpar\wrapdefault\aspalpha\aspnum\faauto\adjustright\rin0\lin0\itap0 \rtlch\fcs1 _x000d__x000a_\af0\afs20\alang1025 \ltrch\fcs0 \i\fs24\lang2057\langfe2057\cgrid\langnp2057\langfenp2057 \sbasedon0 \snext22 \spriority0 \styrsid4074410 AmJustText;}{_x000d__x000a_\s23\qc \li0\ri0\sb240\sa240\nowidctlpar\wrapdefault\aspalpha\aspnum\faauto\adjustright\rin0\lin0\itap0 \rtlch\fcs1 \af0\afs20\alang1025 \ltrch\fcs0 \i\fs24\lang2057\langfe2057\cgrid\langnp2057\langfenp2057 \sbasedon0 \snext23 \spriority0 \styrsid4074410 _x000d__x000a_AmCrossRef;}{\s24\qc \li0\ri0\sb240\sa240\keepn\nowidctlpar\wrapdefault\aspalpha\aspnum\faauto\adjustright\rin0\lin0\itap0 \rtlch\fcs1 \af0\afs20\alang1025 \ltrch\fcs0 \i\fs24\lang2057\langfe2057\cgrid\langnp2057\langfenp2057 _x000d__x000a_\sbasedon0 \snext22 \spriority0 \styrsid4074410 AmJustTitle;}{\s25\ql \li0\ri0\sb240\nowidctlpar\wrapdefault\aspalpha\aspnum\faauto\adjustright\rin0\lin0\itap0 \rtlch\fcs1 \af0\afs20\alang1025 \ltrch\fcs0 _x000d__x000a_\b\fs24\lang2057\langfe2057\cgrid\langnp2057\langfenp2057 \sbasedon0 \snext25 \spriority0 \styrsid4074410 NormalBold12b;}}{\*\rsidtbl \rsid24658\rsid223860\rsid735077\rsid1718133\rsid2892074\rsid3565327\rsid4074410\rsid4666813\rsid6641733\rsid7823322_x000d__x000a_\rsid9636012\rsid10377208\rsid10767733\rsid11215221\rsid11549030\rsid12154954\rsid13179141\rsid14382809\rsid14424199\rsid15204470\rsid15285974\rsid15950462\rsid16324206\rsid16662270}{\mmathPr\mmathFont34\mbrkBin0\mbrkBinSub0\msmallFrac0\mdispDef1_x000d__x000a_\mlMargin0\mrMargin0\mdefJc1\mwrapIndent1440\mintLim0\mnaryLim1}{\info{\author ANDRINO TIZON Rosalina}{\operator ANDRINO TIZON Rosalina}{\creatim\yr2026\mo4\dy23\hr7\min51}{\revtim\yr2026\mo4\dy23\hr7\min51}{\version1}{\edmins0}{\nofpages1}{\nofwords53}_x000d__x000a_{\nofchars314}{\nofcharsws365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7441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andrin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77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77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77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77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6293919 \rtlch\fcs1 _x000d__x000a_\af0\afs20\alang1025 \ltrch\fcs0 \b\fs24\lang2057\langfe2057\cgrid\langnp2057\langfenp2057 {\rtlch\fcs1 \af0 \ltrch\fcs0 \cs17\b0\v\fs20\cf9\lang1024\langfe1024\loch\af1\hich\af1\dbch\af31501\noproof\langnp1030\insrsid4074410 {\*\bkmkstart restart}_x000d__x000a_\hich\af1\dbch\af31501\loch\f1 &lt;Amend&gt;}{\rtlch\fcs1 \af0 \ltrch\fcs0 \lang1030\langfe2057\langnp1030\insrsid4074410 [ZAMENDMENT]\tab \tab }{\rtlch\fcs1 \af0 \ltrch\fcs0 _x000d__x000a_\cs17\b0\v\fs20\cf9\lang1024\langfe1024\loch\af1\hich\af1\dbch\af31501\noproof\langnp1030\insrsid4074410 \hich\af1\dbch\af31501\loch\f1 &lt;NumAm&gt;}{\rtlch\fcs1 \af0 \ltrch\fcs0 \lang1030\langfe2057\langnp1030\insrsid4074410 [ZNRAM]}{\rtlch\fcs1 \af0 _x000d__x000a_\ltrch\fcs0 \cs17\b0\v\fs20\cf9\lang1024\langfe1024\loch\af1\hich\af1\dbch\af31501\noproof\langnp1030\insrsid4074410 \hich\af1\dbch\af31501\loch\f1 &lt;/NumAm&gt;}{\rtlch\fcs1 \af0 \ltrch\fcs0 \lang1030\langfe2057\langnp1030\insrsid4074410 _x000d__x000a_\par }\pard\plain \ltrpar\s25\ql \li0\ri0\sb240\keepn\nowidctlpar\wrapdefault\aspalpha\aspnum\faauto\adjustright\rin0\lin0\itap0\pararsid6293919 \rtlch\fcs1 \af0\afs20\alang1025 \ltrch\fcs0 \b\fs24\lang2057\langfe2057\cgrid\langnp2057\langfenp2057 {_x000d__x000a_\rtlch\fcs1 \af0 \ltrch\fcs0 \cs17\b0\v\fs20\cf9\lang1024\langfe1024\loch\af1\hich\af1\dbch\af31501\noproof\langnp1030\insrsid4074410 \hich\af1\dbch\af31501\loch\f1 &lt;DocAmend&gt;}{\rtlch\fcs1 \af0 \ltrch\fcs0 \lang1030\langfe2057\langnp1030\insrsid4074410 _x000d__x000a_[ZPROPOSAL][ZAMACT]}{\rtlch\fcs1 \af0 \ltrch\fcs0 \cs17\b0\v\fs20\cf9\lang1024\langfe1024\loch\af1\hich\af1\dbch\af31501\noproof\langnp1030\insrsid4074410 \hich\af1\dbch\af31501\loch\f1 &lt;/DocAmend&gt;}{\rtlch\fcs1 \af0 \ltrch\fcs0 _x000d__x000a_\lang1030\langfe2057\langnp1030\insrsid4074410 _x000d__x000a_\par }\pard\plain \ltrpar\s18\ql \li0\ri0\nowidctlpar\wrapdefault\aspalpha\aspnum\faauto\adjustright\rin0\lin0\itap0\pararsid6293919 \rtlch\fcs1 \af0\afs20\alang1025 \ltrch\fcs0 \b\fs24\lang2057\langfe2057\cgrid\langnp2057\langfenp2057 {\rtlch\fcs1 \af0 _x000d__x000a_\ltrch\fcs0 \cs17\b0\v\fs20\cf9\lang1024\langfe1024\loch\af1\hich\af1\dbch\af31501\noproof\langnp1030\insrsid4074410 \hich\af1\dbch\af31501\loch\f1 &lt;Article&gt;}{\rtlch\fcs1 \af0 \ltrch\fcs0 \lang1030\langfe2057\langnp1030\insrsid4074410 [ZAMPART]}{_x000d__x000a_\rtlch\fcs1 \af0 \ltrch\fcs0 \cs17\b0\v\fs20\cf9\lang1024\langfe1024\loch\af1\hich\af1\dbch\af31501\noproof\langnp1030\insrsid4074410 \hich\af1\dbch\af31501\loch\f1 &lt;/Article&gt;}{\rtlch\fcs1 \af0 \ltrch\fcs0 \lang1030\langfe2057\langnp1030\insrsid4074410 _x000d__x000a__x000d__x000a_\par }\pard\plain \ltrpar\ql \li0\ri0\keepn\widctlpar\wrapdefault\aspalpha\aspnum\faauto\adjustright\rin0\lin0\itap0\pararsid6293919 \rtlch\fcs1 \af0\afs20\alang1025 \ltrch\fcs0 \fs24\lang2057\langfe2057\cgrid\langnp2057\langfenp2057 {\rtlch\fcs1 \af0 _x000d__x000a_\ltrch\fcs0 \cs17\v\fs20\cf9\lang1024\langfe1024\loch\af1\hich\af1\dbch\af31501\noproof\langnp1030\insrsid4074410 \hich\af1\dbch\af31501\loch\f1 &lt;DocAmend2&gt;&lt;OptDel&gt;}{\rtlch\fcs1 \af0 \ltrch\fcs0 \lang1030\langfe2057\langnp1030\insrsid4074410 [ZNRACT]}{_x000d__x000a_\rtlch\fcs1 \af0 \ltrch\fcs0 \cs17\v\fs20\cf9\lang1024\langfe1024\loch\af1\hich\af1\dbch\af31501\noproof\langnp1030\insrsid4074410 \hich\af1\dbch\af31501\loch\f1 &lt;/OptDel&gt;&lt;/DocAmend2&gt;}{\rtlch\fcs1 \af0 \ltrch\fcs0 _x000d__x000a_\lang1030\langfe2057\langnp1030\insrsid4074410 _x000d__x000a_\par }\pard \ltrpar\ql \li0\ri0\widctlpar\wrapdefault\aspalpha\aspnum\faauto\adjustright\rin0\lin0\itap0\pararsid6293919 {\rtlch\fcs1 \af0 \ltrch\fcs0 \cs17\v\fs20\cf9\lang1024\langfe1024\loch\af1\hich\af1\dbch\af31501\noproof\langnp1036\insrsid4074410 _x000d__x000a_\hich\af1\dbch\af31501\loch\f1 &lt;Article2&gt;&lt;OptDel&gt;}{\rtlch\fcs1 \af0 \ltrch\fcs0 \lang1036\langfe2057\langnp1036\insrsid4074410 [ZACTPART]}{\rtlch\fcs1 \af0 \ltrch\fcs0 _x000d__x000a_\cs17\v\fs20\cf9\lang1024\langfe1024\loch\af1\hich\af1\dbch\af31501\noproof\langnp1036\insrsid4074410 \hich\af1\dbch\af31501\loch\f1 &lt;/OptDel&gt;&lt;/Article2&gt;}{\rtlch\fcs1 \af0 \ltrch\fcs0 \lang1036\langfe2057\langnp1036\insrsid4074410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lang1036\langfe2057\langnp1036\insrsid4074410 \cell }\pard \ltrpar\ql \li0\ri0\widctlpar\intbl\wrapdefault\aspalpha\aspnum\faauto\adjustright\rin0\lin0 {\rtlch\fcs1 \af0 \ltrch\fcs0 \insrsid4074410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0\qc \li0\ri0\sa240\keepn\nowidctlpar\intbl\wrapdefault\aspalpha\aspnum\faauto\adjustright\rin0\lin0\pararsid11085200 \rtlch\fcs1 \af0\afs20\alang1025 \ltrch\fcs0 \i\fs24\lang2057\langfe2057\cgrid\langnp2057\langfenp2057 {_x000d__x000a_\rtlch\fcs1 \af0 \ltrch\fcs0 \insrsid4074410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074410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19\ql \li0\ri0\sa120\nowidctlpar\intbl\wrapdefault\aspalpha\aspnum\faauto\adjustright\rin0\lin0\pararsid11085200 \rtlch\fcs1 \af0\afs20\alang1025 \ltrch\fcs0 \fs24\lang2057\langfe2057\cgrid\langnp2057\langfenp2057 {\rtlch\fcs1 \af0 _x000d__x000a_\ltrch\fcs0 \insrsid4074410 [ZTEXTL]\cell [ZTEXTR]\cell }\pard\plain \ltrpar\ql \li0\ri0\widctlpar\intbl\wrapdefault\aspalpha\aspnum\faauto\adjustright\rin0\lin0 \rtlch\fcs1 \af0\afs20\alang1025 \ltrch\fcs0 _x000d__x000a_\fs24\lang2057\langfe2057\cgrid\langnp2057\langfenp2057 {\rtlch\fcs1 \af0 \ltrch\fcs0 \insrsid4074410 \trowd \lastrow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_x000d__x000a_}\pard\plain \ltrpar\s23\qc \li0\ri0\sb240\sa240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4074410 \hich\af1\dbch\af31501\loch\f1 &lt;OptDel&gt;}{\rtlch\fcs1 \af0 \ltrch\fcs0 \insrsid4074410 [ZCROSSREF]}{\rtlch\fcs1 \af0 \ltrch\fcs0 _x000d__x000a_\cs17\i0\v\fs20\cf9\lang1024\langfe1024\loch\af1\hich\af1\dbch\af31501\noproof\insrsid4074410 \hich\af1\dbch\af31501\loch\f1 &lt;/OptDel&gt;}{\rtlch\fcs1 \af0 \ltrch\fcs0 \insrsid4074410 _x000d__x000a_\par }\pard\plain \ltrpar\s24\qc \li0\ri0\sb240\sa240\keepn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4074410 \hich\af1\dbch\af31501\loch\f1 &lt;TitreJust&gt;}{\rtlch\fcs1 \af0 \ltrch\fcs0 \insrsid4074410 [ZJUSTIFICATION]}{\rtlch\fcs1 \af0 _x000d__x000a_\ltrch\fcs0 \cs17\i0\v\fs20\cf9\lang1024\langfe1024\loch\af1\hich\af1\dbch\af31501\noproof\insrsid4074410 \hich\af1\dbch\af31501\loch\f1 &lt;/TitreJust&gt;}{\rtlch\fcs1 \af0 \ltrch\fcs0 \insrsid4074410 _x000d__x000a_\par }\pard\plain \ltrpar\s22\ql \li0\ri0\sa240\nowidctlpar\wrapdefault\aspalpha\aspnum\faauto\adjustright\rin0\lin0\itap0\pararsid6293919 \rtlch\fcs1 \af0\afs20\alang1025 \ltrch\fcs0 \i\fs24\lang2057\langfe2057\cgrid\langnp2057\langfenp2057 {\rtlch\fcs1 \af0 _x000d__x000a_\ltrch\fcs0 \cs17\i0\v\fs20\cf9\lang1024\langfe1024\loch\af1\hich\af1\dbch\af31501\noproof\insrsid4074410 \hich\af1\dbch\af31501\loch\f1 &lt;OptDelPrev&gt;}{\rtlch\fcs1 \af0 \ltrch\fcs0 \insrsid4074410 [ZTEXTJUST]}{\rtlch\fcs1 \af0 \ltrch\fcs0 _x000d__x000a_\cs17\i0\v\fs20\cf9\lang1024\langfe1024\loch\af1\hich\af1\dbch\af31501\noproof\insrsid4074410 \hich\af1\dbch\af31501\loch\f1 &lt;/OptDelPrev&gt;}{\rtlch\fcs1 \af0 \ltrch\fcs0 \insrsid4074410 _x000d__x000a_\par }\pard\plain \ltrpar\ql \li0\ri0\widctlpar\wrapdefault\aspalpha\aspnum\faauto\adjustright\rin0\lin0\itap0\pararsid6293919 \rtlch\fcs1 \af0\afs20\alang1025 \ltrch\fcs0 \fs24\lang2057\langfe2057\cgrid\langnp2057\langfenp2057 {\rtlch\fcs1 \af0 \ltrch\fcs0 _x000d__x000a_\cs17\v\fs20\cf9\lang1024\langfe1024\loch\af1\hich\af1\dbch\af31501\noproof\insrsid4074410 \hich\af1\dbch\af31501\loch\f1 &lt;/Amend&gt;}{\rtlch\fcs1 \af0 \ltrch\fcs0 \insrsid4074410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Evaluation"/>
    <w:docVar w:name="strSubDir" w:val="1342"/>
    <w:docVar w:name="TITLECODMNU" w:val=" 1"/>
    <w:docVar w:name="TITLEMNU" w:val=" 1"/>
    <w:docVar w:name="TXTAUTHOR" w:val="Hélder Sousa Silva"/>
    <w:docVar w:name="TXTLANGUE" w:val="EN"/>
    <w:docVar w:name="TXTLANGUEMIN" w:val="en"/>
    <w:docVar w:name="TXTNRC" w:val="XX"/>
    <w:docVar w:name="TXTNRCOM" w:val="XX"/>
    <w:docVar w:name="TXTNRPE" w:val="782.453"/>
    <w:docVar w:name="TXTNRPROC" w:val="2025/0543"/>
    <w:docVar w:name="TXTPEorAP" w:val="PE"/>
    <w:docVar w:name="TXTROUTE" w:val="AD\1342281EN.docx"/>
    <w:docVar w:name="TXTTITLE" w:val="XX"/>
    <w:docVar w:name="TXTVERSION" w:val="03-00"/>
  </w:docVars>
  <w:rsids>
    <w:rsidRoot w:val="002F1CDB"/>
    <w:rsid w:val="00002AF5"/>
    <w:rsid w:val="00006F54"/>
    <w:rsid w:val="00007C5D"/>
    <w:rsid w:val="00012B42"/>
    <w:rsid w:val="00017014"/>
    <w:rsid w:val="0001754B"/>
    <w:rsid w:val="00030B88"/>
    <w:rsid w:val="0003367A"/>
    <w:rsid w:val="00041599"/>
    <w:rsid w:val="00052101"/>
    <w:rsid w:val="00055C82"/>
    <w:rsid w:val="00066D73"/>
    <w:rsid w:val="00086729"/>
    <w:rsid w:val="000976C1"/>
    <w:rsid w:val="000A354D"/>
    <w:rsid w:val="000A4299"/>
    <w:rsid w:val="000B0E62"/>
    <w:rsid w:val="000B3516"/>
    <w:rsid w:val="000D1033"/>
    <w:rsid w:val="000E7EBF"/>
    <w:rsid w:val="000F2D1C"/>
    <w:rsid w:val="000F307C"/>
    <w:rsid w:val="00100083"/>
    <w:rsid w:val="00102D30"/>
    <w:rsid w:val="00113B68"/>
    <w:rsid w:val="00124F60"/>
    <w:rsid w:val="00134532"/>
    <w:rsid w:val="00135121"/>
    <w:rsid w:val="00140BE6"/>
    <w:rsid w:val="001449F5"/>
    <w:rsid w:val="00147F4E"/>
    <w:rsid w:val="00147FBF"/>
    <w:rsid w:val="00162767"/>
    <w:rsid w:val="0016635E"/>
    <w:rsid w:val="0016705E"/>
    <w:rsid w:val="0017131D"/>
    <w:rsid w:val="0017277D"/>
    <w:rsid w:val="00173215"/>
    <w:rsid w:val="001746D0"/>
    <w:rsid w:val="00195E4A"/>
    <w:rsid w:val="001A2259"/>
    <w:rsid w:val="001B7393"/>
    <w:rsid w:val="001D2ED9"/>
    <w:rsid w:val="001E42AF"/>
    <w:rsid w:val="001F21C1"/>
    <w:rsid w:val="001F2C77"/>
    <w:rsid w:val="00205307"/>
    <w:rsid w:val="00214B82"/>
    <w:rsid w:val="00217B7E"/>
    <w:rsid w:val="00225FA0"/>
    <w:rsid w:val="002365D3"/>
    <w:rsid w:val="0024480A"/>
    <w:rsid w:val="00246EC9"/>
    <w:rsid w:val="002668E6"/>
    <w:rsid w:val="00270617"/>
    <w:rsid w:val="00281C9F"/>
    <w:rsid w:val="00283121"/>
    <w:rsid w:val="0028399F"/>
    <w:rsid w:val="002920E2"/>
    <w:rsid w:val="002A7567"/>
    <w:rsid w:val="002B5650"/>
    <w:rsid w:val="002C2C3F"/>
    <w:rsid w:val="002D28A7"/>
    <w:rsid w:val="002D3164"/>
    <w:rsid w:val="002D7635"/>
    <w:rsid w:val="002E1718"/>
    <w:rsid w:val="002E2F2E"/>
    <w:rsid w:val="002E3A29"/>
    <w:rsid w:val="002E4AA3"/>
    <w:rsid w:val="002E5DE4"/>
    <w:rsid w:val="002E6F98"/>
    <w:rsid w:val="002F1CDB"/>
    <w:rsid w:val="002F24FD"/>
    <w:rsid w:val="002F4CC3"/>
    <w:rsid w:val="00306B00"/>
    <w:rsid w:val="003230B1"/>
    <w:rsid w:val="00325BCB"/>
    <w:rsid w:val="00325D7F"/>
    <w:rsid w:val="00325EDE"/>
    <w:rsid w:val="00331944"/>
    <w:rsid w:val="00332AD9"/>
    <w:rsid w:val="003402B9"/>
    <w:rsid w:val="00345CBF"/>
    <w:rsid w:val="00347D2C"/>
    <w:rsid w:val="003508DA"/>
    <w:rsid w:val="003575E8"/>
    <w:rsid w:val="00357761"/>
    <w:rsid w:val="00362463"/>
    <w:rsid w:val="00367A50"/>
    <w:rsid w:val="0037356F"/>
    <w:rsid w:val="003767EF"/>
    <w:rsid w:val="003858C5"/>
    <w:rsid w:val="00390EB2"/>
    <w:rsid w:val="00391AC1"/>
    <w:rsid w:val="00396A0E"/>
    <w:rsid w:val="003A5DEB"/>
    <w:rsid w:val="003B229E"/>
    <w:rsid w:val="003B2862"/>
    <w:rsid w:val="003B4426"/>
    <w:rsid w:val="003B507D"/>
    <w:rsid w:val="003C3A38"/>
    <w:rsid w:val="003D43B7"/>
    <w:rsid w:val="003D5C9C"/>
    <w:rsid w:val="003E2402"/>
    <w:rsid w:val="003E5A8F"/>
    <w:rsid w:val="003E6B61"/>
    <w:rsid w:val="003F2D3B"/>
    <w:rsid w:val="00401780"/>
    <w:rsid w:val="00402E8B"/>
    <w:rsid w:val="004272F5"/>
    <w:rsid w:val="0043045C"/>
    <w:rsid w:val="004456FB"/>
    <w:rsid w:val="00446D42"/>
    <w:rsid w:val="00450A7E"/>
    <w:rsid w:val="0046245A"/>
    <w:rsid w:val="004667D1"/>
    <w:rsid w:val="00466D44"/>
    <w:rsid w:val="0047642E"/>
    <w:rsid w:val="00477552"/>
    <w:rsid w:val="00481B23"/>
    <w:rsid w:val="00483F34"/>
    <w:rsid w:val="00485C5C"/>
    <w:rsid w:val="004A1C45"/>
    <w:rsid w:val="004A609B"/>
    <w:rsid w:val="004A7D39"/>
    <w:rsid w:val="004C28FB"/>
    <w:rsid w:val="004C3B63"/>
    <w:rsid w:val="004C44C0"/>
    <w:rsid w:val="004D0E3B"/>
    <w:rsid w:val="004D18F2"/>
    <w:rsid w:val="004D4FA4"/>
    <w:rsid w:val="004E2AB4"/>
    <w:rsid w:val="004F093C"/>
    <w:rsid w:val="00514274"/>
    <w:rsid w:val="00517318"/>
    <w:rsid w:val="0052544E"/>
    <w:rsid w:val="00526F89"/>
    <w:rsid w:val="005365D3"/>
    <w:rsid w:val="00546BD2"/>
    <w:rsid w:val="00556CD6"/>
    <w:rsid w:val="00566D37"/>
    <w:rsid w:val="0056775B"/>
    <w:rsid w:val="0057732D"/>
    <w:rsid w:val="0058215E"/>
    <w:rsid w:val="00582163"/>
    <w:rsid w:val="005940C3"/>
    <w:rsid w:val="00594C48"/>
    <w:rsid w:val="005A0AC7"/>
    <w:rsid w:val="005A2392"/>
    <w:rsid w:val="005B2376"/>
    <w:rsid w:val="005B2F11"/>
    <w:rsid w:val="005B62FD"/>
    <w:rsid w:val="005C0BDF"/>
    <w:rsid w:val="005D024F"/>
    <w:rsid w:val="005D60C6"/>
    <w:rsid w:val="005D6788"/>
    <w:rsid w:val="005E2EB2"/>
    <w:rsid w:val="005F2C93"/>
    <w:rsid w:val="005F64C9"/>
    <w:rsid w:val="00600957"/>
    <w:rsid w:val="00601537"/>
    <w:rsid w:val="006017DD"/>
    <w:rsid w:val="006102E7"/>
    <w:rsid w:val="00610FA5"/>
    <w:rsid w:val="006217F2"/>
    <w:rsid w:val="00621F8F"/>
    <w:rsid w:val="00630767"/>
    <w:rsid w:val="00630B5E"/>
    <w:rsid w:val="00631ECA"/>
    <w:rsid w:val="00640C1B"/>
    <w:rsid w:val="00646D7F"/>
    <w:rsid w:val="00657AFB"/>
    <w:rsid w:val="006770A2"/>
    <w:rsid w:val="00685EBC"/>
    <w:rsid w:val="00686DF1"/>
    <w:rsid w:val="00693DC6"/>
    <w:rsid w:val="006B5641"/>
    <w:rsid w:val="006B5685"/>
    <w:rsid w:val="006D16AE"/>
    <w:rsid w:val="006D5BF7"/>
    <w:rsid w:val="006D5D60"/>
    <w:rsid w:val="006E207B"/>
    <w:rsid w:val="006E3D25"/>
    <w:rsid w:val="006E43BA"/>
    <w:rsid w:val="006F2815"/>
    <w:rsid w:val="006F4E35"/>
    <w:rsid w:val="006F6345"/>
    <w:rsid w:val="00700D2A"/>
    <w:rsid w:val="00702A88"/>
    <w:rsid w:val="00730988"/>
    <w:rsid w:val="007323CD"/>
    <w:rsid w:val="007343B3"/>
    <w:rsid w:val="0074139F"/>
    <w:rsid w:val="00753996"/>
    <w:rsid w:val="00754C04"/>
    <w:rsid w:val="00755CD7"/>
    <w:rsid w:val="00757C4C"/>
    <w:rsid w:val="007604CE"/>
    <w:rsid w:val="00760D63"/>
    <w:rsid w:val="007638D0"/>
    <w:rsid w:val="00770214"/>
    <w:rsid w:val="00783C83"/>
    <w:rsid w:val="00784770"/>
    <w:rsid w:val="007A0439"/>
    <w:rsid w:val="007A403A"/>
    <w:rsid w:val="007B107D"/>
    <w:rsid w:val="007B2187"/>
    <w:rsid w:val="007B5CC7"/>
    <w:rsid w:val="007C6D0D"/>
    <w:rsid w:val="007C704E"/>
    <w:rsid w:val="007E03E2"/>
    <w:rsid w:val="007E0990"/>
    <w:rsid w:val="007E4EEA"/>
    <w:rsid w:val="007E6C91"/>
    <w:rsid w:val="007F1A57"/>
    <w:rsid w:val="00800C20"/>
    <w:rsid w:val="0080329C"/>
    <w:rsid w:val="00803693"/>
    <w:rsid w:val="00816BE5"/>
    <w:rsid w:val="00825069"/>
    <w:rsid w:val="008313E7"/>
    <w:rsid w:val="00840391"/>
    <w:rsid w:val="00842418"/>
    <w:rsid w:val="008476E3"/>
    <w:rsid w:val="008479EC"/>
    <w:rsid w:val="00850EEA"/>
    <w:rsid w:val="00852263"/>
    <w:rsid w:val="00854CAC"/>
    <w:rsid w:val="00873BF3"/>
    <w:rsid w:val="008815E1"/>
    <w:rsid w:val="008829FE"/>
    <w:rsid w:val="00882CB5"/>
    <w:rsid w:val="008869C5"/>
    <w:rsid w:val="008901B1"/>
    <w:rsid w:val="008A0FE4"/>
    <w:rsid w:val="008A32C5"/>
    <w:rsid w:val="008B07EC"/>
    <w:rsid w:val="008C0B61"/>
    <w:rsid w:val="008C2388"/>
    <w:rsid w:val="008C6203"/>
    <w:rsid w:val="008D2A3C"/>
    <w:rsid w:val="008D61E7"/>
    <w:rsid w:val="008D6468"/>
    <w:rsid w:val="008E17AF"/>
    <w:rsid w:val="008E2BE3"/>
    <w:rsid w:val="008F33FC"/>
    <w:rsid w:val="008F7002"/>
    <w:rsid w:val="00946BEF"/>
    <w:rsid w:val="00955944"/>
    <w:rsid w:val="0095761F"/>
    <w:rsid w:val="00961E8B"/>
    <w:rsid w:val="009626A8"/>
    <w:rsid w:val="00962782"/>
    <w:rsid w:val="00963DF4"/>
    <w:rsid w:val="00976019"/>
    <w:rsid w:val="00993D65"/>
    <w:rsid w:val="0099493F"/>
    <w:rsid w:val="009B13EE"/>
    <w:rsid w:val="009B4FF7"/>
    <w:rsid w:val="009C316C"/>
    <w:rsid w:val="009C4706"/>
    <w:rsid w:val="009C7BBC"/>
    <w:rsid w:val="009D1AB2"/>
    <w:rsid w:val="009D51C1"/>
    <w:rsid w:val="009E64BF"/>
    <w:rsid w:val="009F1C99"/>
    <w:rsid w:val="00A16BEA"/>
    <w:rsid w:val="00A24629"/>
    <w:rsid w:val="00A30C8E"/>
    <w:rsid w:val="00A312B3"/>
    <w:rsid w:val="00A401F5"/>
    <w:rsid w:val="00A47E2F"/>
    <w:rsid w:val="00A56164"/>
    <w:rsid w:val="00A72C35"/>
    <w:rsid w:val="00A73317"/>
    <w:rsid w:val="00A82E7D"/>
    <w:rsid w:val="00A91B4A"/>
    <w:rsid w:val="00AA0704"/>
    <w:rsid w:val="00AA0D98"/>
    <w:rsid w:val="00AA0F95"/>
    <w:rsid w:val="00AA4C55"/>
    <w:rsid w:val="00AA6C9D"/>
    <w:rsid w:val="00AA6CB5"/>
    <w:rsid w:val="00AB5733"/>
    <w:rsid w:val="00AC5AAD"/>
    <w:rsid w:val="00AE180F"/>
    <w:rsid w:val="00AE5581"/>
    <w:rsid w:val="00AE79AF"/>
    <w:rsid w:val="00AF5611"/>
    <w:rsid w:val="00B05A76"/>
    <w:rsid w:val="00B2497D"/>
    <w:rsid w:val="00B32115"/>
    <w:rsid w:val="00B362F7"/>
    <w:rsid w:val="00B5456B"/>
    <w:rsid w:val="00B735E3"/>
    <w:rsid w:val="00B74B53"/>
    <w:rsid w:val="00B84ED1"/>
    <w:rsid w:val="00B87BB2"/>
    <w:rsid w:val="00B978D5"/>
    <w:rsid w:val="00BA3E9A"/>
    <w:rsid w:val="00BA7B93"/>
    <w:rsid w:val="00BA7BC0"/>
    <w:rsid w:val="00BB19A4"/>
    <w:rsid w:val="00BC26E4"/>
    <w:rsid w:val="00BC5686"/>
    <w:rsid w:val="00BD09AE"/>
    <w:rsid w:val="00BD1ABA"/>
    <w:rsid w:val="00BD1EAA"/>
    <w:rsid w:val="00BD546B"/>
    <w:rsid w:val="00BE3888"/>
    <w:rsid w:val="00BF0AFC"/>
    <w:rsid w:val="00BF6786"/>
    <w:rsid w:val="00C04E9D"/>
    <w:rsid w:val="00C22D82"/>
    <w:rsid w:val="00C304C7"/>
    <w:rsid w:val="00C33C10"/>
    <w:rsid w:val="00C3435E"/>
    <w:rsid w:val="00C36610"/>
    <w:rsid w:val="00C36A5B"/>
    <w:rsid w:val="00C44B11"/>
    <w:rsid w:val="00C508FC"/>
    <w:rsid w:val="00C52739"/>
    <w:rsid w:val="00C60A46"/>
    <w:rsid w:val="00C717AF"/>
    <w:rsid w:val="00C736C1"/>
    <w:rsid w:val="00C827FF"/>
    <w:rsid w:val="00C84881"/>
    <w:rsid w:val="00C8553D"/>
    <w:rsid w:val="00C878DE"/>
    <w:rsid w:val="00C9183D"/>
    <w:rsid w:val="00C91905"/>
    <w:rsid w:val="00CB0E24"/>
    <w:rsid w:val="00CB198D"/>
    <w:rsid w:val="00CD34AC"/>
    <w:rsid w:val="00CE0A97"/>
    <w:rsid w:val="00CE6558"/>
    <w:rsid w:val="00CE73B2"/>
    <w:rsid w:val="00CF2CEE"/>
    <w:rsid w:val="00D006EE"/>
    <w:rsid w:val="00D05797"/>
    <w:rsid w:val="00D05B70"/>
    <w:rsid w:val="00D067E4"/>
    <w:rsid w:val="00D13BB8"/>
    <w:rsid w:val="00D21BB0"/>
    <w:rsid w:val="00D22A96"/>
    <w:rsid w:val="00D318E7"/>
    <w:rsid w:val="00D40947"/>
    <w:rsid w:val="00D411F7"/>
    <w:rsid w:val="00D45CA5"/>
    <w:rsid w:val="00D57A1A"/>
    <w:rsid w:val="00D717FD"/>
    <w:rsid w:val="00D7202C"/>
    <w:rsid w:val="00D8432D"/>
    <w:rsid w:val="00D92AE2"/>
    <w:rsid w:val="00D93847"/>
    <w:rsid w:val="00DB5868"/>
    <w:rsid w:val="00DC14A8"/>
    <w:rsid w:val="00DC4F54"/>
    <w:rsid w:val="00DE19FF"/>
    <w:rsid w:val="00DF0799"/>
    <w:rsid w:val="00E00D3E"/>
    <w:rsid w:val="00E128BB"/>
    <w:rsid w:val="00E14B38"/>
    <w:rsid w:val="00E154EF"/>
    <w:rsid w:val="00E17380"/>
    <w:rsid w:val="00E1768C"/>
    <w:rsid w:val="00E263DF"/>
    <w:rsid w:val="00E34244"/>
    <w:rsid w:val="00E40C7D"/>
    <w:rsid w:val="00E57C99"/>
    <w:rsid w:val="00E61C10"/>
    <w:rsid w:val="00E63984"/>
    <w:rsid w:val="00E8005A"/>
    <w:rsid w:val="00E81BA6"/>
    <w:rsid w:val="00E81E17"/>
    <w:rsid w:val="00E856D2"/>
    <w:rsid w:val="00E86A77"/>
    <w:rsid w:val="00E929A7"/>
    <w:rsid w:val="00E92C76"/>
    <w:rsid w:val="00E93EA3"/>
    <w:rsid w:val="00EA5F7F"/>
    <w:rsid w:val="00EB736D"/>
    <w:rsid w:val="00EB761F"/>
    <w:rsid w:val="00EC43A3"/>
    <w:rsid w:val="00ED2DAE"/>
    <w:rsid w:val="00EF0228"/>
    <w:rsid w:val="00F01DE1"/>
    <w:rsid w:val="00F17A62"/>
    <w:rsid w:val="00F26123"/>
    <w:rsid w:val="00F46189"/>
    <w:rsid w:val="00F51012"/>
    <w:rsid w:val="00F53349"/>
    <w:rsid w:val="00F655A9"/>
    <w:rsid w:val="00F74E92"/>
    <w:rsid w:val="00F751AE"/>
    <w:rsid w:val="00F83B8C"/>
    <w:rsid w:val="00F95B55"/>
    <w:rsid w:val="00FA0E98"/>
    <w:rsid w:val="00FA31F3"/>
    <w:rsid w:val="00FB440F"/>
    <w:rsid w:val="00FB5399"/>
    <w:rsid w:val="00FB74AF"/>
    <w:rsid w:val="00FC228C"/>
    <w:rsid w:val="00FC42F1"/>
    <w:rsid w:val="00FC5490"/>
    <w:rsid w:val="00FC6460"/>
    <w:rsid w:val="00FD0D14"/>
    <w:rsid w:val="00FD4BC4"/>
    <w:rsid w:val="00FE24DE"/>
    <w:rsid w:val="00FF49A3"/>
    <w:rsid w:val="00FF4B50"/>
    <w:rsid w:val="00FF5EE7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4DA43"/>
  <w15:chartTrackingRefBased/>
  <w15:docId w15:val="{2A471FD1-8A50-4278-A925-7B04971E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019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8432D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843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8432D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8432D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843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8432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8432D"/>
    <w:pPr>
      <w:spacing w:after="480"/>
      <w:ind w:left="1417"/>
    </w:pPr>
  </w:style>
  <w:style w:type="paragraph" w:customStyle="1" w:styleId="CoverNormal">
    <w:name w:val="CoverNormal"/>
    <w:basedOn w:val="Normal"/>
    <w:rsid w:val="00D8432D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8432D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8432D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8432D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843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8432D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8432D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8432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8432D"/>
    <w:pPr>
      <w:jc w:val="right"/>
    </w:pPr>
  </w:style>
  <w:style w:type="paragraph" w:customStyle="1" w:styleId="NormalHanging12a">
    <w:name w:val="NormalHanging12a"/>
    <w:basedOn w:val="Normal"/>
    <w:rsid w:val="00D8432D"/>
    <w:pPr>
      <w:spacing w:after="240"/>
      <w:ind w:left="567" w:hanging="567"/>
    </w:pPr>
  </w:style>
  <w:style w:type="paragraph" w:customStyle="1" w:styleId="EPFooter">
    <w:name w:val="EPFooter"/>
    <w:basedOn w:val="Normal"/>
    <w:rsid w:val="00D843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D8432D"/>
    <w:pPr>
      <w:tabs>
        <w:tab w:val="right" w:pos="9072"/>
      </w:tabs>
    </w:pPr>
    <w:rPr>
      <w:b/>
    </w:rPr>
  </w:style>
  <w:style w:type="paragraph" w:customStyle="1" w:styleId="NormalBold">
    <w:name w:val="NormalBold"/>
    <w:basedOn w:val="Normal"/>
    <w:rsid w:val="00D8432D"/>
    <w:rPr>
      <w:b/>
    </w:rPr>
  </w:style>
  <w:style w:type="paragraph" w:customStyle="1" w:styleId="AmOrLang">
    <w:name w:val="AmOrLang"/>
    <w:basedOn w:val="Normal"/>
    <w:rsid w:val="00D8432D"/>
    <w:pPr>
      <w:spacing w:before="240" w:after="240"/>
      <w:jc w:val="right"/>
    </w:pPr>
  </w:style>
  <w:style w:type="paragraph" w:customStyle="1" w:styleId="Normal6a">
    <w:name w:val="Normal6a"/>
    <w:basedOn w:val="Normal"/>
    <w:rsid w:val="00D8432D"/>
    <w:pPr>
      <w:spacing w:after="120"/>
    </w:pPr>
  </w:style>
  <w:style w:type="paragraph" w:customStyle="1" w:styleId="AmDateTab">
    <w:name w:val="AmDateTab"/>
    <w:basedOn w:val="Normal"/>
    <w:rsid w:val="00D8432D"/>
    <w:pPr>
      <w:tabs>
        <w:tab w:val="right" w:pos="9072"/>
      </w:tabs>
    </w:pPr>
  </w:style>
  <w:style w:type="paragraph" w:customStyle="1" w:styleId="AmColumnHeading">
    <w:name w:val="AmColumnHeading"/>
    <w:basedOn w:val="Normal"/>
    <w:rsid w:val="00D843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43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D8432D"/>
    <w:pPr>
      <w:spacing w:after="240"/>
    </w:pPr>
    <w:rPr>
      <w:i/>
    </w:rPr>
  </w:style>
  <w:style w:type="paragraph" w:customStyle="1" w:styleId="AmCrossRef">
    <w:name w:val="AmCrossRef"/>
    <w:basedOn w:val="Normal"/>
    <w:rsid w:val="00D843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432D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rsid w:val="00D8432D"/>
    <w:pPr>
      <w:spacing w:before="240"/>
    </w:pPr>
    <w:rPr>
      <w:b/>
    </w:rPr>
  </w:style>
  <w:style w:type="paragraph" w:customStyle="1" w:styleId="Normal24a">
    <w:name w:val="Normal24a"/>
    <w:basedOn w:val="Normal"/>
    <w:rsid w:val="00D8432D"/>
    <w:pPr>
      <w:spacing w:after="480"/>
    </w:pPr>
  </w:style>
  <w:style w:type="paragraph" w:customStyle="1" w:styleId="NormalBoldCenter">
    <w:name w:val="NormalBoldCenter"/>
    <w:basedOn w:val="Normal"/>
    <w:rsid w:val="00D8432D"/>
    <w:pPr>
      <w:jc w:val="center"/>
    </w:pPr>
    <w:rPr>
      <w:b/>
    </w:rPr>
  </w:style>
  <w:style w:type="paragraph" w:customStyle="1" w:styleId="Footprint12b">
    <w:name w:val="Footprint12b"/>
    <w:basedOn w:val="Normal"/>
    <w:rsid w:val="00D8432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8432D"/>
    <w:rPr>
      <w:szCs w:val="24"/>
    </w:rPr>
  </w:style>
  <w:style w:type="paragraph" w:customStyle="1" w:styleId="EPComma">
    <w:name w:val="EPComma"/>
    <w:basedOn w:val="Normal"/>
    <w:rsid w:val="00D8432D"/>
    <w:pPr>
      <w:spacing w:before="480" w:after="240"/>
    </w:pPr>
  </w:style>
  <w:style w:type="paragraph" w:styleId="FootnoteText">
    <w:name w:val="footnote text"/>
    <w:basedOn w:val="Normal"/>
    <w:link w:val="FootnoteTextChar"/>
    <w:rsid w:val="00755CD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55CD7"/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nhideWhenUsed/>
    <w:rsid w:val="00755CD7"/>
    <w:rPr>
      <w:vertAlign w:val="superscript"/>
    </w:rPr>
  </w:style>
  <w:style w:type="character" w:styleId="Hyperlink">
    <w:name w:val="Hyperlink"/>
    <w:basedOn w:val="DefaultParagraphFont"/>
    <w:unhideWhenUsed/>
    <w:rsid w:val="00755C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6A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nhideWhenUsed/>
    <w:rsid w:val="00C04E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4E9D"/>
  </w:style>
  <w:style w:type="character" w:styleId="CommentReference">
    <w:name w:val="annotation reference"/>
    <w:basedOn w:val="DefaultParagraphFont"/>
    <w:unhideWhenUsed/>
    <w:rsid w:val="00C04E9D"/>
    <w:rPr>
      <w:sz w:val="16"/>
      <w:szCs w:val="16"/>
    </w:rPr>
  </w:style>
  <w:style w:type="paragraph" w:styleId="Footer">
    <w:name w:val="footer"/>
    <w:basedOn w:val="Normal"/>
    <w:link w:val="FooterChar"/>
    <w:semiHidden/>
    <w:rsid w:val="008479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479EC"/>
    <w:rPr>
      <w:sz w:val="24"/>
    </w:rPr>
  </w:style>
  <w:style w:type="paragraph" w:styleId="Revision">
    <w:name w:val="Revision"/>
    <w:hidden/>
    <w:uiPriority w:val="99"/>
    <w:semiHidden/>
    <w:rsid w:val="00E00D3E"/>
    <w:rPr>
      <w:sz w:val="24"/>
    </w:rPr>
  </w:style>
  <w:style w:type="paragraph" w:customStyle="1" w:styleId="RollCallSymbols14pt">
    <w:name w:val="RollCallSymbols14pt"/>
    <w:basedOn w:val="Normal"/>
    <w:rsid w:val="00C878D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878D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878D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878DE"/>
    <w:pPr>
      <w:spacing w:before="120" w:after="120"/>
    </w:pPr>
    <w:rPr>
      <w:snapToGrid w:val="0"/>
      <w:sz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3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3D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.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509/oj.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24/2509/oj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7B569-51A9-4E74-BD30-49EBA0FD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3918</Words>
  <Characters>24573</Characters>
  <Application>Microsoft Office Word</Application>
  <DocSecurity>0</DocSecurity>
  <Lines>630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PA_LegEvaluation</vt:lpstr>
    </vt:vector>
  </TitlesOfParts>
  <Company/>
  <LinksUpToDate>false</LinksUpToDate>
  <CharactersWithSpaces>28282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PA_LegEvaluation</dc:title>
  <dc:creator>European Parliament</dc:creator>
  <cp:lastModifiedBy>European Parliament</cp:lastModifiedBy>
  <cp:revision>2</cp:revision>
  <cp:lastPrinted>2026-07-09T07:35:00Z</cp:lastPrinted>
  <dcterms:created xsi:type="dcterms:W3CDTF">2026-07-09T13:05:00Z</dcterms:created>
  <dcterms:modified xsi:type="dcterms:W3CDTF">2026-07-09T13:05:00Z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1342281</vt:lpwstr>
  </property>
  <property fmtid="{D5CDD505-2E9C-101B-9397-08002B2CF9AE}" pid="4" name="&lt;Model&gt;">
    <vt:lpwstr>PA_LegEvaluation</vt:lpwstr>
  </property>
  <property fmtid="{D5CDD505-2E9C-101B-9397-08002B2CF9AE}" pid="5" name="&lt;ModelCod&gt;">
    <vt:lpwstr>\\eiciBRUpr1\pdocep$\DocEP\DOCS\General\PA\PA_Leg\PA_LegEvaluation.dotx(18/03/2025 12:35:01)</vt:lpwstr>
  </property>
  <property fmtid="{D5CDD505-2E9C-101B-9397-08002B2CF9AE}" pid="6" name="&lt;ModelTra&gt;">
    <vt:lpwstr>\\eiciBRUpr1\pdocep$\DocEP\TRANSFIL\EN\PA_LegEvaluation.EN(03/03/2026 10:04:10)</vt:lpwstr>
  </property>
  <property fmtid="{D5CDD505-2E9C-101B-9397-08002B2CF9AE}" pid="7" name="&lt;Type&gt;">
    <vt:lpwstr>AD</vt:lpwstr>
  </property>
  <property fmtid="{D5CDD505-2E9C-101B-9397-08002B2CF9AE}" pid="8" name="Bookout">
    <vt:lpwstr>OK - 2026/07/09 15:05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AD\1342281SK.docx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782.453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NOK(Major:TWBEXT)(Minor:HDG) - 2026/06/26 11:20</vt:lpwstr>
  </property>
</Properties>
</file>