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70FA78C"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854CAC" w:rsidRPr="006D70C0" w:rsidP="00C85D0F" w14:paraId="3630C23F" w14:textId="77777777">
            <w:pPr>
              <w:pStyle w:val="EPName"/>
            </w:pPr>
            <w:bookmarkStart w:id="0" w:name="_Hlk235518842"/>
            <w:r w:rsidRPr="006D70C0">
              <w:t>Parlamento Europeo</w:t>
            </w:r>
          </w:p>
          <w:p w:rsidR="00854CAC" w:rsidRPr="006D70C0" w:rsidP="00C85D0F" w14:paraId="0798BECF" w14:textId="77777777">
            <w:pPr>
              <w:pStyle w:val="EPTerm"/>
            </w:pPr>
            <w:r w:rsidRPr="006D70C0">
              <w:t>2024-2029</w:t>
            </w:r>
          </w:p>
        </w:tc>
        <w:tc>
          <w:tcPr>
            <w:tcW w:w="2268" w:type="dxa"/>
            <w:shd w:val="clear" w:color="auto" w:fill="auto"/>
          </w:tcPr>
          <w:p w:rsidR="00854CAC" w:rsidRPr="006D70C0" w:rsidP="00C85D0F" w14:paraId="09DCCF76" w14:textId="77777777">
            <w:pPr>
              <w:pStyle w:val="EPLogo"/>
            </w:pPr>
            <w:r w:rsidRPr="006D70C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190956"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417AE1" w:rsidP="001746D0" w14:paraId="2E9BA337" w14:textId="77777777">
      <w:pPr>
        <w:pStyle w:val="LineTop"/>
      </w:pPr>
    </w:p>
    <w:p w:rsidR="001746D0" w:rsidRPr="00417AE1" w:rsidP="001746D0" w14:paraId="23D14A7A" w14:textId="77777777">
      <w:pPr>
        <w:pStyle w:val="EPBody"/>
      </w:pPr>
      <w:r w:rsidRPr="00417AE1">
        <w:rPr>
          <w:rStyle w:val="HideTWBExt"/>
          <w:i w:val="0"/>
          <w:szCs w:val="20"/>
        </w:rPr>
        <w:t>&lt;</w:t>
      </w:r>
      <w:r w:rsidRPr="00417AE1">
        <w:rPr>
          <w:rStyle w:val="HideTWBExt"/>
          <w:i w:val="0"/>
          <w:szCs w:val="20"/>
        </w:rPr>
        <w:t>Commission</w:t>
      </w:r>
      <w:r w:rsidRPr="00417AE1">
        <w:rPr>
          <w:rStyle w:val="HideTWBExt"/>
          <w:i w:val="0"/>
          <w:szCs w:val="20"/>
        </w:rPr>
        <w:t>&gt;</w:t>
      </w:r>
      <w:r w:rsidRPr="00417AE1">
        <w:rPr>
          <w:rStyle w:val="HideTWBInt"/>
          <w:rFonts w:cs="Times New Roman"/>
          <w:i w:val="0"/>
          <w:szCs w:val="20"/>
        </w:rPr>
        <w:t>{BUDG}</w:t>
      </w:r>
      <w:r w:rsidRPr="00417AE1">
        <w:t>Comisión de Presupuestos</w:t>
      </w:r>
      <w:r w:rsidRPr="00417AE1">
        <w:rPr>
          <w:rStyle w:val="HideTWBExt"/>
          <w:i w:val="0"/>
          <w:szCs w:val="20"/>
        </w:rPr>
        <w:t>&lt;/</w:t>
      </w:r>
      <w:r w:rsidRPr="00417AE1">
        <w:rPr>
          <w:rStyle w:val="HideTWBExt"/>
          <w:i w:val="0"/>
          <w:szCs w:val="20"/>
        </w:rPr>
        <w:t>Commission</w:t>
      </w:r>
      <w:r w:rsidRPr="00417AE1">
        <w:rPr>
          <w:rStyle w:val="HideTWBExt"/>
          <w:i w:val="0"/>
          <w:szCs w:val="20"/>
        </w:rPr>
        <w:t>&gt;</w:t>
      </w:r>
    </w:p>
    <w:p w:rsidR="001746D0" w:rsidRPr="00417AE1" w:rsidP="001746D0" w14:paraId="2F22E777" w14:textId="77777777">
      <w:pPr>
        <w:pStyle w:val="LineBottom"/>
      </w:pPr>
    </w:p>
    <w:p w:rsidR="002E2F2E" w:rsidRPr="00417AE1" w14:paraId="69167C19" w14:textId="77777777">
      <w:pPr>
        <w:pStyle w:val="CoverReference"/>
      </w:pPr>
      <w:r w:rsidRPr="00417AE1">
        <w:rPr>
          <w:rStyle w:val="HideTWBExt"/>
          <w:b w:val="0"/>
        </w:rPr>
        <w:t>&lt;RefProc&gt;</w:t>
      </w:r>
      <w:r w:rsidRPr="00417AE1">
        <w:t>2025/0541</w:t>
      </w:r>
      <w:r w:rsidRPr="00417AE1">
        <w:rPr>
          <w:rStyle w:val="HideTWBExt"/>
          <w:b w:val="0"/>
        </w:rPr>
        <w:t>&lt;/RefProc&gt;&lt;RefTypeProc&gt;</w:t>
      </w:r>
      <w:r w:rsidRPr="00417AE1">
        <w:t>(COD)</w:t>
      </w:r>
      <w:r w:rsidRPr="00417AE1">
        <w:rPr>
          <w:rStyle w:val="HideTWBExt"/>
          <w:b w:val="0"/>
        </w:rPr>
        <w:t>&lt;/RefTypeProc&gt;</w:t>
      </w:r>
    </w:p>
    <w:p w:rsidR="002E2F2E" w:rsidRPr="00417AE1" w14:paraId="1EA3A9F2" w14:textId="77777777">
      <w:pPr>
        <w:pStyle w:val="CoverDate"/>
      </w:pPr>
      <w:r w:rsidRPr="00417AE1">
        <w:rPr>
          <w:rStyle w:val="HideTWBExt"/>
        </w:rPr>
        <w:t>&lt;Date&gt;</w:t>
      </w:r>
      <w:r w:rsidRPr="00417AE1">
        <w:rPr>
          <w:rStyle w:val="HideTWBInt"/>
        </w:rPr>
        <w:t>{16/07/2026}</w:t>
      </w:r>
      <w:r w:rsidRPr="00417AE1">
        <w:t>16.7.2026</w:t>
      </w:r>
      <w:r w:rsidRPr="00417AE1">
        <w:rPr>
          <w:rStyle w:val="HideTWBExt"/>
        </w:rPr>
        <w:t>&lt;/Date&gt;</w:t>
      </w:r>
    </w:p>
    <w:p w:rsidR="002E2F2E" w:rsidRPr="00417AE1" w14:paraId="07BB5ABF" w14:textId="77777777">
      <w:pPr>
        <w:pStyle w:val="CoverDocType24a"/>
      </w:pPr>
      <w:r w:rsidRPr="00417AE1">
        <w:rPr>
          <w:rStyle w:val="HideTWBExt"/>
          <w:b w:val="0"/>
        </w:rPr>
        <w:t>&lt;TitreType&gt;</w:t>
      </w:r>
      <w:r w:rsidRPr="00417AE1">
        <w:t>EVALUACIÓN PRESUPUESTARIA</w:t>
      </w:r>
      <w:r w:rsidRPr="00417AE1">
        <w:rPr>
          <w:rStyle w:val="HideTWBExt"/>
          <w:b w:val="0"/>
        </w:rPr>
        <w:t>&lt;/TitreType&gt;</w:t>
      </w:r>
    </w:p>
    <w:p w:rsidR="002E2F2E" w:rsidRPr="00417AE1" w14:paraId="3994FCD9" w14:textId="77777777">
      <w:pPr>
        <w:pStyle w:val="CoverNormal24a"/>
      </w:pPr>
      <w:r w:rsidRPr="00417AE1">
        <w:rPr>
          <w:rStyle w:val="HideTWBExt"/>
        </w:rPr>
        <w:t>&lt;CommissionResp&gt;</w:t>
      </w:r>
      <w:r w:rsidRPr="00417AE1">
        <w:t>de la Comisión de Presupuestos</w:t>
      </w:r>
      <w:r w:rsidRPr="00417AE1">
        <w:rPr>
          <w:rStyle w:val="HideTWBExt"/>
        </w:rPr>
        <w:t>&lt;/CommissionResp&gt;</w:t>
      </w:r>
    </w:p>
    <w:p w:rsidR="002E2F2E" w:rsidRPr="00417AE1" w14:paraId="23B4D1CC" w14:textId="77777777">
      <w:pPr>
        <w:pStyle w:val="CoverNormal24a"/>
      </w:pPr>
      <w:r w:rsidRPr="00417AE1">
        <w:rPr>
          <w:rStyle w:val="HideTWBExt"/>
        </w:rPr>
        <w:t>&lt;CommissionInt&gt;</w:t>
      </w:r>
      <w:r w:rsidRPr="00417AE1">
        <w:t>para la Comisión de Libertades Civiles, Justicia y Asuntos de Interior</w:t>
      </w:r>
      <w:r w:rsidRPr="00417AE1">
        <w:rPr>
          <w:rStyle w:val="HideTWBExt"/>
        </w:rPr>
        <w:t>&lt;/CommissionInt&gt;</w:t>
      </w:r>
    </w:p>
    <w:p w:rsidR="002E2F2E" w:rsidRPr="00417AE1" w14:paraId="6AE14517" w14:textId="190B39DA">
      <w:pPr>
        <w:pStyle w:val="CoverNormal"/>
      </w:pPr>
      <w:r w:rsidRPr="00417AE1">
        <w:rPr>
          <w:rStyle w:val="HideTWBExt"/>
        </w:rPr>
        <w:t>&lt;Titre&gt;</w:t>
      </w:r>
      <w:r w:rsidRPr="00417AE1">
        <w:t>sobre la propuesta de Reglamento del Parlamento Europeo y del Consejo por el que se establece el apoyo de la Unión al espacio Schengen, a la gestión europea integrada de las fronteras y a la política común de visados para el período</w:t>
      </w:r>
      <w:r w:rsidR="00417AE1">
        <w:t> </w:t>
      </w:r>
      <w:r w:rsidRPr="00417AE1">
        <w:t>2028</w:t>
      </w:r>
      <w:r w:rsidR="00417AE1">
        <w:noBreakHyphen/>
      </w:r>
      <w:r w:rsidRPr="00417AE1">
        <w:t>2034</w:t>
      </w:r>
      <w:r w:rsidRPr="00417AE1">
        <w:rPr>
          <w:rStyle w:val="HideTWBExt"/>
        </w:rPr>
        <w:t>&lt;/Titre&gt;</w:t>
      </w:r>
    </w:p>
    <w:p w:rsidR="002E2F2E" w:rsidRPr="00417AE1" w14:paraId="5F247638" w14:textId="77777777">
      <w:pPr>
        <w:pStyle w:val="CoverNormal24a"/>
        <w:rPr>
          <w:lang w:val="pt-PT"/>
        </w:rPr>
      </w:pPr>
      <w:r w:rsidRPr="00417AE1">
        <w:rPr>
          <w:rStyle w:val="HideTWBExt"/>
          <w:lang w:val="pt-PT"/>
        </w:rPr>
        <w:t>&lt;DocRef&gt;</w:t>
      </w:r>
      <w:r w:rsidRPr="00417AE1">
        <w:rPr>
          <w:lang w:val="pt-PT"/>
        </w:rPr>
        <w:t>(COM(2025)0541 – C10</w:t>
      </w:r>
      <w:r w:rsidRPr="00417AE1">
        <w:rPr>
          <w:lang w:val="pt-PT"/>
        </w:rPr>
        <w:noBreakHyphen/>
        <w:t>0176/2025 – 2025/0541(COD))</w:t>
      </w:r>
      <w:r w:rsidRPr="00417AE1">
        <w:rPr>
          <w:rStyle w:val="HideTWBExt"/>
          <w:lang w:val="pt-PT"/>
        </w:rPr>
        <w:t>&lt;/DocRef&gt;</w:t>
      </w:r>
    </w:p>
    <w:p w:rsidR="00A72C35" w:rsidRPr="00417AE1" w:rsidP="00FC42F1" w14:paraId="14D82DB8" w14:textId="77777777">
      <w:pPr>
        <w:pStyle w:val="CoverNormal24a"/>
        <w:rPr>
          <w:rStyle w:val="HideTWBExt"/>
        </w:rPr>
      </w:pPr>
      <w:r w:rsidRPr="00417AE1">
        <w:t xml:space="preserve">Ponente de evaluación presupuestaria: </w:t>
      </w:r>
      <w:r w:rsidRPr="00417AE1">
        <w:rPr>
          <w:rStyle w:val="HideTWBExt"/>
        </w:rPr>
        <w:t>&lt;Depute&gt;</w:t>
      </w:r>
      <w:r w:rsidRPr="00417AE1">
        <w:t>Anouk Van Brug</w:t>
      </w:r>
      <w:r w:rsidRPr="00417AE1">
        <w:rPr>
          <w:rStyle w:val="HideTWBExt"/>
        </w:rPr>
        <w:t>&lt;/Depute&gt;</w:t>
      </w:r>
    </w:p>
    <w:p w:rsidR="007C238A" w:rsidRPr="00417AE1" w:rsidP="00FC42F1" w14:paraId="445EAA7C" w14:textId="77777777">
      <w:pPr>
        <w:pStyle w:val="CoverNormal24a"/>
      </w:pPr>
    </w:p>
    <w:p w:rsidR="002E2F2E" w:rsidRPr="00417AE1" w:rsidP="00E856D2" w14:paraId="7EBF2B30" w14:textId="77777777">
      <w:pPr>
        <w:widowControl/>
        <w:tabs>
          <w:tab w:val="center" w:pos="4677"/>
        </w:tabs>
      </w:pPr>
      <w:r w:rsidRPr="00417AE1">
        <w:br w:type="page"/>
      </w:r>
      <w:r w:rsidRPr="00417AE1">
        <w:t>PA_LegEvaluation</w:t>
      </w:r>
    </w:p>
    <w:p w:rsidR="002E2F2E" w:rsidRPr="00417AE1" w:rsidP="00757C4C" w14:paraId="06E8CFF8" w14:textId="77777777">
      <w:pPr>
        <w:pStyle w:val="PageHeadingNotTOC"/>
      </w:pPr>
      <w:r w:rsidRPr="00417AE1">
        <w:br w:type="page"/>
      </w:r>
      <w:r w:rsidRPr="00417AE1">
        <w:t>EVALUACIÓN PRESUPUESTARIA</w:t>
      </w:r>
    </w:p>
    <w:p w:rsidR="00757C4C" w:rsidRPr="00417AE1" w:rsidP="00757C4C" w14:paraId="2C7F1691" w14:textId="77777777">
      <w:pPr>
        <w:pStyle w:val="NormalBold"/>
      </w:pPr>
      <w:r w:rsidRPr="00417AE1">
        <w:t>para la Comisión de Libertades Civiles, Justicia y Asuntos de Interior sobre la propuesta de Reglamento del Parlamento Europeo y del Consejo por el que se establece el apoyo de la Unión al espacio Schengen, a la gestión europea integrada de las fronteras y a la política común de visados para el período 2028-2034</w:t>
      </w:r>
    </w:p>
    <w:p w:rsidR="00006F54" w:rsidRPr="00417AE1" w:rsidP="00006F54" w14:paraId="2291785E" w14:textId="77777777">
      <w:pPr>
        <w:pStyle w:val="NormalBold"/>
      </w:pPr>
      <w:r w:rsidRPr="00417AE1">
        <w:t>(COM(2025)0541 – C10</w:t>
      </w:r>
      <w:r w:rsidRPr="00417AE1">
        <w:noBreakHyphen/>
        <w:t>0176/2025 – 2025/0541(COD))</w:t>
      </w:r>
    </w:p>
    <w:p w:rsidR="00AE79AF" w:rsidRPr="00417AE1" w:rsidP="00006F54" w14:paraId="41C370C3" w14:textId="77777777">
      <w:pPr>
        <w:pStyle w:val="Normal12a"/>
        <w:spacing w:before="480"/>
      </w:pPr>
      <w:r w:rsidRPr="00417AE1">
        <w:rPr>
          <w:rStyle w:val="HideTWBExt"/>
        </w:rPr>
        <w:t>&lt;Intro&gt;</w:t>
      </w:r>
      <w:r w:rsidRPr="00417AE1">
        <w:t>De conformidad con el artículo 58 del Reglamento interno, la Comisión de Presupuestos ha emitido una evaluación de la propuesta y ha concluido lo que sigue:</w:t>
      </w:r>
      <w:r w:rsidRPr="00417AE1">
        <w:rPr>
          <w:rStyle w:val="HideTWBExt"/>
        </w:rPr>
        <w:t>&lt;/Intro&gt;</w:t>
      </w:r>
    </w:p>
    <w:p w:rsidR="00CE6558" w:rsidRPr="00417AE1" w:rsidP="00CE6558" w14:paraId="01C9AEAD" w14:textId="77777777">
      <w:pPr>
        <w:pStyle w:val="EPComma"/>
      </w:pPr>
      <w:r w:rsidRPr="00417AE1">
        <w:rPr>
          <w:i/>
        </w:rPr>
        <w:t>La Comisión de Presupuestos</w:t>
      </w:r>
      <w:r w:rsidRPr="00417AE1">
        <w:t>,</w:t>
      </w:r>
    </w:p>
    <w:p w:rsidR="00A16CB2" w:rsidRPr="00417AE1" w:rsidP="00BF2735" w14:paraId="313EE16A" w14:textId="77777777">
      <w:pPr>
        <w:pStyle w:val="NormalHanging12a"/>
      </w:pPr>
      <w:r w:rsidRPr="00417AE1">
        <w:t>A.</w:t>
      </w:r>
      <w:r w:rsidRPr="00417AE1">
        <w:tab/>
        <w:t>Considerando que la propuesta</w:t>
      </w:r>
      <w:r>
        <w:rPr>
          <w:rStyle w:val="FootnoteReference"/>
        </w:rPr>
        <w:footnoteReference w:id="2"/>
      </w:r>
      <w:r w:rsidRPr="00417AE1">
        <w:t>, junto con la propuesta de Reglamento por el que se establece el apoyo de la Unión a la seguridad interior</w:t>
      </w:r>
      <w:r>
        <w:rPr>
          <w:rStyle w:val="FootnoteReference"/>
        </w:rPr>
        <w:footnoteReference w:id="3"/>
      </w:r>
      <w:r w:rsidRPr="00417AE1">
        <w:t xml:space="preserve"> y la propuesta de Reglamento por el que se establece el apoyo de la Unión al asilo, la migración y la integración</w:t>
      </w:r>
      <w:r>
        <w:rPr>
          <w:rStyle w:val="FootnoteReference"/>
        </w:rPr>
        <w:footnoteReference w:id="4"/>
      </w:r>
      <w:r w:rsidRPr="00417AE1">
        <w:t xml:space="preserve"> (conjuntamente, «Reglamentos sobre asuntos de interior»), establece el marco jurídico específico para la acción de la Unión en los ámbitos de la gestión de la migración y el asilo, la gestión de las fronteras exteriores, el espacio Schengen y la política de visados de la UE, y la seguridad interior; que la financiación de la propuesta se obtendría de la propuesta de Reglamento por el que se establece un Fondo Europeo para la Cohesión Económica, Social y Territorial, la Agricultura y las Zonas Rurales, la P</w:t>
      </w:r>
      <w:r w:rsidRPr="00417AE1">
        <w:t>esca y el Mar, la Prosperidad y la Seguridad</w:t>
      </w:r>
      <w:r>
        <w:rPr>
          <w:rStyle w:val="FootnoteReference"/>
          <w:bCs/>
          <w:szCs w:val="24"/>
        </w:rPr>
        <w:footnoteReference w:id="5"/>
      </w:r>
      <w:r w:rsidRPr="00417AE1">
        <w:t xml:space="preserve"> (el «Reglamento sobre los planes de CNR»);</w:t>
      </w:r>
    </w:p>
    <w:p w:rsidR="00A16CB2" w:rsidRPr="00417AE1" w:rsidP="00BF2735" w14:paraId="545A6CAF" w14:textId="2E3CB876">
      <w:pPr>
        <w:pStyle w:val="NormalHanging12a"/>
      </w:pPr>
      <w:r w:rsidRPr="00417AE1">
        <w:t>B.</w:t>
      </w:r>
      <w:r w:rsidRPr="00417AE1">
        <w:tab/>
        <w:t>Considerando que la propuesta establece una dotación financiera indicativa de aproximadamente 15 400 millones EUR a precios corrientes para el apoyo de la Unión al espacio Schengen, la gestión integrada de las fronteras europeas y la política común de visados, frente a unos 7 000 millones EUR en el período de programación</w:t>
      </w:r>
      <w:r w:rsidR="00B57A92">
        <w:t> </w:t>
      </w:r>
      <w:r w:rsidRPr="00417AE1">
        <w:t>2021</w:t>
      </w:r>
      <w:r w:rsidR="00B57A92">
        <w:noBreakHyphen/>
      </w:r>
      <w:r w:rsidRPr="00417AE1">
        <w:t>2027, lo que supone un aumento de alrededor de</w:t>
      </w:r>
      <w:r w:rsidR="00B57A92">
        <w:t> </w:t>
      </w:r>
      <w:r w:rsidRPr="00417AE1">
        <w:t>8 400</w:t>
      </w:r>
      <w:r w:rsidR="00B57A92">
        <w:t> </w:t>
      </w:r>
      <w:r w:rsidRPr="00417AE1">
        <w:t>millones EUR a precios corrientes y una ligera disminución, de alrededor de</w:t>
      </w:r>
      <w:r w:rsidR="00B57A92">
        <w:t> </w:t>
      </w:r>
      <w:r w:rsidRPr="00417AE1">
        <w:t>6 700 millones EUR, a precios constantes;</w:t>
      </w:r>
    </w:p>
    <w:p w:rsidR="005A099F" w:rsidRPr="00417AE1" w:rsidP="00BF2735" w14:paraId="2C0869DD" w14:textId="77777777">
      <w:pPr>
        <w:pStyle w:val="NormalHanging12a"/>
        <w:rPr>
          <w:szCs w:val="24"/>
        </w:rPr>
      </w:pPr>
      <w:r w:rsidRPr="00417AE1">
        <w:t>C.</w:t>
      </w:r>
      <w:r w:rsidRPr="00417AE1">
        <w:tab/>
        <w:t xml:space="preserve">Considerando que, de conformidad con el artículo 10, apartado 2, letra a), inciso iii), de la propuesta de Reglamento sobre los planes de colaboración nacional y regional </w:t>
      </w:r>
      <w:r w:rsidRPr="00417AE1">
        <w:t xml:space="preserve">(planes de CNR), la dotación financiera de 34 200 millones EUR para los tres Reglamentos sobre asuntos de interior constituye un importe mínimo garantizado; que, de conformidad con el artículo 11, apartado 3, del mismo Reglamento, los Estados miembros pueden reasignar parte de los importes indicativos establecidos en cada uno de los tres </w:t>
      </w:r>
      <w:r w:rsidRPr="00417AE1">
        <w:t>Reglamentos sobre asuntos de interior a la aplicación de sus objetivos, siempre que todos los objetivos se aborden de manera proporcionada;</w:t>
      </w:r>
    </w:p>
    <w:p w:rsidR="005A099F" w:rsidRPr="00417AE1" w:rsidP="00BF2735" w14:paraId="59D21987" w14:textId="77777777">
      <w:pPr>
        <w:pStyle w:val="NormalHanging12a"/>
        <w:rPr>
          <w:szCs w:val="24"/>
        </w:rPr>
      </w:pPr>
      <w:r w:rsidRPr="00417AE1">
        <w:t>D.</w:t>
      </w:r>
      <w:r w:rsidRPr="00417AE1">
        <w:tab/>
        <w:t>Considerando que este aumento significativo de la dotación financiera también contribuirá, según la propuesta, a garantizar una protección adecuada de las fronteras exteriores de la Unión, incluidas las fronteras orientales, en respuesta a los recientes acontecimientos geopolíticos;</w:t>
      </w:r>
    </w:p>
    <w:p w:rsidR="00A16CB2" w:rsidRPr="00417AE1" w:rsidP="00BF2735" w14:paraId="6C2A2C81" w14:textId="77777777">
      <w:pPr>
        <w:pStyle w:val="NormalHanging12a"/>
      </w:pPr>
      <w:r w:rsidRPr="00417AE1">
        <w:t>E.</w:t>
      </w:r>
      <w:r w:rsidRPr="00417AE1">
        <w:tab/>
        <w:t>Considerando que la propuesta de Reglamento sobre los planes de CNR solo prevé dos líneas presupuestarias que fusionan los Reglamentos sobre asuntos de interior, una para los gastos operativos en el marco de los planes de colaboración nacional y regional (planes CNR) y otra en el marco del Mecanismo de la UE, a diferencia del período de programación 2021-2027, en el que el Fondo de Asilo, Migración e Integración tenía múltiples líneas presupuestarias;</w:t>
      </w:r>
    </w:p>
    <w:p w:rsidR="00A16CB2" w:rsidRPr="00417AE1" w:rsidP="00BF2735" w14:paraId="28FA3040" w14:textId="77777777">
      <w:pPr>
        <w:pStyle w:val="NormalHanging12a"/>
      </w:pPr>
      <w:r w:rsidRPr="00417AE1">
        <w:t>F.</w:t>
      </w:r>
      <w:r w:rsidRPr="00417AE1">
        <w:tab/>
        <w:t>Considerando que la propuesta de Reglamento sobre los planes de CNR establece el Mecanismo de la UE, que prevé un importe indicativo de 25 200 millones EUR disponibles para medidas relacionadas con los objetivos en materia de asuntos de interior;</w:t>
      </w:r>
    </w:p>
    <w:p w:rsidR="00A16CB2" w:rsidRPr="00417AE1" w:rsidP="00BF2735" w14:paraId="2119C392" w14:textId="77777777">
      <w:pPr>
        <w:pStyle w:val="NormalHanging12a"/>
      </w:pPr>
      <w:r w:rsidRPr="00417AE1">
        <w:t>1.</w:t>
      </w:r>
      <w:r w:rsidRPr="00417AE1">
        <w:tab/>
        <w:t>Insiste en que la dotación del programa debe incrementarse de 15 396 750 000 EUR a precios corrientes a 17 117 154 000 EUR a precios corrientes y 15 300 000 000 EUR a precios de 2025, para que puedan alcanzarse sus objetivos;</w:t>
      </w:r>
    </w:p>
    <w:p w:rsidR="005A099F" w:rsidRPr="00417AE1" w:rsidP="00BF2735" w14:paraId="747073FB" w14:textId="77777777">
      <w:pPr>
        <w:pStyle w:val="NormalHanging12a"/>
        <w:rPr>
          <w:bCs/>
          <w:iCs/>
          <w:szCs w:val="24"/>
        </w:rPr>
      </w:pPr>
      <w:r w:rsidRPr="00417AE1">
        <w:t>2.</w:t>
      </w:r>
      <w:r w:rsidRPr="00417AE1">
        <w:tab/>
        <w:t>Toma nota de que, de conformidad con la propuesta de Reglamento sobre los planes de CNR, la dotación financiera para los tres Reglamento sobre asuntos de interior constituye un importe mínimo garantizado; estima, no obstante, que la dotación financiera para cada uno de los tres Reglamentos sobre asuntos de interior debe estar claramente separada para reflejar mejor sus prioridades y objetivos específicos;</w:t>
      </w:r>
    </w:p>
    <w:p w:rsidR="005A099F" w:rsidRPr="00417AE1" w:rsidP="00BF2735" w14:paraId="191E4A04" w14:textId="77777777">
      <w:pPr>
        <w:pStyle w:val="NormalHanging12a"/>
        <w:rPr>
          <w:bCs/>
          <w:iCs/>
          <w:szCs w:val="24"/>
        </w:rPr>
      </w:pPr>
      <w:r w:rsidRPr="00417AE1">
        <w:t>3.</w:t>
      </w:r>
      <w:r w:rsidRPr="00417AE1">
        <w:tab/>
        <w:t>Recuerda que toda la financiación adicional asignada a las acciones de asuntos de interior a través del Mecanismo de la UE se establecerá en el marco del procedimiento presupuestario anual, respetando plenamente las prerrogativas de la autoridad presupuestaria; expresa su preocupación por el hecho de que solo la Comisión, a través de su programa de trabajo, determine la asignación de los importes entre los tres fondos de asuntos de interior y entre los diferentes Estados miembros; estima que esto limita en</w:t>
      </w:r>
      <w:r w:rsidRPr="00417AE1">
        <w:t xml:space="preserve"> la práctica el papel del Parlamento a la hora de aprobar una cifra agregada al no poder pronunciarse sobre las prioridades reales de gasto; pide criterios de asignación claros, una mayor transparencia y la participación parlamentaria a lo largo de todo el proceso decisión;</w:t>
      </w:r>
    </w:p>
    <w:p w:rsidR="00A16CB2" w:rsidRPr="00417AE1" w:rsidP="00BF2735" w14:paraId="3A0A293C" w14:textId="77777777">
      <w:pPr>
        <w:pStyle w:val="NormalHanging12a"/>
      </w:pPr>
      <w:r w:rsidRPr="00417AE1">
        <w:t>4.</w:t>
      </w:r>
      <w:r w:rsidRPr="00417AE1">
        <w:tab/>
        <w:t xml:space="preserve">Considera que debe disponerse desde el principio, y a lo largo de todo el período de programación del próximo MFP 2028-2034, de recursos suficientes, en particular humanos, técnicos e informáticos suficientes para garantizar una aplicación efectiva del apoyo de la Unión para el espacio Schengen, la gestión integrada de las fronteras europeas y la política común de visados; subraya la importancia de garantizar un uso </w:t>
      </w:r>
      <w:r w:rsidRPr="00417AE1">
        <w:t>eficiente y proporcionado de los fondos de la Unión, evitando al mismo tiempo cargas admini</w:t>
      </w:r>
      <w:r w:rsidRPr="00417AE1">
        <w:t>strativas innecesarias;</w:t>
      </w:r>
    </w:p>
    <w:p w:rsidR="00A16CB2" w:rsidRPr="00417AE1" w:rsidP="00BF2735" w14:paraId="32DCBBF6" w14:textId="77777777">
      <w:pPr>
        <w:pStyle w:val="NormalHanging12a"/>
      </w:pPr>
      <w:r w:rsidRPr="00417AE1">
        <w:t>5.</w:t>
      </w:r>
      <w:r w:rsidRPr="00417AE1">
        <w:tab/>
        <w:t>Considera que el Mecanismo Temático ya ofrece cierto grado de flexibilidad en la asignación de fondos para los objetivos de asuntos de interior; estima, en consonancia con el Dictamen 09/2026 del Tribunal de Cuentas Europeo</w:t>
      </w:r>
      <w:r>
        <w:rPr>
          <w:rStyle w:val="FootnoteReference"/>
        </w:rPr>
        <w:footnoteReference w:id="6"/>
      </w:r>
      <w:r w:rsidRPr="00417AE1">
        <w:t xml:space="preserve">, que la mayor flexibilidad prevista en el Reglamento sobre los planes CNR, que permite a los Estados miembros reasignar, al presentar su plan inicial o durante la ejecución, importes entre las tres dotaciones de los Reglamentos sobre asuntos de interior sin necesidad de proporcionar una justificación, correría el riesgo de que las reasignaciones no se basen en criterios objetivos y podría provocar la falta de predictibilidad </w:t>
      </w:r>
      <w:r w:rsidRPr="00417AE1">
        <w:rPr>
          <w:i/>
          <w:iCs/>
        </w:rPr>
        <w:t>ex ante</w:t>
      </w:r>
      <w:r w:rsidRPr="00417AE1">
        <w:t xml:space="preserve"> de la financiación del programa; subraya que, en casos debidamente justifi</w:t>
      </w:r>
      <w:r w:rsidRPr="00417AE1">
        <w:t>cados, cualquier cambio imprevisto pero necesario en las asignaciones previstas inicialmente debe mantenerse dentro de los límites y objetivos establecidos en el acto de base y que los Estados miembros deben informar a la Comisión de dichos cambios sin demora indebida;</w:t>
      </w:r>
    </w:p>
    <w:p w:rsidR="00A16CB2" w:rsidRPr="00417AE1" w:rsidP="00BF2735" w14:paraId="5923AC0D" w14:textId="77777777">
      <w:pPr>
        <w:pStyle w:val="NormalHanging12a"/>
        <w:rPr>
          <w:u w:val="single"/>
        </w:rPr>
      </w:pPr>
      <w:r w:rsidRPr="00417AE1">
        <w:t>6.</w:t>
      </w:r>
      <w:r w:rsidRPr="00417AE1">
        <w:tab/>
      </w:r>
      <w:r w:rsidRPr="00417AE1">
        <w:t>Manifiesta su preocupación por la falta de criterios claros y objetivos, definiciones y metodología, sobre lo que la Comisión consideraría un nivel adecuado o suficiente de recursos asignados al asilo, la migración y la integración, la gestión de las fronteras y los visados, y la seguridad interior, para poder cumplir, de manera proporcionada, todos los objetivos en el ámbito de los asuntos de interior, tal como destacó el Tribunal de Cuentas Europeo en su Dictamen 09/2026;</w:t>
      </w:r>
    </w:p>
    <w:p w:rsidR="00C41232" w:rsidRPr="00417AE1" w:rsidP="00BF2735" w14:paraId="488C46D7" w14:textId="615F89F3">
      <w:pPr>
        <w:pStyle w:val="NormalHanging12a"/>
        <w:rPr>
          <w:bCs/>
          <w:iCs/>
          <w:szCs w:val="24"/>
        </w:rPr>
      </w:pPr>
      <w:r w:rsidRPr="00417AE1">
        <w:t>7.</w:t>
      </w:r>
      <w:r w:rsidRPr="00417AE1">
        <w:tab/>
        <w:t>Tal y como destaca la Resolución del Parlamento sobre la Propuesta de Reglamento del Consejo por el que se establece el marco financiero plurianual para el período</w:t>
      </w:r>
      <w:r w:rsidR="00702104">
        <w:t> </w:t>
      </w:r>
      <w:r w:rsidRPr="00417AE1">
        <w:t>2028</w:t>
      </w:r>
      <w:r w:rsidR="00702104">
        <w:noBreakHyphen/>
      </w:r>
      <w:r w:rsidRPr="00417AE1">
        <w:t>2034</w:t>
      </w:r>
      <w:r>
        <w:rPr>
          <w:rStyle w:val="FootnoteReference"/>
          <w:bCs/>
          <w:iCs/>
          <w:szCs w:val="24"/>
        </w:rPr>
        <w:footnoteReference w:id="7"/>
      </w:r>
      <w:r w:rsidRPr="00417AE1">
        <w:t>, considera que todas las opciones políticas sustantivas, como los objetivos de los programas, las prioridades de gasto, las asignaciones financieras, los porcentajes de financiación, los criterios de admisibilidad, selección y adjudicación, las condiciones, las definiciones y los métodos de cálculo, deben determinarse en el acto legislativo de base pertinente, respetando plenamente las prerrogativas del Parlamento como colegislador y una rama de la autoridad presupuestaria de la Unión, y que cualquier elem</w:t>
      </w:r>
      <w:r w:rsidRPr="00417AE1">
        <w:t>ento suplementario o que no sea esencial que conlleve opciones políticas que no estén incluidas en el acto de base, solo se apruebe mediante actos delegados; insiste, además, en el contexto de la aprobación de los planes de CNR, en que el Parlamento y el Consejo estén en pie de igualdad en todo el procedimiento;</w:t>
      </w:r>
    </w:p>
    <w:p w:rsidR="00A16CB2" w:rsidRPr="00417AE1" w:rsidP="00BF2735" w14:paraId="488670F5" w14:textId="77777777">
      <w:pPr>
        <w:pStyle w:val="NormalHanging12a"/>
        <w:rPr>
          <w:szCs w:val="24"/>
        </w:rPr>
      </w:pPr>
      <w:r w:rsidRPr="00417AE1">
        <w:t>8.</w:t>
      </w:r>
      <w:r w:rsidRPr="00417AE1">
        <w:tab/>
        <w:t xml:space="preserve">Lamenta que no se proponga una nomenclatura presupuestaria indicativa suficientemente detallada por lo que respecta al espacio Schengen, la gestión integrada de las fronteras europeas y la política común de visados en la ficha legislativa de financiación y digital que acompaña al Reglamento sobre los planes de CNR; estima que esto obstaculizará la supervisión y la capacidad de la autoridad presupuestaria para orientar con precisión las prioridades políticas en el procedimiento presupuestario </w:t>
      </w:r>
      <w:r w:rsidRPr="00417AE1">
        <w:t>anual; recomie</w:t>
      </w:r>
      <w:r w:rsidRPr="00417AE1">
        <w:t>nda que se estudie la posibilidad de fijar subdotaciones indicativas en el acto de base; expresa su preocupación por el hecho de que la estructura presupuestaria, excesivamente cumulativa, aumentaría sobremanera la discrecionalidad de la Comisión a la hora de transferir y reasignar recursos sin una decisión de la autoridad presupuestaria y limitaría gravemente la supervisión parlamentaria; recomienda, por tanto, una nomenclatura más detallada que refleje adecuadamente los objetivos y la estructura del progr</w:t>
      </w:r>
      <w:r w:rsidRPr="00417AE1">
        <w:t>ama y mejore la transparencia, la rendición de cuentas y el control parlamentario;</w:t>
      </w:r>
    </w:p>
    <w:p w:rsidR="00C41232" w:rsidRPr="00417AE1" w:rsidP="00BF2735" w14:paraId="68A85273" w14:textId="2E4544A0">
      <w:pPr>
        <w:pStyle w:val="NormalHanging12a"/>
        <w:rPr>
          <w:szCs w:val="24"/>
        </w:rPr>
      </w:pPr>
      <w:r w:rsidRPr="00417AE1">
        <w:t>9.</w:t>
      </w:r>
      <w:r w:rsidRPr="00417AE1">
        <w:tab/>
      </w:r>
      <w:r w:rsidRPr="00417AE1">
        <w:t>Recuerda que la nomenclatura presupuestaria debe establecerse según lo dispuesto en el artículo 47, apartado 2, del Reglamento Financiero</w:t>
      </w:r>
      <w:r>
        <w:rPr>
          <w:rStyle w:val="FootnoteReference"/>
          <w:szCs w:val="24"/>
        </w:rPr>
        <w:footnoteReference w:id="8"/>
      </w:r>
      <w:r w:rsidRPr="00417AE1">
        <w:t xml:space="preserve">, en virtud del cual cada título ha de corresponder a una política y cada capítulo, por regla general, a un programa o una actividad, de conformidad con los principios de especialidad, buena gestión financiera y transparencia; recomienda que la Comisión de Libertades Civiles, Justicia y Asuntos de Interior modifique la propuesta para incluir un anexo que defina la nomenclatura del programa; insiste en que la nomenclatura presupuestaria forma parte integrante de la posición negociadora del Parlamento y debe </w:t>
      </w:r>
      <w:r w:rsidRPr="00417AE1">
        <w:t>debatirse en las negociaciones interinstitucionales; estima, a este respecto, que la ficha legislativa de financiación y digital revisada debe formar parte del acuerdo político final;</w:t>
      </w:r>
    </w:p>
    <w:p w:rsidR="00CC57F4" w:rsidRPr="00417AE1" w:rsidP="00BF2735" w14:paraId="1C6FF1C0" w14:textId="77777777">
      <w:pPr>
        <w:pStyle w:val="NormalHanging12a"/>
      </w:pPr>
      <w:r w:rsidRPr="00417AE1">
        <w:t>10.</w:t>
      </w:r>
      <w:r w:rsidRPr="00417AE1">
        <w:tab/>
        <w:t>Insiste en que una normativa suficientemente detallada y sólida, con un nivel adecuado de gobernanza, es condición necesaria para una toma de decisiones presupuestarias adecuada y un control parlamentario adecuado durante la ejecución del presupuesto; recomienda que se introduzcan disposiciones para reforzar el control sobre cómo se moviliza y utiliza el presupuesto; considera que el denominado «mecanismo de dirección» no puede sustituir en modo alguno las competencias legislativas y presupuestarias del Pa</w:t>
      </w:r>
      <w:r w:rsidRPr="00417AE1">
        <w:t>rlamento ni puede concebirse sin una estructura de gobernanza sólida que garantice el ejercicio de tales competencias;</w:t>
      </w:r>
    </w:p>
    <w:p w:rsidR="00A16CB2" w:rsidRPr="00417AE1" w:rsidP="00BF2735" w14:paraId="0D9A22C7" w14:textId="77777777">
      <w:pPr>
        <w:pStyle w:val="NormalHanging12a"/>
      </w:pPr>
      <w:r w:rsidRPr="00417AE1">
        <w:t>11.</w:t>
      </w:r>
      <w:r w:rsidRPr="00417AE1">
        <w:tab/>
        <w:t>Insiste en que deben respetarse plenamente las prerrogativas de la autoridad presupuestaria; pide mayor transparencia en lo que respecta a la asignación y el uso de los fondos del Mecanismo de la UE;</w:t>
      </w:r>
    </w:p>
    <w:p w:rsidR="00A16CB2" w:rsidRPr="00417AE1" w:rsidP="00BF2735" w14:paraId="6D34DF77" w14:textId="77777777">
      <w:pPr>
        <w:pStyle w:val="NormalHanging12a"/>
      </w:pPr>
      <w:r w:rsidRPr="00417AE1">
        <w:t>12.</w:t>
      </w:r>
      <w:r w:rsidRPr="00417AE1">
        <w:tab/>
      </w:r>
      <w:bookmarkStart w:id="1" w:name="_Hlk235614313"/>
      <w:r w:rsidRPr="00417AE1">
        <w:t>Acoge con satisfacción la atención prestada a una mayor coherencia entre la migración, el asilo, el retorno y las políticas exteriores; subraya que las sinergias y la complementariedad con otras políticas y programas de la Unión, como el apoyo de la Unión al asilo, la migración y la integración y a la seguridad interior, deben perseguirse exclusivamente con vistas a maximizar la eficiencia operativa y evitar la duplicación de la financiación, manteniendo al mismo tiempo los distintos objetivos políticos de</w:t>
      </w:r>
      <w:r w:rsidRPr="00417AE1">
        <w:t xml:space="preserve"> cada instrumento;</w:t>
      </w:r>
      <w:bookmarkEnd w:id="1"/>
    </w:p>
    <w:p w:rsidR="009F4DCD" w:rsidRPr="00417AE1" w:rsidP="00BF2735" w14:paraId="206DDAC2" w14:textId="6B13C41F">
      <w:pPr>
        <w:pStyle w:val="NormalHanging12a"/>
        <w:rPr>
          <w:szCs w:val="24"/>
        </w:rPr>
      </w:pPr>
      <w:r w:rsidRPr="00417AE1">
        <w:t>13.</w:t>
      </w:r>
      <w:r w:rsidRPr="00417AE1">
        <w:tab/>
        <w:t xml:space="preserve">Recuerda que, en virtud del artículo 6, apartado 2, del Reglamento Financiero, el establecimiento y la ejecución del presupuesto deben respetar un régimen general de condicionalidad en caso de violaciones del Estado de Derecho; subraya, asimismo, que en el artículo 6, apartado 3, del mismo Reglamento se exige que, en la ejecución del presupuesto, los Estados miembros y la Comisión garanticen el cumplimiento de la </w:t>
      </w:r>
      <w:r w:rsidRPr="00417AE1">
        <w:t>Carta de los Derechos Fundamentales de la Unión Europea y respeten aquellos valores en los que</w:t>
      </w:r>
      <w:r w:rsidRPr="00417AE1">
        <w:t xml:space="preserve"> se fundamenta la Unión, tal como se establecen en el artículo 2 del Tratado de la Unión Europea; pide, a este respecto, un análisis exhaustivo </w:t>
      </w:r>
      <w:r w:rsidRPr="00417AE1">
        <w:rPr>
          <w:i/>
          <w:iCs/>
        </w:rPr>
        <w:t>ex</w:t>
      </w:r>
      <w:r w:rsidR="00702104">
        <w:rPr>
          <w:i/>
          <w:iCs/>
        </w:rPr>
        <w:t> </w:t>
      </w:r>
      <w:r w:rsidRPr="00417AE1">
        <w:rPr>
          <w:i/>
          <w:iCs/>
        </w:rPr>
        <w:t>ante</w:t>
      </w:r>
      <w:r w:rsidRPr="00417AE1">
        <w:t xml:space="preserve"> en el procedimiento de adjudicación en el marco del programa;</w:t>
      </w:r>
    </w:p>
    <w:p w:rsidR="00A16CB2" w:rsidRPr="00417AE1" w:rsidP="00BF2735" w14:paraId="316E0823" w14:textId="77777777">
      <w:pPr>
        <w:pStyle w:val="NormalHanging12a"/>
      </w:pPr>
      <w:bookmarkStart w:id="2" w:name="_Hlk225946445"/>
      <w:r w:rsidRPr="00417AE1">
        <w:t>14.</w:t>
      </w:r>
      <w:r w:rsidRPr="00417AE1">
        <w:tab/>
        <w:t>Destaca que el uso de los ingresos afectados externos en el marco del presente apoyo de la Unión debe estar claramente delimitado, ser plenamente transparente y estar sujeto a un control parlamentario efectivo; toma nota, a este respecto, de las disposiciones relativas a las contribuciones adicionales al programa; recuerda la importancia de garantizar la trazabilidad de los ingresos afectados externos; subraya que, en caso de que la comisión competente para el fondo someta a consideración la modificación d</w:t>
      </w:r>
      <w:r w:rsidRPr="00417AE1">
        <w:t>e las disposiciones relativas a los ingresos afectados externos, tal modificación debe llevarse a cabo en coordinación con la Comisión de Presupuestos y las demás comisiones, a fin de garantizar un enfoque coherente;</w:t>
      </w:r>
    </w:p>
    <w:p w:rsidR="009F4DCD" w:rsidRPr="00417AE1" w:rsidP="00BF2735" w14:paraId="653B0160" w14:textId="77777777">
      <w:pPr>
        <w:pStyle w:val="NormalHanging12a"/>
        <w:rPr>
          <w:bCs/>
          <w:iCs/>
          <w:szCs w:val="24"/>
        </w:rPr>
      </w:pPr>
      <w:r w:rsidRPr="00417AE1">
        <w:t>15.</w:t>
      </w:r>
      <w:r w:rsidRPr="00417AE1">
        <w:tab/>
        <w:t>Recuerda la propuesta de Reglamento por el que se establece un marco de rendimiento y rastreo del gasto del presupuesto y otras normas horizontales de aplicación a los programas y actividades de la Unión (Reglamento sobre el rendimiento), que establece un listado único racionalizado de indicadores de rendimiento y disposiciones de seguimiento y evaluación, algunas de las cuales son pertinentes para el programa; subraya que todo cambio en la estructura, los objetivos y las acciones subvencionables en el mar</w:t>
      </w:r>
      <w:r w:rsidRPr="00417AE1">
        <w:t>co del programa deberá reflejarse adecuadamente en el anexo I del Reglamento sobre el rendimiento, como parte del proceso de modificación y negociación de dicho Reglamento; señala que, si bien la normativa sectorial puede complementar el Reglamento sobre el rendimiento, por ejemplo en lo que se refiere a las evaluaciones de los programas, debe seguir siendo coherente con las disposiciones de dicho Reglamento;</w:t>
      </w:r>
    </w:p>
    <w:p w:rsidR="009F4DCD" w:rsidRPr="00417AE1" w:rsidP="00BF2735" w14:paraId="23B0B7D6" w14:textId="77777777">
      <w:pPr>
        <w:pStyle w:val="NormalHanging12a"/>
        <w:rPr>
          <w:bCs/>
          <w:iCs/>
          <w:szCs w:val="24"/>
        </w:rPr>
      </w:pPr>
      <w:r w:rsidRPr="00417AE1">
        <w:t>16.</w:t>
      </w:r>
      <w:r w:rsidRPr="00417AE1">
        <w:tab/>
        <w:t>Toma nota de la complementariedad propuesta entre el apoyo de la Unión al espacio Schengen, a la gestión europea integrada de las fronteras y a la política común de visados y otros programas como Europa Global; subraya que una mayor complementariedad entre los instrumentos no debe ir en detrimento de la trazabilidad del gasto ni de las prerrogativas de la autoridad presupuestaria; destaca que la contribución del programa a las operaciones financiadas conjuntamente con otros instrumentos debe ser explícitam</w:t>
      </w:r>
      <w:r w:rsidRPr="00417AE1">
        <w:t>ente identificable en todas las fases del ciclo presupuestario; hace hincapié, a este respecto, en que toda contribución de este tipo debe reflejarse debidamente en la declaración de rendimiento del programa; insiste en que la autoridad presupuestaria debe mantener el control pleno sobre la manera en que se combinan los recursos entre los distintos instrumentos y sobre la contribución efectiva de cada programa a las prioridades de la Unión, en particular a través de una nomenclatura presupuestaria detallada</w:t>
      </w:r>
      <w:r w:rsidRPr="00417AE1">
        <w:t>; subraya que una mayor complementariedad entre los programas no debe dar lugar a una complejidad desproporcionada para los beneficiarios; pide que la financiación de la UE sea más clara, accesible y coherente con el fin de facilitar la adopción y maximizar el impacto de las inversiones;</w:t>
      </w:r>
    </w:p>
    <w:p w:rsidR="00A16CB2" w:rsidRPr="00417AE1" w:rsidP="00BF2735" w14:paraId="4D895F2A" w14:textId="77777777">
      <w:pPr>
        <w:pStyle w:val="NormalHanging12a"/>
      </w:pPr>
      <w:r w:rsidRPr="00417AE1">
        <w:t>17.</w:t>
      </w:r>
      <w:r w:rsidRPr="00417AE1">
        <w:tab/>
        <w:t>Pide requisitos coherentes y armonizados para los Estados miembros establecidos en relación con la prevención, detección, notificación y corrección del fraude desde el inicio del período de aplicación;</w:t>
      </w:r>
    </w:p>
    <w:p w:rsidR="00A16CB2" w:rsidRPr="00417AE1" w:rsidP="00BF2735" w14:paraId="2A14A09B" w14:textId="77777777">
      <w:pPr>
        <w:pStyle w:val="NormalHanging12a"/>
      </w:pPr>
      <w:r w:rsidRPr="00417AE1">
        <w:t>18.</w:t>
      </w:r>
      <w:r w:rsidRPr="00417AE1">
        <w:tab/>
        <w:t>Subraya que deben establecerse marcos sólidos de control y auditoría para proteger los intereses financieros de la Unión;</w:t>
      </w:r>
      <w:bookmarkEnd w:id="2"/>
    </w:p>
    <w:p w:rsidR="009F4DCD" w:rsidRPr="00417AE1" w:rsidP="00BF2735" w14:paraId="746225AF" w14:textId="77777777">
      <w:pPr>
        <w:pStyle w:val="NormalHanging12a"/>
        <w:rPr>
          <w:bCs/>
          <w:iCs/>
          <w:szCs w:val="24"/>
        </w:rPr>
      </w:pPr>
      <w:r w:rsidRPr="00417AE1">
        <w:t>19.</w:t>
      </w:r>
      <w:r w:rsidRPr="00417AE1">
        <w:tab/>
        <w:t>Pide a la comisión competente para el fondo que coordine sus enmiendas para que sean plenamente coherentes con las adoptadas para el Reglamento sobre los planes de CNR; reitera la necesidad de mantener un marco y una normativa de aplicación horizontales para las políticas incluidas en los planes de CNR, con el fin de garantizar la coherencia y evitar la fragmentación.</w:t>
      </w:r>
    </w:p>
    <w:p w:rsidR="007D05EE" w:rsidRPr="00417AE1" w:rsidP="007D05EE" w14:paraId="744CA06F" w14:textId="77777777">
      <w:pPr>
        <w:pStyle w:val="NormalHanging12a"/>
      </w:pPr>
    </w:p>
    <w:p w:rsidR="009F4DCD" w:rsidRPr="00417AE1" w:rsidP="007D05EE" w14:paraId="3AB3B7E3" w14:textId="77777777">
      <w:pPr>
        <w:pStyle w:val="NormalHanging12a"/>
        <w:sectPr w:rsidSect="005146E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FE24DE" w:rsidRPr="00417AE1" w:rsidP="00FE24DE" w14:paraId="1BA25928" w14:textId="77777777">
      <w:pPr>
        <w:pStyle w:val="PageHeadingNotTOC"/>
      </w:pPr>
      <w:r w:rsidRPr="00417AE1">
        <w:t>ENMIENDAS</w:t>
      </w:r>
    </w:p>
    <w:p w:rsidR="00BF0AFC" w:rsidRPr="00417AE1" w:rsidP="00825069" w14:paraId="3E431744" w14:textId="77777777">
      <w:pPr>
        <w:pStyle w:val="Normal12a"/>
      </w:pPr>
      <w:r w:rsidRPr="00417AE1">
        <w:t>En el marco de su evaluación presupuestaria, la Comisión de Presupuestos presenta, asimismo, las siguientes enmiendas a la propuesta:</w:t>
      </w:r>
    </w:p>
    <w:p w:rsidR="00873BF3" w:rsidRPr="00417AE1" w:rsidP="00873BF3" w14:paraId="2EE06D56" w14:textId="77777777">
      <w:pPr>
        <w:pStyle w:val="AmNumberTabs"/>
        <w:keepNext/>
        <w:rPr>
          <w:lang w:val="pt-PT"/>
        </w:rPr>
      </w:pPr>
      <w:r w:rsidRPr="00417AE1">
        <w:rPr>
          <w:rStyle w:val="HideTWBExt"/>
          <w:b w:val="0"/>
        </w:rPr>
        <w:t>&lt;RepeatBlock-Amend&gt;</w:t>
      </w:r>
      <w:bookmarkStart w:id="3" w:name="restart"/>
      <w:r w:rsidRPr="00417AE1">
        <w:rPr>
          <w:rStyle w:val="HideTWBExt"/>
          <w:b w:val="0"/>
        </w:rPr>
        <w:t>&lt;Amend&gt;</w:t>
      </w:r>
      <w:r w:rsidRPr="00417AE1">
        <w:rPr>
          <w:lang w:val="pt-PT"/>
        </w:rPr>
        <w:t>Enmienda</w:t>
      </w:r>
      <w:r w:rsidRPr="00417AE1">
        <w:rPr>
          <w:lang w:val="pt-PT"/>
        </w:rPr>
        <w:tab/>
      </w:r>
      <w:r w:rsidRPr="00417AE1">
        <w:rPr>
          <w:lang w:val="pt-PT"/>
        </w:rPr>
        <w:tab/>
      </w:r>
      <w:r w:rsidRPr="00417AE1">
        <w:rPr>
          <w:rStyle w:val="HideTWBExt"/>
          <w:b w:val="0"/>
        </w:rPr>
        <w:t>&lt;NumAm&gt;</w:t>
      </w:r>
      <w:r w:rsidRPr="00417AE1">
        <w:rPr>
          <w:lang w:val="pt-PT"/>
        </w:rPr>
        <w:t>1</w:t>
      </w:r>
      <w:r w:rsidRPr="00417AE1">
        <w:rPr>
          <w:rStyle w:val="HideTWBExt"/>
          <w:b w:val="0"/>
        </w:rPr>
        <w:t>&lt;/NumAm&gt;</w:t>
      </w:r>
    </w:p>
    <w:p w:rsidR="00873BF3" w:rsidRPr="00417AE1" w:rsidP="00873BF3" w14:paraId="72CF49B7" w14:textId="77777777">
      <w:pPr>
        <w:pStyle w:val="NormalBold12b"/>
        <w:keepNext/>
        <w:rPr>
          <w:lang w:val="pt-PT"/>
        </w:rPr>
      </w:pPr>
      <w:r w:rsidRPr="00417AE1">
        <w:rPr>
          <w:rStyle w:val="HideTWBExt"/>
          <w:b w:val="0"/>
        </w:rPr>
        <w:t>&lt;DocAmend&gt;</w:t>
      </w:r>
      <w:r w:rsidRPr="00417AE1">
        <w:rPr>
          <w:lang w:val="pt-PT"/>
        </w:rPr>
        <w:t>Propuesta de Reglamento</w:t>
      </w:r>
      <w:r w:rsidRPr="00417AE1">
        <w:rPr>
          <w:rStyle w:val="HideTWBExt"/>
          <w:b w:val="0"/>
        </w:rPr>
        <w:t>&lt;/DocAmend&gt;</w:t>
      </w:r>
    </w:p>
    <w:p w:rsidR="00873BF3" w:rsidRPr="00417AE1" w:rsidP="00873BF3" w14:paraId="154BEAA4" w14:textId="77777777">
      <w:pPr>
        <w:pStyle w:val="NormalBold"/>
      </w:pPr>
      <w:r w:rsidRPr="00417AE1">
        <w:rPr>
          <w:rStyle w:val="HideTWBExt"/>
          <w:b w:val="0"/>
        </w:rPr>
        <w:t>&lt;Article&gt;</w:t>
      </w:r>
      <w:r w:rsidRPr="00417AE1">
        <w:t>Considerando 10</w:t>
      </w:r>
      <w:r w:rsidRPr="00417AE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5E9C806C" w14:textId="77777777" w:rsidTr="00FF549B">
        <w:tblPrEx>
          <w:tblW w:w="9752" w:type="dxa"/>
          <w:jc w:val="center"/>
          <w:tblLayout w:type="fixed"/>
          <w:tblCellMar>
            <w:left w:w="340" w:type="dxa"/>
            <w:right w:w="340" w:type="dxa"/>
          </w:tblCellMar>
          <w:tblLook w:val="04A0"/>
        </w:tblPrEx>
        <w:trPr>
          <w:jc w:val="center"/>
        </w:trPr>
        <w:tc>
          <w:tcPr>
            <w:tcW w:w="9752" w:type="dxa"/>
            <w:gridSpan w:val="2"/>
          </w:tcPr>
          <w:p w:rsidR="00873BF3" w:rsidRPr="00417AE1" w:rsidP="00A92590" w14:paraId="1C75647B" w14:textId="77777777">
            <w:pPr>
              <w:keepNext/>
            </w:pPr>
          </w:p>
        </w:tc>
      </w:tr>
      <w:tr w14:paraId="7F2D7E2D"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873BF3" w:rsidRPr="00417AE1" w:rsidP="00A92590" w14:paraId="34F7A2DA" w14:textId="77777777">
            <w:pPr>
              <w:pStyle w:val="AmColumnHeading"/>
              <w:keepNext/>
            </w:pPr>
            <w:r w:rsidRPr="00417AE1">
              <w:t>Texto de la Comisión</w:t>
            </w:r>
          </w:p>
        </w:tc>
        <w:tc>
          <w:tcPr>
            <w:tcW w:w="4876" w:type="dxa"/>
            <w:hideMark/>
          </w:tcPr>
          <w:p w:rsidR="00873BF3" w:rsidRPr="00417AE1" w:rsidP="00A92590" w14:paraId="1B2F4317" w14:textId="77777777">
            <w:pPr>
              <w:pStyle w:val="AmColumnHeading"/>
              <w:keepNext/>
            </w:pPr>
            <w:r w:rsidRPr="00417AE1">
              <w:t>Enmienda</w:t>
            </w:r>
          </w:p>
        </w:tc>
      </w:tr>
      <w:tr w14:paraId="7683B768"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873BF3" w:rsidRPr="00417AE1" w:rsidP="00A92590" w14:paraId="0F4E86BA" w14:textId="77777777">
            <w:pPr>
              <w:pStyle w:val="Normal6a"/>
            </w:pPr>
            <w:r w:rsidRPr="00417AE1">
              <w:t>(10)</w:t>
            </w:r>
            <w:r w:rsidRPr="00417AE1">
              <w:tab/>
            </w:r>
            <w:r w:rsidRPr="00417AE1">
              <w:t xml:space="preserve">El apoyo de la Unión debe contribuir a garantizar la consistencia, la coherencia, las sinergias y </w:t>
            </w:r>
            <w:r w:rsidRPr="00417AE1">
              <w:rPr>
                <w:b/>
                <w:i/>
              </w:rPr>
              <w:t>las complementariedades</w:t>
            </w:r>
            <w:r w:rsidRPr="00417AE1">
              <w:t xml:space="preserve"> entre las políticas interiores y exteriores de la Unión.</w:t>
            </w:r>
            <w:r w:rsidRPr="00417AE1">
              <w:rPr>
                <w:b/>
                <w:i/>
              </w:rPr>
              <w:t xml:space="preserve"> Es necesaria</w:t>
            </w:r>
            <w:r w:rsidRPr="00417AE1">
              <w:t xml:space="preserve"> una mayor coherencia entre </w:t>
            </w:r>
            <w:r w:rsidRPr="00417AE1">
              <w:rPr>
                <w:b/>
                <w:i/>
              </w:rPr>
              <w:t>las políticas de</w:t>
            </w:r>
            <w:r w:rsidRPr="00417AE1">
              <w:t xml:space="preserve"> migración, asilo, retorno y las políticas exteriores</w:t>
            </w:r>
            <w:r w:rsidRPr="00417AE1">
              <w:rPr>
                <w:b/>
                <w:i/>
              </w:rPr>
              <w:t>, y</w:t>
            </w:r>
            <w:r w:rsidRPr="00417AE1">
              <w:t xml:space="preserve"> es importante garantizar que la ayuda </w:t>
            </w:r>
            <w:r w:rsidRPr="00417AE1">
              <w:rPr>
                <w:b/>
                <w:i/>
              </w:rPr>
              <w:t>exterior de la Unión</w:t>
            </w:r>
            <w:r w:rsidRPr="00417AE1">
              <w:t xml:space="preserve"> y el apoyo </w:t>
            </w:r>
            <w:r w:rsidRPr="00417AE1">
              <w:rPr>
                <w:b/>
                <w:i/>
              </w:rPr>
              <w:t>que esta presta</w:t>
            </w:r>
            <w:r w:rsidRPr="00417AE1">
              <w:t xml:space="preserve"> en virtud del presente Reglamento contribuyan a un enfoque coordinado, integral y estructurado de la migración, maximizando las sinerg</w:t>
            </w:r>
            <w:r w:rsidRPr="00417AE1">
              <w:t xml:space="preserve">ias y </w:t>
            </w:r>
            <w:r w:rsidRPr="00417AE1">
              <w:rPr>
                <w:b/>
                <w:i/>
              </w:rPr>
              <w:t>aumentando</w:t>
            </w:r>
            <w:r w:rsidRPr="00417AE1">
              <w:t xml:space="preserve"> la influencia. El apoyo de la Unión contemplado en virtud del presente Reglamento también podrá incluir apoyo a los recursos pertinentes de las delegaciones de la UE en casos debidamente justificados, y podrá ser coordinado </w:t>
            </w:r>
            <w:r w:rsidRPr="00417AE1">
              <w:rPr>
                <w:b/>
                <w:i/>
              </w:rPr>
              <w:t>entre</w:t>
            </w:r>
            <w:r w:rsidRPr="00417AE1">
              <w:t xml:space="preserve"> los Estados miembros y la Comisión </w:t>
            </w:r>
            <w:r w:rsidRPr="00417AE1">
              <w:rPr>
                <w:b/>
                <w:i/>
              </w:rPr>
              <w:t>en</w:t>
            </w:r>
            <w:r w:rsidRPr="00417AE1">
              <w:t xml:space="preserve"> las fases de programación y ejecución.</w:t>
            </w:r>
          </w:p>
        </w:tc>
        <w:tc>
          <w:tcPr>
            <w:tcW w:w="4876" w:type="dxa"/>
            <w:hideMark/>
          </w:tcPr>
          <w:p w:rsidR="00873BF3" w:rsidRPr="00417AE1" w:rsidP="00A92590" w14:paraId="52934325" w14:textId="77777777">
            <w:pPr>
              <w:pStyle w:val="Normal6a"/>
            </w:pPr>
            <w:bookmarkStart w:id="4" w:name="_Hlk227595966"/>
            <w:r w:rsidRPr="00417AE1">
              <w:t>(10)</w:t>
            </w:r>
            <w:r w:rsidRPr="00417AE1">
              <w:tab/>
              <w:t xml:space="preserve">El apoyo de la Unión debe contribuir a garantizar la consistencia, la coherencia, las sinergias y </w:t>
            </w:r>
            <w:r w:rsidRPr="00417AE1">
              <w:rPr>
                <w:b/>
                <w:i/>
              </w:rPr>
              <w:t>la complementariedad</w:t>
            </w:r>
            <w:r w:rsidRPr="00417AE1">
              <w:t xml:space="preserve"> entre las políticas interiores y exteriores de la Unión. </w:t>
            </w:r>
            <w:r w:rsidRPr="00417AE1">
              <w:rPr>
                <w:b/>
                <w:i/>
              </w:rPr>
              <w:t xml:space="preserve">La Comisión debe garantizar la coordinación con otros fondos pertinentes de la Unión, como el Fondo de Asilo, Migración e Integración y el Fondo de Seguridad Interior, a fin de maximizar el impacto de la financiación de la Unión y evitar duplicidades. </w:t>
            </w:r>
            <w:r w:rsidRPr="00417AE1">
              <w:t xml:space="preserve">Una mayor coherencia entre </w:t>
            </w:r>
            <w:r w:rsidRPr="00417AE1">
              <w:rPr>
                <w:b/>
                <w:i/>
              </w:rPr>
              <w:t>la</w:t>
            </w:r>
            <w:r w:rsidRPr="00417AE1">
              <w:t xml:space="preserve"> migración, </w:t>
            </w:r>
            <w:r w:rsidRPr="00417AE1">
              <w:rPr>
                <w:b/>
                <w:i/>
              </w:rPr>
              <w:t>el</w:t>
            </w:r>
            <w:r w:rsidRPr="00417AE1">
              <w:t xml:space="preserve"> asilo, </w:t>
            </w:r>
            <w:r w:rsidRPr="00417AE1">
              <w:rPr>
                <w:b/>
                <w:i/>
              </w:rPr>
              <w:t>el</w:t>
            </w:r>
            <w:r w:rsidRPr="00417AE1">
              <w:t xml:space="preserve"> retorno y las políticas exter</w:t>
            </w:r>
            <w:r w:rsidRPr="00417AE1">
              <w:t>iores</w:t>
            </w:r>
            <w:r w:rsidRPr="00417AE1">
              <w:rPr>
                <w:b/>
                <w:i/>
              </w:rPr>
              <w:t xml:space="preserve">. </w:t>
            </w:r>
            <w:r w:rsidRPr="00417AE1">
              <w:t xml:space="preserve">Es importante garantizar que la ayuda y el apoyo </w:t>
            </w:r>
            <w:r w:rsidRPr="00417AE1">
              <w:rPr>
                <w:b/>
                <w:i/>
              </w:rPr>
              <w:t>exteriores de la Unión</w:t>
            </w:r>
            <w:r w:rsidRPr="00417AE1">
              <w:t xml:space="preserve"> en virtud del presente Reglamento contribuyan a un enfoque coordinado, integral</w:t>
            </w:r>
            <w:r w:rsidRPr="00417AE1">
              <w:rPr>
                <w:b/>
                <w:i/>
              </w:rPr>
              <w:t>, eficiente</w:t>
            </w:r>
            <w:r w:rsidRPr="00417AE1">
              <w:t xml:space="preserve"> y estructurado de la migración, maximizando las sinergias y la influencia </w:t>
            </w:r>
            <w:r w:rsidRPr="00417AE1">
              <w:rPr>
                <w:b/>
                <w:i/>
              </w:rPr>
              <w:t>y evitando al mismo tiempo una complejidad innecesaria</w:t>
            </w:r>
            <w:r w:rsidRPr="00417AE1">
              <w:t xml:space="preserve">. El apoyo de la Unión contemplado en virtud del presente Reglamento también podrá incluir apoyo a los recursos pertinentes de las delegaciones de la UE en casos debidamente justificados, y podrá ser coordinado </w:t>
            </w:r>
            <w:r w:rsidRPr="00417AE1">
              <w:rPr>
                <w:b/>
                <w:i/>
              </w:rPr>
              <w:t>con</w:t>
            </w:r>
            <w:r w:rsidRPr="00417AE1">
              <w:t xml:space="preserve"> los Estados miembros y la Comisión </w:t>
            </w:r>
            <w:r w:rsidRPr="00417AE1">
              <w:rPr>
                <w:b/>
                <w:i/>
              </w:rPr>
              <w:t>durante</w:t>
            </w:r>
            <w:r w:rsidRPr="00417AE1">
              <w:t xml:space="preserve"> las fases de programación y ejecución.</w:t>
            </w:r>
            <w:bookmarkEnd w:id="4"/>
          </w:p>
        </w:tc>
      </w:tr>
    </w:tbl>
    <w:p w:rsidR="00873BF3" w:rsidRPr="00417AE1" w:rsidP="00873BF3" w14:paraId="3620103C" w14:textId="77777777">
      <w:pPr>
        <w:rPr>
          <w:rStyle w:val="HideTWBExt"/>
          <w:lang w:val="pt-PT"/>
        </w:rPr>
      </w:pPr>
      <w:r w:rsidRPr="00417AE1">
        <w:rPr>
          <w:rStyle w:val="HideTWBExt"/>
          <w:lang w:val="pt-PT"/>
        </w:rPr>
        <w:t>&lt;/Amend&gt;</w:t>
      </w:r>
      <w:bookmarkEnd w:id="3"/>
    </w:p>
    <w:p w:rsidR="00D4101C" w:rsidRPr="00417AE1" w:rsidP="00D4101C" w14:paraId="071BA697" w14:textId="77777777">
      <w:pPr>
        <w:pStyle w:val="AmNumberTabs"/>
        <w:keepNext/>
        <w:rPr>
          <w:lang w:val="pt-PT"/>
        </w:rPr>
      </w:pPr>
      <w:r w:rsidRPr="00417AE1">
        <w:rPr>
          <w:rStyle w:val="HideTWBExt"/>
          <w:b w:val="0"/>
        </w:rPr>
        <w:t>&lt;Amend&gt;</w:t>
      </w:r>
      <w:r w:rsidRPr="00417AE1">
        <w:rPr>
          <w:lang w:val="pt-PT"/>
        </w:rPr>
        <w:t>Enmienda</w:t>
      </w:r>
      <w:r w:rsidRPr="00417AE1">
        <w:rPr>
          <w:lang w:val="pt-PT"/>
        </w:rPr>
        <w:tab/>
      </w:r>
      <w:r w:rsidRPr="00417AE1">
        <w:rPr>
          <w:lang w:val="pt-PT"/>
        </w:rPr>
        <w:tab/>
      </w:r>
      <w:r w:rsidRPr="00417AE1">
        <w:rPr>
          <w:rStyle w:val="HideTWBExt"/>
          <w:b w:val="0"/>
        </w:rPr>
        <w:t>&lt;NumAm&gt;</w:t>
      </w:r>
      <w:r w:rsidRPr="00417AE1">
        <w:rPr>
          <w:lang w:val="pt-PT"/>
        </w:rPr>
        <w:t>2</w:t>
      </w:r>
      <w:r w:rsidRPr="00417AE1">
        <w:rPr>
          <w:rStyle w:val="HideTWBExt"/>
          <w:b w:val="0"/>
        </w:rPr>
        <w:t>&lt;/NumAm&gt;</w:t>
      </w:r>
    </w:p>
    <w:p w:rsidR="00D4101C" w:rsidRPr="00417AE1" w:rsidP="00D4101C" w14:paraId="4AD2ABB2" w14:textId="77777777">
      <w:pPr>
        <w:pStyle w:val="NormalBold12b"/>
        <w:keepNext/>
        <w:rPr>
          <w:lang w:val="pt-PT"/>
        </w:rPr>
      </w:pPr>
      <w:r w:rsidRPr="00417AE1">
        <w:rPr>
          <w:rStyle w:val="HideTWBExt"/>
          <w:b w:val="0"/>
        </w:rPr>
        <w:t>&lt;DocAmend&gt;</w:t>
      </w:r>
      <w:r w:rsidRPr="00417AE1">
        <w:rPr>
          <w:lang w:val="pt-PT"/>
        </w:rPr>
        <w:t>Propuesta de Reglamento</w:t>
      </w:r>
      <w:r w:rsidRPr="00417AE1">
        <w:rPr>
          <w:rStyle w:val="HideTWBExt"/>
          <w:b w:val="0"/>
        </w:rPr>
        <w:t>&lt;/DocAmend&gt;</w:t>
      </w:r>
    </w:p>
    <w:p w:rsidR="00D4101C" w:rsidRPr="00417AE1" w:rsidP="00D4101C" w14:paraId="0F11B863" w14:textId="77777777">
      <w:pPr>
        <w:pStyle w:val="NormalBold"/>
      </w:pPr>
      <w:r w:rsidRPr="00417AE1">
        <w:rPr>
          <w:rStyle w:val="HideTWBExt"/>
          <w:b w:val="0"/>
        </w:rPr>
        <w:t>&lt;Article&gt;</w:t>
      </w:r>
      <w:r w:rsidRPr="00417AE1">
        <w:t>Considerando 10 bis (nuevo)</w:t>
      </w:r>
      <w:r w:rsidRPr="00417AE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3F6EF89B" w14:textId="77777777" w:rsidTr="002F6967">
        <w:tblPrEx>
          <w:tblW w:w="9752" w:type="dxa"/>
          <w:jc w:val="center"/>
          <w:tblLayout w:type="fixed"/>
          <w:tblCellMar>
            <w:left w:w="340" w:type="dxa"/>
            <w:right w:w="340" w:type="dxa"/>
          </w:tblCellMar>
          <w:tblLook w:val="04A0"/>
        </w:tblPrEx>
        <w:trPr>
          <w:jc w:val="center"/>
        </w:trPr>
        <w:tc>
          <w:tcPr>
            <w:tcW w:w="9752" w:type="dxa"/>
            <w:gridSpan w:val="2"/>
          </w:tcPr>
          <w:p w:rsidR="00D4101C" w:rsidRPr="00417AE1" w:rsidP="002F6967" w14:paraId="35DB76F2" w14:textId="77777777">
            <w:pPr>
              <w:keepNext/>
            </w:pPr>
          </w:p>
        </w:tc>
      </w:tr>
      <w:tr w14:paraId="4994C5DA" w14:textId="77777777" w:rsidTr="002F6967">
        <w:tblPrEx>
          <w:tblW w:w="9752" w:type="dxa"/>
          <w:jc w:val="center"/>
          <w:tblLayout w:type="fixed"/>
          <w:tblCellMar>
            <w:left w:w="340" w:type="dxa"/>
            <w:right w:w="340" w:type="dxa"/>
          </w:tblCellMar>
          <w:tblLook w:val="04A0"/>
        </w:tblPrEx>
        <w:trPr>
          <w:jc w:val="center"/>
        </w:trPr>
        <w:tc>
          <w:tcPr>
            <w:tcW w:w="4876" w:type="dxa"/>
            <w:hideMark/>
          </w:tcPr>
          <w:p w:rsidR="00D4101C" w:rsidRPr="00417AE1" w:rsidP="002F6967" w14:paraId="1F443238" w14:textId="77777777">
            <w:pPr>
              <w:pStyle w:val="AmColumnHeading"/>
              <w:keepNext/>
            </w:pPr>
            <w:r w:rsidRPr="00417AE1">
              <w:t>Texto de la Comisión</w:t>
            </w:r>
          </w:p>
        </w:tc>
        <w:tc>
          <w:tcPr>
            <w:tcW w:w="4876" w:type="dxa"/>
            <w:hideMark/>
          </w:tcPr>
          <w:p w:rsidR="00D4101C" w:rsidRPr="00417AE1" w:rsidP="002F6967" w14:paraId="16475501" w14:textId="77777777">
            <w:pPr>
              <w:pStyle w:val="AmColumnHeading"/>
              <w:keepNext/>
            </w:pPr>
            <w:r w:rsidRPr="00417AE1">
              <w:t>Enmienda</w:t>
            </w:r>
          </w:p>
        </w:tc>
      </w:tr>
      <w:tr w14:paraId="7013E79A" w14:textId="77777777" w:rsidTr="002F6967">
        <w:tblPrEx>
          <w:tblW w:w="9752" w:type="dxa"/>
          <w:jc w:val="center"/>
          <w:tblLayout w:type="fixed"/>
          <w:tblCellMar>
            <w:left w:w="340" w:type="dxa"/>
            <w:right w:w="340" w:type="dxa"/>
          </w:tblCellMar>
          <w:tblLook w:val="04A0"/>
        </w:tblPrEx>
        <w:trPr>
          <w:jc w:val="center"/>
        </w:trPr>
        <w:tc>
          <w:tcPr>
            <w:tcW w:w="4876" w:type="dxa"/>
            <w:hideMark/>
          </w:tcPr>
          <w:p w:rsidR="00D4101C" w:rsidRPr="00417AE1" w:rsidP="002F6967" w14:paraId="6B7728C4" w14:textId="77777777">
            <w:pPr>
              <w:pStyle w:val="Normal6a"/>
            </w:pPr>
          </w:p>
        </w:tc>
        <w:tc>
          <w:tcPr>
            <w:tcW w:w="4876" w:type="dxa"/>
            <w:hideMark/>
          </w:tcPr>
          <w:p w:rsidR="00D4101C" w:rsidRPr="00417AE1" w:rsidP="002F6967" w14:paraId="5563C89C" w14:textId="77777777">
            <w:pPr>
              <w:pStyle w:val="Normal6a"/>
              <w:rPr>
                <w:szCs w:val="24"/>
              </w:rPr>
            </w:pPr>
            <w:r w:rsidRPr="00417AE1">
              <w:rPr>
                <w:b/>
                <w:i/>
              </w:rPr>
              <w:t>(10 bis)</w:t>
            </w:r>
            <w:r w:rsidRPr="00417AE1">
              <w:rPr>
                <w:b/>
                <w:i/>
              </w:rPr>
              <w:tab/>
            </w:r>
            <w:r w:rsidRPr="00417AE1">
              <w:rPr>
                <w:b/>
                <w:i/>
              </w:rPr>
              <w:t>La complementariedad entre el apoyo de la Unión al espacio Schengen, a la gestión europea integrada de las fronteras y a la política común de visados y otros instrumentos de la Unión no debe ir en detrimento de la trazabilidad del gasto ni de las prerrogativas de la autoridad presupuestaria. La contribución del programa a las operaciones financiadas conjuntamente debe seguir siendo explícitamente identificable en todas las fases del ciclo presupuestario y debe reflejarse debidamente en la declaración de ren</w:t>
            </w:r>
            <w:r w:rsidRPr="00417AE1">
              <w:rPr>
                <w:b/>
                <w:i/>
              </w:rPr>
              <w:t>dimiento del programa.</w:t>
            </w:r>
          </w:p>
        </w:tc>
      </w:tr>
    </w:tbl>
    <w:p w:rsidR="00D4101C" w:rsidRPr="00417AE1" w:rsidP="00D4101C" w14:paraId="46A90478" w14:textId="77777777">
      <w:pPr>
        <w:rPr>
          <w:lang w:val="pt-PT"/>
        </w:rPr>
      </w:pPr>
      <w:r w:rsidRPr="00417AE1">
        <w:rPr>
          <w:rStyle w:val="HideTWBExt"/>
          <w:lang w:val="pt-PT"/>
        </w:rPr>
        <w:t>&lt;/Amend&gt;</w:t>
      </w:r>
    </w:p>
    <w:p w:rsidR="00D4101C" w:rsidRPr="00417AE1" w:rsidP="00D4101C" w14:paraId="5D1D3D71" w14:textId="77777777">
      <w:pPr>
        <w:pStyle w:val="AmNumberTabs"/>
        <w:keepNext/>
        <w:rPr>
          <w:lang w:val="pt-PT"/>
        </w:rPr>
      </w:pPr>
      <w:r w:rsidRPr="00417AE1">
        <w:rPr>
          <w:rStyle w:val="HideTWBExt"/>
          <w:b w:val="0"/>
        </w:rPr>
        <w:t>&lt;Amend&gt;</w:t>
      </w:r>
      <w:r w:rsidRPr="00417AE1">
        <w:rPr>
          <w:lang w:val="pt-PT"/>
        </w:rPr>
        <w:t>Enmienda</w:t>
      </w:r>
      <w:r w:rsidRPr="00417AE1">
        <w:rPr>
          <w:lang w:val="pt-PT"/>
        </w:rPr>
        <w:tab/>
      </w:r>
      <w:r w:rsidRPr="00417AE1">
        <w:rPr>
          <w:lang w:val="pt-PT"/>
        </w:rPr>
        <w:tab/>
      </w:r>
      <w:r w:rsidRPr="00417AE1">
        <w:rPr>
          <w:rStyle w:val="HideTWBExt"/>
          <w:b w:val="0"/>
        </w:rPr>
        <w:t>&lt;NumAm&gt;</w:t>
      </w:r>
      <w:r w:rsidRPr="00417AE1">
        <w:rPr>
          <w:lang w:val="pt-PT"/>
        </w:rPr>
        <w:t>3</w:t>
      </w:r>
      <w:r w:rsidRPr="00417AE1">
        <w:rPr>
          <w:rStyle w:val="HideTWBExt"/>
          <w:b w:val="0"/>
        </w:rPr>
        <w:t>&lt;/NumAm&gt;</w:t>
      </w:r>
    </w:p>
    <w:p w:rsidR="00D4101C" w:rsidRPr="00417AE1" w:rsidP="00D4101C" w14:paraId="45CB0DB0" w14:textId="77777777">
      <w:pPr>
        <w:pStyle w:val="NormalBold12b"/>
        <w:keepNext/>
        <w:rPr>
          <w:lang w:val="pt-PT"/>
        </w:rPr>
      </w:pPr>
      <w:r w:rsidRPr="00417AE1">
        <w:rPr>
          <w:rStyle w:val="HideTWBExt"/>
          <w:b w:val="0"/>
        </w:rPr>
        <w:t>&lt;DocAmend&gt;</w:t>
      </w:r>
      <w:r w:rsidRPr="00417AE1">
        <w:rPr>
          <w:lang w:val="pt-PT"/>
        </w:rPr>
        <w:t>Propuesta de Reglamento</w:t>
      </w:r>
      <w:r w:rsidRPr="00417AE1">
        <w:rPr>
          <w:rStyle w:val="HideTWBExt"/>
          <w:b w:val="0"/>
        </w:rPr>
        <w:t>&lt;/DocAmend&gt;</w:t>
      </w:r>
    </w:p>
    <w:p w:rsidR="00D4101C" w:rsidRPr="00417AE1" w:rsidP="00D4101C" w14:paraId="19D8F986" w14:textId="77777777">
      <w:pPr>
        <w:pStyle w:val="NormalBold"/>
      </w:pPr>
      <w:r w:rsidRPr="00417AE1">
        <w:rPr>
          <w:rStyle w:val="HideTWBExt"/>
          <w:b w:val="0"/>
        </w:rPr>
        <w:t>&lt;Article&gt;</w:t>
      </w:r>
      <w:r w:rsidRPr="00417AE1">
        <w:t>Considerando 20 bis (nuevo)</w:t>
      </w:r>
      <w:r w:rsidRPr="00417AE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16A25048" w14:textId="77777777" w:rsidTr="002F6967">
        <w:tblPrEx>
          <w:tblW w:w="9752" w:type="dxa"/>
          <w:jc w:val="center"/>
          <w:tblLayout w:type="fixed"/>
          <w:tblCellMar>
            <w:left w:w="340" w:type="dxa"/>
            <w:right w:w="340" w:type="dxa"/>
          </w:tblCellMar>
          <w:tblLook w:val="04A0"/>
        </w:tblPrEx>
        <w:trPr>
          <w:jc w:val="center"/>
        </w:trPr>
        <w:tc>
          <w:tcPr>
            <w:tcW w:w="9752" w:type="dxa"/>
            <w:gridSpan w:val="2"/>
          </w:tcPr>
          <w:p w:rsidR="00D4101C" w:rsidRPr="00417AE1" w:rsidP="002F6967" w14:paraId="33E94254" w14:textId="77777777">
            <w:pPr>
              <w:keepNext/>
            </w:pPr>
          </w:p>
        </w:tc>
      </w:tr>
      <w:tr w14:paraId="1BB460E4" w14:textId="77777777" w:rsidTr="002F6967">
        <w:tblPrEx>
          <w:tblW w:w="9752" w:type="dxa"/>
          <w:jc w:val="center"/>
          <w:tblLayout w:type="fixed"/>
          <w:tblCellMar>
            <w:left w:w="340" w:type="dxa"/>
            <w:right w:w="340" w:type="dxa"/>
          </w:tblCellMar>
          <w:tblLook w:val="04A0"/>
        </w:tblPrEx>
        <w:trPr>
          <w:jc w:val="center"/>
        </w:trPr>
        <w:tc>
          <w:tcPr>
            <w:tcW w:w="4876" w:type="dxa"/>
            <w:hideMark/>
          </w:tcPr>
          <w:p w:rsidR="00D4101C" w:rsidRPr="00417AE1" w:rsidP="002F6967" w14:paraId="6BEEA3BC" w14:textId="77777777">
            <w:pPr>
              <w:pStyle w:val="AmColumnHeading"/>
              <w:keepNext/>
            </w:pPr>
            <w:r w:rsidRPr="00417AE1">
              <w:t>Texto de la Comisión</w:t>
            </w:r>
          </w:p>
        </w:tc>
        <w:tc>
          <w:tcPr>
            <w:tcW w:w="4876" w:type="dxa"/>
            <w:hideMark/>
          </w:tcPr>
          <w:p w:rsidR="00D4101C" w:rsidRPr="00417AE1" w:rsidP="002F6967" w14:paraId="3D0C4B5F" w14:textId="77777777">
            <w:pPr>
              <w:pStyle w:val="AmColumnHeading"/>
              <w:keepNext/>
            </w:pPr>
            <w:r w:rsidRPr="00417AE1">
              <w:t>Enmienda</w:t>
            </w:r>
          </w:p>
        </w:tc>
      </w:tr>
      <w:tr w14:paraId="507775A9" w14:textId="77777777" w:rsidTr="002F6967">
        <w:tblPrEx>
          <w:tblW w:w="9752" w:type="dxa"/>
          <w:jc w:val="center"/>
          <w:tblLayout w:type="fixed"/>
          <w:tblCellMar>
            <w:left w:w="340" w:type="dxa"/>
            <w:right w:w="340" w:type="dxa"/>
          </w:tblCellMar>
          <w:tblLook w:val="04A0"/>
        </w:tblPrEx>
        <w:trPr>
          <w:jc w:val="center"/>
        </w:trPr>
        <w:tc>
          <w:tcPr>
            <w:tcW w:w="4876" w:type="dxa"/>
            <w:hideMark/>
          </w:tcPr>
          <w:p w:rsidR="00D4101C" w:rsidRPr="00417AE1" w:rsidP="002F6967" w14:paraId="71F5DB73" w14:textId="77777777">
            <w:pPr>
              <w:pStyle w:val="Normal6a"/>
            </w:pPr>
          </w:p>
        </w:tc>
        <w:tc>
          <w:tcPr>
            <w:tcW w:w="4876" w:type="dxa"/>
            <w:hideMark/>
          </w:tcPr>
          <w:p w:rsidR="00D4101C" w:rsidRPr="00417AE1" w:rsidP="002F6967" w14:paraId="7FF0B5B2" w14:textId="77777777">
            <w:pPr>
              <w:pStyle w:val="Normal6a"/>
              <w:rPr>
                <w:szCs w:val="24"/>
              </w:rPr>
            </w:pPr>
            <w:r w:rsidRPr="00417AE1">
              <w:rPr>
                <w:b/>
                <w:i/>
              </w:rPr>
              <w:t>(20 bis)</w:t>
            </w:r>
            <w:r w:rsidRPr="00417AE1">
              <w:rPr>
                <w:b/>
                <w:i/>
              </w:rPr>
              <w:tab/>
            </w:r>
            <w:r w:rsidRPr="00417AE1">
              <w:rPr>
                <w:b/>
                <w:i/>
              </w:rPr>
              <w:t>En consonancia con el Reglamento (UE, Euratom) 2024/2509 (Reglamento Financiero), la ejecución del programa debe respetar plenamente los valores consagrados en el artículo 2 del Tratado de la Unión Europea y los derechos reconocidos en la Carta de los Derechos Fundamentales de la Unión Europea.</w:t>
            </w:r>
          </w:p>
        </w:tc>
      </w:tr>
    </w:tbl>
    <w:p w:rsidR="00D4101C" w:rsidRPr="00417AE1" w:rsidP="00D4101C" w14:paraId="11E9A1F3" w14:textId="77777777">
      <w:pPr>
        <w:rPr>
          <w:lang w:val="pt-PT"/>
        </w:rPr>
      </w:pPr>
      <w:r w:rsidRPr="00417AE1">
        <w:rPr>
          <w:rStyle w:val="HideTWBExt"/>
          <w:lang w:val="pt-PT"/>
        </w:rPr>
        <w:t>&lt;/Amend&gt;</w:t>
      </w:r>
    </w:p>
    <w:p w:rsidR="00D4101C" w:rsidRPr="00417AE1" w:rsidP="00D4101C" w14:paraId="4AF69AAE" w14:textId="77777777">
      <w:pPr>
        <w:pStyle w:val="AmNumberTabs"/>
        <w:keepNext/>
        <w:rPr>
          <w:lang w:val="pt-PT"/>
        </w:rPr>
      </w:pPr>
      <w:r w:rsidRPr="00417AE1">
        <w:rPr>
          <w:rStyle w:val="HideTWBExt"/>
          <w:b w:val="0"/>
        </w:rPr>
        <w:t>&lt;Amend&gt;</w:t>
      </w:r>
      <w:r w:rsidRPr="00417AE1">
        <w:rPr>
          <w:lang w:val="pt-PT"/>
        </w:rPr>
        <w:t>Enmienda</w:t>
      </w:r>
      <w:r w:rsidRPr="00417AE1">
        <w:rPr>
          <w:lang w:val="pt-PT"/>
        </w:rPr>
        <w:tab/>
      </w:r>
      <w:r w:rsidRPr="00417AE1">
        <w:rPr>
          <w:lang w:val="pt-PT"/>
        </w:rPr>
        <w:tab/>
      </w:r>
      <w:r w:rsidRPr="00417AE1">
        <w:rPr>
          <w:rStyle w:val="HideTWBExt"/>
          <w:b w:val="0"/>
        </w:rPr>
        <w:t>&lt;NumAm&gt;</w:t>
      </w:r>
      <w:r w:rsidRPr="00417AE1">
        <w:rPr>
          <w:lang w:val="pt-PT"/>
        </w:rPr>
        <w:t>4</w:t>
      </w:r>
      <w:r w:rsidRPr="00417AE1">
        <w:rPr>
          <w:rStyle w:val="HideTWBExt"/>
          <w:b w:val="0"/>
        </w:rPr>
        <w:t>&lt;/NumAm&gt;</w:t>
      </w:r>
    </w:p>
    <w:p w:rsidR="00D4101C" w:rsidRPr="00417AE1" w:rsidP="00D4101C" w14:paraId="7198CFE9" w14:textId="77777777">
      <w:pPr>
        <w:pStyle w:val="NormalBold12b"/>
        <w:keepNext/>
        <w:rPr>
          <w:lang w:val="pt-PT"/>
        </w:rPr>
      </w:pPr>
      <w:r w:rsidRPr="00417AE1">
        <w:rPr>
          <w:rStyle w:val="HideTWBExt"/>
          <w:b w:val="0"/>
        </w:rPr>
        <w:t>&lt;DocAmend&gt;</w:t>
      </w:r>
      <w:r w:rsidRPr="00417AE1">
        <w:rPr>
          <w:lang w:val="pt-PT"/>
        </w:rPr>
        <w:t>Propuesta de Reglamento</w:t>
      </w:r>
      <w:r w:rsidRPr="00417AE1">
        <w:rPr>
          <w:rStyle w:val="HideTWBExt"/>
          <w:b w:val="0"/>
        </w:rPr>
        <w:t>&lt;/DocAmend&gt;</w:t>
      </w:r>
    </w:p>
    <w:p w:rsidR="00D4101C" w:rsidRPr="00417AE1" w:rsidP="00D4101C" w14:paraId="0E6D2186" w14:textId="77777777">
      <w:pPr>
        <w:pStyle w:val="NormalBold"/>
      </w:pPr>
      <w:r w:rsidRPr="00417AE1">
        <w:rPr>
          <w:rStyle w:val="HideTWBExt"/>
          <w:b w:val="0"/>
        </w:rPr>
        <w:t>&lt;Article&gt;</w:t>
      </w:r>
      <w:r w:rsidRPr="00417AE1">
        <w:t>Considerando 20 ter (nuevo)</w:t>
      </w:r>
      <w:r w:rsidRPr="00417AE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55EB75E5" w14:textId="77777777" w:rsidTr="002F6967">
        <w:tblPrEx>
          <w:tblW w:w="9752" w:type="dxa"/>
          <w:jc w:val="center"/>
          <w:tblLayout w:type="fixed"/>
          <w:tblCellMar>
            <w:left w:w="340" w:type="dxa"/>
            <w:right w:w="340" w:type="dxa"/>
          </w:tblCellMar>
          <w:tblLook w:val="04A0"/>
        </w:tblPrEx>
        <w:trPr>
          <w:jc w:val="center"/>
        </w:trPr>
        <w:tc>
          <w:tcPr>
            <w:tcW w:w="9752" w:type="dxa"/>
            <w:gridSpan w:val="2"/>
          </w:tcPr>
          <w:p w:rsidR="00D4101C" w:rsidRPr="00417AE1" w:rsidP="002F6967" w14:paraId="0BABB92C" w14:textId="77777777">
            <w:pPr>
              <w:keepNext/>
            </w:pPr>
          </w:p>
        </w:tc>
      </w:tr>
      <w:tr w14:paraId="185CC151" w14:textId="77777777" w:rsidTr="002F6967">
        <w:tblPrEx>
          <w:tblW w:w="9752" w:type="dxa"/>
          <w:jc w:val="center"/>
          <w:tblLayout w:type="fixed"/>
          <w:tblCellMar>
            <w:left w:w="340" w:type="dxa"/>
            <w:right w:w="340" w:type="dxa"/>
          </w:tblCellMar>
          <w:tblLook w:val="04A0"/>
        </w:tblPrEx>
        <w:trPr>
          <w:jc w:val="center"/>
        </w:trPr>
        <w:tc>
          <w:tcPr>
            <w:tcW w:w="4876" w:type="dxa"/>
            <w:hideMark/>
          </w:tcPr>
          <w:p w:rsidR="00D4101C" w:rsidRPr="00417AE1" w:rsidP="002F6967" w14:paraId="4516B2C6" w14:textId="77777777">
            <w:pPr>
              <w:pStyle w:val="AmColumnHeading"/>
              <w:keepNext/>
            </w:pPr>
            <w:r w:rsidRPr="00417AE1">
              <w:t>Texto de la Comisión</w:t>
            </w:r>
          </w:p>
        </w:tc>
        <w:tc>
          <w:tcPr>
            <w:tcW w:w="4876" w:type="dxa"/>
            <w:hideMark/>
          </w:tcPr>
          <w:p w:rsidR="00D4101C" w:rsidRPr="00417AE1" w:rsidP="002F6967" w14:paraId="12D534F1" w14:textId="77777777">
            <w:pPr>
              <w:pStyle w:val="AmColumnHeading"/>
              <w:keepNext/>
            </w:pPr>
            <w:r w:rsidRPr="00417AE1">
              <w:t>Enmienda</w:t>
            </w:r>
          </w:p>
        </w:tc>
      </w:tr>
      <w:tr w14:paraId="63129DFD" w14:textId="77777777" w:rsidTr="002F6967">
        <w:tblPrEx>
          <w:tblW w:w="9752" w:type="dxa"/>
          <w:jc w:val="center"/>
          <w:tblLayout w:type="fixed"/>
          <w:tblCellMar>
            <w:left w:w="340" w:type="dxa"/>
            <w:right w:w="340" w:type="dxa"/>
          </w:tblCellMar>
          <w:tblLook w:val="04A0"/>
        </w:tblPrEx>
        <w:trPr>
          <w:jc w:val="center"/>
        </w:trPr>
        <w:tc>
          <w:tcPr>
            <w:tcW w:w="4876" w:type="dxa"/>
            <w:hideMark/>
          </w:tcPr>
          <w:p w:rsidR="00D4101C" w:rsidRPr="00417AE1" w:rsidP="002F6967" w14:paraId="39710A02" w14:textId="77777777">
            <w:pPr>
              <w:pStyle w:val="Normal6a"/>
            </w:pPr>
          </w:p>
        </w:tc>
        <w:tc>
          <w:tcPr>
            <w:tcW w:w="4876" w:type="dxa"/>
            <w:hideMark/>
          </w:tcPr>
          <w:p w:rsidR="00D4101C" w:rsidRPr="00417AE1" w:rsidP="002F6967" w14:paraId="4099B070" w14:textId="77777777">
            <w:pPr>
              <w:pStyle w:val="Normal6a"/>
              <w:rPr>
                <w:szCs w:val="24"/>
              </w:rPr>
            </w:pPr>
            <w:r w:rsidRPr="00417AE1">
              <w:rPr>
                <w:b/>
                <w:i/>
              </w:rPr>
              <w:t>(20 ter)</w:t>
            </w:r>
            <w:r w:rsidRPr="00417AE1">
              <w:rPr>
                <w:b/>
                <w:i/>
              </w:rPr>
              <w:tab/>
            </w:r>
            <w:r w:rsidRPr="00417AE1">
              <w:rPr>
                <w:b/>
                <w:i/>
              </w:rPr>
              <w:t xml:space="preserve">El Reglamento (UE, Euratom) 2020/2092 se aplica a este programa. Establece un régimen general de condicionalidad para la protección del </w:t>
            </w:r>
            <w:r w:rsidRPr="00417AE1">
              <w:rPr>
                <w:b/>
                <w:i/>
              </w:rPr>
              <w:t>presupuesto de la Unión en caso de vulneración de los principios del Estado de Derecho en los Estados miembros.</w:t>
            </w:r>
          </w:p>
        </w:tc>
      </w:tr>
    </w:tbl>
    <w:p w:rsidR="00D4101C" w:rsidRPr="00417AE1" w:rsidP="00D4101C" w14:paraId="5C43E2ED" w14:textId="77777777">
      <w:pPr>
        <w:rPr>
          <w:lang w:val="pt-PT"/>
        </w:rPr>
      </w:pPr>
      <w:r w:rsidRPr="00417AE1">
        <w:rPr>
          <w:rStyle w:val="HideTWBExt"/>
          <w:lang w:val="pt-PT"/>
        </w:rPr>
        <w:t>&lt;/Amend&gt;</w:t>
      </w:r>
    </w:p>
    <w:p w:rsidR="00D4101C" w:rsidRPr="00417AE1" w:rsidP="00873BF3" w14:paraId="33658D24" w14:textId="77777777">
      <w:pPr>
        <w:rPr>
          <w:lang w:val="pt-PT"/>
        </w:rPr>
      </w:pPr>
    </w:p>
    <w:p w:rsidR="00FF549B" w:rsidRPr="00417AE1" w:rsidP="000A40DB" w14:paraId="59E47F42" w14:textId="77777777">
      <w:pPr>
        <w:pStyle w:val="AmNumberTabs"/>
        <w:keepNext/>
        <w:rPr>
          <w:lang w:val="pt-PT"/>
        </w:rPr>
      </w:pPr>
      <w:r w:rsidRPr="00417AE1">
        <w:rPr>
          <w:rStyle w:val="HideTWBExt"/>
          <w:b w:val="0"/>
        </w:rPr>
        <w:t>&lt;Amend&gt;</w:t>
      </w:r>
      <w:r w:rsidRPr="00417AE1">
        <w:rPr>
          <w:lang w:val="pt-PT"/>
        </w:rPr>
        <w:t>Enmienda</w:t>
      </w:r>
      <w:r w:rsidRPr="00417AE1">
        <w:rPr>
          <w:lang w:val="pt-PT"/>
        </w:rPr>
        <w:tab/>
      </w:r>
      <w:r w:rsidRPr="00417AE1">
        <w:rPr>
          <w:lang w:val="pt-PT"/>
        </w:rPr>
        <w:tab/>
      </w:r>
      <w:r w:rsidRPr="00417AE1">
        <w:rPr>
          <w:rStyle w:val="HideTWBExt"/>
          <w:b w:val="0"/>
        </w:rPr>
        <w:t>&lt;NumAm&gt;</w:t>
      </w:r>
      <w:r w:rsidRPr="00417AE1">
        <w:rPr>
          <w:lang w:val="pt-PT"/>
        </w:rPr>
        <w:t>5</w:t>
      </w:r>
      <w:r w:rsidRPr="00417AE1">
        <w:rPr>
          <w:rStyle w:val="HideTWBExt"/>
          <w:b w:val="0"/>
        </w:rPr>
        <w:t>&lt;/NumAm&gt;</w:t>
      </w:r>
    </w:p>
    <w:p w:rsidR="00FF549B" w:rsidRPr="00417AE1" w:rsidP="000A40DB" w14:paraId="2DF2F75F" w14:textId="77777777">
      <w:pPr>
        <w:pStyle w:val="NormalBold12b"/>
        <w:keepNext/>
        <w:rPr>
          <w:lang w:val="pt-PT"/>
        </w:rPr>
      </w:pPr>
      <w:r w:rsidRPr="00417AE1">
        <w:rPr>
          <w:rStyle w:val="HideTWBExt"/>
          <w:b w:val="0"/>
        </w:rPr>
        <w:t>&lt;DocAmend&gt;</w:t>
      </w:r>
      <w:r w:rsidRPr="00417AE1">
        <w:rPr>
          <w:lang w:val="pt-PT"/>
        </w:rPr>
        <w:t>Propuesta de Reglamento</w:t>
      </w:r>
      <w:r w:rsidRPr="00417AE1">
        <w:rPr>
          <w:rStyle w:val="HideTWBExt"/>
          <w:b w:val="0"/>
        </w:rPr>
        <w:t>&lt;/DocAmend&gt;</w:t>
      </w:r>
    </w:p>
    <w:p w:rsidR="00FF549B" w:rsidRPr="00417AE1" w:rsidP="000A40DB" w14:paraId="5D08BCAB" w14:textId="77777777">
      <w:pPr>
        <w:pStyle w:val="NormalBold"/>
      </w:pPr>
      <w:r w:rsidRPr="00417AE1">
        <w:rPr>
          <w:rStyle w:val="HideTWBExt"/>
          <w:b w:val="0"/>
        </w:rPr>
        <w:t>&lt;Article&gt;</w:t>
      </w:r>
      <w:r w:rsidRPr="00417AE1">
        <w:t>Considerando 24 bis (nuevo)</w:t>
      </w:r>
      <w:r w:rsidRPr="00417AE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748C34B6" w14:textId="77777777" w:rsidTr="00FF549B">
        <w:tblPrEx>
          <w:tblW w:w="9752" w:type="dxa"/>
          <w:jc w:val="center"/>
          <w:tblLayout w:type="fixed"/>
          <w:tblCellMar>
            <w:left w:w="340" w:type="dxa"/>
            <w:right w:w="340" w:type="dxa"/>
          </w:tblCellMar>
          <w:tblLook w:val="04A0"/>
        </w:tblPrEx>
        <w:trPr>
          <w:jc w:val="center"/>
        </w:trPr>
        <w:tc>
          <w:tcPr>
            <w:tcW w:w="9752" w:type="dxa"/>
            <w:gridSpan w:val="2"/>
          </w:tcPr>
          <w:p w:rsidR="00FF549B" w:rsidRPr="00417AE1" w:rsidP="00A92590" w14:paraId="333ADF10" w14:textId="77777777">
            <w:pPr>
              <w:keepNext/>
            </w:pPr>
          </w:p>
        </w:tc>
      </w:tr>
      <w:tr w14:paraId="0F2FBB27"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FF549B" w:rsidRPr="00417AE1" w:rsidP="00A92590" w14:paraId="41CF2A65" w14:textId="77777777">
            <w:pPr>
              <w:pStyle w:val="AmColumnHeading"/>
              <w:keepNext/>
            </w:pPr>
            <w:r w:rsidRPr="00417AE1">
              <w:t>Texto de la Comisión</w:t>
            </w:r>
          </w:p>
        </w:tc>
        <w:tc>
          <w:tcPr>
            <w:tcW w:w="4876" w:type="dxa"/>
            <w:hideMark/>
          </w:tcPr>
          <w:p w:rsidR="00FF549B" w:rsidRPr="00417AE1" w:rsidP="00A92590" w14:paraId="439A3D55" w14:textId="77777777">
            <w:pPr>
              <w:pStyle w:val="AmColumnHeading"/>
              <w:keepNext/>
            </w:pPr>
            <w:r w:rsidRPr="00417AE1">
              <w:t>Enmienda</w:t>
            </w:r>
          </w:p>
        </w:tc>
      </w:tr>
      <w:tr w14:paraId="4B5C9DD3"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FF549B" w:rsidRPr="00417AE1" w:rsidP="00A92590" w14:paraId="352B6F68" w14:textId="77777777">
            <w:pPr>
              <w:pStyle w:val="Normal6a"/>
            </w:pPr>
          </w:p>
        </w:tc>
        <w:tc>
          <w:tcPr>
            <w:tcW w:w="4876" w:type="dxa"/>
            <w:hideMark/>
          </w:tcPr>
          <w:p w:rsidR="00FF549B" w:rsidRPr="00417AE1" w:rsidP="00A92590" w14:paraId="5E5DB103" w14:textId="77777777">
            <w:pPr>
              <w:pStyle w:val="Normal6a"/>
            </w:pPr>
            <w:r w:rsidRPr="00417AE1">
              <w:rPr>
                <w:b/>
                <w:i/>
              </w:rPr>
              <w:t>(24 bis)</w:t>
            </w:r>
            <w:r w:rsidRPr="00417AE1">
              <w:rPr>
                <w:b/>
                <w:i/>
              </w:rPr>
              <w:tab/>
            </w:r>
            <w:r w:rsidRPr="00417AE1">
              <w:rPr>
                <w:b/>
                <w:i/>
              </w:rPr>
              <w:t xml:space="preserve">Las disposiciones del presente Reglamento, así como sus mecanismos de gobernanza, deben propiciar una toma de decisiones adecuada por parte de la autoridad presupuestaria y un control parlamentario adecuado. En particular, de conformidad con el artículo 47, apartado 2, del Reglamento Financiero, toda especificación de la arquitectura interna del apoyo de la Unión al espacio Schengen, la gestión integrada de las fronteras europeas y la política común de visados debe reflejarse debidamente en la nomenclatura </w:t>
            </w:r>
            <w:r w:rsidRPr="00417AE1">
              <w:rPr>
                <w:b/>
                <w:i/>
              </w:rPr>
              <w:t>presupuestaria mediante la introducción de las líneas presupuestarias correspondientes.</w:t>
            </w:r>
          </w:p>
        </w:tc>
      </w:tr>
    </w:tbl>
    <w:p w:rsidR="00FF549B" w:rsidRPr="00417AE1" w:rsidP="000A40DB" w14:paraId="3B1F8A69" w14:textId="77777777">
      <w:pPr>
        <w:rPr>
          <w:lang w:val="pt-PT"/>
        </w:rPr>
      </w:pPr>
      <w:r w:rsidRPr="00417AE1">
        <w:rPr>
          <w:rStyle w:val="HideTWBExt"/>
          <w:lang w:val="pt-PT"/>
        </w:rPr>
        <w:t>&lt;/Amend&gt;</w:t>
      </w:r>
    </w:p>
    <w:p w:rsidR="00FF549B" w:rsidRPr="00417AE1" w:rsidP="00FF549B" w14:paraId="440DA10E" w14:textId="77777777">
      <w:pPr>
        <w:pStyle w:val="AmNumberTabs"/>
        <w:keepNext/>
        <w:rPr>
          <w:lang w:val="pt-PT"/>
        </w:rPr>
      </w:pPr>
      <w:r w:rsidRPr="00417AE1">
        <w:rPr>
          <w:rStyle w:val="HideTWBExt"/>
          <w:b w:val="0"/>
        </w:rPr>
        <w:t>&lt;Amend&gt;</w:t>
      </w:r>
      <w:r w:rsidRPr="00417AE1">
        <w:rPr>
          <w:lang w:val="pt-PT"/>
        </w:rPr>
        <w:t>Enmienda</w:t>
      </w:r>
      <w:r w:rsidRPr="00417AE1">
        <w:rPr>
          <w:lang w:val="pt-PT"/>
        </w:rPr>
        <w:tab/>
      </w:r>
      <w:r w:rsidRPr="00417AE1">
        <w:rPr>
          <w:lang w:val="pt-PT"/>
        </w:rPr>
        <w:tab/>
      </w:r>
      <w:r w:rsidRPr="00417AE1">
        <w:rPr>
          <w:rStyle w:val="HideTWBExt"/>
          <w:b w:val="0"/>
        </w:rPr>
        <w:t>&lt;NumAm&gt;</w:t>
      </w:r>
      <w:r w:rsidRPr="00417AE1">
        <w:rPr>
          <w:lang w:val="pt-PT"/>
        </w:rPr>
        <w:t>6</w:t>
      </w:r>
      <w:r w:rsidRPr="00417AE1">
        <w:rPr>
          <w:rStyle w:val="HideTWBExt"/>
          <w:b w:val="0"/>
        </w:rPr>
        <w:t>&lt;/NumAm&gt;</w:t>
      </w:r>
    </w:p>
    <w:p w:rsidR="00FF549B" w:rsidRPr="00417AE1" w:rsidP="00FF549B" w14:paraId="59E877CB" w14:textId="77777777">
      <w:pPr>
        <w:pStyle w:val="NormalBold12b"/>
        <w:keepNext/>
        <w:rPr>
          <w:lang w:val="pt-PT"/>
        </w:rPr>
      </w:pPr>
      <w:r w:rsidRPr="00417AE1">
        <w:rPr>
          <w:rStyle w:val="HideTWBExt"/>
          <w:b w:val="0"/>
        </w:rPr>
        <w:t>&lt;DocAmend&gt;</w:t>
      </w:r>
      <w:r w:rsidRPr="00417AE1">
        <w:rPr>
          <w:lang w:val="pt-PT"/>
        </w:rPr>
        <w:t>Propuesta de Reglamento</w:t>
      </w:r>
      <w:r w:rsidRPr="00417AE1">
        <w:rPr>
          <w:rStyle w:val="HideTWBExt"/>
          <w:b w:val="0"/>
        </w:rPr>
        <w:t>&lt;/DocAmend&gt;</w:t>
      </w:r>
    </w:p>
    <w:p w:rsidR="00FF549B" w:rsidRPr="00417AE1" w:rsidP="00FF549B" w14:paraId="46487B31" w14:textId="77777777">
      <w:pPr>
        <w:pStyle w:val="NormalBold"/>
      </w:pPr>
      <w:r w:rsidRPr="00417AE1">
        <w:rPr>
          <w:rStyle w:val="HideTWBExt"/>
          <w:b w:val="0"/>
        </w:rPr>
        <w:t>&lt;Article&gt;</w:t>
      </w:r>
      <w:r w:rsidRPr="00417AE1">
        <w:t>Considerando 24 ter (nuevo)</w:t>
      </w:r>
      <w:r w:rsidRPr="00417AE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5CC7884" w14:textId="77777777" w:rsidTr="00FF549B">
        <w:tblPrEx>
          <w:tblW w:w="9752" w:type="dxa"/>
          <w:jc w:val="center"/>
          <w:tblLayout w:type="fixed"/>
          <w:tblCellMar>
            <w:left w:w="340" w:type="dxa"/>
            <w:right w:w="340" w:type="dxa"/>
          </w:tblCellMar>
          <w:tblLook w:val="04A0"/>
        </w:tblPrEx>
        <w:trPr>
          <w:jc w:val="center"/>
        </w:trPr>
        <w:tc>
          <w:tcPr>
            <w:tcW w:w="9752" w:type="dxa"/>
            <w:gridSpan w:val="2"/>
          </w:tcPr>
          <w:p w:rsidR="00FF549B" w:rsidRPr="00417AE1" w:rsidP="00534C44" w14:paraId="65AAD579" w14:textId="77777777">
            <w:pPr>
              <w:keepNext/>
            </w:pPr>
          </w:p>
        </w:tc>
      </w:tr>
      <w:tr w14:paraId="4C1A56AF"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FF549B" w:rsidRPr="00417AE1" w:rsidP="00534C44" w14:paraId="70385FEE" w14:textId="77777777">
            <w:pPr>
              <w:pStyle w:val="AmColumnHeading"/>
              <w:keepNext/>
            </w:pPr>
            <w:r w:rsidRPr="00417AE1">
              <w:t>Texto de la Comisión</w:t>
            </w:r>
          </w:p>
        </w:tc>
        <w:tc>
          <w:tcPr>
            <w:tcW w:w="4876" w:type="dxa"/>
            <w:hideMark/>
          </w:tcPr>
          <w:p w:rsidR="00FF549B" w:rsidRPr="00417AE1" w:rsidP="00534C44" w14:paraId="3DC51097" w14:textId="77777777">
            <w:pPr>
              <w:pStyle w:val="AmColumnHeading"/>
              <w:keepNext/>
            </w:pPr>
            <w:r w:rsidRPr="00417AE1">
              <w:t>Enmienda</w:t>
            </w:r>
          </w:p>
        </w:tc>
      </w:tr>
      <w:tr w14:paraId="599F830E"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FF549B" w:rsidRPr="00417AE1" w:rsidP="00534C44" w14:paraId="297C4BA5" w14:textId="77777777">
            <w:pPr>
              <w:pStyle w:val="Normal6a"/>
            </w:pPr>
          </w:p>
        </w:tc>
        <w:tc>
          <w:tcPr>
            <w:tcW w:w="4876" w:type="dxa"/>
            <w:hideMark/>
          </w:tcPr>
          <w:p w:rsidR="00C604F4" w:rsidRPr="00417AE1" w:rsidP="00C604F4" w14:paraId="206ECB24" w14:textId="77777777">
            <w:pPr>
              <w:pStyle w:val="Normal6a"/>
              <w:rPr>
                <w:b/>
                <w:i/>
              </w:rPr>
            </w:pPr>
            <w:r w:rsidRPr="00417AE1">
              <w:rPr>
                <w:b/>
                <w:i/>
              </w:rPr>
              <w:t>(24 ter)</w:t>
            </w:r>
            <w:r w:rsidRPr="00417AE1">
              <w:rPr>
                <w:b/>
                <w:i/>
              </w:rPr>
              <w:tab/>
              <w:t xml:space="preserve">Se ha evaluado+, en virtud del artículo 310, apartado 4, del Tratado de Funcionamiento de la Unión Europea, la manera en que el presente Reglamento incide en el presupuesto de la Unión. Deben asignarse recursos financieros y humanos suficientes para su aplicación al mismo tiempo que se tiene en cuenta la repercusión de su financiación en otros programas o políticas de la Unión y se </w:t>
            </w:r>
            <w:r w:rsidRPr="00417AE1">
              <w:rPr>
                <w:b/>
                <w:i/>
              </w:rPr>
              <w:t>garantiza su compatibilidad con el marco financiero plurianual, así como con los principios presupuestarios establecidos en el</w:t>
            </w:r>
            <w:r w:rsidRPr="00417AE1">
              <w:rPr>
                <w:b/>
                <w:i/>
              </w:rPr>
              <w:t xml:space="preserve"> Reglamento (UE, Euratom) 2024/2509 del Parlamento Europeo y del Consejo</w:t>
            </w:r>
            <w:r w:rsidRPr="00417AE1">
              <w:rPr>
                <w:b/>
                <w:i/>
                <w:vertAlign w:val="superscript"/>
              </w:rPr>
              <w:t>[</w:t>
            </w:r>
            <w:r w:rsidRPr="00417AE1">
              <w:rPr>
                <w:b/>
                <w:i/>
                <w:vertAlign w:val="superscript"/>
              </w:rPr>
              <w:t>1]</w:t>
            </w:r>
            <w:r w:rsidRPr="00417AE1">
              <w:rPr>
                <w:b/>
                <w:i/>
              </w:rPr>
              <w:t>.</w:t>
            </w:r>
          </w:p>
          <w:p w:rsidR="00FF549B" w:rsidRPr="00417AE1" w:rsidP="00C604F4" w14:paraId="5573E185" w14:textId="77777777">
            <w:pPr>
              <w:pStyle w:val="Normal6a"/>
            </w:pPr>
          </w:p>
        </w:tc>
      </w:tr>
      <w:tr w14:paraId="79F14FB3" w14:textId="77777777" w:rsidTr="00FF549B">
        <w:tblPrEx>
          <w:tblW w:w="9752" w:type="dxa"/>
          <w:jc w:val="center"/>
          <w:tblLayout w:type="fixed"/>
          <w:tblCellMar>
            <w:left w:w="340" w:type="dxa"/>
            <w:right w:w="340" w:type="dxa"/>
          </w:tblCellMar>
          <w:tblLook w:val="04A0"/>
        </w:tblPrEx>
        <w:trPr>
          <w:jc w:val="center"/>
        </w:trPr>
        <w:tc>
          <w:tcPr>
            <w:tcW w:w="4876" w:type="dxa"/>
          </w:tcPr>
          <w:p w:rsidR="00A22DA2" w:rsidRPr="00417AE1" w:rsidP="00534C44" w14:paraId="5773A4D3" w14:textId="77777777">
            <w:pPr>
              <w:pStyle w:val="Normal6a"/>
            </w:pPr>
          </w:p>
        </w:tc>
        <w:tc>
          <w:tcPr>
            <w:tcW w:w="4876" w:type="dxa"/>
          </w:tcPr>
          <w:p w:rsidR="00A22DA2" w:rsidRPr="00417AE1" w:rsidP="00C604F4" w14:paraId="0A870C58" w14:textId="77777777">
            <w:pPr>
              <w:pStyle w:val="Normal6a"/>
              <w:rPr>
                <w:b/>
                <w:i/>
              </w:rPr>
            </w:pPr>
            <w:r w:rsidRPr="00417AE1">
              <w:rPr>
                <w:b/>
                <w:i/>
              </w:rPr>
              <w:t>______________________</w:t>
            </w:r>
          </w:p>
        </w:tc>
      </w:tr>
      <w:tr w14:paraId="201D64B3" w14:textId="77777777" w:rsidTr="00FF549B">
        <w:tblPrEx>
          <w:tblW w:w="9752" w:type="dxa"/>
          <w:jc w:val="center"/>
          <w:tblLayout w:type="fixed"/>
          <w:tblCellMar>
            <w:left w:w="340" w:type="dxa"/>
            <w:right w:w="340" w:type="dxa"/>
          </w:tblCellMar>
          <w:tblLook w:val="04A0"/>
        </w:tblPrEx>
        <w:trPr>
          <w:jc w:val="center"/>
        </w:trPr>
        <w:tc>
          <w:tcPr>
            <w:tcW w:w="4876" w:type="dxa"/>
          </w:tcPr>
          <w:p w:rsidR="00A22DA2" w:rsidRPr="00417AE1" w:rsidP="00534C44" w14:paraId="398B8E06" w14:textId="77777777">
            <w:pPr>
              <w:pStyle w:val="Normal6a"/>
            </w:pPr>
          </w:p>
        </w:tc>
        <w:tc>
          <w:tcPr>
            <w:tcW w:w="4876" w:type="dxa"/>
          </w:tcPr>
          <w:p w:rsidR="00A22DA2" w:rsidRPr="00417AE1" w:rsidP="00C604F4" w14:paraId="39D449BB" w14:textId="7F42150D">
            <w:pPr>
              <w:pStyle w:val="Normal6a"/>
              <w:rPr>
                <w:b/>
                <w:i/>
              </w:rPr>
            </w:pPr>
            <w:r w:rsidRPr="00417AE1">
              <w:rPr>
                <w:b/>
                <w:i/>
                <w:vertAlign w:val="superscript"/>
              </w:rPr>
              <w:t>+</w:t>
            </w:r>
            <w:r w:rsidRPr="00417AE1">
              <w:rPr>
                <w:b/>
                <w:i/>
              </w:rPr>
              <w:t xml:space="preserve"> Pro memoria: </w:t>
            </w:r>
            <w:r w:rsidRPr="00417AE1">
              <w:rPr>
                <w:b/>
                <w:i/>
              </w:rPr>
              <w:t>Evaluación presupuestaria de la Comisión de Presupuestos del Parlamento Europeo, de</w:t>
            </w:r>
            <w:r w:rsidR="00702104">
              <w:rPr>
                <w:b/>
                <w:i/>
              </w:rPr>
              <w:t> </w:t>
            </w:r>
            <w:r w:rsidRPr="00417AE1">
              <w:rPr>
                <w:b/>
                <w:i/>
              </w:rPr>
              <w:t>15 de julio de 2026, sobre la propuesta de Reglamento del Parlamento Europeo y del Consejo por el que se establece el apoyo de la Unión al espacio Schengen, a la gestión europea integrada de las fronteras y a la política común de visados para el período 2028-2034 (COM(2025)0541).</w:t>
            </w:r>
          </w:p>
        </w:tc>
      </w:tr>
      <w:tr w14:paraId="41609344" w14:textId="77777777" w:rsidTr="00FF549B">
        <w:tblPrEx>
          <w:tblW w:w="9752" w:type="dxa"/>
          <w:jc w:val="center"/>
          <w:tblLayout w:type="fixed"/>
          <w:tblCellMar>
            <w:left w:w="340" w:type="dxa"/>
            <w:right w:w="340" w:type="dxa"/>
          </w:tblCellMar>
          <w:tblLook w:val="04A0"/>
        </w:tblPrEx>
        <w:trPr>
          <w:jc w:val="center"/>
        </w:trPr>
        <w:tc>
          <w:tcPr>
            <w:tcW w:w="4876" w:type="dxa"/>
          </w:tcPr>
          <w:p w:rsidR="00A22DA2" w:rsidRPr="00417AE1" w:rsidP="00534C44" w14:paraId="22ACF1BC" w14:textId="77777777">
            <w:pPr>
              <w:pStyle w:val="Normal6a"/>
            </w:pPr>
          </w:p>
        </w:tc>
        <w:tc>
          <w:tcPr>
            <w:tcW w:w="4876" w:type="dxa"/>
          </w:tcPr>
          <w:p w:rsidR="00A22DA2" w:rsidRPr="00417AE1" w:rsidP="00C604F4" w14:paraId="5FC27071" w14:textId="528CB9EE">
            <w:pPr>
              <w:pStyle w:val="Normal6a"/>
              <w:rPr>
                <w:b/>
                <w:i/>
              </w:rPr>
            </w:pPr>
            <w:r w:rsidRPr="00417AE1">
              <w:rPr>
                <w:b/>
                <w:i/>
                <w:vertAlign w:val="superscript"/>
              </w:rPr>
              <w:t>[</w:t>
            </w:r>
            <w:r w:rsidRPr="00417AE1">
              <w:rPr>
                <w:b/>
                <w:i/>
                <w:vertAlign w:val="superscript"/>
              </w:rPr>
              <w:t>1</w:t>
            </w:r>
            <w:r w:rsidRPr="00417AE1">
              <w:rPr>
                <w:b/>
                <w:i/>
                <w:vertAlign w:val="superscript"/>
              </w:rPr>
              <w:t>]</w:t>
            </w:r>
            <w:r w:rsidRPr="00417AE1">
              <w:rPr>
                <w:b/>
                <w:i/>
              </w:rPr>
              <w:t> Reglamento (UE, Euratom) 2024/2509 del Parlamento Europeo y del Consejo, de</w:t>
            </w:r>
            <w:r w:rsidR="00702104">
              <w:rPr>
                <w:b/>
                <w:i/>
              </w:rPr>
              <w:t> </w:t>
            </w:r>
            <w:r w:rsidRPr="00417AE1">
              <w:rPr>
                <w:b/>
                <w:i/>
              </w:rPr>
              <w:t>23</w:t>
            </w:r>
            <w:r w:rsidR="00702104">
              <w:rPr>
                <w:b/>
                <w:i/>
              </w:rPr>
              <w:t xml:space="preserve"> </w:t>
            </w:r>
            <w:r w:rsidRPr="00417AE1">
              <w:rPr>
                <w:b/>
                <w:i/>
              </w:rPr>
              <w:t>de septiembre de 2024, sobre las normas financieras aplicables al presupuesto general de la Unión (DO L,</w:t>
            </w:r>
            <w:r w:rsidR="00702104">
              <w:rPr>
                <w:b/>
                <w:i/>
              </w:rPr>
              <w:t> </w:t>
            </w:r>
            <w:r w:rsidRPr="00417AE1">
              <w:rPr>
                <w:b/>
                <w:i/>
              </w:rPr>
              <w:t>2024/2509, 26.9.2024, ELI: http://data.europa.eu/eli/reg/2024/2509/oj).</w:t>
            </w:r>
          </w:p>
        </w:tc>
      </w:tr>
    </w:tbl>
    <w:p w:rsidR="00FF549B" w:rsidRPr="00702104" w:rsidP="00FF549B" w14:paraId="30FE66FA" w14:textId="77777777">
      <w:pPr>
        <w:rPr>
          <w:lang w:val="es-ES"/>
        </w:rPr>
      </w:pPr>
      <w:r w:rsidRPr="00702104">
        <w:rPr>
          <w:rStyle w:val="HideTWBExt"/>
          <w:lang w:val="es-ES"/>
        </w:rPr>
        <w:t>&lt;/Amend&gt;</w:t>
      </w:r>
    </w:p>
    <w:p w:rsidR="00FF549B" w:rsidRPr="00417AE1" w:rsidP="00FF549B" w14:paraId="2AC16568" w14:textId="77777777">
      <w:pPr>
        <w:pStyle w:val="AmNumberTabs"/>
        <w:keepNext/>
        <w:rPr>
          <w:lang w:val="pt-PT"/>
        </w:rPr>
      </w:pPr>
      <w:r w:rsidRPr="00417AE1">
        <w:rPr>
          <w:rStyle w:val="HideTWBExt"/>
          <w:b w:val="0"/>
        </w:rPr>
        <w:t>&lt;Amend&gt;</w:t>
      </w:r>
      <w:r w:rsidRPr="00417AE1">
        <w:rPr>
          <w:lang w:val="pt-PT"/>
        </w:rPr>
        <w:t>Enmienda</w:t>
      </w:r>
      <w:r w:rsidRPr="00417AE1">
        <w:rPr>
          <w:lang w:val="pt-PT"/>
        </w:rPr>
        <w:tab/>
      </w:r>
      <w:r w:rsidRPr="00417AE1">
        <w:rPr>
          <w:lang w:val="pt-PT"/>
        </w:rPr>
        <w:tab/>
      </w:r>
      <w:r w:rsidRPr="00417AE1">
        <w:rPr>
          <w:rStyle w:val="HideTWBExt"/>
          <w:b w:val="0"/>
        </w:rPr>
        <w:t>&lt;NumAm&gt;</w:t>
      </w:r>
      <w:r w:rsidRPr="00417AE1">
        <w:rPr>
          <w:lang w:val="pt-PT"/>
        </w:rPr>
        <w:t>7</w:t>
      </w:r>
      <w:r w:rsidRPr="00417AE1">
        <w:rPr>
          <w:rStyle w:val="HideTWBExt"/>
          <w:b w:val="0"/>
        </w:rPr>
        <w:t>&lt;/NumAm&gt;</w:t>
      </w:r>
    </w:p>
    <w:p w:rsidR="00FF549B" w:rsidRPr="00417AE1" w:rsidP="00FF549B" w14:paraId="585BFF6D" w14:textId="77777777">
      <w:pPr>
        <w:pStyle w:val="NormalBold12b"/>
        <w:keepNext/>
        <w:rPr>
          <w:lang w:val="pt-PT"/>
        </w:rPr>
      </w:pPr>
      <w:r w:rsidRPr="00417AE1">
        <w:rPr>
          <w:rStyle w:val="HideTWBExt"/>
          <w:b w:val="0"/>
        </w:rPr>
        <w:t>&lt;DocAmend&gt;</w:t>
      </w:r>
      <w:r w:rsidRPr="00417AE1">
        <w:rPr>
          <w:lang w:val="pt-PT"/>
        </w:rPr>
        <w:t>Propuesta de Reglamento</w:t>
      </w:r>
      <w:r w:rsidRPr="00417AE1">
        <w:rPr>
          <w:rStyle w:val="HideTWBExt"/>
          <w:b w:val="0"/>
        </w:rPr>
        <w:t>&lt;/DocAmend&gt;</w:t>
      </w:r>
    </w:p>
    <w:p w:rsidR="00FF549B" w:rsidRPr="00417AE1" w:rsidP="00FF549B" w14:paraId="5C62DEB9" w14:textId="77777777">
      <w:pPr>
        <w:pStyle w:val="NormalBold"/>
      </w:pPr>
      <w:r w:rsidRPr="00417AE1">
        <w:rPr>
          <w:rStyle w:val="HideTWBExt"/>
          <w:b w:val="0"/>
        </w:rPr>
        <w:t>&lt;Article&gt;</w:t>
      </w:r>
      <w:r w:rsidRPr="00417AE1">
        <w:t>Artículo 4 – apartado 1</w:t>
      </w:r>
      <w:r w:rsidRPr="00417AE1">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B744CE2" w14:textId="77777777" w:rsidTr="00FF549B">
        <w:tblPrEx>
          <w:tblW w:w="9752" w:type="dxa"/>
          <w:jc w:val="center"/>
          <w:tblLayout w:type="fixed"/>
          <w:tblCellMar>
            <w:left w:w="340" w:type="dxa"/>
            <w:right w:w="340" w:type="dxa"/>
          </w:tblCellMar>
          <w:tblLook w:val="04A0"/>
        </w:tblPrEx>
        <w:trPr>
          <w:jc w:val="center"/>
        </w:trPr>
        <w:tc>
          <w:tcPr>
            <w:tcW w:w="9752" w:type="dxa"/>
            <w:gridSpan w:val="2"/>
          </w:tcPr>
          <w:p w:rsidR="00FF549B" w:rsidRPr="00417AE1" w:rsidP="00534C44" w14:paraId="58074F26" w14:textId="77777777">
            <w:pPr>
              <w:keepNext/>
            </w:pPr>
          </w:p>
        </w:tc>
      </w:tr>
      <w:tr w14:paraId="5105E359"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FF549B" w:rsidRPr="00417AE1" w:rsidP="00534C44" w14:paraId="27B6390B" w14:textId="77777777">
            <w:pPr>
              <w:pStyle w:val="AmColumnHeading"/>
              <w:keepNext/>
            </w:pPr>
            <w:r w:rsidRPr="00417AE1">
              <w:t>Texto de la Comisión</w:t>
            </w:r>
          </w:p>
        </w:tc>
        <w:tc>
          <w:tcPr>
            <w:tcW w:w="4876" w:type="dxa"/>
            <w:hideMark/>
          </w:tcPr>
          <w:p w:rsidR="00FF549B" w:rsidRPr="00417AE1" w:rsidP="00534C44" w14:paraId="14B724A7" w14:textId="77777777">
            <w:pPr>
              <w:pStyle w:val="AmColumnHeading"/>
              <w:keepNext/>
            </w:pPr>
            <w:r w:rsidRPr="00417AE1">
              <w:t>Enmienda</w:t>
            </w:r>
          </w:p>
        </w:tc>
      </w:tr>
      <w:tr w14:paraId="3E32D3B5" w14:textId="77777777" w:rsidTr="00FF549B">
        <w:tblPrEx>
          <w:tblW w:w="9752" w:type="dxa"/>
          <w:jc w:val="center"/>
          <w:tblLayout w:type="fixed"/>
          <w:tblCellMar>
            <w:left w:w="340" w:type="dxa"/>
            <w:right w:w="340" w:type="dxa"/>
          </w:tblCellMar>
          <w:tblLook w:val="04A0"/>
        </w:tblPrEx>
        <w:trPr>
          <w:jc w:val="center"/>
        </w:trPr>
        <w:tc>
          <w:tcPr>
            <w:tcW w:w="4876" w:type="dxa"/>
            <w:hideMark/>
          </w:tcPr>
          <w:p w:rsidR="00FF549B" w:rsidRPr="00417AE1" w:rsidP="00534C44" w14:paraId="69EFAE83" w14:textId="1B78573D">
            <w:pPr>
              <w:pStyle w:val="Normal6a"/>
            </w:pPr>
            <w:r w:rsidRPr="00417AE1">
              <w:t>1.</w:t>
            </w:r>
            <w:r w:rsidRPr="00417AE1">
              <w:tab/>
            </w:r>
            <w:r w:rsidRPr="00417AE1">
              <w:t>La dotación financiera indicativa para la aplicación de los objetivos establecidos en el artículo 3 para el período</w:t>
            </w:r>
            <w:r w:rsidR="00702104">
              <w:t> </w:t>
            </w:r>
            <w:r w:rsidRPr="00417AE1">
              <w:t>2028-2034 se fija en</w:t>
            </w:r>
            <w:r w:rsidR="00702104">
              <w:t> </w:t>
            </w:r>
            <w:r w:rsidRPr="00417AE1">
              <w:t xml:space="preserve">15 396 750 000 EUR a precios corrientes. Se aplicará de conformidad con las normas horizontales para los planes de colaboración nacionales y regionales que se establecen en el Reglamento (UE) [...], por el que se establece el Fondo Europeo para la Cohesión Económica, Social y Territorial, la Agricultura y las Zonas Rurales, la Pesca y el Mar, la Prosperidad y </w:t>
            </w:r>
            <w:r w:rsidRPr="00417AE1">
              <w:t>la Seguridad.</w:t>
            </w:r>
          </w:p>
        </w:tc>
        <w:tc>
          <w:tcPr>
            <w:tcW w:w="4876" w:type="dxa"/>
            <w:hideMark/>
          </w:tcPr>
          <w:p w:rsidR="00FF549B" w:rsidRPr="00417AE1" w:rsidP="00534C44" w14:paraId="2B06C7FC" w14:textId="77777777">
            <w:pPr>
              <w:pStyle w:val="Normal6a"/>
            </w:pPr>
            <w:r w:rsidRPr="00417AE1">
              <w:t>1.</w:t>
            </w:r>
            <w:r w:rsidRPr="00417AE1">
              <w:tab/>
              <w:t xml:space="preserve">La dotación </w:t>
            </w:r>
            <w:r w:rsidRPr="00417AE1">
              <w:rPr>
                <w:b/>
                <w:i/>
              </w:rPr>
              <w:t>del programa</w:t>
            </w:r>
            <w:r w:rsidRPr="00417AE1">
              <w:t xml:space="preserve"> para la aplicación de los objetivos establecidos en el artículo 3 para el período 2028-2034 </w:t>
            </w:r>
            <w:r w:rsidRPr="00417AE1">
              <w:rPr>
                <w:b/>
                <w:i/>
              </w:rPr>
              <w:t>será de 17 117 154 000 EUR a precios corrientes (</w:t>
            </w:r>
            <w:r w:rsidRPr="00417AE1">
              <w:rPr>
                <w:b/>
                <w:bCs/>
                <w:i/>
                <w:iCs/>
              </w:rPr>
              <w:t>15</w:t>
            </w:r>
            <w:r w:rsidRPr="00417AE1">
              <w:t> </w:t>
            </w:r>
            <w:r w:rsidRPr="00417AE1">
              <w:rPr>
                <w:b/>
                <w:i/>
              </w:rPr>
              <w:t>300 000</w:t>
            </w:r>
            <w:r w:rsidRPr="00417AE1">
              <w:rPr>
                <w:b/>
                <w:bCs/>
                <w:i/>
                <w:iCs/>
              </w:rPr>
              <w:t> 000 EUR a precios</w:t>
            </w:r>
            <w:r w:rsidRPr="00417AE1">
              <w:t xml:space="preserve"> </w:t>
            </w:r>
            <w:r w:rsidRPr="00417AE1">
              <w:rPr>
                <w:b/>
                <w:i/>
              </w:rPr>
              <w:t>de 2025)</w:t>
            </w:r>
            <w:r w:rsidRPr="00417AE1">
              <w:t>.</w:t>
            </w:r>
            <w:r w:rsidRPr="00417AE1">
              <w:rPr>
                <w:b/>
                <w:i/>
              </w:rPr>
              <w:t xml:space="preserve"> </w:t>
            </w:r>
            <w:r w:rsidRPr="00417AE1">
              <w:t>Se aplicará de conformidad con las normas horizontales para los planes de colaboración nacionales y regionales que se establecen en el Reglamento (UE) [...], por el que se establece el Fondo Europeo para la Cohesión Económica, Social y Territorial, la Agricultura y las Zonas Rurales, la Pesca y el Mar, la</w:t>
            </w:r>
            <w:r w:rsidRPr="00417AE1">
              <w:t xml:space="preserve"> Prosperidad y </w:t>
            </w:r>
            <w:r w:rsidRPr="00417AE1">
              <w:t>la Seguridad.</w:t>
            </w:r>
          </w:p>
        </w:tc>
      </w:tr>
    </w:tbl>
    <w:p w:rsidR="00FF549B" w:rsidRPr="00417AE1" w:rsidP="00FF549B" w14:paraId="3EF09355" w14:textId="77777777">
      <w:r w:rsidRPr="00417AE1">
        <w:rPr>
          <w:rStyle w:val="HideTWBExt"/>
        </w:rPr>
        <w:t>&lt;/Amend&gt;</w:t>
      </w:r>
    </w:p>
    <w:p w:rsidR="00AE5581" w:rsidRPr="00417AE1" w:rsidP="008B7BF6" w14:paraId="2E50EFC8" w14:textId="77777777">
      <w:r w:rsidRPr="00417AE1">
        <w:rPr>
          <w:rStyle w:val="HideTWBExt"/>
        </w:rPr>
        <w:t>&lt;/RepeatBlock-Amend&gt;</w:t>
      </w:r>
    </w:p>
    <w:p w:rsidR="00A7638C" w:rsidRPr="00417AE1" w14:paraId="720BA591" w14:textId="77777777">
      <w:pPr>
        <w:widowControl/>
        <w:sectPr w:rsidSect="007204C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7638C" w:rsidRPr="00417AE1" w:rsidP="002B2C72" w14:paraId="5D2FAA8E" w14:textId="77777777">
      <w:pPr>
        <w:pStyle w:val="PageHeadingNotTOC"/>
      </w:pPr>
      <w:bookmarkStart w:id="5" w:name="FootprintPageAD"/>
      <w:r w:rsidRPr="00417AE1">
        <w:t>ANEXO: DECLARACIÓN DE CONTRIBUCIONES</w:t>
      </w:r>
    </w:p>
    <w:p w:rsidR="00A7638C" w:rsidRPr="00417AE1" w:rsidP="00037518" w14:paraId="08AEDF28" w14:textId="77777777">
      <w:pPr>
        <w:pStyle w:val="Normal24a"/>
      </w:pPr>
      <w:r w:rsidRPr="00417AE1">
        <w:rPr>
          <w:rStyle w:val="HideTWBExt"/>
        </w:rPr>
        <w:t>&lt;FootprintIntro&gt;</w:t>
      </w:r>
      <w:r w:rsidRPr="00417AE1">
        <w:t>La ponente de evaluación presupuestaria declara, bajo su exclusiva responsabilidad, que no ha incluido en su evaluación presupuestaria ninguna contribución de representantes de intereses comprendidos en el ámbito de aplicación del Acuerdo Interinstitucional sobre un Registro de transparencia obligatorio</w:t>
      </w:r>
      <w:r>
        <w:rPr>
          <w:rStyle w:val="FootnoteReference"/>
        </w:rPr>
        <w:footnoteReference w:id="9"/>
      </w:r>
      <w:r w:rsidRPr="00417AE1">
        <w:t xml:space="preserve"> ni de representantes de las autoridades públicas de terceros países, incluidas sus misiones diplomáticas y embajadas, que deban enumerarse en el presente anexo de conformidad con el artículo 8 del anexo I del Reglamento interno.</w:t>
      </w:r>
      <w:r w:rsidRPr="00417AE1">
        <w:rPr>
          <w:rStyle w:val="HideTWBExt"/>
        </w:rPr>
        <w:t>&lt;/FootprintIntro&gt;</w:t>
      </w:r>
    </w:p>
    <w:bookmarkEnd w:id="5"/>
    <w:p w:rsidR="008B7BF6" w:rsidRPr="00417AE1" w:rsidP="007204C4" w14:paraId="37B3C5A4" w14:textId="77777777"/>
    <w:p w:rsidR="007204C4" w:rsidRPr="00417AE1" w:rsidP="007204C4" w14:paraId="06B202B1" w14:textId="77777777">
      <w:pPr>
        <w:sectPr w:rsidSect="007204C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204C4" w:rsidRPr="00417AE1" w:rsidP="007204C4" w14:paraId="761DF92B" w14:textId="77777777">
      <w:pPr>
        <w:pStyle w:val="PageHeadingNotTOC"/>
      </w:pPr>
      <w:bookmarkStart w:id="6" w:name="ProcPageAD"/>
      <w:r w:rsidRPr="00417AE1">
        <w:t>PROCEDIMIENTO DE LA COMISIÓN COMPETENTE</w:t>
      </w:r>
      <w:r w:rsidRPr="00417AE1">
        <w:br/>
        <w:t>PARA EMITIR LA EVALUACIÓN PRESUPUESTARIA</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39B7C4E7"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204C4" w:rsidRPr="00417AE1" w14:paraId="76ECE1A6" w14:textId="77777777">
            <w:pPr>
              <w:autoSpaceDE w:val="0"/>
              <w:autoSpaceDN w:val="0"/>
              <w:adjustRightInd w:val="0"/>
              <w:rPr>
                <w:b/>
                <w:bCs/>
                <w:sz w:val="20"/>
              </w:rPr>
            </w:pPr>
            <w:r w:rsidRPr="00417AE1">
              <w:rPr>
                <w:b/>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204C4" w:rsidRPr="00417AE1" w14:paraId="7899A765" w14:textId="35AAA82B">
            <w:pPr>
              <w:autoSpaceDE w:val="0"/>
              <w:autoSpaceDN w:val="0"/>
              <w:adjustRightInd w:val="0"/>
              <w:rPr>
                <w:sz w:val="20"/>
              </w:rPr>
            </w:pPr>
            <w:r>
              <w:rPr>
                <w:sz w:val="20"/>
              </w:rPr>
              <w:t>P</w:t>
            </w:r>
            <w:r w:rsidRPr="00417AE1">
              <w:rPr>
                <w:sz w:val="20"/>
              </w:rPr>
              <w:t>ropuesta de Reglamento del Parlamento Europeo y del Consejo por el que se establece el apoyo de la Unión al espacio Schengen, a la gestión europea integrada de las fronteras y a la política común de visados para el período 2028</w:t>
            </w:r>
            <w:r>
              <w:rPr>
                <w:sz w:val="20"/>
              </w:rPr>
              <w:noBreakHyphen/>
            </w:r>
            <w:r w:rsidRPr="00417AE1">
              <w:rPr>
                <w:sz w:val="20"/>
              </w:rPr>
              <w:t>2034</w:t>
            </w:r>
          </w:p>
        </w:tc>
      </w:tr>
      <w:tr w14:paraId="61DEFAA1"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204C4" w:rsidRPr="00417AE1" w14:paraId="5A09AB75" w14:textId="77777777">
            <w:pPr>
              <w:autoSpaceDE w:val="0"/>
              <w:autoSpaceDN w:val="0"/>
              <w:adjustRightInd w:val="0"/>
              <w:rPr>
                <w:b/>
                <w:bCs/>
                <w:sz w:val="20"/>
              </w:rPr>
            </w:pPr>
            <w:r w:rsidRPr="00417AE1">
              <w:rPr>
                <w:b/>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204C4" w:rsidRPr="00417AE1" w14:paraId="400383AB" w14:textId="77777777">
            <w:pPr>
              <w:autoSpaceDE w:val="0"/>
              <w:autoSpaceDN w:val="0"/>
              <w:adjustRightInd w:val="0"/>
              <w:rPr>
                <w:sz w:val="20"/>
              </w:rPr>
            </w:pPr>
            <w:r w:rsidRPr="00417AE1">
              <w:rPr>
                <w:sz w:val="20"/>
              </w:rPr>
              <w:t>COM(2025)0541 – C10-0176/2025 – 2025/0541(COD)</w:t>
            </w:r>
          </w:p>
        </w:tc>
      </w:tr>
      <w:tr w14:paraId="124B0DF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204C4" w:rsidRPr="00417AE1" w14:paraId="4241E594" w14:textId="77777777">
            <w:pPr>
              <w:autoSpaceDE w:val="0"/>
              <w:autoSpaceDN w:val="0"/>
              <w:adjustRightInd w:val="0"/>
              <w:rPr>
                <w:b/>
                <w:bCs/>
                <w:sz w:val="20"/>
              </w:rPr>
            </w:pPr>
            <w:r w:rsidRPr="00417AE1">
              <w:rPr>
                <w:b/>
                <w:sz w:val="20"/>
              </w:rPr>
              <w:t>Comisiones competentes para el fondo</w:t>
            </w:r>
          </w:p>
          <w:p w:rsidR="007204C4" w:rsidRPr="00417AE1" w:rsidP="00B57A92" w14:paraId="7511389A" w14:textId="76A7D226">
            <w:pPr>
              <w:autoSpaceDE w:val="0"/>
              <w:autoSpaceDN w:val="0"/>
              <w:adjustRightInd w:val="0"/>
              <w:ind w:firstLine="485"/>
              <w:rPr>
                <w:sz w:val="20"/>
              </w:rPr>
            </w:pPr>
            <w:r w:rsidRPr="00417AE1">
              <w:rPr>
                <w:sz w:val="20"/>
              </w:rPr>
              <w:t>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204C4" w:rsidRPr="00417AE1" w14:paraId="30B563FB" w14:textId="77777777">
            <w:pPr>
              <w:autoSpaceDE w:val="0"/>
              <w:autoSpaceDN w:val="0"/>
              <w:adjustRightInd w:val="0"/>
              <w:rPr>
                <w:sz w:val="20"/>
              </w:rPr>
            </w:pPr>
            <w:r w:rsidRPr="00417AE1">
              <w:rPr>
                <w:sz w:val="20"/>
              </w:rPr>
              <w:t>LIBE</w:t>
            </w:r>
          </w:p>
          <w:p w:rsidR="007204C4" w:rsidRPr="00417AE1" w14:paraId="39C96DB9" w14:textId="77777777">
            <w:pPr>
              <w:autoSpaceDE w:val="0"/>
              <w:autoSpaceDN w:val="0"/>
              <w:adjustRightInd w:val="0"/>
              <w:rPr>
                <w:sz w:val="20"/>
              </w:rPr>
            </w:pPr>
            <w:r w:rsidRPr="00417AE1">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204C4" w:rsidRPr="00417AE1" w14:paraId="7F832E5E"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204C4" w:rsidRPr="00417AE1" w14:paraId="6696B605"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204C4" w:rsidRPr="00417AE1" w14:paraId="3ED1D0FB" w14:textId="77777777">
            <w:pPr>
              <w:autoSpaceDE w:val="0"/>
              <w:autoSpaceDN w:val="0"/>
              <w:adjustRightInd w:val="0"/>
              <w:rPr>
                <w:rFonts w:ascii="sans-serif" w:hAnsi="sans-serif" w:cs="sans-serif"/>
              </w:rPr>
            </w:pPr>
          </w:p>
        </w:tc>
      </w:tr>
      <w:tr w14:paraId="7F3442DC"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204C4" w:rsidRPr="00417AE1" w14:paraId="646496D3" w14:textId="77777777">
            <w:pPr>
              <w:autoSpaceDE w:val="0"/>
              <w:autoSpaceDN w:val="0"/>
              <w:adjustRightInd w:val="0"/>
              <w:rPr>
                <w:b/>
                <w:bCs/>
                <w:sz w:val="20"/>
              </w:rPr>
            </w:pPr>
            <w:r w:rsidRPr="00417AE1">
              <w:rPr>
                <w:b/>
                <w:sz w:val="20"/>
              </w:rPr>
              <w:t>Evaluación presupuestaria emitida por</w:t>
            </w:r>
          </w:p>
          <w:p w:rsidR="007204C4" w:rsidRPr="00417AE1" w:rsidP="00B57A92" w14:paraId="01FAF66C" w14:textId="1F35F604">
            <w:pPr>
              <w:autoSpaceDE w:val="0"/>
              <w:autoSpaceDN w:val="0"/>
              <w:adjustRightInd w:val="0"/>
              <w:ind w:firstLine="485"/>
              <w:rPr>
                <w:sz w:val="20"/>
              </w:rPr>
            </w:pPr>
            <w:r w:rsidRPr="00417AE1">
              <w:rPr>
                <w:sz w:val="20"/>
              </w:rPr>
              <w:t>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204C4" w:rsidRPr="00417AE1" w14:paraId="13CC3194" w14:textId="77777777">
            <w:pPr>
              <w:autoSpaceDE w:val="0"/>
              <w:autoSpaceDN w:val="0"/>
              <w:adjustRightInd w:val="0"/>
              <w:rPr>
                <w:sz w:val="20"/>
              </w:rPr>
            </w:pPr>
            <w:r w:rsidRPr="00417AE1">
              <w:rPr>
                <w:sz w:val="20"/>
              </w:rPr>
              <w:t>BUDG</w:t>
            </w:r>
          </w:p>
          <w:p w:rsidR="007204C4" w:rsidRPr="00417AE1" w14:paraId="1B96B1EB" w14:textId="77777777">
            <w:pPr>
              <w:autoSpaceDE w:val="0"/>
              <w:autoSpaceDN w:val="0"/>
              <w:adjustRightInd w:val="0"/>
              <w:rPr>
                <w:sz w:val="20"/>
              </w:rPr>
            </w:pPr>
            <w:r w:rsidRPr="00417AE1">
              <w:rPr>
                <w:sz w:val="20"/>
              </w:rPr>
              <w:t>23.10.2025</w:t>
            </w:r>
          </w:p>
        </w:tc>
      </w:tr>
      <w:tr w14:paraId="1E39C05A"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204C4" w:rsidRPr="00417AE1" w14:paraId="12F5DE7F" w14:textId="77777777">
            <w:pPr>
              <w:autoSpaceDE w:val="0"/>
              <w:autoSpaceDN w:val="0"/>
              <w:adjustRightInd w:val="0"/>
              <w:rPr>
                <w:b/>
                <w:bCs/>
                <w:sz w:val="20"/>
              </w:rPr>
            </w:pPr>
            <w:r w:rsidRPr="00417AE1">
              <w:rPr>
                <w:b/>
                <w:sz w:val="20"/>
              </w:rPr>
              <w:t>Ponente de evaluación presupuestaria</w:t>
            </w:r>
          </w:p>
          <w:p w:rsidR="007204C4" w:rsidRPr="00417AE1" w:rsidP="00B57A92" w14:paraId="7D656940" w14:textId="742BB4D1">
            <w:pPr>
              <w:autoSpaceDE w:val="0"/>
              <w:autoSpaceDN w:val="0"/>
              <w:adjustRightInd w:val="0"/>
              <w:ind w:firstLine="485"/>
              <w:rPr>
                <w:sz w:val="20"/>
              </w:rPr>
            </w:pPr>
            <w:r w:rsidRPr="00417AE1">
              <w:rPr>
                <w:sz w:val="20"/>
              </w:rPr>
              <w:t>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204C4" w:rsidRPr="00417AE1" w14:paraId="3683C884" w14:textId="77777777">
            <w:pPr>
              <w:autoSpaceDE w:val="0"/>
              <w:autoSpaceDN w:val="0"/>
              <w:adjustRightInd w:val="0"/>
              <w:rPr>
                <w:sz w:val="20"/>
              </w:rPr>
            </w:pPr>
            <w:r w:rsidRPr="00417AE1">
              <w:rPr>
                <w:sz w:val="20"/>
              </w:rPr>
              <w:t>Anouk Van Brug</w:t>
            </w:r>
          </w:p>
          <w:p w:rsidR="007204C4" w:rsidRPr="00417AE1" w14:paraId="78B04AFD" w14:textId="77777777">
            <w:pPr>
              <w:autoSpaceDE w:val="0"/>
              <w:autoSpaceDN w:val="0"/>
              <w:adjustRightInd w:val="0"/>
              <w:rPr>
                <w:sz w:val="20"/>
              </w:rPr>
            </w:pPr>
            <w:r w:rsidRPr="00417AE1">
              <w:rPr>
                <w:sz w:val="20"/>
              </w:rPr>
              <w:t>29.1.2026</w:t>
            </w:r>
          </w:p>
        </w:tc>
      </w:tr>
      <w:tr w14:paraId="3FB99E8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204C4" w:rsidRPr="00417AE1" w14:paraId="2894FAAA" w14:textId="77777777">
            <w:pPr>
              <w:autoSpaceDE w:val="0"/>
              <w:autoSpaceDN w:val="0"/>
              <w:adjustRightInd w:val="0"/>
              <w:rPr>
                <w:b/>
                <w:bCs/>
                <w:sz w:val="20"/>
              </w:rPr>
            </w:pPr>
            <w:r w:rsidRPr="00417AE1">
              <w:rPr>
                <w:b/>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204C4" w:rsidRPr="00417AE1" w14:paraId="7661078C" w14:textId="77777777">
            <w:pPr>
              <w:autoSpaceDE w:val="0"/>
              <w:autoSpaceDN w:val="0"/>
              <w:adjustRightInd w:val="0"/>
              <w:rPr>
                <w:sz w:val="20"/>
              </w:rPr>
            </w:pPr>
            <w:r w:rsidRPr="00417AE1">
              <w:rPr>
                <w:sz w:val="20"/>
              </w:rPr>
              <w:t>6.5.2026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204C4" w:rsidRPr="00417AE1" w14:paraId="036B841E"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204C4" w:rsidRPr="00417AE1" w14:paraId="4EB828EC"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204C4" w:rsidRPr="00417AE1" w14:paraId="0A06BE27" w14:textId="77777777">
            <w:pPr>
              <w:autoSpaceDE w:val="0"/>
              <w:autoSpaceDN w:val="0"/>
              <w:adjustRightInd w:val="0"/>
              <w:rPr>
                <w:rFonts w:ascii="sans-serif" w:hAnsi="sans-serif" w:cs="sans-serif"/>
              </w:rPr>
            </w:pPr>
          </w:p>
        </w:tc>
      </w:tr>
      <w:tr w14:paraId="03F26BEE"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204C4" w:rsidRPr="00417AE1" w14:paraId="4F03A25E" w14:textId="77777777">
            <w:pPr>
              <w:autoSpaceDE w:val="0"/>
              <w:autoSpaceDN w:val="0"/>
              <w:adjustRightInd w:val="0"/>
              <w:rPr>
                <w:b/>
                <w:bCs/>
                <w:sz w:val="20"/>
              </w:rPr>
            </w:pPr>
            <w:r w:rsidRPr="00417AE1">
              <w:rPr>
                <w:b/>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rsidR="007204C4" w:rsidRPr="00417AE1" w14:paraId="5978DD9E" w14:textId="77777777">
            <w:pPr>
              <w:autoSpaceDE w:val="0"/>
              <w:autoSpaceDN w:val="0"/>
              <w:adjustRightInd w:val="0"/>
              <w:rPr>
                <w:sz w:val="20"/>
              </w:rPr>
            </w:pPr>
            <w:r w:rsidRPr="00417AE1">
              <w:rPr>
                <w:sz w:val="20"/>
              </w:rPr>
              <w:t>15.7.2026</w:t>
            </w:r>
          </w:p>
        </w:tc>
        <w:tc>
          <w:tcPr>
            <w:tcW w:w="1474" w:type="dxa"/>
            <w:tcBorders>
              <w:top w:val="nil"/>
              <w:left w:val="nil"/>
              <w:bottom w:val="single" w:sz="8" w:space="0" w:color="000000"/>
              <w:right w:val="nil"/>
            </w:tcBorders>
            <w:tcMar>
              <w:top w:w="79" w:type="dxa"/>
              <w:left w:w="79" w:type="dxa"/>
              <w:bottom w:w="79" w:type="dxa"/>
              <w:right w:w="79" w:type="dxa"/>
            </w:tcMar>
          </w:tcPr>
          <w:p w:rsidR="007204C4" w:rsidRPr="00417AE1" w14:paraId="0CDADEB4"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7204C4" w:rsidRPr="00417AE1" w14:paraId="439E4CDF"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204C4" w:rsidRPr="00417AE1" w14:paraId="2AF7EAAB" w14:textId="77777777">
            <w:pPr>
              <w:autoSpaceDE w:val="0"/>
              <w:autoSpaceDN w:val="0"/>
              <w:adjustRightInd w:val="0"/>
              <w:rPr>
                <w:rFonts w:ascii="sans-serif" w:hAnsi="sans-serif" w:cs="sans-serif"/>
              </w:rPr>
            </w:pPr>
          </w:p>
        </w:tc>
      </w:tr>
      <w:tr w14:paraId="07003167"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204C4" w:rsidRPr="00417AE1" w14:paraId="062339B8" w14:textId="77777777">
            <w:pPr>
              <w:autoSpaceDE w:val="0"/>
              <w:autoSpaceDN w:val="0"/>
              <w:adjustRightInd w:val="0"/>
              <w:rPr>
                <w:b/>
                <w:bCs/>
                <w:sz w:val="20"/>
              </w:rPr>
            </w:pPr>
            <w:r w:rsidRPr="00417AE1">
              <w:rPr>
                <w:b/>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204C4" w:rsidRPr="00417AE1" w14:paraId="1069FA6C" w14:textId="77777777">
            <w:pPr>
              <w:autoSpaceDE w:val="0"/>
              <w:autoSpaceDN w:val="0"/>
              <w:adjustRightInd w:val="0"/>
              <w:rPr>
                <w:sz w:val="20"/>
              </w:rPr>
            </w:pPr>
            <w:r w:rsidRPr="00417AE1">
              <w:rPr>
                <w:sz w:val="20"/>
              </w:rPr>
              <w:t>+:</w:t>
            </w:r>
          </w:p>
          <w:p w:rsidR="007204C4" w:rsidRPr="00417AE1" w14:paraId="4CB8CC03" w14:textId="77777777">
            <w:pPr>
              <w:autoSpaceDE w:val="0"/>
              <w:autoSpaceDN w:val="0"/>
              <w:adjustRightInd w:val="0"/>
              <w:rPr>
                <w:sz w:val="20"/>
              </w:rPr>
            </w:pPr>
            <w:r w:rsidRPr="00417AE1">
              <w:rPr>
                <w:sz w:val="20"/>
              </w:rPr>
              <w:t>–:</w:t>
            </w:r>
          </w:p>
          <w:p w:rsidR="007204C4" w:rsidRPr="00417AE1" w14:paraId="68777391" w14:textId="77777777">
            <w:pPr>
              <w:autoSpaceDE w:val="0"/>
              <w:autoSpaceDN w:val="0"/>
              <w:adjustRightInd w:val="0"/>
              <w:rPr>
                <w:sz w:val="20"/>
              </w:rPr>
            </w:pPr>
            <w:r w:rsidRPr="00417AE1">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204C4" w:rsidRPr="00417AE1" w14:paraId="499971C5" w14:textId="77777777">
            <w:pPr>
              <w:autoSpaceDE w:val="0"/>
              <w:autoSpaceDN w:val="0"/>
              <w:adjustRightInd w:val="0"/>
              <w:rPr>
                <w:sz w:val="20"/>
              </w:rPr>
            </w:pPr>
            <w:r w:rsidRPr="00417AE1">
              <w:rPr>
                <w:sz w:val="20"/>
              </w:rPr>
              <w:t>24</w:t>
            </w:r>
          </w:p>
          <w:p w:rsidR="007204C4" w:rsidRPr="00417AE1" w14:paraId="1EAE6238" w14:textId="77777777">
            <w:pPr>
              <w:autoSpaceDE w:val="0"/>
              <w:autoSpaceDN w:val="0"/>
              <w:adjustRightInd w:val="0"/>
              <w:rPr>
                <w:sz w:val="20"/>
              </w:rPr>
            </w:pPr>
            <w:r w:rsidRPr="00417AE1">
              <w:rPr>
                <w:sz w:val="20"/>
              </w:rPr>
              <w:t>5</w:t>
            </w:r>
          </w:p>
          <w:p w:rsidR="007204C4" w:rsidRPr="00417AE1" w14:paraId="22FAB50B" w14:textId="77777777">
            <w:pPr>
              <w:autoSpaceDE w:val="0"/>
              <w:autoSpaceDN w:val="0"/>
              <w:adjustRightInd w:val="0"/>
              <w:rPr>
                <w:sz w:val="20"/>
              </w:rPr>
            </w:pPr>
            <w:r w:rsidRPr="00417AE1">
              <w:rPr>
                <w:sz w:val="20"/>
              </w:rPr>
              <w:t>0</w:t>
            </w:r>
          </w:p>
        </w:tc>
      </w:tr>
    </w:tbl>
    <w:p w:rsidR="007204C4" w:rsidRPr="00417AE1" w:rsidP="007204C4" w14:paraId="2D73FE0E" w14:textId="77777777"/>
    <w:bookmarkEnd w:id="6"/>
    <w:p w:rsidR="007204C4" w:rsidRPr="00417AE1" w:rsidP="007204C4" w14:paraId="55E63D6B" w14:textId="77777777">
      <w:pPr>
        <w:sectPr w:rsidSect="007204C4">
          <w:pgSz w:w="11894" w:h="15840"/>
          <w:pgMar w:top="1700" w:right="1417" w:bottom="1417" w:left="1417" w:header="720" w:footer="720" w:gutter="0"/>
          <w:cols w:space="720"/>
          <w:noEndnote/>
          <w:docGrid w:linePitch="326"/>
        </w:sectPr>
      </w:pPr>
    </w:p>
    <w:p w:rsidR="007204C4" w:rsidRPr="00417AE1" w:rsidP="00C36610" w14:paraId="7CCF2602" w14:textId="24BAA626">
      <w:pPr>
        <w:pStyle w:val="PageHeadingNotTOC"/>
      </w:pPr>
      <w:bookmarkStart w:id="7" w:name="RollCallPageAD"/>
      <w:r w:rsidRPr="00417AE1">
        <w:t>VOTACIÓN FINAL NOMINAL</w:t>
      </w:r>
      <w:r w:rsidR="00702104">
        <w:t xml:space="preserve"> </w:t>
      </w:r>
      <w:r w:rsidRPr="00417AE1">
        <w:t>EN LA COMISIÓN COMPETENTE</w:t>
      </w:r>
      <w:r w:rsidR="00702104">
        <w:br/>
      </w:r>
      <w:r w:rsidRPr="00417AE1">
        <w:t>PARA EMITIR LA EVALUACIÓN PRESUPUESTARIA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C057D32"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204C4" w:rsidRPr="00417AE1" w:rsidP="003858C5" w14:paraId="31F20966" w14:textId="77777777">
            <w:pPr>
              <w:pStyle w:val="RollCallVotes"/>
            </w:pPr>
            <w:r w:rsidRPr="00417AE1">
              <w:t>24</w:t>
            </w:r>
          </w:p>
        </w:tc>
        <w:tc>
          <w:tcPr>
            <w:tcW w:w="7371" w:type="dxa"/>
            <w:shd w:val="pct10" w:color="000000" w:fill="FFFFFF"/>
          </w:tcPr>
          <w:p w:rsidR="007204C4" w:rsidRPr="00417AE1" w:rsidP="003858C5" w14:paraId="2D5F4C79" w14:textId="77777777">
            <w:pPr>
              <w:pStyle w:val="RollCallSymbols14pt"/>
            </w:pPr>
            <w:r w:rsidRPr="00417AE1">
              <w:t>+</w:t>
            </w:r>
          </w:p>
        </w:tc>
      </w:tr>
      <w:tr w14:paraId="7B315A9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417AE1" w:rsidP="003858C5" w14:paraId="39A0CCB1" w14:textId="77777777">
            <w:pPr>
              <w:pStyle w:val="RollCallTable"/>
            </w:pPr>
            <w:r w:rsidRPr="00417AE1">
              <w:t>NI</w:t>
            </w:r>
          </w:p>
        </w:tc>
        <w:tc>
          <w:tcPr>
            <w:tcW w:w="7371" w:type="dxa"/>
            <w:shd w:val="clear" w:color="auto" w:fill="FFFFFF"/>
          </w:tcPr>
          <w:p w:rsidR="007204C4" w:rsidRPr="00417AE1" w:rsidP="003858C5" w14:paraId="68D980DC" w14:textId="77777777">
            <w:pPr>
              <w:pStyle w:val="RollCallTable"/>
            </w:pPr>
            <w:r w:rsidRPr="00417AE1">
              <w:t>Thomas Geisel</w:t>
            </w:r>
          </w:p>
        </w:tc>
      </w:tr>
      <w:tr w14:paraId="52EA2456"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417AE1" w:rsidP="003858C5" w14:paraId="2F6DA841" w14:textId="77777777">
            <w:pPr>
              <w:pStyle w:val="RollCallTable"/>
            </w:pPr>
            <w:r w:rsidRPr="00417AE1">
              <w:t>PPE</w:t>
            </w:r>
          </w:p>
        </w:tc>
        <w:tc>
          <w:tcPr>
            <w:tcW w:w="7371" w:type="dxa"/>
            <w:shd w:val="clear" w:color="auto" w:fill="FFFFFF"/>
          </w:tcPr>
          <w:p w:rsidR="007204C4" w:rsidRPr="00417AE1" w:rsidP="003858C5" w14:paraId="1CDC8514" w14:textId="77777777">
            <w:pPr>
              <w:pStyle w:val="RollCallTable"/>
            </w:pPr>
            <w:r w:rsidRPr="00417AE1">
              <w:t>Georgios Aftias, Michalis Hadjipantela, Monika Hohlmeier, Janusz Lewandowski, Danuše Nerudová, Jacek Protas, Jüri Ratas, Hélder Sousa Silva</w:t>
            </w:r>
          </w:p>
        </w:tc>
      </w:tr>
      <w:tr w14:paraId="5FF2068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417AE1" w:rsidP="003858C5" w14:paraId="7B80C96F" w14:textId="77777777">
            <w:pPr>
              <w:pStyle w:val="RollCallTable"/>
            </w:pPr>
            <w:r w:rsidRPr="00417AE1">
              <w:t>PfE</w:t>
            </w:r>
          </w:p>
        </w:tc>
        <w:tc>
          <w:tcPr>
            <w:tcW w:w="7371" w:type="dxa"/>
            <w:shd w:val="clear" w:color="auto" w:fill="FFFFFF"/>
          </w:tcPr>
          <w:p w:rsidR="007204C4" w:rsidRPr="00417AE1" w:rsidP="003858C5" w14:paraId="16BCB17F" w14:textId="77777777">
            <w:pPr>
              <w:pStyle w:val="RollCallTable"/>
            </w:pPr>
            <w:r w:rsidRPr="00417AE1">
              <w:t>Jaroslav Bžoch, Jaroslava Pokorná Jermanová</w:t>
            </w:r>
          </w:p>
        </w:tc>
      </w:tr>
      <w:tr w14:paraId="65B048F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417AE1" w:rsidP="003858C5" w14:paraId="62F0C454" w14:textId="77777777">
            <w:pPr>
              <w:pStyle w:val="RollCallTable"/>
            </w:pPr>
            <w:r w:rsidRPr="00417AE1">
              <w:t>Renew</w:t>
            </w:r>
          </w:p>
        </w:tc>
        <w:tc>
          <w:tcPr>
            <w:tcW w:w="7371" w:type="dxa"/>
            <w:shd w:val="clear" w:color="auto" w:fill="FFFFFF"/>
          </w:tcPr>
          <w:p w:rsidR="007204C4" w:rsidRPr="00417AE1" w:rsidP="003858C5" w14:paraId="49A8A434" w14:textId="77777777">
            <w:pPr>
              <w:pStyle w:val="RollCallTable"/>
            </w:pPr>
            <w:r w:rsidRPr="00417AE1">
              <w:t>Olivier Chastel, Fabienne Keller, Joachim Streit, Lucia Yar</w:t>
            </w:r>
          </w:p>
        </w:tc>
      </w:tr>
      <w:tr w14:paraId="50C16B4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417AE1" w:rsidP="003858C5" w14:paraId="36ECF38B" w14:textId="77777777">
            <w:pPr>
              <w:pStyle w:val="RollCallTable"/>
            </w:pPr>
            <w:r w:rsidRPr="00417AE1">
              <w:t>S&amp;D</w:t>
            </w:r>
          </w:p>
        </w:tc>
        <w:tc>
          <w:tcPr>
            <w:tcW w:w="7371" w:type="dxa"/>
            <w:shd w:val="clear" w:color="auto" w:fill="FFFFFF"/>
          </w:tcPr>
          <w:p w:rsidR="007204C4" w:rsidRPr="00417AE1" w:rsidP="003858C5" w14:paraId="3B47E8F9" w14:textId="77777777">
            <w:pPr>
              <w:pStyle w:val="RollCallTable"/>
            </w:pPr>
            <w:r w:rsidRPr="00417AE1">
              <w:t>Matthias Ecke, Jean-Marc Germain, Sandra Gómez López, Giuseppe Lupo, Matjaž Nemec, Carla Tavares, Nils Ušakovs</w:t>
            </w:r>
          </w:p>
        </w:tc>
      </w:tr>
      <w:tr w14:paraId="19DE640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417AE1" w:rsidP="003858C5" w14:paraId="273C6B71" w14:textId="77777777">
            <w:pPr>
              <w:pStyle w:val="RollCallTable"/>
            </w:pPr>
            <w:r w:rsidRPr="00417AE1">
              <w:t>Verts/ALE</w:t>
            </w:r>
          </w:p>
        </w:tc>
        <w:tc>
          <w:tcPr>
            <w:tcW w:w="7371" w:type="dxa"/>
            <w:shd w:val="clear" w:color="auto" w:fill="FFFFFF"/>
          </w:tcPr>
          <w:p w:rsidR="007204C4" w:rsidRPr="00417AE1" w:rsidP="003858C5" w14:paraId="53F284D3" w14:textId="77777777">
            <w:pPr>
              <w:pStyle w:val="RollCallTable"/>
              <w:rPr>
                <w:lang w:val="it-IT"/>
              </w:rPr>
            </w:pPr>
            <w:r w:rsidRPr="00417AE1">
              <w:rPr>
                <w:lang w:val="it-IT"/>
              </w:rPr>
              <w:t>Ignazio Roberto Marino, Rasmus Nordqvist</w:t>
            </w:r>
          </w:p>
        </w:tc>
      </w:tr>
    </w:tbl>
    <w:p w:rsidR="007204C4" w:rsidRPr="00417AE1" w:rsidP="00147FBF" w14:paraId="03B01E10" w14:textId="77777777">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E5282DE"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204C4" w:rsidRPr="00417AE1" w:rsidP="003858C5" w14:paraId="167E0429" w14:textId="77777777">
            <w:pPr>
              <w:pStyle w:val="RollCallVotes"/>
            </w:pPr>
            <w:r w:rsidRPr="00417AE1">
              <w:t>5</w:t>
            </w:r>
          </w:p>
        </w:tc>
        <w:tc>
          <w:tcPr>
            <w:tcW w:w="7371" w:type="dxa"/>
            <w:shd w:val="pct10" w:color="000000" w:fill="FFFFFF"/>
          </w:tcPr>
          <w:p w:rsidR="007204C4" w:rsidRPr="00417AE1" w:rsidP="003858C5" w14:paraId="7B726325" w14:textId="77777777">
            <w:pPr>
              <w:pStyle w:val="RollCallSymbols14pt"/>
            </w:pPr>
            <w:r w:rsidRPr="00417AE1">
              <w:t>-</w:t>
            </w:r>
          </w:p>
        </w:tc>
      </w:tr>
      <w:tr w14:paraId="444E552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417AE1" w:rsidP="003858C5" w14:paraId="6E73655F" w14:textId="77777777">
            <w:pPr>
              <w:pStyle w:val="RollCallTable"/>
            </w:pPr>
            <w:r w:rsidRPr="00417AE1">
              <w:t>ECR</w:t>
            </w:r>
          </w:p>
        </w:tc>
        <w:tc>
          <w:tcPr>
            <w:tcW w:w="7371" w:type="dxa"/>
            <w:shd w:val="clear" w:color="auto" w:fill="FFFFFF"/>
          </w:tcPr>
          <w:p w:rsidR="007204C4" w:rsidRPr="00417AE1" w:rsidP="003858C5" w14:paraId="5C04EEE9" w14:textId="77777777">
            <w:pPr>
              <w:pStyle w:val="RollCallTable"/>
            </w:pPr>
            <w:r w:rsidRPr="00417AE1">
              <w:t>Ruggero Razza</w:t>
            </w:r>
          </w:p>
        </w:tc>
      </w:tr>
      <w:tr w14:paraId="63B8C83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417AE1" w:rsidP="003858C5" w14:paraId="0C25CAAF" w14:textId="77777777">
            <w:pPr>
              <w:pStyle w:val="RollCallTable"/>
            </w:pPr>
            <w:r w:rsidRPr="00417AE1">
              <w:t>ESN</w:t>
            </w:r>
          </w:p>
        </w:tc>
        <w:tc>
          <w:tcPr>
            <w:tcW w:w="7371" w:type="dxa"/>
            <w:shd w:val="clear" w:color="auto" w:fill="FFFFFF"/>
          </w:tcPr>
          <w:p w:rsidR="007204C4" w:rsidRPr="00417AE1" w:rsidP="003858C5" w14:paraId="20DD4550" w14:textId="77777777">
            <w:pPr>
              <w:pStyle w:val="RollCallTable"/>
            </w:pPr>
            <w:r w:rsidRPr="00417AE1">
              <w:t>Alexander Jungbluth</w:t>
            </w:r>
          </w:p>
        </w:tc>
      </w:tr>
      <w:tr w14:paraId="4242B55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417AE1" w:rsidP="003858C5" w14:paraId="42E5714B" w14:textId="77777777">
            <w:pPr>
              <w:pStyle w:val="RollCallTable"/>
            </w:pPr>
            <w:r w:rsidRPr="00417AE1">
              <w:t>PfE</w:t>
            </w:r>
          </w:p>
        </w:tc>
        <w:tc>
          <w:tcPr>
            <w:tcW w:w="7371" w:type="dxa"/>
            <w:shd w:val="clear" w:color="auto" w:fill="FFFFFF"/>
          </w:tcPr>
          <w:p w:rsidR="007204C4" w:rsidRPr="00417AE1" w:rsidP="003858C5" w14:paraId="7738347E" w14:textId="77777777">
            <w:pPr>
              <w:pStyle w:val="RollCallTable"/>
              <w:rPr>
                <w:lang w:val="fr-BE"/>
              </w:rPr>
            </w:pPr>
            <w:r w:rsidRPr="00417AE1">
              <w:rPr>
                <w:lang w:val="fr-BE"/>
              </w:rPr>
              <w:t>Angéline Furet, Julien Sanchez, Auke Zijlstra</w:t>
            </w:r>
          </w:p>
        </w:tc>
      </w:tr>
    </w:tbl>
    <w:p w:rsidR="007204C4" w:rsidRPr="00417AE1" w:rsidP="00147FBF" w14:paraId="1433B648" w14:textId="77777777">
      <w:pPr>
        <w:rPr>
          <w:lang w:val="fr-BE"/>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6911217"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7204C4" w:rsidRPr="00417AE1" w:rsidP="003858C5" w14:paraId="1EE49C4F" w14:textId="77777777">
            <w:pPr>
              <w:pStyle w:val="RollCallVotes"/>
            </w:pPr>
            <w:r w:rsidRPr="00417AE1">
              <w:t>0</w:t>
            </w:r>
          </w:p>
        </w:tc>
        <w:tc>
          <w:tcPr>
            <w:tcW w:w="7371" w:type="dxa"/>
            <w:shd w:val="pct10" w:color="000000" w:fill="FFFFFF"/>
          </w:tcPr>
          <w:p w:rsidR="007204C4" w:rsidRPr="00417AE1" w:rsidP="003858C5" w14:paraId="434D465C" w14:textId="77777777">
            <w:pPr>
              <w:pStyle w:val="RollCallSymbols14pt"/>
            </w:pPr>
            <w:r w:rsidRPr="00417AE1">
              <w:t>0</w:t>
            </w:r>
          </w:p>
        </w:tc>
      </w:tr>
      <w:tr w14:paraId="4EFF5C23"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7204C4" w:rsidRPr="00417AE1" w:rsidP="003858C5" w14:paraId="066FA798" w14:textId="77777777">
            <w:pPr>
              <w:pStyle w:val="RollCallTable"/>
            </w:pPr>
          </w:p>
        </w:tc>
        <w:tc>
          <w:tcPr>
            <w:tcW w:w="7371" w:type="dxa"/>
            <w:shd w:val="clear" w:color="auto" w:fill="FFFFFF"/>
          </w:tcPr>
          <w:p w:rsidR="007204C4" w:rsidRPr="00417AE1" w:rsidP="003858C5" w14:paraId="047D1E48" w14:textId="77777777">
            <w:pPr>
              <w:pStyle w:val="RollCallTable"/>
            </w:pPr>
          </w:p>
        </w:tc>
      </w:tr>
    </w:tbl>
    <w:p w:rsidR="007204C4" w:rsidRPr="00417AE1" w:rsidP="00147FBF" w14:paraId="357E9C75" w14:textId="77777777">
      <w:pPr>
        <w:pStyle w:val="Normal12a"/>
      </w:pPr>
    </w:p>
    <w:p w:rsidR="007204C4" w:rsidRPr="00417AE1" w:rsidP="00B735E3" w14:paraId="55450400" w14:textId="77777777">
      <w:r w:rsidRPr="00417AE1">
        <w:t>Explicación de los signos utilizados</w:t>
      </w:r>
    </w:p>
    <w:p w:rsidR="007204C4" w:rsidRPr="00417AE1" w:rsidP="003858C5" w14:paraId="53B7697D" w14:textId="77777777">
      <w:pPr>
        <w:pStyle w:val="RollCallTabs"/>
      </w:pPr>
      <w:r w:rsidRPr="00417AE1">
        <w:t>+</w:t>
      </w:r>
      <w:r w:rsidRPr="00417AE1">
        <w:tab/>
        <w:t>:</w:t>
      </w:r>
      <w:r w:rsidRPr="00417AE1">
        <w:tab/>
        <w:t>a favor</w:t>
      </w:r>
    </w:p>
    <w:p w:rsidR="007204C4" w:rsidRPr="00417AE1" w:rsidP="003858C5" w14:paraId="3E56B30E" w14:textId="77777777">
      <w:pPr>
        <w:pStyle w:val="RollCallTabs"/>
      </w:pPr>
      <w:r w:rsidRPr="00417AE1">
        <w:t>-</w:t>
      </w:r>
      <w:r w:rsidRPr="00417AE1">
        <w:tab/>
        <w:t>:</w:t>
      </w:r>
      <w:r w:rsidRPr="00417AE1">
        <w:tab/>
        <w:t>en contra</w:t>
      </w:r>
    </w:p>
    <w:p w:rsidR="007204C4" w:rsidRPr="00417AE1" w:rsidP="003858C5" w14:paraId="1F200757" w14:textId="77777777">
      <w:pPr>
        <w:pStyle w:val="RollCallTabs"/>
      </w:pPr>
      <w:r w:rsidRPr="00417AE1">
        <w:t>0</w:t>
      </w:r>
      <w:r w:rsidRPr="00417AE1">
        <w:tab/>
        <w:t>:</w:t>
      </w:r>
      <w:r w:rsidRPr="00417AE1">
        <w:tab/>
        <w:t>abstenciones</w:t>
      </w:r>
    </w:p>
    <w:p w:rsidR="007204C4" w:rsidRPr="00417AE1" w:rsidP="00207509" w14:paraId="2AC6539F" w14:textId="77777777"/>
    <w:bookmarkEnd w:id="7"/>
    <w:bookmarkEnd w:id="0"/>
    <w:p w:rsidR="007204C4" w:rsidRPr="00417AE1" w:rsidP="007204C4" w14:paraId="1582CB63" w14:textId="77777777"/>
    <w:sectPr w:rsidSect="007204C4">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6EE" w:rsidRPr="006D70C0" w:rsidP="005146EE" w14:paraId="165AC0DD" w14:textId="77777777">
    <w:pPr>
      <w:pStyle w:val="EPFooter"/>
    </w:pPr>
    <w:r w:rsidRPr="006D70C0">
      <w:t>PE</w:t>
    </w:r>
    <w:r w:rsidRPr="00417AE1">
      <w:rPr>
        <w:rStyle w:val="HideTWBExt"/>
      </w:rPr>
      <w:t>&lt;NoPE&gt;</w:t>
    </w:r>
    <w:r w:rsidRPr="006D70C0">
      <w:t>786.987</w:t>
    </w:r>
    <w:r w:rsidRPr="00417AE1">
      <w:rPr>
        <w:rStyle w:val="HideTWBExt"/>
      </w:rPr>
      <w:t>&lt;/NoPE&gt;&lt;Version&gt;</w:t>
    </w:r>
    <w:r w:rsidRPr="006D70C0">
      <w:t>v02-00</w:t>
    </w:r>
    <w:r w:rsidRPr="00417AE1">
      <w:rPr>
        <w:rStyle w:val="HideTWBExt"/>
      </w:rPr>
      <w:t>&lt;/Version&gt;</w:t>
    </w:r>
    <w:r w:rsidRPr="006D70C0">
      <w:tab/>
    </w:r>
    <w:r w:rsidRPr="006D70C0">
      <w:fldChar w:fldCharType="begin"/>
    </w:r>
    <w:r w:rsidRPr="006D70C0">
      <w:instrText xml:space="preserve"> PAGE  \* MERGEFORMAT </w:instrText>
    </w:r>
    <w:r w:rsidRPr="006D70C0">
      <w:fldChar w:fldCharType="separate"/>
    </w:r>
    <w:r w:rsidRPr="006D70C0">
      <w:rPr>
        <w:noProof/>
      </w:rPr>
      <w:t>2</w:t>
    </w:r>
    <w:r w:rsidRPr="006D70C0">
      <w:fldChar w:fldCharType="end"/>
    </w:r>
    <w:r w:rsidRPr="006D70C0">
      <w:t>/</w:t>
    </w:r>
    <w:r>
      <w:fldChar w:fldCharType="begin"/>
    </w:r>
    <w:r>
      <w:instrText xml:space="preserve"> NUMPAGES  \* MERGEFORMAT </w:instrText>
    </w:r>
    <w:r>
      <w:fldChar w:fldCharType="separate"/>
    </w:r>
    <w:r w:rsidRPr="006D70C0">
      <w:rPr>
        <w:noProof/>
      </w:rPr>
      <w:t>16</w:t>
    </w:r>
    <w:r w:rsidRPr="006D70C0">
      <w:rPr>
        <w:noProof/>
      </w:rPr>
      <w:fldChar w:fldCharType="end"/>
    </w:r>
    <w:r w:rsidRPr="006D70C0">
      <w:tab/>
    </w:r>
    <w:r w:rsidRPr="00417AE1">
      <w:rPr>
        <w:rStyle w:val="HideTWBExt"/>
      </w:rPr>
      <w:t>&lt;PathFdR&gt;</w:t>
    </w:r>
    <w:r w:rsidRPr="006D70C0">
      <w:t>AD\1347132ES.docx</w:t>
    </w:r>
    <w:r w:rsidRPr="00417AE1">
      <w:rPr>
        <w:rStyle w:val="HideTWBExt"/>
      </w:rPr>
      <w:t>&lt;/PathFdR&gt;</w:t>
    </w:r>
  </w:p>
  <w:p w:rsidR="002E2F2E" w:rsidRPr="006D70C0" w:rsidP="005146EE" w14:paraId="14EB7812" w14:textId="383DA6CD">
    <w:pPr>
      <w:pStyle w:val="EPFooter2"/>
    </w:pPr>
    <w:r w:rsidRPr="006D70C0">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6EE" w:rsidRPr="006D70C0" w:rsidP="005146EE" w14:paraId="651193E1" w14:textId="77777777">
    <w:pPr>
      <w:pStyle w:val="EPFooter"/>
    </w:pPr>
    <w:r w:rsidRPr="00417AE1">
      <w:rPr>
        <w:rStyle w:val="HideTWBExt"/>
      </w:rPr>
      <w:t>&lt;PathFdR&gt;</w:t>
    </w:r>
    <w:r w:rsidRPr="006D70C0">
      <w:t>AD\1347132ES.docx</w:t>
    </w:r>
    <w:r w:rsidRPr="00417AE1">
      <w:rPr>
        <w:rStyle w:val="HideTWBExt"/>
      </w:rPr>
      <w:t>&lt;/PathFdR&gt;</w:t>
    </w:r>
    <w:r w:rsidRPr="006D70C0">
      <w:tab/>
    </w:r>
    <w:r w:rsidRPr="006D70C0">
      <w:fldChar w:fldCharType="begin"/>
    </w:r>
    <w:r w:rsidRPr="006D70C0">
      <w:instrText xml:space="preserve"> PAGE  \* MERGEFORMAT </w:instrText>
    </w:r>
    <w:r w:rsidRPr="006D70C0">
      <w:fldChar w:fldCharType="separate"/>
    </w:r>
    <w:r w:rsidRPr="006D70C0">
      <w:rPr>
        <w:noProof/>
      </w:rPr>
      <w:t>7</w:t>
    </w:r>
    <w:r w:rsidRPr="006D70C0">
      <w:fldChar w:fldCharType="end"/>
    </w:r>
    <w:r w:rsidRPr="006D70C0">
      <w:t>/</w:t>
    </w:r>
    <w:r>
      <w:fldChar w:fldCharType="begin"/>
    </w:r>
    <w:r>
      <w:instrText xml:space="preserve"> NUMPAGES  \* MERGEFORMAT </w:instrText>
    </w:r>
    <w:r>
      <w:fldChar w:fldCharType="separate"/>
    </w:r>
    <w:r w:rsidRPr="006D70C0">
      <w:rPr>
        <w:noProof/>
      </w:rPr>
      <w:t>16</w:t>
    </w:r>
    <w:r w:rsidRPr="006D70C0">
      <w:rPr>
        <w:noProof/>
      </w:rPr>
      <w:fldChar w:fldCharType="end"/>
    </w:r>
    <w:r w:rsidRPr="006D70C0">
      <w:tab/>
      <w:t>PE</w:t>
    </w:r>
    <w:r w:rsidRPr="00417AE1">
      <w:rPr>
        <w:rStyle w:val="HideTWBExt"/>
      </w:rPr>
      <w:t>&lt;NoPE&gt;</w:t>
    </w:r>
    <w:r w:rsidRPr="006D70C0">
      <w:t>786.987</w:t>
    </w:r>
    <w:r w:rsidRPr="00417AE1">
      <w:rPr>
        <w:rStyle w:val="HideTWBExt"/>
      </w:rPr>
      <w:t>&lt;/NoPE&gt;&lt;Version&gt;</w:t>
    </w:r>
    <w:r w:rsidRPr="006D70C0">
      <w:t>v02-00</w:t>
    </w:r>
    <w:r w:rsidRPr="00417AE1">
      <w:rPr>
        <w:rStyle w:val="HideTWBExt"/>
      </w:rPr>
      <w:t>&lt;/Version&gt;</w:t>
    </w:r>
  </w:p>
  <w:p w:rsidR="002E2F2E" w:rsidRPr="006D70C0" w:rsidP="005146EE" w14:paraId="0795C367" w14:textId="47E2B2BB">
    <w:pPr>
      <w:pStyle w:val="EPFooter2"/>
    </w:pPr>
    <w:r w:rsidRPr="006D70C0">
      <w:tab/>
    </w:r>
    <w:r w:rsidRPr="006D70C0">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46EE" w:rsidRPr="006D70C0" w:rsidP="005146EE" w14:paraId="303F03C4" w14:textId="77777777">
    <w:pPr>
      <w:pStyle w:val="EPFooter"/>
    </w:pPr>
    <w:r w:rsidRPr="00417AE1">
      <w:rPr>
        <w:rStyle w:val="HideTWBExt"/>
      </w:rPr>
      <w:t>&lt;PathFdR&gt;</w:t>
    </w:r>
    <w:r w:rsidRPr="006D70C0">
      <w:t>AD\1347132ES.docx</w:t>
    </w:r>
    <w:r w:rsidRPr="00417AE1">
      <w:rPr>
        <w:rStyle w:val="HideTWBExt"/>
      </w:rPr>
      <w:t>&lt;/PathFdR&gt;</w:t>
    </w:r>
    <w:r w:rsidRPr="006D70C0">
      <w:tab/>
    </w:r>
    <w:r w:rsidRPr="006D70C0">
      <w:tab/>
      <w:t>PE</w:t>
    </w:r>
    <w:r w:rsidRPr="00417AE1">
      <w:rPr>
        <w:rStyle w:val="HideTWBExt"/>
      </w:rPr>
      <w:t>&lt;NoPE&gt;</w:t>
    </w:r>
    <w:r w:rsidRPr="006D70C0">
      <w:t>786.987</w:t>
    </w:r>
    <w:r w:rsidRPr="00417AE1">
      <w:rPr>
        <w:rStyle w:val="HideTWBExt"/>
      </w:rPr>
      <w:t>&lt;/NoPE&gt;&lt;Version&gt;</w:t>
    </w:r>
    <w:r w:rsidRPr="006D70C0">
      <w:t>v02-00</w:t>
    </w:r>
    <w:r w:rsidRPr="00417AE1">
      <w:rPr>
        <w:rStyle w:val="HideTWBExt"/>
      </w:rPr>
      <w:t>&lt;/Version&gt;</w:t>
    </w:r>
  </w:p>
  <w:p w:rsidR="002E2F2E" w:rsidRPr="006D70C0" w:rsidP="005146EE" w14:paraId="1F2A6248" w14:textId="2E02A748">
    <w:pPr>
      <w:pStyle w:val="EPFooter2"/>
    </w:pPr>
    <w:r w:rsidRPr="006D70C0">
      <w:t>ES</w:t>
    </w:r>
    <w:r w:rsidRPr="006D70C0">
      <w:tab/>
    </w:r>
    <w:r w:rsidRPr="006D70C0">
      <w:rPr>
        <w:b w:val="0"/>
        <w:i/>
        <w:color w:val="C0C0C0"/>
        <w:sz w:val="22"/>
      </w:rPr>
      <w:t>Unida en la diversidad</w:t>
    </w:r>
    <w:r w:rsidRPr="006D70C0">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A0F1C" w:rsidRPr="006D70C0" w14:paraId="74A65C1C" w14:textId="77777777">
      <w:r w:rsidRPr="006D70C0">
        <w:separator/>
      </w:r>
    </w:p>
  </w:footnote>
  <w:footnote w:type="continuationSeparator" w:id="1">
    <w:p w:rsidR="009A0F1C" w:rsidRPr="006D70C0" w14:paraId="09A7022E" w14:textId="77777777">
      <w:r w:rsidRPr="006D70C0">
        <w:continuationSeparator/>
      </w:r>
    </w:p>
  </w:footnote>
  <w:footnote w:id="2">
    <w:p w:rsidR="00B55F04" w:rsidRPr="006D70C0" w:rsidP="00702104" w14:paraId="1E0FF067" w14:textId="0C4AA328">
      <w:pPr>
        <w:pStyle w:val="FootnoteText"/>
        <w:ind w:left="567" w:hanging="567"/>
      </w:pPr>
      <w:r w:rsidRPr="006D70C0">
        <w:rPr>
          <w:rStyle w:val="FootnoteReference"/>
        </w:rPr>
        <w:footnoteRef/>
      </w:r>
      <w:r w:rsidRPr="006D70C0">
        <w:t> </w:t>
      </w:r>
      <w:r w:rsidR="00702104">
        <w:tab/>
      </w:r>
      <w:r w:rsidRPr="006D70C0">
        <w:t>Propuesta de la Comisión, de 16 de julio de 2025, de Reglamento del Parlamento Europeo y del Consejo por el que se establece el apoyo de la Unión al espacio Schengen, a la gestión europea integrada de las fronteras y a la política común de visados para el período 2028-2034, (COM(2025)0541).</w:t>
      </w:r>
    </w:p>
  </w:footnote>
  <w:footnote w:id="3">
    <w:p w:rsidR="00B55F04" w:rsidRPr="006D70C0" w:rsidP="00702104" w14:paraId="64865E22" w14:textId="093CC5EF">
      <w:pPr>
        <w:pStyle w:val="FootnoteText"/>
        <w:ind w:left="567" w:hanging="567"/>
      </w:pPr>
      <w:r w:rsidRPr="006D70C0">
        <w:rPr>
          <w:rStyle w:val="FootnoteReference"/>
        </w:rPr>
        <w:footnoteRef/>
      </w:r>
      <w:r w:rsidRPr="006D70C0">
        <w:t> </w:t>
      </w:r>
      <w:r w:rsidR="00702104">
        <w:tab/>
      </w:r>
      <w:r w:rsidRPr="006D70C0">
        <w:t>Propuesta de la Comisión, de 16 de julio de 2025, de Reglamento del Parlamento Europeo y del Consejo por el que se establece el apoyo de la Unión a la seguridad interior para el período comprendido entre</w:t>
      </w:r>
      <w:r w:rsidR="00702104">
        <w:t> </w:t>
      </w:r>
      <w:r w:rsidRPr="006D70C0">
        <w:t>2028 y 2034, (COM(2025)0542).</w:t>
      </w:r>
    </w:p>
  </w:footnote>
  <w:footnote w:id="4">
    <w:p w:rsidR="00B55F04" w:rsidRPr="006D70C0" w:rsidP="00702104" w14:paraId="11D61978" w14:textId="5158B20C">
      <w:pPr>
        <w:pStyle w:val="FootnoteText"/>
        <w:ind w:left="567" w:hanging="567"/>
      </w:pPr>
      <w:r w:rsidRPr="006D70C0">
        <w:rPr>
          <w:rStyle w:val="FootnoteReference"/>
        </w:rPr>
        <w:footnoteRef/>
      </w:r>
      <w:r w:rsidRPr="006D70C0">
        <w:t> </w:t>
      </w:r>
      <w:r w:rsidR="00702104">
        <w:tab/>
      </w:r>
      <w:r w:rsidRPr="006D70C0">
        <w:t>Propuesta de la Comisión, de 16 de julio de 2025, de Reglamento del Parlamento Europeo y del Consejo por el que se establece el apoyo de la Unión al asilo, la migración y la integración para el período</w:t>
      </w:r>
      <w:r w:rsidR="00702104">
        <w:t> </w:t>
      </w:r>
      <w:r w:rsidRPr="006D70C0">
        <w:t>2028</w:t>
      </w:r>
      <w:r w:rsidR="00702104">
        <w:noBreakHyphen/>
      </w:r>
      <w:r w:rsidRPr="006D70C0">
        <w:t>2034, COM(2025)0540</w:t>
      </w:r>
      <w:r w:rsidRPr="006D70C0">
        <w:t>.</w:t>
      </w:r>
    </w:p>
  </w:footnote>
  <w:footnote w:id="5">
    <w:p w:rsidR="001B51D3" w:rsidRPr="006D70C0" w:rsidP="00702104" w14:paraId="5D9BBF46" w14:textId="7CD8E7FD">
      <w:pPr>
        <w:pStyle w:val="FootnoteText"/>
        <w:ind w:left="567" w:hanging="567"/>
      </w:pPr>
      <w:r w:rsidRPr="006D70C0">
        <w:rPr>
          <w:rStyle w:val="FootnoteReference"/>
        </w:rPr>
        <w:footnoteRef/>
      </w:r>
      <w:r w:rsidRPr="006D70C0">
        <w:t> </w:t>
      </w:r>
      <w:r w:rsidR="00702104">
        <w:tab/>
      </w:r>
      <w:r w:rsidRPr="006D70C0">
        <w:t xml:space="preserve">Propuesta de la Comisión, de 16 de julio de 2025, de Reglamento del Parlamento Europeo y del Consejo por el que se establece el Fondo Europeo para la Cohesión Económica, Social y Territorial, la Agricultura y las Zonas Rurales, la Pesca y el Mar, la Prosperidad y la Seguridad para el período 2028‑2034, y por el que se modifican el Reglamento (UE) 2023/955 y el Reglamento (UE, Euratom) 2024/2509 (COM(2025)0565). </w:t>
      </w:r>
    </w:p>
  </w:footnote>
  <w:footnote w:id="6">
    <w:p w:rsidR="00F25815" w:rsidRPr="006D70C0" w:rsidP="00702104" w14:paraId="3B05C07D" w14:textId="469C693B">
      <w:pPr>
        <w:pStyle w:val="FootnoteText"/>
        <w:ind w:left="567" w:hanging="567"/>
      </w:pPr>
      <w:r w:rsidRPr="006D70C0">
        <w:rPr>
          <w:rStyle w:val="FootnoteReference"/>
        </w:rPr>
        <w:footnoteRef/>
      </w:r>
      <w:r w:rsidRPr="006D70C0">
        <w:t> </w:t>
      </w:r>
      <w:r w:rsidR="00702104">
        <w:tab/>
      </w:r>
      <w:r w:rsidRPr="006D70C0">
        <w:t>Dictamen 09/2026 del Tribunal de Cuentas Europeo, de 24 de febrero de 2026, (con arreglo al artículo</w:t>
      </w:r>
      <w:r w:rsidR="00702104">
        <w:t> </w:t>
      </w:r>
      <w:r w:rsidRPr="006D70C0">
        <w:t>322, apartado 1, del TFUE) relativo a la propuesta 2025/0240 (COD) de Reglamento del Parlamento Europeo y del Consejo por el que se establece el Fondo Europeo para la Cohesión Económica, Social y Territorial, la Agricultura y las Zonas Rurales, la Pesca y el Mar, la Prosperidad y la Seguridad para el período 2028-2034, y por el que se modifican el Reglamento (UE) 2023/955 y el Reglamento (UE, Euratom) 2024/250.</w:t>
      </w:r>
    </w:p>
  </w:footnote>
  <w:footnote w:id="7">
    <w:p w:rsidR="0040576A" w:rsidRPr="006D70C0" w:rsidP="00702104" w14:paraId="66B65001" w14:textId="69411953">
      <w:pPr>
        <w:pStyle w:val="FootnoteText"/>
        <w:ind w:left="567" w:hanging="567"/>
      </w:pPr>
      <w:r w:rsidRPr="006D70C0">
        <w:rPr>
          <w:rStyle w:val="FootnoteReference"/>
        </w:rPr>
        <w:footnoteRef/>
      </w:r>
      <w:r w:rsidRPr="006D70C0">
        <w:t> </w:t>
      </w:r>
      <w:r w:rsidR="00702104">
        <w:tab/>
      </w:r>
      <w:r w:rsidRPr="006D70C0">
        <w:t>Textos Aprobados, P10_TA(2026)0111.</w:t>
      </w:r>
    </w:p>
  </w:footnote>
  <w:footnote w:id="8">
    <w:p w:rsidR="00882E94" w:rsidRPr="006D70C0" w:rsidP="00702104" w14:paraId="7B2812F9" w14:textId="0EA22C0D">
      <w:pPr>
        <w:pStyle w:val="FootnoteText"/>
        <w:ind w:left="567" w:hanging="567"/>
      </w:pPr>
      <w:r w:rsidRPr="006D70C0">
        <w:rPr>
          <w:rStyle w:val="FootnoteReference"/>
        </w:rPr>
        <w:footnoteRef/>
      </w:r>
      <w:r w:rsidRPr="006D70C0">
        <w:t xml:space="preserve"> </w:t>
      </w:r>
      <w:r w:rsidR="00702104">
        <w:tab/>
      </w:r>
      <w:r w:rsidRPr="006D70C0">
        <w:t>Reglamento (UE, Euratom) 2024/2509 del Parlamento Europeo y del Consejo, de 23 de septiembre de 2024, sobre las normas financieras aplicables al presupuesto general de la Unión (DO L,</w:t>
      </w:r>
      <w:r w:rsidR="00702104">
        <w:t> </w:t>
      </w:r>
      <w:r w:rsidRPr="006D70C0">
        <w:t>2024/2509,</w:t>
      </w:r>
      <w:r w:rsidR="00702104">
        <w:t> </w:t>
      </w:r>
      <w:r w:rsidRPr="006D70C0">
        <w:t>2</w:t>
      </w:r>
      <w:r w:rsidR="00702104">
        <w:t> </w:t>
      </w:r>
      <w:r w:rsidRPr="006D70C0">
        <w:t xml:space="preserve">.9.2024, ELI: </w:t>
      </w:r>
      <w:hyperlink r:id="rId1" w:history="1">
        <w:r w:rsidRPr="006D70C0">
          <w:rPr>
            <w:rStyle w:val="Hyperlink"/>
          </w:rPr>
          <w:t>http://data.europa.eu/eli/reg/2024/2509/oj</w:t>
        </w:r>
      </w:hyperlink>
      <w:r w:rsidRPr="006D70C0">
        <w:t>).</w:t>
      </w:r>
    </w:p>
  </w:footnote>
  <w:footnote w:id="9">
    <w:p w:rsidR="00A7638C" w:rsidRPr="006D70C0" w14:paraId="4B6CC7C7" w14:textId="291A61D9">
      <w:pPr>
        <w:pStyle w:val="FootnoteText"/>
      </w:pPr>
      <w:r w:rsidRPr="006D70C0">
        <w:rPr>
          <w:rStyle w:val="FootnoteReference"/>
        </w:rPr>
        <w:footnoteRef/>
      </w:r>
      <w:r w:rsidRPr="006D70C0">
        <w:t xml:space="preserve"> Acuerdo Interinstitucional, de 20 de mayo de 2021, entre el Parlamento Europeo, el Consejo de la Unión Europea y la Comisión Europea sobre un Registro de transparencia obligatorio (DO L 207 de 11.6.2021, p. 1, ELI: </w:t>
      </w:r>
      <w:hyperlink r:id="rId2" w:tooltip="http://data.europa.eu/eli/agree_interinstit/2021/611/oj" w:history="1">
        <w:r w:rsidRPr="006D70C0">
          <w:rPr>
            <w:rStyle w:val="Hyperlink"/>
          </w:rPr>
          <w:t>http://data.europa.eu/eli/agree_interinstit/2021/611/oj</w:t>
        </w:r>
      </w:hyperlink>
      <w:r w:rsidRPr="006D70C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954" w14:paraId="499D21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954" w14:paraId="7912F47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1954" w14:paraId="4A3884B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2F13283C"/>
    <w:multiLevelType w:val="hybridMultilevel"/>
    <w:tmpl w:val="247AB412"/>
    <w:lvl w:ilvl="0">
      <w:start w:val="1"/>
      <w:numFmt w:val="decimal"/>
      <w:lvlText w:val="%1."/>
      <w:lvlJc w:val="left"/>
      <w:pPr>
        <w:ind w:left="1080" w:hanging="72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comments" w:enforcement="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F1C"/>
    <w:rsid w:val="00006F54"/>
    <w:rsid w:val="00007C5D"/>
    <w:rsid w:val="00031C2A"/>
    <w:rsid w:val="0003367A"/>
    <w:rsid w:val="00037518"/>
    <w:rsid w:val="0005566E"/>
    <w:rsid w:val="00094F2D"/>
    <w:rsid w:val="000959ED"/>
    <w:rsid w:val="000A40DB"/>
    <w:rsid w:val="000A5F7E"/>
    <w:rsid w:val="000B26EF"/>
    <w:rsid w:val="000E0485"/>
    <w:rsid w:val="000E7EBF"/>
    <w:rsid w:val="000F333E"/>
    <w:rsid w:val="000F4B10"/>
    <w:rsid w:val="000F7E25"/>
    <w:rsid w:val="00113511"/>
    <w:rsid w:val="00120A27"/>
    <w:rsid w:val="00124F60"/>
    <w:rsid w:val="00135121"/>
    <w:rsid w:val="00140BE6"/>
    <w:rsid w:val="001449F5"/>
    <w:rsid w:val="0014701F"/>
    <w:rsid w:val="001474B7"/>
    <w:rsid w:val="00147F4E"/>
    <w:rsid w:val="00147FBF"/>
    <w:rsid w:val="00151097"/>
    <w:rsid w:val="00156A91"/>
    <w:rsid w:val="0016635E"/>
    <w:rsid w:val="00173215"/>
    <w:rsid w:val="001746D0"/>
    <w:rsid w:val="001A716A"/>
    <w:rsid w:val="001B055A"/>
    <w:rsid w:val="001B51D3"/>
    <w:rsid w:val="001B7393"/>
    <w:rsid w:val="001D2ED9"/>
    <w:rsid w:val="001E42AF"/>
    <w:rsid w:val="001F21C1"/>
    <w:rsid w:val="00207509"/>
    <w:rsid w:val="002172E3"/>
    <w:rsid w:val="00222BA6"/>
    <w:rsid w:val="00223536"/>
    <w:rsid w:val="00231E6C"/>
    <w:rsid w:val="0024356C"/>
    <w:rsid w:val="00255CF6"/>
    <w:rsid w:val="002940DF"/>
    <w:rsid w:val="002B2938"/>
    <w:rsid w:val="002B2C72"/>
    <w:rsid w:val="002C7407"/>
    <w:rsid w:val="002D28A7"/>
    <w:rsid w:val="002E2F2E"/>
    <w:rsid w:val="002E4AA3"/>
    <w:rsid w:val="002E6F98"/>
    <w:rsid w:val="002F0516"/>
    <w:rsid w:val="002F6967"/>
    <w:rsid w:val="002F7593"/>
    <w:rsid w:val="00325BCB"/>
    <w:rsid w:val="00331944"/>
    <w:rsid w:val="00332AD9"/>
    <w:rsid w:val="003371EF"/>
    <w:rsid w:val="003402B9"/>
    <w:rsid w:val="00347D2C"/>
    <w:rsid w:val="00362463"/>
    <w:rsid w:val="00367A50"/>
    <w:rsid w:val="0037356F"/>
    <w:rsid w:val="00381DD4"/>
    <w:rsid w:val="003858C5"/>
    <w:rsid w:val="00390EB2"/>
    <w:rsid w:val="00391AC1"/>
    <w:rsid w:val="00396A0E"/>
    <w:rsid w:val="003A795A"/>
    <w:rsid w:val="003B5622"/>
    <w:rsid w:val="003C4741"/>
    <w:rsid w:val="003E2402"/>
    <w:rsid w:val="00402D2A"/>
    <w:rsid w:val="0040576A"/>
    <w:rsid w:val="00416287"/>
    <w:rsid w:val="00417AE1"/>
    <w:rsid w:val="00422733"/>
    <w:rsid w:val="00425CF2"/>
    <w:rsid w:val="0043013B"/>
    <w:rsid w:val="0044617D"/>
    <w:rsid w:val="00450A7E"/>
    <w:rsid w:val="004667D1"/>
    <w:rsid w:val="004672AE"/>
    <w:rsid w:val="00485C5C"/>
    <w:rsid w:val="00497CC4"/>
    <w:rsid w:val="004C23AF"/>
    <w:rsid w:val="004C28FB"/>
    <w:rsid w:val="004C3FDB"/>
    <w:rsid w:val="004C44C0"/>
    <w:rsid w:val="004C5791"/>
    <w:rsid w:val="005146EE"/>
    <w:rsid w:val="0052544E"/>
    <w:rsid w:val="0052759C"/>
    <w:rsid w:val="00534C44"/>
    <w:rsid w:val="00541027"/>
    <w:rsid w:val="0054782E"/>
    <w:rsid w:val="005607C5"/>
    <w:rsid w:val="00583366"/>
    <w:rsid w:val="005940C3"/>
    <w:rsid w:val="00594C48"/>
    <w:rsid w:val="005A099F"/>
    <w:rsid w:val="005A6FC7"/>
    <w:rsid w:val="005B2F11"/>
    <w:rsid w:val="005C01E9"/>
    <w:rsid w:val="005C0BDF"/>
    <w:rsid w:val="005C1972"/>
    <w:rsid w:val="005D60C6"/>
    <w:rsid w:val="005D6788"/>
    <w:rsid w:val="005E65AA"/>
    <w:rsid w:val="005F71E9"/>
    <w:rsid w:val="006102E7"/>
    <w:rsid w:val="0062675A"/>
    <w:rsid w:val="006347A5"/>
    <w:rsid w:val="00640C1B"/>
    <w:rsid w:val="006514A6"/>
    <w:rsid w:val="00657AFB"/>
    <w:rsid w:val="00683332"/>
    <w:rsid w:val="00691B6E"/>
    <w:rsid w:val="00692393"/>
    <w:rsid w:val="00692F9F"/>
    <w:rsid w:val="006A36DD"/>
    <w:rsid w:val="006B1302"/>
    <w:rsid w:val="006D3D0C"/>
    <w:rsid w:val="006D5BF7"/>
    <w:rsid w:val="006D70C0"/>
    <w:rsid w:val="006E1CE0"/>
    <w:rsid w:val="006E2B9E"/>
    <w:rsid w:val="006F0A6C"/>
    <w:rsid w:val="006F0D12"/>
    <w:rsid w:val="00702104"/>
    <w:rsid w:val="0070598B"/>
    <w:rsid w:val="007204C4"/>
    <w:rsid w:val="00741954"/>
    <w:rsid w:val="00757C4C"/>
    <w:rsid w:val="007638D0"/>
    <w:rsid w:val="00772516"/>
    <w:rsid w:val="00774054"/>
    <w:rsid w:val="00780A17"/>
    <w:rsid w:val="00787247"/>
    <w:rsid w:val="007B1C98"/>
    <w:rsid w:val="007B2DEB"/>
    <w:rsid w:val="007B5CC7"/>
    <w:rsid w:val="007C238A"/>
    <w:rsid w:val="007C3E56"/>
    <w:rsid w:val="007D05EE"/>
    <w:rsid w:val="007E2542"/>
    <w:rsid w:val="008072D8"/>
    <w:rsid w:val="00825069"/>
    <w:rsid w:val="008313E7"/>
    <w:rsid w:val="00852263"/>
    <w:rsid w:val="00854CAC"/>
    <w:rsid w:val="00856CAA"/>
    <w:rsid w:val="008656B1"/>
    <w:rsid w:val="00873BF3"/>
    <w:rsid w:val="00882E94"/>
    <w:rsid w:val="00886347"/>
    <w:rsid w:val="00894BF8"/>
    <w:rsid w:val="008A32C5"/>
    <w:rsid w:val="008A3E1D"/>
    <w:rsid w:val="008B53F7"/>
    <w:rsid w:val="008B7BF6"/>
    <w:rsid w:val="008C316C"/>
    <w:rsid w:val="008C3758"/>
    <w:rsid w:val="008C492B"/>
    <w:rsid w:val="008C6203"/>
    <w:rsid w:val="008D4689"/>
    <w:rsid w:val="008D4867"/>
    <w:rsid w:val="008D61E7"/>
    <w:rsid w:val="008E139A"/>
    <w:rsid w:val="008E2BE3"/>
    <w:rsid w:val="008F10E9"/>
    <w:rsid w:val="008F33FC"/>
    <w:rsid w:val="008F377D"/>
    <w:rsid w:val="008F7002"/>
    <w:rsid w:val="009019FE"/>
    <w:rsid w:val="00904801"/>
    <w:rsid w:val="00940ED0"/>
    <w:rsid w:val="009432E4"/>
    <w:rsid w:val="00962394"/>
    <w:rsid w:val="009626A8"/>
    <w:rsid w:val="009709A9"/>
    <w:rsid w:val="00974DA6"/>
    <w:rsid w:val="009805E1"/>
    <w:rsid w:val="00980F04"/>
    <w:rsid w:val="0099493F"/>
    <w:rsid w:val="009A0F1C"/>
    <w:rsid w:val="009C604C"/>
    <w:rsid w:val="009D38C5"/>
    <w:rsid w:val="009E5841"/>
    <w:rsid w:val="009F4DCD"/>
    <w:rsid w:val="00A00D5D"/>
    <w:rsid w:val="00A16BEA"/>
    <w:rsid w:val="00A16CB2"/>
    <w:rsid w:val="00A22DA2"/>
    <w:rsid w:val="00A312B3"/>
    <w:rsid w:val="00A47E2F"/>
    <w:rsid w:val="00A56164"/>
    <w:rsid w:val="00A63B16"/>
    <w:rsid w:val="00A72C35"/>
    <w:rsid w:val="00A7638C"/>
    <w:rsid w:val="00A81F52"/>
    <w:rsid w:val="00A92590"/>
    <w:rsid w:val="00AA4E3D"/>
    <w:rsid w:val="00AA7E06"/>
    <w:rsid w:val="00AB5733"/>
    <w:rsid w:val="00AC5AAD"/>
    <w:rsid w:val="00AC6E93"/>
    <w:rsid w:val="00AC769A"/>
    <w:rsid w:val="00AE180F"/>
    <w:rsid w:val="00AE5581"/>
    <w:rsid w:val="00AE712D"/>
    <w:rsid w:val="00AE79AF"/>
    <w:rsid w:val="00AF57B4"/>
    <w:rsid w:val="00B2195C"/>
    <w:rsid w:val="00B21C67"/>
    <w:rsid w:val="00B22B4B"/>
    <w:rsid w:val="00B362F7"/>
    <w:rsid w:val="00B4348E"/>
    <w:rsid w:val="00B5456B"/>
    <w:rsid w:val="00B55F04"/>
    <w:rsid w:val="00B57A92"/>
    <w:rsid w:val="00B67749"/>
    <w:rsid w:val="00B735E3"/>
    <w:rsid w:val="00B74B53"/>
    <w:rsid w:val="00B87BB2"/>
    <w:rsid w:val="00BA0BEF"/>
    <w:rsid w:val="00BC26E4"/>
    <w:rsid w:val="00BD01D9"/>
    <w:rsid w:val="00BD1EAA"/>
    <w:rsid w:val="00BD2EEA"/>
    <w:rsid w:val="00BD49C0"/>
    <w:rsid w:val="00BF0AFC"/>
    <w:rsid w:val="00BF2735"/>
    <w:rsid w:val="00BF6786"/>
    <w:rsid w:val="00C03BC7"/>
    <w:rsid w:val="00C13CEF"/>
    <w:rsid w:val="00C36610"/>
    <w:rsid w:val="00C41232"/>
    <w:rsid w:val="00C52739"/>
    <w:rsid w:val="00C562BD"/>
    <w:rsid w:val="00C604F4"/>
    <w:rsid w:val="00C62879"/>
    <w:rsid w:val="00C75A54"/>
    <w:rsid w:val="00C827FF"/>
    <w:rsid w:val="00C8553D"/>
    <w:rsid w:val="00C85D0F"/>
    <w:rsid w:val="00CA4C4E"/>
    <w:rsid w:val="00CC57F4"/>
    <w:rsid w:val="00CD34AC"/>
    <w:rsid w:val="00CE6558"/>
    <w:rsid w:val="00D006EE"/>
    <w:rsid w:val="00D01E6F"/>
    <w:rsid w:val="00D12EF4"/>
    <w:rsid w:val="00D3055F"/>
    <w:rsid w:val="00D318E7"/>
    <w:rsid w:val="00D4101C"/>
    <w:rsid w:val="00D7202C"/>
    <w:rsid w:val="00D8432D"/>
    <w:rsid w:val="00D93C58"/>
    <w:rsid w:val="00DA14EC"/>
    <w:rsid w:val="00DC4F54"/>
    <w:rsid w:val="00DE19FF"/>
    <w:rsid w:val="00DE2C4F"/>
    <w:rsid w:val="00DF30B3"/>
    <w:rsid w:val="00E10E53"/>
    <w:rsid w:val="00E1580D"/>
    <w:rsid w:val="00E21D2C"/>
    <w:rsid w:val="00E3491C"/>
    <w:rsid w:val="00E70D81"/>
    <w:rsid w:val="00E70E57"/>
    <w:rsid w:val="00E71075"/>
    <w:rsid w:val="00E77539"/>
    <w:rsid w:val="00E81BA6"/>
    <w:rsid w:val="00E856D2"/>
    <w:rsid w:val="00E929A7"/>
    <w:rsid w:val="00E93292"/>
    <w:rsid w:val="00E96618"/>
    <w:rsid w:val="00EB761F"/>
    <w:rsid w:val="00EF3D27"/>
    <w:rsid w:val="00F12C4B"/>
    <w:rsid w:val="00F13318"/>
    <w:rsid w:val="00F13E38"/>
    <w:rsid w:val="00F1738F"/>
    <w:rsid w:val="00F22674"/>
    <w:rsid w:val="00F25815"/>
    <w:rsid w:val="00F26A77"/>
    <w:rsid w:val="00F344CD"/>
    <w:rsid w:val="00F41676"/>
    <w:rsid w:val="00F55787"/>
    <w:rsid w:val="00F67867"/>
    <w:rsid w:val="00F74FFA"/>
    <w:rsid w:val="00F7744A"/>
    <w:rsid w:val="00FB01A5"/>
    <w:rsid w:val="00FB537A"/>
    <w:rsid w:val="00FC228C"/>
    <w:rsid w:val="00FC29B2"/>
    <w:rsid w:val="00FC42F1"/>
    <w:rsid w:val="00FC6460"/>
    <w:rsid w:val="00FD0D14"/>
    <w:rsid w:val="00FD0F53"/>
    <w:rsid w:val="00FD4BC4"/>
    <w:rsid w:val="00FE23E1"/>
    <w:rsid w:val="00FE24DE"/>
    <w:rsid w:val="00FF4B50"/>
    <w:rsid w:val="00FF538B"/>
    <w:rsid w:val="00FF549B"/>
    <w:rsid w:val="00FF66B5"/>
  </w:rsids>
  <w:docVars>
    <w:docVar w:name="AMACTMNU" w:val=" 2"/>
    <w:docVar w:name="AMPLURMNU" w:val=" 1"/>
    <w:docVar w:name="AUTHORMFMNU" w:val=" 2"/>
    <w:docVar w:name="CJMNU" w:val="1"/>
    <w:docVar w:name="CODEMNU" w:val=" 3"/>
    <w:docVar w:name="COM2KEY" w:val="LIBE"/>
    <w:docVar w:name="COMKEY" w:val="BUDG"/>
    <w:docVar w:name="CONTRIBUTIONMNU" w:val=" 2"/>
    <w:docVar w:name="CopyToNetwork" w:val="-1"/>
    <w:docVar w:name="CVar" w:val="4"/>
    <w:docVar w:name="DOCDT" w:val="17/04/2026"/>
    <w:docVar w:name="DOCMNU" w:val=" 1"/>
    <w:docVar w:name="FONCTIONMNU" w:val=" 1"/>
    <w:docVar w:name="iNoAmend" w:val="4"/>
    <w:docVar w:name="LastEditedSection" w:val=" 1"/>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6607907 HideTWBExt;}{\*\cs18 \additive \v\f1\fs20\cf15 &#13;_x000a_\spriority0 \styrsid16607907 HideTWBInt;}{\s19\ql \li0\ri0\nowidctlpar\wrapdefault\aspalpha\aspnum\faauto\adjustright\rin0\lin0\itap0 \rtlch\fcs1 \af0\afs20\alang1025 \ltrch\fcs0 \b\fs24\lang2057\langfe2057\cgrid\langnp2057\langfenp2057 &#13;_x000a_\sbasedon0 \snext19 \spriority0 \styrsid16607907 NormalBold;}{\s20\ql \li0\ri0\sa120\nowidctlpar\wrapdefault\aspalpha\aspnum\faauto\adjustright\rin0\lin0\itap0 \rtlch\fcs1 \af0\afs20\alang1025 \ltrch\fcs0 &#13;_x000a_\fs24\lang2057\langfe2057\cgrid\langnp2057\langfenp2057 \sbasedon0 \snext20 \spriority0 \styrsid16607907 Normal6a;}{\s21\qc \li0\ri0\sa240\nowidctlpar\wrapdefault\aspalpha\aspnum\faauto\adjustright\rin0\lin0\itap0 \rtlch\fcs1 \af0\afs20\alang1025 &#13;_x000a_\ltrch\fcs0 \i\fs24\lang2057\langfe2057\cgrid\langnp2057\langfenp2057 \sbasedon0 \snext21 \spriority0 \styrsid1660790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16607907 AmNumberTabs;}{\s23\ql \li0\ri0\sa240\nowidctlpar\wrapdefault\aspalpha\aspnum\faauto\adjustright\rin0\lin0\itap0 \rtlch\fcs1 &#13;_x000a_\af0\afs20\alang1025 \ltrch\fcs0 \i\fs24\lang2057\langfe2057\cgrid\langnp2057\langfenp2057 \sbasedon0 \snext23 \spriority0 \styrsid16607907 AmJustText;}{&#13;_x000a_\s24\qc \li0\ri0\sb240\sa240\nowidctlpar\wrapdefault\aspalpha\aspnum\faauto\adjustright\rin0\lin0\itap0 \rtlch\fcs1 \af0\afs20\alang1025 \ltrch\fcs0 \i\fs24\lang2057\langfe2057\cgrid\langnp2057\langfenp2057 &#13;_x000a_\sbasedon0 \snext24 \spriority0 \styrsid16607907 AmCrossRef;}{\s25\qc \li0\ri0\sb240\sa240\keepn\nowidctlpar\wrapdefault\aspalpha\aspnum\faauto\adjustright\rin0\lin0\itap0 \rtlch\fcs1 \af0\afs20\alang1025 \ltrch\fcs0 &#13;_x000a_\i\fs24\lang2057\langfe2057\cgrid\langnp2057\langfenp2057 \sbasedon0 \snext23 \spriority0 \styrsid16607907 AmJustTitle;}{\s26\ql \li0\ri0\sb240\nowidctlpar\wrapdefault\aspalpha\aspnum\faauto\adjustright\rin0\lin0\itap0 \rtlch\fcs1 \af0\afs20\alang1025 &#13;_x000a_\ltrch\fcs0 \b\fs24\lang2057\langfe2057\cgrid\langnp2057\langfenp2057 \sbasedon0 \snext26 \spriority0 \styrsid16607907 NormalBold12b;}}{\*\rsidtbl \rsid24658\rsid223860\rsid735077\rsid1718133\rsid2892074\rsid3565327\rsid4666813\rsid6641733\rsid7103821&#13;_x000a_\rsid7277842\rsid7823322\rsid9636012\rsid10377208\rsid11215221\rsid11549030\rsid12154954\rsid14382809\rsid14424199\rsid15204470\rsid15285974\rsid15950462\rsid16324206\rsid16607907\rsid16662270}{\mmathPr\mmathFont34\mbrkBin0\mbrkBinSub0\msmallFrac0&#13;_x000a_\mdispDef1\mlMargin0\mrMargin0\mdefJc1\mwrapIndent1440\mintLim0\mnaryLim1}{\info{\author FERNANDEZ PLAZA Remedios}{\operator FERNANDEZ PLAZA Remedios}{\creatim\yr2026\mo7\dy8\hr9\min31}{\revtim\yr2026\mo7\dy8\hr9\min31}{\version1}{\edmins0}{\nofpages1}&#13;_x000a_{\nofwords104}{\nofchars597}{\nofcharsws69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607907\newtblstyruls\nogrowautofit\usenormstyforlist\noindnmbrts\felnbrelev\nocxsptable\indrlsweleven\noafcnsttbl\afelev\utinl\hwelev\spltpgpar\notcvasp\notbrkcnstfrctbl\notvatxbx\krnprsnet\cachedcolbal &#13;_x000a_\nouicompat \fet0{\*\wgrffmtfilter 013f}\nofeaturethrottle1\ilfomacatclnup0{\*\template C:\\Users\\RFERNA~1\\AppData\\Local\\Temp\\Blank1.dotx}{\*\ftnsep \ltrpar \pard\plain \ltrpar&#13;_x000a_\ql \li0\ri0\widctlpar\wrapdefault\aspalpha\aspnum\faauto\adjustright\rin0\lin0\itap0 \rtlch\fcs1 \af0\afs20\alang1025 \ltrch\fcs0 \fs24\lang2057\langfe2057\cgrid\langnp2057\langfenp2057 {\rtlch\fcs1 \af0 \ltrch\fcs0 \insrsid7103821 \chftnsep &#13;_x000a_\par }}{\*\ftnsepc \ltrpar \pard\plain \ltrpar\ql \li0\ri0\widctlpar\wrapdefault\aspalpha\aspnum\faauto\adjustright\rin0\lin0\itap0 \rtlch\fcs1 \af0\afs20\alang1025 \ltrch\fcs0 \fs24\lang2057\langfe2057\cgrid\langnp2057\langfenp2057 {\rtlch\fcs1 \af0 &#13;_x000a_\ltrch\fcs0 \insrsid7103821 \chftnsepc &#13;_x000a_\par }}{\*\aftnsep \ltrpar \pard\plain \ltrpar\ql \li0\ri0\widctlpar\wrapdefault\aspalpha\aspnum\faauto\adjustright\rin0\lin0\itap0 \rtlch\fcs1 \af0\afs20\alang1025 \ltrch\fcs0 \fs24\lang2057\langfe2057\cgrid\langnp2057\langfenp2057 {\rtlch\fcs1 \af0 &#13;_x000a_\ltrch\fcs0 \insrsid7103821 \chftnsep &#13;_x000a_\par }}{\*\aftnsepc \ltrpar \pard\plain \ltrpar\ql \li0\ri0\widctlpar\wrapdefault\aspalpha\aspnum\faauto\adjustright\rin0\lin0\itap0 \rtlch\fcs1 \af0\afs20\alang1025 \ltrch\fcs0 \fs24\lang2057\langfe2057\cgrid\langnp2057\langfenp2057 {\rtlch\fcs1 \af0 &#13;_x000a_\ltrch\fcs0 \insrsid710382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671963 \rtlch\fcs1 &#13;_x000a_\af0\afs20\alang1025 \ltrch\fcs0 \b\fs24\lang2057\langfe2057\cgrid\langnp2057\langfenp2057 {\rtlch\fcs1 \af0 \ltrch\fcs0 \cs17\b0\v\fs20\cf9\lang1024\langfe1024\loch\af1\hich\af1\dbch\af31501\noproof\insrsid16607907\charrsid9264682 {\*\bkmkstart restart}&#13;_x000a_\hich\af1\dbch\af31501\loch\f1 &lt;Amend&gt;}{\rtlch\fcs1 \af0 \ltrch\fcs0 \insrsid16607907\charrsid9264682 Amendment\tab \tab }{\rtlch\fcs1 \af0 \ltrch\fcs0 &#13;_x000a_\cs17\b0\v\fs20\cf9\lang1024\langfe1024\loch\af1\hich\af1\dbch\af31501\noproof\insrsid16607907\charrsid9264682 \hich\af1\dbch\af31501\loch\f1 &lt;NumAm&gt;}{\rtlch\fcs1 \af0 \ltrch\fcs0 \insrsid16607907\charrsid9264682 #}{\rtlch\fcs1 \af0 \ltrch\fcs0 &#13;_x000a_\cs18\v\f1\fs20\cf15\insrsid16607907\charrsid9264682 ENMIENDA@NRAM@}{\rtlch\fcs1 \af0 \ltrch\fcs0 \insrsid16607907\charrsid9264682 #}{\rtlch\fcs1 \af0 \ltrch\fcs0 &#13;_x000a_\cs17\b0\v\fs20\cf9\lang1024\langfe1024\loch\af1\hich\af1\dbch\af31501\noproof\insrsid16607907\charrsid9264682 \hich\af1\dbch\af31501\loch\f1 &lt;/NumAm&gt;}{\rtlch\fcs1 \af0 \ltrch\fcs0 \insrsid16607907\charrsid9264682 &#13;_x000a_\par }\pard\plain \ltrpar\s26\ql \li0\ri0\sb240\keepn\nowidctlpar\wrapdefault\aspalpha\aspnum\faauto\adjustright\rin0\lin0\itap0\pararsid671963 \rtlch\fcs1 \af0\afs20\alang1025 \ltrch\fcs0 \b\fs24\lang2057\langfe2057\cgrid\langnp2057\langfenp2057 {\rtlch\fcs1 &#13;_x000a_\af0 \ltrch\fcs0 \cs17\b0\v\fs20\cf9\lang1024\langfe1024\loch\af1\hich\af1\dbch\af31501\noproof\insrsid16607907\charrsid9264682 \hich\af1\dbch\af31501\loch\f1 &lt;DocAmend&gt;}{\rtlch\fcs1 \af0 \ltrch\fcs0 \insrsid16607907\charrsid9264682 #}{\rtlch\fcs1 \af0 &#13;_x000a_\ltrch\fcs0 \cs18\v\f1\fs20\cf15\insrsid16607907\charrsid9264682 MNU[PROPCOM][PROPCOUNC]@CHOICE@TITLEMNU}{\rtlch\fcs1 \af0 \ltrch\fcs0 \insrsid16607907\charrsid9264682 ##}{\rtlch\fcs1 \af0 \ltrch\fcs0 \cs18\v\f1\fs20\cf15\insrsid16607907\charrsid9264682 &#13;_x000a_MNU[AMACTYES][NOTAPP]@CHOICE@AMACTMNU}{\rtlch\fcs1 \af0 \ltrch\fcs0 \insrsid16607907\charrsid9264682 #}{\rtlch\fcs1 \af0 \ltrch\fcs0 \cs17\b0\v\fs20\cf9\lang1024\langfe1024\loch\af1\hich\af1\dbch\af31501\noproof\insrsid16607907\charrsid9264682 &#13;_x000a_\hich\af1\dbch\af31501\loch\f1 &lt;/DocAmend&gt;}{\rtlch\fcs1 \af0 \ltrch\fcs0 \insrsid16607907\charrsid9264682 &#13;_x000a_\par }\pard\plain \ltrpar\s19\ql \li0\ri0\nowidctlpar\wrapdefault\aspalpha\aspnum\faauto\adjustright\rin0\lin0\itap0\pararsid671963 \rtlch\fcs1 \af0\afs20\alang1025 \ltrch\fcs0 \b\fs24\lang2057\langfe2057\cgrid\langnp2057\langfenp2057 {\rtlch\fcs1 \af0 &#13;_x000a_\ltrch\fcs0 \cs17\b0\v\fs20\cf9\lang1024\langfe1024\loch\af1\hich\af1\dbch\af31501\noproof\insrsid16607907\charrsid9264682 \hich\af1\dbch\af31501\loch\f1 &lt;Article&gt;}{\rtlch\fcs1 \af0 \ltrch\fcs0 \insrsid16607907\charrsid9264682 #}{\rtlch\fcs1 \af0 &#13;_x000a_\ltrch\fcs0 \cs18\v\f1\fs20\cf15\insrsid16607907\charrsid9264682 MNU[AMACTPARTYES][AMACTPARTNO]@CHOICE@AMACTMNU}{\rtlch\fcs1 \af0 \ltrch\fcs0 \insrsid16607907\charrsid9264682 #}{\rtlch\fcs1 \af0 \ltrch\fcs0 &#13;_x000a_\cs17\b0\v\fs20\cf9\lang1024\langfe1024\loch\af1\hich\af1\dbch\af31501\noproof\insrsid16607907\charrsid9264682 \hich\af1\dbch\af31501\loch\f1 &lt;/Article&gt;}{\rtlch\fcs1 \af0 \ltrch\fcs0 \insrsid16607907\charrsid9264682 &#13;_x000a_\par }\pard\plain \ltrpar\ql \li0\ri0\keepn\widctlpar\wrapdefault\aspalpha\aspnum\faauto\adjustright\rin0\lin0\itap0\pararsid671963 \rtlch\fcs1 \af0\afs20\alang1025 \ltrch\fcs0 \fs24\lang2057\langfe2057\cgrid\langnp2057\langfenp2057 {\rtlch\fcs1 \af0 &#13;_x000a_\ltrch\fcs0 \cs17\v\fs20\cf9\lang1024\langfe1024\loch\af1\hich\af1\dbch\af31501\noproof\insrsid16607907\charrsid9264682 \hich\af1\dbch\af31501\loch\f1 &lt;DocAmend2&gt;&lt;OptDel&gt;}{\rtlch\fcs1 \af0 \ltrch\fcs0 \insrsid16607907\charrsid9264682 #}{\rtlch\fcs1 \af0 &#13;_x000a_\ltrch\fcs0 \cs18\v\f1\fs20\cf15\insrsid16607907\charrsid9264682 MNU[OPTNRACTYES][NOTAPP]@CHOICE@AMACTMNU}{\rtlch\fcs1 \af0 \ltrch\fcs0 \insrsid16607907\charrsid9264682 #}{\rtlch\fcs1 \af0 \ltrch\fcs0 &#13;_x000a_\cs17\v\fs20\cf9\lang1024\langfe1024\loch\af1\hich\af1\dbch\af31501\noproof\insrsid16607907\charrsid9264682 \hich\af1\dbch\af31501\loch\f1 &lt;/OptDel&gt;&lt;/DocAmend2&gt;}{\rtlch\fcs1 \af0 \ltrch\fcs0 \insrsid16607907\charrsid9264682 &#13;_x000a_\par }\pard \ltrpar\ql \li0\ri0\widctlpar\wrapdefault\aspalpha\aspnum\faauto\adjustright\rin0\lin0\itap0\pararsid671963 {\rtlch\fcs1 \af0 \ltrch\fcs0 \cs17\v\fs20\cf9\lang1024\langfe1024\loch\af1\hich\af1\dbch\af31501\noproof\insrsid16607907\charrsid9264682 &#13;_x000a_\hich\af1\dbch\af31501\loch\f1 &lt;Article2&gt;&lt;OptDel&gt;}{\rtlch\fcs1 \af0 \ltrch\fcs0 \insrsid16607907\charrsid9264682 #}{\rtlch\fcs1 \af0 \ltrch\fcs0 \cs18\v\f1\fs20\cf15\insrsid16607907\charrsid9264682 MNU[OPTACTPARTYES][NOTAPP]@CHOICE@AMACTMNU}{\rtlch\fcs1 &#13;_x000a_\af0 \ltrch\fcs0 \insrsid16607907\charrsid9264682 #}{\rtlch\fcs1 \af0 \ltrch\fcs0 \cs17\v\fs20\cf9\lang1024\langfe1024\loch\af1\hich\af1\dbch\af31501\noproof\insrsid16607907\charrsid9264682 \hich\af1\dbch\af31501\loch\f1 &lt;/OptDel&gt;&lt;/Article2&gt;}{\rtlch\fcs1 &#13;_x000a_\af0 \ltrch\fcs0 \insrsid16607907\charrsid9264682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insrsid16607907\charrsid9264682 \cell }\pard \ltrpar\ql \li0\ri0\widctlpar\intbl\wrapdefault\aspalpha\aspnum\faauto\adjustright\rin0\lin0 {\rtlch\fcs1 \af0 \ltrch\fcs0 \insrsid16607907\charrsid9264682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1\qc \li0\ri0\sa240\keepn\nowidctlpar\intbl\wrapdefault\aspalpha\aspnum\faauto\adjustright\rin0\lin0\pararsid11085200 \rtlch\fcs1 \af0\afs20\alang1025 \ltrch\fcs0 \i\fs24\lang2057\langfe2057\cgrid\langnp2057\langfenp2057 {&#13;_x000a_\rtlch\fcs1 \af0 \ltrch\fcs0 \insrsid16607907\charrsid9264682 #}{\rtlch\fcs1 \af0 \ltrch\fcs0 \cs18\v\f1\fs20\cf15\insrsid16607907\charrsid9264682 MNU[OPTLEFTAMACT][LEFTPROP]@CHOICE@AMACTMNU}{\rtlch\fcs1 \af0 \ltrch\fcs0 \insrsid16607907\charrsid9264682 #&#13;_x000a_\cell Amendment\cell }\pard\plain \ltrpar\ql \li0\ri0\widctlpar\intbl\wrapdefault\aspalpha\aspnum\faauto\adjustright\rin0\lin0 \rtlch\fcs1 \af0\afs20\alang1025 \ltrch\fcs0 \fs24\lang2057\langfe2057\cgrid\langnp2057\langfenp2057 {\rtlch\fcs1 \af0 &#13;_x000a_\ltrch\fcs0 \insrsid16607907\charrsid9264682 \trowd \ltrrow\ts11\trqc\trgaph340\trleft-340\trftsWidth3\trftsWidthB3\trpaddl340\trpaddr340\trpaddfl3\trpaddft3\trpaddfb3\trpaddfr3\tblrsid11085200\tbllkhdrrows\tbllkhdrcols\tbllknocolband\tblind0\tblindtype3 &#13;_x000a_\clvertalt\clbrdrt\brdrtbl \clbrdrl\brdrtbl \clbrdrb\brdrtbl \clbrdrr\brdrtbl \cltxlrtb\clftsWidth3\clwWidth4876\clshdrawnil\clhidemark \cellx4536\clvertalt\clbrdrt\brdrtbl \clbrdrl\brdrtbl \clbrdrb\brdrtbl \clbrdrr\brdrtbl &#13;_x000a_\cltxlrtb\clftsWidth3\clwWidth4876\clshdrawnil\clhidemark \cellx9412\row \ltrrow}\pard\plain \ltrpar\s20\ql \li0\ri0\sa120\nowidctlpar\intbl\wrapdefault\aspalpha\aspnum\faauto\adjustright\rin0\lin0\pararsid11085200 \rtlch\fcs1 \af0\afs20\alang1025 &#13;_x000a_\ltrch\fcs0 \fs24\lang2057\langfe2057\cgrid\langnp2057\langfenp2057 {\rtlch\fcs1 \af0 \ltrch\fcs0 \insrsid16607907\charrsid9264682 #}{\rtlch\fcs1 \af0 \ltrch\fcs0 \cs18\v\f1\fs20\cf15\insrsid16607907\charrsid9264682 &#13;_x000a_MNU[TEXTLEVA][TEXTLOTHER]@CHOICE@TEXTRMNU}{\rtlch\fcs1 \af0 \ltrch\fcs0 \insrsid16607907\charrsid9264682 #\cell #}{\rtlch\fcs1 \af0 \ltrch\fcs0 \cs18\v\f1\fs20\cf15\insrsid16607907\charrsid9264682 MNU[TEXTREVA][TEXTROTHER]@CHOICE@TEXTRMNU}{\rtlch\fcs1 &#13;_x000a_\af0 \ltrch\fcs0 \insrsid16607907\charrsid9264682 #\cell }\pard\plain \ltrpar\ql \li0\ri0\widctlpar\intbl\wrapdefault\aspalpha\aspnum\faauto\adjustright\rin0\lin0 \rtlch\fcs1 \af0\afs20\alang1025 \ltrch\fcs0 &#13;_x000a_\fs24\lang2057\langfe2057\cgrid\langnp2057\langfenp2057 {\rtlch\fcs1 \af0 \ltrch\fcs0 \insrsid16607907\charrsid9264682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4\qc \li0\ri0\sb240\sa240\nowidctlpar\wrapdefault\aspalpha\aspnum\faauto\adjustright\rin0\lin0\itap0\pararsid671963 \rtlch\fcs1 \af0\afs20\alang1025 \ltrch\fcs0 \i\fs24\lang2057\langfe2057\cgrid\langnp2057\langfenp2057 {\rtlch\fcs1 &#13;_x000a_\af0 \ltrch\fcs0 \cs17\i0\v\fs20\cf9\lang1024\langfe1024\loch\af1\hich\af1\dbch\af31501\noproof\insrsid16607907\charrsid9264682 \hich\af1\dbch\af31501\loch\f1 &lt;OptDel&gt;}{\rtlch\fcs1 \af0 \ltrch\fcs0 \insrsid16607907\charrsid9264682 #}{\rtlch\fcs1 \af0 &#13;_x000a_\ltrch\fcs0 \cs18\v\f1\fs20\cf15\insrsid16607907\charrsid9264682 MNU[CROSSREFNO][CROSSREFYES]@CHOICE@}{\rtlch\fcs1 \af0 \ltrch\fcs0 \insrsid16607907\charrsid9264682 #}{\rtlch\fcs1 \af0 \ltrch\fcs0 &#13;_x000a_\cs17\i0\v\fs20\cf9\lang1024\langfe1024\loch\af1\hich\af1\dbch\af31501\noproof\insrsid16607907\charrsid9264682 \hich\af1\dbch\af31501\loch\f1 &lt;/OptDel&gt;}{\rtlch\fcs1 \af0 \ltrch\fcs0 \insrsid16607907\charrsid9264682 &#13;_x000a_\par }\pard\plain \ltrpar\s25\qc \li0\ri0\sb240\sa240\keepn\nowidctlpar\wrapdefault\aspalpha\aspnum\faauto\adjustright\rin0\lin0\itap0\pararsid671963 \rtlch\fcs1 \af0\afs20\alang1025 \ltrch\fcs0 \i\fs24\lang2057\langfe2057\cgrid\langnp2057\langfenp2057 {&#13;_x000a_\rtlch\fcs1 \af0 \ltrch\fcs0 \cs17\i0\v\fs20\cf9\lang1024\langfe1024\loch\af1\hich\af1\dbch\af31501\noproof\insrsid16607907\charrsid9264682 \hich\af1\dbch\af31501\loch\f1 &lt;TitreJust&gt;}{\rtlch\fcs1 \af0 \ltrch\fcs0 \insrsid16607907\charrsid9264682 &#13;_x000a_Justification}{\rtlch\fcs1 \af0 \ltrch\fcs0 \cs17\i0\v\fs20\cf9\lang1024\langfe1024\loch\af1\hich\af1\dbch\af31501\noproof\insrsid16607907\charrsid9264682 \hich\af1\dbch\af31501\loch\f1 &lt;/TitreJust&gt;}{\rtlch\fcs1 \af0 \ltrch\fcs0 &#13;_x000a_\insrsid16607907\charrsid9264682 &#13;_x000a_\par }\pard\plain \ltrpar\s23\ql \li0\ri0\sa240\nowidctlpar\wrapdefault\aspalpha\aspnum\faauto\adjustright\rin0\lin0\itap0\pararsid671963 \rtlch\fcs1 \af0\afs20\alang1025 \ltrch\fcs0 \i\fs24\lang2057\langfe2057\cgrid\langnp2057\langfenp2057 {\rtlch\fcs1 \af0 &#13;_x000a_\ltrch\fcs0 \cs17\i0\v\fs20\cf9\lang1024\langfe1024\loch\af1\hich\af1\dbch\af31501\noproof\insrsid16607907\charrsid9264682 \hich\af1\dbch\af31501\loch\f1 &lt;OptDelPrev&gt;}{\rtlch\fcs1 \af0 \ltrch\fcs0 \insrsid16607907\charrsid9264682 #}{\rtlch\fcs1 \af0 &#13;_x000a_\ltrch\fcs0 \cs18\v\f1\fs20\cf15\insrsid16607907\charrsid9264682 MNU[TEXTJUSTYES][TEXTJUSTNO]@CHOICE@}{\rtlch\fcs1 \af0 \ltrch\fcs0 \insrsid16607907\charrsid9264682 #}{\rtlch\fcs1 \af0 \ltrch\fcs0 &#13;_x000a_\cs17\i0\v\fs20\cf9\lang1024\langfe1024\loch\af1\hich\af1\dbch\af31501\noproof\insrsid16607907\charrsid9264682 \hich\af1\dbch\af31501\loch\f1 &lt;/OptDelPrev&gt;}{\rtlch\fcs1 \af0 \ltrch\fcs0 \insrsid16607907\charrsid9264682 &#13;_x000a_\par }\pard\plain \ltrpar\ql \li0\ri0\widctlpar\wrapdefault\aspalpha\aspnum\faauto\adjustright\rin0\lin0\itap0\pararsid671963 \rtlch\fcs1 \af0\afs20\alang1025 \ltrch\fcs0 \fs24\lang2057\langfe2057\cgrid\langnp2057\langfenp2057 {\rtlch\fcs1 \af0 \ltrch\fcs0 &#13;_x000a_\cs17\v\fs20\cf9\lang1024\langfe1024\loch\af1\hich\af1\dbch\af31501\noproof\insrsid16607907\charrsid9264682 \hich\af1\dbch\af31501\loch\f1 &lt;/Amend&gt;}{\rtlch\fcs1 \af0 \ltrch\fcs0 \insrsid16607907\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52&#13;_x000a_1bc2ab0e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2\fbidi \froman\fcharset238\fprq2 Times New Roman CE;}{\f53\fbidi \froman\fcharset204\fprq2 Times New Roman Cyr;}&#13;_x000a_{\f55\fbidi \froman\fcharset161\fprq2 Times New Roman Greek;}{\f56\fbidi \froman\fcharset162\fprq2 Times New Roman Tur;}{\f57\fbidi \froman\fcharset177\fprq2 Times New Roman (Hebrew);}{\f58\fbidi \froman\fcharset178\fprq2 Times New Roman (Arabic);}&#13;_x000a_{\f59\fbidi \froman\fcharset186\fprq2 Times New Roman Baltic;}{\f60\fbidi \froman\fcharset163\fprq2 Times New Roman (Vietnamese);}{\f62\fbidi \fswiss\fcharset238\fprq2 Arial CE;}{\f63\fbidi \fswiss\fcharset204\fprq2 Arial Cyr;}&#13;_x000a_{\f65\fbidi \fswiss\fcharset161\fprq2 Arial Greek;}{\f66\fbidi \fswiss\fcharset162\fprq2 Arial Tur;}{\f67\fbidi \fswiss\fcharset177\fprq2 Arial (Hebrew);}{\f68\fbidi \fswiss\fcharset178\fprq2 Arial (Arabic);}&#13;_x000a_{\f69\fbidi \fswiss\fcharset186\fprq2 Arial Baltic;}{\f70\fbidi \fswiss\fcharset163\fprq2 Arial (Vietnamese);}{\f392\fbidi \froman\fcharset238\fprq2 Cambria Math CE;}{\f393\fbidi \froman\fcharset204\fprq2 Cambria Math Cyr;}&#13;_x000a_{\f395\fbidi \froman\fcharset161\fprq2 Cambria Math Greek;}{\f396\fbidi \froman\fcharset162\fprq2 Cambria Math Tur;}{\f399\fbidi \froman\fcharset186\fprq2 Cambria Math Baltic;}{\f400\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819533 HideTWBExt;}{&#13;_x000a_\s18\ql \li0\ri0\nowidctlpar\wrapdefault\aspalpha\aspnum\faauto\adjustright\rin0\lin0\itap0 \rtlch\fcs1 \af0\afs20\alang1025 \ltrch\fcs0 \b\fs24\lang2057\langfe2057\cgrid\langnp2057\langfenp2057 \sbasedon0 \snext18 \spriority0 \styrsid2819533 NormalBold;}&#13;_x000a_{\s19\ql \li0\ri0\sa120\nowidctlpar\wrapdefault\aspalpha\aspnum\faauto\adjustright\rin0\lin0\itap0 \rtlch\fcs1 \af0\afs20\alang1025 \ltrch\fcs0 \fs24\lang2057\langfe2057\cgrid\langnp2057\langfenp2057 \sbasedon0 \snext19 \spriority0 \styrsid2819533 &#13;_x000a_Normal6a;}{\s20\qc \li0\ri0\sa240\nowidctlpar\wrapdefault\aspalpha\aspnum\faauto\adjustright\rin0\lin0\itap0 \rtlch\fcs1 \af0\afs20\alang1025 \ltrch\fcs0 \i\fs24\lang2057\langfe2057\cgrid\langnp2057\langfenp2057 &#13;_x000a_\sbasedon0 \snext20 \spriority0 \styrsid2819533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2819533 AmNumberTabs;}{\s22\ql \li0\ri0\sa240\nowidctlpar\wrapdefault\aspalpha\aspnum\faauto\adjustright\rin0\lin0\itap0 \rtlch\fcs1 &#13;_x000a_\af0\afs20\alang1025 \ltrch\fcs0 \i\fs24\lang2057\langfe2057\cgrid\langnp2057\langfenp2057 \sbasedon0 \snext22 \spriority0 \styrsid2819533 AmJustText;}{&#13;_x000a_\s23\qc \li0\ri0\sb240\sa240\nowidctlpar\wrapdefault\aspalpha\aspnum\faauto\adjustright\rin0\lin0\itap0 \rtlch\fcs1 \af0\afs20\alang1025 \ltrch\fcs0 \i\fs24\lang2057\langfe2057\cgrid\langnp2057\langfenp2057 \sbasedon0 \snext23 \spriority0 \styrsid2819533 &#13;_x000a_AmCrossRef;}{\s24\qc \li0\ri0\sb240\sa240\keepn\nowidctlpar\wrapdefault\aspalpha\aspnum\faauto\adjustright\rin0\lin0\itap0 \rtlch\fcs1 \af0\afs20\alang1025 \ltrch\fcs0 \i\fs24\lang2057\langfe2057\cgrid\langnp2057\langfenp2057 &#13;_x000a_\sbasedon0 \snext22 \spriority0 \styrsid2819533 AmJustTitle;}{\s25\ql \li0\ri0\sb240\nowidctlpar\wrapdefault\aspalpha\aspnum\faauto\adjustright\rin0\lin0\itap0 \rtlch\fcs1 \af0\afs20\alang1025 \ltrch\fcs0 &#13;_x000a_\b\fs24\lang2057\langfe2057\cgrid\langnp2057\langfenp2057 \sbasedon0 \snext25 \spriority0 \styrsid2819533 NormalBold12b;}}{\*\rsidtbl \rsid24658\rsid223860\rsid735077\rsid1718133\rsid2819533\rsid2892074\rsid3487984\rsid3565327\rsid4666813\rsid6641733&#13;_x000a_\rsid7277842\rsid7823322\rsid9636012\rsid10377208\rsid11215221\rsid11549030\rsid12154954\rsid14382809\rsid14424199\rsid15204470\rsid15285974\rsid15950462\rsid16324206\rsid16662270}{\mmathPr\mmathFont34\mbrkBin0\mbrkBinSub0\msmallFrac0\mdispDef1\mlMargin0&#13;_x000a_\mrMargin0\mdefJc1\mwrapIndent1440\mintLim0\mnaryLim1}{\info{\author FERNANDEZ PLAZA Remedios}{\operator FERNANDEZ PLAZA Remedios}{\creatim\yr2026\mo7\dy8\hr9\min31}{\revtim\yr2026\mo7\dy8\hr9\min31}{\version1}{\edmins0}{\nofpages1}{\nofwords54}&#13;_x000a_{\nofchars313}{\nofcharsws3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819533\newtblstyruls\nogrowautofit\usenormstyforlist\noindnmbrts\felnbrelev\nocxsptable\indrlsweleven\noafcnsttbl\afelev\utinl\hwelev\spltpgpar\notcvasp\notbrkcnstfrctbl\notvatxbx\krnprsnet\cachedcolbal &#13;_x000a_\nouicompat \fet0{\*\wgrffmtfilter 013f}\nofeaturethrottle1\ilfomacatclnup0{\*\template C:\\Users\\RFERNA~1\\AppData\\Local\\Temp\\Blank1.dotx}{\*\ftnsep \ltrpar \pard\plain \ltrpar&#13;_x000a_\ql \li0\ri0\widctlpar\wrapdefault\aspalpha\aspnum\faauto\adjustright\rin0\lin0\itap0 \rtlch\fcs1 \af0\afs20\alang1025 \ltrch\fcs0 \fs24\lang2057\langfe2057\cgrid\langnp2057\langfenp2057 {\rtlch\fcs1 \af0 \ltrch\fcs0 \insrsid3487984 \chftnsep &#13;_x000a_\par }}{\*\ftnsepc \ltrpar \pard\plain \ltrpar\ql \li0\ri0\widctlpar\wrapdefault\aspalpha\aspnum\faauto\adjustright\rin0\lin0\itap0 \rtlch\fcs1 \af0\afs20\alang1025 \ltrch\fcs0 \fs24\lang2057\langfe2057\cgrid\langnp2057\langfenp2057 {\rtlch\fcs1 \af0 &#13;_x000a_\ltrch\fcs0 \insrsid3487984 \chftnsepc &#13;_x000a_\par }}{\*\aftnsep \ltrpar \pard\plain \ltrpar\ql \li0\ri0\widctlpar\wrapdefault\aspalpha\aspnum\faauto\adjustright\rin0\lin0\itap0 \rtlch\fcs1 \af0\afs20\alang1025 \ltrch\fcs0 \fs24\lang2057\langfe2057\cgrid\langnp2057\langfenp2057 {\rtlch\fcs1 \af0 &#13;_x000a_\ltrch\fcs0 \insrsid3487984 \chftnsep &#13;_x000a_\par }}{\*\aftnsepc \ltrpar \pard\plain \ltrpar\ql \li0\ri0\widctlpar\wrapdefault\aspalpha\aspnum\faauto\adjustright\rin0\lin0\itap0 \rtlch\fcs1 \af0\afs20\alang1025 \ltrch\fcs0 \fs24\lang2057\langfe2057\cgrid\langnp2057\langfenp2057 {\rtlch\fcs1 \af0 &#13;_x000a_\ltrch\fcs0 \insrsid348798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6293919 \rtlch\fcs1 &#13;_x000a_\af0\afs20\alang1025 \ltrch\fcs0 \b\fs24\lang2057\langfe2057\cgrid\langnp2057\langfenp2057 {\rtlch\fcs1 \af0 \ltrch\fcs0 \cs17\b0\v\fs20\cf9\lang1024\langfe1024\loch\af1\hich\af1\dbch\af31501\noproof\langnp1030\insrsid2819533 {\*\bkmkstart restart}&#13;_x000a_\hich\af1\dbch\af31501\loch\f1 &lt;Amend&gt;}{\rtlch\fcs1 \af0 \ltrch\fcs0 \lang1030\langfe2057\langnp1030\insrsid2819533 [ZAMENDMENT]\tab \tab }{\rtlch\fcs1 \af0 \ltrch\fcs0 &#13;_x000a_\cs17\b0\v\fs20\cf9\lang1024\langfe1024\loch\af1\hich\af1\dbch\af31501\noproof\langnp1030\insrsid2819533 \hich\af1\dbch\af31501\loch\f1 &lt;NumAm&gt;}{\rtlch\fcs1 \af0 \ltrch\fcs0 \lang1030\langfe2057\langnp1030\insrsid2819533 [ZNRAM]}{\rtlch\fcs1 \af0 &#13;_x000a_\ltrch\fcs0 \cs17\b0\v\fs20\cf9\lang1024\langfe1024\loch\af1\hich\af1\dbch\af31501\noproof\langnp1030\insrsid2819533 \hich\af1\dbch\af31501\loch\f1 &lt;/NumAm&gt;}{\rtlch\fcs1 \af0 \ltrch\fcs0 \lang1030\langfe2057\langnp1030\insrsid2819533 &#13;_x000a_\par }\pard\plain \ltrpar\s25\ql \li0\ri0\sb240\keepn\nowidctlpar\wrapdefault\aspalpha\aspnum\faauto\adjustright\rin0\lin0\itap0\pararsid6293919 \rtlch\fcs1 \af0\afs20\alang1025 \ltrch\fcs0 \b\fs24\lang2057\langfe2057\cgrid\langnp2057\langfenp2057 {&#13;_x000a_\rtlch\fcs1 \af0 \ltrch\fcs0 \cs17\b0\v\fs20\cf9\lang1024\langfe1024\loch\af1\hich\af1\dbch\af31501\noproof\langnp1030\insrsid2819533 \hich\af1\dbch\af31501\loch\f1 &lt;DocAmend&gt;}{\rtlch\fcs1 \af0 \ltrch\fcs0 \lang1030\langfe2057\langnp1030\insrsid2819533 &#13;_x000a_[ZPROPOSAL][ZAMACT]}{\rtlch\fcs1 \af0 \ltrch\fcs0 \cs17\b0\v\fs20\cf9\lang1024\langfe1024\loch\af1\hich\af1\dbch\af31501\noproof\langnp1030\insrsid2819533 \hich\af1\dbch\af31501\loch\f1 &lt;/DocAmend&gt;}{\rtlch\fcs1 \af0 \ltrch\fcs0 &#13;_x000a_\lang1030\langfe2057\langnp1030\insrsid2819533 &#13;_x000a_\par }\pard\plain \ltrpar\s18\ql \li0\ri0\nowidctlpar\wrapdefault\aspalpha\aspnum\faauto\adjustright\rin0\lin0\itap0\pararsid6293919 \rtlch\fcs1 \af0\afs20\alang1025 \ltrch\fcs0 \b\fs24\lang2057\langfe2057\cgrid\langnp2057\langfenp2057 {\rtlch\fcs1 \af0 &#13;_x000a_\ltrch\fcs0 \cs17\b0\v\fs20\cf9\lang1024\langfe1024\loch\af1\hich\af1\dbch\af31501\noproof\langnp1030\insrsid2819533 \hich\af1\dbch\af31501\loch\f1 &lt;Article&gt;}{\rtlch\fcs1 \af0 \ltrch\fcs0 \lang1030\langfe2057\langnp1030\insrsid2819533 [ZAMPART]}{&#13;_x000a_\rtlch\fcs1 \af0 \ltrch\fcs0 \cs17\b0\v\fs20\cf9\lang1024\langfe1024\loch\af1\hich\af1\dbch\af31501\noproof\langnp1030\insrsid2819533 \hich\af1\dbch\af31501\loch\f1 &lt;/Article&gt;}{\rtlch\fcs1 \af0 \ltrch\fcs0 \lang1030\langfe2057\langnp1030\insrsid2819533 &#13;_x000a_&#13;_x000a_\par }\pard\plain \ltrpar\ql \li0\ri0\keepn\widctlpar\wrapdefault\aspalpha\aspnum\faauto\adjustright\rin0\lin0\itap0\pararsid6293919 \rtlch\fcs1 \af0\afs20\alang1025 \ltrch\fcs0 \fs24\lang2057\langfe2057\cgrid\langnp2057\langfenp2057 {\rtlch\fcs1 \af0 &#13;_x000a_\ltrch\fcs0 \cs17\v\fs20\cf9\lang1024\langfe1024\loch\af1\hich\af1\dbch\af31501\noproof\langnp1030\insrsid2819533 \hich\af1\dbch\af31501\loch\f1 &lt;DocAmend2&gt;&lt;OptDel&gt;}{\rtlch\fcs1 \af0 \ltrch\fcs0 \lang1030\langfe2057\langnp1030\insrsid2819533 [ZNRACT]}{&#13;_x000a_\rtlch\fcs1 \af0 \ltrch\fcs0 \cs17\v\fs20\cf9\lang1024\langfe1024\loch\af1\hich\af1\dbch\af31501\noproof\langnp1030\insrsid2819533 \hich\af1\dbch\af31501\loch\f1 &lt;/OptDel&gt;&lt;/DocAmend2&gt;}{\rtlch\fcs1 \af0 \ltrch\fcs0 &#13;_x000a_\lang1030\langfe2057\langnp1030\insrsid2819533 &#13;_x000a_\par }\pard \ltrpar\ql \li0\ri0\widctlpar\wrapdefault\aspalpha\aspnum\faauto\adjustright\rin0\lin0\itap0\pararsid6293919 {\rtlch\fcs1 \af0 \ltrch\fcs0 \cs17\v\fs20\cf9\lang1024\langfe1024\loch\af1\hich\af1\dbch\af31501\noproof\langnp1036\insrsid2819533 &#13;_x000a_\hich\af1\dbch\af31501\loch\f1 &lt;Article2&gt;&lt;OptDel&gt;}{\rtlch\fcs1 \af0 \ltrch\fcs0 \lang1036\langfe2057\langnp1036\insrsid2819533 [ZACTPART]}{\rtlch\fcs1 \af0 \ltrch\fcs0 &#13;_x000a_\cs17\v\fs20\cf9\lang1024\langfe1024\loch\af1\hich\af1\dbch\af31501\noproof\langnp1036\insrsid2819533 \hich\af1\dbch\af31501\loch\f1 &lt;/OptDel&gt;&lt;/Article2&gt;}{\rtlch\fcs1 \af0 \ltrch\fcs0 \lang1036\langfe2057\langnp1036\insrsid2819533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lang1036\langfe2057\langnp1036\insrsid2819533 \cell }\pard \ltrpar\ql \li0\ri0\widctlpar\intbl\wrapdefault\aspalpha\aspnum\faauto\adjustright\rin0\lin0 {\rtlch\fcs1 \af0 \ltrch\fcs0 \insrsid2819533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0\qc \li0\ri0\sa240\keepn\nowidctlpar\intbl\wrapdefault\aspalpha\aspnum\faauto\adjustright\rin0\lin0\pararsid11085200 \rtlch\fcs1 \af0\afs20\alang1025 \ltrch\fcs0 \i\fs24\lang2057\langfe2057\cgrid\langnp2057\langfenp2057 {&#13;_x000a_\rtlch\fcs1 \af0 \ltrch\fcs0 \insrsid2819533 [ZLEFT]\cell [ZRIGHT]\cell }\pard\plain \ltrpar\ql \li0\ri0\widctlpar\intbl\wrapdefault\aspalpha\aspnum\faauto\adjustright\rin0\lin0 \rtlch\fcs1 \af0\afs20\alang1025 \ltrch\fcs0 &#13;_x000a_\fs24\lang2057\langfe2057\cgrid\langnp2057\langfenp2057 {\rtlch\fcs1 \af0 \ltrch\fcs0 \insrsid2819533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ltrrow&#13;_x000a_}\pard\plain \ltrpar\s19\ql \li0\ri0\sa120\nowidctlpar\intbl\wrapdefault\aspalpha\aspnum\faauto\adjustright\rin0\lin0\pararsid11085200 \rtlch\fcs1 \af0\afs20\alang1025 \ltrch\fcs0 \fs24\lang2057\langfe2057\cgrid\langnp2057\langfenp2057 {\rtlch\fcs1 \af0 &#13;_x000a_\ltrch\fcs0 \insrsid2819533 [ZTEXTL]\cell [ZTEXTR]\cell }\pard\plain \ltrpar\ql \li0\ri0\widctlpar\intbl\wrapdefault\aspalpha\aspnum\faauto\adjustright\rin0\lin0 \rtlch\fcs1 \af0\afs20\alang1025 \ltrch\fcs0 &#13;_x000a_\fs24\lang2057\langfe2057\cgrid\langnp2057\langfenp2057 {\rtlch\fcs1 \af0 \ltrch\fcs0 \insrsid2819533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3\qc \li0\ri0\sb240\sa240\nowidctlpar\wrapdefault\aspalpha\aspnum\faauto\adjustright\rin0\lin0\itap0\pararsid6293919 \rtlch\fcs1 \af0\afs20\alang1025 \ltrch\fcs0 \i\fs24\lang2057\langfe2057\cgrid\langnp2057\langfenp2057 {&#13;_x000a_\rtlch\fcs1 \af0 \ltrch\fcs0 \cs17\i0\v\fs20\cf9\lang1024\langfe1024\loch\af1\hich\af1\dbch\af31501\noproof\insrsid2819533 \hich\af1\dbch\af31501\loch\f1 &lt;OptDel&gt;}{\rtlch\fcs1 \af0 \ltrch\fcs0 \insrsid2819533 [ZCROSSREF]}{\rtlch\fcs1 \af0 \ltrch\fcs0 &#13;_x000a_\cs17\i0\v\fs20\cf9\lang1024\langfe1024\loch\af1\hich\af1\dbch\af31501\noproof\insrsid2819533 \hich\af1\dbch\af31501\loch\f1 &lt;/OptDel&gt;}{\rtlch\fcs1 \af0 \ltrch\fcs0 \insrsid2819533 &#13;_x000a_\par }\pard\plain \ltrpar\s24\qc \li0\ri0\sb240\sa240\keepn\nowidctlpar\wrapdefault\aspalpha\aspnum\faauto\adjustright\rin0\lin0\itap0\pararsid6293919 \rtlch\fcs1 \af0\afs20\alang1025 \ltrch\fcs0 \i\fs24\lang2057\langfe2057\cgrid\langnp2057\langfenp2057 {&#13;_x000a_\rtlch\fcs1 \af0 \ltrch\fcs0 \cs17\i0\v\fs20\cf9\lang1024\langfe1024\loch\af1\hich\af1\dbch\af31501\noproof\insrsid2819533 \hich\af1\dbch\af31501\loch\f1 &lt;TitreJust&gt;}{\rtlch\fcs1 \af0 \ltrch\fcs0 \insrsid2819533 [ZJUSTIFICATION]}{\rtlch\fcs1 \af0 &#13;_x000a_\ltrch\fcs0 \cs17\i0\v\fs20\cf9\lang1024\langfe1024\loch\af1\hich\af1\dbch\af31501\noproof\insrsid2819533 \hich\af1\dbch\af31501\loch\f1 &lt;/TitreJust&gt;}{\rtlch\fcs1 \af0 \ltrch\fcs0 \insrsid2819533 &#13;_x000a_\par }\pard\plain \ltrpar\s22\ql \li0\ri0\sa240\nowidctlpar\wrapdefault\aspalpha\aspnum\faauto\adjustright\rin0\lin0\itap0\pararsid6293919 \rtlch\fcs1 \af0\afs20\alang1025 \ltrch\fcs0 \i\fs24\lang2057\langfe2057\cgrid\langnp2057\langfenp2057 {\rtlch\fcs1 \af0 &#13;_x000a_\ltrch\fcs0 \cs17\i0\v\fs20\cf9\lang1024\langfe1024\loch\af1\hich\af1\dbch\af31501\noproof\insrsid2819533 \hich\af1\dbch\af31501\loch\f1 &lt;OptDelPrev&gt;}{\rtlch\fcs1 \af0 \ltrch\fcs0 \insrsid2819533 [ZTEXTJUST]}{\rtlch\fcs1 \af0 \ltrch\fcs0 &#13;_x000a_\cs17\i0\v\fs20\cf9\lang1024\langfe1024\loch\af1\hich\af1\dbch\af31501\noproof\insrsid2819533 \hich\af1\dbch\af31501\loch\f1 &lt;/OptDelPrev&gt;}{\rtlch\fcs1 \af0 \ltrch\fcs0 \insrsid2819533 &#13;_x000a_\par }\pard\plain \ltrpar\ql \li0\ri0\widctlpar\wrapdefault\aspalpha\aspnum\faauto\adjustright\rin0\lin0\itap0\pararsid6293919 \rtlch\fcs1 \af0\afs20\alang1025 \ltrch\fcs0 \fs24\lang2057\langfe2057\cgrid\langnp2057\langfenp2057 {\rtlch\fcs1 \af0 \ltrch\fcs0 &#13;_x000a_\cs17\v\fs20\cf9\lang1024\langfe1024\loch\af1\hich\af1\dbch\af31501\noproof\insrsid2819533 \hich\af1\dbch\af31501\loch\f1 &lt;/Amend&gt;}{\rtlch\fcs1 \af0 \ltrch\fcs0 \insrsid2819533\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13&#13;_x000a_c1c3ab0e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Evaluation"/>
    <w:docVar w:name="strSubDir" w:val="1347"/>
    <w:docVar w:name="TEXTRMNU" w:val="2"/>
    <w:docVar w:name="TITLECODMNU" w:val=" 1"/>
    <w:docVar w:name="TITLEMNU" w:val=" 1"/>
    <w:docVar w:name="TVTAMPART" w:val="x"/>
    <w:docVar w:name="TXTAUTHOR" w:val="Anouk Van Brug"/>
    <w:docVar w:name="TXTLANGUE" w:val="ES"/>
    <w:docVar w:name="TXTLANGUEMIN" w:val="es"/>
    <w:docVar w:name="TXTNRC" w:val="2025/0541"/>
    <w:docVar w:name="TXTNRCOM" w:val="(2025)0541"/>
    <w:docVar w:name="TXTNRFIRSTAM" w:val="1"/>
    <w:docVar w:name="TXTNRLASTAM" w:val="4"/>
    <w:docVar w:name="TXTNRPE" w:val="786.987"/>
    <w:docVar w:name="TXTNRPROC" w:val="2025/0541"/>
    <w:docVar w:name="TXTPEorAP" w:val="PE"/>
    <w:docVar w:name="TXTROUTE" w:val="AD\1347132ES.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590BF28-4A55-4850-B256-0C799E6AB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D8432D"/>
    <w:rPr>
      <w:rFonts w:ascii="Arial" w:hAnsi="Arial"/>
      <w:noProof/>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FF549B"/>
    <w:rPr>
      <w:sz w:val="20"/>
    </w:rPr>
  </w:style>
  <w:style w:type="character" w:customStyle="1" w:styleId="FootnoteTextChar">
    <w:name w:val="Footnote Text Char"/>
    <w:basedOn w:val="DefaultParagraphFont"/>
    <w:link w:val="FootnoteText"/>
    <w:rsid w:val="00FF549B"/>
  </w:style>
  <w:style w:type="character" w:styleId="FootnoteReference">
    <w:name w:val="footnote reference"/>
    <w:basedOn w:val="DefaultParagraphFont"/>
    <w:rsid w:val="00FF549B"/>
    <w:rPr>
      <w:vertAlign w:val="superscript"/>
    </w:rPr>
  </w:style>
  <w:style w:type="character" w:styleId="Hyperlink">
    <w:name w:val="Hyperlink"/>
    <w:basedOn w:val="DefaultParagraphFont"/>
    <w:rsid w:val="00FF549B"/>
    <w:rPr>
      <w:color w:val="0563C1" w:themeColor="hyperlink"/>
      <w:u w:val="single"/>
    </w:rPr>
  </w:style>
  <w:style w:type="character" w:customStyle="1" w:styleId="UnresolvedMention">
    <w:name w:val="Unresolved Mention"/>
    <w:basedOn w:val="DefaultParagraphFont"/>
    <w:uiPriority w:val="99"/>
    <w:semiHidden/>
    <w:unhideWhenUsed/>
    <w:rsid w:val="00FF549B"/>
    <w:rPr>
      <w:color w:val="605E5C"/>
      <w:shd w:val="clear" w:color="auto" w:fill="E1DFDD"/>
    </w:rPr>
  </w:style>
  <w:style w:type="paragraph" w:styleId="Footer">
    <w:name w:val="footer"/>
    <w:basedOn w:val="Normal"/>
    <w:link w:val="FooterChar"/>
    <w:semiHidden/>
    <w:rsid w:val="00D12EF4"/>
    <w:pPr>
      <w:tabs>
        <w:tab w:val="center" w:pos="4513"/>
        <w:tab w:val="right" w:pos="9026"/>
      </w:tabs>
    </w:pPr>
  </w:style>
  <w:style w:type="character" w:customStyle="1" w:styleId="FooterChar">
    <w:name w:val="Footer Char"/>
    <w:basedOn w:val="DefaultParagraphFont"/>
    <w:link w:val="Footer"/>
    <w:semiHidden/>
    <w:rsid w:val="00D12EF4"/>
    <w:rPr>
      <w:sz w:val="24"/>
    </w:rPr>
  </w:style>
  <w:style w:type="paragraph" w:styleId="Revision">
    <w:name w:val="Revision"/>
    <w:hidden/>
    <w:uiPriority w:val="99"/>
    <w:semiHidden/>
    <w:rsid w:val="00A22DA2"/>
    <w:rPr>
      <w:sz w:val="24"/>
    </w:rPr>
  </w:style>
  <w:style w:type="paragraph" w:customStyle="1" w:styleId="RollCallSymbols14pt">
    <w:name w:val="RollCallSymbols14pt"/>
    <w:basedOn w:val="Normal"/>
    <w:rsid w:val="007204C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204C4"/>
    <w:pPr>
      <w:tabs>
        <w:tab w:val="center" w:pos="284"/>
        <w:tab w:val="left" w:pos="426"/>
      </w:tabs>
    </w:pPr>
    <w:rPr>
      <w:snapToGrid w:val="0"/>
      <w:lang w:eastAsia="en-US"/>
    </w:rPr>
  </w:style>
  <w:style w:type="paragraph" w:customStyle="1" w:styleId="RollCallVotes">
    <w:name w:val="RollCallVotes"/>
    <w:basedOn w:val="Normal"/>
    <w:rsid w:val="007204C4"/>
    <w:pPr>
      <w:spacing w:before="120" w:after="120"/>
      <w:jc w:val="center"/>
    </w:pPr>
    <w:rPr>
      <w:b/>
      <w:bCs/>
      <w:snapToGrid w:val="0"/>
      <w:sz w:val="16"/>
      <w:lang w:eastAsia="en-US"/>
    </w:rPr>
  </w:style>
  <w:style w:type="paragraph" w:customStyle="1" w:styleId="RollCallTable">
    <w:name w:val="RollCallTable"/>
    <w:basedOn w:val="Normal"/>
    <w:rsid w:val="007204C4"/>
    <w:pPr>
      <w:spacing w:before="120" w:after="120"/>
    </w:pPr>
    <w:rPr>
      <w:snapToGrid w:val="0"/>
      <w:sz w:val="16"/>
      <w:lang w:eastAsia="en-US"/>
    </w:rPr>
  </w:style>
  <w:style w:type="character" w:styleId="CommentReference">
    <w:name w:val="annotation reference"/>
    <w:basedOn w:val="DefaultParagraphFont"/>
    <w:rsid w:val="00F25815"/>
    <w:rPr>
      <w:sz w:val="16"/>
      <w:szCs w:val="16"/>
    </w:rPr>
  </w:style>
  <w:style w:type="paragraph" w:styleId="CommentText">
    <w:name w:val="annotation text"/>
    <w:basedOn w:val="Normal"/>
    <w:link w:val="CommentTextChar"/>
    <w:rsid w:val="00F25815"/>
    <w:rPr>
      <w:sz w:val="20"/>
    </w:rPr>
  </w:style>
  <w:style w:type="character" w:customStyle="1" w:styleId="CommentTextChar">
    <w:name w:val="Comment Text Char"/>
    <w:basedOn w:val="DefaultParagraphFont"/>
    <w:link w:val="CommentText"/>
    <w:rsid w:val="00F25815"/>
  </w:style>
  <w:style w:type="paragraph" w:styleId="CommentSubject">
    <w:name w:val="annotation subject"/>
    <w:basedOn w:val="CommentText"/>
    <w:next w:val="CommentText"/>
    <w:link w:val="CommentSubjectChar"/>
    <w:semiHidden/>
    <w:unhideWhenUsed/>
    <w:rsid w:val="00F25815"/>
    <w:rPr>
      <w:b/>
      <w:bCs/>
    </w:rPr>
  </w:style>
  <w:style w:type="character" w:customStyle="1" w:styleId="CommentSubjectChar">
    <w:name w:val="Comment Subject Char"/>
    <w:basedOn w:val="CommentTextChar"/>
    <w:link w:val="CommentSubject"/>
    <w:semiHidden/>
    <w:rsid w:val="00F258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4/2509/oj" TargetMode="External" /><Relationship Id="rId2"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E8A9A0-0100-482E-8A7E-5B3F02B6B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4027</Words>
  <Characters>22031</Characters>
  <Application>Microsoft Office Word</Application>
  <DocSecurity>0</DocSecurity>
  <Lines>564</Lines>
  <Paragraphs>183</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25875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2026-07-22T12:33:00Z</cp:lastPrinted>
  <dcterms:created xsi:type="dcterms:W3CDTF">2026-08-17T09:14:00Z</dcterms:created>
  <dcterms:modified xsi:type="dcterms:W3CDTF">2026-08-17T09:14:00Z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1347132</vt:lpwstr>
  </property>
  <property fmtid="{D5CDD505-2E9C-101B-9397-08002B2CF9AE}" pid="4" name="&lt;Model&gt;">
    <vt:lpwstr>PA_LegEvaluation</vt:lpwstr>
  </property>
  <property fmtid="{D5CDD505-2E9C-101B-9397-08002B2CF9AE}" pid="5" name="&lt;ModelCod&gt;">
    <vt:lpwstr>\\eiciBRUpr1\pdocep$\DocEP\DOCS\General\PA\PA_Leg\PA_LegEvaluation.dotx(18/03/2025 13:35:01)</vt:lpwstr>
  </property>
  <property fmtid="{D5CDD505-2E9C-101B-9397-08002B2CF9AE}" pid="6" name="&lt;ModelTra&gt;">
    <vt:lpwstr>\\eiciBRUpr1\pdocep$\DocEP\TRANSFIL\EN\PA_LegEvaluation.EN(03/03/2026 11:04:10)</vt:lpwstr>
  </property>
  <property fmtid="{D5CDD505-2E9C-101B-9397-08002B2CF9AE}" pid="7" name="&lt;Type&gt;">
    <vt:lpwstr>AD</vt:lpwstr>
  </property>
  <property fmtid="{D5CDD505-2E9C-101B-9397-08002B2CF9AE}" pid="8" name="Bookout">
    <vt:lpwstr>OK - 2026/08/17 11:14</vt:lpwstr>
  </property>
  <property fmtid="{D5CDD505-2E9C-101B-9397-08002B2CF9AE}" pid="9" name="Created with">
    <vt:lpwstr>10.2.1 Build [20260301]</vt:lpwstr>
  </property>
  <property fmtid="{D5CDD505-2E9C-101B-9397-08002B2CF9AE}" pid="10" name="FooterPath">
    <vt:lpwstr>AD\1347132ES.docx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786.987</vt:lpwstr>
  </property>
  <property fmtid="{D5CDD505-2E9C-101B-9397-08002B2CF9AE}" pid="14" name="RegistreCheck">
    <vt:lpwstr>OK</vt:lpwstr>
  </property>
  <property fmtid="{D5CDD505-2E9C-101B-9397-08002B2CF9AE}" pid="15" name="SendToEpades">
    <vt:lpwstr>OK - 2026/07/16 13:04</vt:lpwstr>
  </property>
</Properties>
</file>