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AD7DF70"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C20A52" w:rsidP="00C85D0F" w14:paraId="092328A8" w14:textId="77777777">
            <w:pPr>
              <w:pStyle w:val="EPName"/>
            </w:pPr>
            <w:r>
              <w:t>Parlamento Europeu</w:t>
            </w:r>
          </w:p>
          <w:p w:rsidR="00854CAC" w:rsidRPr="00C20A52" w:rsidP="00C85D0F" w14:paraId="24DB6151" w14:textId="01B71BE9">
            <w:pPr>
              <w:pStyle w:val="EPTerm"/>
            </w:pPr>
            <w:r>
              <w:t>2024</w:t>
            </w:r>
            <w:r>
              <w:noBreakHyphen/>
            </w:r>
            <w:r>
              <w:t>2029</w:t>
            </w:r>
          </w:p>
        </w:tc>
        <w:tc>
          <w:tcPr>
            <w:tcW w:w="2268" w:type="dxa"/>
            <w:shd w:val="clear" w:color="auto" w:fill="auto"/>
          </w:tcPr>
          <w:p w:rsidR="00854CAC" w:rsidRPr="00C20A52" w:rsidP="00C85D0F" w14:paraId="0F312151" w14:textId="77777777">
            <w:pPr>
              <w:pStyle w:val="EPLogo"/>
            </w:pPr>
            <w:r w:rsidRPr="00C20A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69584"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20A52" w:rsidP="001746D0" w14:paraId="76A3C2AC" w14:textId="77777777">
      <w:pPr>
        <w:pStyle w:val="LineTop"/>
      </w:pPr>
    </w:p>
    <w:p w:rsidR="001746D0" w:rsidRPr="00C20A52" w:rsidP="001746D0" w14:paraId="03702B69" w14:textId="77777777">
      <w:pPr>
        <w:pStyle w:val="EPBody"/>
      </w:pPr>
      <w:r>
        <w:rPr>
          <w:rStyle w:val="HideTWBExt"/>
        </w:rPr>
        <w:t>&lt;</w:t>
      </w:r>
      <w:r>
        <w:rPr>
          <w:rStyle w:val="HideTWBExt"/>
          <w:i w:val="0"/>
        </w:rPr>
        <w:t>Commission</w:t>
      </w:r>
      <w:r>
        <w:rPr>
          <w:rStyle w:val="HideTWBExt"/>
        </w:rPr>
        <w:t>&gt;</w:t>
      </w:r>
      <w:r>
        <w:rPr>
          <w:rStyle w:val="HideTWBInt"/>
          <w:i w:val="0"/>
          <w:color w:val="auto"/>
        </w:rPr>
        <w:t>{BUDG}</w:t>
      </w:r>
      <w:r>
        <w:t>Comissão dos Orçamentos</w:t>
      </w:r>
      <w:r>
        <w:rPr>
          <w:rStyle w:val="HideTWBExt"/>
        </w:rPr>
        <w:t>&lt;/</w:t>
      </w:r>
      <w:r>
        <w:rPr>
          <w:rStyle w:val="HideTWBExt"/>
          <w:i w:val="0"/>
        </w:rPr>
        <w:t>Commission</w:t>
      </w:r>
      <w:r>
        <w:rPr>
          <w:rStyle w:val="HideTWBExt"/>
        </w:rPr>
        <w:t>&gt;</w:t>
      </w:r>
    </w:p>
    <w:p w:rsidR="001746D0" w:rsidRPr="00C20A52" w:rsidP="001746D0" w14:paraId="013E166B" w14:textId="77777777">
      <w:pPr>
        <w:pStyle w:val="LineBottom"/>
      </w:pPr>
    </w:p>
    <w:p w:rsidR="002E2F2E" w:rsidRPr="00C20A52" w14:paraId="45EEADFC" w14:textId="77777777">
      <w:pPr>
        <w:pStyle w:val="CoverReference"/>
      </w:pPr>
      <w:r>
        <w:rPr>
          <w:rStyle w:val="HideTWBExt"/>
          <w:b w:val="0"/>
        </w:rPr>
        <w:t>&lt;RefProc&gt;</w:t>
      </w:r>
      <w:r>
        <w:t>2025/0540</w:t>
      </w:r>
      <w:r>
        <w:rPr>
          <w:rStyle w:val="HideTWBExt"/>
          <w:b w:val="0"/>
        </w:rPr>
        <w:t>&lt;/RefProc&gt;&lt;RefTypeProc&gt;</w:t>
      </w:r>
      <w:r>
        <w:t>(COD)</w:t>
      </w:r>
      <w:r>
        <w:rPr>
          <w:rStyle w:val="HideTWBExt"/>
          <w:b w:val="0"/>
        </w:rPr>
        <w:t>&lt;/RefTypeProc&gt;</w:t>
      </w:r>
    </w:p>
    <w:p w:rsidR="002E2F2E" w:rsidRPr="00C20A52" w14:paraId="70956F57" w14:textId="77777777">
      <w:pPr>
        <w:pStyle w:val="CoverDate"/>
      </w:pPr>
      <w:r>
        <w:rPr>
          <w:rStyle w:val="HideTWBExt"/>
        </w:rPr>
        <w:t>&lt;Date&gt;</w:t>
      </w:r>
      <w:r>
        <w:rPr>
          <w:rStyle w:val="HideTWBInt"/>
          <w:color w:val="auto"/>
        </w:rPr>
        <w:t>{16/07/2026}</w:t>
      </w:r>
      <w:r>
        <w:t>16.7.2026</w:t>
      </w:r>
      <w:r>
        <w:rPr>
          <w:rStyle w:val="HideTWBExt"/>
        </w:rPr>
        <w:t>&lt;/Date&gt;</w:t>
      </w:r>
    </w:p>
    <w:p w:rsidR="002E2F2E" w:rsidRPr="00C20A52" w14:paraId="2FDD5D42" w14:textId="77777777">
      <w:pPr>
        <w:pStyle w:val="CoverDocType24a"/>
      </w:pPr>
      <w:r>
        <w:rPr>
          <w:rStyle w:val="HideTWBExt"/>
          <w:b w:val="0"/>
        </w:rPr>
        <w:t>&lt;TitreType&gt;</w:t>
      </w:r>
      <w:r>
        <w:t>AVALIAÇÃO ORÇAMENTAL</w:t>
      </w:r>
      <w:r>
        <w:rPr>
          <w:rStyle w:val="HideTWBExt"/>
          <w:b w:val="0"/>
        </w:rPr>
        <w:t>&lt;/TitreType&gt;</w:t>
      </w:r>
    </w:p>
    <w:p w:rsidR="002E2F2E" w:rsidRPr="00C20A52" w14:paraId="5A4F822B" w14:textId="77777777">
      <w:pPr>
        <w:pStyle w:val="CoverNormal24a"/>
      </w:pPr>
      <w:r>
        <w:rPr>
          <w:rStyle w:val="HideTWBExt"/>
        </w:rPr>
        <w:t>&lt;CommissionResp&gt;</w:t>
      </w:r>
      <w:r>
        <w:t>da Comissão dos Orçamentos</w:t>
      </w:r>
      <w:r>
        <w:rPr>
          <w:rStyle w:val="HideTWBExt"/>
        </w:rPr>
        <w:t>&lt;/CommissionResp&gt;</w:t>
      </w:r>
    </w:p>
    <w:p w:rsidR="002E2F2E" w:rsidRPr="00C20A52" w14:paraId="3741999E" w14:textId="77777777">
      <w:pPr>
        <w:pStyle w:val="CoverNormal24a"/>
      </w:pPr>
      <w:r>
        <w:rPr>
          <w:rStyle w:val="HideTWBExt"/>
        </w:rPr>
        <w:t>&lt;CommissionInt&gt;</w:t>
      </w:r>
      <w:r>
        <w:t>dirigida à Comissão das Liberdades Cívicas, da Justiça e dos Assuntos Internos</w:t>
      </w:r>
      <w:r>
        <w:rPr>
          <w:rStyle w:val="HideTWBExt"/>
        </w:rPr>
        <w:t>&lt;/CommissionInt&gt;</w:t>
      </w:r>
    </w:p>
    <w:p w:rsidR="002E2F2E" w:rsidRPr="00C20A52" w14:paraId="6AAF0EC0" w14:textId="77777777">
      <w:pPr>
        <w:pStyle w:val="CoverNormal"/>
      </w:pPr>
      <w:r>
        <w:rPr>
          <w:rStyle w:val="HideTWBExt"/>
        </w:rPr>
        <w:t>&lt;Titre&gt;</w:t>
      </w:r>
      <w:r>
        <w:t>sobre a proposta de regulamento do Parlamento Europeu e do Conselho que estabelece o apoio da União ao asilo, à migração e à integração para o período de 2028 a 2034</w:t>
      </w:r>
      <w:r>
        <w:rPr>
          <w:rStyle w:val="HideTWBExt"/>
        </w:rPr>
        <w:t>&lt;/Titre&gt;</w:t>
      </w:r>
    </w:p>
    <w:p w:rsidR="002E2F2E" w:rsidRPr="00C20A52" w14:paraId="58D5B91C" w14:textId="3651D4CB">
      <w:pPr>
        <w:pStyle w:val="CoverNormal24a"/>
      </w:pPr>
      <w:r>
        <w:rPr>
          <w:rStyle w:val="HideTWBExt"/>
        </w:rPr>
        <w:t>&lt;DocRef&gt;</w:t>
      </w:r>
      <w:r>
        <w:t>(COM(2025)0540 – C10</w:t>
      </w:r>
      <w:r>
        <w:noBreakHyphen/>
      </w:r>
      <w:r>
        <w:t>0177/2025 – 2025/0540(COD))</w:t>
      </w:r>
      <w:r>
        <w:rPr>
          <w:rStyle w:val="HideTWBExt"/>
        </w:rPr>
        <w:t>&lt;/DocRef&gt;</w:t>
      </w:r>
    </w:p>
    <w:p w:rsidR="00A72C35" w:rsidRPr="00C20A52" w:rsidP="00FC42F1" w14:paraId="1A2B4D74" w14:textId="77777777">
      <w:pPr>
        <w:pStyle w:val="CoverNormal24a"/>
      </w:pPr>
      <w:r>
        <w:t xml:space="preserve">Relator da avaliação orçamental: </w:t>
      </w:r>
      <w:r>
        <w:rPr>
          <w:rStyle w:val="HideTWBExt"/>
        </w:rPr>
        <w:t>&lt;Depute&gt;</w:t>
      </w:r>
      <w:r>
        <w:t>Matjaž Nemec</w:t>
      </w:r>
      <w:r>
        <w:rPr>
          <w:rStyle w:val="HideTWBExt"/>
        </w:rPr>
        <w:t>&lt;/Depute&gt;</w:t>
      </w:r>
    </w:p>
    <w:p w:rsidR="002E2F2E" w:rsidRPr="00C20A52" w:rsidP="00E856D2" w14:paraId="0A470C4C" w14:textId="77777777">
      <w:pPr>
        <w:widowControl/>
        <w:tabs>
          <w:tab w:val="center" w:pos="4677"/>
        </w:tabs>
      </w:pPr>
      <w:r>
        <w:br w:type="page"/>
      </w:r>
      <w:r>
        <w:t>PA_LegEvaluation</w:t>
      </w:r>
    </w:p>
    <w:p w:rsidR="002E2F2E" w:rsidRPr="00C20A52" w:rsidP="00757C4C" w14:paraId="62AF7914" w14:textId="77777777">
      <w:pPr>
        <w:pStyle w:val="PageHeadingNotTOC"/>
      </w:pPr>
      <w:r>
        <w:br w:type="page"/>
      </w:r>
      <w:r>
        <w:t>AVALIAÇÃO ORÇAMENTAL</w:t>
      </w:r>
    </w:p>
    <w:p w:rsidR="00757C4C" w:rsidRPr="00C20A52" w:rsidP="00757C4C" w14:paraId="00C4DA52" w14:textId="77777777">
      <w:pPr>
        <w:pStyle w:val="NormalBold"/>
      </w:pPr>
      <w:r>
        <w:t>dirigida à Comissão das Liberdades Cívicas, da Justiça e dos Assuntos Internos sobre a proposta de regulamento do Parlamento Europeu e do Conselho que estabelece o apoio da União ao asilo, à migração e à integração para o período de 2028 a 2034</w:t>
      </w:r>
    </w:p>
    <w:p w:rsidR="00006F54" w:rsidRPr="00C20A52" w:rsidP="00006F54" w14:paraId="1AF83E67" w14:textId="2307C3B7">
      <w:pPr>
        <w:pStyle w:val="NormalBold"/>
      </w:pPr>
      <w:r>
        <w:t>(COM(2025)0540 – C10</w:t>
      </w:r>
      <w:r>
        <w:noBreakHyphen/>
      </w:r>
      <w:r>
        <w:t>0177/2025 – 2025/0540(COD))</w:t>
      </w:r>
    </w:p>
    <w:p w:rsidR="00AE79AF" w:rsidRPr="00C20A52" w:rsidP="00006F54" w14:paraId="407EBB41" w14:textId="77777777">
      <w:pPr>
        <w:pStyle w:val="Normal12a"/>
        <w:spacing w:before="480"/>
      </w:pPr>
      <w:r>
        <w:rPr>
          <w:rStyle w:val="HideTWBExt"/>
        </w:rPr>
        <w:t>&lt;Intro&gt;</w:t>
      </w:r>
      <w:r>
        <w:t>Nos termos do artigo 58.º do Regimento, a Comissão dos Orçamentos procedeu a uma avaliação da proposta e concluiu o seguinte:</w:t>
      </w:r>
      <w:r>
        <w:rPr>
          <w:rStyle w:val="HideTWBExt"/>
        </w:rPr>
        <w:t>&lt;/Intro&gt;</w:t>
      </w:r>
    </w:p>
    <w:p w:rsidR="00CE6558" w:rsidRPr="00C20A52" w:rsidP="00CE6558" w14:paraId="58E276AE" w14:textId="77777777">
      <w:pPr>
        <w:pStyle w:val="EPComma"/>
      </w:pPr>
      <w:r>
        <w:rPr>
          <w:i/>
        </w:rPr>
        <w:t>A Comissão dos Orçamentos</w:t>
      </w:r>
      <w:r>
        <w:t>,</w:t>
      </w:r>
    </w:p>
    <w:p w:rsidR="00BA03E1" w:rsidRPr="00FA44DD" w:rsidP="00BA03E1" w14:paraId="02EFCD14" w14:textId="77777777">
      <w:pPr>
        <w:pStyle w:val="NormalHanging12a"/>
        <w:rPr>
          <w:bCs/>
          <w:iCs/>
          <w:szCs w:val="24"/>
        </w:rPr>
      </w:pPr>
      <w:r>
        <w:t>A.</w:t>
      </w:r>
      <w:r>
        <w:tab/>
      </w:r>
      <w:r>
        <w:t>Considerando que a proposta de regulamento que estabelece o apoio da União ao asilo, à migração e à integração para o período de 2028 a 2034, juntamente com a proposta de regulamento que estabelece o apoio da União ao espaço Schengen, à gestão europeia integrada das fronteiras e à política comum de vistos para o período de 2028 a 2034</w:t>
      </w:r>
      <w:r>
        <w:rPr>
          <w:rStyle w:val="FootnoteReference"/>
          <w:bCs/>
          <w:iCs/>
          <w:szCs w:val="24"/>
        </w:rPr>
        <w:footnoteReference w:id="2"/>
      </w:r>
      <w:r>
        <w:t xml:space="preserve"> e a proposta de regulamento que estabelece o apoio da União à segurança interna para o período de 2028 a 2034</w:t>
      </w:r>
      <w:r>
        <w:rPr>
          <w:rStyle w:val="FootnoteReference"/>
          <w:bCs/>
          <w:iCs/>
          <w:szCs w:val="24"/>
        </w:rPr>
        <w:footnoteReference w:id="3"/>
      </w:r>
      <w:r>
        <w:t xml:space="preserve"> (em conjunto, os «regulamentos relativos aos assuntos internos») estabelecem o quadro jurídico específico para a ação da União nos domínios da gestão da migração e do asilo, da gestão das fronteiras externas da UE, do espaço Schengen, da política europeia de vistos e da segurança interna; que o financiamento para a proposta de regulamento seria retirada da proposta de regulamento que cria um Fundo Europeu para a coesão económica, territorial e social, a agricultura e o meio rural, as pescas e o setor marít</w:t>
      </w:r>
      <w:r>
        <w:t>imo, a prosperidade e a segurança para o período de 2028 a 2034</w:t>
      </w:r>
      <w:r>
        <w:rPr>
          <w:rStyle w:val="FootnoteReference"/>
          <w:bCs/>
          <w:iCs/>
          <w:szCs w:val="24"/>
        </w:rPr>
        <w:footnoteReference w:id="4"/>
      </w:r>
      <w:r>
        <w:t xml:space="preserve"> («Regulamento PNR»);</w:t>
      </w:r>
    </w:p>
    <w:p w:rsidR="00BA03E1" w:rsidRPr="00FA44DD" w:rsidP="00BA03E1" w14:paraId="449B1FE7" w14:textId="77777777">
      <w:pPr>
        <w:pStyle w:val="NormalHanging12a"/>
        <w:rPr>
          <w:bCs/>
          <w:iCs/>
          <w:szCs w:val="24"/>
        </w:rPr>
      </w:pPr>
      <w:r>
        <w:t>B.</w:t>
      </w:r>
      <w:r>
        <w:tab/>
        <w:t>Considerando que a proposta prevê um enquadramento financeiro indicativo de cerca de 11,98 mil milhões de EUR a preços correntes para o apoio da União ao asilo, à migração e à integração, em comparação com cerca de 10,94 mil milhões de EUR no período de programação de 2021 a 2027, o que corresponde a um aumento de cerca de mil milhões de EUR a preços correntes e a uma ligeira diminuição de cerca de 0,4 mil milhões de EUR a preços constantes; que, em conformidade com o relatório provisório sobre o próximo q</w:t>
      </w:r>
      <w:r>
        <w:t xml:space="preserve">uadro financeiro plurianual (QFP) para o período de 2028 a 2034, será necessário um novo aumento; que a Comissão propôs uma mudança significativa nas prioridades orçamentais no âmbito dos fundos para os assuntos internos, com aumentos substanciais de 115 % e 88 %, a preços constantes, atribuídos aos programas sucessores do Fundo de Gestão Integrada das Fronteiras e do Fundo para a Segurança Interna, respetivamente; que as conclusões do parecer do Comité Económico e Social Europeu sobre os três regulamentos </w:t>
      </w:r>
      <w:r>
        <w:t>relativos aos assuntos internos recordaram a reorientação estrutural das prioridades; que a adequação da dotação financeira deve ser avaliada à luz da evolução dos desafios políticos e da necessidade de assegurar a consecução efetiva dos objetivos do programa;</w:t>
      </w:r>
    </w:p>
    <w:p w:rsidR="00BA03E1" w:rsidRPr="00FA44DD" w:rsidP="00BA03E1" w14:paraId="0E23BE22" w14:textId="77777777">
      <w:pPr>
        <w:pStyle w:val="NormalHanging12a"/>
        <w:rPr>
          <w:szCs w:val="24"/>
        </w:rPr>
      </w:pPr>
      <w:r>
        <w:t>C.</w:t>
      </w:r>
      <w:r>
        <w:tab/>
        <w:t>Considerando que, em consonância com o Parecer 09/2026 do Tribunal de Contas Europeu, no atual período de programação está previsto um certo nível de flexibilidade através do instrumento temático;</w:t>
      </w:r>
    </w:p>
    <w:p w:rsidR="00BA03E1" w:rsidRPr="00FA44DD" w:rsidP="00BA03E1" w14:paraId="0C41E756" w14:textId="2B25305C">
      <w:pPr>
        <w:pStyle w:val="NormalHanging12a"/>
      </w:pPr>
      <w:r>
        <w:t>D.</w:t>
      </w:r>
      <w:r>
        <w:tab/>
        <w:t>Considerando que, em conformidade com o artigo 10.º, n.º 2, alínea a), subalínea iii), da proposta de regulamento PNR, o enquadramento financeiro para as três propostas de regulamentos relativos aos assuntos internos, no montante de 34,2 mil milhões de EUR, constitui um mínimo circunscrito para fins específicos; que, nos termos do artigo 11.º, n.º 3, do referido regulamento, os Estados</w:t>
      </w:r>
      <w:r>
        <w:noBreakHyphen/>
      </w:r>
      <w:r>
        <w:t>Membros podem reafetar parte dos montantes indicativos estabelecidos em cada um dos três regulamentos à realização dos seus objetivos, desde que todos os objetivos sejam visados de forma proporcionada;</w:t>
      </w:r>
    </w:p>
    <w:p w:rsidR="00BA03E1" w:rsidRPr="00FA44DD" w:rsidP="00BA03E1" w14:paraId="57547E92" w14:textId="77777777">
      <w:pPr>
        <w:pStyle w:val="NormalHanging12a"/>
      </w:pPr>
      <w:r>
        <w:t>E.</w:t>
      </w:r>
      <w:r>
        <w:tab/>
        <w:t>Considerando que a proposta de regulamento PNR prevê apenas duas rubricas orçamentais que fundem os regulamentos relativos aos assuntos internos — uma para as despesas operacionais ao abrigo dos planos de parceria nacional e regional e outra ao abrigo do Mecanismo UE —, em comparação com o período de programação de 2021 a 2027, em que o Fundo para o Asilo, a Migração e a Integração beneficiava de várias rubricas orçamentais;</w:t>
      </w:r>
    </w:p>
    <w:p w:rsidR="00BA03E1" w:rsidRPr="00FA44DD" w:rsidP="00BA03E1" w14:paraId="5F8886F2" w14:textId="77777777">
      <w:pPr>
        <w:pStyle w:val="NormalHanging12a"/>
      </w:pPr>
      <w:r>
        <w:t>F.</w:t>
      </w:r>
      <w:r>
        <w:tab/>
        <w:t>Considerando que a proposta de regulamento PNR cria o Mecanismo UE, que estabelece um montante indicativo de 25,2 mil milhões de EUR disponível para medidas relacionadas com os objetivos no domínio dos assuntos internos;</w:t>
      </w:r>
    </w:p>
    <w:p w:rsidR="00BA03E1" w:rsidRPr="00FA44DD" w:rsidP="00BA03E1" w14:paraId="13ADDEF0" w14:textId="6CC3F06C">
      <w:pPr>
        <w:pStyle w:val="NormalHanging12a"/>
        <w:ind w:left="570" w:hanging="570"/>
        <w:rPr>
          <w:szCs w:val="24"/>
        </w:rPr>
      </w:pPr>
      <w:r>
        <w:t>G.</w:t>
      </w:r>
      <w:r>
        <w:tab/>
        <w:t>Considerando que a proposta visa dar resposta aos desafios enfrentados pela UE e pelos seus Estados</w:t>
      </w:r>
      <w:r>
        <w:noBreakHyphen/>
      </w:r>
      <w:r>
        <w:t>Membros, em particular os Estados</w:t>
      </w:r>
      <w:r>
        <w:noBreakHyphen/>
      </w:r>
      <w:r>
        <w:t>Membros da linha da frente, prestando o apoio da União necessário para alcançar os objetivos da abordagem abrangente à migração e ao asilo;</w:t>
      </w:r>
    </w:p>
    <w:p w:rsidR="00BA03E1" w:rsidRPr="00FA44DD" w:rsidP="00BA03E1" w14:paraId="104E5BAE" w14:textId="77777777">
      <w:pPr>
        <w:pStyle w:val="NormalHanging12a"/>
      </w:pPr>
      <w:r>
        <w:t>1.</w:t>
      </w:r>
      <w:r>
        <w:tab/>
        <w:t>Insiste em que o enquadramento financeiro do programa seja aumentado de 11 975 428 500 EUR, a preços correntes, para 13 313 341 000 EUR, a preços correntes, e para 11 900 000 000 EUR, a preços de 2025, a fim de alcançar os seus objetivos;</w:t>
      </w:r>
    </w:p>
    <w:p w:rsidR="00BA03E1" w:rsidRPr="00FA44DD" w:rsidP="00BA03E1" w14:paraId="291FE86C" w14:textId="77777777">
      <w:pPr>
        <w:pStyle w:val="NormalHanging12a"/>
        <w:rPr>
          <w:bCs/>
          <w:iCs/>
          <w:szCs w:val="24"/>
        </w:rPr>
      </w:pPr>
      <w:r>
        <w:t>2.</w:t>
      </w:r>
      <w:r>
        <w:tab/>
        <w:t>Toma nota de que, de acordo com a proposta de regulamento PNR, o enquadramento financeiro para as três propostas de regulamentos relativos aos assuntos internos constitui um mínimo circunscrito para fins específicos; considera, no entanto, que cada um dos três regulamentos relativos aos assuntos internos deve ter um enquadramento financeiro próprio para melhor refletir as suas prioridades e os seus objetivos específicos;</w:t>
      </w:r>
    </w:p>
    <w:p w:rsidR="00BA03E1" w:rsidRPr="00FA44DD" w:rsidP="00BA03E1" w14:paraId="48243247" w14:textId="63CDEAA4">
      <w:pPr>
        <w:pStyle w:val="NormalHanging12a"/>
        <w:rPr>
          <w:bCs/>
          <w:iCs/>
          <w:szCs w:val="24"/>
        </w:rPr>
      </w:pPr>
      <w:r>
        <w:t>3.</w:t>
      </w:r>
      <w:r>
        <w:tab/>
        <w:t>Recorda que financiamento adicional global atribuído a ações no domínio dos assuntos internos através do Mecanismo UE será decidido no âmbito do processo orçamental anual, no pleno respeito das prerrogativas da autoridade orçamental; manifesta preocupação pelo facto de a atribuição de financiamento entre os três fundos no domínio dos assuntos internos e entre os Estados</w:t>
      </w:r>
      <w:r>
        <w:noBreakHyphen/>
      </w:r>
      <w:r>
        <w:t>Membros ser determinada exclusivamente pela Comissão através do seu programa de trabalho; considera que tal limita, na prática, o papel do Parlamento à aprovação do valor agregado sem ter qualquer palavra a dizer sobre as prioridades reais em matéria de despesas; solicita critérios de atribuição claros, uma maior transparência e a participação parlamentar ao longo de todo o processo de tomada de decisões;</w:t>
      </w:r>
    </w:p>
    <w:p w:rsidR="00BA03E1" w:rsidRPr="00FA44DD" w:rsidP="00BA03E1" w14:paraId="2FA9ACBA" w14:textId="032915CF">
      <w:pPr>
        <w:pStyle w:val="NormalHanging12a"/>
      </w:pPr>
      <w:r>
        <w:t>4.</w:t>
      </w:r>
      <w:r>
        <w:tab/>
        <w:t>Entende que devem ser disponibilizados recursos suficientes, nomeadamente humanos, técnicos e informáticos, desde o início e ao longo de todo o período de programação do QFP 2028</w:t>
      </w:r>
      <w:r>
        <w:noBreakHyphen/>
      </w:r>
      <w:r>
        <w:t>2034, para garantir a execução eficaz do apoio da União ao asilo, à migração e à integração;</w:t>
      </w:r>
    </w:p>
    <w:p w:rsidR="00BA03E1" w:rsidRPr="00FA44DD" w:rsidP="00BA03E1" w14:paraId="1B543ABB" w14:textId="0F3C1C64">
      <w:pPr>
        <w:pStyle w:val="NormalHanging12a"/>
        <w:rPr>
          <w:szCs w:val="24"/>
        </w:rPr>
      </w:pPr>
      <w:r>
        <w:t>5.</w:t>
      </w:r>
      <w:r>
        <w:tab/>
        <w:t xml:space="preserve">Considera que é necessária uma certa flexibilidade na repartição do financiamento entre os objetivos no domínio dos assuntos internos para assegurar uma resposta oportuna e eficaz aos desafios em evolução e imprevisíveis nos domínios da migração, da gestão das fronteiras e da segurança interna; sublinha, porém, que essa flexibilidade deve ser delimitada de modo a assegurar uma previsibilidade </w:t>
      </w:r>
      <w:r>
        <w:rPr>
          <w:i/>
          <w:iCs/>
        </w:rPr>
        <w:t>ex ante</w:t>
      </w:r>
      <w:r>
        <w:t xml:space="preserve"> suficiente no que diz respeito ao nível de financiamento efetivamente atribuído a cada objetivo, permitindo</w:t>
      </w:r>
      <w:r>
        <w:t xml:space="preserve"> que os beneficiários executem os fundos de forma adequada; entende que a maior flexibilidade prevista na proposta de regulamento PNR, que permite aos Estados</w:t>
      </w:r>
      <w:r>
        <w:noBreakHyphen/>
      </w:r>
      <w:r>
        <w:t>Membros reafetar montantes, aquando da apresentação do seu plano inicial ou durante a execução, entre as três dotações no domínio dos assuntos internos sem necessidade de apresentar uma justificação, comportaria o risco de as reafetações não se basearem em critérios objetivos; salienta, a este respeito, a necessidade de garantir um financiamento estável e suficiente no âmbito do apoio da União ao asilo, à migração e à integração, respeitando plenamente as prerrogativas nacionais dos Estados</w:t>
      </w:r>
      <w:r>
        <w:noBreakHyphen/>
      </w:r>
      <w:r>
        <w:t>Membros e o princípio da subsidiariedade, a fim de permitir que o programa prossiga os seus objetivos;</w:t>
      </w:r>
    </w:p>
    <w:p w:rsidR="00BA03E1" w:rsidRPr="00FA44DD" w:rsidP="00BA03E1" w14:paraId="095DE5A3" w14:textId="77777777">
      <w:pPr>
        <w:pStyle w:val="NormalHanging12a"/>
        <w:rPr>
          <w:u w:val="single"/>
        </w:rPr>
      </w:pPr>
      <w:r>
        <w:t>6.</w:t>
      </w:r>
      <w:r>
        <w:tab/>
        <w:t xml:space="preserve">Manifesta preocupação quanto à ausência de critérios claros, definições e metodologias sobre o </w:t>
      </w:r>
      <w:r>
        <w:t>que a Comissão considera ser um nível adequado ou suficiente de recursos a afetar ao asilo, à migração e à integração, à gestão das fronteiras e à segurança interna para lograr, de forma proporcionada, todos os objetivos no domínio dos assuntos internos, tal como salientou o Tribunal de Contas Europeu no Parecer 09/2026;</w:t>
      </w:r>
    </w:p>
    <w:p w:rsidR="00BA03E1" w:rsidRPr="00FA44DD" w:rsidP="00BA03E1" w14:paraId="723F5F8D" w14:textId="77777777">
      <w:pPr>
        <w:pStyle w:val="NormalHanging12a"/>
        <w:rPr>
          <w:szCs w:val="24"/>
        </w:rPr>
      </w:pPr>
      <w:r>
        <w:t>7.</w:t>
      </w:r>
      <w:r>
        <w:tab/>
        <w:t>Entende que todas as escolhas estratégicas substantivas devem ser determinadas no ato legislativo de base pertinente, no pleno respeito das prerrogativas do Parlamento enquanto colegislador e ramo da autoridade orçamental da UE;</w:t>
      </w:r>
    </w:p>
    <w:p w:rsidR="00BA03E1" w:rsidRPr="00FA44DD" w:rsidP="00BA03E1" w14:paraId="04418D0D" w14:textId="77777777">
      <w:pPr>
        <w:pStyle w:val="NormalHanging12a"/>
      </w:pPr>
      <w:r>
        <w:t>8.</w:t>
      </w:r>
      <w:r>
        <w:tab/>
        <w:t xml:space="preserve">Lamenta a falta de repartição do orçamento atribuído ao apoio da União ao asilo, à migração e à integração; recomenda o estabelecimento de uma dotação mínima para cada objetivo do apoio da União ao abrigo do presente regulamento, a fim de assegurar a transparência, a previsibilidade e o alinhamento estratégico com as prioridades da UE, bem como um equilíbrio adequado entre estas; salienta ainda que uma afetação equilibrada é uma condição essencial para uma orçamentação significativa baseada no desempenho, </w:t>
      </w:r>
      <w:r>
        <w:t>centrada em resultados mensuráveis e na utilização eficiente dos fundos da UE, bem como para a recolha de dados coerentes e a medição dos progressos em todos os objetivos estratégicos;</w:t>
      </w:r>
    </w:p>
    <w:p w:rsidR="00BA03E1" w:rsidRPr="00FA44DD" w:rsidP="00BA03E1" w14:paraId="61CCE3B1" w14:textId="77777777">
      <w:pPr>
        <w:pStyle w:val="NormalHanging12a"/>
      </w:pPr>
      <w:r>
        <w:t>9.</w:t>
      </w:r>
      <w:r>
        <w:tab/>
        <w:t xml:space="preserve">Lamenta a falta de uma nomenclatura orçamental indicativa suficientemente pormenorizada no atinente ao asilo, à migração e à integração proposta na ficha financeira e digital legislativa que acompanha a proposta de regulamento PNR; considera que tal prejudicará o exercício de controlo e a capacidade da autoridade orçamental para definir com precisão as prioridades políticas no âmbito do processo orçamental anual; manifesta preocupação pelo facto de a arquitetura orçamental excessivamente agregada aumentar </w:t>
      </w:r>
      <w:r>
        <w:t>drasticamente a margem de manobra da Comissão na transferência e reafetação de recursos sem uma decisão da autoridade orçamental e limitar severamente o controlo parlamentar; recomenda a utilização de uma nomenclatura que reflita adequadamente os objetivos e a estrutura em matéria de asilo, migração e integração e reforce a transparência, a responsabilização e o controlo parlamentar;</w:t>
      </w:r>
    </w:p>
    <w:p w:rsidR="00BA03E1" w:rsidRPr="00FA44DD" w:rsidP="00BA03E1" w14:paraId="0C47F171" w14:textId="77777777">
      <w:pPr>
        <w:pStyle w:val="NormalHanging12a"/>
        <w:rPr>
          <w:bCs/>
          <w:iCs/>
          <w:szCs w:val="24"/>
        </w:rPr>
      </w:pPr>
      <w:r>
        <w:t>10.</w:t>
      </w:r>
      <w:r>
        <w:tab/>
        <w:t>Recorda que a nomenclatura orçamental deve ser estabelecida em conformidade com o artigo 47.º, n.º 2, do Regulamento Financeiro</w:t>
      </w:r>
      <w:r>
        <w:rPr>
          <w:rStyle w:val="FootnoteReference"/>
          <w:bCs/>
          <w:iCs/>
          <w:szCs w:val="24"/>
        </w:rPr>
        <w:footnoteReference w:id="5"/>
      </w:r>
      <w:r>
        <w:t>, que prevê que cada título deve corresponder a um domínio de intervenção e cada capítulo, como princípio geral, a um programa ou a uma atividade, em conformidade com os princípios da especificação, da boa gestão financeira e da transparência;</w:t>
      </w:r>
      <w:r>
        <w:rPr>
          <w:shd w:val="clear" w:color="auto" w:fill="FFFFFF"/>
        </w:rPr>
        <w:t xml:space="preserve"> recomenda que a Comissão das Liberdades Cívicas, da Justiça e dos Assuntos Internos altere a proposta de modo que passe a incluir um anexo que estabeleça a nomenclatura do programa; insiste em que a nomenclatura orçamental faz parte integrante da posição negocial do P</w:t>
      </w:r>
      <w:r>
        <w:rPr>
          <w:shd w:val="clear" w:color="auto" w:fill="FFFFFF"/>
        </w:rPr>
        <w:t>arlamento e deve ser debatida nas negociações interinstitucionais; considera, a este respeito, que a ficha financeira e digital legislativa revista deve fazer parte do acordo político final;</w:t>
      </w:r>
    </w:p>
    <w:p w:rsidR="00BA03E1" w:rsidRPr="00FA44DD" w:rsidP="00BA03E1" w14:paraId="3F06445B" w14:textId="77777777">
      <w:pPr>
        <w:pStyle w:val="NormalHanging12a"/>
        <w:rPr>
          <w:bCs/>
          <w:iCs/>
          <w:szCs w:val="24"/>
        </w:rPr>
      </w:pPr>
      <w:r>
        <w:t>11.</w:t>
      </w:r>
      <w:r>
        <w:tab/>
        <w:t>Salienta a importância de melhorar a coordenação entre os fundos pertinentes da UE, a fim de evitar sobreposições e maximizar o impacto do financiamento da UE;</w:t>
      </w:r>
    </w:p>
    <w:p w:rsidR="00BA03E1" w:rsidRPr="00FA44DD" w:rsidP="00BA03E1" w14:paraId="6E793BC2" w14:textId="77777777">
      <w:pPr>
        <w:pStyle w:val="NormalHanging12a"/>
      </w:pPr>
      <w:r>
        <w:t>12.</w:t>
      </w:r>
      <w:r>
        <w:tab/>
        <w:t>Salienta que o apoio da União ao asilo, à migração e à integração deve ser reforçado, mantendo e expandindo ao mesmo tempo os fluxos de financiamento direto no âmbito do Mecanismo UE destinados aos órgãos de poder local e regional, com base no modelo do atual instrumento temático do Fundo para o Asilo, a Migração e a Integração, em consonância com a posição do Parlamento expressa no seu relatório provisório e com os objetivos estabelecidos no presente regulamento;</w:t>
      </w:r>
    </w:p>
    <w:p w:rsidR="00BA03E1" w:rsidRPr="00FA44DD" w:rsidP="00BA03E1" w14:paraId="3BF6867A" w14:textId="77777777">
      <w:pPr>
        <w:pStyle w:val="NormalHanging12a"/>
        <w:rPr>
          <w:szCs w:val="24"/>
        </w:rPr>
      </w:pPr>
      <w:r>
        <w:t>13.</w:t>
      </w:r>
      <w:r>
        <w:tab/>
        <w:t>Insiste na importância de respeitar cabalmente as prerrogativas da autoridade orçamental; solicita que seja realizada uma avaliação periódica dos resultados alcançados através do apoio financeiro da UE, a fim de assegurar uma maior eficiência e responsabilização;</w:t>
      </w:r>
    </w:p>
    <w:p w:rsidR="00BA03E1" w:rsidRPr="00FA44DD" w:rsidP="00BA03E1" w14:paraId="7B91B9AD" w14:textId="77777777">
      <w:pPr>
        <w:pStyle w:val="NormalHanging12a"/>
        <w:rPr>
          <w:bCs/>
          <w:iCs/>
          <w:szCs w:val="24"/>
        </w:rPr>
      </w:pPr>
      <w:r>
        <w:t>14.</w:t>
      </w:r>
      <w:r>
        <w:tab/>
        <w:t>Reitera que uma legislação suficientemente pormenorizada e sólida, com um nível adequado de governação, é uma condição necessária para uma tomada de decisão orçamental correta e um controlo parlamentar adequado durante a execução do orçamento; recomenda a introdução de disposições que reforcem o controlo sobre a forma como o orçamento é mobilizado e utilizado; considera que o chamado «mecanismo de orientação» não pode, de forma alguma, substituir os poderes legislativos e orçamentais do Parlamento e não po</w:t>
      </w:r>
      <w:r>
        <w:t>de ser concebido sem uma arquitetura de governação sólida que garanta o exercício eficaz desses poderes;</w:t>
      </w:r>
    </w:p>
    <w:p w:rsidR="00BA03E1" w:rsidRPr="00FA44DD" w:rsidP="00BA03E1" w14:paraId="208D2D5E" w14:textId="77777777">
      <w:pPr>
        <w:pStyle w:val="NormalHanging12a"/>
        <w:rPr>
          <w:bCs/>
          <w:iCs/>
          <w:szCs w:val="24"/>
        </w:rPr>
      </w:pPr>
      <w:r>
        <w:t>15.</w:t>
      </w:r>
      <w:r>
        <w:tab/>
        <w:t>Recorda a proposta de regulamento que estabelece um quadro de acompanhamento das despesas orçamentais e de desempenho, bem como outras regras horizontais aplicáveis aos programas e às atividades da União</w:t>
      </w:r>
      <w:r>
        <w:rPr>
          <w:rStyle w:val="FootnoteReference"/>
          <w:bCs/>
          <w:iCs/>
          <w:szCs w:val="24"/>
        </w:rPr>
        <w:footnoteReference w:id="6"/>
      </w:r>
      <w:r>
        <w:t xml:space="preserve"> (Regulamento Desempenho), que fixa uma lista única e simplificada de indicadores de desempenho e disposições de acompanhamento e avaliação, algumas das quais são pertinentes para o apoio da União ao asilo, à migração e à integração; sublinha que toda e qualquer alteração à arquitetura, aos objetivos e às ações elegíveis ao abrigo do programa terá de ser devidamente tida em conta no anexo I do Regulamento Desempenho, no quadro do processo de alteração e de negociação do referido regulamento; refere que, emb</w:t>
      </w:r>
      <w:r>
        <w:t>ora a legislação setorial possa complementar o Regulamento Desempenho, por exemplo, no que diz respeito às avaliações dos programas, deve continuar a ser coerente com as disposições desse regulamento;</w:t>
      </w:r>
    </w:p>
    <w:p w:rsidR="00BA03E1" w:rsidRPr="00FA44DD" w:rsidP="00BA03E1" w14:paraId="63122B04" w14:textId="75A228AE">
      <w:pPr>
        <w:pStyle w:val="NormalHanging12a"/>
        <w:rPr>
          <w:bCs/>
          <w:iCs/>
          <w:szCs w:val="24"/>
        </w:rPr>
      </w:pPr>
      <w:r>
        <w:t>16.</w:t>
      </w:r>
      <w:r>
        <w:tab/>
        <w:t>Recorda que, nos termos do artigo 6.º, n.º 2, do Regulamento Financeiro, a elaboração e a execução do orçamento devem respeitar um regime geral de condicionalidade em caso de violação do Estado de direito; sublinha ainda que o artigo 6.º, n.º 3, do referido regulamento, estipula que, na execução do orçamento, os Estados</w:t>
      </w:r>
      <w:r>
        <w:noBreakHyphen/>
      </w:r>
      <w:r>
        <w:t>Membros e a Comissão asseguram o cumprimento da Carta dos Direitos Fundamentais da União Europeia e respeitam os valores em que a UE foi fundada, conforme consagrado no artigo 2.º do Tratado da União Europeia;</w:t>
      </w:r>
    </w:p>
    <w:p w:rsidR="00BA03E1" w:rsidRPr="00FA44DD" w:rsidP="00BA03E1" w14:paraId="4B091750" w14:textId="77777777">
      <w:pPr>
        <w:pStyle w:val="NormalHanging12a"/>
        <w:rPr>
          <w:bCs/>
          <w:iCs/>
          <w:szCs w:val="24"/>
        </w:rPr>
      </w:pPr>
      <w:bookmarkStart w:id="0" w:name="_Hlk225946445"/>
      <w:r>
        <w:t>17.</w:t>
      </w:r>
      <w:r>
        <w:tab/>
        <w:t>Toma nota da complementaridade sugerida entre o apoio da União ao asilo, à migração e à integração e outros programas, como o Europa Global; salienta que o reforço da complementaridade entre instrumentos não deve prejudicar a rastreabilidade das despesas ou as prerrogativas da autoridade orçamental; sublinha que deve ser possível identificar explicitamente a contribuição do programa para as operações financiadas em conjunto com outros instrumentos em todas as fases do ciclo orçamental; salienta, a este res</w:t>
      </w:r>
      <w:r>
        <w:t>peito, que toda a contribuição deve ser devidamente refletida na declaração de desempenho do programa; reitera que a autoridade orçamental deve manter controlo total sobre a forma como os recursos são combinados entre instrumentos e sobre a contribuição efetiva de cada programa para as prioridades da UE, especificamente através do uso de nomenclatura orçamental pormenorizada; salienta que o reforço da complementaridade entre programas não deve conduzir a uma complexidade desproporcionada para os beneficiári</w:t>
      </w:r>
      <w:r>
        <w:t>os; solicita que o financiamento da UE seja mais claro, acessível e coerente, a fim de facilitar a aceitação e maximizar o impacto dos investimentos;</w:t>
      </w:r>
    </w:p>
    <w:p w:rsidR="00BA03E1" w:rsidRPr="00FA44DD" w:rsidP="00BA03E1" w14:paraId="36D03041" w14:textId="2E76203A">
      <w:pPr>
        <w:pStyle w:val="NormalHanging12a"/>
      </w:pPr>
      <w:r>
        <w:t>18.</w:t>
      </w:r>
      <w:r>
        <w:tab/>
        <w:t>Realça que é imperioso que a utilização de receitas afetadas externas no âmbito do atual programa da União seja claramente circunscrita e totalmente transparente e sujeita a um controlo parlamentar eficaz; regista, a esse respeito, as disposições relativas às contribuições adicionais de países terceiros participantes para o apoio da União;</w:t>
      </w:r>
      <w:bookmarkEnd w:id="0"/>
      <w:r>
        <w:t xml:space="preserve"> recorda a importância de assegurar a rastreabilidade das receitas afetadas externas; sublinha que, caso a comissão competente pondere alterar as disposições relativas às</w:t>
      </w:r>
      <w:r>
        <w:t xml:space="preserve"> receitas afetadas externas, deve fazê</w:t>
      </w:r>
      <w:r>
        <w:noBreakHyphen/>
      </w:r>
      <w:r>
        <w:t>lo em coordenação com a Comissão dos Orçamentos e as demais comissões, a fim de garantir uma abordagem coerente;</w:t>
      </w:r>
    </w:p>
    <w:p w:rsidR="00BA03E1" w:rsidRPr="00FA44DD" w:rsidP="00BA03E1" w14:paraId="6BD7FF6F" w14:textId="30745125">
      <w:pPr>
        <w:pStyle w:val="NormalHanging12a"/>
      </w:pPr>
      <w:r>
        <w:t>19.</w:t>
      </w:r>
      <w:r>
        <w:tab/>
        <w:t>Preconiza que se definam requisitos coerentes e harmonizados para os Estados</w:t>
      </w:r>
      <w:r>
        <w:noBreakHyphen/>
      </w:r>
      <w:r>
        <w:t>Membros no que diz respeito à prevenção, deteção, comunicação e correção de fraudes desde o início do período de execução;</w:t>
      </w:r>
    </w:p>
    <w:p w:rsidR="00BA03E1" w:rsidRPr="00FA44DD" w:rsidP="00BA03E1" w14:paraId="586F2CA6" w14:textId="77777777">
      <w:pPr>
        <w:pStyle w:val="NormalHanging12a"/>
      </w:pPr>
      <w:r>
        <w:t>20.</w:t>
      </w:r>
      <w:r>
        <w:tab/>
        <w:t xml:space="preserve">Salienta que é primordial aplicar plenamente os quadros sólidos de controlo e auditoria existentes e que devem ser aplicados de forma coerente e </w:t>
      </w:r>
      <w:r>
        <w:t>efetivamente executados a todos os níveis, em particular no que se refere aos países terceiros associados ao programa, para proteger os interesses financeiros da União;</w:t>
      </w:r>
    </w:p>
    <w:p w:rsidR="00CB0758" w:rsidRPr="00C20A52" w:rsidP="00BA03E1" w14:paraId="3C10C8BA" w14:textId="77777777">
      <w:pPr>
        <w:pStyle w:val="NormalHanging12a"/>
      </w:pPr>
      <w:r>
        <w:t>21.</w:t>
      </w:r>
      <w:r>
        <w:tab/>
        <w:t>Insta a comissão competente quanto à matéria de fundo a coordenar as suas alterações de modo que sejam totalmente coerentes com as adotadas relativamente à proposta de regulamento PNR; reitera a necessidade de manter um quadro e regras de execução horizontais para as políticas ao abrigo da proposta de regulamento PNR, a fim de assegurar a coerência e evitar a fragmentação;</w:t>
      </w:r>
    </w:p>
    <w:p w:rsidR="000A5638" w:rsidRPr="00C20A52" w:rsidP="009626A8" w14:paraId="6AF15B0A" w14:textId="77777777">
      <w:pPr>
        <w:pStyle w:val="NormalHanging12a"/>
      </w:pPr>
    </w:p>
    <w:p w:rsidR="00C8553D" w:rsidRPr="00C20A52" w:rsidP="00C8553D" w14:paraId="483E75CF" w14:textId="77777777">
      <w:pPr>
        <w:sectPr w:rsidSect="00BA03E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C20A52" w:rsidP="00FE24DE" w14:paraId="1F3A64B0" w14:textId="77777777">
      <w:pPr>
        <w:pStyle w:val="PageHeadingNotTOC"/>
      </w:pPr>
      <w:r>
        <w:t>ALTERAÇÕES</w:t>
      </w:r>
    </w:p>
    <w:p w:rsidR="00BF0AFC" w:rsidRPr="00C20A52" w:rsidP="00825069" w14:paraId="1E35694A" w14:textId="77777777">
      <w:pPr>
        <w:pStyle w:val="Normal12a"/>
      </w:pPr>
      <w:r>
        <w:t>No âmbito da sua avaliação orçamental, a Comissão dos Orçamentos apresenta igualmente as seguintes alterações à proposta:</w:t>
      </w:r>
    </w:p>
    <w:p w:rsidR="00873BF3" w:rsidRPr="00C20A52" w:rsidP="00873BF3" w14:paraId="0214FBF3" w14:textId="77777777">
      <w:pPr>
        <w:pStyle w:val="AmNumberTabs"/>
        <w:keepNext/>
      </w:pPr>
      <w:r>
        <w:rPr>
          <w:rStyle w:val="HideTWBExt"/>
          <w:b w:val="0"/>
        </w:rPr>
        <w:t>&lt;RepeatBlock-Amend&gt;</w:t>
      </w:r>
      <w:bookmarkStart w:id="1" w:name="restart"/>
      <w:r>
        <w:rPr>
          <w:rStyle w:val="HideTWBExt"/>
          <w:b w:val="0"/>
        </w:rPr>
        <w:t>&lt;Amend&gt;</w:t>
      </w:r>
      <w:r>
        <w:t>Alteração</w:t>
      </w:r>
      <w:r>
        <w:tab/>
      </w:r>
      <w:r>
        <w:tab/>
      </w:r>
      <w:r>
        <w:rPr>
          <w:rStyle w:val="HideTWBExt"/>
          <w:b w:val="0"/>
        </w:rPr>
        <w:t>&lt;NumAm&gt;</w:t>
      </w:r>
      <w:r>
        <w:t>1</w:t>
      </w:r>
      <w:r>
        <w:rPr>
          <w:rStyle w:val="HideTWBExt"/>
          <w:b w:val="0"/>
        </w:rPr>
        <w:t>&lt;/NumAm&gt;</w:t>
      </w:r>
    </w:p>
    <w:p w:rsidR="00873BF3" w:rsidRPr="00C20A52" w:rsidP="00873BF3" w14:paraId="7A12585D" w14:textId="77777777">
      <w:pPr>
        <w:pStyle w:val="NormalBold12b"/>
        <w:keepNext/>
      </w:pPr>
      <w:r>
        <w:rPr>
          <w:rStyle w:val="HideTWBExt"/>
          <w:b w:val="0"/>
        </w:rPr>
        <w:t>&lt;DocAmend&gt;</w:t>
      </w:r>
      <w:r>
        <w:t xml:space="preserve">Proposta de </w:t>
      </w:r>
      <w:r>
        <w:t>regulamento</w:t>
      </w:r>
      <w:r>
        <w:rPr>
          <w:rStyle w:val="HideTWBExt"/>
          <w:b w:val="0"/>
        </w:rPr>
        <w:t>&lt;/DocAmend&gt;</w:t>
      </w:r>
    </w:p>
    <w:bookmarkEnd w:id="1"/>
    <w:p w:rsidR="00BA03E1" w:rsidRPr="00FA44DD" w:rsidP="00BA03E1" w14:paraId="2CD4E5BE" w14:textId="0152FA78">
      <w:pPr>
        <w:pStyle w:val="NormalBold"/>
      </w:pPr>
      <w:r>
        <w:rPr>
          <w:rStyle w:val="HideTWBExt"/>
          <w:b w:val="0"/>
        </w:rPr>
        <w:t>&lt;Article&gt;</w:t>
      </w:r>
      <w:r>
        <w:t>Considerando 11</w:t>
      </w:r>
      <w:r>
        <w:noBreakHyphen/>
      </w:r>
      <w:r>
        <w:t>A (novo)</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6398B18"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FA44DD" w:rsidP="00D81B04" w14:paraId="7E7E8176" w14:textId="77777777">
            <w:pPr>
              <w:keepNext/>
            </w:pPr>
          </w:p>
        </w:tc>
      </w:tr>
      <w:tr w14:paraId="773DC93E"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789A020A" w14:textId="77777777">
            <w:pPr>
              <w:pStyle w:val="AmColumnHeading"/>
              <w:keepNext/>
            </w:pPr>
            <w:r>
              <w:t>Texto da Comissão</w:t>
            </w:r>
          </w:p>
        </w:tc>
        <w:tc>
          <w:tcPr>
            <w:tcW w:w="4876" w:type="dxa"/>
            <w:hideMark/>
          </w:tcPr>
          <w:p w:rsidR="00BA03E1" w:rsidRPr="00FA44DD" w:rsidP="00D81B04" w14:paraId="474D302B" w14:textId="77777777">
            <w:pPr>
              <w:pStyle w:val="AmColumnHeading"/>
              <w:keepNext/>
            </w:pPr>
            <w:r>
              <w:t>Alteração</w:t>
            </w:r>
          </w:p>
        </w:tc>
      </w:tr>
      <w:tr w14:paraId="4DF779F4"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185E57BF" w14:textId="77777777">
            <w:pPr>
              <w:pStyle w:val="Normal6a"/>
            </w:pPr>
          </w:p>
        </w:tc>
        <w:tc>
          <w:tcPr>
            <w:tcW w:w="4876" w:type="dxa"/>
            <w:hideMark/>
          </w:tcPr>
          <w:p w:rsidR="00BA03E1" w:rsidRPr="00FA44DD" w:rsidP="00D81B04" w14:paraId="7658F68D" w14:textId="543DF45A">
            <w:pPr>
              <w:pStyle w:val="Normal6a"/>
            </w:pPr>
            <w:r>
              <w:rPr>
                <w:b/>
                <w:i/>
              </w:rPr>
              <w:t>(11</w:t>
            </w:r>
            <w:r>
              <w:rPr>
                <w:b/>
                <w:i/>
              </w:rPr>
              <w:noBreakHyphen/>
            </w:r>
            <w:r>
              <w:rPr>
                <w:b/>
                <w:i/>
              </w:rPr>
              <w:t>A)</w:t>
            </w:r>
            <w:r>
              <w:rPr>
                <w:b/>
                <w:i/>
              </w:rPr>
              <w:tab/>
              <w:t xml:space="preserve">Importa que a complementaridade entre o apoio da União ao asilo, à migração e à integração e outros instrumentos da União não seja alcançada em </w:t>
            </w:r>
            <w:r>
              <w:rPr>
                <w:b/>
                <w:i/>
              </w:rPr>
              <w:t>detrimento da rastreabilidade das despesas nem das prerrogativas da autoridade orçamental. A contribuição do programa para as ações financiadas em conjunto deve continuar a ser claramente identificável em todas as fases do ciclo orçamental e deve ser devidamente refletida na declaração de desempenho do programa.</w:t>
            </w:r>
          </w:p>
        </w:tc>
      </w:tr>
    </w:tbl>
    <w:p w:rsidR="00BA03E1" w:rsidRPr="00FA44DD" w:rsidP="00BA03E1" w14:paraId="2A0E73DD" w14:textId="77777777">
      <w:r>
        <w:rPr>
          <w:rStyle w:val="HideTWBExt"/>
        </w:rPr>
        <w:t>&lt;/Amend&gt;</w:t>
      </w:r>
    </w:p>
    <w:p w:rsidR="00BA03E1" w:rsidRPr="00FA44DD" w:rsidP="00BA03E1" w14:paraId="077FA02F" w14:textId="77777777">
      <w:pPr>
        <w:pStyle w:val="AmNumberTabs"/>
        <w:keepNext/>
      </w:pPr>
      <w:r>
        <w:rPr>
          <w:rStyle w:val="HideTWBExt"/>
          <w:b w:val="0"/>
        </w:rPr>
        <w:t>&lt;Amend&gt;</w:t>
      </w:r>
      <w:r>
        <w:t>Alteração</w:t>
      </w:r>
      <w:r>
        <w:tab/>
      </w:r>
      <w:r>
        <w:tab/>
      </w:r>
      <w:r>
        <w:rPr>
          <w:rStyle w:val="HideTWBExt"/>
          <w:b w:val="0"/>
        </w:rPr>
        <w:t>&lt;NumAm&gt;</w:t>
      </w:r>
      <w:r>
        <w:t>2</w:t>
      </w:r>
      <w:r>
        <w:rPr>
          <w:rStyle w:val="HideTWBExt"/>
          <w:b w:val="0"/>
        </w:rPr>
        <w:t>&lt;/NumAm&gt;</w:t>
      </w:r>
    </w:p>
    <w:p w:rsidR="00BA03E1" w:rsidRPr="00FA44DD" w:rsidP="00BA03E1" w14:paraId="4630D5B5" w14:textId="77777777">
      <w:pPr>
        <w:pStyle w:val="NormalBold12b"/>
        <w:keepNext/>
      </w:pPr>
      <w:r>
        <w:rPr>
          <w:rStyle w:val="HideTWBExt"/>
          <w:b w:val="0"/>
        </w:rPr>
        <w:t>&lt;DocAmend&gt;</w:t>
      </w:r>
      <w:r>
        <w:t>Proposta de regulamento</w:t>
      </w:r>
      <w:r>
        <w:rPr>
          <w:rStyle w:val="HideTWBExt"/>
          <w:b w:val="0"/>
        </w:rPr>
        <w:t>&lt;/DocAmend&gt;</w:t>
      </w:r>
    </w:p>
    <w:p w:rsidR="00BA03E1" w:rsidRPr="00FA44DD" w:rsidP="00BA03E1" w14:paraId="5A836827" w14:textId="4B503F28">
      <w:pPr>
        <w:pStyle w:val="NormalBold"/>
      </w:pPr>
      <w:r>
        <w:rPr>
          <w:rStyle w:val="HideTWBExt"/>
          <w:b w:val="0"/>
        </w:rPr>
        <w:t>&lt;Article&gt;</w:t>
      </w:r>
      <w:r>
        <w:t>Considerando 17</w:t>
      </w:r>
      <w:r>
        <w:noBreakHyphen/>
      </w:r>
      <w:r>
        <w:t>A (novo)</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809C46D"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FA44DD" w:rsidP="00D81B04" w14:paraId="7E3F937B" w14:textId="77777777">
            <w:pPr>
              <w:keepNext/>
            </w:pPr>
          </w:p>
        </w:tc>
      </w:tr>
      <w:tr w14:paraId="57A89592"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59C1756B" w14:textId="77777777">
            <w:pPr>
              <w:pStyle w:val="AmColumnHeading"/>
              <w:keepNext/>
            </w:pPr>
            <w:r>
              <w:t>Texto da Comissão</w:t>
            </w:r>
          </w:p>
        </w:tc>
        <w:tc>
          <w:tcPr>
            <w:tcW w:w="4876" w:type="dxa"/>
            <w:hideMark/>
          </w:tcPr>
          <w:p w:rsidR="00BA03E1" w:rsidRPr="00FA44DD" w:rsidP="00D81B04" w14:paraId="6DC27252" w14:textId="77777777">
            <w:pPr>
              <w:pStyle w:val="AmColumnHeading"/>
              <w:keepNext/>
            </w:pPr>
            <w:r>
              <w:t>Alteração</w:t>
            </w:r>
          </w:p>
        </w:tc>
      </w:tr>
      <w:tr w14:paraId="4EB06721"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797EDD86" w14:textId="77777777">
            <w:pPr>
              <w:pStyle w:val="Normal6a"/>
            </w:pPr>
          </w:p>
        </w:tc>
        <w:tc>
          <w:tcPr>
            <w:tcW w:w="4876" w:type="dxa"/>
            <w:hideMark/>
          </w:tcPr>
          <w:p w:rsidR="00BA03E1" w:rsidRPr="00FA44DD" w:rsidP="00D81B04" w14:paraId="13055591" w14:textId="1D48EB8B">
            <w:pPr>
              <w:pStyle w:val="Normal6a"/>
            </w:pPr>
            <w:r>
              <w:rPr>
                <w:b/>
                <w:i/>
              </w:rPr>
              <w:t>(17</w:t>
            </w:r>
            <w:r>
              <w:rPr>
                <w:b/>
                <w:i/>
              </w:rPr>
              <w:noBreakHyphen/>
            </w:r>
            <w:r>
              <w:rPr>
                <w:b/>
                <w:i/>
              </w:rPr>
              <w:t>A)</w:t>
            </w:r>
            <w:r>
              <w:rPr>
                <w:b/>
                <w:i/>
              </w:rPr>
              <w:tab/>
              <w:t xml:space="preserve">Em </w:t>
            </w:r>
            <w:r>
              <w:rPr>
                <w:b/>
                <w:i/>
              </w:rPr>
              <w:t>conformidade com o Regulamento (UE, Euratom) 2024/2509 (Regulamento Financeiro), a execução do programa deve respeitar plenamente os valores consagrados no artigo 2.º do Tratado da União Europeia.</w:t>
            </w:r>
            <w:r>
              <w:rPr>
                <w:rFonts w:ascii="Europea" w:hAnsi="Europea"/>
                <w:b/>
                <w:i/>
                <w:sz w:val="22"/>
              </w:rPr>
              <w:t xml:space="preserve"> </w:t>
            </w:r>
          </w:p>
        </w:tc>
      </w:tr>
    </w:tbl>
    <w:p w:rsidR="00BA03E1" w:rsidRPr="00FA44DD" w:rsidP="00BA03E1" w14:paraId="60713374" w14:textId="77777777">
      <w:r>
        <w:rPr>
          <w:rStyle w:val="HideTWBExt"/>
        </w:rPr>
        <w:t>&lt;/Amend&gt;</w:t>
      </w:r>
    </w:p>
    <w:p w:rsidR="00BA03E1" w:rsidRPr="00FA44DD" w:rsidP="00BA03E1" w14:paraId="71CFDA81" w14:textId="77777777">
      <w:pPr>
        <w:pStyle w:val="AmNumberTabs"/>
        <w:keepNext/>
      </w:pPr>
      <w:r>
        <w:rPr>
          <w:rStyle w:val="HideTWBExt"/>
          <w:b w:val="0"/>
        </w:rPr>
        <w:t>&lt;Amend&gt;</w:t>
      </w:r>
      <w:r>
        <w:t>Alteração</w:t>
      </w:r>
      <w:r>
        <w:tab/>
      </w:r>
      <w:r>
        <w:tab/>
      </w:r>
      <w:r>
        <w:rPr>
          <w:rStyle w:val="HideTWBExt"/>
          <w:b w:val="0"/>
        </w:rPr>
        <w:t>&lt;NumAm&gt;</w:t>
      </w:r>
      <w:r>
        <w:t>3</w:t>
      </w:r>
      <w:r>
        <w:rPr>
          <w:rStyle w:val="HideTWBExt"/>
          <w:b w:val="0"/>
        </w:rPr>
        <w:t>&lt;/NumAm&gt;</w:t>
      </w:r>
    </w:p>
    <w:p w:rsidR="00BA03E1" w:rsidRPr="00FA44DD" w:rsidP="00BA03E1" w14:paraId="4DFE803F" w14:textId="77777777">
      <w:pPr>
        <w:pStyle w:val="NormalBold12b"/>
        <w:keepNext/>
      </w:pPr>
      <w:r>
        <w:rPr>
          <w:rStyle w:val="HideTWBExt"/>
          <w:b w:val="0"/>
        </w:rPr>
        <w:t>&lt;DocAmend&gt;</w:t>
      </w:r>
      <w:r>
        <w:t>Proposta de regulamento</w:t>
      </w:r>
      <w:r>
        <w:rPr>
          <w:rStyle w:val="HideTWBExt"/>
          <w:b w:val="0"/>
        </w:rPr>
        <w:t>&lt;/DocAmend&gt;</w:t>
      </w:r>
    </w:p>
    <w:p w:rsidR="00BA03E1" w:rsidRPr="005822E4" w:rsidP="00BA03E1" w14:paraId="378AD49E" w14:textId="18A855F4">
      <w:pPr>
        <w:pStyle w:val="NormalBold"/>
      </w:pPr>
      <w:r>
        <w:rPr>
          <w:rStyle w:val="HideTWBExt"/>
          <w:b w:val="0"/>
          <w:lang w:val="fr-BE"/>
        </w:rPr>
        <w:t>&lt;Article&gt;</w:t>
      </w:r>
      <w:r>
        <w:t>Considerando 17</w:t>
      </w:r>
      <w:r>
        <w:noBreakHyphen/>
      </w:r>
      <w:r>
        <w:t>B (novo)</w:t>
      </w:r>
      <w:r>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288DA47B"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5822E4" w:rsidP="00D81B04" w14:paraId="640B822B" w14:textId="77777777">
            <w:pPr>
              <w:keepNext/>
              <w:rPr>
                <w:lang w:val="fr-BE"/>
              </w:rPr>
            </w:pPr>
          </w:p>
        </w:tc>
      </w:tr>
      <w:tr w14:paraId="0EE0BADA"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5CEBDBFF" w14:textId="77777777">
            <w:pPr>
              <w:pStyle w:val="AmColumnHeading"/>
              <w:keepNext/>
            </w:pPr>
            <w:r>
              <w:t>Texto da Comissão</w:t>
            </w:r>
          </w:p>
        </w:tc>
        <w:tc>
          <w:tcPr>
            <w:tcW w:w="4876" w:type="dxa"/>
            <w:hideMark/>
          </w:tcPr>
          <w:p w:rsidR="00BA03E1" w:rsidRPr="00FA44DD" w:rsidP="00D81B04" w14:paraId="5F63B341" w14:textId="77777777">
            <w:pPr>
              <w:pStyle w:val="AmColumnHeading"/>
              <w:keepNext/>
            </w:pPr>
            <w:r>
              <w:t>Alteração</w:t>
            </w:r>
          </w:p>
        </w:tc>
      </w:tr>
      <w:tr w14:paraId="07F1B0B8"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5E6D08CC" w14:textId="77777777">
            <w:pPr>
              <w:pStyle w:val="Normal6a"/>
            </w:pPr>
          </w:p>
        </w:tc>
        <w:tc>
          <w:tcPr>
            <w:tcW w:w="4876" w:type="dxa"/>
            <w:hideMark/>
          </w:tcPr>
          <w:p w:rsidR="00BA03E1" w:rsidRPr="00FA44DD" w:rsidP="00D81B04" w14:paraId="17F75E84" w14:textId="3794E2BC">
            <w:pPr>
              <w:pStyle w:val="Normal6a"/>
            </w:pPr>
            <w:r>
              <w:rPr>
                <w:b/>
                <w:i/>
              </w:rPr>
              <w:t>(17</w:t>
            </w:r>
            <w:r>
              <w:rPr>
                <w:b/>
                <w:i/>
              </w:rPr>
              <w:noBreakHyphen/>
            </w:r>
            <w:r>
              <w:rPr>
                <w:b/>
                <w:i/>
              </w:rPr>
              <w:t>B)</w:t>
            </w:r>
            <w:r>
              <w:rPr>
                <w:b/>
                <w:i/>
              </w:rPr>
              <w:tab/>
              <w:t xml:space="preserve">O Regulamento (UE, Euratom) 2020/2092 é aplicável ao presente programa. Estabelece um regime geral de condicionalidade para a </w:t>
            </w:r>
            <w:r>
              <w:rPr>
                <w:b/>
                <w:i/>
              </w:rPr>
              <w:t>proteção do orçamento da União em caso de violação dos princípios do Estado de direito nos Estados</w:t>
            </w:r>
            <w:r>
              <w:rPr>
                <w:b/>
                <w:i/>
              </w:rPr>
              <w:noBreakHyphen/>
            </w:r>
            <w:r>
              <w:rPr>
                <w:b/>
                <w:i/>
              </w:rPr>
              <w:t>Membros.</w:t>
            </w:r>
            <w:r>
              <w:rPr>
                <w:rFonts w:ascii="Europea" w:hAnsi="Europea"/>
                <w:b/>
                <w:i/>
              </w:rPr>
              <w:t xml:space="preserve"> </w:t>
            </w:r>
          </w:p>
        </w:tc>
      </w:tr>
    </w:tbl>
    <w:p w:rsidR="00BA03E1" w:rsidRPr="00FA44DD" w:rsidP="00BA03E1" w14:paraId="5E153040" w14:textId="77777777">
      <w:r>
        <w:rPr>
          <w:rStyle w:val="HideTWBExt"/>
        </w:rPr>
        <w:t>&lt;/Amend&gt;</w:t>
      </w:r>
    </w:p>
    <w:p w:rsidR="00BA03E1" w:rsidRPr="00FA44DD" w:rsidP="00BA03E1" w14:paraId="6DE8E3EF" w14:textId="77777777">
      <w:pPr>
        <w:pStyle w:val="AmNumberTabs"/>
        <w:keepNext/>
      </w:pPr>
      <w:r>
        <w:rPr>
          <w:rStyle w:val="HideTWBExt"/>
          <w:b w:val="0"/>
        </w:rPr>
        <w:t>&lt;Amend&gt;</w:t>
      </w:r>
      <w:r>
        <w:t>Alteração</w:t>
      </w:r>
      <w:r>
        <w:tab/>
      </w:r>
      <w:r>
        <w:tab/>
      </w:r>
      <w:r>
        <w:rPr>
          <w:rStyle w:val="HideTWBExt"/>
          <w:b w:val="0"/>
        </w:rPr>
        <w:t>&lt;NumAm&gt;</w:t>
      </w:r>
      <w:r>
        <w:t>4</w:t>
      </w:r>
      <w:r>
        <w:rPr>
          <w:rStyle w:val="HideTWBExt"/>
          <w:b w:val="0"/>
        </w:rPr>
        <w:t>&lt;/NumAm&gt;</w:t>
      </w:r>
    </w:p>
    <w:p w:rsidR="00BA03E1" w:rsidRPr="00FA44DD" w:rsidP="00BA03E1" w14:paraId="1A7D3C1E" w14:textId="77777777">
      <w:pPr>
        <w:pStyle w:val="NormalBold12b"/>
        <w:keepNext/>
      </w:pPr>
      <w:r>
        <w:rPr>
          <w:rStyle w:val="HideTWBExt"/>
          <w:b w:val="0"/>
        </w:rPr>
        <w:t>&lt;DocAmend&gt;</w:t>
      </w:r>
      <w:r>
        <w:t>Proposta de regulamento</w:t>
      </w:r>
      <w:r>
        <w:rPr>
          <w:rStyle w:val="HideTWBExt"/>
          <w:b w:val="0"/>
        </w:rPr>
        <w:t>&lt;/DocAmend&gt;</w:t>
      </w:r>
    </w:p>
    <w:p w:rsidR="00BA03E1" w:rsidRPr="00FA44DD" w:rsidP="00BA03E1" w14:paraId="5177FAC7" w14:textId="3C88914B">
      <w:pPr>
        <w:pStyle w:val="NormalBold"/>
      </w:pPr>
      <w:r>
        <w:rPr>
          <w:rStyle w:val="HideTWBExt"/>
          <w:b w:val="0"/>
        </w:rPr>
        <w:t>&lt;Article&gt;</w:t>
      </w:r>
      <w:r>
        <w:t>Considerando 19</w:t>
      </w:r>
      <w:r>
        <w:noBreakHyphen/>
      </w:r>
      <w:r>
        <w:t>A (novo)</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0444B7F"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FA44DD" w:rsidP="00D81B04" w14:paraId="02DC80C2" w14:textId="77777777">
            <w:pPr>
              <w:keepNext/>
            </w:pPr>
          </w:p>
        </w:tc>
      </w:tr>
      <w:tr w14:paraId="1DC6E0AB"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371129BF" w14:textId="77777777">
            <w:pPr>
              <w:pStyle w:val="AmColumnHeading"/>
              <w:keepNext/>
            </w:pPr>
            <w:r>
              <w:t xml:space="preserve">Texto da </w:t>
            </w:r>
            <w:r>
              <w:t>Comissão</w:t>
            </w:r>
          </w:p>
        </w:tc>
        <w:tc>
          <w:tcPr>
            <w:tcW w:w="4876" w:type="dxa"/>
            <w:hideMark/>
          </w:tcPr>
          <w:p w:rsidR="00BA03E1" w:rsidRPr="00FA44DD" w:rsidP="00D81B04" w14:paraId="287B505E" w14:textId="77777777">
            <w:pPr>
              <w:pStyle w:val="AmColumnHeading"/>
              <w:keepNext/>
            </w:pPr>
            <w:r>
              <w:t>Alteração</w:t>
            </w:r>
          </w:p>
        </w:tc>
      </w:tr>
      <w:tr w14:paraId="59F9EEDC"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71A5D4A3" w14:textId="77777777">
            <w:pPr>
              <w:pStyle w:val="Normal6a"/>
            </w:pPr>
          </w:p>
        </w:tc>
        <w:tc>
          <w:tcPr>
            <w:tcW w:w="4876" w:type="dxa"/>
            <w:hideMark/>
          </w:tcPr>
          <w:p w:rsidR="00BA03E1" w:rsidRPr="00FA44DD" w:rsidP="00D81B04" w14:paraId="01DB6D3A" w14:textId="0E0302DE">
            <w:pPr>
              <w:pStyle w:val="Normal6a"/>
            </w:pPr>
            <w:r>
              <w:rPr>
                <w:b/>
                <w:i/>
              </w:rPr>
              <w:t>(19</w:t>
            </w:r>
            <w:r>
              <w:rPr>
                <w:b/>
                <w:i/>
              </w:rPr>
              <w:noBreakHyphen/>
            </w:r>
            <w:r>
              <w:rPr>
                <w:b/>
                <w:i/>
              </w:rPr>
              <w:t>A)</w:t>
            </w:r>
            <w:r>
              <w:rPr>
                <w:b/>
                <w:i/>
              </w:rPr>
              <w:tab/>
              <w:t xml:space="preserve"> As disposições do presente regulamento, bem como os seus mecanismos de governação, devem ser propícios a uma tomada de decisões adequada por parte da autoridade orçamental e a um controlo parlamentar apropriado. Em especial, em conformidade com o artigo 47.º, n.º 2, do Regulamento Financeiro, qualquer especificação da arquitetura interna do apoio da União ao asilo, à migração e à integração deve ser devidamente refletida na nomenclatura orçamental através da introdução de rubricas orçamentais correspond</w:t>
            </w:r>
            <w:r>
              <w:rPr>
                <w:b/>
                <w:i/>
              </w:rPr>
              <w:t>entes.</w:t>
            </w:r>
          </w:p>
        </w:tc>
      </w:tr>
    </w:tbl>
    <w:p w:rsidR="00BA03E1" w:rsidRPr="00FA44DD" w:rsidP="00BA03E1" w14:paraId="644D4EE1" w14:textId="77777777">
      <w:r>
        <w:rPr>
          <w:rStyle w:val="HideTWBExt"/>
        </w:rPr>
        <w:t>&lt;/Amend&gt;</w:t>
      </w:r>
    </w:p>
    <w:p w:rsidR="00BA03E1" w:rsidRPr="00FA44DD" w:rsidP="00BA03E1" w14:paraId="04D8003C" w14:textId="77777777">
      <w:pPr>
        <w:pStyle w:val="AmNumberTabs"/>
        <w:keepNext/>
      </w:pPr>
      <w:r>
        <w:rPr>
          <w:rStyle w:val="HideTWBExt"/>
          <w:b w:val="0"/>
        </w:rPr>
        <w:t>&lt;Amend&gt;</w:t>
      </w:r>
      <w:r>
        <w:t>Alteração</w:t>
      </w:r>
      <w:r>
        <w:tab/>
      </w:r>
      <w:r>
        <w:tab/>
      </w:r>
      <w:r>
        <w:rPr>
          <w:rStyle w:val="HideTWBExt"/>
          <w:b w:val="0"/>
        </w:rPr>
        <w:t>&lt;NumAm&gt;</w:t>
      </w:r>
      <w:r>
        <w:t>5</w:t>
      </w:r>
      <w:r>
        <w:rPr>
          <w:rStyle w:val="HideTWBExt"/>
          <w:b w:val="0"/>
        </w:rPr>
        <w:t>&lt;/NumAm&gt;</w:t>
      </w:r>
    </w:p>
    <w:p w:rsidR="00BA03E1" w:rsidRPr="00FA44DD" w:rsidP="00BA03E1" w14:paraId="6D8D9FE3" w14:textId="77777777">
      <w:pPr>
        <w:pStyle w:val="NormalBold12b"/>
        <w:keepNext/>
      </w:pPr>
      <w:r>
        <w:rPr>
          <w:rStyle w:val="HideTWBExt"/>
          <w:b w:val="0"/>
        </w:rPr>
        <w:t>&lt;DocAmend&gt;</w:t>
      </w:r>
      <w:r>
        <w:t>Proposta de regulamento</w:t>
      </w:r>
      <w:r>
        <w:rPr>
          <w:rStyle w:val="HideTWBExt"/>
          <w:b w:val="0"/>
        </w:rPr>
        <w:t>&lt;/DocAmend&gt;</w:t>
      </w:r>
    </w:p>
    <w:p w:rsidR="00BA03E1" w:rsidRPr="005822E4" w:rsidP="00BA03E1" w14:paraId="6D3BBA1A" w14:textId="06009511">
      <w:pPr>
        <w:pStyle w:val="NormalBold"/>
      </w:pPr>
      <w:r>
        <w:rPr>
          <w:rStyle w:val="HideTWBExt"/>
          <w:b w:val="0"/>
          <w:lang w:val="fr-BE"/>
        </w:rPr>
        <w:t>&lt;Article&gt;</w:t>
      </w:r>
      <w:r>
        <w:t>Considerando 19</w:t>
      </w:r>
      <w:r>
        <w:noBreakHyphen/>
      </w:r>
      <w:r>
        <w:t>B (novo)</w:t>
      </w:r>
      <w:r>
        <w:rPr>
          <w:rStyle w:val="HideTWBExt"/>
          <w:b w:val="0"/>
          <w:lang w:val="fr-BE"/>
        </w:rPr>
        <w:t>&lt;/Article&gt;</w:t>
      </w:r>
    </w:p>
    <w:tbl>
      <w:tblPr>
        <w:tblW w:w="9752" w:type="dxa"/>
        <w:jc w:val="center"/>
        <w:tblLayout w:type="fixed"/>
        <w:tblCellMar>
          <w:left w:w="340" w:type="dxa"/>
          <w:right w:w="340" w:type="dxa"/>
        </w:tblCellMar>
        <w:tblLook w:val="04A0"/>
      </w:tblPr>
      <w:tblGrid>
        <w:gridCol w:w="4876"/>
        <w:gridCol w:w="4876"/>
      </w:tblGrid>
      <w:tr w14:paraId="13FF72BF"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5822E4" w:rsidP="00D81B04" w14:paraId="275F745A" w14:textId="77777777">
            <w:pPr>
              <w:keepNext/>
              <w:rPr>
                <w:lang w:val="fr-BE"/>
              </w:rPr>
            </w:pPr>
          </w:p>
        </w:tc>
      </w:tr>
      <w:tr w14:paraId="65D01330"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49E1B8E4" w14:textId="77777777">
            <w:pPr>
              <w:pStyle w:val="AmColumnHeading"/>
              <w:keepNext/>
            </w:pPr>
            <w:r>
              <w:t>Texto da Comissão</w:t>
            </w:r>
          </w:p>
        </w:tc>
        <w:tc>
          <w:tcPr>
            <w:tcW w:w="4876" w:type="dxa"/>
            <w:hideMark/>
          </w:tcPr>
          <w:p w:rsidR="00BA03E1" w:rsidRPr="00FA44DD" w:rsidP="00D81B04" w14:paraId="737EE2CF" w14:textId="77777777">
            <w:pPr>
              <w:pStyle w:val="AmColumnHeading"/>
              <w:keepNext/>
            </w:pPr>
            <w:r>
              <w:t>Alteração</w:t>
            </w:r>
          </w:p>
        </w:tc>
      </w:tr>
      <w:tr w14:paraId="08143FB7"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7A7CF92B" w14:textId="77777777">
            <w:pPr>
              <w:pStyle w:val="Normal6a"/>
            </w:pPr>
          </w:p>
        </w:tc>
        <w:tc>
          <w:tcPr>
            <w:tcW w:w="4876" w:type="dxa"/>
            <w:hideMark/>
          </w:tcPr>
          <w:p w:rsidR="00BA03E1" w:rsidRPr="00FA44DD" w:rsidP="00D81B04" w14:paraId="276FD392" w14:textId="0196E2D2">
            <w:pPr>
              <w:pStyle w:val="Normal6a"/>
            </w:pPr>
            <w:r>
              <w:rPr>
                <w:b/>
                <w:i/>
              </w:rPr>
              <w:t>(19</w:t>
            </w:r>
            <w:r>
              <w:rPr>
                <w:b/>
                <w:i/>
              </w:rPr>
              <w:noBreakHyphen/>
            </w:r>
            <w:r>
              <w:rPr>
                <w:b/>
                <w:i/>
              </w:rPr>
              <w:t>B)</w:t>
            </w:r>
            <w:r>
              <w:rPr>
                <w:b/>
                <w:i/>
              </w:rPr>
              <w:tab/>
              <w:t xml:space="preserve">A incidência do presente regulamento no </w:t>
            </w:r>
            <w:r>
              <w:rPr>
                <w:b/>
                <w:i/>
              </w:rPr>
              <w:t>orçamento da União foi avaliada</w:t>
            </w:r>
            <w:r>
              <w:rPr>
                <w:b/>
                <w:i/>
                <w:vertAlign w:val="superscript"/>
              </w:rPr>
              <w:t>+</w:t>
            </w:r>
            <w:r>
              <w:rPr>
                <w:b/>
                <w:i/>
              </w:rPr>
              <w:t xml:space="preserve"> em conformidade com o artigo 310.º, n.º 4, do Tratado sobre o Funcionamento da União Europeia. Importa afetar recursos financeiros e humanos suficientes para a sua execução de modo que tenha em conta o impacto do seu financiamento noutros programas ou políticas da União e que garanta a sua compatibilidade com o quadro financeiro plurianual, bem como com os princípios orçamentais estabelecidos no Regulamento (UE, Euratom) 2024/2509 do Parlamento Europeu e do Conselho</w:t>
            </w:r>
            <w:r>
              <w:rPr>
                <w:b/>
                <w:i/>
                <w:vertAlign w:val="superscript"/>
              </w:rPr>
              <w:t>1</w:t>
            </w:r>
            <w:r>
              <w:rPr>
                <w:b/>
                <w:i/>
              </w:rPr>
              <w:t>.</w:t>
            </w:r>
          </w:p>
        </w:tc>
      </w:tr>
      <w:tr w14:paraId="438F1089" w14:textId="77777777" w:rsidTr="00D81B04">
        <w:tblPrEx>
          <w:tblW w:w="9752" w:type="dxa"/>
          <w:jc w:val="center"/>
          <w:tblLayout w:type="fixed"/>
          <w:tblCellMar>
            <w:left w:w="340" w:type="dxa"/>
            <w:right w:w="340" w:type="dxa"/>
          </w:tblCellMar>
          <w:tblLook w:val="04A0"/>
        </w:tblPrEx>
        <w:trPr>
          <w:jc w:val="center"/>
        </w:trPr>
        <w:tc>
          <w:tcPr>
            <w:tcW w:w="4876" w:type="dxa"/>
          </w:tcPr>
          <w:p w:rsidR="00BA03E1" w:rsidRPr="00FA44DD" w:rsidP="00D81B04" w14:paraId="0BDD0163" w14:textId="77777777">
            <w:pPr>
              <w:pStyle w:val="Normal6a"/>
            </w:pPr>
          </w:p>
        </w:tc>
        <w:tc>
          <w:tcPr>
            <w:tcW w:w="4876" w:type="dxa"/>
          </w:tcPr>
          <w:p w:rsidR="00BA03E1" w:rsidRPr="00FA44DD" w:rsidP="00D81B04" w14:paraId="388AE564" w14:textId="77777777">
            <w:pPr>
              <w:pStyle w:val="Normal6a"/>
              <w:rPr>
                <w:b/>
                <w:i/>
              </w:rPr>
            </w:pPr>
            <w:r>
              <w:rPr>
                <w:b/>
                <w:i/>
              </w:rPr>
              <w:t>______________________</w:t>
            </w:r>
          </w:p>
        </w:tc>
      </w:tr>
      <w:tr w14:paraId="6E4620C9" w14:textId="77777777" w:rsidTr="00D81B04">
        <w:tblPrEx>
          <w:tblW w:w="9752" w:type="dxa"/>
          <w:jc w:val="center"/>
          <w:tblLayout w:type="fixed"/>
          <w:tblCellMar>
            <w:left w:w="340" w:type="dxa"/>
            <w:right w:w="340" w:type="dxa"/>
          </w:tblCellMar>
          <w:tblLook w:val="04A0"/>
        </w:tblPrEx>
        <w:trPr>
          <w:jc w:val="center"/>
        </w:trPr>
        <w:tc>
          <w:tcPr>
            <w:tcW w:w="4876" w:type="dxa"/>
          </w:tcPr>
          <w:p w:rsidR="00BA03E1" w:rsidRPr="00FA44DD" w:rsidP="00D81B04" w14:paraId="627A1E20" w14:textId="77777777">
            <w:pPr>
              <w:pStyle w:val="Normal6a"/>
            </w:pPr>
          </w:p>
        </w:tc>
        <w:tc>
          <w:tcPr>
            <w:tcW w:w="4876" w:type="dxa"/>
          </w:tcPr>
          <w:p w:rsidR="00BA03E1" w:rsidRPr="00FA44DD" w:rsidP="00D81B04" w14:paraId="01E2A0F9" w14:textId="77777777">
            <w:pPr>
              <w:pStyle w:val="Normal6a"/>
              <w:rPr>
                <w:b/>
                <w:i/>
              </w:rPr>
            </w:pPr>
            <w:r>
              <w:rPr>
                <w:b/>
                <w:i/>
                <w:vertAlign w:val="superscript"/>
              </w:rPr>
              <w:t>+</w:t>
            </w:r>
            <w:r>
              <w:rPr>
                <w:b/>
                <w:i/>
              </w:rPr>
              <w:t xml:space="preserve"> Pro memoria: avaliação orçamental da Comissão dos Orçamentos do Parlamento Europeu, de 15 de julho de 2026, sobre a proposta de regulamento do Parlamento Europeu e do Conselho que estabelece o apoio da União ao asilo, à </w:t>
            </w:r>
            <w:r>
              <w:rPr>
                <w:b/>
                <w:i/>
              </w:rPr>
              <w:t>migração e à integração para o período de 2028 a 2034 [COM(2025)0540].</w:t>
            </w:r>
          </w:p>
        </w:tc>
      </w:tr>
      <w:tr w14:paraId="148BD6EC" w14:textId="77777777" w:rsidTr="00D81B04">
        <w:tblPrEx>
          <w:tblW w:w="9752" w:type="dxa"/>
          <w:jc w:val="center"/>
          <w:tblLayout w:type="fixed"/>
          <w:tblCellMar>
            <w:left w:w="340" w:type="dxa"/>
            <w:right w:w="340" w:type="dxa"/>
          </w:tblCellMar>
          <w:tblLook w:val="04A0"/>
        </w:tblPrEx>
        <w:trPr>
          <w:jc w:val="center"/>
        </w:trPr>
        <w:tc>
          <w:tcPr>
            <w:tcW w:w="4876" w:type="dxa"/>
          </w:tcPr>
          <w:p w:rsidR="00BA03E1" w:rsidRPr="00FA44DD" w:rsidP="00D81B04" w14:paraId="13649EEF" w14:textId="77777777">
            <w:pPr>
              <w:pStyle w:val="Normal6a"/>
            </w:pPr>
          </w:p>
        </w:tc>
        <w:tc>
          <w:tcPr>
            <w:tcW w:w="4876" w:type="dxa"/>
          </w:tcPr>
          <w:p w:rsidR="00BA03E1" w:rsidRPr="00FA44DD" w:rsidP="00D81B04" w14:paraId="1631EE33" w14:textId="77777777">
            <w:pPr>
              <w:pStyle w:val="Normal6a"/>
              <w:rPr>
                <w:b/>
                <w:i/>
              </w:rPr>
            </w:pPr>
            <w:r>
              <w:rPr>
                <w:b/>
                <w:i/>
              </w:rPr>
              <w:t>¹ Regulamento (UE, Euratom) 2024/2509 do Parlamento Europeu e do Conselho, de 23 de setembro de 2024, relativo às regras financeiras aplicáveis ao orçamento geral da União (JO L, 2024/2509, 26.9.2024, ELI: http://data.europa.eu/eli/reg/2024/2509/oj).</w:t>
            </w:r>
          </w:p>
        </w:tc>
      </w:tr>
    </w:tbl>
    <w:p w:rsidR="00BA03E1" w:rsidRPr="00FA44DD" w:rsidP="00BA03E1" w14:paraId="53C0DEA5" w14:textId="77777777">
      <w:r>
        <w:rPr>
          <w:rStyle w:val="HideTWBExt"/>
        </w:rPr>
        <w:t>&lt;/Amend&gt;</w:t>
      </w:r>
    </w:p>
    <w:p w:rsidR="00BA03E1" w:rsidRPr="00FA44DD" w:rsidP="00BA03E1" w14:paraId="292A41A6" w14:textId="77777777">
      <w:pPr>
        <w:pStyle w:val="AmNumberTabs"/>
        <w:keepNext/>
      </w:pPr>
      <w:r>
        <w:rPr>
          <w:rStyle w:val="HideTWBExt"/>
          <w:b w:val="0"/>
        </w:rPr>
        <w:t>&lt;Amend&gt;</w:t>
      </w:r>
      <w:r>
        <w:t>Alteração</w:t>
      </w:r>
      <w:r>
        <w:tab/>
      </w:r>
      <w:r>
        <w:tab/>
      </w:r>
      <w:r>
        <w:rPr>
          <w:rStyle w:val="HideTWBExt"/>
          <w:b w:val="0"/>
        </w:rPr>
        <w:t>&lt;NumAm&gt;</w:t>
      </w:r>
      <w:r>
        <w:t>6</w:t>
      </w:r>
      <w:r>
        <w:rPr>
          <w:rStyle w:val="HideTWBExt"/>
          <w:b w:val="0"/>
        </w:rPr>
        <w:t>&lt;/NumAm&gt;</w:t>
      </w:r>
    </w:p>
    <w:p w:rsidR="00BA03E1" w:rsidRPr="00FA44DD" w:rsidP="00BA03E1" w14:paraId="552551BF" w14:textId="77777777">
      <w:pPr>
        <w:pStyle w:val="NormalBold12b"/>
        <w:keepNext/>
      </w:pPr>
      <w:r>
        <w:rPr>
          <w:rStyle w:val="HideTWBExt"/>
          <w:b w:val="0"/>
        </w:rPr>
        <w:t>&lt;DocAmend&gt;</w:t>
      </w:r>
      <w:r>
        <w:t>Proposta de regulamento</w:t>
      </w:r>
      <w:r>
        <w:rPr>
          <w:rStyle w:val="HideTWBExt"/>
          <w:b w:val="0"/>
        </w:rPr>
        <w:t>&lt;/DocAmend&gt;</w:t>
      </w:r>
    </w:p>
    <w:p w:rsidR="00BA03E1" w:rsidRPr="00FA44DD" w:rsidP="00BA03E1" w14:paraId="13BE016E" w14:textId="77777777">
      <w:pPr>
        <w:pStyle w:val="NormalBold"/>
      </w:pPr>
      <w:r>
        <w:rPr>
          <w:rStyle w:val="HideTWBExt"/>
          <w:b w:val="0"/>
        </w:rPr>
        <w:t>&lt;Article&gt;</w:t>
      </w:r>
      <w:r>
        <w:t>Artigo 4 – n.º 1</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E0548B9" w14:textId="77777777" w:rsidTr="00D81B04">
        <w:tblPrEx>
          <w:tblW w:w="9752" w:type="dxa"/>
          <w:jc w:val="center"/>
          <w:tblLayout w:type="fixed"/>
          <w:tblCellMar>
            <w:left w:w="340" w:type="dxa"/>
            <w:right w:w="340" w:type="dxa"/>
          </w:tblCellMar>
          <w:tblLook w:val="04A0"/>
        </w:tblPrEx>
        <w:trPr>
          <w:jc w:val="center"/>
        </w:trPr>
        <w:tc>
          <w:tcPr>
            <w:tcW w:w="9752" w:type="dxa"/>
            <w:gridSpan w:val="2"/>
          </w:tcPr>
          <w:p w:rsidR="00BA03E1" w:rsidRPr="00FA44DD" w:rsidP="00D81B04" w14:paraId="7B4981CB" w14:textId="77777777">
            <w:pPr>
              <w:keepNext/>
            </w:pPr>
          </w:p>
        </w:tc>
      </w:tr>
      <w:tr w14:paraId="77A98FBC"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3BC3C456" w14:textId="77777777">
            <w:pPr>
              <w:pStyle w:val="AmColumnHeading"/>
              <w:keepNext/>
            </w:pPr>
            <w:r>
              <w:t>Texto da Comissão</w:t>
            </w:r>
          </w:p>
        </w:tc>
        <w:tc>
          <w:tcPr>
            <w:tcW w:w="4876" w:type="dxa"/>
            <w:hideMark/>
          </w:tcPr>
          <w:p w:rsidR="00BA03E1" w:rsidRPr="00FA44DD" w:rsidP="00D81B04" w14:paraId="604FFCFE" w14:textId="77777777">
            <w:pPr>
              <w:pStyle w:val="AmColumnHeading"/>
              <w:keepNext/>
            </w:pPr>
            <w:r>
              <w:t>Alteração</w:t>
            </w:r>
          </w:p>
        </w:tc>
      </w:tr>
      <w:tr w14:paraId="2E9D5784" w14:textId="77777777" w:rsidTr="00D81B04">
        <w:tblPrEx>
          <w:tblW w:w="9752" w:type="dxa"/>
          <w:jc w:val="center"/>
          <w:tblLayout w:type="fixed"/>
          <w:tblCellMar>
            <w:left w:w="340" w:type="dxa"/>
            <w:right w:w="340" w:type="dxa"/>
          </w:tblCellMar>
          <w:tblLook w:val="04A0"/>
        </w:tblPrEx>
        <w:trPr>
          <w:jc w:val="center"/>
        </w:trPr>
        <w:tc>
          <w:tcPr>
            <w:tcW w:w="4876" w:type="dxa"/>
            <w:hideMark/>
          </w:tcPr>
          <w:p w:rsidR="00BA03E1" w:rsidRPr="00FA44DD" w:rsidP="00D81B04" w14:paraId="3EFC1BFA" w14:textId="77777777">
            <w:pPr>
              <w:pStyle w:val="Normal6a"/>
            </w:pPr>
            <w:r>
              <w:t>1.</w:t>
            </w:r>
            <w:r>
              <w:tab/>
            </w:r>
            <w:r>
              <w:t xml:space="preserve">O enquadramento financeiro </w:t>
            </w:r>
            <w:r>
              <w:rPr>
                <w:b/>
                <w:i/>
              </w:rPr>
              <w:t>indicativo</w:t>
            </w:r>
            <w:r>
              <w:t xml:space="preserve"> para a execução dos objetivos que constam do artigo 3.º para o período de 2028 a 2034 é fixado em 11 </w:t>
            </w:r>
            <w:r>
              <w:rPr>
                <w:b/>
                <w:i/>
              </w:rPr>
              <w:t>975 428 500</w:t>
            </w:r>
            <w:r>
              <w:t xml:space="preserve"> EUR a preços </w:t>
            </w:r>
            <w:r>
              <w:rPr>
                <w:b/>
                <w:i/>
              </w:rPr>
              <w:t>correntes</w:t>
            </w:r>
            <w:r>
              <w:t>.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c>
          <w:tcPr>
            <w:tcW w:w="4876" w:type="dxa"/>
            <w:hideMark/>
          </w:tcPr>
          <w:p w:rsidR="00BA03E1" w:rsidRPr="00FA44DD" w:rsidP="00D81B04" w14:paraId="68CA293F" w14:textId="77777777">
            <w:pPr>
              <w:pStyle w:val="Normal6a"/>
            </w:pPr>
            <w:r>
              <w:t>1.</w:t>
            </w:r>
            <w:r>
              <w:tab/>
              <w:t xml:space="preserve">O enquadramento financeiro </w:t>
            </w:r>
            <w:r>
              <w:rPr>
                <w:b/>
                <w:i/>
              </w:rPr>
              <w:t>do programa</w:t>
            </w:r>
            <w:r>
              <w:t xml:space="preserve"> para a execução dos objetivos que constam do artigo 3.º para o período de 2028 a 2034 é fixado em </w:t>
            </w:r>
            <w:r>
              <w:rPr>
                <w:b/>
                <w:i/>
              </w:rPr>
              <w:t>13 313 431 000 EUR a preços correntes (</w:t>
            </w:r>
            <w:r>
              <w:t>11 </w:t>
            </w:r>
            <w:r>
              <w:rPr>
                <w:b/>
                <w:i/>
              </w:rPr>
              <w:t>900 000 000</w:t>
            </w:r>
            <w:r>
              <w:t> EUR</w:t>
            </w:r>
            <w:r>
              <w:rPr>
                <w:b/>
                <w:i/>
              </w:rPr>
              <w:t>,</w:t>
            </w:r>
            <w:r>
              <w:t xml:space="preserve"> a preços </w:t>
            </w:r>
            <w:r>
              <w:rPr>
                <w:b/>
                <w:i/>
              </w:rPr>
              <w:t>de 2025)</w:t>
            </w:r>
            <w:r>
              <w:t>.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w:t>
            </w:r>
            <w:r>
              <w:t>rosperidade e a Segurança.</w:t>
            </w:r>
          </w:p>
        </w:tc>
      </w:tr>
    </w:tbl>
    <w:p w:rsidR="00BA03E1" w:rsidRPr="00FA44DD" w:rsidP="00BA03E1" w14:paraId="65331F91" w14:textId="77777777">
      <w:r>
        <w:rPr>
          <w:rStyle w:val="HideTWBExt"/>
        </w:rPr>
        <w:t>&lt;/Amend&gt;</w:t>
      </w:r>
    </w:p>
    <w:p w:rsidR="00BA03E1" w:rsidP="00BA03E1" w14:paraId="754EFBDA" w14:textId="77777777">
      <w:pPr>
        <w:rPr>
          <w:rStyle w:val="HideTWBExt"/>
        </w:rPr>
      </w:pPr>
      <w:r>
        <w:rPr>
          <w:rStyle w:val="HideTWBExt"/>
        </w:rPr>
        <w:t>&lt;/RepeatBlock-Amend&gt;</w:t>
      </w:r>
    </w:p>
    <w:p w:rsidR="00BA03E1" w14:paraId="7220D5E6" w14:textId="77777777">
      <w:pPr>
        <w:widowControl/>
        <w:rPr>
          <w:rStyle w:val="HideTWBExt"/>
        </w:rPr>
      </w:pPr>
      <w:r>
        <w:br w:type="page"/>
      </w:r>
    </w:p>
    <w:p w:rsidR="00BA03E1" w:rsidRPr="00FA44DD" w:rsidP="00BA03E1" w14:paraId="70BAD48F" w14:textId="77777777">
      <w:pPr>
        <w:pStyle w:val="PageHeadingNotTOC"/>
      </w:pPr>
      <w:bookmarkStart w:id="2" w:name="FootprintPageAD"/>
      <w:r>
        <w:t>ANEXO: DECLARAÇÃO DE CONTRIBUTOS</w:t>
      </w:r>
    </w:p>
    <w:p w:rsidR="00BA03E1" w:rsidRPr="00FA44DD" w:rsidP="00BA03E1" w14:paraId="4A796377" w14:textId="77777777">
      <w:pPr>
        <w:pStyle w:val="Normal24a"/>
      </w:pPr>
      <w:r>
        <w:rPr>
          <w:rStyle w:val="HideTWBExt"/>
        </w:rPr>
        <w:t>&lt;FootprintIntro&gt;</w:t>
      </w:r>
      <w:r>
        <w:t>O relator da avaliação orçamental declara, sob sua exclusiva responsabilidade, não ter incluído na sua avaliação orçamental contributos de representantes de interesses abrangidos pelo âmbito de aplicação do Acordo Interinstitucional sobre um Registo de Transparência Obrigatório</w:t>
      </w:r>
      <w:r>
        <w:rPr>
          <w:rStyle w:val="FootnoteReference"/>
        </w:rPr>
        <w:footnoteReference w:id="7"/>
      </w:r>
      <w:r>
        <w:t xml:space="preserve"> nem de representantes das autoridades públicas de países terceiros, incluindo as respetivas missões diplomáticas e embaixadas, que devessem ser enumerados no presente anexo nos termos do artigo 8.º do anexo I do Regimento.</w:t>
      </w:r>
      <w:r>
        <w:rPr>
          <w:rStyle w:val="HideTWBExt"/>
        </w:rPr>
        <w:t>&lt;/FootprintIntro&gt;</w:t>
      </w:r>
    </w:p>
    <w:bookmarkEnd w:id="2"/>
    <w:p w:rsidR="00A6298E" w:rsidRPr="00A6298E" w:rsidP="00BA03E1" w14:paraId="2DE9AD44" w14:textId="77777777">
      <w:pPr>
        <w:sectPr w:rsidSect="00BA03E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6298E" w:rsidP="00A6298E" w14:paraId="78A8C5CB" w14:textId="77777777">
      <w:pPr>
        <w:pStyle w:val="PageHeadingNotTOC"/>
      </w:pPr>
      <w:bookmarkStart w:id="3" w:name="ProcPageAD"/>
      <w:r>
        <w:t>PROCESSO DA COMISSÃO ENCARREGADA DA AVALIAÇÃO ORÇAMENTAL</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579C4C4"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7DB8F082" w14:textId="77777777">
            <w:pPr>
              <w:autoSpaceDE w:val="0"/>
              <w:autoSpaceDN w:val="0"/>
              <w:adjustRightInd w:val="0"/>
              <w:rPr>
                <w:b/>
                <w:bCs/>
                <w:color w:val="000000"/>
                <w:sz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3AEF9D7E" w14:textId="77777777">
            <w:pPr>
              <w:autoSpaceDE w:val="0"/>
              <w:autoSpaceDN w:val="0"/>
              <w:adjustRightInd w:val="0"/>
              <w:rPr>
                <w:color w:val="000000"/>
                <w:sz w:val="20"/>
              </w:rPr>
            </w:pPr>
            <w:r>
              <w:rPr>
                <w:color w:val="000000"/>
                <w:sz w:val="20"/>
              </w:rPr>
              <w:t xml:space="preserve">Estabelecimento do apoio da União ao asilo, à </w:t>
            </w:r>
            <w:r>
              <w:rPr>
                <w:color w:val="000000"/>
                <w:sz w:val="20"/>
              </w:rPr>
              <w:t>migração e à integração para o período de 2028 a 2034</w:t>
            </w:r>
          </w:p>
        </w:tc>
      </w:tr>
      <w:tr w14:paraId="53285B25"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6298E" w14:paraId="7B7E4C72" w14:textId="77777777">
            <w:pPr>
              <w:autoSpaceDE w:val="0"/>
              <w:autoSpaceDN w:val="0"/>
              <w:adjustRightInd w:val="0"/>
              <w:rPr>
                <w:b/>
                <w:bCs/>
                <w:color w:val="000000"/>
                <w:sz w:val="20"/>
              </w:rPr>
            </w:pPr>
            <w:r>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6298E" w14:paraId="3747A8ED" w14:textId="49203670">
            <w:pPr>
              <w:autoSpaceDE w:val="0"/>
              <w:autoSpaceDN w:val="0"/>
              <w:adjustRightInd w:val="0"/>
              <w:rPr>
                <w:color w:val="000000"/>
                <w:sz w:val="20"/>
              </w:rPr>
            </w:pPr>
            <w:r>
              <w:rPr>
                <w:color w:val="000000"/>
                <w:sz w:val="20"/>
              </w:rPr>
              <w:t>COM(2025)0540 – C10</w:t>
            </w:r>
            <w:r>
              <w:rPr>
                <w:color w:val="000000"/>
                <w:sz w:val="20"/>
              </w:rPr>
              <w:noBreakHyphen/>
            </w:r>
            <w:r>
              <w:rPr>
                <w:color w:val="000000"/>
                <w:sz w:val="20"/>
              </w:rPr>
              <w:t>0177/2025 – 2025/0540(COD)</w:t>
            </w:r>
          </w:p>
        </w:tc>
      </w:tr>
      <w:tr w14:paraId="1FF06DA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4E3D8C7B" w14:textId="77777777">
            <w:pPr>
              <w:autoSpaceDE w:val="0"/>
              <w:autoSpaceDN w:val="0"/>
              <w:adjustRightInd w:val="0"/>
              <w:rPr>
                <w:b/>
                <w:bCs/>
                <w:color w:val="000000"/>
                <w:sz w:val="20"/>
              </w:rPr>
            </w:pPr>
            <w:r>
              <w:rPr>
                <w:b/>
                <w:color w:val="000000"/>
                <w:sz w:val="20"/>
              </w:rPr>
              <w:t>Comissão/Comissões competente(s) quanto ao fundo</w:t>
            </w:r>
          </w:p>
          <w:p w:rsidR="00A6298E" w14:paraId="2A43360F" w14:textId="77777777">
            <w:pPr>
              <w:autoSpaceDE w:val="0"/>
              <w:autoSpaceDN w:val="0"/>
              <w:adjustRightInd w:val="0"/>
              <w:rPr>
                <w:color w:val="000000"/>
                <w:sz w:val="20"/>
              </w:rPr>
            </w:pPr>
            <w:r>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6298E" w14:paraId="6F7D9C16" w14:textId="77777777">
            <w:pPr>
              <w:autoSpaceDE w:val="0"/>
              <w:autoSpaceDN w:val="0"/>
              <w:adjustRightInd w:val="0"/>
              <w:rPr>
                <w:color w:val="000000"/>
                <w:sz w:val="20"/>
              </w:rPr>
            </w:pPr>
            <w:r>
              <w:rPr>
                <w:color w:val="000000"/>
                <w:sz w:val="20"/>
              </w:rPr>
              <w:t>LIBE</w:t>
            </w:r>
          </w:p>
          <w:p w:rsidR="00A6298E" w14:paraId="40D9F280"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298E" w14:paraId="0438F1B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298E" w14:paraId="179EC65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412ABF0F" w14:textId="77777777">
            <w:pPr>
              <w:autoSpaceDE w:val="0"/>
              <w:autoSpaceDN w:val="0"/>
              <w:adjustRightInd w:val="0"/>
              <w:rPr>
                <w:rFonts w:ascii="sans-serif" w:hAnsi="sans-serif" w:cs="sans-serif"/>
                <w:color w:val="000000"/>
              </w:rPr>
            </w:pPr>
          </w:p>
        </w:tc>
      </w:tr>
      <w:tr w14:paraId="28AC66C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65AC6DC5" w14:textId="77777777">
            <w:pPr>
              <w:autoSpaceDE w:val="0"/>
              <w:autoSpaceDN w:val="0"/>
              <w:adjustRightInd w:val="0"/>
              <w:rPr>
                <w:b/>
                <w:bCs/>
                <w:color w:val="000000"/>
                <w:sz w:val="20"/>
              </w:rPr>
            </w:pPr>
            <w:r>
              <w:rPr>
                <w:b/>
                <w:color w:val="000000"/>
                <w:sz w:val="20"/>
              </w:rPr>
              <w:t>Avaliação orçamental por</w:t>
            </w:r>
          </w:p>
          <w:p w:rsidR="00A6298E" w14:paraId="22FC1C4C" w14:textId="77777777">
            <w:pPr>
              <w:autoSpaceDE w:val="0"/>
              <w:autoSpaceDN w:val="0"/>
              <w:adjustRightInd w:val="0"/>
              <w:rPr>
                <w:color w:val="000000"/>
                <w:sz w:val="20"/>
              </w:rPr>
            </w:pPr>
            <w:r>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3CD66182" w14:textId="77777777">
            <w:pPr>
              <w:autoSpaceDE w:val="0"/>
              <w:autoSpaceDN w:val="0"/>
              <w:adjustRightInd w:val="0"/>
              <w:rPr>
                <w:color w:val="000000"/>
                <w:sz w:val="20"/>
              </w:rPr>
            </w:pPr>
            <w:r>
              <w:rPr>
                <w:color w:val="000000"/>
                <w:sz w:val="20"/>
              </w:rPr>
              <w:t>BUDG</w:t>
            </w:r>
          </w:p>
          <w:p w:rsidR="00A6298E" w14:paraId="07678029" w14:textId="77777777">
            <w:pPr>
              <w:autoSpaceDE w:val="0"/>
              <w:autoSpaceDN w:val="0"/>
              <w:adjustRightInd w:val="0"/>
              <w:rPr>
                <w:color w:val="000000"/>
                <w:sz w:val="20"/>
              </w:rPr>
            </w:pPr>
            <w:r>
              <w:rPr>
                <w:color w:val="000000"/>
                <w:sz w:val="20"/>
              </w:rPr>
              <w:t>23.10.2025</w:t>
            </w:r>
          </w:p>
        </w:tc>
      </w:tr>
      <w:tr w14:paraId="005A2C6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78EEED5A" w14:textId="77777777">
            <w:pPr>
              <w:autoSpaceDE w:val="0"/>
              <w:autoSpaceDN w:val="0"/>
              <w:adjustRightInd w:val="0"/>
              <w:rPr>
                <w:b/>
                <w:bCs/>
                <w:color w:val="000000"/>
                <w:sz w:val="20"/>
              </w:rPr>
            </w:pPr>
            <w:r>
              <w:rPr>
                <w:b/>
                <w:color w:val="000000"/>
                <w:sz w:val="20"/>
              </w:rPr>
              <w:t>Relator(a) da avaliação orçamental</w:t>
            </w:r>
          </w:p>
          <w:p w:rsidR="00A6298E" w14:paraId="01147D7A" w14:textId="77777777">
            <w:pPr>
              <w:autoSpaceDE w:val="0"/>
              <w:autoSpaceDN w:val="0"/>
              <w:adjustRightInd w:val="0"/>
              <w:rPr>
                <w:color w:val="000000"/>
                <w:sz w:val="20"/>
              </w:rPr>
            </w:pPr>
            <w:r>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0A1E5477" w14:textId="77777777">
            <w:pPr>
              <w:autoSpaceDE w:val="0"/>
              <w:autoSpaceDN w:val="0"/>
              <w:adjustRightInd w:val="0"/>
              <w:rPr>
                <w:color w:val="000000"/>
                <w:sz w:val="20"/>
              </w:rPr>
            </w:pPr>
            <w:r>
              <w:rPr>
                <w:color w:val="000000"/>
                <w:sz w:val="20"/>
              </w:rPr>
              <w:t>Matjaž Nemec</w:t>
            </w:r>
          </w:p>
          <w:p w:rsidR="00A6298E" w14:paraId="489B13FA" w14:textId="77777777">
            <w:pPr>
              <w:autoSpaceDE w:val="0"/>
              <w:autoSpaceDN w:val="0"/>
              <w:adjustRightInd w:val="0"/>
              <w:rPr>
                <w:color w:val="000000"/>
                <w:sz w:val="20"/>
              </w:rPr>
            </w:pPr>
            <w:r>
              <w:rPr>
                <w:color w:val="000000"/>
                <w:sz w:val="20"/>
              </w:rPr>
              <w:t>19.12.2025</w:t>
            </w:r>
          </w:p>
        </w:tc>
      </w:tr>
      <w:tr w14:paraId="5A6518E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1E658392" w14:textId="77777777">
            <w:pPr>
              <w:autoSpaceDE w:val="0"/>
              <w:autoSpaceDN w:val="0"/>
              <w:adjustRightInd w:val="0"/>
              <w:rPr>
                <w:b/>
                <w:bCs/>
                <w:color w:val="000000"/>
                <w:sz w:val="20"/>
              </w:rPr>
            </w:pPr>
            <w:r>
              <w:rPr>
                <w:b/>
                <w:color w:val="000000"/>
                <w:sz w:val="20"/>
              </w:rPr>
              <w:t>Exame em comissão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6298E" w14:paraId="377534F5" w14:textId="77777777">
            <w:pPr>
              <w:autoSpaceDE w:val="0"/>
              <w:autoSpaceDN w:val="0"/>
              <w:adjustRightInd w:val="0"/>
              <w:rPr>
                <w:color w:val="000000"/>
                <w:sz w:val="20"/>
              </w:rPr>
            </w:pPr>
            <w:r>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298E" w14:paraId="267D76B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6298E" w14:paraId="364030E9"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57A119BC" w14:textId="77777777">
            <w:pPr>
              <w:autoSpaceDE w:val="0"/>
              <w:autoSpaceDN w:val="0"/>
              <w:adjustRightInd w:val="0"/>
              <w:rPr>
                <w:rFonts w:ascii="sans-serif" w:hAnsi="sans-serif" w:cs="sans-serif"/>
                <w:color w:val="000000"/>
              </w:rPr>
            </w:pPr>
          </w:p>
        </w:tc>
      </w:tr>
      <w:tr w14:paraId="28125420"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6298E" w14:paraId="7378A343" w14:textId="77777777">
            <w:pPr>
              <w:autoSpaceDE w:val="0"/>
              <w:autoSpaceDN w:val="0"/>
              <w:adjustRightInd w:val="0"/>
              <w:rPr>
                <w:b/>
                <w:bCs/>
                <w:color w:val="000000"/>
                <w:sz w:val="20"/>
              </w:rPr>
            </w:pPr>
            <w:r>
              <w:rPr>
                <w:b/>
                <w:color w:val="000000"/>
                <w:sz w:val="20"/>
              </w:rPr>
              <w:t>Data de aprovação</w:t>
            </w:r>
          </w:p>
        </w:tc>
        <w:tc>
          <w:tcPr>
            <w:tcW w:w="1530" w:type="dxa"/>
            <w:tcBorders>
              <w:top w:val="nil"/>
              <w:left w:val="nil"/>
              <w:bottom w:val="single" w:sz="8" w:space="0" w:color="000000"/>
              <w:right w:val="nil"/>
            </w:tcBorders>
            <w:tcMar>
              <w:top w:w="79" w:type="dxa"/>
              <w:left w:w="79" w:type="dxa"/>
              <w:bottom w:w="79" w:type="dxa"/>
              <w:right w:w="79" w:type="dxa"/>
            </w:tcMar>
          </w:tcPr>
          <w:p w:rsidR="00A6298E" w14:paraId="761C49A2" w14:textId="77777777">
            <w:pPr>
              <w:autoSpaceDE w:val="0"/>
              <w:autoSpaceDN w:val="0"/>
              <w:adjustRightInd w:val="0"/>
              <w:rPr>
                <w:color w:val="000000"/>
                <w:sz w:val="20"/>
              </w:rPr>
            </w:pPr>
            <w:r>
              <w:rPr>
                <w:color w:val="000000"/>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A6298E" w14:paraId="3641B547"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6298E" w14:paraId="11D42E27"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6298E" w14:paraId="13FB3AFA" w14:textId="77777777">
            <w:pPr>
              <w:autoSpaceDE w:val="0"/>
              <w:autoSpaceDN w:val="0"/>
              <w:adjustRightInd w:val="0"/>
              <w:rPr>
                <w:rFonts w:ascii="sans-serif" w:hAnsi="sans-serif" w:cs="sans-serif"/>
                <w:color w:val="000000"/>
              </w:rPr>
            </w:pPr>
          </w:p>
        </w:tc>
      </w:tr>
      <w:tr w14:paraId="723443E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6298E" w14:paraId="62321827" w14:textId="77777777">
            <w:pPr>
              <w:autoSpaceDE w:val="0"/>
              <w:autoSpaceDN w:val="0"/>
              <w:adjustRightInd w:val="0"/>
              <w:rPr>
                <w:b/>
                <w:bCs/>
                <w:color w:val="000000"/>
                <w:sz w:val="20"/>
              </w:rPr>
            </w:pPr>
            <w:r>
              <w:rPr>
                <w:b/>
                <w:color w:val="000000"/>
                <w:sz w:val="20"/>
              </w:rPr>
              <w:t>Resultado da votação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6298E" w14:paraId="36D589C7" w14:textId="77777777">
            <w:pPr>
              <w:autoSpaceDE w:val="0"/>
              <w:autoSpaceDN w:val="0"/>
              <w:adjustRightInd w:val="0"/>
              <w:rPr>
                <w:color w:val="000000"/>
                <w:sz w:val="20"/>
              </w:rPr>
            </w:pPr>
            <w:r>
              <w:rPr>
                <w:color w:val="000000"/>
                <w:sz w:val="20"/>
              </w:rPr>
              <w:t>+:</w:t>
            </w:r>
          </w:p>
          <w:p w:rsidR="00A6298E" w14:paraId="39136991" w14:textId="77777777">
            <w:pPr>
              <w:autoSpaceDE w:val="0"/>
              <w:autoSpaceDN w:val="0"/>
              <w:adjustRightInd w:val="0"/>
              <w:rPr>
                <w:color w:val="000000"/>
                <w:sz w:val="20"/>
              </w:rPr>
            </w:pPr>
            <w:r>
              <w:rPr>
                <w:color w:val="000000"/>
                <w:sz w:val="20"/>
              </w:rPr>
              <w:t>–:</w:t>
            </w:r>
          </w:p>
          <w:p w:rsidR="00A6298E" w14:paraId="38C5A416"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6298E" w14:paraId="1134B39E" w14:textId="77777777">
            <w:pPr>
              <w:autoSpaceDE w:val="0"/>
              <w:autoSpaceDN w:val="0"/>
              <w:adjustRightInd w:val="0"/>
              <w:rPr>
                <w:color w:val="000000"/>
                <w:sz w:val="20"/>
              </w:rPr>
            </w:pPr>
            <w:r>
              <w:rPr>
                <w:color w:val="000000"/>
                <w:sz w:val="20"/>
              </w:rPr>
              <w:t>23</w:t>
            </w:r>
          </w:p>
          <w:p w:rsidR="00A6298E" w14:paraId="2DDB5CC9" w14:textId="77777777">
            <w:pPr>
              <w:autoSpaceDE w:val="0"/>
              <w:autoSpaceDN w:val="0"/>
              <w:adjustRightInd w:val="0"/>
              <w:rPr>
                <w:color w:val="000000"/>
                <w:sz w:val="20"/>
              </w:rPr>
            </w:pPr>
            <w:r>
              <w:rPr>
                <w:color w:val="000000"/>
                <w:sz w:val="20"/>
              </w:rPr>
              <w:t>4</w:t>
            </w:r>
          </w:p>
          <w:p w:rsidR="00A6298E" w14:paraId="53836130" w14:textId="77777777">
            <w:pPr>
              <w:autoSpaceDE w:val="0"/>
              <w:autoSpaceDN w:val="0"/>
              <w:adjustRightInd w:val="0"/>
              <w:rPr>
                <w:color w:val="000000"/>
                <w:sz w:val="20"/>
              </w:rPr>
            </w:pPr>
            <w:r>
              <w:rPr>
                <w:color w:val="000000"/>
                <w:sz w:val="20"/>
              </w:rPr>
              <w:t>1</w:t>
            </w:r>
          </w:p>
        </w:tc>
      </w:tr>
    </w:tbl>
    <w:p w:rsidR="00A6298E" w:rsidRPr="00BA03E1" w:rsidP="00BA03E1" w14:paraId="5A1EE4F7" w14:textId="77777777"/>
    <w:bookmarkEnd w:id="3"/>
    <w:p w:rsidR="00BA03E1" w:rsidP="00A6298E" w14:paraId="6E42B9F5" w14:textId="77777777">
      <w:pPr>
        <w:sectPr w:rsidSect="00BA03E1">
          <w:pgSz w:w="11894" w:h="15840"/>
          <w:pgMar w:top="1700" w:right="1417" w:bottom="1417" w:left="1417" w:header="720" w:footer="720" w:gutter="0"/>
          <w:cols w:space="720"/>
          <w:noEndnote/>
          <w:docGrid w:linePitch="326"/>
        </w:sectPr>
      </w:pPr>
    </w:p>
    <w:p w:rsidR="00BA03E1" w:rsidRPr="0099178F" w:rsidP="00C36610" w14:paraId="10E4F13B" w14:textId="77777777">
      <w:pPr>
        <w:pStyle w:val="PageHeadingNotTOC"/>
      </w:pPr>
      <w:bookmarkStart w:id="4" w:name="RollCallPageAD"/>
      <w:r>
        <w:t>VOTAÇÃO NOMINAL FINAL</w:t>
      </w:r>
      <w:r>
        <w:br/>
        <w:t>NA COMISSÃO ENCARREGADA DA AVALIAÇÃO ORÇAMENTAL</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641200" w14:textId="77777777" w:rsidTr="00D81B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A03E1" w:rsidRPr="00FA44DD" w:rsidP="00D81B04" w14:paraId="3A071669" w14:textId="77777777">
            <w:pPr>
              <w:pStyle w:val="RollCallVotes"/>
            </w:pPr>
            <w:r>
              <w:t>23</w:t>
            </w:r>
          </w:p>
        </w:tc>
        <w:tc>
          <w:tcPr>
            <w:tcW w:w="7371" w:type="dxa"/>
            <w:shd w:val="pct10" w:color="000000" w:fill="FFFFFF"/>
          </w:tcPr>
          <w:p w:rsidR="00BA03E1" w:rsidRPr="00FA44DD" w:rsidP="00D81B04" w14:paraId="3CF399E7" w14:textId="77777777">
            <w:pPr>
              <w:pStyle w:val="RollCallSymbols14pt"/>
            </w:pPr>
            <w:r>
              <w:t>+</w:t>
            </w:r>
          </w:p>
        </w:tc>
      </w:tr>
      <w:tr w14:paraId="0CDCF996"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62137718" w14:textId="77777777">
            <w:pPr>
              <w:pStyle w:val="RollCallTable"/>
            </w:pPr>
            <w:r>
              <w:t>NI</w:t>
            </w:r>
          </w:p>
        </w:tc>
        <w:tc>
          <w:tcPr>
            <w:tcW w:w="7371" w:type="dxa"/>
            <w:shd w:val="clear" w:color="auto" w:fill="FFFFFF"/>
          </w:tcPr>
          <w:p w:rsidR="00BA03E1" w:rsidRPr="00FA44DD" w:rsidP="00D81B04" w14:paraId="1FCCBF8B" w14:textId="77777777">
            <w:pPr>
              <w:pStyle w:val="RollCallTable"/>
            </w:pPr>
            <w:r>
              <w:t>Thomas Geisel</w:t>
            </w:r>
          </w:p>
        </w:tc>
      </w:tr>
      <w:tr w14:paraId="086C7202"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145FAAEA" w14:textId="77777777">
            <w:pPr>
              <w:pStyle w:val="RollCallTable"/>
            </w:pPr>
            <w:r>
              <w:t>PPE</w:t>
            </w:r>
          </w:p>
        </w:tc>
        <w:tc>
          <w:tcPr>
            <w:tcW w:w="7371" w:type="dxa"/>
            <w:shd w:val="clear" w:color="auto" w:fill="FFFFFF"/>
          </w:tcPr>
          <w:p w:rsidR="00BA03E1" w:rsidRPr="00FA44DD" w:rsidP="00D81B04" w14:paraId="352C880F" w14:textId="77777777">
            <w:pPr>
              <w:pStyle w:val="RollCallTable"/>
            </w:pPr>
            <w:r>
              <w:t>Georgios Aftias, Monika Hohlmeier, Janusz Lewandowski, Danuše Nerudová, Jacek Protas, Jüri Ratas, Hélder Sousa Silva</w:t>
            </w:r>
          </w:p>
        </w:tc>
      </w:tr>
      <w:tr w14:paraId="2C7BA8AF"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435E5FF0" w14:textId="77777777">
            <w:pPr>
              <w:pStyle w:val="RollCallTable"/>
            </w:pPr>
            <w:r>
              <w:t>PfE</w:t>
            </w:r>
          </w:p>
        </w:tc>
        <w:tc>
          <w:tcPr>
            <w:tcW w:w="7371" w:type="dxa"/>
            <w:shd w:val="clear" w:color="auto" w:fill="FFFFFF"/>
          </w:tcPr>
          <w:p w:rsidR="00BA03E1" w:rsidRPr="00FA44DD" w:rsidP="00D81B04" w14:paraId="16935048" w14:textId="77777777">
            <w:pPr>
              <w:pStyle w:val="RollCallTable"/>
            </w:pPr>
            <w:r>
              <w:t xml:space="preserve">Jaroslav </w:t>
            </w:r>
            <w:r>
              <w:t>Bžoch, Jaroslava Pokorná Jermanová</w:t>
            </w:r>
          </w:p>
        </w:tc>
      </w:tr>
      <w:tr w14:paraId="3660A8F7"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1F0302D7" w14:textId="77777777">
            <w:pPr>
              <w:pStyle w:val="RollCallTable"/>
            </w:pPr>
            <w:r>
              <w:t>Renew</w:t>
            </w:r>
          </w:p>
        </w:tc>
        <w:tc>
          <w:tcPr>
            <w:tcW w:w="7371" w:type="dxa"/>
            <w:shd w:val="clear" w:color="auto" w:fill="FFFFFF"/>
          </w:tcPr>
          <w:p w:rsidR="00BA03E1" w:rsidRPr="00FA44DD" w:rsidP="00D81B04" w14:paraId="5190AD99" w14:textId="77777777">
            <w:pPr>
              <w:pStyle w:val="RollCallTable"/>
            </w:pPr>
            <w:r>
              <w:t>Olivier Chastel, Fabienne Keller, Joachim Streit, Lucia Yar</w:t>
            </w:r>
          </w:p>
        </w:tc>
      </w:tr>
      <w:tr w14:paraId="246474D4"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353ED22A" w14:textId="77777777">
            <w:pPr>
              <w:pStyle w:val="RollCallTable"/>
            </w:pPr>
            <w:r>
              <w:t>S&amp;D</w:t>
            </w:r>
          </w:p>
        </w:tc>
        <w:tc>
          <w:tcPr>
            <w:tcW w:w="7371" w:type="dxa"/>
            <w:shd w:val="clear" w:color="auto" w:fill="FFFFFF"/>
          </w:tcPr>
          <w:p w:rsidR="00BA03E1" w:rsidRPr="00FA44DD" w:rsidP="00D81B04" w14:paraId="46116535" w14:textId="62EC8B7B">
            <w:pPr>
              <w:pStyle w:val="RollCallTable"/>
            </w:pPr>
            <w:r>
              <w:t>Matthias Ecke, Jean</w:t>
            </w:r>
            <w:r>
              <w:noBreakHyphen/>
            </w:r>
            <w:r>
              <w:t>Marc Germain, Sandra Gómez López, Giuseppe Lupo, Matjaž Nemec, Carla Tavares, Nils Ušakovs</w:t>
            </w:r>
          </w:p>
        </w:tc>
      </w:tr>
      <w:tr w14:paraId="34F40467"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3CE2A2F0" w14:textId="77777777">
            <w:pPr>
              <w:pStyle w:val="RollCallTable"/>
            </w:pPr>
            <w:r>
              <w:t>Verts/ALE</w:t>
            </w:r>
          </w:p>
        </w:tc>
        <w:tc>
          <w:tcPr>
            <w:tcW w:w="7371" w:type="dxa"/>
            <w:shd w:val="clear" w:color="auto" w:fill="FFFFFF"/>
          </w:tcPr>
          <w:p w:rsidR="00BA03E1" w:rsidRPr="00FA44DD" w:rsidP="00D81B04" w14:paraId="5D919452" w14:textId="77777777">
            <w:pPr>
              <w:pStyle w:val="RollCallTable"/>
            </w:pPr>
            <w:r>
              <w:t>Ignazio Roberto Marino, Rasmus Nordqvist</w:t>
            </w:r>
          </w:p>
        </w:tc>
      </w:tr>
    </w:tbl>
    <w:p w:rsidR="00BA03E1" w:rsidRPr="00FA44DD" w:rsidP="00BA03E1" w14:paraId="1059AB81"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B893DD5" w14:textId="77777777" w:rsidTr="00D81B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A03E1" w:rsidRPr="00FA44DD" w:rsidP="00D81B04" w14:paraId="5B151D4C" w14:textId="77777777">
            <w:pPr>
              <w:pStyle w:val="RollCallVotes"/>
            </w:pPr>
            <w:r>
              <w:t>4</w:t>
            </w:r>
          </w:p>
        </w:tc>
        <w:tc>
          <w:tcPr>
            <w:tcW w:w="7371" w:type="dxa"/>
            <w:shd w:val="pct10" w:color="000000" w:fill="FFFFFF"/>
          </w:tcPr>
          <w:p w:rsidR="00BA03E1" w:rsidRPr="00FA44DD" w:rsidP="00D81B04" w14:paraId="5411D79B" w14:textId="2143664A">
            <w:pPr>
              <w:pStyle w:val="RollCallSymbols14pt"/>
            </w:pPr>
            <w:r>
              <w:noBreakHyphen/>
            </w:r>
          </w:p>
        </w:tc>
      </w:tr>
      <w:tr w14:paraId="27703F29"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6B15FD20" w14:textId="77777777">
            <w:pPr>
              <w:pStyle w:val="RollCallTable"/>
            </w:pPr>
            <w:r>
              <w:t>ESN</w:t>
            </w:r>
          </w:p>
        </w:tc>
        <w:tc>
          <w:tcPr>
            <w:tcW w:w="7371" w:type="dxa"/>
            <w:shd w:val="clear" w:color="auto" w:fill="FFFFFF"/>
          </w:tcPr>
          <w:p w:rsidR="00BA03E1" w:rsidRPr="00FA44DD" w:rsidP="00D81B04" w14:paraId="459CB248" w14:textId="77777777">
            <w:pPr>
              <w:pStyle w:val="RollCallTable"/>
            </w:pPr>
            <w:r>
              <w:t>Alexander Jungbluth</w:t>
            </w:r>
          </w:p>
        </w:tc>
      </w:tr>
      <w:tr w14:paraId="0874F170"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1833DAEB" w14:textId="77777777">
            <w:pPr>
              <w:pStyle w:val="RollCallTable"/>
            </w:pPr>
            <w:r>
              <w:t>PfE</w:t>
            </w:r>
          </w:p>
        </w:tc>
        <w:tc>
          <w:tcPr>
            <w:tcW w:w="7371" w:type="dxa"/>
            <w:shd w:val="clear" w:color="auto" w:fill="FFFFFF"/>
          </w:tcPr>
          <w:p w:rsidR="00BA03E1" w:rsidRPr="00FA44DD" w:rsidP="00D81B04" w14:paraId="186226BD" w14:textId="77777777">
            <w:pPr>
              <w:pStyle w:val="RollCallTable"/>
            </w:pPr>
            <w:r>
              <w:t>Angéline Furet, Julien Sanchez, Auke Zijlstra</w:t>
            </w:r>
          </w:p>
        </w:tc>
      </w:tr>
    </w:tbl>
    <w:p w:rsidR="00BA03E1" w:rsidRPr="00FA44DD" w:rsidP="00BA03E1" w14:paraId="095F01D3" w14:textId="77777777">
      <w:pPr>
        <w:rPr>
          <w:lang w:val="fr-B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698858E" w14:textId="77777777" w:rsidTr="00D81B04">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BA03E1" w:rsidRPr="00FA44DD" w:rsidP="00D81B04" w14:paraId="1CD5AE9B" w14:textId="77777777">
            <w:pPr>
              <w:pStyle w:val="RollCallVotes"/>
            </w:pPr>
            <w:r>
              <w:t>1</w:t>
            </w:r>
          </w:p>
        </w:tc>
        <w:tc>
          <w:tcPr>
            <w:tcW w:w="7371" w:type="dxa"/>
            <w:shd w:val="pct10" w:color="000000" w:fill="FFFFFF"/>
          </w:tcPr>
          <w:p w:rsidR="00BA03E1" w:rsidRPr="00FA44DD" w:rsidP="00D81B04" w14:paraId="4C983791" w14:textId="77777777">
            <w:pPr>
              <w:pStyle w:val="RollCallSymbols14pt"/>
            </w:pPr>
            <w:r>
              <w:t>0</w:t>
            </w:r>
          </w:p>
        </w:tc>
      </w:tr>
      <w:tr w14:paraId="6A6D7E35" w14:textId="77777777" w:rsidTr="00D81B04">
        <w:tblPrEx>
          <w:tblW w:w="0" w:type="auto"/>
          <w:tblInd w:w="145" w:type="dxa"/>
          <w:tblLayout w:type="fixed"/>
          <w:tblCellMar>
            <w:left w:w="145" w:type="dxa"/>
            <w:right w:w="145" w:type="dxa"/>
          </w:tblCellMar>
          <w:tblLook w:val="0000"/>
        </w:tblPrEx>
        <w:trPr>
          <w:cantSplit/>
        </w:trPr>
        <w:tc>
          <w:tcPr>
            <w:tcW w:w="1701" w:type="dxa"/>
            <w:shd w:val="clear" w:color="auto" w:fill="FFFFFF"/>
          </w:tcPr>
          <w:p w:rsidR="00BA03E1" w:rsidRPr="00FA44DD" w:rsidP="00D81B04" w14:paraId="24483DD4" w14:textId="77777777">
            <w:pPr>
              <w:pStyle w:val="RollCallTable"/>
            </w:pPr>
            <w:r>
              <w:t>ECR</w:t>
            </w:r>
          </w:p>
        </w:tc>
        <w:tc>
          <w:tcPr>
            <w:tcW w:w="7371" w:type="dxa"/>
            <w:shd w:val="clear" w:color="auto" w:fill="FFFFFF"/>
          </w:tcPr>
          <w:p w:rsidR="00BA03E1" w:rsidRPr="00FA44DD" w:rsidP="00D81B04" w14:paraId="0278AC0F" w14:textId="77777777">
            <w:pPr>
              <w:pStyle w:val="RollCallTable"/>
            </w:pPr>
            <w:r>
              <w:t>Ruggero Razza</w:t>
            </w:r>
          </w:p>
        </w:tc>
      </w:tr>
    </w:tbl>
    <w:p w:rsidR="00BA03E1" w:rsidP="00147FBF" w14:paraId="058FB165" w14:textId="77777777">
      <w:pPr>
        <w:pStyle w:val="Normal12a"/>
      </w:pPr>
    </w:p>
    <w:p w:rsidR="00BA03E1" w:rsidP="00B735E3" w14:paraId="749516A7" w14:textId="77777777">
      <w:r>
        <w:t>Legenda dos símbolos utilizados:</w:t>
      </w:r>
    </w:p>
    <w:p w:rsidR="00BA03E1" w:rsidP="003858C5" w14:paraId="1692EFE5" w14:textId="77777777">
      <w:pPr>
        <w:pStyle w:val="RollCallTabs"/>
      </w:pPr>
      <w:r>
        <w:t>+</w:t>
      </w:r>
      <w:r>
        <w:tab/>
        <w:t>:</w:t>
      </w:r>
      <w:r>
        <w:tab/>
        <w:t>votos a favor</w:t>
      </w:r>
    </w:p>
    <w:p w:rsidR="00BA03E1" w:rsidP="003858C5" w14:paraId="1E09D4F9" w14:textId="763324BC">
      <w:pPr>
        <w:pStyle w:val="RollCallTabs"/>
      </w:pPr>
      <w:r>
        <w:noBreakHyphen/>
      </w:r>
      <w:r>
        <w:tab/>
        <w:t>:</w:t>
      </w:r>
      <w:r>
        <w:tab/>
        <w:t>votos contra</w:t>
      </w:r>
    </w:p>
    <w:p w:rsidR="00BA03E1" w:rsidP="003858C5" w14:paraId="7A3C1172" w14:textId="77777777">
      <w:pPr>
        <w:pStyle w:val="RollCallTabs"/>
      </w:pPr>
      <w:r>
        <w:t>0</w:t>
      </w:r>
      <w:r>
        <w:tab/>
        <w:t>:</w:t>
      </w:r>
      <w:r>
        <w:tab/>
        <w:t>abstenções</w:t>
      </w:r>
    </w:p>
    <w:p w:rsidR="00BA03E1" w:rsidP="00207509" w14:paraId="6D763D12" w14:textId="77777777"/>
    <w:bookmarkEnd w:id="4"/>
    <w:p w:rsidR="00A6298E" w:rsidRPr="00BA03E1" w:rsidP="00A6298E" w14:paraId="6C11C2B7" w14:textId="77777777"/>
    <w:sectPr w:rsidSect="00BA03E1">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98E" w:rsidP="00A6298E" w14:paraId="7FAD12EF" w14:textId="0BE0CB4B">
    <w:pPr>
      <w:pStyle w:val="EPFooter"/>
    </w:pPr>
    <w:r>
      <w:t>PE</w:t>
    </w:r>
    <w:r w:rsidRPr="00A6298E">
      <w:rPr>
        <w:rStyle w:val="HideTWBExt"/>
      </w:rPr>
      <w:t>&lt;NoPE&gt;</w:t>
    </w:r>
    <w:r>
      <w:t>786.988</w:t>
    </w:r>
    <w:r w:rsidRPr="00A6298E">
      <w:rPr>
        <w:rStyle w:val="HideTWBExt"/>
      </w:rPr>
      <w:t>&lt;/NoPE&gt;&lt;Version&gt;</w:t>
    </w:r>
    <w:r>
      <w:t>v02</w:t>
    </w:r>
    <w:r>
      <w:noBreakHyphen/>
    </w:r>
    <w:r>
      <w:t>00</w:t>
    </w:r>
    <w:r w:rsidRPr="00A6298E">
      <w:rPr>
        <w:rStyle w:val="HideTWBExt"/>
      </w:rPr>
      <w:t>&lt;/Version&gt;</w:t>
    </w:r>
    <w:r>
      <w:tab/>
    </w:r>
    <w:r>
      <w:fldChar w:fldCharType="begin"/>
    </w:r>
    <w:r>
      <w:instrText xml:space="preserve"> PAGE  \* MERGEFORMAT </w:instrText>
    </w:r>
    <w:r>
      <w:fldChar w:fldCharType="separate"/>
    </w:r>
    <w:r>
      <w:rPr>
        <w:noProof/>
      </w:rPr>
      <w:t>6</w:t>
    </w:r>
    <w:r>
      <w:fldChar w:fldCharType="end"/>
    </w:r>
    <w:r>
      <w:t>/</w:t>
    </w:r>
    <w:r>
      <w:fldChar w:fldCharType="begin"/>
    </w:r>
    <w:r>
      <w:instrText xml:space="preserve"> NUMPAGES  \* MERGEFORMAT </w:instrText>
    </w:r>
    <w:r>
      <w:fldChar w:fldCharType="separate"/>
    </w:r>
    <w:r>
      <w:rPr>
        <w:noProof/>
      </w:rPr>
      <w:t>8</w:t>
    </w:r>
    <w:r>
      <w:rPr>
        <w:noProof/>
      </w:rPr>
      <w:fldChar w:fldCharType="end"/>
    </w:r>
    <w:r>
      <w:tab/>
    </w:r>
    <w:r w:rsidRPr="00A6298E">
      <w:rPr>
        <w:rStyle w:val="HideTWBExt"/>
      </w:rPr>
      <w:t>&lt;PathFdR&gt;</w:t>
    </w:r>
    <w:r>
      <w:t>AD\1347131PT.docx</w:t>
    </w:r>
    <w:r w:rsidRPr="00A6298E">
      <w:rPr>
        <w:rStyle w:val="HideTWBExt"/>
      </w:rPr>
      <w:t>&lt;/PathFdR&gt;</w:t>
    </w:r>
  </w:p>
  <w:p w:rsidR="002E2F2E" w:rsidRPr="00C20A52" w:rsidP="00A6298E" w14:paraId="2DBC6598" w14:textId="77777777">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98E" w:rsidP="00A6298E" w14:paraId="17ED82F5" w14:textId="3E0FE6EF">
    <w:pPr>
      <w:pStyle w:val="EPFooter"/>
    </w:pPr>
    <w:r w:rsidRPr="00A6298E">
      <w:rPr>
        <w:rStyle w:val="HideTWBExt"/>
      </w:rPr>
      <w:t>&lt;PathFdR&gt;</w:t>
    </w:r>
    <w:r>
      <w:t>AD\1347131PT.docx</w:t>
    </w:r>
    <w:r w:rsidRPr="00A6298E">
      <w:rPr>
        <w:rStyle w:val="HideTWBExt"/>
      </w:rPr>
      <w:t>&lt;/PathFdR&gt;</w:t>
    </w:r>
    <w:r>
      <w:tab/>
    </w:r>
    <w:r>
      <w:fldChar w:fldCharType="begin"/>
    </w:r>
    <w:r>
      <w:instrText xml:space="preserve"> PAGE  \* MERGEFORMAT </w:instrText>
    </w:r>
    <w:r>
      <w:fldChar w:fldCharType="separate"/>
    </w:r>
    <w:r>
      <w:rPr>
        <w:noProof/>
      </w:rPr>
      <w:t>7</w:t>
    </w:r>
    <w:r>
      <w:fldChar w:fldCharType="end"/>
    </w:r>
    <w:r>
      <w:t>/</w:t>
    </w:r>
    <w:r>
      <w:fldChar w:fldCharType="begin"/>
    </w:r>
    <w:r>
      <w:instrText xml:space="preserve"> NUMPAGES  \* MERGEFORMAT </w:instrText>
    </w:r>
    <w:r>
      <w:fldChar w:fldCharType="separate"/>
    </w:r>
    <w:r>
      <w:rPr>
        <w:noProof/>
      </w:rPr>
      <w:t>8</w:t>
    </w:r>
    <w:r>
      <w:rPr>
        <w:noProof/>
      </w:rPr>
      <w:fldChar w:fldCharType="end"/>
    </w:r>
    <w:r>
      <w:tab/>
      <w:t>PE</w:t>
    </w:r>
    <w:r w:rsidRPr="00A6298E">
      <w:rPr>
        <w:rStyle w:val="HideTWBExt"/>
      </w:rPr>
      <w:t>&lt;NoPE&gt;</w:t>
    </w:r>
    <w:r>
      <w:t>786.988</w:t>
    </w:r>
    <w:r w:rsidRPr="00A6298E">
      <w:rPr>
        <w:rStyle w:val="HideTWBExt"/>
      </w:rPr>
      <w:t>&lt;/NoPE&gt;&lt;Version&gt;</w:t>
    </w:r>
    <w:r>
      <w:t>v02</w:t>
    </w:r>
    <w:r>
      <w:noBreakHyphen/>
    </w:r>
    <w:r>
      <w:t>00</w:t>
    </w:r>
    <w:r w:rsidRPr="00A6298E">
      <w:rPr>
        <w:rStyle w:val="HideTWBExt"/>
      </w:rPr>
      <w:t>&lt;/Version&gt;</w:t>
    </w:r>
  </w:p>
  <w:p w:rsidR="002E2F2E" w:rsidRPr="00C20A52" w:rsidP="00A6298E" w14:paraId="0DC5A755" w14:textId="77777777">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298E" w:rsidP="00A6298E" w14:paraId="349FEC02" w14:textId="43854405">
    <w:pPr>
      <w:pStyle w:val="EPFooter"/>
    </w:pPr>
    <w:r w:rsidRPr="00A6298E">
      <w:rPr>
        <w:rStyle w:val="HideTWBExt"/>
      </w:rPr>
      <w:t>&lt;PathFdR&gt;</w:t>
    </w:r>
    <w:r>
      <w:t>AD\1347131PT.docx</w:t>
    </w:r>
    <w:r w:rsidRPr="00A6298E">
      <w:rPr>
        <w:rStyle w:val="HideTWBExt"/>
      </w:rPr>
      <w:t>&lt;/PathFdR&gt;</w:t>
    </w:r>
    <w:r>
      <w:tab/>
    </w:r>
    <w:r>
      <w:tab/>
      <w:t>PE</w:t>
    </w:r>
    <w:r w:rsidRPr="00A6298E">
      <w:rPr>
        <w:rStyle w:val="HideTWBExt"/>
      </w:rPr>
      <w:t>&lt;NoPE&gt;</w:t>
    </w:r>
    <w:r>
      <w:t>786.988</w:t>
    </w:r>
    <w:r w:rsidRPr="00A6298E">
      <w:rPr>
        <w:rStyle w:val="HideTWBExt"/>
      </w:rPr>
      <w:t>&lt;/NoPE&gt;&lt;Version&gt;</w:t>
    </w:r>
    <w:r>
      <w:t>v02</w:t>
    </w:r>
    <w:r>
      <w:noBreakHyphen/>
    </w:r>
    <w:r>
      <w:t>00</w:t>
    </w:r>
    <w:r w:rsidRPr="00A6298E">
      <w:rPr>
        <w:rStyle w:val="HideTWBExt"/>
      </w:rPr>
      <w:t>&lt;/Version&gt;</w:t>
    </w:r>
  </w:p>
  <w:p w:rsidR="002E2F2E" w:rsidRPr="00C20A52" w:rsidP="00A6298E" w14:paraId="762DE735" w14:textId="77777777">
    <w:pPr>
      <w:pStyle w:val="EPFooter2"/>
    </w:pPr>
    <w:r>
      <w:t>PT</w:t>
    </w:r>
    <w:r>
      <w:tab/>
    </w:r>
    <w:r w:rsidRPr="00A6298E">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0A77" w:rsidRPr="00C20A52" w14:paraId="7CCBF20C" w14:textId="77777777">
      <w:r w:rsidRPr="00C20A52">
        <w:separator/>
      </w:r>
    </w:p>
  </w:footnote>
  <w:footnote w:type="continuationSeparator" w:id="1">
    <w:p w:rsidR="002B0A77" w:rsidRPr="00C20A52" w14:paraId="3C95AFA5" w14:textId="77777777">
      <w:r w:rsidRPr="00C20A52">
        <w:continuationSeparator/>
      </w:r>
    </w:p>
  </w:footnote>
  <w:footnote w:id="2">
    <w:p w:rsidR="00BA03E1" w:rsidRPr="00FA44DD" w:rsidP="00BA03E1" w14:paraId="54125D01" w14:textId="77777777">
      <w:pPr>
        <w:pStyle w:val="FootnoteText"/>
      </w:pPr>
      <w:r>
        <w:rPr>
          <w:rStyle w:val="FootnoteReference"/>
        </w:rPr>
        <w:footnoteRef/>
      </w:r>
      <w:r>
        <w:t xml:space="preserve"> COM(2025)0541.</w:t>
      </w:r>
    </w:p>
  </w:footnote>
  <w:footnote w:id="3">
    <w:p w:rsidR="00BA03E1" w:rsidRPr="00FA44DD" w:rsidP="00BA03E1" w14:paraId="5F86C6F4" w14:textId="77777777">
      <w:pPr>
        <w:pStyle w:val="FootnoteText"/>
      </w:pPr>
      <w:r>
        <w:rPr>
          <w:rStyle w:val="FootnoteReference"/>
        </w:rPr>
        <w:footnoteRef/>
      </w:r>
      <w:r>
        <w:t xml:space="preserve"> COM(2025)0542.</w:t>
      </w:r>
    </w:p>
  </w:footnote>
  <w:footnote w:id="4">
    <w:p w:rsidR="00BA03E1" w:rsidRPr="00FA44DD" w:rsidP="00BA03E1" w14:paraId="508B6571" w14:textId="77777777">
      <w:pPr>
        <w:pStyle w:val="FootnoteText"/>
      </w:pPr>
      <w:r>
        <w:rPr>
          <w:rStyle w:val="FootnoteReference"/>
        </w:rPr>
        <w:footnoteRef/>
      </w:r>
      <w:r>
        <w:t xml:space="preserve"> COM(2025)0565.</w:t>
      </w:r>
    </w:p>
  </w:footnote>
  <w:footnote w:id="5">
    <w:p w:rsidR="00BA03E1" w:rsidRPr="00FA44DD" w:rsidP="00BA03E1" w14:paraId="0EBF81FC" w14:textId="77777777">
      <w:pPr>
        <w:pStyle w:val="FootnoteText"/>
      </w:pPr>
      <w:r>
        <w:rPr>
          <w:rStyle w:val="FootnoteReference"/>
        </w:rPr>
        <w:footnoteRef/>
      </w:r>
      <w:r>
        <w:t xml:space="preserve"> Regulamento (UE, </w:t>
      </w:r>
      <w:r>
        <w:t xml:space="preserve">Euratom) 2024/2509 do Parlamento Europeu e do Conselho, de 23 de setembro de 2024, relativo às regras financeiras aplicáveis ao orçamento geral da União (JO L, 2024/2509, 26.9.2024, ELI: </w:t>
      </w:r>
      <w:hyperlink r:id="rId1" w:history="1">
        <w:r>
          <w:rPr>
            <w:rStyle w:val="Hyperlink"/>
          </w:rPr>
          <w:t>http://data.europa.eu/eli/reg/2024/2509/oj</w:t>
        </w:r>
      </w:hyperlink>
      <w:r>
        <w:t xml:space="preserve">). </w:t>
      </w:r>
    </w:p>
  </w:footnote>
  <w:footnote w:id="6">
    <w:p w:rsidR="00BA03E1" w:rsidRPr="00FA44DD" w:rsidP="00BA03E1" w14:paraId="63EA6388" w14:textId="77777777">
      <w:pPr>
        <w:pStyle w:val="FootnoteText"/>
      </w:pPr>
      <w:r>
        <w:rPr>
          <w:rStyle w:val="FootnoteReference"/>
        </w:rPr>
        <w:footnoteRef/>
      </w:r>
      <w:r>
        <w:t xml:space="preserve"> COM(2025)0545.</w:t>
      </w:r>
    </w:p>
  </w:footnote>
  <w:footnote w:id="7">
    <w:p w:rsidR="00BA03E1" w:rsidRPr="00FA44DD" w:rsidP="00BA03E1" w14:paraId="31F94115" w14:textId="77777777">
      <w:pPr>
        <w:pStyle w:val="FootnoteText"/>
      </w:pPr>
      <w:r>
        <w:rPr>
          <w:rStyle w:val="FootnoteReference"/>
        </w:rPr>
        <w:footnoteRef/>
      </w:r>
      <w:r>
        <w:t xml:space="preserve"> Acordo Interinstitucional de 20 de maio de 2021 entre o Parlamento Europeu, o Conselho da União Europeia e a Comissão Europeia sobre um Registo de Transparência Obrigatório (JO L 207 de 11.6.2021, p.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03E1" w14:paraId="0B70F9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03E1" w14:paraId="23A9AE4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03E1" w14:paraId="0DAA38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F13283C"/>
    <w:multiLevelType w:val="hybridMultilevel"/>
    <w:tmpl w:val="247AB412"/>
    <w:lvl w:ilvl="0">
      <w:start w:val="1"/>
      <w:numFmt w:val="decimal"/>
      <w:lvlText w:val="%1."/>
      <w:lvlJc w:val="left"/>
      <w:pPr>
        <w:ind w:left="1146"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2A"/>
    <w:rsid w:val="00006F54"/>
    <w:rsid w:val="00007C5D"/>
    <w:rsid w:val="0001217E"/>
    <w:rsid w:val="0003367A"/>
    <w:rsid w:val="00037B2A"/>
    <w:rsid w:val="00092C32"/>
    <w:rsid w:val="00096616"/>
    <w:rsid w:val="000A5638"/>
    <w:rsid w:val="000E2435"/>
    <w:rsid w:val="000E7EBF"/>
    <w:rsid w:val="00120A27"/>
    <w:rsid w:val="00124F60"/>
    <w:rsid w:val="00135121"/>
    <w:rsid w:val="00140BE6"/>
    <w:rsid w:val="001449F5"/>
    <w:rsid w:val="00147F4E"/>
    <w:rsid w:val="00147FBF"/>
    <w:rsid w:val="0016635E"/>
    <w:rsid w:val="00173215"/>
    <w:rsid w:val="001746D0"/>
    <w:rsid w:val="001B7393"/>
    <w:rsid w:val="001D2ED9"/>
    <w:rsid w:val="001E42AF"/>
    <w:rsid w:val="001F21C1"/>
    <w:rsid w:val="00207509"/>
    <w:rsid w:val="002172E3"/>
    <w:rsid w:val="0022476E"/>
    <w:rsid w:val="0022522D"/>
    <w:rsid w:val="002A0AC9"/>
    <w:rsid w:val="002B0A77"/>
    <w:rsid w:val="002D28A7"/>
    <w:rsid w:val="002E2F2E"/>
    <w:rsid w:val="002E4AA3"/>
    <w:rsid w:val="002E6F98"/>
    <w:rsid w:val="00325BCB"/>
    <w:rsid w:val="00331944"/>
    <w:rsid w:val="00332AD9"/>
    <w:rsid w:val="0033555E"/>
    <w:rsid w:val="003402B9"/>
    <w:rsid w:val="00347D2C"/>
    <w:rsid w:val="00362463"/>
    <w:rsid w:val="00367A50"/>
    <w:rsid w:val="0037356F"/>
    <w:rsid w:val="003858C5"/>
    <w:rsid w:val="00390EB2"/>
    <w:rsid w:val="00391AC1"/>
    <w:rsid w:val="00396A0E"/>
    <w:rsid w:val="003E2402"/>
    <w:rsid w:val="003F6D7C"/>
    <w:rsid w:val="00450A7E"/>
    <w:rsid w:val="004667D1"/>
    <w:rsid w:val="004672AE"/>
    <w:rsid w:val="00485C5C"/>
    <w:rsid w:val="004B5693"/>
    <w:rsid w:val="004C28FB"/>
    <w:rsid w:val="004C44C0"/>
    <w:rsid w:val="0052544E"/>
    <w:rsid w:val="00534C44"/>
    <w:rsid w:val="00543964"/>
    <w:rsid w:val="00552959"/>
    <w:rsid w:val="005822E4"/>
    <w:rsid w:val="005940C3"/>
    <w:rsid w:val="00594C48"/>
    <w:rsid w:val="005A02D7"/>
    <w:rsid w:val="005B2F11"/>
    <w:rsid w:val="005C0BDF"/>
    <w:rsid w:val="005C7F6F"/>
    <w:rsid w:val="005D60C6"/>
    <w:rsid w:val="005D6788"/>
    <w:rsid w:val="006102E7"/>
    <w:rsid w:val="00613985"/>
    <w:rsid w:val="00640C1B"/>
    <w:rsid w:val="00657AFB"/>
    <w:rsid w:val="00671BBE"/>
    <w:rsid w:val="006D5BF7"/>
    <w:rsid w:val="00757C4C"/>
    <w:rsid w:val="007638D0"/>
    <w:rsid w:val="007B5CC7"/>
    <w:rsid w:val="007F2971"/>
    <w:rsid w:val="00800EDC"/>
    <w:rsid w:val="00825069"/>
    <w:rsid w:val="008313E7"/>
    <w:rsid w:val="00852263"/>
    <w:rsid w:val="00854CAC"/>
    <w:rsid w:val="00873BF3"/>
    <w:rsid w:val="008A32C5"/>
    <w:rsid w:val="008C6203"/>
    <w:rsid w:val="008C6F8B"/>
    <w:rsid w:val="008D5E2A"/>
    <w:rsid w:val="008D61E7"/>
    <w:rsid w:val="008E2BE3"/>
    <w:rsid w:val="008F33FC"/>
    <w:rsid w:val="008F7002"/>
    <w:rsid w:val="00941D66"/>
    <w:rsid w:val="009626A8"/>
    <w:rsid w:val="0099178F"/>
    <w:rsid w:val="0099493F"/>
    <w:rsid w:val="00A16BEA"/>
    <w:rsid w:val="00A312B3"/>
    <w:rsid w:val="00A47E2F"/>
    <w:rsid w:val="00A56164"/>
    <w:rsid w:val="00A6298E"/>
    <w:rsid w:val="00A72C35"/>
    <w:rsid w:val="00A92590"/>
    <w:rsid w:val="00AB5733"/>
    <w:rsid w:val="00AC5AAD"/>
    <w:rsid w:val="00AE180F"/>
    <w:rsid w:val="00AE5581"/>
    <w:rsid w:val="00AE79AF"/>
    <w:rsid w:val="00B362F7"/>
    <w:rsid w:val="00B5456B"/>
    <w:rsid w:val="00B735E3"/>
    <w:rsid w:val="00B74B53"/>
    <w:rsid w:val="00B766CD"/>
    <w:rsid w:val="00B87BB2"/>
    <w:rsid w:val="00BA03E1"/>
    <w:rsid w:val="00BC26E4"/>
    <w:rsid w:val="00BD1EAA"/>
    <w:rsid w:val="00BF0AFC"/>
    <w:rsid w:val="00BF6786"/>
    <w:rsid w:val="00C16BCA"/>
    <w:rsid w:val="00C20A52"/>
    <w:rsid w:val="00C36610"/>
    <w:rsid w:val="00C52739"/>
    <w:rsid w:val="00C827FF"/>
    <w:rsid w:val="00C8553D"/>
    <w:rsid w:val="00C85D0F"/>
    <w:rsid w:val="00CB0758"/>
    <w:rsid w:val="00CD34AC"/>
    <w:rsid w:val="00CE6558"/>
    <w:rsid w:val="00D006EE"/>
    <w:rsid w:val="00D318E7"/>
    <w:rsid w:val="00D7202C"/>
    <w:rsid w:val="00D81B04"/>
    <w:rsid w:val="00D8294E"/>
    <w:rsid w:val="00D8432D"/>
    <w:rsid w:val="00D877AF"/>
    <w:rsid w:val="00DC4F54"/>
    <w:rsid w:val="00DD5311"/>
    <w:rsid w:val="00DE19FF"/>
    <w:rsid w:val="00E81BA6"/>
    <w:rsid w:val="00E856D2"/>
    <w:rsid w:val="00E929A7"/>
    <w:rsid w:val="00EA4285"/>
    <w:rsid w:val="00EB761F"/>
    <w:rsid w:val="00F15A38"/>
    <w:rsid w:val="00F22669"/>
    <w:rsid w:val="00F443CC"/>
    <w:rsid w:val="00F83AB9"/>
    <w:rsid w:val="00FA44DD"/>
    <w:rsid w:val="00FC228C"/>
    <w:rsid w:val="00FC42F1"/>
    <w:rsid w:val="00FC6460"/>
    <w:rsid w:val="00FC6EB7"/>
    <w:rsid w:val="00FD0D14"/>
    <w:rsid w:val="00FD4BC4"/>
    <w:rsid w:val="00FE24DE"/>
    <w:rsid w:val="00FE796E"/>
    <w:rsid w:val="00FF3DDF"/>
    <w:rsid w:val="00FF4B50"/>
  </w:rsids>
  <w:docVars>
    <w:docVar w:name="AMACTMNU" w:val=" 2"/>
    <w:docVar w:name="AMPLURMNU" w:val=" 1"/>
    <w:docVar w:name="CJMNU" w:val="1"/>
    <w:docVar w:name="CODEMNU" w:val=" 3"/>
    <w:docVar w:name="COM2KEY" w:val="LIBE"/>
    <w:docVar w:name="COMKEY" w:val="BUDG"/>
    <w:docVar w:name="CopyToNetwork" w:val="-1"/>
    <w:docVar w:name="CVar" w:val="4"/>
    <w:docVar w:name="DOCDT" w:val="17/04/2026"/>
    <w:docVar w:name="DOCMNU" w:val=" 1"/>
    <w:docVar w:name="iNoAmend" w:val="4"/>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058073 HideTWBExt;}{\*\cs18 \additive \v\f1\fs20\cf15 &#13;_x000a_\spriority0 \styrsid13058073 HideTWBInt;}{\s19\ql \li0\ri0\nowidctlpar\wrapdefault\aspalpha\aspnum\faauto\adjustright\rin0\lin0\itap0 \rtlch\fcs1 \af0\afs20\alang1025 \ltrch\fcs0 \b\fs24\lang2057\langfe2057\cgrid\langnp2057\langfenp2057 &#13;_x000a_\sbasedon0 \snext19 \spriority0 \styrsid13058073 NormalBold;}{\s20\ql \li0\ri0\sa120\nowidctlpar\wrapdefault\aspalpha\aspnum\faauto\adjustright\rin0\lin0\itap0 \rtlch\fcs1 \af0\afs20\alang1025 \ltrch\fcs0 &#13;_x000a_\fs24\lang2057\langfe2057\cgrid\langnp2057\langfenp2057 \sbasedon0 \snext20 \spriority0 \styrsid13058073 Normal6a;}{\s21\qc \li0\ri0\sa240\nowidctlpar\wrapdefault\aspalpha\aspnum\faauto\adjustright\rin0\lin0\itap0 \rtlch\fcs1 \af0\afs20\alang1025 &#13;_x000a_\ltrch\fcs0 \i\fs24\lang2057\langfe2057\cgrid\langnp2057\langfenp2057 \sbasedon0 \snext21 \spriority0 \styrsid13058073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13058073 AmNumberTabs;}{\s23\ql \li0\ri0\sa240\nowidctlpar\wrapdefault\aspalpha\aspnum\faauto\adjustright\rin0\lin0\itap0 \rtlch\fcs1 &#13;_x000a_\af0\afs20\alang1025 \ltrch\fcs0 \i\fs24\lang2057\langfe2057\cgrid\langnp2057\langfenp2057 \sbasedon0 \snext23 \spriority0 \styrsid13058073 AmJustText;}{&#13;_x000a_\s24\qc \li0\ri0\sb240\sa240\nowidctlpar\wrapdefault\aspalpha\aspnum\faauto\adjustright\rin0\lin0\itap0 \rtlch\fcs1 \af0\afs20\alang1025 \ltrch\fcs0 \i\fs24\lang2057\langfe2057\cgrid\langnp2057\langfenp2057 &#13;_x000a_\sbasedon0 \snext24 \spriority0 \styrsid13058073 AmCrossRef;}{\s25\qc \li0\ri0\sb240\sa240\keepn\nowidctlpar\wrapdefault\aspalpha\aspnum\faauto\adjustright\rin0\lin0\itap0 \rtlch\fcs1 \af0\afs20\alang1025 \ltrch\fcs0 &#13;_x000a_\i\fs24\lang2057\langfe2057\cgrid\langnp2057\langfenp2057 \sbasedon0 \snext23 \spriority0 \styrsid13058073 AmJustTitle;}{\s26\ql \li0\ri0\sb240\nowidctlpar\wrapdefault\aspalpha\aspnum\faauto\adjustright\rin0\lin0\itap0 \rtlch\fcs1 \af0\afs20\alang1025 &#13;_x000a_\ltrch\fcs0 \b\fs24\lang2057\langfe2057\cgrid\langnp2057\langfenp2057 \sbasedon0 \snext26 \spriority0 \styrsid13058073 NormalBold12b;}}{\*\rsidtbl \rsid24658\rsid223860\rsid735077\rsid1718133\rsid2892074\rsid3565327\rsid4666813\rsid6641733\rsid7823322&#13;_x000a_\rsid9636012\rsid10377208\rsid11215221\rsid11549030\rsid11735501\rsid12154954\rsid13058073\rsid14166350\rsid14382809\rsid14424199\rsid15204470\rsid15285974\rsid15950462\rsid16324206\rsid16662270}{\mmathPr\mmathFont34\mbrkBin0\mbrkBinSub0\msmallFrac0&#13;_x000a_\mdispDef1\mlMargin0\mrMargin0\mdefJc1\mwrapIndent1440\mintLim0\mnaryLim1}{\info{\author CAMPS Beatriz}{\operator CAMPS Beatriz}{\creatim\yr2026\mo7\dy24\hr9\min44}{\revtim\yr2026\mo7\dy24\hr9\min44}{\version1}{\edmins0}{\nofpages1}{\nofwords104}&#13;_x000a_{\nofchars597}{\nofcharsws70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058073\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11735501 \chftnsep &#13;_x000a_\par }}{\*\ftnsepc \ltrpar \pard\plain \ltrpar\ql \li0\ri0\widctlpar\wrapdefault\aspalpha\aspnum\faauto\adjustright\rin0\lin0\itap0 \rtlch\fcs1 \af0\afs20\alang1025 \ltrch\fcs0 \fs24\lang2057\langfe2057\cgrid\langnp2057\langfenp2057 {\rtlch\fcs1 \af0 &#13;_x000a_\ltrch\fcs0 \insrsid11735501 \chftnsepc &#13;_x000a_\par }}{\*\aftnsep \ltrpar \pard\plain \ltrpar\ql \li0\ri0\widctlpar\wrapdefault\aspalpha\aspnum\faauto\adjustright\rin0\lin0\itap0 \rtlch\fcs1 \af0\afs20\alang1025 \ltrch\fcs0 \fs24\lang2057\langfe2057\cgrid\langnp2057\langfenp2057 {\rtlch\fcs1 \af0 &#13;_x000a_\ltrch\fcs0 \insrsid11735501 \chftnsep &#13;_x000a_\par }}{\*\aftnsepc \ltrpar \pard\plain \ltrpar\ql \li0\ri0\widctlpar\wrapdefault\aspalpha\aspnum\faauto\adjustright\rin0\lin0\itap0 \rtlch\fcs1 \af0\afs20\alang1025 \ltrch\fcs0 \fs24\lang2057\langfe2057\cgrid\langnp2057\langfenp2057 {\rtlch\fcs1 \af0 &#13;_x000a_\ltrch\fcs0 \insrsid1173550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71963 \rtlch\fcs1 &#13;_x000a_\af0\afs20\alang1025 \ltrch\fcs0 \b\fs24\lang2057\langfe2057\cgrid\langnp2057\langfenp2057 {\rtlch\fcs1 \af0 \ltrch\fcs0 \cs17\b0\v\fs20\cf9\lang1024\langfe1024\loch\af1\hich\af1\dbch\af31501\noproof\insrsid13058073\charrsid9264682 {\*\bkmkstart restart}&#13;_x000a_\hich\af1\dbch\af31501\loch\f1 &lt;Amend&gt;}{\rtlch\fcs1 \af0 \ltrch\fcs0 \insrsid13058073\charrsid9264682 Amendment\tab \tab }{\rtlch\fcs1 \af0 \ltrch\fcs0 &#13;_x000a_\cs17\b0\v\fs20\cf9\lang1024\langfe1024\loch\af1\hich\af1\dbch\af31501\noproof\insrsid13058073\charrsid9264682 \hich\af1\dbch\af31501\loch\f1 &lt;NumAm&gt;}{\rtlch\fcs1 \af0 \ltrch\fcs0 \insrsid13058073\charrsid9264682 #}{\rtlch\fcs1 \af0 \ltrch\fcs0 &#13;_x000a_\cs18\v\f1\fs20\cf15\insrsid13058073\charrsid9264682 ENMIENDA@NRAM@}{\rtlch\fcs1 \af0 \ltrch\fcs0 \insrsid13058073\charrsid9264682 #}{\rtlch\fcs1 \af0 \ltrch\fcs0 &#13;_x000a_\cs17\b0\v\fs20\cf9\lang1024\langfe1024\loch\af1\hich\af1\dbch\af31501\noproof\insrsid13058073\charrsid9264682 \hich\af1\dbch\af31501\loch\f1 &lt;/NumAm&gt;}{\rtlch\fcs1 \af0 \ltrch\fcs0 \insrsid13058073\charrsid9264682 &#13;_x000a_\par }\pard\plain \ltrpar\s26\ql \li0\ri0\sb240\keepn\nowidctlpar\wrapdefault\aspalpha\aspnum\faauto\adjustright\rin0\lin0\itap0\pararsid671963 \rtlch\fcs1 \af0\afs20\alang1025 \ltrch\fcs0 \b\fs24\lang2057\langfe2057\cgrid\langnp2057\langfenp2057 {\rtlch\fcs1 &#13;_x000a_\af0 \ltrch\fcs0 \cs17\b0\v\fs20\cf9\lang1024\langfe1024\loch\af1\hich\af1\dbch\af31501\noproof\insrsid13058073\charrsid9264682 \hich\af1\dbch\af31501\loch\f1 &lt;DocAmend&gt;}{\rtlch\fcs1 \af0 \ltrch\fcs0 \insrsid13058073\charrsid9264682 #}{\rtlch\fcs1 \af0 &#13;_x000a_\ltrch\fcs0 \cs18\v\f1\fs20\cf15\insrsid13058073\charrsid9264682 MNU[PROPCOM][PROPCOUNC]@CHOICE@TITLEMNU}{\rtlch\fcs1 \af0 \ltrch\fcs0 \insrsid13058073\charrsid9264682 ##}{\rtlch\fcs1 \af0 \ltrch\fcs0 \cs18\v\f1\fs20\cf15\insrsid13058073\charrsid9264682 &#13;_x000a_MNU[AMACTYES][NOTAPP]@CHOICE@AMACTMNU}{\rtlch\fcs1 \af0 \ltrch\fcs0 \insrsid13058073\charrsid9264682 #}{\rtlch\fcs1 \af0 \ltrch\fcs0 \cs17\b0\v\fs20\cf9\lang1024\langfe1024\loch\af1\hich\af1\dbch\af31501\noproof\insrsid13058073\charrsid9264682 &#13;_x000a_\hich\af1\dbch\af31501\loch\f1 &lt;/DocAmend&gt;}{\rtlch\fcs1 \af0 \ltrch\fcs0 \insrsid13058073\charrsid9264682 &#13;_x000a_\par }\pard\plain \ltrpar\s19\ql \li0\ri0\nowidctlpar\wrapdefault\aspalpha\aspnum\faauto\adjustright\rin0\lin0\itap0\pararsid671963 \rtlch\fcs1 \af0\afs20\alang1025 \ltrch\fcs0 \b\fs24\lang2057\langfe2057\cgrid\langnp2057\langfenp2057 {\rtlch\fcs1 \af0 &#13;_x000a_\ltrch\fcs0 \cs17\b0\v\fs20\cf9\lang1024\langfe1024\loch\af1\hich\af1\dbch\af31501\noproof\insrsid13058073\charrsid9264682 \hich\af1\dbch\af31501\loch\f1 &lt;Article&gt;}{\rtlch\fcs1 \af0 \ltrch\fcs0 \insrsid13058073\charrsid9264682 #}{\rtlch\fcs1 \af0 &#13;_x000a_\ltrch\fcs0 \cs18\v\f1\fs20\cf15\insrsid13058073\charrsid9264682 MNU[AMACTPARTYES][AMACTPARTNO]@CHOICE@AMACTMNU}{\rtlch\fcs1 \af0 \ltrch\fcs0 \insrsid13058073\charrsid9264682 #}{\rtlch\fcs1 \af0 \ltrch\fcs0 &#13;_x000a_\cs17\b0\v\fs20\cf9\lang1024\langfe1024\loch\af1\hich\af1\dbch\af31501\noproof\insrsid13058073\charrsid9264682 \hich\af1\dbch\af31501\loch\f1 &lt;/Article&gt;}{\rtlch\fcs1 \af0 \ltrch\fcs0 \insrsid13058073\charrsid9264682 &#13;_x000a_\par }\pard\plain \ltrpar\ql \li0\ri0\keepn\widctlpar\wrapdefault\aspalpha\aspnum\faauto\adjustright\rin0\lin0\itap0\pararsid671963 \rtlch\fcs1 \af0\afs20\alang1025 \ltrch\fcs0 \fs24\lang2057\langfe2057\cgrid\langnp2057\langfenp2057 {\rtlch\fcs1 \af0 &#13;_x000a_\ltrch\fcs0 \cs17\v\fs20\cf9\lang1024\langfe1024\loch\af1\hich\af1\dbch\af31501\noproof\insrsid13058073\charrsid9264682 \hich\af1\dbch\af31501\loch\f1 &lt;DocAmend2&gt;&lt;OptDel&gt;}{\rtlch\fcs1 \af0 \ltrch\fcs0 \insrsid13058073\charrsid9264682 #}{\rtlch\fcs1 \af0 &#13;_x000a_\ltrch\fcs0 \cs18\v\f1\fs20\cf15\insrsid13058073\charrsid9264682 MNU[OPTNRACTYES][NOTAPP]@CHOICE@AMACTMNU}{\rtlch\fcs1 \af0 \ltrch\fcs0 \insrsid13058073\charrsid9264682 #}{\rtlch\fcs1 \af0 \ltrch\fcs0 &#13;_x000a_\cs17\v\fs20\cf9\lang1024\langfe1024\loch\af1\hich\af1\dbch\af31501\noproof\insrsid13058073\charrsid9264682 \hich\af1\dbch\af31501\loch\f1 &lt;/OptDel&gt;&lt;/DocAmend2&gt;}{\rtlch\fcs1 \af0 \ltrch\fcs0 \insrsid13058073\charrsid9264682 &#13;_x000a_\par }\pard \ltrpar\ql \li0\ri0\widctlpar\wrapdefault\aspalpha\aspnum\faauto\adjustright\rin0\lin0\itap0\pararsid671963 {\rtlch\fcs1 \af0 \ltrch\fcs0 \cs17\v\fs20\cf9\lang1024\langfe1024\loch\af1\hich\af1\dbch\af31501\noproof\insrsid13058073\charrsid9264682 &#13;_x000a_\hich\af1\dbch\af31501\loch\f1 &lt;Article2&gt;&lt;OptDel&gt;}{\rtlch\fcs1 \af0 \ltrch\fcs0 \insrsid13058073\charrsid9264682 #}{\rtlch\fcs1 \af0 \ltrch\fcs0 \cs18\v\f1\fs20\cf15\insrsid13058073\charrsid9264682 MNU[OPTACTPARTYES][NOTAPP]@CHOICE@AMACTMNU}{\rtlch\fcs1 &#13;_x000a_\af0 \ltrch\fcs0 \insrsid13058073\charrsid9264682 #}{\rtlch\fcs1 \af0 \ltrch\fcs0 \cs17\v\fs20\cf9\lang1024\langfe1024\loch\af1\hich\af1\dbch\af31501\noproof\insrsid13058073\charrsid9264682 \hich\af1\dbch\af31501\loch\f1 &lt;/OptDel&gt;&lt;/Article2&gt;}{\rtlch\fcs1 &#13;_x000a_\af0 \ltrch\fcs0 \insrsid13058073\charrsid926468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13058073\charrsid9264682 \cell }\pard \ltrpar\ql \li0\ri0\widctlpar\intbl\wrapdefault\aspalpha\aspnum\faauto\adjustright\rin0\lin0 {\rtlch\fcs1 \af0 \ltrch\fcs0 \insrsid13058073\charrsid926468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13058073\charrsid9264682 #}{\rtlch\fcs1 \af0 \ltrch\fcs0 \cs18\v\f1\fs20\cf15\insrsid13058073\charrsid9264682 MNU[OPTLEFTAMACT][LEFTPROP]@CHOICE@AMACTMNU}{\rtlch\fcs1 \af0 \ltrch\fcs0 \insrsid13058073\charrsid9264682 #&#13;_x000a_\cell Amendment\cell }\pard\plain \ltrpar\ql \li0\ri0\widctlpar\intbl\wrapdefault\aspalpha\aspnum\faauto\adjustright\rin0\lin0 \rtlch\fcs1 \af0\afs20\alang1025 \ltrch\fcs0 \fs24\lang2057\langfe2057\cgrid\langnp2057\langfenp2057 {\rtlch\fcs1 \af0 &#13;_x000a_\ltrch\fcs0 \insrsid13058073\charrsid9264682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13058073\charrsid9264682 #}{\rtlch\fcs1 \af0 \ltrch\fcs0 \cs18\v\f1\fs20\cf15\insrsid13058073\charrsid9264682 &#13;_x000a_MNU[TEXTLEVA][TEXTLOTHER]@CHOICE@TEXTRMNU}{\rtlch\fcs1 \af0 \ltrch\fcs0 \insrsid13058073\charrsid9264682 #\cell #}{\rtlch\fcs1 \af0 \ltrch\fcs0 \cs18\v\f1\fs20\cf15\insrsid13058073\charrsid9264682 MNU[TEXTREVA][TEXTROTHER]@CHOICE@TEXTRMNU}{\rtlch\fcs1 &#13;_x000a_\af0 \ltrch\fcs0 \insrsid13058073\charrsid9264682 #\cell }\pard\plain \ltrpar\ql \li0\ri0\widctlpar\intbl\wrapdefault\aspalpha\aspnum\faauto\adjustright\rin0\lin0 \rtlch\fcs1 \af0\afs20\alang1025 \ltrch\fcs0 &#13;_x000a_\fs24\lang2057\langfe2057\cgrid\langnp2057\langfenp2057 {\rtlch\fcs1 \af0 \ltrch\fcs0 \insrsid13058073\charrsid926468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671963 \rtlch\fcs1 \af0\afs20\alang1025 \ltrch\fcs0 \i\fs24\lang2057\langfe2057\cgrid\langnp2057\langfenp2057 {\rtlch\fcs1 &#13;_x000a_\af0 \ltrch\fcs0 \cs17\i0\v\fs20\cf9\lang1024\langfe1024\loch\af1\hich\af1\dbch\af31501\noproof\insrsid13058073\charrsid9264682 \hich\af1\dbch\af31501\loch\f1 &lt;OptDel&gt;}{\rtlch\fcs1 \af0 \ltrch\fcs0 \insrsid13058073\charrsid9264682 #}{\rtlch\fcs1 \af0 &#13;_x000a_\ltrch\fcs0 \cs18\v\f1\fs20\cf15\insrsid13058073\charrsid9264682 MNU[CROSSREFNO][CROSSREFYES]@CHOICE@}{\rtlch\fcs1 \af0 \ltrch\fcs0 \insrsid13058073\charrsid9264682 #}{\rtlch\fcs1 \af0 \ltrch\fcs0 &#13;_x000a_\cs17\i0\v\fs20\cf9\lang1024\langfe1024\loch\af1\hich\af1\dbch\af31501\noproof\insrsid13058073\charrsid9264682 \hich\af1\dbch\af31501\loch\f1 &lt;/OptDel&gt;}{\rtlch\fcs1 \af0 \ltrch\fcs0 \insrsid13058073\charrsid9264682 &#13;_x000a_\par }\pard\plain \ltrpar\s25\qc \li0\ri0\sb240\sa240\keepn\nowidctlpar\wrapdefault\aspalpha\aspnum\faauto\adjustright\rin0\lin0\itap0\pararsid671963 \rtlch\fcs1 \af0\afs20\alang1025 \ltrch\fcs0 \i\fs24\lang2057\langfe2057\cgrid\langnp2057\langfenp2057 {&#13;_x000a_\rtlch\fcs1 \af0 \ltrch\fcs0 \cs17\i0\v\fs20\cf9\lang1024\langfe1024\loch\af1\hich\af1\dbch\af31501\noproof\insrsid13058073\charrsid9264682 \hich\af1\dbch\af31501\loch\f1 &lt;TitreJust&gt;}{\rtlch\fcs1 \af0 \ltrch\fcs0 \insrsid13058073\charrsid9264682 &#13;_x000a_Justification}{\rtlch\fcs1 \af0 \ltrch\fcs0 \cs17\i0\v\fs20\cf9\lang1024\langfe1024\loch\af1\hich\af1\dbch\af31501\noproof\insrsid13058073\charrsid9264682 \hich\af1\dbch\af31501\loch\f1 &lt;/TitreJust&gt;}{\rtlch\fcs1 \af0 \ltrch\fcs0 &#13;_x000a_\insrsid13058073\charrsid9264682 &#13;_x000a_\par }\pard\plain \ltrpar\s23\ql \li0\ri0\sa240\nowidctlpar\wrapdefault\aspalpha\aspnum\faauto\adjustright\rin0\lin0\itap0\pararsid671963 \rtlch\fcs1 \af0\afs20\alang1025 \ltrch\fcs0 \i\fs24\lang2057\langfe2057\cgrid\langnp2057\langfenp2057 {\rtlch\fcs1 \af0 &#13;_x000a_\ltrch\fcs0 \cs17\i0\v\fs20\cf9\lang1024\langfe1024\loch\af1\hich\af1\dbch\af31501\noproof\insrsid13058073\charrsid9264682 \hich\af1\dbch\af31501\loch\f1 &lt;OptDelPrev&gt;}{\rtlch\fcs1 \af0 \ltrch\fcs0 \insrsid13058073\charrsid9264682 #}{\rtlch\fcs1 \af0 &#13;_x000a_\ltrch\fcs0 \cs18\v\f1\fs20\cf15\insrsid13058073\charrsid9264682 MNU[TEXTJUSTYES][TEXTJUSTNO]@CHOICE@}{\rtlch\fcs1 \af0 \ltrch\fcs0 \insrsid13058073\charrsid9264682 #}{\rtlch\fcs1 \af0 \ltrch\fcs0 &#13;_x000a_\cs17\i0\v\fs20\cf9\lang1024\langfe1024\loch\af1\hich\af1\dbch\af31501\noproof\insrsid13058073\charrsid9264682 \hich\af1\dbch\af31501\loch\f1 &lt;/OptDelPrev&gt;}{\rtlch\fcs1 \af0 \ltrch\fcs0 \insrsid13058073\charrsid9264682 &#13;_x000a_\par }\pard\plain \ltrpar\ql \li0\ri0\widctlpar\wrapdefault\aspalpha\aspnum\faauto\adjustright\rin0\lin0\itap0\pararsid671963 \rtlch\fcs1 \af0\afs20\alang1025 \ltrch\fcs0 \fs24\lang2057\langfe2057\cgrid\langnp2057\langfenp2057 {\rtlch\fcs1 \af0 \ltrch\fcs0 &#13;_x000a_\cs17\v\fs20\cf9\lang1024\langfe1024\loch\af1\hich\af1\dbch\af31501\noproof\insrsid13058073\charrsid9264682 \hich\af1\dbch\af31501\loch\f1 &lt;/Amend&gt;}{\rtlch\fcs1 \af0 \ltrch\fcs0 \insrsid1305807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22&#13;_x000a_c442401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8\fbidi \froman\fcharset238\fprq2 Times New Roman CE;}{\f1349\fbidi \froman\fcharset204\fprq2 Times New Roman Cyr;}&#13;_x000a_{\f1351\fbidi \froman\fcharset161\fprq2 Times New Roman Greek;}{\f1352\fbidi \froman\fcharset162\fprq2 Times New Roman Tur;}{\f1353\fbidi \froman\fcharset177\fprq2 Times New Roman (Hebrew);}&#13;_x000a_{\f1354\fbidi \froman\fcharset178\fprq2 Times New Roman (Arabic);}{\f1355\fbidi \froman\fcharset186\fprq2 Times New Roman Baltic;}{\f1356\fbidi \froman\fcharset163\fprq2 Times New Roman (Vietnamese);}{\f1358\fbidi \fswiss\fcharset238\fprq2 Arial CE;}&#13;_x000a_{\f1359\fbidi \fswiss\fcharset204\fprq2 Arial Cyr;}{\f1361\fbidi \fswiss\fcharset161\fprq2 Arial Greek;}{\f1362\fbidi \fswiss\fcharset162\fprq2 Arial Tur;}{\f1363\fbidi \fswiss\fcharset177\fprq2 Arial (Hebrew);}&#13;_x000a_{\f1364\fbidi \fswiss\fcharset178\fprq2 Arial (Arabic);}{\f1365\fbidi \fswiss\fcharset186\fprq2 Arial Baltic;}{\f1366\fbidi \fswiss\fcharset163\fprq2 Arial (Vietnamese);}{\f1688\fbidi \froman\fcharset238\fprq2 Cambria Math CE;}&#13;_x000a_{\f1689\fbidi \froman\fcharset204\fprq2 Cambria Math Cyr;}{\f1691\fbidi \froman\fcharset161\fprq2 Cambria Math Greek;}{\f1692\fbidi \froman\fcharset162\fprq2 Cambria Math Tur;}{\f1695\fbidi \froman\fcharset186\fprq2 Cambria Math Baltic;}&#13;_x000a_{\f1696\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6385 HideTWBExt;}{&#13;_x000a_\s18\ql \li0\ri0\nowidctlpar\wrapdefault\aspalpha\aspnum\faauto\adjustright\rin0\lin0\itap0 \rtlch\fcs1 \af0\afs20\alang1025 \ltrch\fcs0 \b\fs24\lang2057\langfe2057\cgrid\langnp2057\langfenp2057 \sbasedon0 \snext18 \spriority0 \styrsid1526385 NormalBold;}&#13;_x000a_{\s19\ql \li0\ri0\sa120\nowidctlpar\wrapdefault\aspalpha\aspnum\faauto\adjustright\rin0\lin0\itap0 \rtlch\fcs1 \af0\afs20\alang1025 \ltrch\fcs0 \fs24\lang2057\langfe2057\cgrid\langnp2057\langfenp2057 \sbasedon0 \snext19 \spriority0 \styrsid1526385 &#13;_x000a_Normal6a;}{\s20\qc \li0\ri0\sa240\nowidctlpar\wrapdefault\aspalpha\aspnum\faauto\adjustright\rin0\lin0\itap0 \rtlch\fcs1 \af0\afs20\alang1025 \ltrch\fcs0 \i\fs24\lang2057\langfe2057\cgrid\langnp2057\langfenp2057 &#13;_x000a_\sbasedon0 \snext20 \spriority0 \styrsid1526385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526385 AmNumberTabs;}{\s22\ql \li0\ri0\sa240\nowidctlpar\wrapdefault\aspalpha\aspnum\faauto\adjustright\rin0\lin0\itap0 \rtlch\fcs1 &#13;_x000a_\af0\afs20\alang1025 \ltrch\fcs0 \i\fs24\lang2057\langfe2057\cgrid\langnp2057\langfenp2057 \sbasedon0 \snext22 \spriority0 \styrsid1526385 AmJustText;}{&#13;_x000a_\s23\qc \li0\ri0\sb240\sa240\nowidctlpar\wrapdefault\aspalpha\aspnum\faauto\adjustright\rin0\lin0\itap0 \rtlch\fcs1 \af0\afs20\alang1025 \ltrch\fcs0 \i\fs24\lang2057\langfe2057\cgrid\langnp2057\langfenp2057 \sbasedon0 \snext23 \spriority0 \styrsid1526385 &#13;_x000a_AmCrossRef;}{\s24\qc \li0\ri0\sb240\sa240\keepn\nowidctlpar\wrapdefault\aspalpha\aspnum\faauto\adjustright\rin0\lin0\itap0 \rtlch\fcs1 \af0\afs20\alang1025 \ltrch\fcs0 \i\fs24\lang2057\langfe2057\cgrid\langnp2057\langfenp2057 &#13;_x000a_\sbasedon0 \snext22 \spriority0 \styrsid1526385 AmJustTitle;}{\s25\ql \li0\ri0\sb240\nowidctlpar\wrapdefault\aspalpha\aspnum\faauto\adjustright\rin0\lin0\itap0 \rtlch\fcs1 \af0\afs20\alang1025 \ltrch\fcs0 &#13;_x000a_\b\fs24\lang2057\langfe2057\cgrid\langnp2057\langfenp2057 \sbasedon0 \snext25 \spriority0 \styrsid1526385 NormalBold12b;}}{\*\rsidtbl \rsid24658\rsid223860\rsid735077\rsid1526385\rsid1718133\rsid2892074\rsid2953118\rsid3565327\rsid4666813\rsid6641733&#13;_x000a_\rsid7823322\rsid9636012\rsid10377208\rsid11215221\rsid11549030\rsid12154954\rsid14166350\rsid14382809\rsid14424199\rsid15204470\rsid15285974\rsid15950462\rsid16324206\rsid16662270}{\mmathPr\mmathFont34\mbrkBin0\mbrkBinSub0\msmallFrac0\mdispDef1\mlMargin0&#13;_x000a_\mrMargin0\mdefJc1\mwrapIndent1440\mintLim0\mnaryLim1}{\info{\author CAMPS Beatriz}{\operator CAMPS Beatriz}{\creatim\yr2026\mo7\dy24\hr9\min44}{\revtim\yr2026\mo7\dy24\hr9\min44}{\version1}{\edmins0}{\nofpages1}{\nofwords54}{\nofchars313}{\nofcharsws366}&#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6385\newtblstyruls\nogrowautofit\usenormstyforlist\noindnmbrts\felnbrelev\nocxsptable\indrlsweleven\noafcnsttbl\afelev\utinl\hwelev\spltpgpar\notcvasp\notbrkcnstfrctbl\notvatxbx\krnprsnet\cachedcolbal &#13;_x000a_\nouicompat \fet0{\*\wgrffmtfilter 013f}\nofeaturethrottle1\ilfomacatclnup0{\*\template C:\\Users\\bcamps\\AppData\\Local\\Temp\\Blank1.dotx}{\*\ftnsep \ltrpar \pard\plain \ltrpar&#13;_x000a_\ql \li0\ri0\widctlpar\wrapdefault\aspalpha\aspnum\faauto\adjustright\rin0\lin0\itap0 \rtlch\fcs1 \af0\afs20\alang1025 \ltrch\fcs0 \fs24\lang2057\langfe2057\cgrid\langnp2057\langfenp2057 {\rtlch\fcs1 \af0 \ltrch\fcs0 \insrsid2953118 \chftnsep &#13;_x000a_\par }}{\*\ftnsepc \ltrpar \pard\plain \ltrpar\ql \li0\ri0\widctlpar\wrapdefault\aspalpha\aspnum\faauto\adjustright\rin0\lin0\itap0 \rtlch\fcs1 \af0\afs20\alang1025 \ltrch\fcs0 \fs24\lang2057\langfe2057\cgrid\langnp2057\langfenp2057 {\rtlch\fcs1 \af0 &#13;_x000a_\ltrch\fcs0 \insrsid2953118 \chftnsepc &#13;_x000a_\par }}{\*\aftnsep \ltrpar \pard\plain \ltrpar\ql \li0\ri0\widctlpar\wrapdefault\aspalpha\aspnum\faauto\adjustright\rin0\lin0\itap0 \rtlch\fcs1 \af0\afs20\alang1025 \ltrch\fcs0 \fs24\lang2057\langfe2057\cgrid\langnp2057\langfenp2057 {\rtlch\fcs1 \af0 &#13;_x000a_\ltrch\fcs0 \insrsid2953118 \chftnsep &#13;_x000a_\par }}{\*\aftnsepc \ltrpar \pard\plain \ltrpar\ql \li0\ri0\widctlpar\wrapdefault\aspalpha\aspnum\faauto\adjustright\rin0\lin0\itap0 \rtlch\fcs1 \af0\afs20\alang1025 \ltrch\fcs0 \fs24\lang2057\langfe2057\cgrid\langnp2057\langfenp2057 {\rtlch\fcs1 \af0 &#13;_x000a_\ltrch\fcs0 \insrsid295311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526385 {\*\bkmkstart restart}&#13;_x000a_\hich\af1\dbch\af31501\loch\f1 &lt;Amend&gt;}{\rtlch\fcs1 \af0 \ltrch\fcs0 \lang1030\langfe2057\langnp1030\insrsid1526385 [ZAMENDMENT]\tab \tab }{\rtlch\fcs1 \af0 \ltrch\fcs0 &#13;_x000a_\cs17\b0\v\fs20\cf9\lang1024\langfe1024\loch\af1\hich\af1\dbch\af31501\noproof\langnp1030\insrsid1526385 \hich\af1\dbch\af31501\loch\f1 &lt;NumAm&gt;}{\rtlch\fcs1 \af0 \ltrch\fcs0 \lang1030\langfe2057\langnp1030\insrsid1526385 [ZNRAM]}{\rtlch\fcs1 \af0 &#13;_x000a_\ltrch\fcs0 \cs17\b0\v\fs20\cf9\lang1024\langfe1024\loch\af1\hich\af1\dbch\af31501\noproof\langnp1030\insrsid1526385 \hich\af1\dbch\af31501\loch\f1 &lt;/NumAm&gt;}{\rtlch\fcs1 \af0 \ltrch\fcs0 \lang1030\langfe2057\langnp1030\insrsid1526385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526385 \hich\af1\dbch\af31501\loch\f1 &lt;DocAmend&gt;}{\rtlch\fcs1 \af0 \ltrch\fcs0 \lang1030\langfe2057\langnp1030\insrsid1526385 &#13;_x000a_[ZPROPOSAL][ZAMACT]}{\rtlch\fcs1 \af0 \ltrch\fcs0 \cs17\b0\v\fs20\cf9\lang1024\langfe1024\loch\af1\hich\af1\dbch\af31501\noproof\langnp1030\insrsid1526385 \hich\af1\dbch\af31501\loch\f1 &lt;/DocAmend&gt;}{\rtlch\fcs1 \af0 \ltrch\fcs0 &#13;_x000a_\lang1030\langfe2057\langnp1030\insrsid1526385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526385 \hich\af1\dbch\af31501\loch\f1 &lt;Article&gt;}{\rtlch\fcs1 \af0 \ltrch\fcs0 \lang1030\langfe2057\langnp1030\insrsid1526385 [ZAMPART]}{&#13;_x000a_\rtlch\fcs1 \af0 \ltrch\fcs0 \cs17\b0\v\fs20\cf9\lang1024\langfe1024\loch\af1\hich\af1\dbch\af31501\noproof\langnp1030\insrsid1526385 \hich\af1\dbch\af31501\loch\f1 &lt;/Article&gt;}{\rtlch\fcs1 \af0 \ltrch\fcs0 \lang1030\langfe2057\langnp1030\insrsid1526385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526385 \hich\af1\dbch\af31501\loch\f1 &lt;DocAmend2&gt;&lt;OptDel&gt;}{\rtlch\fcs1 \af0 \ltrch\fcs0 \lang1030\langfe2057\langnp1030\insrsid1526385 [ZNRACT]}{&#13;_x000a_\rtlch\fcs1 \af0 \ltrch\fcs0 \cs17\v\fs20\cf9\lang1024\langfe1024\loch\af1\hich\af1\dbch\af31501\noproof\langnp1030\insrsid1526385 \hich\af1\dbch\af31501\loch\f1 &lt;/OptDel&gt;&lt;/DocAmend2&gt;}{\rtlch\fcs1 \af0 \ltrch\fcs0 &#13;_x000a_\lang1030\langfe2057\langnp1030\insrsid1526385 &#13;_x000a_\par }\pard \ltrpar\ql \li0\ri0\widctlpar\wrapdefault\aspalpha\aspnum\faauto\adjustright\rin0\lin0\itap0\pararsid6293919 {\rtlch\fcs1 \af0 \ltrch\fcs0 \cs17\v\fs20\cf9\lang1024\langfe1024\loch\af1\hich\af1\dbch\af31501\noproof\langnp1036\insrsid1526385 &#13;_x000a_\hich\af1\dbch\af31501\loch\f1 &lt;Article2&gt;&lt;OptDel&gt;}{\rtlch\fcs1 \af0 \ltrch\fcs0 \lang1036\langfe2057\langnp1036\insrsid1526385 [ZACTPART]}{\rtlch\fcs1 \af0 \ltrch\fcs0 &#13;_x000a_\cs17\v\fs20\cf9\lang1024\langfe1024\loch\af1\hich\af1\dbch\af31501\noproof\langnp1036\insrsid1526385 \hich\af1\dbch\af31501\loch\f1 &lt;/OptDel&gt;&lt;/Article2&gt;}{\rtlch\fcs1 \af0 \ltrch\fcs0 \lang1036\langfe2057\langnp1036\insrsid152638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526385 \cell }\pard \ltrpar\ql \li0\ri0\widctlpar\intbl\wrapdefault\aspalpha\aspnum\faauto\adjustright\rin0\lin0 {\rtlch\fcs1 \af0 \ltrch\fcs0 \insrsid152638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526385 [ZLEFT]\cell [ZRIGHT]\cell }\pard\plain \ltrpar\ql \li0\ri0\widctlpar\intbl\wrapdefault\aspalpha\aspnum\faauto\adjustright\rin0\lin0 \rtlch\fcs1 \af0\afs20\alang1025 \ltrch\fcs0 &#13;_x000a_\fs24\lang2057\langfe2057\cgrid\langnp2057\langfenp2057 {\rtlch\fcs1 \af0 \ltrch\fcs0 \insrsid152638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526385 [ZTEXTL]\cell [ZTEXTR]\cell }\pard\plain \ltrpar\ql \li0\ri0\widctlpar\intbl\wrapdefault\aspalpha\aspnum\faauto\adjustright\rin0\lin0 \rtlch\fcs1 \af0\afs20\alang1025 \ltrch\fcs0 &#13;_x000a_\fs24\lang2057\langfe2057\cgrid\langnp2057\langfenp2057 {\rtlch\fcs1 \af0 \ltrch\fcs0 \insrsid152638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526385 \hich\af1\dbch\af31501\loch\f1 &lt;OptDel&gt;}{\rtlch\fcs1 \af0 \ltrch\fcs0 \insrsid1526385 [ZCROSSREF]}{\rtlch\fcs1 \af0 \ltrch\fcs0 &#13;_x000a_\cs17\i0\v\fs20\cf9\lang1024\langfe1024\loch\af1\hich\af1\dbch\af31501\noproof\insrsid1526385 \hich\af1\dbch\af31501\loch\f1 &lt;/OptDel&gt;}{\rtlch\fcs1 \af0 \ltrch\fcs0 \insrsid1526385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526385 \hich\af1\dbch\af31501\loch\f1 &lt;TitreJust&gt;}{\rtlch\fcs1 \af0 \ltrch\fcs0 \insrsid1526385 [ZJUSTIFICATION]}{\rtlch\fcs1 \af0 &#13;_x000a_\ltrch\fcs0 \cs17\i0\v\fs20\cf9\lang1024\langfe1024\loch\af1\hich\af1\dbch\af31501\noproof\insrsid1526385 \hich\af1\dbch\af31501\loch\f1 &lt;/TitreJust&gt;}{\rtlch\fcs1 \af0 \ltrch\fcs0 \insrsid1526385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526385 \hich\af1\dbch\af31501\loch\f1 &lt;OptDelPrev&gt;}{\rtlch\fcs1 \af0 \ltrch\fcs0 \insrsid1526385 [ZTEXTJUST]}{\rtlch\fcs1 \af0 \ltrch\fcs0 &#13;_x000a_\cs17\i0\v\fs20\cf9\lang1024\langfe1024\loch\af1\hich\af1\dbch\af31501\noproof\insrsid1526385 \hich\af1\dbch\af31501\loch\f1 &lt;/OptDelPrev&gt;}{\rtlch\fcs1 \af0 \ltrch\fcs0 \insrsid1526385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526385 \hich\af1\dbch\af31501\loch\f1 &lt;/Amend&gt;}{\rtlch\fcs1 \af0 \ltrch\fcs0 \insrsid1526385\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6e&#13;_x000a_6944401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7"/>
    <w:docVar w:name="TEXTRMNU" w:val="2"/>
    <w:docVar w:name="TITLECODMNU" w:val=" 1"/>
    <w:docVar w:name="TITLEMNU" w:val=" 1"/>
    <w:docVar w:name="TVTAMPART" w:val="x"/>
    <w:docVar w:name="TXTAUTHOR" w:val="Matjaž Nemec"/>
    <w:docVar w:name="TXTLANGUE" w:val="PT"/>
    <w:docVar w:name="TXTLANGUEMIN" w:val="pt"/>
    <w:docVar w:name="TXTNRC" w:val="0177/2025"/>
    <w:docVar w:name="TXTNRCOM" w:val="(2025)0540"/>
    <w:docVar w:name="TXTNRFIRSTAM" w:val="1"/>
    <w:docVar w:name="TXTNRLASTAM" w:val="4"/>
    <w:docVar w:name="TXTNRPE" w:val="786.988"/>
    <w:docVar w:name="TXTNRPROC" w:val="2025/0540"/>
    <w:docVar w:name="TXTPEorAP" w:val="PE"/>
    <w:docVar w:name="TXTROUTE" w:val="AD\1347131PT.docx"/>
    <w:docVar w:name="TXTTITLE" w:val="Regulation of the European Parliament and of the Council establishing the Union support for asylum, migration and integration for the period from 2028 to 2034"/>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D62909D-4156-457B-90C8-28319C1E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5A02D7"/>
    <w:rPr>
      <w:sz w:val="20"/>
    </w:rPr>
  </w:style>
  <w:style w:type="character" w:customStyle="1" w:styleId="FootnoteTextChar">
    <w:name w:val="Footnote Text Char"/>
    <w:basedOn w:val="DefaultParagraphFont"/>
    <w:link w:val="FootnoteText"/>
    <w:rsid w:val="005A02D7"/>
  </w:style>
  <w:style w:type="character" w:styleId="FootnoteReference">
    <w:name w:val="footnote reference"/>
    <w:basedOn w:val="DefaultParagraphFont"/>
    <w:rsid w:val="005A02D7"/>
    <w:rPr>
      <w:vertAlign w:val="superscript"/>
    </w:rPr>
  </w:style>
  <w:style w:type="character" w:styleId="Hyperlink">
    <w:name w:val="Hyperlink"/>
    <w:basedOn w:val="DefaultParagraphFont"/>
    <w:rsid w:val="005A02D7"/>
    <w:rPr>
      <w:color w:val="0563C1" w:themeColor="hyperlink"/>
      <w:u w:val="single"/>
    </w:rPr>
  </w:style>
  <w:style w:type="character" w:customStyle="1" w:styleId="UnresolvedMention">
    <w:name w:val="Unresolved Mention"/>
    <w:basedOn w:val="DefaultParagraphFont"/>
    <w:uiPriority w:val="99"/>
    <w:semiHidden/>
    <w:unhideWhenUsed/>
    <w:rsid w:val="005A02D7"/>
    <w:rPr>
      <w:color w:val="605E5C"/>
      <w:shd w:val="clear" w:color="auto" w:fill="E1DFDD"/>
    </w:rPr>
  </w:style>
  <w:style w:type="paragraph" w:styleId="Footer">
    <w:name w:val="footer"/>
    <w:basedOn w:val="Normal"/>
    <w:link w:val="FooterChar"/>
    <w:semiHidden/>
    <w:rsid w:val="00543964"/>
    <w:pPr>
      <w:tabs>
        <w:tab w:val="center" w:pos="4513"/>
        <w:tab w:val="right" w:pos="9026"/>
      </w:tabs>
    </w:pPr>
  </w:style>
  <w:style w:type="character" w:customStyle="1" w:styleId="FooterChar">
    <w:name w:val="Footer Char"/>
    <w:basedOn w:val="DefaultParagraphFont"/>
    <w:link w:val="Footer"/>
    <w:semiHidden/>
    <w:rsid w:val="00543964"/>
    <w:rPr>
      <w:sz w:val="24"/>
    </w:rPr>
  </w:style>
  <w:style w:type="paragraph" w:styleId="Revision">
    <w:name w:val="Revision"/>
    <w:hidden/>
    <w:uiPriority w:val="99"/>
    <w:semiHidden/>
    <w:rsid w:val="00671BBE"/>
    <w:rPr>
      <w:sz w:val="24"/>
    </w:rPr>
  </w:style>
  <w:style w:type="paragraph" w:customStyle="1" w:styleId="RollCallSymbols14pt">
    <w:name w:val="RollCallSymbols14pt"/>
    <w:basedOn w:val="Normal"/>
    <w:rsid w:val="00BA03E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A03E1"/>
    <w:pPr>
      <w:tabs>
        <w:tab w:val="center" w:pos="284"/>
        <w:tab w:val="left" w:pos="426"/>
      </w:tabs>
    </w:pPr>
    <w:rPr>
      <w:snapToGrid w:val="0"/>
      <w:lang w:eastAsia="en-US"/>
    </w:rPr>
  </w:style>
  <w:style w:type="paragraph" w:customStyle="1" w:styleId="RollCallVotes">
    <w:name w:val="RollCallVotes"/>
    <w:basedOn w:val="Normal"/>
    <w:rsid w:val="00BA03E1"/>
    <w:pPr>
      <w:spacing w:before="120" w:after="120"/>
      <w:jc w:val="center"/>
    </w:pPr>
    <w:rPr>
      <w:b/>
      <w:bCs/>
      <w:snapToGrid w:val="0"/>
      <w:sz w:val="16"/>
      <w:lang w:eastAsia="en-US"/>
    </w:rPr>
  </w:style>
  <w:style w:type="paragraph" w:customStyle="1" w:styleId="RollCallTable">
    <w:name w:val="RollCallTable"/>
    <w:basedOn w:val="Normal"/>
    <w:rsid w:val="00BA03E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3541</Words>
  <Characters>20189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2004-10-28T10:33:00Z</cp:lastPrinted>
  <dcterms:created xsi:type="dcterms:W3CDTF">2026-08-12T07:56:00Z</dcterms:created>
  <dcterms:modified xsi:type="dcterms:W3CDTF">2026-08-12T07:56:00Z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1347131</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
  </property>
  <property fmtid="{D5CDD505-2E9C-101B-9397-08002B2CF9AE}" pid="9" name="Created with">
    <vt:lpwstr>10.2.1 Build [20260301]</vt:lpwstr>
  </property>
  <property fmtid="{D5CDD505-2E9C-101B-9397-08002B2CF9AE}" pid="10" name="FooterPath">
    <vt:lpwstr>AD\1347131PT.docx</vt:lpwstr>
  </property>
  <property fmtid="{D5CDD505-2E9C-101B-9397-08002B2CF9AE}" pid="11" name="LastEdited with">
    <vt:lpwstr>10.3.1 Build [20260701]</vt:lpwstr>
  </property>
  <property fmtid="{D5CDD505-2E9C-101B-9397-08002B2CF9AE}" pid="12" name="PE number">
    <vt:lpwstr>786.988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- 2026/04/20 11:59</vt:lpwstr>
  </property>
</Properties>
</file>