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55490A"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291955" w:rsidP="00C85D0F" w14:paraId="4FC3C5C1" w14:textId="77777777">
            <w:pPr>
              <w:pStyle w:val="EPName"/>
            </w:pPr>
            <w:r w:rsidRPr="00291955">
              <w:t>Parlamento Europeo</w:t>
            </w:r>
          </w:p>
          <w:p w:rsidR="00854CAC" w:rsidRPr="00291955" w:rsidP="00C85D0F" w14:paraId="24866185" w14:textId="77777777">
            <w:pPr>
              <w:pStyle w:val="EPTerm"/>
            </w:pPr>
            <w:r w:rsidRPr="00291955">
              <w:t>2024-2029</w:t>
            </w:r>
          </w:p>
        </w:tc>
        <w:tc>
          <w:tcPr>
            <w:tcW w:w="2268" w:type="dxa"/>
            <w:shd w:val="clear" w:color="auto" w:fill="auto"/>
          </w:tcPr>
          <w:p w:rsidR="00854CAC" w:rsidRPr="00291955" w:rsidP="00C85D0F" w14:paraId="5257EE14" w14:textId="77777777">
            <w:pPr>
              <w:pStyle w:val="EPLogo"/>
            </w:pPr>
            <w:r w:rsidRPr="002919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15556"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291955" w:rsidP="001746D0" w14:paraId="6CDFBAF4" w14:textId="77777777">
      <w:pPr>
        <w:pStyle w:val="LineTop"/>
      </w:pPr>
    </w:p>
    <w:p w:rsidR="001746D0" w:rsidRPr="00291955" w:rsidP="001746D0" w14:paraId="5E1416EE" w14:textId="77777777">
      <w:pPr>
        <w:pStyle w:val="EPBody"/>
      </w:pPr>
      <w:r w:rsidRPr="00291955">
        <w:rPr>
          <w:rStyle w:val="HideTWBExt"/>
        </w:rPr>
        <w:t>&lt;</w:t>
      </w:r>
      <w:r w:rsidRPr="00291955">
        <w:rPr>
          <w:rStyle w:val="HideTWBExt"/>
          <w:i w:val="0"/>
        </w:rPr>
        <w:t>Commission</w:t>
      </w:r>
      <w:r w:rsidRPr="00291955">
        <w:rPr>
          <w:rStyle w:val="HideTWBExt"/>
        </w:rPr>
        <w:t>&gt;</w:t>
      </w:r>
      <w:r w:rsidRPr="00291955">
        <w:rPr>
          <w:rStyle w:val="HideTWBInt"/>
          <w:i w:val="0"/>
          <w:color w:val="auto"/>
        </w:rPr>
        <w:t>{BUDG}</w:t>
      </w:r>
      <w:r w:rsidRPr="00291955">
        <w:t>Comisión de Presupuestos</w:t>
      </w:r>
      <w:r w:rsidRPr="00291955">
        <w:rPr>
          <w:rStyle w:val="HideTWBExt"/>
        </w:rPr>
        <w:t>&lt;/</w:t>
      </w:r>
      <w:r w:rsidRPr="00291955">
        <w:rPr>
          <w:rStyle w:val="HideTWBExt"/>
          <w:i w:val="0"/>
        </w:rPr>
        <w:t>Commission</w:t>
      </w:r>
      <w:r w:rsidRPr="00291955">
        <w:rPr>
          <w:rStyle w:val="HideTWBExt"/>
        </w:rPr>
        <w:t>&gt;</w:t>
      </w:r>
    </w:p>
    <w:p w:rsidR="001746D0" w:rsidRPr="00291955" w:rsidP="001746D0" w14:paraId="43C07EB4" w14:textId="77777777">
      <w:pPr>
        <w:pStyle w:val="LineBottom"/>
      </w:pPr>
    </w:p>
    <w:p w:rsidR="002E2F2E" w:rsidRPr="00291955" w14:paraId="4AC99BDA" w14:textId="77777777">
      <w:pPr>
        <w:pStyle w:val="CoverReference"/>
      </w:pPr>
      <w:r w:rsidRPr="00291955">
        <w:rPr>
          <w:rStyle w:val="HideTWBExt"/>
          <w:b w:val="0"/>
        </w:rPr>
        <w:t>&lt;RefProc&gt;</w:t>
      </w:r>
      <w:r w:rsidRPr="00291955">
        <w:t>2025/0550</w:t>
      </w:r>
      <w:r w:rsidRPr="00291955">
        <w:rPr>
          <w:rStyle w:val="HideTWBExt"/>
          <w:b w:val="0"/>
        </w:rPr>
        <w:t>&lt;/RefProc&gt;&lt;RefTypeProc&gt;</w:t>
      </w:r>
      <w:r w:rsidRPr="00291955">
        <w:t>(COD)</w:t>
      </w:r>
      <w:r w:rsidRPr="00291955">
        <w:rPr>
          <w:rStyle w:val="HideTWBExt"/>
          <w:b w:val="0"/>
        </w:rPr>
        <w:t>&lt;/RefTypeProc&gt;</w:t>
      </w:r>
    </w:p>
    <w:p w:rsidR="002E2F2E" w:rsidRPr="00291955" w14:paraId="336CD995" w14:textId="77777777">
      <w:pPr>
        <w:pStyle w:val="CoverDate"/>
      </w:pPr>
      <w:r w:rsidRPr="00291955">
        <w:rPr>
          <w:rStyle w:val="HideTWBExt"/>
        </w:rPr>
        <w:t>&lt;Date&gt;</w:t>
      </w:r>
      <w:r w:rsidRPr="00291955">
        <w:rPr>
          <w:rStyle w:val="HideTWBInt"/>
          <w:color w:val="auto"/>
        </w:rPr>
        <w:t>{22/07/2026}</w:t>
      </w:r>
      <w:r w:rsidRPr="00291955">
        <w:t>22.7.2026</w:t>
      </w:r>
      <w:r w:rsidRPr="00291955">
        <w:rPr>
          <w:rStyle w:val="HideTWBExt"/>
        </w:rPr>
        <w:t>&lt;/Date&gt;</w:t>
      </w:r>
    </w:p>
    <w:p w:rsidR="002E2F2E" w:rsidRPr="00291955" w14:paraId="71E3E55E" w14:textId="77777777">
      <w:pPr>
        <w:pStyle w:val="CoverDocType24a"/>
      </w:pPr>
      <w:r w:rsidRPr="00291955">
        <w:rPr>
          <w:rStyle w:val="HideTWBExt"/>
          <w:b w:val="0"/>
        </w:rPr>
        <w:t>&lt;TitreType&gt;</w:t>
      </w:r>
      <w:r w:rsidRPr="00291955">
        <w:t>EVALUACIÓN PRESUPUESTARIA</w:t>
      </w:r>
      <w:r w:rsidRPr="00291955">
        <w:rPr>
          <w:rStyle w:val="HideTWBExt"/>
          <w:b w:val="0"/>
        </w:rPr>
        <w:t>&lt;/TitreType&gt;</w:t>
      </w:r>
    </w:p>
    <w:p w:rsidR="002E2F2E" w:rsidRPr="00291955" w14:paraId="4EE348D9" w14:textId="77777777">
      <w:pPr>
        <w:pStyle w:val="CoverNormal24a"/>
      </w:pPr>
      <w:r w:rsidRPr="00291955">
        <w:rPr>
          <w:rStyle w:val="HideTWBExt"/>
        </w:rPr>
        <w:t>&lt;CommissionResp&gt;</w:t>
      </w:r>
      <w:r w:rsidRPr="00291955">
        <w:t>de la Comisión de Presupuestos</w:t>
      </w:r>
      <w:r w:rsidRPr="00291955">
        <w:rPr>
          <w:rStyle w:val="HideTWBExt"/>
        </w:rPr>
        <w:t>&lt;/CommissionResp&gt;</w:t>
      </w:r>
    </w:p>
    <w:p w:rsidR="002E2F2E" w:rsidRPr="00291955" w14:paraId="006E96DC" w14:textId="77777777">
      <w:pPr>
        <w:pStyle w:val="CoverNormal24a"/>
      </w:pPr>
      <w:r w:rsidRPr="00291955">
        <w:rPr>
          <w:rStyle w:val="HideTWBExt"/>
        </w:rPr>
        <w:t>&lt;CommissionInt&gt;</w:t>
      </w:r>
      <w:r w:rsidRPr="00291955">
        <w:t>para la Comisión de Cultura y Educación y la Comisión de Libertades Civiles, Justicia y Asuntos de Interior</w:t>
      </w:r>
      <w:r w:rsidRPr="00291955">
        <w:rPr>
          <w:rStyle w:val="HideTWBExt"/>
        </w:rPr>
        <w:t>&lt;/CommissionInt&gt;</w:t>
      </w:r>
    </w:p>
    <w:p w:rsidR="002E2F2E" w:rsidRPr="00291955" w14:paraId="2D9E2A39" w14:textId="77777777">
      <w:pPr>
        <w:pStyle w:val="CoverNormal"/>
      </w:pPr>
      <w:r w:rsidRPr="00291955">
        <w:rPr>
          <w:rStyle w:val="HideTWBExt"/>
        </w:rPr>
        <w:t>&lt;Titre&gt;</w:t>
      </w:r>
      <w:r w:rsidRPr="00291955">
        <w:t>sobre la propuesta de Reglamento del Parlamento Europeo y del Consejo por el que se establece el programa «AgoraEU» para el período 2028-2034 y se derogan los Reglamentos (UE) 2021/692 y (UE) 2021/818</w:t>
      </w:r>
      <w:r w:rsidRPr="00291955">
        <w:rPr>
          <w:rStyle w:val="HideTWBExt"/>
        </w:rPr>
        <w:t>&lt;/Titre&gt;</w:t>
      </w:r>
    </w:p>
    <w:p w:rsidR="002E2F2E" w:rsidRPr="00291955" w14:paraId="27C69E4F" w14:textId="77777777">
      <w:pPr>
        <w:pStyle w:val="CoverNormal24a"/>
      </w:pPr>
      <w:r w:rsidRPr="00291955">
        <w:rPr>
          <w:rStyle w:val="HideTWBExt"/>
        </w:rPr>
        <w:t>&lt;DocRef&gt;</w:t>
      </w:r>
      <w:r w:rsidRPr="00291955">
        <w:t>(COM(2025)0550 – C10</w:t>
      </w:r>
      <w:r w:rsidRPr="00291955">
        <w:noBreakHyphen/>
        <w:t>0173/2025 – 2025/0550(COD))</w:t>
      </w:r>
      <w:r w:rsidRPr="00291955">
        <w:rPr>
          <w:rStyle w:val="HideTWBExt"/>
        </w:rPr>
        <w:t>&lt;/DocRef&gt;</w:t>
      </w:r>
    </w:p>
    <w:p w:rsidR="00A72C35" w:rsidRPr="00291955" w:rsidP="00FC42F1" w14:paraId="09B3F443" w14:textId="77777777">
      <w:pPr>
        <w:pStyle w:val="CoverNormal24a"/>
        <w:rPr>
          <w:rStyle w:val="HideTWBExt"/>
        </w:rPr>
      </w:pPr>
      <w:r w:rsidRPr="00291955">
        <w:t xml:space="preserve">Ponente de </w:t>
      </w:r>
      <w:r w:rsidRPr="00291955">
        <w:t xml:space="preserve">evaluación presupuestaria: </w:t>
      </w:r>
      <w:r w:rsidRPr="00291955">
        <w:rPr>
          <w:rStyle w:val="HideTWBExt"/>
        </w:rPr>
        <w:t>&lt;Depute&gt;</w:t>
      </w:r>
      <w:r w:rsidRPr="00291955">
        <w:t>Sandra Gómez López</w:t>
      </w:r>
      <w:r w:rsidRPr="00291955">
        <w:rPr>
          <w:rStyle w:val="HideTWBExt"/>
        </w:rPr>
        <w:t>&lt;/Depute&gt;</w:t>
      </w:r>
    </w:p>
    <w:p w:rsidR="002E2F2E" w:rsidRPr="00291955" w:rsidP="002917E3" w14:paraId="57AE68F8" w14:textId="77777777">
      <w:pPr>
        <w:widowControl/>
        <w:tabs>
          <w:tab w:val="center" w:pos="4677"/>
        </w:tabs>
      </w:pPr>
      <w:r w:rsidRPr="00291955">
        <w:br w:type="page"/>
      </w:r>
      <w:r w:rsidRPr="00291955">
        <w:t>PA_LegEvaluation</w:t>
      </w:r>
    </w:p>
    <w:p w:rsidR="002E2F2E" w:rsidRPr="00291955" w:rsidP="00757C4C" w14:paraId="58FDE43F" w14:textId="77777777">
      <w:pPr>
        <w:pStyle w:val="PageHeadingNotTOC"/>
      </w:pPr>
      <w:r w:rsidRPr="00291955">
        <w:br w:type="page"/>
      </w:r>
      <w:r w:rsidRPr="00291955">
        <w:t>EVALUACIÓN PRESUPUESTARIA</w:t>
      </w:r>
    </w:p>
    <w:p w:rsidR="00757C4C" w:rsidRPr="00291955" w:rsidP="00757C4C" w14:paraId="1F2A277F" w14:textId="77777777">
      <w:pPr>
        <w:pStyle w:val="NormalBold"/>
      </w:pPr>
      <w:r w:rsidRPr="00291955">
        <w:t>para la Comisión de Cultura y Educación y la Comisión de Libertades Civiles, Justicia y Asuntos de Interior sobre la propuesta de Reglamento del Parlamento Europeo y del Consejo por el que se establece el programa «AgoraEU» para el período 2028-2034 y se derogan los Reglamentos (UE) 2021/692 y (UE) 2021/818</w:t>
      </w:r>
    </w:p>
    <w:p w:rsidR="00006F54" w:rsidRPr="00291955" w:rsidP="00006F54" w14:paraId="2F39E81D" w14:textId="77777777">
      <w:pPr>
        <w:pStyle w:val="NormalBold"/>
      </w:pPr>
      <w:r w:rsidRPr="00291955">
        <w:t>(COM(2025)0550 – C10</w:t>
      </w:r>
      <w:r w:rsidRPr="00291955">
        <w:noBreakHyphen/>
        <w:t>0173/2025 – 2025/0550(COD))</w:t>
      </w:r>
    </w:p>
    <w:p w:rsidR="00AE79AF" w:rsidRPr="00291955" w:rsidP="00006F54" w14:paraId="5B8A641E" w14:textId="6593D4C6">
      <w:pPr>
        <w:pStyle w:val="Normal12a"/>
        <w:spacing w:before="480"/>
      </w:pPr>
      <w:r w:rsidRPr="00291955">
        <w:rPr>
          <w:rStyle w:val="HideTWBExt"/>
        </w:rPr>
        <w:t>&lt;Intro&gt;</w:t>
      </w:r>
      <w:r w:rsidRPr="00291955">
        <w:t xml:space="preserve">Con arreglo al artículo 58 del </w:t>
      </w:r>
      <w:r w:rsidRPr="00291955">
        <w:t>Reglamento interno, la Comisión de Presupuestos ha llevado a cabo una evaluación de la propuesta y ha concluido</w:t>
      </w:r>
      <w:r>
        <w:t xml:space="preserve"> </w:t>
      </w:r>
      <w:r w:rsidRPr="00291955">
        <w:t>l</w:t>
      </w:r>
      <w:r w:rsidRPr="00291955">
        <w:t>o que sigue:</w:t>
      </w:r>
      <w:r w:rsidRPr="00291955">
        <w:rPr>
          <w:rStyle w:val="HideTWBExt"/>
        </w:rPr>
        <w:t>&lt;/Intro&gt;</w:t>
      </w:r>
    </w:p>
    <w:p w:rsidR="00CE6558" w:rsidRPr="00291955" w:rsidP="00CE6558" w14:paraId="672FCCF4" w14:textId="77777777">
      <w:pPr>
        <w:pStyle w:val="EPComma"/>
      </w:pPr>
      <w:r w:rsidRPr="00291955">
        <w:rPr>
          <w:i/>
        </w:rPr>
        <w:t>La Comisión de Presupuestos</w:t>
      </w:r>
      <w:r w:rsidRPr="00291955">
        <w:t>,</w:t>
      </w:r>
    </w:p>
    <w:p w:rsidR="00F94599" w:rsidRPr="00291955" w:rsidP="002917E3" w14:paraId="2FD6A8B9" w14:textId="77777777">
      <w:pPr>
        <w:pStyle w:val="NormalHanging12a"/>
        <w:widowControl/>
      </w:pPr>
      <w:r w:rsidRPr="00291955">
        <w:t>A.</w:t>
      </w:r>
      <w:r w:rsidRPr="00291955">
        <w:tab/>
        <w:t>Considerando que AgoraEU sucede al actual programa Europa Creativa y al programa Ciudadanos, Igualdad, Derechos y Valores (CERV);</w:t>
      </w:r>
    </w:p>
    <w:p w:rsidR="00F94599" w:rsidRPr="00291955" w:rsidP="002917E3" w14:paraId="59139341" w14:textId="77777777">
      <w:pPr>
        <w:pStyle w:val="NormalHanging12a"/>
        <w:widowControl/>
      </w:pPr>
      <w:r w:rsidRPr="00291955">
        <w:t>B.</w:t>
      </w:r>
      <w:r w:rsidRPr="00291955">
        <w:tab/>
        <w:t>Considerando que el presupuesto de la Unión desempeña un papel crucial en el apoyo a los valores fundamentales de la Unión de democracia y pluralismo, consagrados en el artículo 2 del Tratado de la Unión Europea; que los programas predecesores han demostrado ser cruciales para apoyar a los sectores cultural y creativo, salvaguardar la libertad artística y de los medios de comunicación, luchar contra la desinformación y proteger y promover la igualdad, la participación democrática, la inclusión social, la r</w:t>
      </w:r>
      <w:r w:rsidRPr="00291955">
        <w:t>esiliencia social, la ciudadanía activa, los derechos y los valores, en particular la lucha contra todas las formas de violencia de género, según lo consagrado en los Tratados y en la Carta de los Derechos Fundamentales de la Unión Europea y en los convenios internacionales aplicables en materia de derechos humanos;</w:t>
      </w:r>
    </w:p>
    <w:p w:rsidR="00A87D2F" w:rsidRPr="00291955" w:rsidP="002917E3" w14:paraId="5F04FA7B" w14:textId="77777777">
      <w:pPr>
        <w:pStyle w:val="NormalHanging12a"/>
        <w:widowControl/>
      </w:pPr>
      <w:r w:rsidRPr="00291955">
        <w:t>C.</w:t>
      </w:r>
      <w:r w:rsidRPr="00291955">
        <w:tab/>
        <w:t>Considerando que, en el contexto de aumento de la presión y amenazas sobre los valores democráticos europeos, así como de retos estructurales más amplios a los que se enfrenta la Unión, el programa AgoraEU desempeña un papel clave en el apoyo a la cultura, los medios de comunicación independientes y la sociedad civil, y en la contribución a la resiliencia social, el compromiso cívico y el fortalecimiento de la democracia de la Unión;</w:t>
      </w:r>
    </w:p>
    <w:p w:rsidR="00A87D2F" w:rsidRPr="00291955" w:rsidP="002917E3" w14:paraId="5D0A20AA" w14:textId="77777777">
      <w:pPr>
        <w:pStyle w:val="NormalHanging12a"/>
        <w:widowControl/>
      </w:pPr>
      <w:r w:rsidRPr="00291955">
        <w:t>1.</w:t>
      </w:r>
      <w:r w:rsidRPr="00291955">
        <w:tab/>
        <w:t>Señala que el nuevo programa AgoraEU propuesto fusiona dos programas diferentes existentes —el programa Europa Creativa y el programa CERV— e integra la financiación relacionada con las acciones de MEDIA apoyadas en virtud de las prerrogativas de la Comisión; toma nota de la propuesta de la Comisión de aumentar significativamente el presupuesto en comparación con el presupuesto acumulado de los programas CERV y Europa Creativa para el período 2021-2027; subraya que estos programas reciben un exceso de soli</w:t>
      </w:r>
      <w:r w:rsidRPr="00291955">
        <w:t>citudes y son objeto de una demanda considerablemente superior a sus posibilidades sobre la base de su presupuesto; subraya el papel central del programa AgoraEU en el fomento de la resiliencia democrática de la Unión; destaca, por tanto, que es necesario un nuevo aumento del presupuesto propuesto;</w:t>
      </w:r>
    </w:p>
    <w:p w:rsidR="00F94599" w:rsidRPr="00291955" w:rsidP="002917E3" w14:paraId="68940DBF" w14:textId="77777777">
      <w:pPr>
        <w:pStyle w:val="NormalHanging12a"/>
        <w:widowControl/>
      </w:pPr>
      <w:r w:rsidRPr="00291955">
        <w:t>2.</w:t>
      </w:r>
      <w:r w:rsidRPr="00291955">
        <w:tab/>
        <w:t>Considera que la dotación del programa debe incrementarse de 8 582 000 000 EUR a precios corrientes a 10 720 330 000 EUR a precios corrientes y a 9 500 000 000 EUR a precios de 2025, para estar suficientemente equipado para cumplir sus objetivos, garantizando al mismo tiempo que la fusión no diluya el apoyo a los sectores cultural y creativo, los medios de comunicación independientes, la sociedad civil, la participación democrática y la igualdad, y siga apoyando las acciones Daphne y promoviendo los derech</w:t>
      </w:r>
      <w:r w:rsidRPr="00291955">
        <w:t>os fundamentales;</w:t>
      </w:r>
    </w:p>
    <w:p w:rsidR="00950C9F" w:rsidRPr="00291955" w:rsidP="002917E3" w14:paraId="12E0391F" w14:textId="77777777">
      <w:pPr>
        <w:pStyle w:val="NormalHanging12a"/>
        <w:widowControl/>
      </w:pPr>
      <w:r w:rsidRPr="00291955">
        <w:t>3.</w:t>
      </w:r>
      <w:r w:rsidRPr="00291955">
        <w:tab/>
        <w:t>Acoge con satisfacción la Estrategia de la Unión para la Sociedad Civil recientemente publicada, que reconoce el importante papel de las organizaciones de la sociedad civil (OSC) a la hora de proporcionar asesoramiento, apoyo y conocimientos especializados en el desarrollo y la aplicación de la legislación y las políticas de la Unión; subraya, a este respecto, la necesidad de garantizar una financiación a largo plazo, previsible y suficiente para las OSC, también, cuando sea necesario, a través de subvenci</w:t>
      </w:r>
      <w:r w:rsidRPr="00291955">
        <w:t>ones de funcionamiento, con plena transparencia y rendición de cuentas;</w:t>
      </w:r>
    </w:p>
    <w:p w:rsidR="00950C9F" w:rsidRPr="00291955" w:rsidP="002917E3" w14:paraId="3EFC20D8" w14:textId="77777777">
      <w:pPr>
        <w:pStyle w:val="NormalHanging12a"/>
        <w:widowControl/>
      </w:pPr>
      <w:r w:rsidRPr="00291955">
        <w:t>4.</w:t>
      </w:r>
      <w:r w:rsidRPr="00291955">
        <w:tab/>
        <w:t>Destaca la necesidad de garantizar una amplia accesibilidad del programa AgoraEU en todos sus capítulos; recuerda, a este respecto, el artículo 207 del Reglamento Financiero</w:t>
      </w:r>
      <w:r>
        <w:rPr>
          <w:rStyle w:val="FootnoteReference"/>
        </w:rPr>
        <w:footnoteReference w:id="2"/>
      </w:r>
      <w:r w:rsidRPr="00291955">
        <w:t>, que permite la posibilidad de prestar apoyo financiero a terceros («financiación en cascada»);</w:t>
      </w:r>
    </w:p>
    <w:p w:rsidR="00F94599" w:rsidRPr="00291955" w:rsidP="002917E3" w14:paraId="6984DC5A" w14:textId="77777777">
      <w:pPr>
        <w:pStyle w:val="NormalHanging12a"/>
        <w:widowControl/>
      </w:pPr>
      <w:r w:rsidRPr="00291955">
        <w:t>5.</w:t>
      </w:r>
      <w:r w:rsidRPr="00291955">
        <w:tab/>
        <w:t>Considera que debe disponerse desde el principio, y a lo largo de todo el período de programación del marco financiero plurianual (MFP) 2028-2034, de recursos suficientes, incluidos recursos humanos, técnicos e informáticos, para garantizar una aplicación efectiva del programa AgoraEU, también en lo que respecta a la agencia ejecutiva que pueda gestionar directamente partes del programa; hace hincapié en que la ejecución eficaz de los programas y la correcta aplicación de las políticas y los programas de l</w:t>
      </w:r>
      <w:r w:rsidRPr="00291955">
        <w:t>a Unión, incluidas una supervisión y una ejecución adecuadas, dependen de una administración de la Unión dotada de la financiación y el personal adecuados; recuerda su posición de larga data de que los gastos administrativos no deben ir en detrimento de la dotación del programa;</w:t>
      </w:r>
    </w:p>
    <w:p w:rsidR="00F94599" w:rsidRPr="00291955" w:rsidP="002917E3" w14:paraId="29065964" w14:textId="77777777">
      <w:pPr>
        <w:pStyle w:val="NormalHanging12a"/>
        <w:widowControl/>
      </w:pPr>
      <w:r w:rsidRPr="00291955">
        <w:t>6.</w:t>
      </w:r>
      <w:r w:rsidRPr="00291955">
        <w:tab/>
        <w:t>Insiste en que una legislación suficientemente detallada y sólida, con un nivel adecuado de gobernanza, es condición necesaria para una toma de decisiones presupuestarias adecuada y un control parlamentario adecuado durante la ejecución del presupuesto; recomienda que se introduzcan disposiciones para reforzar el control sobre cómo se moviliza y utiliza el presupuesto y subraya la importancia de las evaluaciones periódicas; considera que el denominado «mecanismo de dirección» no puede sustituir en modo alg</w:t>
      </w:r>
      <w:r w:rsidRPr="00291955">
        <w:t>uno las competencias legislativas y presupuestarias del Parlamento ni puede concebirse sin una estructura de gobernanza sólida que garantice el ejercicio efectivo de tales competencias;</w:t>
      </w:r>
    </w:p>
    <w:p w:rsidR="00950C9F" w:rsidRPr="00291955" w:rsidP="002917E3" w14:paraId="73A00BFF" w14:textId="77777777">
      <w:pPr>
        <w:pStyle w:val="NormalHanging12a"/>
        <w:widowControl/>
      </w:pPr>
      <w:r w:rsidRPr="00291955">
        <w:t>7.</w:t>
      </w:r>
      <w:r w:rsidRPr="00291955">
        <w:tab/>
        <w:t xml:space="preserve">Subraya que una mayor flexibilidad en la ejecución del programa no debe dar lugar a una centralización </w:t>
      </w:r>
      <w:r w:rsidRPr="00291955">
        <w:rPr>
          <w:i/>
          <w:iCs/>
        </w:rPr>
        <w:t>de facto</w:t>
      </w:r>
      <w:r w:rsidRPr="00291955">
        <w:t xml:space="preserve"> de la ejecución presupuestaria en el plano de la Comisión ni debilitar las prerrogativas de la autoridad presupuestaria; hace hincapié en que la </w:t>
      </w:r>
      <w:r w:rsidRPr="00291955">
        <w:t>simplificación y la flexibilidad no deben ir en detrimento de la transparencia y la supervisión por parte de la autoridad presupuestaria; recomienda, por tanto, que la dotación global se desglose para reflejar los capítulos específicos de AgoraEU; subray</w:t>
      </w:r>
      <w:r w:rsidRPr="00291955">
        <w:t>a que debe garantizarse la transparencia en lo que respecta a la asignación de recursos a actividades transversales; recomienda que, en caso de que las comisiones competentes para el fondo decidan crear más capítulos de los que se incluyen en la propuesta de la Comisión, también se definan subdotaciones indicativas;</w:t>
      </w:r>
    </w:p>
    <w:p w:rsidR="00F94599" w:rsidRPr="00291955" w:rsidP="002917E3" w14:paraId="5DF91817" w14:textId="77777777">
      <w:pPr>
        <w:pStyle w:val="NormalHanging12a"/>
        <w:widowControl/>
      </w:pPr>
      <w:r w:rsidRPr="00291955">
        <w:t>8.</w:t>
      </w:r>
      <w:r w:rsidRPr="00291955">
        <w:tab/>
        <w:t>Destaca que los elementos que componen el programa AgoraEU tienen objetivos diferentes, se enfrentan a realidades diferentes y están estructurados de manera diferente y que los sectores a los que se dirigen tienen misiones y modelos de negocio diferentes, lo que debe tenerse debidamente en cuenta en la elaboración del Reglamento propuesto; lamenta que no se proponga una nomenclatura presupuestaria indicativa suficientemente detallada en la ficha legislativa de financiación y digital y considera que esto ob</w:t>
      </w:r>
      <w:r w:rsidRPr="00291955">
        <w:t>staculizará la supervisión y la capacidad de la autoridad presupuestaria para orientar con precisión las prioridades políticas en el procedimiento presupuestario anual; señala, además, que esto conferiría gran libertad a la Comisión para realizar cambios y decidir acerca de las prioridades de gasto durante la ejecución; expresa su preocupación por el hecho de que la estructura presupuestaria, excesivamente cumulativa, aumentaría sobremanera la discrecionalidad de la Comisión a la hora de transferir y reasig</w:t>
      </w:r>
      <w:r w:rsidRPr="00291955">
        <w:t>nar recursos sin una decisión de la autoridad presupuestaria y limitaría gravemente la supervisión parlamentaria; recomienda, por tanto, una nomenclatura más detallada que refleje adecuadamente los objetivos y la estructura del programa y mejore la transparencia, la rendición de cuentas y el control parlamentario;</w:t>
      </w:r>
    </w:p>
    <w:p w:rsidR="00950C9F" w:rsidRPr="00291955" w:rsidP="002917E3" w14:paraId="381E1E45" w14:textId="77777777">
      <w:pPr>
        <w:pStyle w:val="NormalHanging12a"/>
        <w:widowControl/>
      </w:pPr>
      <w:r w:rsidRPr="00291955">
        <w:t>9.</w:t>
      </w:r>
      <w:r w:rsidRPr="00291955">
        <w:tab/>
        <w:t xml:space="preserve">Recuerda que la nomenclatura presupuestaria debe establecerse según lo dispuesto en el artículo 47, apartado 2, del Reglamento Financiero, en virtud del cual cada título ha de corresponder a una política y cada capítulo, por regla general, a un programa o una actividad, de conformidad con los principios de especialidad, buena gestión financiera y transparencia; recomienda que la Comisión de Cultura y Educación y la Comisión de Libertades Civiles, Justicia y Asuntos de Interior modifiquen la propuesta para </w:t>
      </w:r>
      <w:r w:rsidRPr="00291955">
        <w:t>incluir un anexo que defina la nomenclatura del programa; insiste en que la nomenclatura presupuestaria forma parte integrante de la posición negociadora del Parlamento y debe debatirse en las negociaciones interinstitucionales; considera, a este respecto, que la ficha legislativa de financiación y digital revisada debe formar parte del acuerdo político final;</w:t>
      </w:r>
    </w:p>
    <w:p w:rsidR="00F94599" w:rsidRPr="00291955" w:rsidP="002917E3" w14:paraId="767C16D4" w14:textId="77777777">
      <w:pPr>
        <w:pStyle w:val="NormalHanging12a"/>
        <w:widowControl/>
      </w:pPr>
      <w:r w:rsidRPr="00291955">
        <w:t>10.</w:t>
      </w:r>
      <w:r w:rsidRPr="00291955">
        <w:tab/>
        <w:t>Recuerda que la propuesta incluye la posibilidad de utilizar una garantía presupuestaria; subraya que las repercusiones presupuestarias de las operaciones de empréstito y préstamo en el marco de AgoraEU deben identificarse claramente, presentarse de forma transparente y supervisarse cuidadosamente a lo largo de todo el período del MFP; subraya, en particular, que su posible impacto en otras garantías debe evaluarse plenamente y tenerse debidamente en cuenta, así como el impacto en la disponibilidad de subv</w:t>
      </w:r>
      <w:r w:rsidRPr="00291955">
        <w:t xml:space="preserve">enciones en el marco del programa; insiste en que todas las decisiones relacionadas con tales operaciones deben respetar plenamente las competencias de los colegisladores y las prerrogativas de la autoridad presupuestaria; subraya que estos instrumentos deben utilizarse estratégicamente para maximizar el impacto, la eficiencia </w:t>
      </w:r>
      <w:r w:rsidRPr="00291955">
        <w:t>y la sostenibilidad de la financiación de la Unión, garantizando al mismo tiempo la plena transparencia y una buena gestión de riesgos;</w:t>
      </w:r>
    </w:p>
    <w:p w:rsidR="00F94599" w:rsidRPr="00291955" w:rsidP="002917E3" w14:paraId="1184B416" w14:textId="77777777">
      <w:pPr>
        <w:pStyle w:val="NormalHanging12a"/>
        <w:widowControl/>
      </w:pPr>
      <w:r w:rsidRPr="00291955">
        <w:t>11.</w:t>
      </w:r>
      <w:r w:rsidRPr="00291955">
        <w:tab/>
        <w:t>Insiste en que el uso de instrumentos financieros junto con la financiación de AgoraEU se establecerá adecuadamente y que, en su caso, el importe total reservado para las operaciones de financiación mixta, así como otros instrumentos financieros, se especificará en el procedimiento presupuestario anual; insta a que los importes movilizados mediante operaciones de financiación mixta sean responsables desde el punto de vista presupuestario con tipos de interés razonables;</w:t>
      </w:r>
    </w:p>
    <w:p w:rsidR="00950C9F" w:rsidRPr="00291955" w:rsidP="002917E3" w14:paraId="2AFD6737" w14:textId="77777777">
      <w:pPr>
        <w:pStyle w:val="NormalHanging12a"/>
        <w:widowControl/>
      </w:pPr>
      <w:r w:rsidRPr="00291955">
        <w:t>12.</w:t>
      </w:r>
      <w:r w:rsidRPr="00291955">
        <w:tab/>
        <w:t>Recuerda que la propuesta ofrece la posibilidad de reasignar recursos a programas de gestión compartida y desde estos, pero subraya que dichas sinergias deben fomentar la aplicación de políticas; se hace eco de la recomendación del Tribunal de Cuentas Europeo de que cualquier reasignación debe estar debidamente justificada en cada caso y llevarse a cabo de forma coordinada entre la Comisión y los Estados miembros; subraya la necesidad de garantizar la plena trazabilidad de los importes reasignados;</w:t>
      </w:r>
    </w:p>
    <w:p w:rsidR="00950C9F" w:rsidRPr="00291955" w:rsidP="002917E3" w14:paraId="566D7DCC" w14:textId="77777777">
      <w:pPr>
        <w:pStyle w:val="NormalHanging12a"/>
        <w:widowControl/>
      </w:pPr>
      <w:r w:rsidRPr="00291955">
        <w:t>13.</w:t>
      </w:r>
      <w:r w:rsidRPr="00291955">
        <w:tab/>
        <w:t xml:space="preserve">Destaca la necesidad de definir el final del período de subvencionabilidad y el límite máximo de los gastos técnicos y administrativos, así como de aportar mayor claridad sobre los derechos de </w:t>
      </w:r>
      <w:r w:rsidRPr="00291955">
        <w:t>auditoría para el Tribunal de Cuentas Europeo, también con respecto a los beneficiarios en «terceros países», es decir, fuera del marco jurídico de la Unión;</w:t>
      </w:r>
    </w:p>
    <w:p w:rsidR="00950C9F" w:rsidRPr="00291955" w:rsidP="002917E3" w14:paraId="417FECA0" w14:textId="77777777">
      <w:pPr>
        <w:pStyle w:val="NormalHanging12a"/>
        <w:widowControl/>
      </w:pPr>
      <w:r w:rsidRPr="00291955">
        <w:t>14.</w:t>
      </w:r>
      <w:r w:rsidRPr="00291955">
        <w:tab/>
        <w:t>Considera que los reflujos de los instrumentos financieros deben seguir estando disponibles en el marco del programa AgoraEU;</w:t>
      </w:r>
    </w:p>
    <w:p w:rsidR="00F94599" w:rsidRPr="00291955" w:rsidP="002917E3" w14:paraId="63A59715" w14:textId="77777777">
      <w:pPr>
        <w:pStyle w:val="NormalHanging12a"/>
        <w:widowControl/>
      </w:pPr>
      <w:r w:rsidRPr="00291955">
        <w:t>15.</w:t>
      </w:r>
      <w:r w:rsidRPr="00291955">
        <w:tab/>
        <w:t>Toma nota de la complementariedad propuesta entre AgoraEU y otros programas, fondos e iniciativas de la Unión, como el Escudo Europeo de la Democracia, el programa Justicia, Erasmus+, Europa Global, el Fondo Europeo de Competitividad, Horizonte Europa y los fondos de gestión compartida en el marco de los planes de colaboración nacional y regional; subraya que una mayor complementariedad entre los instrumentos no debe ir en detrimento de la trazabilidad del gasto ni de las prerrogativas de la autoridad pres</w:t>
      </w:r>
      <w:r w:rsidRPr="00291955">
        <w:t>upuestaria; subraya que la contribución de AgoraEU a las operaciones financiadas conjuntamente con otros instrumentos debe ser explícitamente identificable en todas las fases del ciclo presupuestario; hace hincapié, a este respecto, en que tal contribución debe reflejarse debidamente en la declaración de rendimiento del programa AgoraEU; insiste en que la autoridad presupuestaria debe mantener el control pleno sobre la manera en que se combinan los recursos entre los distintos instrumentos y sobre la contri</w:t>
      </w:r>
      <w:r w:rsidRPr="00291955">
        <w:t>bución efectiva de cada programa a las prioridades de la Unión, en particular a través de una nomenclatura presupuestaria detallada; subraya que una mayor complementariedad entre los programas no debe dar lugar a una complejidad desproporcionada para los beneficiarios; pide una financiación de la Unión más clara, más accesible y más coherente, con el fin de facilitar la adopción y maximizar el impacto de las inversiones;</w:t>
      </w:r>
    </w:p>
    <w:p w:rsidR="00F94599" w:rsidRPr="00291955" w:rsidP="002917E3" w14:paraId="62A1DC1D" w14:textId="77777777">
      <w:pPr>
        <w:pStyle w:val="NormalHanging12a"/>
        <w:widowControl/>
      </w:pPr>
      <w:r w:rsidRPr="00291955">
        <w:t>16.</w:t>
      </w:r>
      <w:r w:rsidRPr="00291955">
        <w:tab/>
        <w:t xml:space="preserve">Destaca que el uso de los ingresos afectados externos en el marco de AgoraEU debe estar claramente delimitado, ser plenamente transparente y estar sujeto a un control parlamentario efectivo; toma nota, a este respecto, de las disposiciones relativas a las contribuciones financieras adicionales de todo tercer país participante y de otros </w:t>
      </w:r>
      <w:r w:rsidRPr="00291955">
        <w:t xml:space="preserve">donantes al programa; recuerda la importancia de garantizar la trazabilidad de los ingresos afectados externos; subraya que, en caso de que las comisiones competentes para </w:t>
      </w:r>
      <w:r w:rsidRPr="00291955">
        <w:t>el fondo sometan a consideración la modificación de las disposiciones relativas a los ingresos afectados externos, esto debe hacerse en coordinación con la Comisión de Presupuestos y las demás comisiones, a fin de garantizar un enfoque coherente; reconoce que las contribuciones de terceros, también del sector privado, pueden ser beneficiosas para el programa; hace hincapié en que dichas contribuciones deben ejecutarse de conformidad con el Reglamento Financiero, en particular por cuanto respecta a la indepe</w:t>
      </w:r>
      <w:r w:rsidRPr="00291955">
        <w:t>ndencia y la imparcialidad;</w:t>
      </w:r>
    </w:p>
    <w:p w:rsidR="00972442" w:rsidRPr="00291955" w:rsidP="002917E3" w14:paraId="76863C6B" w14:textId="77777777">
      <w:pPr>
        <w:pStyle w:val="NormalHanging12a"/>
        <w:widowControl/>
      </w:pPr>
      <w:r w:rsidRPr="00291955">
        <w:t>17.</w:t>
      </w:r>
      <w:r w:rsidRPr="00291955">
        <w:tab/>
        <w:t>Hace hincapié en que la participación de organizaciones de terceros países, que debe especificarse claramente y justificarse debidamente de manera transparente en cada programa de trabajo anual, con independencia de que dichos países estén o no asociados, ha de llevarse a cabo de conformidad con los principios de transparencia, reciprocidad financiera y armonización normativa; destaca, a este respecto, que los terceros países deben aportar una contribución financiera adecuada al programa; subraya que dicha</w:t>
      </w:r>
      <w:r w:rsidRPr="00291955">
        <w:t xml:space="preserve"> participación debe estar supeditada a un grado suficiente de armonización normativa, en particular con las disposiciones de la Directiva 2010/13/UE</w:t>
      </w:r>
      <w:r>
        <w:rPr>
          <w:rStyle w:val="FootnoteReference"/>
        </w:rPr>
        <w:footnoteReference w:id="3"/>
      </w:r>
      <w:r w:rsidRPr="00291955">
        <w:t xml:space="preserve"> sobre la prestación de servicios de comunicación audiovisual, en particular en el contexto de la cooperación audiovisual; destaca la necesidad de garantizar salvaguardias claras en caso de incumplimiento por parte de un tercer país de los compromisos asumidos en el marco del acuerdo de asociación, o cuando existan deficiencias graves y persistentes que puedan afectar a la buena gestión financiera y a la protección de los intereses financieros de la Unión;</w:t>
      </w:r>
    </w:p>
    <w:p w:rsidR="00972442" w:rsidRPr="00291955" w:rsidP="002917E3" w14:paraId="16C8C6B1" w14:textId="77777777">
      <w:pPr>
        <w:pStyle w:val="NormalHanging12a"/>
        <w:widowControl/>
      </w:pPr>
      <w:r w:rsidRPr="00291955">
        <w:t>18.</w:t>
      </w:r>
      <w:r w:rsidRPr="00291955">
        <w:tab/>
        <w:t>Considera que todas las opciones políticas sustantivas, como los objetivos de los programas, las prioridades de gasto, las asignaciones financieras, los porcentajes de financiación, los criterios de admisibilidad, selección y adjudicación, las condiciones, las definiciones y los métodos de cálculo, deben determinarse en el acto de base pertinente, respetando plenamente las prerrogativas del Parlamento como colegislador y rama de la autoridad presupuestaria de la UE, y que cualquier elemento suplementario y</w:t>
      </w:r>
      <w:r w:rsidRPr="00291955">
        <w:t xml:space="preserve"> que no sea esencial, pero que conlleve opciones políticas que no estén incluidas en el acto de base, solo debe adoptarse mediante actos delegados, incluidos los programas de trabajo;</w:t>
      </w:r>
    </w:p>
    <w:p w:rsidR="00F94599" w:rsidRPr="00291955" w:rsidP="002917E3" w14:paraId="2F7B247B" w14:textId="77777777">
      <w:pPr>
        <w:pStyle w:val="NormalHanging12a"/>
        <w:widowControl/>
      </w:pPr>
      <w:r w:rsidRPr="00291955">
        <w:t>19.</w:t>
      </w:r>
      <w:r w:rsidRPr="00291955">
        <w:tab/>
        <w:t>Recuerda la propuesta de Reglamento por el que se establece un marco de rendimiento y rastreo del gasto presupuestario y otras normas horizontales de aplicación a los programas y actividades de la Unión</w:t>
      </w:r>
      <w:r>
        <w:rPr>
          <w:rStyle w:val="FootnoteReference"/>
        </w:rPr>
        <w:footnoteReference w:id="4"/>
      </w:r>
      <w:r w:rsidRPr="00291955">
        <w:t xml:space="preserve"> (Reglamento sobre el rendimiento), que establece un listado único racionalizado de indicadores de rendimiento y disposiciones de seguimiento y evaluación, algunas de las cuales son pertinentes para AgoraEU; subraya que todo cambio en la estructura, los objetivos y las acciones subvencionables en el marco del programa deberá reflejarse adecuadamente en las disposiciones pertinentes del anexo I del Reglamento sobre el rendimiento, como parte del proceso de </w:t>
      </w:r>
      <w:r w:rsidRPr="00291955">
        <w:t>modificación y negociación de dicho Reglamento; seña</w:t>
      </w:r>
      <w:r w:rsidRPr="00291955">
        <w:t xml:space="preserve">la que, si bien la legislación sectorial puede complementar el Reglamento sobre el rendimiento, por ejemplo en lo que se refiere a las evaluaciones de los programas, debe seguir siendo coherente con las disposiciones de dicho Reglamento; expresa su preocupación por el hecho de que las actividades heterogéneas financiadas en el marco de AgoraEU afectarán a la fiabilidad de los indicadores de rendimiento, y pide definir más claramente los resultados específicos de cada capítulo, poner un mayor énfasis en los </w:t>
      </w:r>
      <w:r w:rsidRPr="00291955">
        <w:t>resultados en lugar de en las realizaciones y armonizar los requisitos en materia de calidad de los datos;</w:t>
      </w:r>
    </w:p>
    <w:p w:rsidR="00972442" w:rsidRPr="00291955" w:rsidP="002917E3" w14:paraId="223354A8" w14:textId="77777777">
      <w:pPr>
        <w:pStyle w:val="NormalHanging12a"/>
        <w:widowControl/>
      </w:pPr>
      <w:r w:rsidRPr="00291955">
        <w:t>20.</w:t>
      </w:r>
      <w:r w:rsidRPr="00291955">
        <w:tab/>
        <w:t>Destaca que toda la financiación debe estar en consonancia con las orientaciones de la Comisión sobre la financiación de actividades relacionadas con el desarrollo, la aplicación, el seguimiento y el cumplimiento de la legislación y las políticas de la Unión;</w:t>
      </w:r>
    </w:p>
    <w:p w:rsidR="00972442" w:rsidRPr="00291955" w:rsidP="002917E3" w14:paraId="26437FEF" w14:textId="77777777">
      <w:pPr>
        <w:pStyle w:val="NormalHanging12a"/>
        <w:widowControl/>
      </w:pPr>
      <w:r w:rsidRPr="00291955">
        <w:t>21.</w:t>
      </w:r>
      <w:r w:rsidRPr="00291955">
        <w:tab/>
        <w:t>Considera que salvaguardar los intereses financieros de la Unión y proteger el presupuesto de la Unión es esencial en todas las fases de la ejecución del presupuesto de la Unión; subraya que el uso de financiación no vinculada a los costes u otras opciones de costes simplificados no debe afectar a los derechos de auditoría o investigación de la Comisión, la Oficina Europea de Lucha contra el Fraude, el Tribunal de Cuentas Europeo y la Fiscalía Europea, respectivamente; destaca la importancia de los control</w:t>
      </w:r>
      <w:r w:rsidRPr="00291955">
        <w:t xml:space="preserve">es </w:t>
      </w:r>
      <w:r w:rsidRPr="00291955">
        <w:rPr>
          <w:i/>
          <w:iCs/>
        </w:rPr>
        <w:t>ex ante</w:t>
      </w:r>
      <w:r w:rsidRPr="00291955">
        <w:t xml:space="preserve"> y </w:t>
      </w:r>
      <w:r w:rsidRPr="00291955">
        <w:rPr>
          <w:i/>
          <w:iCs/>
        </w:rPr>
        <w:t>ex post</w:t>
      </w:r>
      <w:r w:rsidRPr="00291955">
        <w:t xml:space="preserve"> para evitar la doble financiación y garantizar unos procedimientos de concesión o adjudicación sólidos, la trazabilidad en todos los programas y la transparencia en la ejecución;</w:t>
      </w:r>
    </w:p>
    <w:p w:rsidR="00972442" w:rsidRPr="00291955" w:rsidP="002917E3" w14:paraId="068FB192" w14:textId="77777777">
      <w:pPr>
        <w:pStyle w:val="NormalHanging12a"/>
        <w:widowControl/>
      </w:pPr>
      <w:r w:rsidRPr="00291955">
        <w:t>22.</w:t>
      </w:r>
      <w:r w:rsidRPr="00291955">
        <w:tab/>
        <w:t>Recuerda que, en virtud del artículo 6, apartado 2, del Reglamento Financiero, el establecimiento y la ejecución del presupuesto deben respetar un régimen general de condicionalidad en caso de violaciones del Estado de Derecho; destaca, además, que el artículo 6, apartado 3, de ese mismo Reglamento exige a los Estados miembros y a la Comisión que, en la ejecución del presupuesto, garanticen el cumplimiento de la Carta de los Derechos Fundamentales de la Unión Europea y respeten los valores en los que se fu</w:t>
      </w:r>
      <w:r w:rsidRPr="00291955">
        <w:t>ndamenta la Unión, recogidos en el artículo 2 del Tratado de la Unión Europea;</w:t>
      </w:r>
    </w:p>
    <w:p w:rsidR="00972442" w:rsidRPr="00291955" w:rsidP="002917E3" w14:paraId="519BD4ED" w14:textId="77777777">
      <w:pPr>
        <w:pStyle w:val="NormalHanging12a"/>
        <w:widowControl/>
      </w:pPr>
      <w:r w:rsidRPr="00291955">
        <w:t>23.</w:t>
      </w:r>
      <w:r w:rsidRPr="00291955">
        <w:tab/>
        <w:t>Insiste en que, en caso de violaciones del Estado de Derecho por parte de los Gobiernos nacionales y sin perjuicio de la aplicación del Reglamento (UE, Euratom) 2020/2092</w:t>
      </w:r>
      <w:r>
        <w:rPr>
          <w:rStyle w:val="FootnoteReference"/>
        </w:rPr>
        <w:footnoteReference w:id="5"/>
      </w:r>
      <w:r w:rsidRPr="00291955">
        <w:t>, la Comisión debe explorar diferentes maneras de garantizar que los posibles beneficiarios y destinatarios finales puedan seguir beneficiándose de la financiación de la Unión; subraya que este principio constituye una piedra angular de un enfoque de «condicionalidad inteligente»;</w:t>
      </w:r>
    </w:p>
    <w:p w:rsidR="00F94599" w:rsidRPr="00291955" w:rsidP="002917E3" w14:paraId="62446C5A" w14:textId="77777777">
      <w:pPr>
        <w:pStyle w:val="NormalHanging12a"/>
        <w:widowControl/>
      </w:pPr>
      <w:r w:rsidRPr="00291955">
        <w:t>24.</w:t>
      </w:r>
      <w:r w:rsidRPr="00291955">
        <w:tab/>
        <w:t xml:space="preserve">Recuerda que, de conformidad con el Reglamento Financiero, los programas y las actividades deben ejecutarse, cuando sea viable y adecuado, de conformidad con las normas sectoriales pertinentes, para alcanzar sus objetivos establecidos, respetando al mismo tiempo las condiciones de trabajo y empleo en virtud del Derecho nacional aplicable, el Derecho de la Unión, los convenios de la Organización Internacional del Trabajo y los convenios colectivos, así como teniendo en cuenta el principio de </w:t>
      </w:r>
      <w:r w:rsidRPr="00291955">
        <w:t>igualdad de gén</w:t>
      </w:r>
      <w:r w:rsidRPr="00291955">
        <w:t>ero y el principio de «no causar un perjuicio significativo»; recuerda, a este respecto, los compromisos de la declaración interinstitucional conjunta «Europa por la cultura, cultura para Europa», a saber, que toda persona tiene derecho a unas condiciones de trabajo justas, equitativas, saludables y seguras, incluidos los artistas y los profesionales de la cultura, que ocupan un lugar central en nuestros sectores e industrias culturales y creativos; recuerda, además, que una remuneración justa y unas condic</w:t>
      </w:r>
      <w:r w:rsidRPr="00291955">
        <w:t>iones de trabajo adecuadas son fundamentales para la libertad artística y la diversidad cultural.</w:t>
      </w:r>
    </w:p>
    <w:p w:rsidR="00C8553D" w:rsidRPr="00291955" w:rsidP="00C8553D" w14:paraId="75FD93E1" w14:textId="77777777">
      <w:pPr>
        <w:sectPr w:rsidSect="0029195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291955" w:rsidP="00FE24DE" w14:paraId="1C1F211E" w14:textId="77777777">
      <w:pPr>
        <w:pStyle w:val="PageHeadingNotTOC"/>
      </w:pPr>
      <w:r w:rsidRPr="00291955">
        <w:t>ENMIENDAS</w:t>
      </w:r>
    </w:p>
    <w:p w:rsidR="00395F78" w:rsidRPr="00291955" w:rsidP="00B77427" w14:paraId="71463178" w14:textId="77777777">
      <w:pPr>
        <w:pStyle w:val="Normal12a"/>
      </w:pPr>
      <w:r w:rsidRPr="00291955">
        <w:t>En el marco de su evaluación presupuestaria, la Comisión de Presupuestos presenta, asimismo, las siguientes enmiendas a la propuesta:</w:t>
      </w:r>
    </w:p>
    <w:p w:rsidR="0068168E" w:rsidRPr="00291955" w:rsidP="0068168E" w14:paraId="2CE4C3ED" w14:textId="77777777">
      <w:pPr>
        <w:pStyle w:val="AmNumberTabs"/>
        <w:keepNext/>
      </w:pPr>
      <w:r w:rsidRPr="00291955">
        <w:rPr>
          <w:rStyle w:val="HideTWBExt"/>
        </w:rPr>
        <w:t>&lt;RepeatBlock-Amend&gt;</w:t>
      </w:r>
      <w:bookmarkStart w:id="0" w:name="restart"/>
      <w:r w:rsidRPr="00291955">
        <w:rPr>
          <w:rStyle w:val="HideTWBExt"/>
          <w:b w:val="0"/>
        </w:rPr>
        <w:t>&lt;Amend&gt;</w:t>
      </w:r>
      <w:r w:rsidRPr="00291955">
        <w:t>Enmienda</w:t>
      </w:r>
      <w:r w:rsidRPr="00291955">
        <w:tab/>
      </w:r>
      <w:r w:rsidRPr="00291955">
        <w:tab/>
      </w:r>
      <w:r w:rsidRPr="00291955">
        <w:rPr>
          <w:rStyle w:val="HideTWBExt"/>
          <w:b w:val="0"/>
        </w:rPr>
        <w:t>&lt;NumAm&gt;</w:t>
      </w:r>
      <w:r w:rsidRPr="00291955">
        <w:t>1</w:t>
      </w:r>
      <w:r w:rsidRPr="00291955">
        <w:rPr>
          <w:rStyle w:val="HideTWBExt"/>
          <w:b w:val="0"/>
        </w:rPr>
        <w:t>&lt;/NumAm&gt;</w:t>
      </w:r>
    </w:p>
    <w:p w:rsidR="0068168E" w:rsidRPr="00291955" w:rsidP="0068168E" w14:paraId="5F3D3456"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68168E" w:rsidRPr="00291955" w:rsidP="0068168E" w14:paraId="4A0DADE5" w14:textId="77777777">
      <w:pPr>
        <w:pStyle w:val="NormalBold"/>
      </w:pPr>
      <w:r w:rsidRPr="00291955">
        <w:rPr>
          <w:rStyle w:val="HideTWBExt"/>
          <w:b w:val="0"/>
        </w:rPr>
        <w:t>&lt;Article&gt;</w:t>
      </w:r>
      <w:r w:rsidRPr="00291955">
        <w:t xml:space="preserve"> Considerando 28 bis (nuevo)</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B2842AA" w14:textId="77777777" w:rsidTr="0068168E">
        <w:tblPrEx>
          <w:tblW w:w="9752" w:type="dxa"/>
          <w:jc w:val="center"/>
          <w:tblLayout w:type="fixed"/>
          <w:tblCellMar>
            <w:left w:w="340" w:type="dxa"/>
            <w:right w:w="340" w:type="dxa"/>
          </w:tblCellMar>
          <w:tblLook w:val="04A0"/>
        </w:tblPrEx>
        <w:trPr>
          <w:jc w:val="center"/>
        </w:trPr>
        <w:tc>
          <w:tcPr>
            <w:tcW w:w="9752" w:type="dxa"/>
            <w:gridSpan w:val="2"/>
          </w:tcPr>
          <w:p w:rsidR="0068168E" w:rsidRPr="00291955" w:rsidP="00A92590" w14:paraId="09D4FE31" w14:textId="77777777">
            <w:pPr>
              <w:keepNext/>
            </w:pPr>
          </w:p>
        </w:tc>
      </w:tr>
      <w:tr w14:paraId="1BDA3273"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291955" w:rsidP="00A92590" w14:paraId="62925BAE" w14:textId="77777777">
            <w:pPr>
              <w:pStyle w:val="AmColumnHeading"/>
              <w:keepNext/>
            </w:pPr>
            <w:r w:rsidRPr="00291955">
              <w:t>Texto de la Comisión</w:t>
            </w:r>
          </w:p>
        </w:tc>
        <w:tc>
          <w:tcPr>
            <w:tcW w:w="4876" w:type="dxa"/>
            <w:hideMark/>
          </w:tcPr>
          <w:p w:rsidR="0068168E" w:rsidRPr="00291955" w:rsidP="00A92590" w14:paraId="23D41FF1" w14:textId="77777777">
            <w:pPr>
              <w:pStyle w:val="AmColumnHeading"/>
              <w:keepNext/>
            </w:pPr>
            <w:r w:rsidRPr="00291955">
              <w:t>Enmienda</w:t>
            </w:r>
          </w:p>
        </w:tc>
      </w:tr>
      <w:tr w14:paraId="51E14A0F"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291955" w:rsidP="00A92590" w14:paraId="1CCE2DB6" w14:textId="77777777">
            <w:pPr>
              <w:pStyle w:val="Normal6a"/>
            </w:pPr>
          </w:p>
        </w:tc>
        <w:tc>
          <w:tcPr>
            <w:tcW w:w="4876" w:type="dxa"/>
            <w:hideMark/>
          </w:tcPr>
          <w:p w:rsidR="0068168E" w:rsidRPr="00291955" w:rsidP="00A92590" w14:paraId="2CBC60FB" w14:textId="77777777">
            <w:pPr>
              <w:pStyle w:val="Normal6a"/>
            </w:pPr>
            <w:r w:rsidRPr="00291955">
              <w:rPr>
                <w:b/>
                <w:i/>
              </w:rPr>
              <w:t>(28 bis)</w:t>
            </w:r>
            <w:r w:rsidRPr="00291955">
              <w:rPr>
                <w:b/>
                <w:i/>
              </w:rPr>
              <w:tab/>
              <w:t xml:space="preserve">La complementariedad entre </w:t>
            </w:r>
            <w:r w:rsidRPr="00291955">
              <w:rPr>
                <w:b/>
                <w:i/>
              </w:rPr>
              <w:t>AgoraEU y otros instrumentos de la Unión no debe ir en detrimento de la trazabilidad del gasto ni de las prerrogativas de la autoridad presupuestaria. La contribución de AgoraEU a las acciones financiadas conjuntamente debe seguir siendo explícitamente identificable en todas las fases del ciclo presupuestario y debe reflejarse debidamente en la declaración de rendimiento del programa.</w:t>
            </w:r>
          </w:p>
        </w:tc>
      </w:tr>
    </w:tbl>
    <w:p w:rsidR="0068168E" w:rsidRPr="00291955" w:rsidP="0068168E" w14:paraId="4AE30939" w14:textId="77777777">
      <w:pPr>
        <w:rPr>
          <w:rStyle w:val="HideTWBExt"/>
          <w:rFonts w:eastAsiaTheme="majorEastAsia"/>
        </w:rPr>
      </w:pPr>
      <w:r w:rsidRPr="00291955">
        <w:rPr>
          <w:rStyle w:val="HideTWBExt"/>
        </w:rPr>
        <w:t>&lt;/Amend&gt;</w:t>
      </w:r>
    </w:p>
    <w:p w:rsidR="0068168E" w:rsidRPr="00291955" w:rsidP="00EA6DE0" w14:paraId="02E5BF81"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2</w:t>
      </w:r>
      <w:r w:rsidRPr="00291955">
        <w:rPr>
          <w:rStyle w:val="HideTWBExt"/>
          <w:b w:val="0"/>
        </w:rPr>
        <w:t>&lt;/NumAm&gt;</w:t>
      </w:r>
    </w:p>
    <w:p w:rsidR="0068168E" w:rsidRPr="00291955" w:rsidP="00EA6DE0" w14:paraId="42F06BA4"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68168E" w:rsidRPr="00291955" w:rsidP="00EA6DE0" w14:paraId="1C5E39C4" w14:textId="77777777">
      <w:pPr>
        <w:pStyle w:val="NormalBold"/>
      </w:pPr>
      <w:r w:rsidRPr="00291955">
        <w:rPr>
          <w:rStyle w:val="HideTWBExt"/>
          <w:b w:val="0"/>
        </w:rPr>
        <w:t>&lt;Article&gt;</w:t>
      </w:r>
      <w:r w:rsidRPr="00291955">
        <w:t xml:space="preserve"> Considerando 32 bis (nuevo)</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6140569" w14:textId="77777777" w:rsidTr="0068168E">
        <w:tblPrEx>
          <w:tblW w:w="9752" w:type="dxa"/>
          <w:jc w:val="center"/>
          <w:tblLayout w:type="fixed"/>
          <w:tblCellMar>
            <w:left w:w="340" w:type="dxa"/>
            <w:right w:w="340" w:type="dxa"/>
          </w:tblCellMar>
          <w:tblLook w:val="04A0"/>
        </w:tblPrEx>
        <w:trPr>
          <w:jc w:val="center"/>
        </w:trPr>
        <w:tc>
          <w:tcPr>
            <w:tcW w:w="9752" w:type="dxa"/>
            <w:gridSpan w:val="2"/>
          </w:tcPr>
          <w:p w:rsidR="0068168E" w:rsidRPr="00291955" w:rsidP="00A92590" w14:paraId="65DACDBF" w14:textId="77777777">
            <w:pPr>
              <w:keepNext/>
            </w:pPr>
          </w:p>
        </w:tc>
      </w:tr>
      <w:tr w14:paraId="03EC7AA5"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291955" w:rsidP="00A92590" w14:paraId="19204BA3" w14:textId="77777777">
            <w:pPr>
              <w:pStyle w:val="AmColumnHeading"/>
              <w:keepNext/>
            </w:pPr>
            <w:r w:rsidRPr="00291955">
              <w:t>Texto de la Comisión</w:t>
            </w:r>
          </w:p>
        </w:tc>
        <w:tc>
          <w:tcPr>
            <w:tcW w:w="4876" w:type="dxa"/>
            <w:hideMark/>
          </w:tcPr>
          <w:p w:rsidR="0068168E" w:rsidRPr="00291955" w:rsidP="00A92590" w14:paraId="0702726D" w14:textId="77777777">
            <w:pPr>
              <w:pStyle w:val="AmColumnHeading"/>
              <w:keepNext/>
            </w:pPr>
            <w:r w:rsidRPr="00291955">
              <w:t>Enmienda</w:t>
            </w:r>
          </w:p>
        </w:tc>
      </w:tr>
      <w:tr w14:paraId="2D76F774"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291955" w:rsidP="00A92590" w14:paraId="2229C484" w14:textId="77777777">
            <w:pPr>
              <w:pStyle w:val="Normal6a"/>
            </w:pPr>
          </w:p>
        </w:tc>
        <w:tc>
          <w:tcPr>
            <w:tcW w:w="4876" w:type="dxa"/>
            <w:hideMark/>
          </w:tcPr>
          <w:p w:rsidR="0068168E" w:rsidRPr="00291955" w:rsidP="00A92590" w14:paraId="3764B4C0" w14:textId="77777777">
            <w:pPr>
              <w:pStyle w:val="Normal6a"/>
            </w:pPr>
            <w:r w:rsidRPr="00291955">
              <w:rPr>
                <w:b/>
                <w:i/>
              </w:rPr>
              <w:t>(32 bis)</w:t>
            </w:r>
            <w:r w:rsidRPr="00291955">
              <w:rPr>
                <w:b/>
                <w:i/>
              </w:rPr>
              <w:tab/>
              <w:t xml:space="preserve">El Reglamento (UE, Euratom) 2020/2092 del Parlamento Europeo y del Consejo es de aplicación a este programa. Establece un régimen general de condicionalidad para la protección del </w:t>
            </w:r>
            <w:r w:rsidRPr="00291955">
              <w:rPr>
                <w:b/>
                <w:i/>
              </w:rPr>
              <w:t>presupuesto de la Unión en caso de vulneración de los principios del Estado de Derecho en los Estados miembros.</w:t>
            </w:r>
          </w:p>
        </w:tc>
      </w:tr>
    </w:tbl>
    <w:p w:rsidR="0068168E" w:rsidRPr="00291955" w:rsidP="00F9166E" w14:paraId="47FFDE7A" w14:textId="77777777">
      <w:pPr>
        <w:rPr>
          <w:rStyle w:val="HideTWBExt"/>
          <w:rFonts w:eastAsiaTheme="majorEastAsia"/>
        </w:rPr>
      </w:pPr>
      <w:r w:rsidRPr="00291955">
        <w:rPr>
          <w:rStyle w:val="HideTWBExt"/>
        </w:rPr>
        <w:t>&lt;/Amend&gt;</w:t>
      </w:r>
    </w:p>
    <w:p w:rsidR="0068168E" w:rsidRPr="00291955" w:rsidP="00EA6DE0" w14:paraId="3E06D725"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3</w:t>
      </w:r>
      <w:r w:rsidRPr="00291955">
        <w:rPr>
          <w:rStyle w:val="HideTWBExt"/>
          <w:b w:val="0"/>
        </w:rPr>
        <w:t>&lt;/NumAm&gt;</w:t>
      </w:r>
    </w:p>
    <w:p w:rsidR="0068168E" w:rsidRPr="00291955" w:rsidP="00EA6DE0" w14:paraId="277884B4"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68168E" w:rsidRPr="00291955" w:rsidP="00EA6DE0" w14:paraId="5587B432" w14:textId="78412A54">
      <w:pPr>
        <w:pStyle w:val="NormalBold"/>
      </w:pPr>
      <w:r w:rsidRPr="00291955">
        <w:rPr>
          <w:rStyle w:val="HideTWBExt"/>
          <w:b w:val="0"/>
        </w:rPr>
        <w:t>&lt;Article&gt;</w:t>
      </w:r>
      <w:r w:rsidRPr="00291955">
        <w:t>Considerando 33</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DAE78F9" w14:textId="77777777" w:rsidTr="00222A38">
        <w:tblPrEx>
          <w:tblW w:w="9752" w:type="dxa"/>
          <w:jc w:val="center"/>
          <w:tblLayout w:type="fixed"/>
          <w:tblCellMar>
            <w:left w:w="340" w:type="dxa"/>
            <w:right w:w="340" w:type="dxa"/>
          </w:tblCellMar>
          <w:tblLook w:val="04A0"/>
        </w:tblPrEx>
        <w:trPr>
          <w:jc w:val="center"/>
        </w:trPr>
        <w:tc>
          <w:tcPr>
            <w:tcW w:w="9752" w:type="dxa"/>
            <w:gridSpan w:val="2"/>
          </w:tcPr>
          <w:p w:rsidR="0068168E" w:rsidRPr="00291955" w:rsidP="00A92590" w14:paraId="5218D4F4" w14:textId="77777777">
            <w:pPr>
              <w:keepNext/>
            </w:pPr>
          </w:p>
        </w:tc>
      </w:tr>
      <w:tr w14:paraId="52025864"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68168E" w:rsidRPr="00291955" w:rsidP="00A92590" w14:paraId="4963A440" w14:textId="77777777">
            <w:pPr>
              <w:pStyle w:val="AmColumnHeading"/>
              <w:keepNext/>
            </w:pPr>
            <w:r w:rsidRPr="00291955">
              <w:t xml:space="preserve">Texto de la </w:t>
            </w:r>
            <w:r w:rsidRPr="00291955">
              <w:t>Comisión</w:t>
            </w:r>
          </w:p>
        </w:tc>
        <w:tc>
          <w:tcPr>
            <w:tcW w:w="4876" w:type="dxa"/>
            <w:hideMark/>
          </w:tcPr>
          <w:p w:rsidR="0068168E" w:rsidRPr="00291955" w:rsidP="00A92590" w14:paraId="0EA10325" w14:textId="77777777">
            <w:pPr>
              <w:pStyle w:val="AmColumnHeading"/>
              <w:keepNext/>
            </w:pPr>
            <w:r w:rsidRPr="00291955">
              <w:t>Enmienda</w:t>
            </w:r>
          </w:p>
        </w:tc>
      </w:tr>
      <w:tr w14:paraId="04DFD7E3"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68168E" w:rsidRPr="00291955" w:rsidP="00A92590" w14:paraId="3F05C5C7" w14:textId="77777777">
            <w:pPr>
              <w:pStyle w:val="Normal6a"/>
            </w:pPr>
            <w:r w:rsidRPr="00291955">
              <w:t>(33)</w:t>
            </w:r>
            <w:r w:rsidRPr="00291955">
              <w:tab/>
              <w:t>El Reglamento (UE, Euratom) 2024/2509 del Parlamento Europeo y del Consejo</w:t>
            </w:r>
            <w:r w:rsidRPr="00291955">
              <w:rPr>
                <w:vertAlign w:val="superscript"/>
              </w:rPr>
              <w:t>27</w:t>
            </w:r>
            <w:r w:rsidRPr="00291955">
              <w:t xml:space="preserve"> es de aplicación al programa. Dicho Reglamento establece las normas de elaboración y ejecución del presupuesto general de la Unión, y en particular las normas relativas a subvenciones, premios, liberalidades no financieras, contratación, ejecución indirecta, asistencia financiera, instrumentos financieros y garantías presupuestarias.</w:t>
            </w:r>
          </w:p>
        </w:tc>
        <w:tc>
          <w:tcPr>
            <w:tcW w:w="4876" w:type="dxa"/>
            <w:hideMark/>
          </w:tcPr>
          <w:p w:rsidR="0068168E" w:rsidRPr="00291955" w:rsidP="00A92590" w14:paraId="5B8127C7" w14:textId="77777777">
            <w:pPr>
              <w:pStyle w:val="Normal6a"/>
            </w:pPr>
            <w:r w:rsidRPr="00291955">
              <w:t>(33)</w:t>
            </w:r>
            <w:r w:rsidRPr="00291955">
              <w:tab/>
              <w:t>El Reglamento (UE, Euratom) 2024/2509 del Parlamento Europeo y del Consejo</w:t>
            </w:r>
            <w:r w:rsidRPr="00291955">
              <w:rPr>
                <w:vertAlign w:val="superscript"/>
              </w:rPr>
              <w:t>27</w:t>
            </w:r>
            <w:r w:rsidRPr="00291955">
              <w:t xml:space="preserve"> es de aplicación al programa. Dicho Reglamento establece las normas de elaboración y ejecución del presupuesto general de la Unión, y en particular las normas relativas a subvenciones, premios, liberalidades no financieras, contratación, ejecución indirecta, asistencia financiera, instrumentos financieros y garantías presupuestarias. </w:t>
            </w:r>
            <w:r w:rsidRPr="00291955">
              <w:rPr>
                <w:b/>
                <w:i/>
              </w:rPr>
              <w:t>En consonancia con el Reglamento (UE, Euratom) 2024/2509 (Reglamento Financiero), la ejecución del</w:t>
            </w:r>
            <w:r w:rsidRPr="00291955">
              <w:rPr>
                <w:b/>
                <w:i/>
              </w:rPr>
              <w:t xml:space="preserve"> programa debe respetar plenamente los valores consagrados en el artículo 2 del Tratado de la Unión Europea y los derechos reconocidos en la Carta de los Derechos Fundamentales de la Unión Europea.</w:t>
            </w:r>
          </w:p>
        </w:tc>
      </w:tr>
      <w:tr w14:paraId="58A0214A" w14:textId="77777777" w:rsidTr="00222A38">
        <w:tblPrEx>
          <w:tblW w:w="9752" w:type="dxa"/>
          <w:jc w:val="center"/>
          <w:tblLayout w:type="fixed"/>
          <w:tblCellMar>
            <w:left w:w="340" w:type="dxa"/>
            <w:right w:w="340" w:type="dxa"/>
          </w:tblCellMar>
          <w:tblLook w:val="04A0"/>
        </w:tblPrEx>
        <w:trPr>
          <w:jc w:val="center"/>
        </w:trPr>
        <w:tc>
          <w:tcPr>
            <w:tcW w:w="4876" w:type="dxa"/>
          </w:tcPr>
          <w:p w:rsidR="00E42AD1" w:rsidRPr="00291955" w:rsidP="00A92590" w14:paraId="1A69C3BC" w14:textId="77777777">
            <w:pPr>
              <w:pStyle w:val="Normal6a"/>
            </w:pPr>
            <w:r w:rsidRPr="00291955">
              <w:t>___________</w:t>
            </w:r>
          </w:p>
        </w:tc>
        <w:tc>
          <w:tcPr>
            <w:tcW w:w="4876" w:type="dxa"/>
          </w:tcPr>
          <w:p w:rsidR="00E42AD1" w:rsidRPr="00291955" w:rsidP="00697C9F" w14:paraId="6686B379" w14:textId="77777777">
            <w:pPr>
              <w:pStyle w:val="Normal6a"/>
            </w:pPr>
            <w:r w:rsidRPr="00291955">
              <w:t>___________</w:t>
            </w:r>
          </w:p>
        </w:tc>
      </w:tr>
      <w:tr w14:paraId="2FF42C1D" w14:textId="77777777" w:rsidTr="00222A38">
        <w:tblPrEx>
          <w:tblW w:w="9752" w:type="dxa"/>
          <w:jc w:val="center"/>
          <w:tblLayout w:type="fixed"/>
          <w:tblCellMar>
            <w:left w:w="340" w:type="dxa"/>
            <w:right w:w="340" w:type="dxa"/>
          </w:tblCellMar>
          <w:tblLook w:val="04A0"/>
        </w:tblPrEx>
        <w:trPr>
          <w:jc w:val="center"/>
        </w:trPr>
        <w:tc>
          <w:tcPr>
            <w:tcW w:w="4876" w:type="dxa"/>
          </w:tcPr>
          <w:p w:rsidR="00E42AD1" w:rsidRPr="00291955" w:rsidP="00A92590" w14:paraId="122A0926" w14:textId="77777777">
            <w:pPr>
              <w:pStyle w:val="Normal6a"/>
            </w:pPr>
            <w:r w:rsidRPr="00291955">
              <w:rPr>
                <w:vertAlign w:val="superscript"/>
              </w:rPr>
              <w:t>27</w:t>
            </w:r>
            <w:r w:rsidRPr="00291955">
              <w:t xml:space="preserve"> Reglamento (UE, Euratom) 2024/2509 del Parlamento Europeo y del Consejo, de 23 de septiembre de 2024, sobre las normas financieras aplicables al presupuesto general de la Unión (DO L, 2024/2509, 26.9.2024, ELI: http://data.europa.eu/eli/reg/2024/2509/oj).</w:t>
            </w:r>
          </w:p>
        </w:tc>
        <w:tc>
          <w:tcPr>
            <w:tcW w:w="4876" w:type="dxa"/>
          </w:tcPr>
          <w:p w:rsidR="00E42AD1" w:rsidRPr="00291955" w:rsidP="00697C9F" w14:paraId="71ADB48B" w14:textId="77777777">
            <w:pPr>
              <w:pStyle w:val="Normal6a"/>
            </w:pPr>
            <w:r w:rsidRPr="00291955">
              <w:rPr>
                <w:vertAlign w:val="superscript"/>
              </w:rPr>
              <w:t>27</w:t>
            </w:r>
            <w:r w:rsidRPr="00291955">
              <w:t xml:space="preserve"> Reglamento (UE, Euratom) 2024/2509 del Parlamento Europeo y del Consejo, de 23 de septiembre de 2024, sobre las normas financieras aplicables al presupuesto general de la Unión (DO L, 2024/2509, 26.9.2024, ELI: http://data.europa.eu/eli/reg/2024/2509/oj).</w:t>
            </w:r>
          </w:p>
        </w:tc>
      </w:tr>
    </w:tbl>
    <w:p w:rsidR="0068168E" w:rsidRPr="00291955" w:rsidP="00F9166E" w14:paraId="454D1280" w14:textId="77777777">
      <w:pPr>
        <w:rPr>
          <w:rStyle w:val="HideTWBExt"/>
          <w:rFonts w:eastAsiaTheme="majorEastAsia"/>
        </w:rPr>
      </w:pPr>
      <w:r w:rsidRPr="00291955">
        <w:rPr>
          <w:rStyle w:val="HideTWBExt"/>
        </w:rPr>
        <w:t>&lt;/Amend&gt;</w:t>
      </w:r>
    </w:p>
    <w:p w:rsidR="00873BF3" w:rsidRPr="00291955" w:rsidP="00873BF3" w14:paraId="38CB9AA8"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4</w:t>
      </w:r>
      <w:r w:rsidRPr="00291955">
        <w:rPr>
          <w:rStyle w:val="HideTWBExt"/>
          <w:b w:val="0"/>
        </w:rPr>
        <w:t>&lt;/NumAm&gt;</w:t>
      </w:r>
    </w:p>
    <w:p w:rsidR="00873BF3" w:rsidRPr="00291955" w:rsidP="00873BF3" w14:paraId="75F8F6EB"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873BF3" w:rsidRPr="00291955" w:rsidP="00873BF3" w14:paraId="6B25980B" w14:textId="77777777">
      <w:pPr>
        <w:pStyle w:val="NormalBold"/>
      </w:pPr>
      <w:r w:rsidRPr="00291955">
        <w:rPr>
          <w:rStyle w:val="HideTWBExt"/>
          <w:b w:val="0"/>
        </w:rPr>
        <w:t>&lt;Article&gt;</w:t>
      </w:r>
      <w:r w:rsidRPr="00291955">
        <w:t>Considerando 40 bis (nuevo)</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4852AC2" w14:textId="77777777" w:rsidTr="003B7FC6">
        <w:tblPrEx>
          <w:tblW w:w="9752" w:type="dxa"/>
          <w:jc w:val="center"/>
          <w:tblLayout w:type="fixed"/>
          <w:tblCellMar>
            <w:left w:w="340" w:type="dxa"/>
            <w:right w:w="340" w:type="dxa"/>
          </w:tblCellMar>
          <w:tblLook w:val="04A0"/>
        </w:tblPrEx>
        <w:trPr>
          <w:jc w:val="center"/>
        </w:trPr>
        <w:tc>
          <w:tcPr>
            <w:tcW w:w="9752" w:type="dxa"/>
            <w:gridSpan w:val="2"/>
          </w:tcPr>
          <w:p w:rsidR="00873BF3" w:rsidRPr="00291955" w:rsidP="00A92590" w14:paraId="1C46D5CF" w14:textId="77777777">
            <w:pPr>
              <w:keepNext/>
            </w:pPr>
          </w:p>
        </w:tc>
      </w:tr>
      <w:tr w14:paraId="7E645235"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873BF3" w:rsidRPr="00291955" w:rsidP="00A92590" w14:paraId="63C63608" w14:textId="77777777">
            <w:pPr>
              <w:pStyle w:val="AmColumnHeading"/>
              <w:keepNext/>
            </w:pPr>
            <w:r w:rsidRPr="00291955">
              <w:t>Texto de la Comisión</w:t>
            </w:r>
          </w:p>
        </w:tc>
        <w:tc>
          <w:tcPr>
            <w:tcW w:w="4876" w:type="dxa"/>
            <w:hideMark/>
          </w:tcPr>
          <w:p w:rsidR="00873BF3" w:rsidRPr="00291955" w:rsidP="00A92590" w14:paraId="4613BDC7" w14:textId="77777777">
            <w:pPr>
              <w:pStyle w:val="AmColumnHeading"/>
              <w:keepNext/>
            </w:pPr>
            <w:r w:rsidRPr="00291955">
              <w:t>Enmienda</w:t>
            </w:r>
          </w:p>
        </w:tc>
      </w:tr>
      <w:tr w14:paraId="730E1D39"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873BF3" w:rsidRPr="00291955" w:rsidP="00A92590" w14:paraId="69B2B011" w14:textId="77777777">
            <w:pPr>
              <w:pStyle w:val="Normal6a"/>
            </w:pPr>
          </w:p>
        </w:tc>
        <w:tc>
          <w:tcPr>
            <w:tcW w:w="4876" w:type="dxa"/>
            <w:hideMark/>
          </w:tcPr>
          <w:p w:rsidR="00873BF3" w:rsidRPr="00291955" w:rsidP="00A92590" w14:paraId="07195CE9" w14:textId="77777777">
            <w:pPr>
              <w:pStyle w:val="Normal6a"/>
            </w:pPr>
            <w:bookmarkStart w:id="1" w:name="_Hlk227236390"/>
            <w:r w:rsidRPr="00291955">
              <w:rPr>
                <w:b/>
                <w:i/>
              </w:rPr>
              <w:t>(40 bis)</w:t>
            </w:r>
            <w:r w:rsidRPr="00291955">
              <w:rPr>
                <w:b/>
                <w:i/>
              </w:rPr>
              <w:tab/>
              <w:t xml:space="preserve">Es esencial que las disposiciones del presente Reglamento, así como </w:t>
            </w:r>
            <w:r w:rsidRPr="00291955">
              <w:rPr>
                <w:b/>
                <w:i/>
              </w:rPr>
              <w:t xml:space="preserve">sus mecanismos de gobernanza, propicien una toma de decisiones adecuada por parte de la autoridad presupuestaria y un control parlamentario adecuado. En particular, de conformidad con el artículo 47, </w:t>
            </w:r>
            <w:r w:rsidRPr="00291955">
              <w:rPr>
                <w:b/>
                <w:i/>
              </w:rPr>
              <w:t>apartado 2, del Reglamento Financiero, toda especificación de la estructura interna de AgoraEU debe reflejarse debidamente en la nomenclatura presupuestaria mediante la introducción de las líneas presupuestarias correspondientes.</w:t>
            </w:r>
            <w:bookmarkEnd w:id="1"/>
          </w:p>
        </w:tc>
      </w:tr>
    </w:tbl>
    <w:bookmarkEnd w:id="0"/>
    <w:p w:rsidR="0068168E" w:rsidRPr="00291955" w:rsidP="0068168E" w14:paraId="7F8417F4" w14:textId="77777777">
      <w:pPr>
        <w:rPr>
          <w:rStyle w:val="HideTWBExt"/>
          <w:rFonts w:eastAsiaTheme="majorEastAsia"/>
        </w:rPr>
      </w:pPr>
      <w:r w:rsidRPr="00291955">
        <w:rPr>
          <w:rStyle w:val="HideTWBExt"/>
        </w:rPr>
        <w:t>&lt;/Amend&gt;</w:t>
      </w:r>
    </w:p>
    <w:p w:rsidR="00251B75" w:rsidRPr="00291955" w:rsidP="00EA6DE0" w14:paraId="0997DC69"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5</w:t>
      </w:r>
      <w:r w:rsidRPr="00291955">
        <w:rPr>
          <w:rStyle w:val="HideTWBExt"/>
          <w:b w:val="0"/>
        </w:rPr>
        <w:t>&lt;/NumAm&gt;</w:t>
      </w:r>
    </w:p>
    <w:p w:rsidR="00251B75" w:rsidRPr="00291955" w:rsidP="00EA6DE0" w14:paraId="21EF69DC"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251B75" w:rsidRPr="00291955" w:rsidP="00EA6DE0" w14:paraId="78BCDBDC" w14:textId="77777777">
      <w:pPr>
        <w:pStyle w:val="NormalBold"/>
      </w:pPr>
      <w:r w:rsidRPr="00291955">
        <w:rPr>
          <w:rStyle w:val="HideTWBExt"/>
          <w:b w:val="0"/>
        </w:rPr>
        <w:t>&lt;Article&gt;</w:t>
      </w:r>
      <w:r w:rsidRPr="00291955">
        <w:t>Considerando 40 ter (nuevo)</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A1EC44E" w14:textId="77777777" w:rsidTr="003B7FC6">
        <w:tblPrEx>
          <w:tblW w:w="9752" w:type="dxa"/>
          <w:jc w:val="center"/>
          <w:tblLayout w:type="fixed"/>
          <w:tblCellMar>
            <w:left w:w="340" w:type="dxa"/>
            <w:right w:w="340" w:type="dxa"/>
          </w:tblCellMar>
          <w:tblLook w:val="04A0"/>
        </w:tblPrEx>
        <w:trPr>
          <w:jc w:val="center"/>
        </w:trPr>
        <w:tc>
          <w:tcPr>
            <w:tcW w:w="9752" w:type="dxa"/>
            <w:gridSpan w:val="2"/>
          </w:tcPr>
          <w:p w:rsidR="00251B75" w:rsidRPr="00291955" w:rsidP="00A92590" w14:paraId="004B76F2" w14:textId="77777777">
            <w:pPr>
              <w:keepNext/>
            </w:pPr>
          </w:p>
        </w:tc>
      </w:tr>
      <w:tr w14:paraId="2319FF7E"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251B75" w:rsidRPr="00291955" w:rsidP="00A92590" w14:paraId="395DCC7D" w14:textId="77777777">
            <w:pPr>
              <w:pStyle w:val="AmColumnHeading"/>
              <w:keepNext/>
            </w:pPr>
            <w:r w:rsidRPr="00291955">
              <w:t>Texto de la Comisión</w:t>
            </w:r>
          </w:p>
        </w:tc>
        <w:tc>
          <w:tcPr>
            <w:tcW w:w="4876" w:type="dxa"/>
            <w:hideMark/>
          </w:tcPr>
          <w:p w:rsidR="00251B75" w:rsidRPr="00291955" w:rsidP="00A92590" w14:paraId="5E7AABB4" w14:textId="77777777">
            <w:pPr>
              <w:pStyle w:val="AmColumnHeading"/>
              <w:keepNext/>
            </w:pPr>
            <w:r w:rsidRPr="00291955">
              <w:t>Enmienda</w:t>
            </w:r>
          </w:p>
        </w:tc>
      </w:tr>
      <w:tr w14:paraId="7D5182A4"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251B75" w:rsidRPr="00291955" w:rsidP="00A92590" w14:paraId="376B5C37" w14:textId="77777777">
            <w:pPr>
              <w:pStyle w:val="Normal6a"/>
            </w:pPr>
          </w:p>
        </w:tc>
        <w:tc>
          <w:tcPr>
            <w:tcW w:w="4876" w:type="dxa"/>
            <w:hideMark/>
          </w:tcPr>
          <w:p w:rsidR="00251B75" w:rsidRPr="00291955" w:rsidP="00A92590" w14:paraId="2CBD82D9" w14:textId="77777777">
            <w:pPr>
              <w:pStyle w:val="Normal6a"/>
            </w:pPr>
            <w:r w:rsidRPr="00291955">
              <w:rPr>
                <w:b/>
                <w:i/>
              </w:rPr>
              <w:t>(40 ter)</w:t>
            </w:r>
            <w:r w:rsidRPr="00291955">
              <w:rPr>
                <w:b/>
                <w:i/>
              </w:rPr>
              <w:tab/>
              <w:t xml:space="preserve">Se ha evaluado*, en virtud del artículo 310, apartado 4, del Tratado de Funcionamiento de la Unión Europea, la manera en que el presente Reglamento </w:t>
            </w:r>
            <w:r w:rsidRPr="00291955">
              <w:rPr>
                <w:b/>
                <w:i/>
              </w:rPr>
              <w:t>incide en el presupuesto de la Unión. Deben asignarse recursos financieros y humanos suficientes para su aplicación al mismo tiempo que se tiene en cuenta la repercusión de su financiación en otros programas o políticas de la Unión y se garantiza su compatibilidad con el marco financiero plurianual, el sistema de recursos propios y el correspondiente acuerdo interinstitucional, así como con los principios presupuestarios establecidos en el Reglamento (UE, Euratom) 2024/2509 del Parlamento Europeo y del Cons</w:t>
            </w:r>
            <w:r w:rsidRPr="00291955">
              <w:rPr>
                <w:b/>
                <w:i/>
              </w:rPr>
              <w:t>ejo</w:t>
            </w:r>
            <w:r w:rsidRPr="00291955">
              <w:rPr>
                <w:b/>
                <w:i/>
                <w:vertAlign w:val="superscript"/>
              </w:rPr>
              <w:t>[1]</w:t>
            </w:r>
            <w:r w:rsidRPr="00291955">
              <w:rPr>
                <w:b/>
                <w:i/>
              </w:rPr>
              <w:t>.</w:t>
            </w:r>
          </w:p>
        </w:tc>
      </w:tr>
      <w:tr w14:paraId="242B7B59" w14:textId="77777777" w:rsidTr="003B7FC6">
        <w:tblPrEx>
          <w:tblW w:w="9752" w:type="dxa"/>
          <w:jc w:val="center"/>
          <w:tblLayout w:type="fixed"/>
          <w:tblCellMar>
            <w:left w:w="340" w:type="dxa"/>
            <w:right w:w="340" w:type="dxa"/>
          </w:tblCellMar>
          <w:tblLook w:val="04A0"/>
        </w:tblPrEx>
        <w:trPr>
          <w:jc w:val="center"/>
        </w:trPr>
        <w:tc>
          <w:tcPr>
            <w:tcW w:w="4876" w:type="dxa"/>
          </w:tcPr>
          <w:p w:rsidR="003B7FC6" w:rsidRPr="00291955" w:rsidP="00A92590" w14:paraId="3B0DB62E" w14:textId="77777777">
            <w:pPr>
              <w:pStyle w:val="Normal6a"/>
            </w:pPr>
          </w:p>
        </w:tc>
        <w:tc>
          <w:tcPr>
            <w:tcW w:w="4876" w:type="dxa"/>
          </w:tcPr>
          <w:p w:rsidR="003B7FC6" w:rsidRPr="00291955" w:rsidP="00A92590" w14:paraId="1812CC12" w14:textId="77777777">
            <w:pPr>
              <w:pStyle w:val="Normal6a"/>
              <w:rPr>
                <w:rStyle w:val="HideTWBExt"/>
                <w:rFonts w:ascii="Times New Roman" w:hAnsi="Times New Roman"/>
                <w:noProof w:val="0"/>
                <w:vanish w:val="0"/>
                <w:color w:val="auto"/>
                <w:sz w:val="24"/>
              </w:rPr>
            </w:pPr>
            <w:r w:rsidRPr="00291955">
              <w:t>______________________</w:t>
            </w:r>
          </w:p>
        </w:tc>
      </w:tr>
      <w:tr w14:paraId="3C5E03A2" w14:textId="77777777" w:rsidTr="003B7FC6">
        <w:tblPrEx>
          <w:tblW w:w="9752" w:type="dxa"/>
          <w:jc w:val="center"/>
          <w:tblLayout w:type="fixed"/>
          <w:tblCellMar>
            <w:left w:w="340" w:type="dxa"/>
            <w:right w:w="340" w:type="dxa"/>
          </w:tblCellMar>
          <w:tblLook w:val="04A0"/>
        </w:tblPrEx>
        <w:trPr>
          <w:jc w:val="center"/>
        </w:trPr>
        <w:tc>
          <w:tcPr>
            <w:tcW w:w="4876" w:type="dxa"/>
          </w:tcPr>
          <w:p w:rsidR="003B7FC6" w:rsidRPr="00291955" w:rsidP="00A92590" w14:paraId="3327D0A3" w14:textId="77777777">
            <w:pPr>
              <w:pStyle w:val="Normal6a"/>
            </w:pPr>
          </w:p>
        </w:tc>
        <w:tc>
          <w:tcPr>
            <w:tcW w:w="4876" w:type="dxa"/>
          </w:tcPr>
          <w:p w:rsidR="003B7FC6" w:rsidRPr="00291955" w:rsidP="003B7FC6" w14:paraId="197BC5C0" w14:textId="77777777">
            <w:pPr>
              <w:pStyle w:val="Normal6a"/>
            </w:pPr>
            <w:r w:rsidRPr="00291955">
              <w:rPr>
                <w:b/>
                <w:i/>
                <w:vertAlign w:val="superscript"/>
              </w:rPr>
              <w:t xml:space="preserve">+ </w:t>
            </w:r>
            <w:r w:rsidRPr="00291955">
              <w:rPr>
                <w:b/>
                <w:i/>
              </w:rPr>
              <w:t xml:space="preserve">Pro memoria: evaluación presupuestaria de la Comisión de Presupuestos del Parlamento Europeo, de 15 de julio de 2026, sobre la propuesta de Reglamento del Parlamento Europeo y del Consejo por el que se </w:t>
            </w:r>
            <w:r w:rsidRPr="00291955">
              <w:rPr>
                <w:b/>
                <w:i/>
              </w:rPr>
              <w:t>establece el programa «AgoraEU» para el período 2028-2034 y se derogan los Reglamentos (UE) 2021/692 y (UE) 2021/818 (COM(2025)0550).</w:t>
            </w:r>
          </w:p>
        </w:tc>
      </w:tr>
      <w:tr w14:paraId="7F932CF6" w14:textId="77777777" w:rsidTr="003B7FC6">
        <w:tblPrEx>
          <w:tblW w:w="9752" w:type="dxa"/>
          <w:jc w:val="center"/>
          <w:tblLayout w:type="fixed"/>
          <w:tblCellMar>
            <w:left w:w="340" w:type="dxa"/>
            <w:right w:w="340" w:type="dxa"/>
          </w:tblCellMar>
          <w:tblLook w:val="04A0"/>
        </w:tblPrEx>
        <w:trPr>
          <w:jc w:val="center"/>
        </w:trPr>
        <w:tc>
          <w:tcPr>
            <w:tcW w:w="4876" w:type="dxa"/>
          </w:tcPr>
          <w:p w:rsidR="00395F78" w:rsidRPr="00291955" w:rsidP="00A92590" w14:paraId="7DBE301F" w14:textId="77777777">
            <w:pPr>
              <w:pStyle w:val="Normal6a"/>
            </w:pPr>
          </w:p>
        </w:tc>
        <w:tc>
          <w:tcPr>
            <w:tcW w:w="4876" w:type="dxa"/>
          </w:tcPr>
          <w:p w:rsidR="00395F78" w:rsidRPr="00291955" w:rsidP="003B7FC6" w14:paraId="0449000A" w14:textId="77777777">
            <w:pPr>
              <w:pStyle w:val="Normal6a"/>
              <w:rPr>
                <w:b/>
                <w:bCs/>
                <w:i/>
                <w:iCs/>
                <w:vertAlign w:val="superscript"/>
              </w:rPr>
            </w:pPr>
            <w:r w:rsidRPr="00291955">
              <w:rPr>
                <w:b/>
                <w:i/>
                <w:vertAlign w:val="superscript"/>
              </w:rPr>
              <w:t>[1]</w:t>
            </w:r>
            <w:r w:rsidRPr="00291955">
              <w:rPr>
                <w:b/>
                <w:i/>
              </w:rPr>
              <w:t xml:space="preserve"> Reglamento (UE, Euratom) 2024/2509 del Parlamento Europeo y del Consejo, de </w:t>
            </w:r>
            <w:r w:rsidRPr="00291955">
              <w:rPr>
                <w:b/>
                <w:i/>
              </w:rPr>
              <w:t>23 de septiembre de 2024, sobre las normas financieras aplicables al presupuesto general de la Unión (DO L, 2024/2509, 26.9.2024, ELI: http://data.europa.eu/eli/reg/2024/2509/oj).</w:t>
            </w:r>
          </w:p>
        </w:tc>
      </w:tr>
    </w:tbl>
    <w:p w:rsidR="0068168E" w:rsidRPr="00291955" w:rsidP="0068168E" w14:paraId="4C30D573" w14:textId="77777777">
      <w:pPr>
        <w:rPr>
          <w:rStyle w:val="HideTWBExt"/>
          <w:rFonts w:eastAsiaTheme="majorEastAsia"/>
        </w:rPr>
      </w:pPr>
      <w:r w:rsidRPr="00291955">
        <w:rPr>
          <w:rStyle w:val="HideTWBExt"/>
        </w:rPr>
        <w:t>&lt;/Amend&gt;</w:t>
      </w:r>
    </w:p>
    <w:p w:rsidR="003B60FC" w:rsidRPr="00291955" w:rsidP="00EA6DE0" w14:paraId="08796ED4"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6</w:t>
      </w:r>
      <w:r w:rsidRPr="00291955">
        <w:rPr>
          <w:rStyle w:val="HideTWBExt"/>
          <w:b w:val="0"/>
        </w:rPr>
        <w:t>&lt;/NumAm&gt;</w:t>
      </w:r>
    </w:p>
    <w:p w:rsidR="003B60FC" w:rsidRPr="00291955" w:rsidP="00EA6DE0" w14:paraId="359D6A85"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3B60FC" w:rsidRPr="00291955" w:rsidP="00EA6DE0" w14:paraId="730C504C" w14:textId="77777777">
      <w:pPr>
        <w:pStyle w:val="NormalBold"/>
      </w:pPr>
      <w:r w:rsidRPr="00291955">
        <w:rPr>
          <w:rStyle w:val="HideTWBExt"/>
          <w:b w:val="0"/>
        </w:rPr>
        <w:t>&lt;Article&gt;</w:t>
      </w:r>
      <w:r w:rsidRPr="00291955">
        <w:t xml:space="preserve">Artículo 11 – </w:t>
      </w:r>
      <w:r w:rsidRPr="00291955">
        <w:t>apartado 1</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BA03951" w14:textId="77777777" w:rsidTr="003B60FC">
        <w:tblPrEx>
          <w:tblW w:w="9752" w:type="dxa"/>
          <w:jc w:val="center"/>
          <w:tblLayout w:type="fixed"/>
          <w:tblCellMar>
            <w:left w:w="340" w:type="dxa"/>
            <w:right w:w="340" w:type="dxa"/>
          </w:tblCellMar>
          <w:tblLook w:val="04A0"/>
        </w:tblPrEx>
        <w:trPr>
          <w:jc w:val="center"/>
        </w:trPr>
        <w:tc>
          <w:tcPr>
            <w:tcW w:w="9752" w:type="dxa"/>
            <w:gridSpan w:val="2"/>
          </w:tcPr>
          <w:p w:rsidR="003B60FC" w:rsidRPr="00291955" w:rsidP="00A92590" w14:paraId="3A716799" w14:textId="77777777">
            <w:pPr>
              <w:keepNext/>
            </w:pPr>
          </w:p>
        </w:tc>
      </w:tr>
      <w:tr w14:paraId="26236A5E" w14:textId="77777777" w:rsidTr="003B60FC">
        <w:tblPrEx>
          <w:tblW w:w="9752" w:type="dxa"/>
          <w:jc w:val="center"/>
          <w:tblLayout w:type="fixed"/>
          <w:tblCellMar>
            <w:left w:w="340" w:type="dxa"/>
            <w:right w:w="340" w:type="dxa"/>
          </w:tblCellMar>
          <w:tblLook w:val="04A0"/>
        </w:tblPrEx>
        <w:trPr>
          <w:jc w:val="center"/>
        </w:trPr>
        <w:tc>
          <w:tcPr>
            <w:tcW w:w="4876" w:type="dxa"/>
            <w:hideMark/>
          </w:tcPr>
          <w:p w:rsidR="003B60FC" w:rsidRPr="00291955" w:rsidP="00A92590" w14:paraId="3CC39F02" w14:textId="77777777">
            <w:pPr>
              <w:pStyle w:val="AmColumnHeading"/>
              <w:keepNext/>
            </w:pPr>
            <w:r w:rsidRPr="00291955">
              <w:t>Texto de la Comisión</w:t>
            </w:r>
          </w:p>
        </w:tc>
        <w:tc>
          <w:tcPr>
            <w:tcW w:w="4876" w:type="dxa"/>
            <w:hideMark/>
          </w:tcPr>
          <w:p w:rsidR="003B60FC" w:rsidRPr="00291955" w:rsidP="00A92590" w14:paraId="37B7ED9D" w14:textId="77777777">
            <w:pPr>
              <w:pStyle w:val="AmColumnHeading"/>
              <w:keepNext/>
            </w:pPr>
            <w:r w:rsidRPr="00291955">
              <w:t>Enmienda</w:t>
            </w:r>
          </w:p>
        </w:tc>
      </w:tr>
      <w:tr w14:paraId="1500C301" w14:textId="77777777" w:rsidTr="003B60FC">
        <w:tblPrEx>
          <w:tblW w:w="9752" w:type="dxa"/>
          <w:jc w:val="center"/>
          <w:tblLayout w:type="fixed"/>
          <w:tblCellMar>
            <w:left w:w="340" w:type="dxa"/>
            <w:right w:w="340" w:type="dxa"/>
          </w:tblCellMar>
          <w:tblLook w:val="04A0"/>
        </w:tblPrEx>
        <w:trPr>
          <w:jc w:val="center"/>
        </w:trPr>
        <w:tc>
          <w:tcPr>
            <w:tcW w:w="4876" w:type="dxa"/>
            <w:hideMark/>
          </w:tcPr>
          <w:p w:rsidR="003B60FC" w:rsidRPr="00291955" w:rsidP="00A92590" w14:paraId="37B452D1" w14:textId="77777777">
            <w:pPr>
              <w:pStyle w:val="Normal6a"/>
            </w:pPr>
            <w:r w:rsidRPr="00291955">
              <w:t>1.</w:t>
            </w:r>
            <w:r w:rsidRPr="00291955">
              <w:rPr>
                <w:b/>
                <w:i/>
              </w:rPr>
              <w:tab/>
            </w:r>
            <w:r w:rsidRPr="00291955">
              <w:t xml:space="preserve">La dotación </w:t>
            </w:r>
            <w:r w:rsidRPr="00291955">
              <w:rPr>
                <w:b/>
                <w:i/>
              </w:rPr>
              <w:t>financiera indicativa</w:t>
            </w:r>
            <w:r w:rsidRPr="00291955">
              <w:t xml:space="preserve"> para la </w:t>
            </w:r>
            <w:r w:rsidRPr="00291955">
              <w:rPr>
                <w:b/>
                <w:i/>
              </w:rPr>
              <w:t>ejecución</w:t>
            </w:r>
            <w:r w:rsidRPr="00291955">
              <w:t xml:space="preserve"> del </w:t>
            </w:r>
            <w:r w:rsidRPr="00291955">
              <w:rPr>
                <w:b/>
                <w:i/>
              </w:rPr>
              <w:t>programa</w:t>
            </w:r>
            <w:r w:rsidRPr="00291955">
              <w:t xml:space="preserve"> durante el período 2028-2034 será de </w:t>
            </w:r>
            <w:r w:rsidRPr="00291955">
              <w:rPr>
                <w:b/>
                <w:bCs/>
                <w:i/>
                <w:iCs/>
              </w:rPr>
              <w:t>8 582 000 000</w:t>
            </w:r>
            <w:r w:rsidRPr="00291955">
              <w:t xml:space="preserve"> EUR </w:t>
            </w:r>
            <w:r w:rsidRPr="00291955">
              <w:rPr>
                <w:b/>
                <w:i/>
              </w:rPr>
              <w:t>en</w:t>
            </w:r>
            <w:r w:rsidRPr="00291955">
              <w:t xml:space="preserve"> precios corrientes.</w:t>
            </w:r>
          </w:p>
        </w:tc>
        <w:tc>
          <w:tcPr>
            <w:tcW w:w="4876" w:type="dxa"/>
            <w:hideMark/>
          </w:tcPr>
          <w:p w:rsidR="003B60FC" w:rsidRPr="00291955" w:rsidP="00A92590" w14:paraId="1BD9FE62" w14:textId="77777777">
            <w:pPr>
              <w:pStyle w:val="Normal6a"/>
            </w:pPr>
            <w:r w:rsidRPr="00291955">
              <w:t>1.</w:t>
            </w:r>
            <w:r w:rsidRPr="00291955">
              <w:rPr>
                <w:b/>
                <w:i/>
              </w:rPr>
              <w:tab/>
            </w:r>
            <w:r w:rsidRPr="00291955">
              <w:t xml:space="preserve">La dotación </w:t>
            </w:r>
            <w:r w:rsidRPr="00291955">
              <w:rPr>
                <w:b/>
                <w:i/>
              </w:rPr>
              <w:t>del programa</w:t>
            </w:r>
            <w:r w:rsidRPr="00291955">
              <w:t xml:space="preserve"> para la </w:t>
            </w:r>
            <w:r w:rsidRPr="00291955">
              <w:rPr>
                <w:b/>
                <w:i/>
              </w:rPr>
              <w:t>aplicación</w:t>
            </w:r>
            <w:r w:rsidRPr="00291955">
              <w:t xml:space="preserve"> del </w:t>
            </w:r>
            <w:r w:rsidRPr="00291955">
              <w:rPr>
                <w:b/>
                <w:i/>
              </w:rPr>
              <w:t>presente Reglamento</w:t>
            </w:r>
            <w:r w:rsidRPr="00291955">
              <w:t xml:space="preserve"> durante el período 2028-2034 será de </w:t>
            </w:r>
            <w:r w:rsidRPr="00291955">
              <w:rPr>
                <w:b/>
                <w:bCs/>
                <w:i/>
                <w:iCs/>
              </w:rPr>
              <w:t>10 720 330 000</w:t>
            </w:r>
            <w:r w:rsidRPr="00291955">
              <w:t xml:space="preserve"> EUR </w:t>
            </w:r>
            <w:r w:rsidRPr="00291955">
              <w:rPr>
                <w:b/>
                <w:i/>
              </w:rPr>
              <w:t>a</w:t>
            </w:r>
            <w:r w:rsidRPr="00291955">
              <w:t xml:space="preserve"> precios corrientes </w:t>
            </w:r>
            <w:r w:rsidRPr="00291955">
              <w:rPr>
                <w:b/>
                <w:i/>
              </w:rPr>
              <w:t>(9 500 000 000 EUR a precios de 2025)</w:t>
            </w:r>
            <w:r w:rsidRPr="00291955">
              <w:t>.</w:t>
            </w:r>
          </w:p>
        </w:tc>
      </w:tr>
    </w:tbl>
    <w:p w:rsidR="00B77427" w:rsidRPr="00291955" w:rsidP="00B77427" w14:paraId="5945C931" w14:textId="77777777">
      <w:pPr>
        <w:rPr>
          <w:rStyle w:val="HideTWBExt"/>
          <w:rFonts w:eastAsiaTheme="majorEastAsia"/>
        </w:rPr>
      </w:pPr>
      <w:r w:rsidRPr="00291955">
        <w:rPr>
          <w:rStyle w:val="HideTWBExt"/>
        </w:rPr>
        <w:t>&lt;/Amend&gt;</w:t>
      </w:r>
    </w:p>
    <w:p w:rsidR="00457488" w:rsidRPr="00291955" w:rsidP="00457488" w14:paraId="65442FBF"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7</w:t>
      </w:r>
      <w:r w:rsidRPr="00291955">
        <w:rPr>
          <w:rStyle w:val="HideTWBExt"/>
          <w:b w:val="0"/>
        </w:rPr>
        <w:t>&lt;/NumAm&gt;</w:t>
      </w:r>
    </w:p>
    <w:p w:rsidR="00457488" w:rsidRPr="00291955" w:rsidP="00457488" w14:paraId="03E88F27"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457488" w:rsidRPr="00291955" w:rsidP="00457488" w14:paraId="0BC879B4" w14:textId="77777777">
      <w:pPr>
        <w:pStyle w:val="NormalBold"/>
      </w:pPr>
      <w:r w:rsidRPr="00291955">
        <w:rPr>
          <w:rStyle w:val="HideTWBExt"/>
          <w:b w:val="0"/>
        </w:rPr>
        <w:t>&lt;Article&gt;</w:t>
      </w:r>
      <w:r w:rsidRPr="00291955">
        <w:t xml:space="preserve">Artículo 13 – </w:t>
      </w:r>
      <w:r w:rsidRPr="00291955">
        <w:t>apartado 1</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3B380A4" w14:textId="77777777" w:rsidTr="00460880">
        <w:tblPrEx>
          <w:tblW w:w="9752" w:type="dxa"/>
          <w:jc w:val="center"/>
          <w:tblLayout w:type="fixed"/>
          <w:tblCellMar>
            <w:left w:w="340" w:type="dxa"/>
            <w:right w:w="340" w:type="dxa"/>
          </w:tblCellMar>
          <w:tblLook w:val="04A0"/>
        </w:tblPrEx>
        <w:trPr>
          <w:jc w:val="center"/>
        </w:trPr>
        <w:tc>
          <w:tcPr>
            <w:tcW w:w="9752" w:type="dxa"/>
            <w:gridSpan w:val="2"/>
          </w:tcPr>
          <w:p w:rsidR="00457488" w:rsidRPr="00291955" w:rsidP="00460880" w14:paraId="24F19A27" w14:textId="77777777">
            <w:pPr>
              <w:keepNext/>
            </w:pPr>
          </w:p>
        </w:tc>
      </w:tr>
      <w:tr w14:paraId="51C32002" w14:textId="77777777" w:rsidTr="00460880">
        <w:tblPrEx>
          <w:tblW w:w="9752" w:type="dxa"/>
          <w:jc w:val="center"/>
          <w:tblLayout w:type="fixed"/>
          <w:tblCellMar>
            <w:left w:w="340" w:type="dxa"/>
            <w:right w:w="340" w:type="dxa"/>
          </w:tblCellMar>
          <w:tblLook w:val="04A0"/>
        </w:tblPrEx>
        <w:trPr>
          <w:jc w:val="center"/>
        </w:trPr>
        <w:tc>
          <w:tcPr>
            <w:tcW w:w="4876" w:type="dxa"/>
            <w:hideMark/>
          </w:tcPr>
          <w:p w:rsidR="00457488" w:rsidRPr="00291955" w:rsidP="00460880" w14:paraId="785AEF70" w14:textId="77777777">
            <w:pPr>
              <w:pStyle w:val="AmColumnHeading"/>
              <w:keepNext/>
            </w:pPr>
            <w:r w:rsidRPr="00291955">
              <w:t>Texto de la Comisión</w:t>
            </w:r>
          </w:p>
        </w:tc>
        <w:tc>
          <w:tcPr>
            <w:tcW w:w="4876" w:type="dxa"/>
            <w:hideMark/>
          </w:tcPr>
          <w:p w:rsidR="00457488" w:rsidRPr="00291955" w:rsidP="00460880" w14:paraId="53A0900D" w14:textId="77777777">
            <w:pPr>
              <w:pStyle w:val="AmColumnHeading"/>
              <w:keepNext/>
            </w:pPr>
            <w:r w:rsidRPr="00291955">
              <w:t>Enmienda</w:t>
            </w:r>
          </w:p>
        </w:tc>
      </w:tr>
      <w:tr w14:paraId="3FB3B3BE" w14:textId="77777777" w:rsidTr="00460880">
        <w:tblPrEx>
          <w:tblW w:w="9752" w:type="dxa"/>
          <w:jc w:val="center"/>
          <w:tblLayout w:type="fixed"/>
          <w:tblCellMar>
            <w:left w:w="340" w:type="dxa"/>
            <w:right w:w="340" w:type="dxa"/>
          </w:tblCellMar>
          <w:tblLook w:val="04A0"/>
        </w:tblPrEx>
        <w:trPr>
          <w:jc w:val="center"/>
        </w:trPr>
        <w:tc>
          <w:tcPr>
            <w:tcW w:w="4876" w:type="dxa"/>
            <w:hideMark/>
          </w:tcPr>
          <w:p w:rsidR="00457488" w:rsidRPr="00291955" w:rsidP="00460880" w14:paraId="45AFCC09" w14:textId="77777777">
            <w:pPr>
              <w:pStyle w:val="Normal6a"/>
            </w:pPr>
            <w:r w:rsidRPr="00291955">
              <w:t>1.</w:t>
            </w:r>
            <w:r w:rsidRPr="00291955">
              <w:tab/>
              <w:t xml:space="preserve">El programa se ejecutará en sinergia con otros programas de la Unión. Las acciones que hayan recibido una contribución de la Unión en el marco de otro programa también podrán recibir una contribución en el marco del presente programa. La contribución correspondiente estará sujeta a las normas del programa de la Unión pertinente o podrá aplicarse un conjunto único de normas a todas las contribuciones y celebrarse un compromiso jurídico único. Si el total de la contribución de la Unión se concede en función </w:t>
            </w:r>
            <w:r w:rsidRPr="00291955">
              <w:t xml:space="preserve">de los gastos subvencionables, la ayuda acumulada con cargo al presupuesto de la Unión no superará los gastos subvencionables totales de la acción y podrá calcularse a prorrata de conformidad con los documentos que establecen las </w:t>
            </w:r>
            <w:r w:rsidRPr="00291955">
              <w:t>condiciones de la ayuda.</w:t>
            </w:r>
          </w:p>
        </w:tc>
        <w:tc>
          <w:tcPr>
            <w:tcW w:w="4876" w:type="dxa"/>
            <w:hideMark/>
          </w:tcPr>
          <w:p w:rsidR="00457488" w:rsidRPr="00291955" w:rsidP="00460880" w14:paraId="043350E9" w14:textId="77777777">
            <w:pPr>
              <w:pStyle w:val="Normal6a"/>
            </w:pPr>
            <w:r w:rsidRPr="00291955">
              <w:t>1.</w:t>
            </w:r>
            <w:r w:rsidRPr="00291955">
              <w:tab/>
              <w:t xml:space="preserve">El programa se ejecutará en sinergia con otros programas de la Unión. Las acciones que hayan recibido una contribución de la Unión en el marco de otro programa también podrán recibir una contribución en el marco del presente programa. La contribución correspondiente estará sujeta a las normas del programa de la Unión pertinente o podrá aplicarse un conjunto único de normas a todas las contribuciones y celebrarse un compromiso jurídico único. Si el total de la contribución de la Unión se concede en función </w:t>
            </w:r>
            <w:r w:rsidRPr="00291955">
              <w:t xml:space="preserve">de los gastos subvencionables, la ayuda acumulada con cargo al presupuesto de la Unión no superará los gastos subvencionables totales de la acción y podrá calcularse a prorrata de conformidad con los documentos que establecen las </w:t>
            </w:r>
            <w:r w:rsidRPr="00291955">
              <w:t xml:space="preserve">condiciones de la ayuda. </w:t>
            </w:r>
            <w:r w:rsidRPr="00291955">
              <w:rPr>
                <w:b/>
                <w:i/>
              </w:rPr>
              <w:t>La Comisión abordará las sinergias entre el programa y otros programas de la Unión en la declaración de rendimiento del programa prevista en el artículo 41, apartado 3, letra h), del Reglamento (UE, Euratom) 2024/2509 y en los documentos de programación e i</w:t>
            </w:r>
            <w:r w:rsidRPr="00291955">
              <w:rPr>
                <w:b/>
                <w:i/>
              </w:rPr>
              <w:t>nformación pertinentes.</w:t>
            </w:r>
          </w:p>
        </w:tc>
      </w:tr>
    </w:tbl>
    <w:p w:rsidR="0068168E" w:rsidRPr="00291955" w:rsidP="0068168E" w14:paraId="6C03433B" w14:textId="77777777">
      <w:pPr>
        <w:rPr>
          <w:rStyle w:val="HideTWBExt"/>
          <w:rFonts w:eastAsiaTheme="majorEastAsia"/>
        </w:rPr>
      </w:pPr>
      <w:r w:rsidRPr="00291955">
        <w:rPr>
          <w:rStyle w:val="HideTWBExt"/>
        </w:rPr>
        <w:t>&lt;/Amend&gt;</w:t>
      </w:r>
    </w:p>
    <w:p w:rsidR="00222A38" w:rsidRPr="00291955" w:rsidP="00EA6DE0" w14:paraId="54372C03"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8</w:t>
      </w:r>
      <w:r w:rsidRPr="00291955">
        <w:rPr>
          <w:rStyle w:val="HideTWBExt"/>
          <w:b w:val="0"/>
        </w:rPr>
        <w:t>&lt;/NumAm&gt;</w:t>
      </w:r>
    </w:p>
    <w:p w:rsidR="00222A38" w:rsidRPr="00291955" w:rsidP="00EA6DE0" w14:paraId="63A05969"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222A38" w:rsidRPr="00291955" w:rsidP="00EA6DE0" w14:paraId="199307AF" w14:textId="77777777">
      <w:pPr>
        <w:pStyle w:val="NormalBold"/>
      </w:pPr>
      <w:r w:rsidRPr="00291955">
        <w:rPr>
          <w:rStyle w:val="HideTWBExt"/>
          <w:b w:val="0"/>
        </w:rPr>
        <w:t>&lt;Article&gt;</w:t>
      </w:r>
      <w:r w:rsidRPr="00291955">
        <w:t>Artículo 15 – apartado 4 bis (nuevo)</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B0784DC" w14:textId="77777777" w:rsidTr="00222A38">
        <w:tblPrEx>
          <w:tblW w:w="9752" w:type="dxa"/>
          <w:jc w:val="center"/>
          <w:tblLayout w:type="fixed"/>
          <w:tblCellMar>
            <w:left w:w="340" w:type="dxa"/>
            <w:right w:w="340" w:type="dxa"/>
          </w:tblCellMar>
          <w:tblLook w:val="04A0"/>
        </w:tblPrEx>
        <w:trPr>
          <w:jc w:val="center"/>
        </w:trPr>
        <w:tc>
          <w:tcPr>
            <w:tcW w:w="9752" w:type="dxa"/>
            <w:gridSpan w:val="2"/>
          </w:tcPr>
          <w:p w:rsidR="00222A38" w:rsidRPr="00291955" w:rsidP="00A92590" w14:paraId="389A85B0" w14:textId="77777777">
            <w:pPr>
              <w:keepNext/>
            </w:pPr>
          </w:p>
        </w:tc>
      </w:tr>
      <w:tr w14:paraId="7336A977"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222A38" w:rsidRPr="00291955" w:rsidP="00A92590" w14:paraId="0A80B02F" w14:textId="77777777">
            <w:pPr>
              <w:pStyle w:val="AmColumnHeading"/>
              <w:keepNext/>
            </w:pPr>
            <w:r w:rsidRPr="00291955">
              <w:t>Texto de la Comisión</w:t>
            </w:r>
          </w:p>
        </w:tc>
        <w:tc>
          <w:tcPr>
            <w:tcW w:w="4876" w:type="dxa"/>
            <w:hideMark/>
          </w:tcPr>
          <w:p w:rsidR="00222A38" w:rsidRPr="00291955" w:rsidP="00A92590" w14:paraId="05F3C0C3" w14:textId="77777777">
            <w:pPr>
              <w:pStyle w:val="AmColumnHeading"/>
              <w:keepNext/>
            </w:pPr>
            <w:r w:rsidRPr="00291955">
              <w:t>Enmienda</w:t>
            </w:r>
          </w:p>
        </w:tc>
      </w:tr>
      <w:tr w14:paraId="224CF97B"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222A38" w:rsidRPr="00291955" w:rsidP="00A92590" w14:paraId="13103604" w14:textId="77777777">
            <w:pPr>
              <w:pStyle w:val="Normal6a"/>
            </w:pPr>
          </w:p>
        </w:tc>
        <w:tc>
          <w:tcPr>
            <w:tcW w:w="4876" w:type="dxa"/>
            <w:hideMark/>
          </w:tcPr>
          <w:p w:rsidR="00222A38" w:rsidRPr="00291955" w:rsidP="00A92590" w14:paraId="6FF4EDA0" w14:textId="77777777">
            <w:pPr>
              <w:pStyle w:val="Normal6a"/>
            </w:pPr>
            <w:r w:rsidRPr="00291955">
              <w:rPr>
                <w:b/>
                <w:i/>
              </w:rPr>
              <w:t>4 bis.</w:t>
            </w:r>
            <w:r w:rsidRPr="00291955">
              <w:rPr>
                <w:b/>
                <w:i/>
              </w:rPr>
              <w:tab/>
              <w:t xml:space="preserve">A partir del [1 de enero de 2028 / fecha de inicio del programa], no obstante lo dispuesto en el artículo 212, apartado 3, párrafos primero, segundo y cuarto, del Reglamento (UE, Euratom) 2024/2509, cuando el programa </w:t>
            </w:r>
            <w:r w:rsidRPr="00291955">
              <w:rPr>
                <w:b/>
                <w:i/>
              </w:rPr>
              <w:t>proporcione financiación a instrumentos financieros a través del instrumento InvestEU del FEC según lo previsto en el apartado 4 del presente artículo, los ingresos, reembolsos y cobros de dichos instrumentos financieros se utilizarán para prestar ayuda de la Unión en virtud del presente Reglamento. No obstante lo dispuesto en el artículo 21, apartado 3, letra f), del Reglamento (UE, Euratom) 2024/2509, y de conformidad con el artículo 21, apartado 5, de dicho Reglamento, estos recursos constituirán ingreso</w:t>
            </w:r>
            <w:r w:rsidRPr="00291955">
              <w:rPr>
                <w:b/>
                <w:i/>
              </w:rPr>
              <w:t>s afectados externos destinados al programa.</w:t>
            </w:r>
          </w:p>
        </w:tc>
      </w:tr>
    </w:tbl>
    <w:p w:rsidR="00222A38" w:rsidRPr="00291955" w:rsidP="00F9166E" w14:paraId="7E0B9BF4" w14:textId="77777777">
      <w:pPr>
        <w:rPr>
          <w:rStyle w:val="HideTWBExt"/>
          <w:rFonts w:eastAsiaTheme="majorEastAsia"/>
        </w:rPr>
      </w:pPr>
      <w:r w:rsidRPr="00291955">
        <w:rPr>
          <w:rStyle w:val="HideTWBExt"/>
        </w:rPr>
        <w:t>&lt;/Amend&gt;</w:t>
      </w:r>
    </w:p>
    <w:p w:rsidR="0052626E" w:rsidRPr="00291955" w:rsidP="00EA6DE0" w14:paraId="1E6AC94B" w14:textId="77777777">
      <w:pPr>
        <w:pStyle w:val="AmNumberTabs"/>
        <w:keepNext/>
      </w:pPr>
      <w:r w:rsidRPr="00291955">
        <w:rPr>
          <w:rStyle w:val="HideTWBExt"/>
          <w:b w:val="0"/>
        </w:rPr>
        <w:t>&lt;Amend&gt;</w:t>
      </w:r>
      <w:r w:rsidRPr="00291955">
        <w:t>Enmienda</w:t>
      </w:r>
      <w:r w:rsidRPr="00291955">
        <w:tab/>
      </w:r>
      <w:r w:rsidRPr="00291955">
        <w:tab/>
      </w:r>
      <w:r w:rsidRPr="00291955">
        <w:rPr>
          <w:rStyle w:val="HideTWBExt"/>
          <w:b w:val="0"/>
        </w:rPr>
        <w:t>&lt;NumAm&gt;</w:t>
      </w:r>
      <w:r w:rsidRPr="00291955">
        <w:t>9</w:t>
      </w:r>
      <w:r w:rsidRPr="00291955">
        <w:rPr>
          <w:rStyle w:val="HideTWBExt"/>
          <w:b w:val="0"/>
        </w:rPr>
        <w:t>&lt;/NumAm&gt;</w:t>
      </w:r>
    </w:p>
    <w:p w:rsidR="0052626E" w:rsidRPr="00291955" w:rsidP="00EA6DE0" w14:paraId="01B8FA39" w14:textId="77777777">
      <w:pPr>
        <w:pStyle w:val="NormalBold12b"/>
        <w:keepNext/>
      </w:pPr>
      <w:r w:rsidRPr="00291955">
        <w:rPr>
          <w:rStyle w:val="HideTWBExt"/>
          <w:b w:val="0"/>
        </w:rPr>
        <w:t>&lt;DocAmend&gt;</w:t>
      </w:r>
      <w:r w:rsidRPr="00291955">
        <w:t>Propuesta de Reglamento</w:t>
      </w:r>
      <w:r w:rsidRPr="00291955">
        <w:rPr>
          <w:rStyle w:val="HideTWBExt"/>
          <w:b w:val="0"/>
        </w:rPr>
        <w:t>&lt;/DocAmend&gt;</w:t>
      </w:r>
    </w:p>
    <w:p w:rsidR="0052626E" w:rsidRPr="00291955" w:rsidP="00EA6DE0" w14:paraId="3064041F" w14:textId="77777777">
      <w:pPr>
        <w:pStyle w:val="NormalBold"/>
      </w:pPr>
      <w:r w:rsidRPr="00291955">
        <w:rPr>
          <w:rStyle w:val="HideTWBExt"/>
          <w:b w:val="0"/>
        </w:rPr>
        <w:t>&lt;Article&gt;</w:t>
      </w:r>
      <w:r w:rsidRPr="00291955">
        <w:t>Artículo 15 – apartado 6</w:t>
      </w:r>
      <w:r w:rsidRPr="0029195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8207362" w14:textId="77777777" w:rsidTr="0052626E">
        <w:tblPrEx>
          <w:tblW w:w="9752" w:type="dxa"/>
          <w:jc w:val="center"/>
          <w:tblLayout w:type="fixed"/>
          <w:tblCellMar>
            <w:left w:w="340" w:type="dxa"/>
            <w:right w:w="340" w:type="dxa"/>
          </w:tblCellMar>
          <w:tblLook w:val="04A0"/>
        </w:tblPrEx>
        <w:trPr>
          <w:jc w:val="center"/>
        </w:trPr>
        <w:tc>
          <w:tcPr>
            <w:tcW w:w="9752" w:type="dxa"/>
            <w:gridSpan w:val="2"/>
          </w:tcPr>
          <w:p w:rsidR="0052626E" w:rsidRPr="00291955" w:rsidP="00A92590" w14:paraId="07FEE193" w14:textId="77777777">
            <w:pPr>
              <w:keepNext/>
            </w:pPr>
          </w:p>
        </w:tc>
      </w:tr>
      <w:tr w14:paraId="01078EE8" w14:textId="77777777" w:rsidTr="0052626E">
        <w:tblPrEx>
          <w:tblW w:w="9752" w:type="dxa"/>
          <w:jc w:val="center"/>
          <w:tblLayout w:type="fixed"/>
          <w:tblCellMar>
            <w:left w:w="340" w:type="dxa"/>
            <w:right w:w="340" w:type="dxa"/>
          </w:tblCellMar>
          <w:tblLook w:val="04A0"/>
        </w:tblPrEx>
        <w:trPr>
          <w:jc w:val="center"/>
        </w:trPr>
        <w:tc>
          <w:tcPr>
            <w:tcW w:w="4876" w:type="dxa"/>
            <w:hideMark/>
          </w:tcPr>
          <w:p w:rsidR="0052626E" w:rsidRPr="00291955" w:rsidP="00A92590" w14:paraId="6FF74C2B" w14:textId="77777777">
            <w:pPr>
              <w:pStyle w:val="AmColumnHeading"/>
              <w:keepNext/>
            </w:pPr>
            <w:r w:rsidRPr="00291955">
              <w:t>Texto de la Comisión</w:t>
            </w:r>
          </w:p>
        </w:tc>
        <w:tc>
          <w:tcPr>
            <w:tcW w:w="4876" w:type="dxa"/>
            <w:hideMark/>
          </w:tcPr>
          <w:p w:rsidR="0052626E" w:rsidRPr="00291955" w:rsidP="00A92590" w14:paraId="7D31F817" w14:textId="77777777">
            <w:pPr>
              <w:pStyle w:val="AmColumnHeading"/>
              <w:keepNext/>
            </w:pPr>
            <w:r w:rsidRPr="00291955">
              <w:t>Enmienda</w:t>
            </w:r>
          </w:p>
        </w:tc>
      </w:tr>
      <w:tr w14:paraId="5500498B" w14:textId="77777777" w:rsidTr="0052626E">
        <w:tblPrEx>
          <w:tblW w:w="9752" w:type="dxa"/>
          <w:jc w:val="center"/>
          <w:tblLayout w:type="fixed"/>
          <w:tblCellMar>
            <w:left w:w="340" w:type="dxa"/>
            <w:right w:w="340" w:type="dxa"/>
          </w:tblCellMar>
          <w:tblLook w:val="04A0"/>
        </w:tblPrEx>
        <w:trPr>
          <w:jc w:val="center"/>
        </w:trPr>
        <w:tc>
          <w:tcPr>
            <w:tcW w:w="4876" w:type="dxa"/>
            <w:hideMark/>
          </w:tcPr>
          <w:p w:rsidR="0052626E" w:rsidRPr="00291955" w:rsidP="00A92590" w14:paraId="1A021A33" w14:textId="77777777">
            <w:pPr>
              <w:pStyle w:val="Normal6a"/>
            </w:pPr>
            <w:r w:rsidRPr="00291955">
              <w:t>6.</w:t>
            </w:r>
            <w:r w:rsidRPr="00291955">
              <w:tab/>
            </w:r>
            <w:r w:rsidRPr="00291955">
              <w:t xml:space="preserve">Cuando la financiación de la Unión se proporcione en forma de subvención, </w:t>
            </w:r>
            <w:r w:rsidRPr="00291955">
              <w:rPr>
                <w:b/>
                <w:i/>
              </w:rPr>
              <w:t>no estará vinculada a los costes o, en su caso, las</w:t>
            </w:r>
            <w:r w:rsidRPr="00291955">
              <w:t xml:space="preserve"> opciones de costes simplificados, de conformidad con el Reglamento (UE, Euratom) 2024/2509. La financiación únicamente podrá concederse en forma de reembolso de los gastos subvencionables reales cuando no exista otro modo de alcanzar los objetivos de una acción.</w:t>
            </w:r>
          </w:p>
        </w:tc>
        <w:tc>
          <w:tcPr>
            <w:tcW w:w="4876" w:type="dxa"/>
            <w:hideMark/>
          </w:tcPr>
          <w:p w:rsidR="0052626E" w:rsidRPr="00291955" w:rsidP="00A92590" w14:paraId="5DB3C7AE" w14:textId="77777777">
            <w:pPr>
              <w:pStyle w:val="Normal6a"/>
            </w:pPr>
            <w:r w:rsidRPr="00291955">
              <w:t>6.</w:t>
            </w:r>
            <w:r w:rsidRPr="00291955">
              <w:tab/>
              <w:t xml:space="preserve">Cuando la financiación de la Unión se proporcione en forma de subvención, </w:t>
            </w:r>
            <w:r w:rsidRPr="00291955">
              <w:rPr>
                <w:b/>
                <w:i/>
              </w:rPr>
              <w:t>se otorgará mediante</w:t>
            </w:r>
            <w:r w:rsidRPr="00291955">
              <w:t xml:space="preserve"> opciones de costes simplificados, de conformidad con el </w:t>
            </w:r>
            <w:r w:rsidRPr="00291955">
              <w:rPr>
                <w:b/>
                <w:i/>
              </w:rPr>
              <w:t>artículo 125 del</w:t>
            </w:r>
            <w:r w:rsidRPr="00291955">
              <w:t xml:space="preserve"> Reglamento (UE, Euratom) 2024/2509. La financiación únicamente podrá concederse en forma de reembolso de los gastos subvencionables reales cuando no exista otro modo de alcanzar los objetivos de una acción.</w:t>
            </w:r>
          </w:p>
        </w:tc>
      </w:tr>
    </w:tbl>
    <w:p w:rsidR="00864AF6" w:rsidRPr="00291955" w:rsidP="00BF70F2" w14:paraId="64502D7C" w14:textId="6C53F24B">
      <w:r w:rsidRPr="00291955">
        <w:rPr>
          <w:rStyle w:val="HideTWBExt"/>
        </w:rPr>
        <w:t>&lt;/Amend&gt;</w:t>
      </w:r>
      <w:r w:rsidRPr="00291955">
        <w:rPr>
          <w:rStyle w:val="HideTWBExt"/>
        </w:rPr>
        <w:t>&lt;/RepeatBlock-Amend&gt;</w:t>
      </w:r>
    </w:p>
    <w:p w:rsidR="007C598C" w:rsidRPr="00291955" w14:paraId="2989E513" w14:textId="77777777">
      <w:pPr>
        <w:widowControl/>
        <w:rPr>
          <w:rStyle w:val="HideTWBExt"/>
        </w:rPr>
        <w:sectPr w:rsidSect="00AB298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64AF6" w:rsidRPr="00291955" w:rsidP="0079311F" w14:paraId="625DCCFC" w14:textId="77777777">
      <w:pPr>
        <w:pStyle w:val="PageHeadingNotTOC"/>
        <w:spacing w:before="480"/>
      </w:pPr>
      <w:bookmarkStart w:id="2" w:name="FootprintPageAD"/>
      <w:r w:rsidRPr="00291955">
        <w:t>ANEXO: DECLARACIÓN DE CONTRIBUCIONES</w:t>
      </w:r>
    </w:p>
    <w:p w:rsidR="00864AF6" w:rsidRPr="00291955" w:rsidP="00037518" w14:paraId="438DBD0F" w14:textId="77777777">
      <w:pPr>
        <w:pStyle w:val="Normal24a"/>
      </w:pPr>
      <w:r w:rsidRPr="00291955">
        <w:rPr>
          <w:rStyle w:val="HideTWBExt"/>
        </w:rPr>
        <w:t>&lt;FootprintIntro&gt;</w:t>
      </w:r>
      <w:r w:rsidRPr="00291955">
        <w:t>La ponente de evaluación presupuestaria declara, bajo su exclusiva responsabilidad, que no ha incluido en su evaluación presupuestaria ninguna contribución de representantes de intereses comprendidos en el ámbito de aplicación del Acuerdo Interinstitucional sobre un Registro de transparencia obligatorio</w:t>
      </w:r>
      <w:r>
        <w:rPr>
          <w:rStyle w:val="FootnoteReference"/>
        </w:rPr>
        <w:footnoteReference w:id="6"/>
      </w:r>
      <w:r w:rsidRPr="00291955">
        <w:t xml:space="preserve"> ni de representantes de las autoridades públicas de terceros países, incluidas sus misiones diplomáticas y embajadas, que deban enumerarse en el presente anexo de conformidad con el artículo 8 del anexo I del Reglamento interno.</w:t>
      </w:r>
      <w:r w:rsidRPr="00291955">
        <w:rPr>
          <w:rStyle w:val="HideTWBExt"/>
        </w:rPr>
        <w:t>&lt;/FootprintIntro&gt;</w:t>
      </w:r>
    </w:p>
    <w:bookmarkEnd w:id="2"/>
    <w:p w:rsidR="00BF70F2" w:rsidRPr="00291955" w:rsidP="00AB298C" w14:paraId="2F9AB64D" w14:textId="77777777"/>
    <w:p w:rsidR="00AB298C" w:rsidRPr="00291955" w:rsidP="00AB298C" w14:paraId="5D50773F" w14:textId="77777777">
      <w:pPr>
        <w:sectPr w:rsidSect="0079311F">
          <w:footnotePr>
            <w:numRestart w:val="eachSect"/>
          </w:footnotePr>
          <w:endnotePr>
            <w:numFmt w:val="decimal"/>
          </w:endnotePr>
          <w:pgSz w:w="11906" w:h="16838" w:code="9"/>
          <w:pgMar w:top="1701" w:right="1418" w:bottom="1418" w:left="1418" w:header="1134" w:footer="567" w:gutter="0"/>
          <w:cols w:space="720"/>
          <w:noEndnote/>
          <w:docGrid w:linePitch="326"/>
        </w:sectPr>
      </w:pPr>
    </w:p>
    <w:p w:rsidR="00AB298C" w:rsidRPr="00291955" w:rsidP="00AB298C" w14:paraId="72FB8C77" w14:textId="075703F0">
      <w:pPr>
        <w:pStyle w:val="PageHeadingNotTOC"/>
      </w:pPr>
      <w:bookmarkStart w:id="3" w:name="ProcPageAD"/>
      <w:r w:rsidRPr="00291955">
        <w:t>PROCEDIMIENTO DE LA COMISIÓN COMPETENTE</w:t>
      </w:r>
      <w:r w:rsidRPr="00291955" w:rsidR="002917E3">
        <w:br/>
      </w:r>
      <w:r w:rsidRPr="00291955">
        <w:t>PARA EMITIR LA EVALUACIÓN PRESUPUESTARIA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EB25A7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3748B69B" w14:textId="77777777">
            <w:pPr>
              <w:autoSpaceDE w:val="0"/>
              <w:autoSpaceDN w:val="0"/>
              <w:adjustRightInd w:val="0"/>
              <w:rPr>
                <w:b/>
                <w:bCs/>
                <w:color w:val="000000"/>
                <w:sz w:val="20"/>
              </w:rPr>
            </w:pPr>
            <w:r w:rsidRPr="00291955">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291955" w14:paraId="7B921812" w14:textId="77777777">
            <w:pPr>
              <w:autoSpaceDE w:val="0"/>
              <w:autoSpaceDN w:val="0"/>
              <w:adjustRightInd w:val="0"/>
              <w:rPr>
                <w:color w:val="000000"/>
                <w:sz w:val="20"/>
              </w:rPr>
            </w:pPr>
            <w:r w:rsidRPr="00291955">
              <w:rPr>
                <w:color w:val="000000"/>
                <w:sz w:val="20"/>
              </w:rPr>
              <w:t>Establecimiento del programa «AgoraEU» para el período 2028</w:t>
            </w:r>
            <w:r w:rsidRPr="00291955">
              <w:rPr>
                <w:color w:val="000000"/>
                <w:sz w:val="20"/>
              </w:rPr>
              <w:noBreakHyphen/>
              <w:t>2034 y derogación de los Reglamentos (UE) 2021/692 y (UE) 2021/818</w:t>
            </w:r>
          </w:p>
        </w:tc>
      </w:tr>
      <w:tr w14:paraId="16849918"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0B4608EA" w14:textId="77777777">
            <w:pPr>
              <w:autoSpaceDE w:val="0"/>
              <w:autoSpaceDN w:val="0"/>
              <w:adjustRightInd w:val="0"/>
              <w:rPr>
                <w:b/>
                <w:bCs/>
                <w:color w:val="000000"/>
                <w:sz w:val="20"/>
              </w:rPr>
            </w:pPr>
            <w:r w:rsidRPr="00291955">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298C" w:rsidRPr="00291955" w14:paraId="18D09F86" w14:textId="77777777">
            <w:pPr>
              <w:autoSpaceDE w:val="0"/>
              <w:autoSpaceDN w:val="0"/>
              <w:adjustRightInd w:val="0"/>
              <w:rPr>
                <w:color w:val="000000"/>
                <w:sz w:val="20"/>
              </w:rPr>
            </w:pPr>
            <w:r w:rsidRPr="00291955">
              <w:rPr>
                <w:color w:val="000000"/>
                <w:sz w:val="20"/>
              </w:rPr>
              <w:t>COM(2025)0550 – C10-0173/2025 – 2025/0550(COD)</w:t>
            </w:r>
          </w:p>
        </w:tc>
      </w:tr>
      <w:tr w14:paraId="28F557C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77F1F725" w14:textId="77777777">
            <w:pPr>
              <w:autoSpaceDE w:val="0"/>
              <w:autoSpaceDN w:val="0"/>
              <w:adjustRightInd w:val="0"/>
              <w:rPr>
                <w:b/>
                <w:bCs/>
                <w:color w:val="000000"/>
                <w:sz w:val="20"/>
              </w:rPr>
            </w:pPr>
            <w:r w:rsidRPr="00291955">
              <w:rPr>
                <w:b/>
                <w:color w:val="000000"/>
                <w:sz w:val="20"/>
              </w:rPr>
              <w:t>Comisiones competentes para el fondo</w:t>
            </w:r>
          </w:p>
          <w:p w:rsidR="00AB298C" w:rsidRPr="00291955" w14:paraId="18A346F2" w14:textId="77777777">
            <w:pPr>
              <w:autoSpaceDE w:val="0"/>
              <w:autoSpaceDN w:val="0"/>
              <w:adjustRightInd w:val="0"/>
              <w:rPr>
                <w:color w:val="000000"/>
                <w:sz w:val="20"/>
              </w:rPr>
            </w:pPr>
            <w:r w:rsidRPr="00291955">
              <w:rPr>
                <w:color w:val="000000"/>
                <w:sz w:val="20"/>
              </w:rPr>
              <w:t>       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4AE5792C" w14:textId="77777777">
            <w:pPr>
              <w:autoSpaceDE w:val="0"/>
              <w:autoSpaceDN w:val="0"/>
              <w:adjustRightInd w:val="0"/>
              <w:rPr>
                <w:color w:val="000000"/>
                <w:sz w:val="20"/>
              </w:rPr>
            </w:pPr>
            <w:r w:rsidRPr="00291955">
              <w:rPr>
                <w:color w:val="000000"/>
                <w:sz w:val="20"/>
              </w:rPr>
              <w:t>CULT</w:t>
            </w:r>
          </w:p>
          <w:p w:rsidR="00AB298C" w:rsidRPr="00291955" w14:paraId="60665CDB" w14:textId="77777777">
            <w:pPr>
              <w:autoSpaceDE w:val="0"/>
              <w:autoSpaceDN w:val="0"/>
              <w:adjustRightInd w:val="0"/>
              <w:rPr>
                <w:color w:val="000000"/>
                <w:sz w:val="20"/>
              </w:rPr>
            </w:pPr>
            <w:r w:rsidRPr="0029195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52052F86" w14:textId="77777777">
            <w:pPr>
              <w:autoSpaceDE w:val="0"/>
              <w:autoSpaceDN w:val="0"/>
              <w:adjustRightInd w:val="0"/>
              <w:rPr>
                <w:color w:val="000000"/>
                <w:sz w:val="20"/>
              </w:rPr>
            </w:pPr>
            <w:r w:rsidRPr="00291955">
              <w:rPr>
                <w:color w:val="000000"/>
                <w:sz w:val="20"/>
              </w:rPr>
              <w:t>LIBE</w:t>
            </w:r>
          </w:p>
          <w:p w:rsidR="00AB298C" w:rsidRPr="00291955" w14:paraId="2BFD0C16" w14:textId="77777777">
            <w:pPr>
              <w:autoSpaceDE w:val="0"/>
              <w:autoSpaceDN w:val="0"/>
              <w:adjustRightInd w:val="0"/>
              <w:rPr>
                <w:color w:val="000000"/>
                <w:sz w:val="20"/>
              </w:rPr>
            </w:pPr>
            <w:r w:rsidRPr="0029195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25C56AC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291955" w14:paraId="219D41E3" w14:textId="77777777">
            <w:pPr>
              <w:autoSpaceDE w:val="0"/>
              <w:autoSpaceDN w:val="0"/>
              <w:adjustRightInd w:val="0"/>
              <w:rPr>
                <w:rFonts w:ascii="sans-serif" w:hAnsi="sans-serif" w:cs="sans-serif"/>
                <w:color w:val="000000"/>
              </w:rPr>
            </w:pPr>
          </w:p>
        </w:tc>
      </w:tr>
      <w:tr w14:paraId="1ED8829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6735AE4E" w14:textId="77777777">
            <w:pPr>
              <w:autoSpaceDE w:val="0"/>
              <w:autoSpaceDN w:val="0"/>
              <w:adjustRightInd w:val="0"/>
              <w:rPr>
                <w:b/>
                <w:bCs/>
                <w:color w:val="000000"/>
                <w:sz w:val="20"/>
              </w:rPr>
            </w:pPr>
            <w:r w:rsidRPr="00291955">
              <w:rPr>
                <w:b/>
                <w:color w:val="000000"/>
                <w:sz w:val="20"/>
              </w:rPr>
              <w:t>Evaluación presupuestaria emitida por</w:t>
            </w:r>
          </w:p>
          <w:p w:rsidR="00AB298C" w:rsidRPr="00291955" w14:paraId="116CE2F2" w14:textId="77777777">
            <w:pPr>
              <w:autoSpaceDE w:val="0"/>
              <w:autoSpaceDN w:val="0"/>
              <w:adjustRightInd w:val="0"/>
              <w:rPr>
                <w:color w:val="000000"/>
                <w:sz w:val="20"/>
              </w:rPr>
            </w:pPr>
            <w:r w:rsidRPr="00291955">
              <w:rPr>
                <w:color w:val="000000"/>
                <w:sz w:val="20"/>
              </w:rPr>
              <w:t>       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291955" w14:paraId="194B1404" w14:textId="77777777">
            <w:pPr>
              <w:autoSpaceDE w:val="0"/>
              <w:autoSpaceDN w:val="0"/>
              <w:adjustRightInd w:val="0"/>
              <w:rPr>
                <w:color w:val="000000"/>
                <w:sz w:val="20"/>
              </w:rPr>
            </w:pPr>
            <w:r w:rsidRPr="00291955">
              <w:rPr>
                <w:color w:val="000000"/>
                <w:sz w:val="20"/>
              </w:rPr>
              <w:t>BUDG</w:t>
            </w:r>
          </w:p>
          <w:p w:rsidR="00AB298C" w:rsidRPr="00291955" w14:paraId="704B9679" w14:textId="77777777">
            <w:pPr>
              <w:autoSpaceDE w:val="0"/>
              <w:autoSpaceDN w:val="0"/>
              <w:adjustRightInd w:val="0"/>
              <w:rPr>
                <w:color w:val="000000"/>
                <w:sz w:val="20"/>
              </w:rPr>
            </w:pPr>
            <w:r w:rsidRPr="00291955">
              <w:rPr>
                <w:color w:val="000000"/>
                <w:sz w:val="20"/>
              </w:rPr>
              <w:t>23.10.2025</w:t>
            </w:r>
          </w:p>
        </w:tc>
      </w:tr>
      <w:tr w14:paraId="6D27EEB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7315A9A6" w14:textId="77777777">
            <w:pPr>
              <w:autoSpaceDE w:val="0"/>
              <w:autoSpaceDN w:val="0"/>
              <w:adjustRightInd w:val="0"/>
              <w:rPr>
                <w:b/>
                <w:bCs/>
                <w:color w:val="000000"/>
                <w:sz w:val="20"/>
              </w:rPr>
            </w:pPr>
            <w:r w:rsidRPr="00291955">
              <w:rPr>
                <w:b/>
                <w:color w:val="000000"/>
                <w:sz w:val="20"/>
              </w:rPr>
              <w:t>Ponente de evaluación presupuestaria</w:t>
            </w:r>
          </w:p>
          <w:p w:rsidR="00AB298C" w:rsidRPr="00291955" w14:paraId="211A2F41" w14:textId="77777777">
            <w:pPr>
              <w:autoSpaceDE w:val="0"/>
              <w:autoSpaceDN w:val="0"/>
              <w:adjustRightInd w:val="0"/>
              <w:rPr>
                <w:color w:val="000000"/>
                <w:sz w:val="20"/>
              </w:rPr>
            </w:pPr>
            <w:r w:rsidRPr="00291955">
              <w:rPr>
                <w:color w:val="000000"/>
                <w:sz w:val="20"/>
              </w:rPr>
              <w:t>       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291955" w14:paraId="0493A476" w14:textId="77777777">
            <w:pPr>
              <w:autoSpaceDE w:val="0"/>
              <w:autoSpaceDN w:val="0"/>
              <w:adjustRightInd w:val="0"/>
              <w:rPr>
                <w:color w:val="000000"/>
                <w:sz w:val="20"/>
              </w:rPr>
            </w:pPr>
            <w:r w:rsidRPr="00291955">
              <w:rPr>
                <w:color w:val="000000"/>
                <w:sz w:val="20"/>
              </w:rPr>
              <w:t>Sandra Gómez López</w:t>
            </w:r>
          </w:p>
          <w:p w:rsidR="00AB298C" w:rsidRPr="00291955" w14:paraId="2F190029" w14:textId="77777777">
            <w:pPr>
              <w:autoSpaceDE w:val="0"/>
              <w:autoSpaceDN w:val="0"/>
              <w:adjustRightInd w:val="0"/>
              <w:rPr>
                <w:color w:val="000000"/>
                <w:sz w:val="20"/>
              </w:rPr>
            </w:pPr>
            <w:r w:rsidRPr="00291955">
              <w:rPr>
                <w:color w:val="000000"/>
                <w:sz w:val="20"/>
              </w:rPr>
              <w:t>25.2.2026</w:t>
            </w:r>
          </w:p>
        </w:tc>
      </w:tr>
      <w:tr w14:paraId="1807078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2FFD1FA5" w14:textId="77777777">
            <w:pPr>
              <w:autoSpaceDE w:val="0"/>
              <w:autoSpaceDN w:val="0"/>
              <w:adjustRightInd w:val="0"/>
              <w:rPr>
                <w:b/>
                <w:bCs/>
                <w:color w:val="000000"/>
                <w:sz w:val="20"/>
              </w:rPr>
            </w:pPr>
            <w:r w:rsidRPr="00291955">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1CB3D5E2" w14:textId="77777777">
            <w:pPr>
              <w:autoSpaceDE w:val="0"/>
              <w:autoSpaceDN w:val="0"/>
              <w:adjustRightInd w:val="0"/>
              <w:rPr>
                <w:color w:val="000000"/>
                <w:sz w:val="20"/>
              </w:rPr>
            </w:pPr>
            <w:r w:rsidRPr="00291955">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3A2109E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2084E13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291955" w14:paraId="24C0EB13" w14:textId="77777777">
            <w:pPr>
              <w:autoSpaceDE w:val="0"/>
              <w:autoSpaceDN w:val="0"/>
              <w:adjustRightInd w:val="0"/>
              <w:rPr>
                <w:rFonts w:ascii="sans-serif" w:hAnsi="sans-serif" w:cs="sans-serif"/>
                <w:color w:val="000000"/>
              </w:rPr>
            </w:pPr>
          </w:p>
        </w:tc>
      </w:tr>
      <w:tr w14:paraId="7F9E0EF1"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60B98948" w14:textId="77777777">
            <w:pPr>
              <w:autoSpaceDE w:val="0"/>
              <w:autoSpaceDN w:val="0"/>
              <w:adjustRightInd w:val="0"/>
              <w:rPr>
                <w:b/>
                <w:bCs/>
                <w:color w:val="000000"/>
                <w:sz w:val="20"/>
              </w:rPr>
            </w:pPr>
            <w:r w:rsidRPr="00291955">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AB298C" w:rsidRPr="00291955" w14:paraId="48D47FEC" w14:textId="77777777">
            <w:pPr>
              <w:autoSpaceDE w:val="0"/>
              <w:autoSpaceDN w:val="0"/>
              <w:adjustRightInd w:val="0"/>
              <w:rPr>
                <w:color w:val="000000"/>
                <w:sz w:val="20"/>
              </w:rPr>
            </w:pPr>
            <w:r w:rsidRPr="00291955">
              <w:rPr>
                <w:color w:val="000000"/>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AB298C" w:rsidRPr="00291955" w14:paraId="1B3C68BD"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B298C" w:rsidRPr="00291955" w14:paraId="778AD2A1"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B298C" w:rsidRPr="00291955" w14:paraId="23BF5EA1" w14:textId="77777777">
            <w:pPr>
              <w:autoSpaceDE w:val="0"/>
              <w:autoSpaceDN w:val="0"/>
              <w:adjustRightInd w:val="0"/>
              <w:rPr>
                <w:rFonts w:ascii="sans-serif" w:hAnsi="sans-serif" w:cs="sans-serif"/>
                <w:color w:val="000000"/>
              </w:rPr>
            </w:pPr>
          </w:p>
        </w:tc>
      </w:tr>
      <w:tr w14:paraId="35F01BC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291955" w14:paraId="6DB02630" w14:textId="77777777">
            <w:pPr>
              <w:autoSpaceDE w:val="0"/>
              <w:autoSpaceDN w:val="0"/>
              <w:adjustRightInd w:val="0"/>
              <w:rPr>
                <w:b/>
                <w:bCs/>
                <w:color w:val="000000"/>
                <w:sz w:val="20"/>
              </w:rPr>
            </w:pPr>
            <w:r w:rsidRPr="00291955">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291955" w14:paraId="19B5FC58" w14:textId="77777777">
            <w:pPr>
              <w:autoSpaceDE w:val="0"/>
              <w:autoSpaceDN w:val="0"/>
              <w:adjustRightInd w:val="0"/>
              <w:rPr>
                <w:color w:val="000000"/>
                <w:sz w:val="20"/>
              </w:rPr>
            </w:pPr>
            <w:r w:rsidRPr="00291955">
              <w:rPr>
                <w:color w:val="000000"/>
                <w:sz w:val="20"/>
              </w:rPr>
              <w:t>+:</w:t>
            </w:r>
          </w:p>
          <w:p w:rsidR="00AB298C" w:rsidRPr="00291955" w14:paraId="759E8E03" w14:textId="77777777">
            <w:pPr>
              <w:autoSpaceDE w:val="0"/>
              <w:autoSpaceDN w:val="0"/>
              <w:adjustRightInd w:val="0"/>
              <w:rPr>
                <w:color w:val="000000"/>
                <w:sz w:val="20"/>
              </w:rPr>
            </w:pPr>
            <w:r w:rsidRPr="00291955">
              <w:rPr>
                <w:color w:val="000000"/>
                <w:sz w:val="20"/>
              </w:rPr>
              <w:t>–:</w:t>
            </w:r>
          </w:p>
          <w:p w:rsidR="00AB298C" w:rsidRPr="00291955" w14:paraId="5EBB0552" w14:textId="77777777">
            <w:pPr>
              <w:autoSpaceDE w:val="0"/>
              <w:autoSpaceDN w:val="0"/>
              <w:adjustRightInd w:val="0"/>
              <w:rPr>
                <w:color w:val="000000"/>
                <w:sz w:val="20"/>
              </w:rPr>
            </w:pPr>
            <w:r w:rsidRPr="0029195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291955" w14:paraId="47C7FAEC" w14:textId="77777777">
            <w:pPr>
              <w:autoSpaceDE w:val="0"/>
              <w:autoSpaceDN w:val="0"/>
              <w:adjustRightInd w:val="0"/>
              <w:rPr>
                <w:color w:val="000000"/>
                <w:sz w:val="20"/>
              </w:rPr>
            </w:pPr>
            <w:r w:rsidRPr="00291955">
              <w:rPr>
                <w:color w:val="000000"/>
                <w:sz w:val="20"/>
              </w:rPr>
              <w:t>23</w:t>
            </w:r>
          </w:p>
          <w:p w:rsidR="00AB298C" w:rsidRPr="00291955" w14:paraId="5DF20B4C" w14:textId="77777777">
            <w:pPr>
              <w:autoSpaceDE w:val="0"/>
              <w:autoSpaceDN w:val="0"/>
              <w:adjustRightInd w:val="0"/>
              <w:rPr>
                <w:color w:val="000000"/>
                <w:sz w:val="20"/>
              </w:rPr>
            </w:pPr>
            <w:r w:rsidRPr="00291955">
              <w:rPr>
                <w:color w:val="000000"/>
                <w:sz w:val="20"/>
              </w:rPr>
              <w:t>7</w:t>
            </w:r>
          </w:p>
          <w:p w:rsidR="00AB298C" w:rsidRPr="00291955" w14:paraId="29A83B1A" w14:textId="77777777">
            <w:pPr>
              <w:autoSpaceDE w:val="0"/>
              <w:autoSpaceDN w:val="0"/>
              <w:adjustRightInd w:val="0"/>
              <w:rPr>
                <w:color w:val="000000"/>
                <w:sz w:val="20"/>
              </w:rPr>
            </w:pPr>
            <w:r w:rsidRPr="00291955">
              <w:rPr>
                <w:color w:val="000000"/>
                <w:sz w:val="20"/>
              </w:rPr>
              <w:t>1</w:t>
            </w:r>
          </w:p>
        </w:tc>
      </w:tr>
    </w:tbl>
    <w:p w:rsidR="00AB298C" w:rsidRPr="00291955" w:rsidP="00AB298C" w14:paraId="57667822" w14:textId="77777777"/>
    <w:bookmarkEnd w:id="3"/>
    <w:p w:rsidR="00AB298C" w:rsidRPr="00291955" w:rsidP="00AB298C" w14:paraId="111B9E33" w14:textId="77777777">
      <w:pPr>
        <w:sectPr w:rsidSect="00AB298C">
          <w:pgSz w:w="11894" w:h="15840"/>
          <w:pgMar w:top="1700" w:right="1417" w:bottom="1417" w:left="1417" w:header="720" w:footer="720" w:gutter="0"/>
          <w:cols w:space="720"/>
          <w:noEndnote/>
          <w:docGrid w:linePitch="326"/>
        </w:sectPr>
      </w:pPr>
    </w:p>
    <w:p w:rsidR="00AB298C" w:rsidRPr="00291955" w:rsidP="00C36610" w14:paraId="6B90C8F1" w14:textId="65D1D3FE">
      <w:pPr>
        <w:pStyle w:val="PageHeadingNotTOC"/>
      </w:pPr>
      <w:bookmarkStart w:id="4" w:name="RollCallPageAD"/>
      <w:r w:rsidRPr="00291955">
        <w:t>VOTACIÓN FINAL NOMINAL</w:t>
      </w:r>
      <w:r w:rsidRPr="00291955" w:rsidR="002917E3">
        <w:t xml:space="preserve"> </w:t>
      </w:r>
      <w:r w:rsidRPr="00291955">
        <w:t>EN LA COMISIÓN COMPETENTE</w:t>
      </w:r>
      <w:r w:rsidRPr="00291955" w:rsidR="002917E3">
        <w:br/>
      </w:r>
      <w:r w:rsidRPr="00291955">
        <w:t>PARA EMITIR LA EVALUACIÓN PRESUPUESTARIA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CCA773A"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291955" w:rsidP="003858C5" w14:paraId="2C79AB28" w14:textId="77777777">
            <w:pPr>
              <w:pStyle w:val="RollCallVotes"/>
            </w:pPr>
            <w:r w:rsidRPr="00291955">
              <w:t>23</w:t>
            </w:r>
          </w:p>
        </w:tc>
        <w:tc>
          <w:tcPr>
            <w:tcW w:w="7371" w:type="dxa"/>
            <w:shd w:val="pct10" w:color="000000" w:fill="FFFFFF"/>
          </w:tcPr>
          <w:p w:rsidR="00AB298C" w:rsidRPr="00291955" w:rsidP="003858C5" w14:paraId="52A7DCB2" w14:textId="77777777">
            <w:pPr>
              <w:pStyle w:val="RollCallSymbols14pt"/>
            </w:pPr>
            <w:r w:rsidRPr="00291955">
              <w:t>+</w:t>
            </w:r>
          </w:p>
        </w:tc>
      </w:tr>
      <w:tr w14:paraId="7BB0FCE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4E4CA863" w14:textId="77777777">
            <w:pPr>
              <w:pStyle w:val="RollCallTable"/>
            </w:pPr>
            <w:r w:rsidRPr="00291955">
              <w:t>ECR</w:t>
            </w:r>
          </w:p>
        </w:tc>
        <w:tc>
          <w:tcPr>
            <w:tcW w:w="7371" w:type="dxa"/>
            <w:shd w:val="clear" w:color="auto" w:fill="FFFFFF"/>
          </w:tcPr>
          <w:p w:rsidR="00AB298C" w:rsidRPr="00291955" w:rsidP="003858C5" w14:paraId="6DE4C045" w14:textId="77777777">
            <w:pPr>
              <w:pStyle w:val="RollCallTable"/>
            </w:pPr>
            <w:r w:rsidRPr="00291955">
              <w:t>Ruggero Razza</w:t>
            </w:r>
          </w:p>
        </w:tc>
      </w:tr>
      <w:tr w14:paraId="6A0A9A5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4FE2B156" w14:textId="77777777">
            <w:pPr>
              <w:pStyle w:val="RollCallTable"/>
            </w:pPr>
            <w:r w:rsidRPr="00291955">
              <w:t>PPE</w:t>
            </w:r>
          </w:p>
        </w:tc>
        <w:tc>
          <w:tcPr>
            <w:tcW w:w="7371" w:type="dxa"/>
            <w:shd w:val="clear" w:color="auto" w:fill="FFFFFF"/>
          </w:tcPr>
          <w:p w:rsidR="00AB298C" w:rsidRPr="00291955" w:rsidP="003858C5" w14:paraId="46BA097B" w14:textId="77777777">
            <w:pPr>
              <w:pStyle w:val="RollCallTable"/>
            </w:pPr>
            <w:r w:rsidRPr="00291955">
              <w:t>Georgios Aftias, Michalis Hadjipantela, Monika Hohlmeier, Kinga Kollár, Janusz Lewandowski, Danuše Nerudová, Jacek Protas, Jüri Ratas, Karlo Ressler, Hélder Sousa Silva</w:t>
            </w:r>
          </w:p>
        </w:tc>
      </w:tr>
      <w:tr w14:paraId="485E41E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33CFA93D" w14:textId="77777777">
            <w:pPr>
              <w:pStyle w:val="RollCallTable"/>
            </w:pPr>
            <w:r w:rsidRPr="00291955">
              <w:t>Renew</w:t>
            </w:r>
          </w:p>
        </w:tc>
        <w:tc>
          <w:tcPr>
            <w:tcW w:w="7371" w:type="dxa"/>
            <w:shd w:val="clear" w:color="auto" w:fill="FFFFFF"/>
          </w:tcPr>
          <w:p w:rsidR="00AB298C" w:rsidRPr="00291955" w:rsidP="003858C5" w14:paraId="409C5463" w14:textId="77777777">
            <w:pPr>
              <w:pStyle w:val="RollCallTable"/>
            </w:pPr>
            <w:r w:rsidRPr="00291955">
              <w:t>Olivier Chastel, Fabienne Keller, Lucia Yar</w:t>
            </w:r>
          </w:p>
        </w:tc>
      </w:tr>
      <w:tr w14:paraId="1F5214B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63129F31" w14:textId="77777777">
            <w:pPr>
              <w:pStyle w:val="RollCallTable"/>
            </w:pPr>
            <w:r w:rsidRPr="00291955">
              <w:t>S&amp;D</w:t>
            </w:r>
          </w:p>
        </w:tc>
        <w:tc>
          <w:tcPr>
            <w:tcW w:w="7371" w:type="dxa"/>
            <w:shd w:val="clear" w:color="auto" w:fill="FFFFFF"/>
          </w:tcPr>
          <w:p w:rsidR="00AB298C" w:rsidRPr="00291955" w:rsidP="003858C5" w14:paraId="5C72130F" w14:textId="77777777">
            <w:pPr>
              <w:pStyle w:val="RollCallTable"/>
            </w:pPr>
            <w:r w:rsidRPr="00291955">
              <w:t>Matthias Ecke, Jean-Marc Germain, Sandra Gómez López, Giuseppe Lupo, Matjaž Nemec, Carla Tavares, Nils Ušakovs</w:t>
            </w:r>
          </w:p>
        </w:tc>
      </w:tr>
      <w:tr w14:paraId="3C60946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2AF2A540" w14:textId="77777777">
            <w:pPr>
              <w:pStyle w:val="RollCallTable"/>
            </w:pPr>
            <w:r w:rsidRPr="00291955">
              <w:t>Verts/ALE</w:t>
            </w:r>
          </w:p>
        </w:tc>
        <w:tc>
          <w:tcPr>
            <w:tcW w:w="7371" w:type="dxa"/>
            <w:shd w:val="clear" w:color="auto" w:fill="FFFFFF"/>
          </w:tcPr>
          <w:p w:rsidR="00AB298C" w:rsidRPr="00291955" w:rsidP="003858C5" w14:paraId="39BA5521" w14:textId="77777777">
            <w:pPr>
              <w:pStyle w:val="RollCallTable"/>
            </w:pPr>
            <w:r w:rsidRPr="00291955">
              <w:t>Ignazio Roberto Marino, Rasmus Nordqvist</w:t>
            </w:r>
          </w:p>
        </w:tc>
      </w:tr>
    </w:tbl>
    <w:p w:rsidR="00AB298C" w:rsidRPr="00291955" w:rsidP="00147FBF" w14:paraId="6029FCD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478717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291955" w:rsidP="003858C5" w14:paraId="45D5EAF9" w14:textId="77777777">
            <w:pPr>
              <w:pStyle w:val="RollCallVotes"/>
            </w:pPr>
            <w:r w:rsidRPr="00291955">
              <w:t>7</w:t>
            </w:r>
          </w:p>
        </w:tc>
        <w:tc>
          <w:tcPr>
            <w:tcW w:w="7371" w:type="dxa"/>
            <w:shd w:val="pct10" w:color="000000" w:fill="FFFFFF"/>
          </w:tcPr>
          <w:p w:rsidR="00AB298C" w:rsidRPr="00291955" w:rsidP="003858C5" w14:paraId="3AA419A4" w14:textId="77777777">
            <w:pPr>
              <w:pStyle w:val="RollCallSymbols14pt"/>
            </w:pPr>
            <w:r w:rsidRPr="00291955">
              <w:t>-</w:t>
            </w:r>
          </w:p>
        </w:tc>
      </w:tr>
      <w:tr w14:paraId="6B3D91D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5BA671C5" w14:textId="77777777">
            <w:pPr>
              <w:pStyle w:val="RollCallTable"/>
            </w:pPr>
            <w:r w:rsidRPr="00291955">
              <w:t>ESN</w:t>
            </w:r>
          </w:p>
        </w:tc>
        <w:tc>
          <w:tcPr>
            <w:tcW w:w="7371" w:type="dxa"/>
            <w:shd w:val="clear" w:color="auto" w:fill="FFFFFF"/>
          </w:tcPr>
          <w:p w:rsidR="00AB298C" w:rsidRPr="00291955" w:rsidP="003858C5" w14:paraId="1B677699" w14:textId="77777777">
            <w:pPr>
              <w:pStyle w:val="RollCallTable"/>
            </w:pPr>
            <w:r w:rsidRPr="00291955">
              <w:t>Alexander Jungbluth</w:t>
            </w:r>
          </w:p>
        </w:tc>
      </w:tr>
      <w:tr w14:paraId="22D6F1A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3411B3A9" w14:textId="77777777">
            <w:pPr>
              <w:pStyle w:val="RollCallTable"/>
            </w:pPr>
            <w:r w:rsidRPr="00291955">
              <w:t>NI</w:t>
            </w:r>
          </w:p>
        </w:tc>
        <w:tc>
          <w:tcPr>
            <w:tcW w:w="7371" w:type="dxa"/>
            <w:shd w:val="clear" w:color="auto" w:fill="FFFFFF"/>
          </w:tcPr>
          <w:p w:rsidR="00AB298C" w:rsidRPr="00291955" w:rsidP="003858C5" w14:paraId="26263549" w14:textId="77777777">
            <w:pPr>
              <w:pStyle w:val="RollCallTable"/>
            </w:pPr>
            <w:r w:rsidRPr="00291955">
              <w:t>Thomas Geisel</w:t>
            </w:r>
          </w:p>
        </w:tc>
      </w:tr>
      <w:tr w14:paraId="46D4DED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2B01A674" w14:textId="77777777">
            <w:pPr>
              <w:pStyle w:val="RollCallTable"/>
            </w:pPr>
            <w:r w:rsidRPr="00291955">
              <w:t>PfE</w:t>
            </w:r>
          </w:p>
        </w:tc>
        <w:tc>
          <w:tcPr>
            <w:tcW w:w="7371" w:type="dxa"/>
            <w:shd w:val="clear" w:color="auto" w:fill="FFFFFF"/>
          </w:tcPr>
          <w:p w:rsidR="00AB298C" w:rsidRPr="00291955" w:rsidP="003858C5" w14:paraId="795B839C" w14:textId="77777777">
            <w:pPr>
              <w:pStyle w:val="RollCallTable"/>
            </w:pPr>
            <w:r w:rsidRPr="00291955">
              <w:t xml:space="preserve">Jaroslav Bžoch, Angéline Furet, </w:t>
            </w:r>
            <w:r w:rsidRPr="00291955">
              <w:t>Jaroslava Pokorná Jermanová, Julien Sanchez, Auke Zijlstra</w:t>
            </w:r>
          </w:p>
        </w:tc>
      </w:tr>
    </w:tbl>
    <w:p w:rsidR="00AB298C" w:rsidRPr="00291955" w:rsidP="00147FBF" w14:paraId="6F760950"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D611F8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291955" w:rsidP="003858C5" w14:paraId="1E504424" w14:textId="77777777">
            <w:pPr>
              <w:pStyle w:val="RollCallVotes"/>
            </w:pPr>
            <w:r w:rsidRPr="00291955">
              <w:t>1</w:t>
            </w:r>
          </w:p>
        </w:tc>
        <w:tc>
          <w:tcPr>
            <w:tcW w:w="7371" w:type="dxa"/>
            <w:shd w:val="pct10" w:color="000000" w:fill="FFFFFF"/>
          </w:tcPr>
          <w:p w:rsidR="00AB298C" w:rsidRPr="00291955" w:rsidP="003858C5" w14:paraId="0852D925" w14:textId="77777777">
            <w:pPr>
              <w:pStyle w:val="RollCallSymbols14pt"/>
            </w:pPr>
            <w:r w:rsidRPr="00291955">
              <w:t>0</w:t>
            </w:r>
          </w:p>
        </w:tc>
      </w:tr>
      <w:tr w14:paraId="3E8AA67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291955" w:rsidP="003858C5" w14:paraId="42037BFF" w14:textId="77777777">
            <w:pPr>
              <w:pStyle w:val="RollCallTable"/>
            </w:pPr>
            <w:r w:rsidRPr="00291955">
              <w:t>Renew</w:t>
            </w:r>
          </w:p>
        </w:tc>
        <w:tc>
          <w:tcPr>
            <w:tcW w:w="7371" w:type="dxa"/>
            <w:shd w:val="clear" w:color="auto" w:fill="FFFFFF"/>
          </w:tcPr>
          <w:p w:rsidR="00AB298C" w:rsidRPr="00291955" w:rsidP="003858C5" w14:paraId="1AB8CC84" w14:textId="77777777">
            <w:pPr>
              <w:pStyle w:val="RollCallTable"/>
            </w:pPr>
            <w:r w:rsidRPr="00291955">
              <w:t>Joachim Streit</w:t>
            </w:r>
          </w:p>
        </w:tc>
      </w:tr>
    </w:tbl>
    <w:p w:rsidR="00AB298C" w:rsidRPr="00291955" w:rsidP="00147FBF" w14:paraId="6821EEA3" w14:textId="77777777">
      <w:pPr>
        <w:pStyle w:val="Normal12a"/>
      </w:pPr>
    </w:p>
    <w:p w:rsidR="00AB298C" w:rsidRPr="00291955" w:rsidP="00B735E3" w14:paraId="78CCCC43" w14:textId="77777777">
      <w:r w:rsidRPr="00291955">
        <w:t>Explicación de los signos utilizados</w:t>
      </w:r>
    </w:p>
    <w:p w:rsidR="00AB298C" w:rsidRPr="00291955" w:rsidP="003858C5" w14:paraId="63C51981" w14:textId="77777777">
      <w:pPr>
        <w:pStyle w:val="RollCallTabs"/>
      </w:pPr>
      <w:r w:rsidRPr="00291955">
        <w:t>+</w:t>
      </w:r>
      <w:r w:rsidRPr="00291955">
        <w:tab/>
        <w:t>:</w:t>
      </w:r>
      <w:r w:rsidRPr="00291955">
        <w:tab/>
        <w:t>a favor</w:t>
      </w:r>
    </w:p>
    <w:p w:rsidR="00AB298C" w:rsidRPr="00291955" w:rsidP="003858C5" w14:paraId="1B704AC0" w14:textId="77777777">
      <w:pPr>
        <w:pStyle w:val="RollCallTabs"/>
      </w:pPr>
      <w:r w:rsidRPr="00291955">
        <w:t>-</w:t>
      </w:r>
      <w:r w:rsidRPr="00291955">
        <w:tab/>
        <w:t>:</w:t>
      </w:r>
      <w:r w:rsidRPr="00291955">
        <w:tab/>
        <w:t>en contra</w:t>
      </w:r>
    </w:p>
    <w:p w:rsidR="00AB298C" w:rsidRPr="00291955" w:rsidP="003858C5" w14:paraId="3DF055E8" w14:textId="77777777">
      <w:pPr>
        <w:pStyle w:val="RollCallTabs"/>
      </w:pPr>
      <w:r w:rsidRPr="00291955">
        <w:t>0</w:t>
      </w:r>
      <w:r w:rsidRPr="00291955">
        <w:tab/>
        <w:t>:</w:t>
      </w:r>
      <w:r w:rsidRPr="00291955">
        <w:tab/>
        <w:t>abstenciones</w:t>
      </w:r>
    </w:p>
    <w:p w:rsidR="00AB298C" w:rsidRPr="00291955" w:rsidP="00207509" w14:paraId="481C7AED" w14:textId="77777777"/>
    <w:bookmarkEnd w:id="4"/>
    <w:p w:rsidR="00AB298C" w:rsidRPr="00291955" w:rsidP="00AB298C" w14:paraId="07A4A12E" w14:textId="77777777"/>
    <w:sectPr w:rsidSect="00AB298C">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955" w:rsidRPr="00291955" w:rsidP="00291955" w14:paraId="187BFF70" w14:textId="77777777">
    <w:pPr>
      <w:pStyle w:val="EPFooter"/>
    </w:pPr>
    <w:r w:rsidRPr="00291955">
      <w:t>PE</w:t>
    </w:r>
    <w:r w:rsidRPr="00291955">
      <w:rPr>
        <w:rStyle w:val="HideTWBExt"/>
      </w:rPr>
      <w:t>&lt;NoPE&gt;</w:t>
    </w:r>
    <w:r w:rsidRPr="00291955">
      <w:t>787.038</w:t>
    </w:r>
    <w:r w:rsidRPr="00291955">
      <w:rPr>
        <w:rStyle w:val="HideTWBExt"/>
      </w:rPr>
      <w:t>&lt;/NoPE&gt;&lt;Version&gt;</w:t>
    </w:r>
    <w:r w:rsidRPr="00291955">
      <w:t>v03-00</w:t>
    </w:r>
    <w:r w:rsidRPr="00291955">
      <w:rPr>
        <w:rStyle w:val="HideTWBExt"/>
      </w:rPr>
      <w:t>&lt;/Version&gt;</w:t>
    </w:r>
    <w:r w:rsidRPr="00291955">
      <w:tab/>
    </w:r>
    <w:r w:rsidRPr="00291955">
      <w:fldChar w:fldCharType="begin"/>
    </w:r>
    <w:r w:rsidRPr="00291955">
      <w:instrText xml:space="preserve"> PAGE  \* MERGEFORMAT </w:instrText>
    </w:r>
    <w:r w:rsidRPr="00291955">
      <w:fldChar w:fldCharType="separate"/>
    </w:r>
    <w:r w:rsidRPr="00291955">
      <w:rPr>
        <w:noProof/>
      </w:rPr>
      <w:t>6</w:t>
    </w:r>
    <w:r w:rsidRPr="00291955">
      <w:fldChar w:fldCharType="end"/>
    </w:r>
    <w:r w:rsidRPr="00291955">
      <w:t>/</w:t>
    </w:r>
    <w:r>
      <w:fldChar w:fldCharType="begin"/>
    </w:r>
    <w:r>
      <w:instrText xml:space="preserve"> NUMPAGES  \* MERGEFORMAT </w:instrText>
    </w:r>
    <w:r>
      <w:fldChar w:fldCharType="separate"/>
    </w:r>
    <w:r w:rsidRPr="00291955">
      <w:rPr>
        <w:noProof/>
      </w:rPr>
      <w:t>18</w:t>
    </w:r>
    <w:r w:rsidRPr="00291955">
      <w:rPr>
        <w:noProof/>
      </w:rPr>
      <w:fldChar w:fldCharType="end"/>
    </w:r>
    <w:r w:rsidRPr="00291955">
      <w:tab/>
    </w:r>
    <w:r w:rsidRPr="00291955">
      <w:rPr>
        <w:rStyle w:val="HideTWBExt"/>
      </w:rPr>
      <w:t>&lt;PathFdR&gt;</w:t>
    </w:r>
    <w:r w:rsidRPr="00291955">
      <w:t>AD\1348641ES.docx</w:t>
    </w:r>
    <w:r w:rsidRPr="00291955">
      <w:rPr>
        <w:rStyle w:val="HideTWBExt"/>
      </w:rPr>
      <w:t>&lt;/PathFdR&gt;</w:t>
    </w:r>
  </w:p>
  <w:p w:rsidR="002E2F2E" w:rsidRPr="00291955" w:rsidP="00291955" w14:paraId="56FAC56A" w14:textId="27C1EC9C">
    <w:pPr>
      <w:pStyle w:val="EPFooter2"/>
    </w:pPr>
    <w:r w:rsidRPr="00291955">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955" w:rsidRPr="00291955" w:rsidP="00291955" w14:paraId="2CFBFB82" w14:textId="77777777">
    <w:pPr>
      <w:pStyle w:val="EPFooter"/>
    </w:pPr>
    <w:r w:rsidRPr="00291955">
      <w:rPr>
        <w:rStyle w:val="HideTWBExt"/>
      </w:rPr>
      <w:t>&lt;PathFdR&gt;</w:t>
    </w:r>
    <w:r w:rsidRPr="00291955">
      <w:t>AD\1348641ES.docx</w:t>
    </w:r>
    <w:r w:rsidRPr="00291955">
      <w:rPr>
        <w:rStyle w:val="HideTWBExt"/>
      </w:rPr>
      <w:t>&lt;/PathFdR&gt;</w:t>
    </w:r>
    <w:r w:rsidRPr="00291955">
      <w:tab/>
    </w:r>
    <w:r w:rsidRPr="00291955">
      <w:fldChar w:fldCharType="begin"/>
    </w:r>
    <w:r w:rsidRPr="00291955">
      <w:instrText xml:space="preserve"> PAGE  \* MERGEFORMAT </w:instrText>
    </w:r>
    <w:r w:rsidRPr="00291955">
      <w:fldChar w:fldCharType="separate"/>
    </w:r>
    <w:r w:rsidRPr="00291955">
      <w:rPr>
        <w:noProof/>
      </w:rPr>
      <w:t>7</w:t>
    </w:r>
    <w:r w:rsidRPr="00291955">
      <w:fldChar w:fldCharType="end"/>
    </w:r>
    <w:r w:rsidRPr="00291955">
      <w:t>/</w:t>
    </w:r>
    <w:r>
      <w:fldChar w:fldCharType="begin"/>
    </w:r>
    <w:r>
      <w:instrText xml:space="preserve"> NUMPAGES  \* MERGEFORMAT </w:instrText>
    </w:r>
    <w:r>
      <w:fldChar w:fldCharType="separate"/>
    </w:r>
    <w:r w:rsidRPr="00291955">
      <w:rPr>
        <w:noProof/>
      </w:rPr>
      <w:t>18</w:t>
    </w:r>
    <w:r w:rsidRPr="00291955">
      <w:rPr>
        <w:noProof/>
      </w:rPr>
      <w:fldChar w:fldCharType="end"/>
    </w:r>
    <w:r w:rsidRPr="00291955">
      <w:tab/>
      <w:t>PE</w:t>
    </w:r>
    <w:r w:rsidRPr="00291955">
      <w:rPr>
        <w:rStyle w:val="HideTWBExt"/>
      </w:rPr>
      <w:t>&lt;NoPE&gt;</w:t>
    </w:r>
    <w:r w:rsidRPr="00291955">
      <w:t>787.038</w:t>
    </w:r>
    <w:r w:rsidRPr="00291955">
      <w:rPr>
        <w:rStyle w:val="HideTWBExt"/>
      </w:rPr>
      <w:t>&lt;/NoPE&gt;&lt;Version&gt;</w:t>
    </w:r>
    <w:r w:rsidRPr="00291955">
      <w:t>v03-00</w:t>
    </w:r>
    <w:r w:rsidRPr="00291955">
      <w:rPr>
        <w:rStyle w:val="HideTWBExt"/>
      </w:rPr>
      <w:t>&lt;/Version&gt;</w:t>
    </w:r>
  </w:p>
  <w:p w:rsidR="002E2F2E" w:rsidRPr="00291955" w:rsidP="00291955" w14:paraId="40F3F397" w14:textId="2D85A491">
    <w:pPr>
      <w:pStyle w:val="EPFooter2"/>
    </w:pPr>
    <w:r w:rsidRPr="00291955">
      <w:tab/>
    </w:r>
    <w:r w:rsidRPr="00291955">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1955" w:rsidRPr="00291955" w:rsidP="00291955" w14:paraId="12CAA0D7" w14:textId="77777777">
    <w:pPr>
      <w:pStyle w:val="EPFooter"/>
    </w:pPr>
    <w:r w:rsidRPr="00291955">
      <w:rPr>
        <w:rStyle w:val="HideTWBExt"/>
      </w:rPr>
      <w:t>&lt;PathFdR&gt;</w:t>
    </w:r>
    <w:r w:rsidRPr="00291955">
      <w:t>AD\1348641ES.docx</w:t>
    </w:r>
    <w:r w:rsidRPr="00291955">
      <w:rPr>
        <w:rStyle w:val="HideTWBExt"/>
      </w:rPr>
      <w:t>&lt;/PathFdR&gt;</w:t>
    </w:r>
    <w:r w:rsidRPr="00291955">
      <w:tab/>
    </w:r>
    <w:r w:rsidRPr="00291955">
      <w:tab/>
      <w:t>PE</w:t>
    </w:r>
    <w:r w:rsidRPr="00291955">
      <w:rPr>
        <w:rStyle w:val="HideTWBExt"/>
      </w:rPr>
      <w:t>&lt;NoPE&gt;</w:t>
    </w:r>
    <w:r w:rsidRPr="00291955">
      <w:t>787.038</w:t>
    </w:r>
    <w:r w:rsidRPr="00291955">
      <w:rPr>
        <w:rStyle w:val="HideTWBExt"/>
      </w:rPr>
      <w:t>&lt;/NoPE&gt;&lt;Version&gt;</w:t>
    </w:r>
    <w:r w:rsidRPr="00291955">
      <w:t>v03-00</w:t>
    </w:r>
    <w:r w:rsidRPr="00291955">
      <w:rPr>
        <w:rStyle w:val="HideTWBExt"/>
      </w:rPr>
      <w:t>&lt;/Version&gt;</w:t>
    </w:r>
  </w:p>
  <w:p w:rsidR="002E2F2E" w:rsidRPr="00291955" w:rsidP="00291955" w14:paraId="3B619D99" w14:textId="03C880CE">
    <w:pPr>
      <w:pStyle w:val="EPFooter2"/>
    </w:pPr>
    <w:r w:rsidRPr="00291955">
      <w:t>ES</w:t>
    </w:r>
    <w:r w:rsidRPr="00291955">
      <w:tab/>
    </w:r>
    <w:r w:rsidRPr="00291955">
      <w:rPr>
        <w:b w:val="0"/>
        <w:i/>
        <w:color w:val="C0C0C0"/>
        <w:sz w:val="22"/>
      </w:rPr>
      <w:t>Unida en la diversidad</w:t>
    </w:r>
    <w:r w:rsidRPr="00291955">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1EAB" w:rsidRPr="00291955" w14:paraId="7CCBC5F1" w14:textId="77777777">
      <w:r w:rsidRPr="00291955">
        <w:separator/>
      </w:r>
    </w:p>
  </w:footnote>
  <w:footnote w:type="continuationSeparator" w:id="1">
    <w:p w:rsidR="002F1EAB" w:rsidRPr="00291955" w14:paraId="2A935855" w14:textId="77777777">
      <w:r w:rsidRPr="00291955">
        <w:continuationSeparator/>
      </w:r>
    </w:p>
  </w:footnote>
  <w:footnote w:id="2">
    <w:p w:rsidR="00996EBB" w:rsidRPr="00291955" w14:paraId="39BC7703" w14:textId="326773D0">
      <w:pPr>
        <w:pStyle w:val="FootnoteText"/>
      </w:pPr>
      <w:r w:rsidRPr="00291955">
        <w:rPr>
          <w:rStyle w:val="FootnoteReference"/>
        </w:rPr>
        <w:footnoteRef/>
      </w:r>
      <w:r w:rsidRPr="00291955">
        <w:t xml:space="preserve"> Reglamento (UE, Euratom) 2024/2509 del Parlamento Europeo y del Consejo, de 23 de septiembre de 2024, sobre las normas financieras aplicables al presupuesto general de la Unión (DO L, 2024/2509, 26.9.2024, ELI: </w:t>
      </w:r>
      <w:hyperlink r:id="rId1" w:history="1">
        <w:r w:rsidRPr="00291955">
          <w:rPr>
            <w:rStyle w:val="Hyperlink"/>
          </w:rPr>
          <w:t>http://data.europa.eu/eli/reg/2024/2509/oj</w:t>
        </w:r>
      </w:hyperlink>
      <w:r w:rsidRPr="00291955">
        <w:t xml:space="preserve">). </w:t>
      </w:r>
    </w:p>
  </w:footnote>
  <w:footnote w:id="3">
    <w:p w:rsidR="00996EBB" w:rsidRPr="00291955" w14:paraId="0E2E74FA" w14:textId="437C9724">
      <w:pPr>
        <w:pStyle w:val="FootnoteText"/>
      </w:pPr>
      <w:r w:rsidRPr="00291955">
        <w:rPr>
          <w:rStyle w:val="FootnoteReference"/>
        </w:rPr>
        <w:footnoteRef/>
      </w:r>
      <w:r w:rsidRPr="00291955">
        <w:t xml:space="preserve"> Directiva 2010/13/UE del Parlamento Europeo y del Consejo, de 10 de marzo de 2010, sobre la coordinación de determinadas disposiciones legales, reglamentarias y administrativas de los Estados miembros relativas a la prestación de servicios de comunicación audiovisual (DO L 95 de 15.4.2010, p. 1, ELI: </w:t>
      </w:r>
      <w:hyperlink r:id="rId2" w:history="1">
        <w:r w:rsidRPr="00291955">
          <w:rPr>
            <w:rStyle w:val="Hyperlink"/>
          </w:rPr>
          <w:t>http://data.europa.eu/eli/dir/2010/13/oj</w:t>
        </w:r>
      </w:hyperlink>
      <w:r w:rsidRPr="00291955">
        <w:t xml:space="preserve">). </w:t>
      </w:r>
    </w:p>
  </w:footnote>
  <w:footnote w:id="4">
    <w:p w:rsidR="008877CB" w:rsidRPr="00291955" w14:paraId="274A47DB" w14:textId="77777777">
      <w:pPr>
        <w:pStyle w:val="FootnoteText"/>
      </w:pPr>
      <w:r w:rsidRPr="00291955">
        <w:rPr>
          <w:rStyle w:val="FootnoteReference"/>
        </w:rPr>
        <w:footnoteRef/>
      </w:r>
      <w:r w:rsidRPr="00291955">
        <w:t xml:space="preserve"> COM(2025)0545.</w:t>
      </w:r>
    </w:p>
  </w:footnote>
  <w:footnote w:id="5">
    <w:p w:rsidR="00996EBB" w:rsidRPr="00291955" w14:paraId="67B35667" w14:textId="47971AF0">
      <w:pPr>
        <w:pStyle w:val="FootnoteText"/>
      </w:pPr>
      <w:r w:rsidRPr="00291955">
        <w:rPr>
          <w:rStyle w:val="FootnoteReference"/>
        </w:rPr>
        <w:footnoteRef/>
      </w:r>
      <w:r w:rsidRPr="00291955">
        <w:t xml:space="preserve"> Reglamento (UE, Euratom) 2020/2092 del Parlamento Europeo y del Consejo, de 16 de diciembre de 2020, sobre un régimen general de condicionalidad para la protección del presupuesto de la Unión (DO L 433 I de 22.12.2020, p. 1, ELI: </w:t>
      </w:r>
      <w:hyperlink r:id="rId3" w:history="1">
        <w:r w:rsidRPr="00291955">
          <w:rPr>
            <w:rStyle w:val="Hyperlink"/>
          </w:rPr>
          <w:t>http://data.europa.eu/eli/reg/2020/2092/oj</w:t>
        </w:r>
      </w:hyperlink>
      <w:r w:rsidRPr="00291955">
        <w:t xml:space="preserve">). </w:t>
      </w:r>
    </w:p>
  </w:footnote>
  <w:footnote w:id="6">
    <w:p w:rsidR="00864AF6" w:rsidRPr="00291955" w14:paraId="66068FF2" w14:textId="6700DA0E">
      <w:pPr>
        <w:pStyle w:val="FootnoteText"/>
      </w:pPr>
      <w:r w:rsidRPr="00291955">
        <w:rPr>
          <w:rStyle w:val="FootnoteReference"/>
        </w:rPr>
        <w:footnoteRef/>
      </w:r>
      <w:r w:rsidRPr="00291955">
        <w:t xml:space="preserve"> Acuerdo Interinstitucional, de 20 de mayo de 2021, entre el Parlamento Europeo, el Consejo de la Unión Europea y la Comisión Europea sobre un Registro de transparencia obligatorio (DO L 207 de 11.6.2021, p. 1, ELI: </w:t>
      </w:r>
      <w:hyperlink r:id="rId4" w:tooltip="http://data.europa.eu/eli/agree_interinstit/2021/611/oj" w:history="1">
        <w:r w:rsidRPr="00291955">
          <w:rPr>
            <w:rStyle w:val="Hyperlink"/>
          </w:rPr>
          <w:t>http://data.europa.eu/eli/agree_interinstit/2021/611/oj</w:t>
        </w:r>
      </w:hyperlink>
      <w:r w:rsidRPr="0029195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11F" w14:paraId="1FC1DCE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11F" w14:paraId="3DDE4B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11F" w14:paraId="74F3D9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8696C71"/>
    <w:multiLevelType w:val="hybridMultilevel"/>
    <w:tmpl w:val="E48ED068"/>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AB"/>
    <w:rsid w:val="00006F54"/>
    <w:rsid w:val="00007C5D"/>
    <w:rsid w:val="00013F29"/>
    <w:rsid w:val="000178E7"/>
    <w:rsid w:val="0003367A"/>
    <w:rsid w:val="000354F6"/>
    <w:rsid w:val="00037518"/>
    <w:rsid w:val="0004424C"/>
    <w:rsid w:val="00071CB7"/>
    <w:rsid w:val="00075948"/>
    <w:rsid w:val="00082375"/>
    <w:rsid w:val="00096BE6"/>
    <w:rsid w:val="000E3DE4"/>
    <w:rsid w:val="000E3FF6"/>
    <w:rsid w:val="000E7EBF"/>
    <w:rsid w:val="00116F33"/>
    <w:rsid w:val="00124F60"/>
    <w:rsid w:val="001336B6"/>
    <w:rsid w:val="00133FB5"/>
    <w:rsid w:val="00135121"/>
    <w:rsid w:val="00140BE6"/>
    <w:rsid w:val="001449F5"/>
    <w:rsid w:val="00147F4E"/>
    <w:rsid w:val="00147FBF"/>
    <w:rsid w:val="001539C0"/>
    <w:rsid w:val="00155C94"/>
    <w:rsid w:val="001650C0"/>
    <w:rsid w:val="0016635E"/>
    <w:rsid w:val="001709A0"/>
    <w:rsid w:val="00173215"/>
    <w:rsid w:val="001746D0"/>
    <w:rsid w:val="00182746"/>
    <w:rsid w:val="00183DAD"/>
    <w:rsid w:val="00184443"/>
    <w:rsid w:val="00185722"/>
    <w:rsid w:val="00187ED3"/>
    <w:rsid w:val="00192D8D"/>
    <w:rsid w:val="001B7393"/>
    <w:rsid w:val="001D2ED9"/>
    <w:rsid w:val="001E42AF"/>
    <w:rsid w:val="001F21C1"/>
    <w:rsid w:val="00203BEF"/>
    <w:rsid w:val="0020594A"/>
    <w:rsid w:val="00207509"/>
    <w:rsid w:val="002107CB"/>
    <w:rsid w:val="00217211"/>
    <w:rsid w:val="00222624"/>
    <w:rsid w:val="00222A38"/>
    <w:rsid w:val="0022554A"/>
    <w:rsid w:val="00243643"/>
    <w:rsid w:val="00247AE6"/>
    <w:rsid w:val="00251B75"/>
    <w:rsid w:val="00257456"/>
    <w:rsid w:val="00265CB5"/>
    <w:rsid w:val="00270E86"/>
    <w:rsid w:val="002915E7"/>
    <w:rsid w:val="002917E3"/>
    <w:rsid w:val="00291955"/>
    <w:rsid w:val="00292801"/>
    <w:rsid w:val="002B2C72"/>
    <w:rsid w:val="002D28A7"/>
    <w:rsid w:val="002E2F2E"/>
    <w:rsid w:val="002E38B0"/>
    <w:rsid w:val="002E4AA3"/>
    <w:rsid w:val="002E6F98"/>
    <w:rsid w:val="002F1EAB"/>
    <w:rsid w:val="002F7BCF"/>
    <w:rsid w:val="00324546"/>
    <w:rsid w:val="00325BCB"/>
    <w:rsid w:val="00331944"/>
    <w:rsid w:val="00332AD9"/>
    <w:rsid w:val="003402B9"/>
    <w:rsid w:val="00347D2C"/>
    <w:rsid w:val="00350410"/>
    <w:rsid w:val="00350F3D"/>
    <w:rsid w:val="00362463"/>
    <w:rsid w:val="003647BD"/>
    <w:rsid w:val="003654AF"/>
    <w:rsid w:val="00367A50"/>
    <w:rsid w:val="0037356F"/>
    <w:rsid w:val="00373857"/>
    <w:rsid w:val="00375670"/>
    <w:rsid w:val="003855AA"/>
    <w:rsid w:val="003858C5"/>
    <w:rsid w:val="00387541"/>
    <w:rsid w:val="00390EB2"/>
    <w:rsid w:val="00391AC1"/>
    <w:rsid w:val="00395F78"/>
    <w:rsid w:val="00396A0E"/>
    <w:rsid w:val="003A6F42"/>
    <w:rsid w:val="003B60FC"/>
    <w:rsid w:val="003B78F0"/>
    <w:rsid w:val="003B7FC6"/>
    <w:rsid w:val="003C08C3"/>
    <w:rsid w:val="003C29C0"/>
    <w:rsid w:val="003E2402"/>
    <w:rsid w:val="003F620A"/>
    <w:rsid w:val="0040369E"/>
    <w:rsid w:val="0041592A"/>
    <w:rsid w:val="004234CA"/>
    <w:rsid w:val="00450A7E"/>
    <w:rsid w:val="004519DE"/>
    <w:rsid w:val="004524F6"/>
    <w:rsid w:val="00457488"/>
    <w:rsid w:val="00460880"/>
    <w:rsid w:val="004667D1"/>
    <w:rsid w:val="00475333"/>
    <w:rsid w:val="00476E25"/>
    <w:rsid w:val="00485C5C"/>
    <w:rsid w:val="004A65BF"/>
    <w:rsid w:val="004C28FB"/>
    <w:rsid w:val="004C3145"/>
    <w:rsid w:val="004C3CF0"/>
    <w:rsid w:val="004C44C0"/>
    <w:rsid w:val="004C5791"/>
    <w:rsid w:val="004D09DE"/>
    <w:rsid w:val="004D1FA8"/>
    <w:rsid w:val="00521B5B"/>
    <w:rsid w:val="0052544E"/>
    <w:rsid w:val="0052626E"/>
    <w:rsid w:val="00530290"/>
    <w:rsid w:val="00537353"/>
    <w:rsid w:val="00555696"/>
    <w:rsid w:val="00566481"/>
    <w:rsid w:val="00567E5C"/>
    <w:rsid w:val="005749BB"/>
    <w:rsid w:val="00580F37"/>
    <w:rsid w:val="00593797"/>
    <w:rsid w:val="005940C3"/>
    <w:rsid w:val="00594C48"/>
    <w:rsid w:val="005B2F11"/>
    <w:rsid w:val="005C0BDF"/>
    <w:rsid w:val="005D01BC"/>
    <w:rsid w:val="005D45E5"/>
    <w:rsid w:val="005D60C6"/>
    <w:rsid w:val="005D6788"/>
    <w:rsid w:val="005D6F9A"/>
    <w:rsid w:val="005E5BBC"/>
    <w:rsid w:val="005E7294"/>
    <w:rsid w:val="005F2CA1"/>
    <w:rsid w:val="006102E7"/>
    <w:rsid w:val="006233B7"/>
    <w:rsid w:val="00624AE1"/>
    <w:rsid w:val="006352A8"/>
    <w:rsid w:val="00640C1B"/>
    <w:rsid w:val="00657AFB"/>
    <w:rsid w:val="00661E03"/>
    <w:rsid w:val="0068168E"/>
    <w:rsid w:val="00692449"/>
    <w:rsid w:val="00697C9F"/>
    <w:rsid w:val="006B7199"/>
    <w:rsid w:val="006C3336"/>
    <w:rsid w:val="006D5BF7"/>
    <w:rsid w:val="006E2DDE"/>
    <w:rsid w:val="006E67D8"/>
    <w:rsid w:val="006F0C7B"/>
    <w:rsid w:val="006F189E"/>
    <w:rsid w:val="006F379B"/>
    <w:rsid w:val="006F54B8"/>
    <w:rsid w:val="00707AC0"/>
    <w:rsid w:val="00721237"/>
    <w:rsid w:val="0072511A"/>
    <w:rsid w:val="007350EA"/>
    <w:rsid w:val="00737F68"/>
    <w:rsid w:val="00740BED"/>
    <w:rsid w:val="00757C4C"/>
    <w:rsid w:val="007638D0"/>
    <w:rsid w:val="0077440C"/>
    <w:rsid w:val="007753D3"/>
    <w:rsid w:val="0079311F"/>
    <w:rsid w:val="00795885"/>
    <w:rsid w:val="007B5CC7"/>
    <w:rsid w:val="007B6357"/>
    <w:rsid w:val="007C598C"/>
    <w:rsid w:val="007D10F5"/>
    <w:rsid w:val="007D5322"/>
    <w:rsid w:val="00806074"/>
    <w:rsid w:val="00825069"/>
    <w:rsid w:val="00825ECA"/>
    <w:rsid w:val="008313E7"/>
    <w:rsid w:val="0084601D"/>
    <w:rsid w:val="00852263"/>
    <w:rsid w:val="00854CAC"/>
    <w:rsid w:val="00864AF6"/>
    <w:rsid w:val="00873BF3"/>
    <w:rsid w:val="00876A88"/>
    <w:rsid w:val="00883B5D"/>
    <w:rsid w:val="00884E6D"/>
    <w:rsid w:val="008877CB"/>
    <w:rsid w:val="008A32C5"/>
    <w:rsid w:val="008A7308"/>
    <w:rsid w:val="008B4A3D"/>
    <w:rsid w:val="008C6203"/>
    <w:rsid w:val="008D61E7"/>
    <w:rsid w:val="008D7A5E"/>
    <w:rsid w:val="008E2BE3"/>
    <w:rsid w:val="008E2C5D"/>
    <w:rsid w:val="008F0606"/>
    <w:rsid w:val="008F33FC"/>
    <w:rsid w:val="008F7002"/>
    <w:rsid w:val="009226B3"/>
    <w:rsid w:val="0093672A"/>
    <w:rsid w:val="009505F8"/>
    <w:rsid w:val="00950C9F"/>
    <w:rsid w:val="009626A8"/>
    <w:rsid w:val="0096746A"/>
    <w:rsid w:val="00972442"/>
    <w:rsid w:val="00992DF1"/>
    <w:rsid w:val="0099493F"/>
    <w:rsid w:val="00996EBB"/>
    <w:rsid w:val="009A3CF4"/>
    <w:rsid w:val="009B135C"/>
    <w:rsid w:val="009D60A5"/>
    <w:rsid w:val="009E1B4E"/>
    <w:rsid w:val="009E3A1C"/>
    <w:rsid w:val="009F4D53"/>
    <w:rsid w:val="00A01EC2"/>
    <w:rsid w:val="00A1158F"/>
    <w:rsid w:val="00A16BEA"/>
    <w:rsid w:val="00A20513"/>
    <w:rsid w:val="00A27801"/>
    <w:rsid w:val="00A312B3"/>
    <w:rsid w:val="00A43A35"/>
    <w:rsid w:val="00A47E2F"/>
    <w:rsid w:val="00A51A8C"/>
    <w:rsid w:val="00A56164"/>
    <w:rsid w:val="00A600AF"/>
    <w:rsid w:val="00A600FA"/>
    <w:rsid w:val="00A72C35"/>
    <w:rsid w:val="00A87D2F"/>
    <w:rsid w:val="00A92590"/>
    <w:rsid w:val="00AA1B26"/>
    <w:rsid w:val="00AA3525"/>
    <w:rsid w:val="00AB298C"/>
    <w:rsid w:val="00AB47EE"/>
    <w:rsid w:val="00AB5733"/>
    <w:rsid w:val="00AB6CBF"/>
    <w:rsid w:val="00AC5AAD"/>
    <w:rsid w:val="00AE180F"/>
    <w:rsid w:val="00AE5581"/>
    <w:rsid w:val="00AE79AF"/>
    <w:rsid w:val="00B108C1"/>
    <w:rsid w:val="00B24D7A"/>
    <w:rsid w:val="00B3084E"/>
    <w:rsid w:val="00B362F7"/>
    <w:rsid w:val="00B43C72"/>
    <w:rsid w:val="00B50F00"/>
    <w:rsid w:val="00B5456B"/>
    <w:rsid w:val="00B5574C"/>
    <w:rsid w:val="00B735E3"/>
    <w:rsid w:val="00B73818"/>
    <w:rsid w:val="00B74B53"/>
    <w:rsid w:val="00B77427"/>
    <w:rsid w:val="00B85DFF"/>
    <w:rsid w:val="00B87BB2"/>
    <w:rsid w:val="00B96E86"/>
    <w:rsid w:val="00B97057"/>
    <w:rsid w:val="00BA053B"/>
    <w:rsid w:val="00BA3446"/>
    <w:rsid w:val="00BA7635"/>
    <w:rsid w:val="00BC26E4"/>
    <w:rsid w:val="00BD1EAA"/>
    <w:rsid w:val="00BE7B62"/>
    <w:rsid w:val="00BF0AFC"/>
    <w:rsid w:val="00BF6786"/>
    <w:rsid w:val="00BF70F2"/>
    <w:rsid w:val="00C025FE"/>
    <w:rsid w:val="00C06A5B"/>
    <w:rsid w:val="00C10A8D"/>
    <w:rsid w:val="00C13EE9"/>
    <w:rsid w:val="00C234F2"/>
    <w:rsid w:val="00C23D90"/>
    <w:rsid w:val="00C3088E"/>
    <w:rsid w:val="00C36610"/>
    <w:rsid w:val="00C379E4"/>
    <w:rsid w:val="00C43792"/>
    <w:rsid w:val="00C45953"/>
    <w:rsid w:val="00C52739"/>
    <w:rsid w:val="00C62AE2"/>
    <w:rsid w:val="00C65E18"/>
    <w:rsid w:val="00C827FF"/>
    <w:rsid w:val="00C8553D"/>
    <w:rsid w:val="00C85D0F"/>
    <w:rsid w:val="00C86950"/>
    <w:rsid w:val="00C93601"/>
    <w:rsid w:val="00CA180E"/>
    <w:rsid w:val="00CC476E"/>
    <w:rsid w:val="00CD34AC"/>
    <w:rsid w:val="00CE0A89"/>
    <w:rsid w:val="00CE347F"/>
    <w:rsid w:val="00CE40C5"/>
    <w:rsid w:val="00CE6558"/>
    <w:rsid w:val="00CE7579"/>
    <w:rsid w:val="00D006EE"/>
    <w:rsid w:val="00D07C5B"/>
    <w:rsid w:val="00D318E7"/>
    <w:rsid w:val="00D34053"/>
    <w:rsid w:val="00D37833"/>
    <w:rsid w:val="00D467BF"/>
    <w:rsid w:val="00D5213C"/>
    <w:rsid w:val="00D7202C"/>
    <w:rsid w:val="00D77A32"/>
    <w:rsid w:val="00D82297"/>
    <w:rsid w:val="00D8432D"/>
    <w:rsid w:val="00DA5A88"/>
    <w:rsid w:val="00DB4824"/>
    <w:rsid w:val="00DC4F54"/>
    <w:rsid w:val="00DC7701"/>
    <w:rsid w:val="00DD2C01"/>
    <w:rsid w:val="00DE19FF"/>
    <w:rsid w:val="00E16BDB"/>
    <w:rsid w:val="00E21739"/>
    <w:rsid w:val="00E23868"/>
    <w:rsid w:val="00E26603"/>
    <w:rsid w:val="00E333F0"/>
    <w:rsid w:val="00E40D29"/>
    <w:rsid w:val="00E42AD1"/>
    <w:rsid w:val="00E43A48"/>
    <w:rsid w:val="00E55261"/>
    <w:rsid w:val="00E62196"/>
    <w:rsid w:val="00E71BC4"/>
    <w:rsid w:val="00E81BA6"/>
    <w:rsid w:val="00E856D2"/>
    <w:rsid w:val="00E929A7"/>
    <w:rsid w:val="00E93E66"/>
    <w:rsid w:val="00E95430"/>
    <w:rsid w:val="00EA35B2"/>
    <w:rsid w:val="00EA6DE0"/>
    <w:rsid w:val="00EA7ACA"/>
    <w:rsid w:val="00EA7F20"/>
    <w:rsid w:val="00EB114A"/>
    <w:rsid w:val="00EB761F"/>
    <w:rsid w:val="00ED74AF"/>
    <w:rsid w:val="00EE2AC2"/>
    <w:rsid w:val="00EF7C6C"/>
    <w:rsid w:val="00F06E70"/>
    <w:rsid w:val="00F13A32"/>
    <w:rsid w:val="00F14A2D"/>
    <w:rsid w:val="00F33D44"/>
    <w:rsid w:val="00F40D6E"/>
    <w:rsid w:val="00F63FE4"/>
    <w:rsid w:val="00F70637"/>
    <w:rsid w:val="00F9166E"/>
    <w:rsid w:val="00F94599"/>
    <w:rsid w:val="00FC228C"/>
    <w:rsid w:val="00FC42F1"/>
    <w:rsid w:val="00FC6460"/>
    <w:rsid w:val="00FC7B08"/>
    <w:rsid w:val="00FD0D14"/>
    <w:rsid w:val="00FD4BC4"/>
    <w:rsid w:val="00FE24DE"/>
    <w:rsid w:val="00FF4B50"/>
  </w:rsids>
  <w:docVars>
    <w:docVar w:name="AMACTMNU" w:val=" 2"/>
    <w:docVar w:name="AMPLURMNU" w:val=" 1"/>
    <w:docVar w:name="AUTHORMFMNU" w:val=" 2"/>
    <w:docVar w:name="CJMNU" w:val="2"/>
    <w:docVar w:name="CODEMNU" w:val=" 3"/>
    <w:docVar w:name="COM2KEY" w:val="CJ65"/>
    <w:docVar w:name="COMKEY" w:val="BUDG"/>
    <w:docVar w:name="CONTRIBUTIONMNU" w:val=" 2"/>
    <w:docVar w:name="CopyToNetwork" w:val="-1"/>
    <w:docVar w:name="CVar" w:val="3"/>
    <w:docVar w:name="DOCDT" w:val="15/04/2026"/>
    <w:docVar w:name="DOCMNU" w:val=" 1"/>
    <w:docVar w:name="FONCTIONMNU" w:val=" 1"/>
    <w:docVar w:name="iNoAmend" w:val="5"/>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010838 HideTWBExt;}{\*\cs18 \additive \v\f1\fs20\cf15 &#13;_x000a_\spriority0 \styrsid9010838 HideTWBInt;}{\s19\ql \li0\ri0\nowidctlpar\wrapdefault\aspalpha\aspnum\faauto\adjustright\rin0\lin0\itap0 \rtlch\fcs1 \af0\afs20\alang1025 \ltrch\fcs0 \b\fs24\lang2057\langfe2057\cgrid\langnp2057\langfenp2057 &#13;_x000a_\sbasedon0 \snext19 \spriority0 \styrsid9010838 NormalBold;}{\s20\ql \li0\ri0\sa120\nowidctlpar\wrapdefault\aspalpha\aspnum\faauto\adjustright\rin0\lin0\itap0 \rtlch\fcs1 \af0\afs20\alang1025 \ltrch\fcs0 &#13;_x000a_\fs24\lang2057\langfe2057\cgrid\langnp2057\langfenp2057 \sbasedon0 \snext20 \spriority0 \styrsid9010838 Normal6a;}{\s21\qc \li0\ri0\sa240\nowidctlpar\wrapdefault\aspalpha\aspnum\faauto\adjustright\rin0\lin0\itap0 \rtlch\fcs1 \af0\afs20\alang1025 &#13;_x000a_\ltrch\fcs0 \i\fs24\lang2057\langfe2057\cgrid\langnp2057\langfenp2057 \sbasedon0 \snext21 \spriority0 \styrsid9010838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9010838 AmNumberTabs;}{\s23\ql \li0\ri0\sa240\nowidctlpar\wrapdefault\aspalpha\aspnum\faauto\adjustright\rin0\lin0\itap0 \rtlch\fcs1 &#13;_x000a_\af0\afs20\alang1025 \ltrch\fcs0 \i\fs24\lang2057\langfe2057\cgrid\langnp2057\langfenp2057 \sbasedon0 \snext23 \spriority0 \styrsid9010838 AmJustText;}{&#13;_x000a_\s24\qc \li0\ri0\sb240\sa240\nowidctlpar\wrapdefault\aspalpha\aspnum\faauto\adjustright\rin0\lin0\itap0 \rtlch\fcs1 \af0\afs20\alang1025 \ltrch\fcs0 \i\fs24\lang2057\langfe2057\cgrid\langnp2057\langfenp2057 \sbasedon0 \snext24 \spriority0 \styrsid9010838 &#13;_x000a_AmCrossRef;}{\s25\qc \li0\ri0\sb240\sa240\keepn\nowidctlpar\wrapdefault\aspalpha\aspnum\faauto\adjustright\rin0\lin0\itap0 \rtlch\fcs1 \af0\afs20\alang1025 \ltrch\fcs0 \i\fs24\lang2057\langfe2057\cgrid\langnp2057\langfenp2057 &#13;_x000a_\sbasedon0 \snext23 \spriority0 \styrsid9010838 AmJustTitle;}{\s26\ql \li0\ri0\sb240\nowidctlpar\wrapdefault\aspalpha\aspnum\faauto\adjustright\rin0\lin0\itap0 \rtlch\fcs1 \af0\afs20\alang1025 \ltrch\fcs0 &#13;_x000a_\b\fs24\lang2057\langfe2057\cgrid\langnp2057\langfenp2057 \sbasedon0 \snext26 \spriority0 \styrsid9010838 NormalBold12b;}}{\*\rsidtbl \rsid24658\rsid223860\rsid735077\rsid1007922\rsid1718133\rsid2892074\rsid3565327\rsid4666813\rsid6641733\rsid7823322&#13;_x000a_\rsid9010838\rsid9636012\rsid10377208\rsid11215221\rsid11225070\rsid11549030\rsid12154954\rsid14382809\rsid14424199\rsid15204470\rsid15285974\rsid15950462\rsid16324206\rsid16662270}{\mmathPr\mmathFont34\mbrkBin0\mbrkBinSub0\msmallFrac0\mdispDef1\mlMargin0&#13;_x000a_\mrMargin0\mdefJc1\mwrapIndent1440\mintLim0\mnaryLim1}{\info{\author ATES Devrim}{\operator ATES Devrim}{\creatim\yr2026\mo7\dy6\hr11\min40}{\revtim\yr2026\mo7\dy6\hr11\min40}{\version1}{\edmins0}{\nofpages1}{\nofwords103}{\nofchars598}{\nofcharsws696}&#13;_x000a_{\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010838\newtblstyruls\nogrowautofit\usenormstyforlist\noindnmbrts\felnbrelev\nocxsptable\indrlsweleven\noafcnsttbl\afelev\utinl\hwelev\spltpgpar\notcvasp\notbrkcnstfrctbl\notvatxbx\krnprsnet\cachedcolbal &#13;_x000a_\nouicompat \fet0{\*\wgrffmtfilter 013f}\nofeaturethrottle1\ilfomacatclnup0{\*\template C:\\Users\\dates\\AppData\\Local\\Temp\\Blank1.dotx}{\*\ftnsep \ltrpar \pard\plain \ltrpar&#13;_x000a_\ql \li0\ri0\widctlpar\wrapdefault\aspalpha\aspnum\faauto\adjustright\rin0\lin0\itap0 \rtlch\fcs1 \af0\afs20\alang1025 \ltrch\fcs0 \fs24\lang2057\langfe2057\cgrid\langnp2057\langfenp2057 {\rtlch\fcs1 \af0 \ltrch\fcs0 \insrsid1007922 \chftnsep &#13;_x000a_\par }}{\*\ftnsepc \ltrpar \pard\plain \ltrpar\ql \li0\ri0\widctlpar\wrapdefault\aspalpha\aspnum\faauto\adjustright\rin0\lin0\itap0 \rtlch\fcs1 \af0\afs20\alang1025 \ltrch\fcs0 \fs24\lang2057\langfe2057\cgrid\langnp2057\langfenp2057 {\rtlch\fcs1 \af0 &#13;_x000a_\ltrch\fcs0 \insrsid1007922 \chftnsepc &#13;_x000a_\par }}{\*\aftnsep \ltrpar \pard\plain \ltrpar\ql \li0\ri0\widctlpar\wrapdefault\aspalpha\aspnum\faauto\adjustright\rin0\lin0\itap0 \rtlch\fcs1 \af0\afs20\alang1025 \ltrch\fcs0 \fs24\lang2057\langfe2057\cgrid\langnp2057\langfenp2057 {\rtlch\fcs1 \af0 &#13;_x000a_\ltrch\fcs0 \insrsid1007922 \chftnsep &#13;_x000a_\par }}{\*\aftnsepc \ltrpar \pard\plain \ltrpar\ql \li0\ri0\widctlpar\wrapdefault\aspalpha\aspnum\faauto\adjustright\rin0\lin0\itap0 \rtlch\fcs1 \af0\afs20\alang1025 \ltrch\fcs0 \fs24\lang2057\langfe2057\cgrid\langnp2057\langfenp2057 {\rtlch\fcs1 \af0 &#13;_x000a_\ltrch\fcs0 \insrsid10079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5363552 \rtlch\fcs1 &#13;_x000a_\af0\afs20\alang1025 \ltrch\fcs0 \b\fs24\lang2057\langfe2057\cgrid\langnp2057\langfenp2057 {\rtlch\fcs1 \af0 \ltrch\fcs0 \cs17\b0\v\fs20\cf9\lang1024\langfe1024\loch\af1\hich\af1\dbch\af31501\noproof\insrsid9010838\charrsid8798805 {\*\bkmkstart restart}&#13;_x000a_\hich\af1\dbch\af31501\loch\f1 &lt;Amend&gt;}{\rtlch\fcs1 \af0 \ltrch\fcs0 \insrsid9010838\charrsid8798805 Amendment\tab \tab }{\rtlch\fcs1 \af0 \ltrch\fcs0 &#13;_x000a_\cs17\b0\v\fs20\cf9\lang1024\langfe1024\loch\af1\hich\af1\dbch\af31501\noproof\insrsid9010838\charrsid8798805 \hich\af1\dbch\af31501\loch\f1 &lt;NumAm&gt;}{\rtlch\fcs1 \af0 \ltrch\fcs0 \insrsid9010838\charrsid8798805 #}{\rtlch\fcs1 \af0 \ltrch\fcs0 &#13;_x000a_\cs18\v\f1\fs20\cf15\insrsid9010838\charrsid8798805 ENMIENDA@NRAM@}{\rtlch\fcs1 \af0 \ltrch\fcs0 \insrsid9010838\charrsid8798805 #}{\rtlch\fcs1 \af0 \ltrch\fcs0 &#13;_x000a_\cs17\b0\v\fs20\cf9\lang1024\langfe1024\loch\af1\hich\af1\dbch\af31501\noproof\insrsid9010838\charrsid8798805 \hich\af1\dbch\af31501\loch\f1 &lt;/NumAm&gt;}{\rtlch\fcs1 \af0 \ltrch\fcs0 \insrsid9010838\charrsid8798805 &#13;_x000a_\par }\pard\plain \ltrpar\s26\ql \li0\ri0\sb240\keepn\nowidctlpar\wrapdefault\aspalpha\aspnum\faauto\adjustright\rin0\lin0\itap0\pararsid15363552 \rtlch\fcs1 \af0\afs20\alang1025 \ltrch\fcs0 \b\fs24\lang2057\langfe2057\cgrid\langnp2057\langfenp2057 {&#13;_x000a_\rtlch\fcs1 \af0 \ltrch\fcs0 \cs17\b0\v\fs20\cf9\lang1024\langfe1024\loch\af1\hich\af1\dbch\af31501\noproof\insrsid9010838\charrsid8798805 \hich\af1\dbch\af31501\loch\f1 &lt;DocAmend&gt;}{\rtlch\fcs1 \af0 \ltrch\fcs0 \insrsid9010838\charrsid8798805 #}{&#13;_x000a_\rtlch\fcs1 \af0 \ltrch\fcs0 \cs18\v\f1\fs20\cf15\insrsid9010838\charrsid8798805 MNU[PROPCOM][PROPCOUNC]@CHOICE@TITLEMNU}{\rtlch\fcs1 \af0 \ltrch\fcs0 \insrsid9010838\charrsid8798805 ##}{\rtlch\fcs1 \af0 \ltrch\fcs0 &#13;_x000a_\cs18\v\f1\fs20\cf15\insrsid9010838\charrsid8798805 MNU[AMACTYES][NOTAPP]@CHOICE@AMACTMNU}{\rtlch\fcs1 \af0 \ltrch\fcs0 \insrsid9010838\charrsid8798805 #}{\rtlch\fcs1 \af0 \ltrch\fcs0 &#13;_x000a_\cs17\b0\v\fs20\cf9\lang1024\langfe1024\loch\af1\hich\af1\dbch\af31501\noproof\insrsid9010838\charrsid8798805 \hich\af1\dbch\af31501\loch\f1 &lt;/DocAmend&gt;}{\rtlch\fcs1 \af0 \ltrch\fcs0 \insrsid9010838\charrsid8798805 &#13;_x000a_\par }\pard\plain \ltrpar\s19\ql \li0\ri0\nowidctlpar\wrapdefault\aspalpha\aspnum\faauto\adjustright\rin0\lin0\itap0\pararsid15363552 \rtlch\fcs1 \af0\afs20\alang1025 \ltrch\fcs0 \b\fs24\lang2057\langfe2057\cgrid\langnp2057\langfenp2057 {\rtlch\fcs1 \af0 &#13;_x000a_\ltrch\fcs0 \cs17\b0\v\fs20\cf9\lang1024\langfe1024\loch\af1\hich\af1\dbch\af31501\noproof\insrsid9010838\charrsid8798805 \hich\af1\dbch\af31501\loch\f1 &lt;Article&gt;}{\rtlch\fcs1 \af0 \ltrch\fcs0 \insrsid9010838\charrsid8798805 #}{\rtlch\fcs1 \af0 &#13;_x000a_\ltrch\fcs0 \cs18\v\f1\fs20\cf15\insrsid9010838\charrsid8798805 MNU[AMACTPARTYES][AMACTPARTNO]@CHOICE@AMACTMNU}{\rtlch\fcs1 \af0 \ltrch\fcs0 \insrsid9010838\charrsid8798805 #}{\rtlch\fcs1 \af0 \ltrch\fcs0 &#13;_x000a_\cs17\b0\v\fs20\cf9\lang1024\langfe1024\loch\af1\hich\af1\dbch\af31501\noproof\insrsid9010838\charrsid8798805 \hich\af1\dbch\af31501\loch\f1 &lt;/Article&gt;}{\rtlch\fcs1 \af0 \ltrch\fcs0 \insrsid9010838\charrsid8798805 &#13;_x000a_\par }\pard\plain \ltrpar\ql \li0\ri0\keepn\widctlpar\wrapdefault\aspalpha\aspnum\faauto\adjustright\rin0\lin0\itap0\pararsid15363552 \rtlch\fcs1 \af0\afs20\alang1025 \ltrch\fcs0 \fs24\lang2057\langfe2057\cgrid\langnp2057\langfenp2057 {\rtlch\fcs1 \af0 &#13;_x000a_\ltrch\fcs0 \cs17\v\fs20\cf9\lang1024\langfe1024\loch\af1\hich\af1\dbch\af31501\noproof\insrsid9010838\charrsid8798805 \hich\af1\dbch\af31501\loch\f1 &lt;DocAmend2&gt;&lt;OptDel&gt;}{\rtlch\fcs1 \af0 \ltrch\fcs0 \insrsid9010838\charrsid8798805 #}{\rtlch\fcs1 \af0 &#13;_x000a_\ltrch\fcs0 \cs18\v\f1\fs20\cf15\insrsid9010838\charrsid8798805 MNU[OPTNRACTYES][NOTAPP]@CHOICE@AMACTMNU}{\rtlch\fcs1 \af0 \ltrch\fcs0 \insrsid9010838\charrsid8798805 #}{\rtlch\fcs1 \af0 \ltrch\fcs0 &#13;_x000a_\cs17\v\fs20\cf9\lang1024\langfe1024\loch\af1\hich\af1\dbch\af31501\noproof\insrsid9010838\charrsid8798805 \hich\af1\dbch\af31501\loch\f1 &lt;/OptDel&gt;&lt;/DocAmend2&gt;}{\rtlch\fcs1 \af0 \ltrch\fcs0 \insrsid9010838\charrsid8798805 &#13;_x000a_\par }\pard \ltrpar\ql \li0\ri0\widctlpar\wrapdefault\aspalpha\aspnum\faauto\adjustright\rin0\lin0\itap0\pararsid15363552 {\rtlch\fcs1 \af0 \ltrch\fcs0 \cs17\v\fs20\cf9\lang1024\langfe1024\loch\af1\hich\af1\dbch\af31501\noproof\insrsid9010838\charrsid8798805 &#13;_x000a_\hich\af1\dbch\af31501\loch\f1 &lt;Article2&gt;&lt;OptDel&gt;}{\rtlch\fcs1 \af0 \ltrch\fcs0 \insrsid9010838\charrsid8798805 #}{\rtlch\fcs1 \af0 \ltrch\fcs0 \cs18\v\f1\fs20\cf15\insrsid9010838\charrsid8798805 MNU[OPTACTPARTYES][NOTAPP]@CHOICE@AMACTMNU}{\rtlch\fcs1 &#13;_x000a_\af0 \ltrch\fcs0 \insrsid9010838\charrsid8798805 #}{\rtlch\fcs1 \af0 \ltrch\fcs0 \cs17\v\fs20\cf9\lang1024\langfe1024\loch\af1\hich\af1\dbch\af31501\noproof\insrsid9010838\charrsid8798805 \hich\af1\dbch\af31501\loch\f1 &lt;/OptDel&gt;&lt;/Article2&gt;}{\rtlch\fcs1 &#13;_x000a_\af0 \ltrch\fcs0 \insrsid9010838\charrsid8798805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9010838\charrsid8798805 \cell }\pard \ltrpar\ql \li0\ri0\widctlpar\intbl\wrapdefault\aspalpha\aspnum\faauto\adjustright\rin0\lin0 {\rtlch\fcs1 \af0 \ltrch\fcs0 \insrsid9010838\charrsid879880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9010838\charrsid8798805 #}{\rtlch\fcs1 \af0 \ltrch\fcs0 \cs18\v\f1\fs20\cf15\insrsid9010838\charrsid8798805 MNU[OPTLEFTAMACT][LEFTPROP]@CHOICE@AMACTMNU}{\rtlch\fcs1 \af0 \ltrch\fcs0 \insrsid9010838\charrsid8798805 #&#13;_x000a_\cell Amendment\cell }\pard\plain \ltrpar\ql \li0\ri0\widctlpar\intbl\wrapdefault\aspalpha\aspnum\faauto\adjustright\rin0\lin0 \rtlch\fcs1 \af0\afs20\alang1025 \ltrch\fcs0 \fs24\lang2057\langfe2057\cgrid\langnp2057\langfenp2057 {\rtlch\fcs1 \af0 &#13;_x000a_\ltrch\fcs0 \insrsid9010838\charrsid8798805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9010838\charrsid8798805 #}{\rtlch\fcs1 \af0 \ltrch\fcs0 \cs18\v\f1\fs20\cf15\insrsid9010838\charrsid8798805 MNU[TEXTLEVA][TEXTLOTHER]@CHOICE@TEXTRMNU&#13;_x000a_}{\rtlch\fcs1 \af0 \ltrch\fcs0 \insrsid9010838\charrsid8798805 #\cell #}{\rtlch\fcs1 \af0 \ltrch\fcs0 \cs18\v\f1\fs20\cf15\insrsid9010838\charrsid8798805 MNU[TEXTREVA][TEXTROTHER]@CHOICE@TEXTRMNU}{\rtlch\fcs1 \af0 \ltrch\fcs0 &#13;_x000a_\insrsid9010838\charrsid8798805 #\cell }\pard\plain \ltrpar\ql \li0\ri0\widctlpar\intbl\wrapdefault\aspalpha\aspnum\faauto\adjustright\rin0\lin0 \rtlch\fcs1 \af0\afs20\alang1025 \ltrch\fcs0 \fs24\lang2057\langfe2057\cgrid\langnp2057\langfenp2057 {&#13;_x000a_\rtlch\fcs1 \af0 \ltrch\fcs0 \insrsid9010838\charrsid8798805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15363552 \rtlch\fcs1 \af0\afs20\alang1025 \ltrch\fcs0 \i\fs24\lang2057\langfe2057\cgrid\langnp2057\langfenp2057 {&#13;_x000a_\rtlch\fcs1 \af0 \ltrch\fcs0 \cs17\i0\v\fs20\cf9\lang1024\langfe1024\loch\af1\hich\af1\dbch\af31501\noproof\insrsid9010838\charrsid8798805 \hich\af1\dbch\af31501\loch\f1 &lt;OptDel&gt;}{\rtlch\fcs1 \af0 \ltrch\fcs0 \insrsid9010838\charrsid8798805 #}{&#13;_x000a_\rtlch\fcs1 \af0 \ltrch\fcs0 \cs18\v\f1\fs20\cf15\insrsid9010838\charrsid8798805 MNU[CROSSREFNO][CROSSREFYES]@CHOICE@}{\rtlch\fcs1 \af0 \ltrch\fcs0 \insrsid9010838\charrsid8798805 #}{\rtlch\fcs1 \af0 \ltrch\fcs0 &#13;_x000a_\cs17\i0\v\fs20\cf9\lang1024\langfe1024\loch\af1\hich\af1\dbch\af31501\noproof\insrsid9010838\charrsid8798805 \hich\af1\dbch\af31501\loch\f1 &lt;/OptDel&gt;}{\rtlch\fcs1 \af0 \ltrch\fcs0 \insrsid9010838\charrsid8798805 &#13;_x000a_\par }\pard\plain \ltrpar\s25\qc \li0\ri0\sb240\sa240\keepn\nowidctlpar\wrapdefault\aspalpha\aspnum\faauto\adjustright\rin0\lin0\itap0\pararsid15363552 \rtlch\fcs1 \af0\afs20\alang1025 \ltrch\fcs0 \i\fs24\lang2057\langfe2057\cgrid\langnp2057\langfenp2057 {&#13;_x000a_\rtlch\fcs1 \af0 \ltrch\fcs0 \cs17\i0\v\fs20\cf9\lang1024\langfe1024\loch\af1\hich\af1\dbch\af31501\noproof\insrsid9010838\charrsid8798805 \hich\af1\dbch\af31501\loch\f1 &lt;TitreJust&gt;}{\rtlch\fcs1 \af0 \ltrch\fcs0 \insrsid9010838\charrsid8798805 &#13;_x000a_Justification}{\rtlch\fcs1 \af0 \ltrch\fcs0 \cs17\i0\v\fs20\cf9\lang1024\langfe1024\loch\af1\hich\af1\dbch\af31501\noproof\insrsid9010838\charrsid8798805 \hich\af1\dbch\af31501\loch\f1 &lt;/TitreJust&gt;}{\rtlch\fcs1 \af0 \ltrch\fcs0 &#13;_x000a_\insrsid9010838\charrsid8798805 &#13;_x000a_\par }\pard\plain \ltrpar\s23\ql \li0\ri0\sa240\nowidctlpar\wrapdefault\aspalpha\aspnum\faauto\adjustright\rin0\lin0\itap0\pararsid15363552 \rtlch\fcs1 \af0\afs20\alang1025 \ltrch\fcs0 \i\fs24\lang2057\langfe2057\cgrid\langnp2057\langfenp2057 {\rtlch\fcs1 &#13;_x000a_\af0 \ltrch\fcs0 \cs17\i0\v\fs20\cf9\lang1024\langfe1024\loch\af1\hich\af1\dbch\af31501\noproof\insrsid9010838\charrsid8798805 \hich\af1\dbch\af31501\loch\f1 &lt;OptDelPrev&gt;}{\rtlch\fcs1 \af0 \ltrch\fcs0 \insrsid9010838\charrsid8798805 #}{\rtlch\fcs1 \af0 &#13;_x000a_\ltrch\fcs0 \cs18\v\f1\fs20\cf15\insrsid9010838\charrsid8798805 MNU[TEXTJUSTYES][TEXTJUSTNO]@CHOICE@}{\rtlch\fcs1 \af0 \ltrch\fcs0 \insrsid9010838\charrsid8798805 #}{\rtlch\fcs1 \af0 \ltrch\fcs0 &#13;_x000a_\cs17\i0\v\fs20\cf9\lang1024\langfe1024\loch\af1\hich\af1\dbch\af31501\noproof\insrsid9010838\charrsid8798805 \hich\af1\dbch\af31501\loch\f1 &lt;/OptDelPrev&gt;}{\rtlch\fcs1 \af0 \ltrch\fcs0 \insrsid9010838\charrsid8798805 &#13;_x000a_\par }\pard\plain \ltrpar\ql \li0\ri0\widctlpar\wrapdefault\aspalpha\aspnum\faauto\adjustright\rin0\lin0\itap0\pararsid15363552 \rtlch\fcs1 \af0\afs20\alang1025 \ltrch\fcs0 \fs24\lang2057\langfe2057\cgrid\langnp2057\langfenp2057 {\rtlch\fcs1 \af0 \ltrch\fcs0 &#13;_x000a_\cs17\v\fs20\cf9\lang1024\langfe1024\loch\af1\hich\af1\dbch\af31501\noproof\insrsid9010838\charrsid8798805 \hich\af1\dbch\af31501\loch\f1 &lt;/Amend&gt;}{\rtlch\fcs1 \af0 \ltrch\fcs0 \insrsid901083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56&#13;_x000a_7f742b0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2\fbidi \froman\fcharset238\fprq2 Times New Roman CE;}{\f53\fbidi \froman\fcharset204\fprq2 Times New Roman Cyr;}&#13;_x000a_{\f55\fbidi \froman\fcharset161\fprq2 Times New Roman Greek;}{\f56\fbidi \froman\fcharset162\fprq2 Times New Roman Tur;}{\f57\fbidi \froman\fcharset177\fprq2 Times New Roman (Hebrew);}{\f58\fbidi \froman\fcharset178\fprq2 Times New Roman (Arabic);}&#13;_x000a_{\f59\fbidi \froman\fcharset186\fprq2 Times New Roman Baltic;}{\f60\fbidi \froman\fcharset163\fprq2 Times New Roman (Vietnamese);}{\f62\fbidi \fswiss\fcharset238\fprq2 Arial CE;}{\f63\fbidi \fswiss\fcharset204\fprq2 Arial Cyr;}&#13;_x000a_{\f65\fbidi \fswiss\fcharset161\fprq2 Arial Greek;}{\f66\fbidi \fswiss\fcharset162\fprq2 Arial Tur;}{\f67\fbidi \fswiss\fcharset177\fprq2 Arial (Hebrew);}{\f68\fbidi \fswiss\fcharset178\fprq2 Arial (Arabic);}&#13;_x000a_{\f69\fbidi \fswiss\fcharset186\fprq2 Arial Baltic;}{\f70\fbidi \fswiss\fcharset163\fprq2 Arial (Vietnamese);}{\f392\fbidi \froman\fcharset238\fprq2 Cambria Math CE;}{\f393\fbidi \froman\fcharset204\fprq2 Cambria Math Cyr;}&#13;_x000a_{\f395\fbidi \froman\fcharset161\fprq2 Cambria Math Greek;}{\f396\fbidi \froman\fcharset162\fprq2 Cambria Math Tur;}{\f399\fbidi \froman\fcharset186\fprq2 Cambria Math Baltic;}{\f400\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285722 HideTWBExt;}{&#13;_x000a_\s18\ql \li0\ri0\nowidctlpar\wrapdefault\aspalpha\aspnum\faauto\adjustright\rin0\lin0\itap0 \rtlch\fcs1 \af0\afs20\alang1025 \ltrch\fcs0 \b\fs24\lang2057\langfe2057\cgrid\langnp2057\langfenp2057 \sbasedon0 \snext18 \spriority0 \styrsid11285722 &#13;_x000a_NormalBold;}{\s19\ql \li0\ri0\sa120\nowidctlpar\wrapdefault\aspalpha\aspnum\faauto\adjustright\rin0\lin0\itap0 \rtlch\fcs1 \af0\afs20\alang1025 \ltrch\fcs0 \fs24\lang2057\langfe2057\cgrid\langnp2057\langfenp2057 &#13;_x000a_\sbasedon0 \snext19 \spriority0 \styrsid11285722 Normal6a;}{\s20\qc \li0\ri0\sa240\nowidctlpar\wrapdefault\aspalpha\aspnum\faauto\adjustright\rin0\lin0\itap0 \rtlch\fcs1 \af0\afs20\alang1025 \ltrch\fcs0 &#13;_x000a_\i\fs24\lang2057\langfe2057\cgrid\langnp2057\langfenp2057 \sbasedon0 \snext20 \spriority0 \styrsid1128572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1285722 AmNumberTabs;}{\s22\ql \li0\ri0\sa240\nowidctlpar\wrapdefault\aspalpha\aspnum\faauto\adjustright\rin0\lin0\itap0 \rtlch\fcs1 &#13;_x000a_\af0\afs20\alang1025 \ltrch\fcs0 \i\fs24\lang2057\langfe2057\cgrid\langnp2057\langfenp2057 \sbasedon0 \snext22 \spriority0 \styrsid11285722 AmJustText;}{&#13;_x000a_\s23\qc \li0\ri0\sb240\sa240\nowidctlpar\wrapdefault\aspalpha\aspnum\faauto\adjustright\rin0\lin0\itap0 \rtlch\fcs1 \af0\afs20\alang1025 \ltrch\fcs0 \i\fs24\lang2057\langfe2057\cgrid\langnp2057\langfenp2057 &#13;_x000a_\sbasedon0 \snext23 \spriority0 \styrsid11285722 AmCrossRef;}{\s24\qc \li0\ri0\sb240\sa240\keepn\nowidctlpar\wrapdefault\aspalpha\aspnum\faauto\adjustright\rin0\lin0\itap0 \rtlch\fcs1 \af0\afs20\alang1025 \ltrch\fcs0 &#13;_x000a_\i\fs24\lang2057\langfe2057\cgrid\langnp2057\langfenp2057 \sbasedon0 \snext22 \spriority0 \styrsid11285722 AmJustTitle;}{\s25\ql \li0\ri0\sb240\nowidctlpar\wrapdefault\aspalpha\aspnum\faauto\adjustright\rin0\lin0\itap0 \rtlch\fcs1 \af0\afs20\alang1025 &#13;_x000a_\ltrch\fcs0 \b\fs24\lang2057\langfe2057\cgrid\langnp2057\langfenp2057 \sbasedon0 \snext25 \spriority0 \styrsid11285722 NormalBold12b;}}{\*\rsidtbl \rsid24658\rsid223860\rsid735077\rsid1718133\rsid2892074\rsid3565327\rsid4539522\rsid4666813\rsid6641733&#13;_x000a_\rsid7823322\rsid9636012\rsid10377208\rsid11215221\rsid11225070\rsid11285722\rsid11549030\rsid12154954\rsid14382809\rsid14424199\rsid15204470\rsid15285974\rsid15950462\rsid16324206\rsid16662270}{\mmathPr\mmathFont34\mbrkBin0\mbrkBinSub0\msmallFrac0&#13;_x000a_\mdispDef1\mlMargin0\mrMargin0\mdefJc1\mwrapIndent1440\mintLim0\mnaryLim1}{\info{\author ATES Devrim}{\operator ATES Devrim}{\creatim\yr2026\mo7\dy6\hr11\min40}{\revtim\yr2026\mo7\dy6\hr11\min40}{\version1}{\edmins0}{\nofpages1}{\nofwords54}{\nofchars313}&#13;_x000a_{\nofcharsws36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285722\newtblstyruls\nogrowautofit\usenormstyforlist\noindnmbrts\felnbrelev\nocxsptable\indrlsweleven\noafcnsttbl\afelev\utinl\hwelev\spltpgpar\notcvasp\notbrkcnstfrctbl\notvatxbx\krnprsnet\cachedcolbal &#13;_x000a_\nouicompat \fet0{\*\wgrffmtfilter 013f}\nofeaturethrottle1\ilfomacatclnup0{\*\template C:\\Users\\dates\\AppData\\Local\\Temp\\Blank1.dotx}{\*\ftnsep \ltrpar \pard\plain \ltrpar&#13;_x000a_\ql \li0\ri0\widctlpar\wrapdefault\aspalpha\aspnum\faauto\adjustright\rin0\lin0\itap0 \rtlch\fcs1 \af0\afs20\alang1025 \ltrch\fcs0 \fs24\lang2057\langfe2057\cgrid\langnp2057\langfenp2057 {\rtlch\fcs1 \af0 \ltrch\fcs0 \insrsid4539522 \chftnsep &#13;_x000a_\par }}{\*\ftnsepc \ltrpar \pard\plain \ltrpar\ql \li0\ri0\widctlpar\wrapdefault\aspalpha\aspnum\faauto\adjustright\rin0\lin0\itap0 \rtlch\fcs1 \af0\afs20\alang1025 \ltrch\fcs0 \fs24\lang2057\langfe2057\cgrid\langnp2057\langfenp2057 {\rtlch\fcs1 \af0 &#13;_x000a_\ltrch\fcs0 \insrsid4539522 \chftnsepc &#13;_x000a_\par }}{\*\aftnsep \ltrpar \pard\plain \ltrpar\ql \li0\ri0\widctlpar\wrapdefault\aspalpha\aspnum\faauto\adjustright\rin0\lin0\itap0 \rtlch\fcs1 \af0\afs20\alang1025 \ltrch\fcs0 \fs24\lang2057\langfe2057\cgrid\langnp2057\langfenp2057 {\rtlch\fcs1 \af0 &#13;_x000a_\ltrch\fcs0 \insrsid4539522 \chftnsep &#13;_x000a_\par }}{\*\aftnsepc \ltrpar \pard\plain \ltrpar\ql \li0\ri0\widctlpar\wrapdefault\aspalpha\aspnum\faauto\adjustright\rin0\lin0\itap0 \rtlch\fcs1 \af0\afs20\alang1025 \ltrch\fcs0 \fs24\lang2057\langfe2057\cgrid\langnp2057\langfenp2057 {\rtlch\fcs1 \af0 &#13;_x000a_\ltrch\fcs0 \insrsid45395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11285722 {\*\bkmkstart restart}&#13;_x000a_\hich\af1\dbch\af31501\loch\f1 &lt;Amend&gt;}{\rtlch\fcs1 \af0 \ltrch\fcs0 \lang1030\langfe2057\langnp1030\insrsid11285722 [ZAMENDMENT]\tab \tab }{\rtlch\fcs1 \af0 \ltrch\fcs0 &#13;_x000a_\cs17\b0\v\fs20\cf9\lang1024\langfe1024\loch\af1\hich\af1\dbch\af31501\noproof\langnp1030\insrsid11285722 \hich\af1\dbch\af31501\loch\f1 &lt;NumAm&gt;}{\rtlch\fcs1 \af0 \ltrch\fcs0 \lang1030\langfe2057\langnp1030\insrsid11285722 [ZNRAM]}{\rtlch\fcs1 \af0 &#13;_x000a_\ltrch\fcs0 \cs17\b0\v\fs20\cf9\lang1024\langfe1024\loch\af1\hich\af1\dbch\af31501\noproof\langnp1030\insrsid11285722 \hich\af1\dbch\af31501\loch\f1 &lt;/NumAm&gt;}{\rtlch\fcs1 \af0 \ltrch\fcs0 \lang1030\langfe2057\langnp1030\insrsid11285722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11285722 \hich\af1\dbch\af31501\loch\f1 &lt;DocAmend&gt;}{\rtlch\fcs1 \af0 \ltrch\fcs0 \lang1030\langfe2057\langnp1030\insrsid11285722 &#13;_x000a_[ZPROPOSAL][ZAMACT]}{\rtlch\fcs1 \af0 \ltrch\fcs0 \cs17\b0\v\fs20\cf9\lang1024\langfe1024\loch\af1\hich\af1\dbch\af31501\noproof\langnp1030\insrsid11285722 \hich\af1\dbch\af31501\loch\f1 &lt;/DocAmend&gt;}{\rtlch\fcs1 \af0 \ltrch\fcs0 &#13;_x000a_\lang1030\langfe2057\langnp1030\insrsid11285722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11285722 \hich\af1\dbch\af31501\loch\f1 &lt;Article&gt;}{\rtlch\fcs1 \af0 \ltrch\fcs0 \lang1030\langfe2057\langnp1030\insrsid11285722 [ZAMPART]}{&#13;_x000a_\rtlch\fcs1 \af0 \ltrch\fcs0 \cs17\b0\v\fs20\cf9\lang1024\langfe1024\loch\af1\hich\af1\dbch\af31501\noproof\langnp1030\insrsid11285722 \hich\af1\dbch\af31501\loch\f1 &lt;/Article&gt;}{\rtlch\fcs1 \af0 \ltrch\fcs0 \lang1030\langfe2057\langnp1030\insrsid11285722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11285722 \hich\af1\dbch\af31501\loch\f1 &lt;DocAmend2&gt;&lt;OptDel&gt;}{\rtlch\fcs1 \af0 \ltrch\fcs0 \lang1030\langfe2057\langnp1030\insrsid11285722 [ZNRACT]}{&#13;_x000a_\rtlch\fcs1 \af0 \ltrch\fcs0 \cs17\v\fs20\cf9\lang1024\langfe1024\loch\af1\hich\af1\dbch\af31501\noproof\langnp1030\insrsid11285722 \hich\af1\dbch\af31501\loch\f1 &lt;/OptDel&gt;&lt;/DocAmend2&gt;}{\rtlch\fcs1 \af0 \ltrch\fcs0 &#13;_x000a_\lang1030\langfe2057\langnp1030\insrsid11285722 &#13;_x000a_\par }\pard \ltrpar\ql \li0\ri0\widctlpar\wrapdefault\aspalpha\aspnum\faauto\adjustright\rin0\lin0\itap0\pararsid6293919 {\rtlch\fcs1 \af0 \ltrch\fcs0 \cs17\v\fs20\cf9\lang1024\langfe1024\loch\af1\hich\af1\dbch\af31501\noproof\langnp1036\insrsid11285722 &#13;_x000a_\hich\af1\dbch\af31501\loch\f1 &lt;Article2&gt;&lt;OptDel&gt;}{\rtlch\fcs1 \af0 \ltrch\fcs0 \lang1036\langfe2057\langnp1036\insrsid11285722 [ZACTPART]}{\rtlch\fcs1 \af0 \ltrch\fcs0 &#13;_x000a_\cs17\v\fs20\cf9\lang1024\langfe1024\loch\af1\hich\af1\dbch\af31501\noproof\langnp1036\insrsid11285722 \hich\af1\dbch\af31501\loch\f1 &lt;/OptDel&gt;&lt;/Article2&gt;}{\rtlch\fcs1 \af0 \ltrch\fcs0 \lang1036\langfe2057\langnp1036\insrsid1128572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11285722 \cell }\pard \ltrpar\ql \li0\ri0\widctlpar\intbl\wrapdefault\aspalpha\aspnum\faauto\adjustright\rin0\lin0 {\rtlch\fcs1 \af0 \ltrch\fcs0 \insrsid1128572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11285722 [ZLEFT]\cell [ZRIGHT]\cell }\pard\plain \ltrpar\ql \li0\ri0\widctlpar\intbl\wrapdefault\aspalpha\aspnum\faauto\adjustright\rin0\lin0 \rtlch\fcs1 \af0\afs20\alang1025 \ltrch\fcs0 &#13;_x000a_\fs24\lang2057\langfe2057\cgrid\langnp2057\langfenp2057 {\rtlch\fcs1 \af0 \ltrch\fcs0 \insrsid1128572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11285722 [ZTEXTL]\cell [ZTEXTR]\cell }\pard\plain \ltrpar\ql \li0\ri0\widctlpar\intbl\wrapdefault\aspalpha\aspnum\faauto\adjustright\rin0\lin0 \rtlch\fcs1 \af0\afs20\alang1025 \ltrch\fcs0 &#13;_x000a_\fs24\lang2057\langfe2057\cgrid\langnp2057\langfenp2057 {\rtlch\fcs1 \af0 \ltrch\fcs0 \insrsid1128572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11285722 \hich\af1\dbch\af31501\loch\f1 &lt;OptDel&gt;}{\rtlch\fcs1 \af0 \ltrch\fcs0 \insrsid11285722 [ZCROSSREF]}{\rtlch\fcs1 \af0 \ltrch\fcs0 &#13;_x000a_\cs17\i0\v\fs20\cf9\lang1024\langfe1024\loch\af1\hich\af1\dbch\af31501\noproof\insrsid11285722 \hich\af1\dbch\af31501\loch\f1 &lt;/OptDel&gt;}{\rtlch\fcs1 \af0 \ltrch\fcs0 \insrsid11285722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11285722 \hich\af1\dbch\af31501\loch\f1 &lt;TitreJust&gt;}{\rtlch\fcs1 \af0 \ltrch\fcs0 \insrsid11285722 [ZJUSTIFICATION]}{\rtlch\fcs1 \af0 &#13;_x000a_\ltrch\fcs0 \cs17\i0\v\fs20\cf9\lang1024\langfe1024\loch\af1\hich\af1\dbch\af31501\noproof\insrsid11285722 \hich\af1\dbch\af31501\loch\f1 &lt;/TitreJust&gt;}{\rtlch\fcs1 \af0 \ltrch\fcs0 \insrsid11285722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11285722 \hich\af1\dbch\af31501\loch\f1 &lt;OptDelPrev&gt;}{\rtlch\fcs1 \af0 \ltrch\fcs0 \insrsid11285722 [ZTEXTJUST]}{\rtlch\fcs1 \af0 \ltrch\fcs0 &#13;_x000a_\cs17\i0\v\fs20\cf9\lang1024\langfe1024\loch\af1\hich\af1\dbch\af31501\noproof\insrsid11285722 \hich\af1\dbch\af31501\loch\f1 &lt;/OptDelPrev&gt;}{\rtlch\fcs1 \af0 \ltrch\fcs0 \insrsid11285722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11285722 \hich\af1\dbch\af31501\loch\f1 &lt;/Amend&gt;}{\rtlch\fcs1 \af0 \ltrch\fcs0 \insrsid11285722\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9a&#13;_x000a_31762b0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8"/>
    <w:docVar w:name="TEXTRMNU" w:val="1"/>
    <w:docVar w:name="TITLECODMNU" w:val=" 1"/>
    <w:docVar w:name="TITLEMNU" w:val=" 1"/>
    <w:docVar w:name="TVTAMPART" w:val="Article 15 – paragraph 5"/>
    <w:docVar w:name="TXTAUTHOR" w:val="Sandra Gómez López"/>
    <w:docVar w:name="TXTLANGUE" w:val="EN"/>
    <w:docVar w:name="TXTLANGUEMIN" w:val="en"/>
    <w:docVar w:name="TXTNRC" w:val="0173/2025"/>
    <w:docVar w:name="TXTNRCOM" w:val="(2025)0550"/>
    <w:docVar w:name="TXTNRFIRSTAM" w:val="1"/>
    <w:docVar w:name="TXTNRLASTAM" w:val="9"/>
    <w:docVar w:name="TXTNRPE" w:val="787.038"/>
    <w:docVar w:name="TXTNRPROC" w:val="2025/0550"/>
    <w:docVar w:name="TXTPEorAP" w:val="PE"/>
    <w:docVar w:name="TXTROUTE" w:val="AD\1348641EN.docx"/>
    <w:docVar w:name="TXTTITLE" w:val="Regulation of the European Parliament and of the Council establishing the 'AgoraEU' programme for the period 2028 to 2034, and repealing Regulations (EU) 2021/692 and (EU) 2021/818"/>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4F5BD0-90CC-4379-88EC-F832CF84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251B75"/>
    <w:rPr>
      <w:sz w:val="20"/>
    </w:rPr>
  </w:style>
  <w:style w:type="character" w:customStyle="1" w:styleId="FootnoteTextChar">
    <w:name w:val="Footnote Text Char"/>
    <w:basedOn w:val="DefaultParagraphFont"/>
    <w:link w:val="FootnoteText"/>
    <w:rsid w:val="00251B75"/>
  </w:style>
  <w:style w:type="character" w:styleId="FootnoteReference">
    <w:name w:val="footnote reference"/>
    <w:basedOn w:val="DefaultParagraphFont"/>
    <w:uiPriority w:val="99"/>
    <w:rsid w:val="00251B75"/>
    <w:rPr>
      <w:vertAlign w:val="superscript"/>
    </w:rPr>
  </w:style>
  <w:style w:type="character" w:styleId="Hyperlink">
    <w:name w:val="Hyperlink"/>
    <w:basedOn w:val="DefaultParagraphFont"/>
    <w:rsid w:val="00251B75"/>
    <w:rPr>
      <w:color w:val="0563C1" w:themeColor="hyperlink"/>
      <w:u w:val="single"/>
    </w:rPr>
  </w:style>
  <w:style w:type="character" w:customStyle="1" w:styleId="UnresolvedMention">
    <w:name w:val="Unresolved Mention"/>
    <w:basedOn w:val="DefaultParagraphFont"/>
    <w:uiPriority w:val="99"/>
    <w:semiHidden/>
    <w:unhideWhenUsed/>
    <w:rsid w:val="00251B75"/>
    <w:rPr>
      <w:color w:val="605E5C"/>
      <w:shd w:val="clear" w:color="auto" w:fill="E1DFDD"/>
    </w:rPr>
  </w:style>
  <w:style w:type="paragraph" w:styleId="Footer">
    <w:name w:val="footer"/>
    <w:basedOn w:val="Normal"/>
    <w:link w:val="FooterChar"/>
    <w:semiHidden/>
    <w:rsid w:val="00DB4824"/>
    <w:pPr>
      <w:tabs>
        <w:tab w:val="center" w:pos="4513"/>
        <w:tab w:val="right" w:pos="9026"/>
      </w:tabs>
    </w:pPr>
  </w:style>
  <w:style w:type="character" w:customStyle="1" w:styleId="FooterChar">
    <w:name w:val="Footer Char"/>
    <w:basedOn w:val="DefaultParagraphFont"/>
    <w:link w:val="Footer"/>
    <w:semiHidden/>
    <w:rsid w:val="00DB4824"/>
    <w:rPr>
      <w:sz w:val="24"/>
    </w:rPr>
  </w:style>
  <w:style w:type="character" w:styleId="CommentReference">
    <w:name w:val="annotation reference"/>
    <w:basedOn w:val="DefaultParagraphFont"/>
    <w:rsid w:val="00155C94"/>
    <w:rPr>
      <w:sz w:val="16"/>
      <w:szCs w:val="16"/>
    </w:rPr>
  </w:style>
  <w:style w:type="paragraph" w:styleId="CommentText">
    <w:name w:val="annotation text"/>
    <w:basedOn w:val="Normal"/>
    <w:link w:val="CommentTextChar"/>
    <w:rsid w:val="00155C94"/>
    <w:rPr>
      <w:sz w:val="20"/>
    </w:rPr>
  </w:style>
  <w:style w:type="character" w:customStyle="1" w:styleId="CommentTextChar">
    <w:name w:val="Comment Text Char"/>
    <w:basedOn w:val="DefaultParagraphFont"/>
    <w:link w:val="CommentText"/>
    <w:rsid w:val="00155C94"/>
  </w:style>
  <w:style w:type="paragraph" w:styleId="CommentSubject">
    <w:name w:val="annotation subject"/>
    <w:basedOn w:val="CommentText"/>
    <w:next w:val="CommentText"/>
    <w:link w:val="CommentSubjectChar"/>
    <w:semiHidden/>
    <w:unhideWhenUsed/>
    <w:rsid w:val="00155C94"/>
    <w:rPr>
      <w:b/>
      <w:bCs/>
    </w:rPr>
  </w:style>
  <w:style w:type="character" w:customStyle="1" w:styleId="CommentSubjectChar">
    <w:name w:val="Comment Subject Char"/>
    <w:basedOn w:val="CommentTextChar"/>
    <w:link w:val="CommentSubject"/>
    <w:semiHidden/>
    <w:rsid w:val="00155C94"/>
    <w:rPr>
      <w:b/>
      <w:bCs/>
    </w:rPr>
  </w:style>
  <w:style w:type="paragraph" w:styleId="Revision">
    <w:name w:val="Revision"/>
    <w:hidden/>
    <w:uiPriority w:val="99"/>
    <w:semiHidden/>
    <w:rsid w:val="00395F78"/>
    <w:rPr>
      <w:sz w:val="24"/>
    </w:rPr>
  </w:style>
  <w:style w:type="paragraph" w:customStyle="1" w:styleId="RollCallSymbols14pt">
    <w:name w:val="RollCallSymbols14pt"/>
    <w:basedOn w:val="Normal"/>
    <w:rsid w:val="00AB29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298C"/>
    <w:pPr>
      <w:tabs>
        <w:tab w:val="center" w:pos="284"/>
        <w:tab w:val="left" w:pos="426"/>
      </w:tabs>
    </w:pPr>
    <w:rPr>
      <w:snapToGrid w:val="0"/>
      <w:lang w:eastAsia="en-US"/>
    </w:rPr>
  </w:style>
  <w:style w:type="paragraph" w:customStyle="1" w:styleId="RollCallVotes">
    <w:name w:val="RollCallVotes"/>
    <w:basedOn w:val="Normal"/>
    <w:rsid w:val="00AB298C"/>
    <w:pPr>
      <w:spacing w:before="120" w:after="120"/>
      <w:jc w:val="center"/>
    </w:pPr>
    <w:rPr>
      <w:b/>
      <w:bCs/>
      <w:snapToGrid w:val="0"/>
      <w:sz w:val="16"/>
      <w:lang w:eastAsia="en-US"/>
    </w:rPr>
  </w:style>
  <w:style w:type="paragraph" w:customStyle="1" w:styleId="RollCallTable">
    <w:name w:val="RollCallTable"/>
    <w:basedOn w:val="Normal"/>
    <w:rsid w:val="00AB298C"/>
    <w:pPr>
      <w:spacing w:before="120" w:after="120"/>
    </w:pPr>
    <w:rPr>
      <w:snapToGrid w:val="0"/>
      <w:sz w:val="16"/>
      <w:lang w:eastAsia="en-US"/>
    </w:rPr>
  </w:style>
  <w:style w:type="character" w:styleId="FollowedHyperlink">
    <w:name w:val="FollowedHyperlink"/>
    <w:basedOn w:val="DefaultParagraphFont"/>
    <w:rsid w:val="002059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dir/2010/13/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80BDA-AD9A-4E4A-9FF4-C8C7D6497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4873</Words>
  <Characters>27634</Characters>
  <Application>Microsoft Office Word</Application>
  <DocSecurity>0</DocSecurity>
  <Lines>674</Lines>
  <Paragraphs>208</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2026-07-20T12:01:00Z</cp:lastPrinted>
  <dcterms:created xsi:type="dcterms:W3CDTF">2026-08-06T14:16:00Z</dcterms:created>
  <dcterms:modified xsi:type="dcterms:W3CDTF">2026-08-06T14:16:00Z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1348641</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- 2026/08/06 16:13</vt:lpwstr>
  </property>
  <property fmtid="{D5CDD505-2E9C-101B-9397-08002B2CF9AE}" pid="9" name="Created with">
    <vt:lpwstr>10.2.1 Build [20260301]</vt:lpwstr>
  </property>
  <property fmtid="{D5CDD505-2E9C-101B-9397-08002B2CF9AE}" pid="10" name="FooterPath">
    <vt:lpwstr>AD\1348641ES.docx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787.038</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- 2026/07/22 17:06</vt:lpwstr>
  </property>
</Properties>
</file>