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5777E96D" w14:textId="77777777" w:rsidTr="00C85D0F">
        <w:tblPrEx>
          <w:tblW w:w="9072" w:type="dxa"/>
          <w:tblCellMar>
            <w:left w:w="0" w:type="dxa"/>
            <w:right w:w="0" w:type="dxa"/>
          </w:tblCellMar>
          <w:tblLook w:val="01E0"/>
        </w:tblPrEx>
        <w:trPr>
          <w:trHeight w:hRule="exact" w:val="1418"/>
        </w:trPr>
        <w:tc>
          <w:tcPr>
            <w:tcW w:w="6804" w:type="dxa"/>
            <w:shd w:val="clear" w:color="auto" w:fill="auto"/>
            <w:vAlign w:val="center"/>
          </w:tcPr>
          <w:p w:rsidR="00854CAC" w:rsidRPr="00AE4D2E" w:rsidP="00AE4D2E" w14:paraId="6991C7ED" w14:textId="77777777">
            <w:pPr>
              <w:pStyle w:val="EPName"/>
              <w:widowControl/>
            </w:pPr>
            <w:r w:rsidRPr="00AE4D2E">
              <w:t>Euroopan parlamentti</w:t>
            </w:r>
          </w:p>
          <w:p w:rsidR="00854CAC" w:rsidRPr="00AE4D2E" w:rsidP="00AE4D2E" w14:paraId="18AFB275" w14:textId="77777777">
            <w:pPr>
              <w:pStyle w:val="EPTerm"/>
              <w:widowControl/>
            </w:pPr>
            <w:r w:rsidRPr="00AE4D2E">
              <w:t>2024-2029</w:t>
            </w:r>
          </w:p>
        </w:tc>
        <w:tc>
          <w:tcPr>
            <w:tcW w:w="2268" w:type="dxa"/>
            <w:shd w:val="clear" w:color="auto" w:fill="auto"/>
          </w:tcPr>
          <w:p w:rsidR="00854CAC" w:rsidRPr="00AE4D2E" w:rsidP="00AE4D2E" w14:paraId="275DE070" w14:textId="77777777">
            <w:pPr>
              <w:pStyle w:val="EPLogo"/>
              <w:widowControl/>
            </w:pPr>
            <w:r w:rsidRPr="00AE4D2E">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379345"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1746D0" w:rsidRPr="00AE4D2E" w:rsidP="00AE4D2E" w14:paraId="2E42D20A" w14:textId="77777777">
      <w:pPr>
        <w:pStyle w:val="LineTop"/>
        <w:widowControl/>
      </w:pPr>
    </w:p>
    <w:p w:rsidR="001746D0" w:rsidRPr="00AE4D2E" w:rsidP="00AE4D2E" w14:paraId="5480A27F" w14:textId="77777777">
      <w:pPr>
        <w:pStyle w:val="EPBody"/>
        <w:widowControl/>
      </w:pPr>
      <w:r w:rsidRPr="00AE4D2E">
        <w:rPr>
          <w:rStyle w:val="HideTWBExt"/>
          <w:i w:val="0"/>
          <w:szCs w:val="20"/>
        </w:rPr>
        <w:t>&lt;</w:t>
      </w:r>
      <w:r w:rsidRPr="00AE4D2E">
        <w:rPr>
          <w:rStyle w:val="HideTWBExt"/>
          <w:i w:val="0"/>
          <w:szCs w:val="20"/>
        </w:rPr>
        <w:t>Commission</w:t>
      </w:r>
      <w:r w:rsidRPr="00AE4D2E">
        <w:rPr>
          <w:rStyle w:val="HideTWBExt"/>
          <w:i w:val="0"/>
          <w:szCs w:val="20"/>
        </w:rPr>
        <w:t>&gt;</w:t>
      </w:r>
      <w:r w:rsidRPr="00AE4D2E">
        <w:rPr>
          <w:rStyle w:val="HideTWBInt"/>
          <w:rFonts w:cs="Times New Roman"/>
          <w:i w:val="0"/>
          <w:szCs w:val="20"/>
        </w:rPr>
        <w:t>{BUDG}</w:t>
      </w:r>
      <w:r w:rsidRPr="00AE4D2E">
        <w:t>Budjettivaliokunta</w:t>
      </w:r>
      <w:r w:rsidRPr="00AE4D2E">
        <w:rPr>
          <w:rStyle w:val="HideTWBExt"/>
          <w:i w:val="0"/>
          <w:szCs w:val="20"/>
        </w:rPr>
        <w:t>&lt;/</w:t>
      </w:r>
      <w:r w:rsidRPr="00AE4D2E">
        <w:rPr>
          <w:rStyle w:val="HideTWBExt"/>
          <w:i w:val="0"/>
          <w:szCs w:val="20"/>
        </w:rPr>
        <w:t>Commission</w:t>
      </w:r>
      <w:r w:rsidRPr="00AE4D2E">
        <w:rPr>
          <w:rStyle w:val="HideTWBExt"/>
          <w:i w:val="0"/>
          <w:szCs w:val="20"/>
        </w:rPr>
        <w:t>&gt;</w:t>
      </w:r>
    </w:p>
    <w:p w:rsidR="001746D0" w:rsidRPr="00AE4D2E" w:rsidP="00AE4D2E" w14:paraId="65E6CC4F" w14:textId="77777777">
      <w:pPr>
        <w:pStyle w:val="LineBottom"/>
        <w:widowControl/>
      </w:pPr>
    </w:p>
    <w:p w:rsidR="002E2F2E" w:rsidRPr="00AE4D2E" w:rsidP="00AE4D2E" w14:paraId="6238DB4C" w14:textId="77777777">
      <w:pPr>
        <w:pStyle w:val="CoverReference"/>
        <w:widowControl/>
      </w:pPr>
      <w:r w:rsidRPr="00AE4D2E">
        <w:rPr>
          <w:rStyle w:val="HideTWBExt"/>
          <w:b w:val="0"/>
        </w:rPr>
        <w:t>&lt;RefProc&gt;</w:t>
      </w:r>
      <w:r w:rsidRPr="00AE4D2E">
        <w:t>2025/0550</w:t>
      </w:r>
      <w:r w:rsidRPr="00AE4D2E">
        <w:rPr>
          <w:rStyle w:val="HideTWBExt"/>
          <w:b w:val="0"/>
        </w:rPr>
        <w:t>&lt;/RefProc&gt;&lt;RefTypeProc&gt;</w:t>
      </w:r>
      <w:r w:rsidRPr="00AE4D2E">
        <w:t>(COD)</w:t>
      </w:r>
      <w:r w:rsidRPr="00AE4D2E">
        <w:rPr>
          <w:rStyle w:val="HideTWBExt"/>
          <w:b w:val="0"/>
        </w:rPr>
        <w:t>&lt;/RefTypeProc&gt;</w:t>
      </w:r>
    </w:p>
    <w:p w:rsidR="002E2F2E" w:rsidRPr="00AE4D2E" w:rsidP="00AE4D2E" w14:paraId="3A41E254" w14:textId="77777777">
      <w:pPr>
        <w:pStyle w:val="CoverDate"/>
        <w:widowControl/>
      </w:pPr>
      <w:r w:rsidRPr="00AE4D2E">
        <w:rPr>
          <w:rStyle w:val="HideTWBExt"/>
        </w:rPr>
        <w:t>&lt;Date&gt;</w:t>
      </w:r>
      <w:r w:rsidRPr="00AE4D2E">
        <w:rPr>
          <w:rStyle w:val="HideTWBInt"/>
        </w:rPr>
        <w:t>{22/07/2026}</w:t>
      </w:r>
      <w:r w:rsidRPr="00AE4D2E">
        <w:t>22.7.2026</w:t>
      </w:r>
      <w:r w:rsidRPr="00AE4D2E">
        <w:rPr>
          <w:rStyle w:val="HideTWBExt"/>
        </w:rPr>
        <w:t>&lt;/Date&gt;</w:t>
      </w:r>
    </w:p>
    <w:p w:rsidR="002E2F2E" w:rsidRPr="00AE4D2E" w:rsidP="00AE4D2E" w14:paraId="0C9483B1" w14:textId="77777777">
      <w:pPr>
        <w:pStyle w:val="CoverDocType24a"/>
        <w:widowControl/>
      </w:pPr>
      <w:r w:rsidRPr="00AE4D2E">
        <w:rPr>
          <w:rStyle w:val="HideTWBExt"/>
          <w:b w:val="0"/>
        </w:rPr>
        <w:t>&lt;TitreType&gt;</w:t>
      </w:r>
      <w:r w:rsidRPr="00AE4D2E">
        <w:t>TALOUSARVIONÄKÖKOHTIA KOSKEVA ARVIO</w:t>
      </w:r>
      <w:r w:rsidRPr="00AE4D2E">
        <w:rPr>
          <w:rStyle w:val="HideTWBExt"/>
          <w:b w:val="0"/>
        </w:rPr>
        <w:t>&lt;/TitreType&gt;</w:t>
      </w:r>
    </w:p>
    <w:p w:rsidR="002E2F2E" w:rsidRPr="00AE4D2E" w:rsidP="00AE4D2E" w14:paraId="388CC23E" w14:textId="77777777">
      <w:pPr>
        <w:pStyle w:val="CoverNormal24a"/>
        <w:widowControl/>
      </w:pPr>
      <w:r w:rsidRPr="00AE4D2E">
        <w:rPr>
          <w:rStyle w:val="HideTWBExt"/>
        </w:rPr>
        <w:t>&lt;CommissionResp&gt;</w:t>
      </w:r>
      <w:r w:rsidRPr="00AE4D2E">
        <w:t>budjettivaliokunnalta</w:t>
      </w:r>
      <w:r w:rsidRPr="00AE4D2E">
        <w:rPr>
          <w:rStyle w:val="HideTWBExt"/>
        </w:rPr>
        <w:t>&lt;/CommissionResp&gt;</w:t>
      </w:r>
    </w:p>
    <w:p w:rsidR="002E2F2E" w:rsidRPr="00AE4D2E" w:rsidP="00AE4D2E" w14:paraId="0B048D0F" w14:textId="77777777">
      <w:pPr>
        <w:pStyle w:val="CoverNormal24a"/>
        <w:widowControl/>
      </w:pPr>
      <w:r w:rsidRPr="00AE4D2E">
        <w:rPr>
          <w:rStyle w:val="HideTWBExt"/>
        </w:rPr>
        <w:t>&lt;CommissionInt&gt;</w:t>
      </w:r>
      <w:r w:rsidRPr="00AE4D2E">
        <w:t>kulttuuri- ja koulutusvaliokunnalle ja kansalaisvapauksien sekä oikeus- ja sisäasioiden valiokunnalle</w:t>
      </w:r>
      <w:r w:rsidRPr="00AE4D2E">
        <w:rPr>
          <w:rStyle w:val="HideTWBExt"/>
        </w:rPr>
        <w:t>&lt;/CommissionInt&gt;</w:t>
      </w:r>
    </w:p>
    <w:p w:rsidR="002E2F2E" w:rsidRPr="00AE4D2E" w:rsidP="00AE4D2E" w14:paraId="48A42555" w14:textId="77777777">
      <w:pPr>
        <w:pStyle w:val="CoverNormal"/>
        <w:widowControl/>
      </w:pPr>
      <w:r w:rsidRPr="00AE4D2E">
        <w:rPr>
          <w:rStyle w:val="HideTWBExt"/>
        </w:rPr>
        <w:t>&lt;Titre&gt;</w:t>
      </w:r>
      <w:r w:rsidRPr="00AE4D2E">
        <w:t>ehdotuksesta Euroopan parlamentin ja neuvoston asetukseksi AgoraEU-ohjelman perustamisesta vuosiksi 2028–2034 ja asetusten (EU) 2021/692 ja (EU) 2021/818 kumoamisesta</w:t>
      </w:r>
      <w:r w:rsidRPr="00AE4D2E">
        <w:rPr>
          <w:rStyle w:val="HideTWBExt"/>
        </w:rPr>
        <w:t>&lt;/Titre&gt;</w:t>
      </w:r>
    </w:p>
    <w:p w:rsidR="002E2F2E" w:rsidRPr="00AE4D2E" w:rsidP="00AE4D2E" w14:paraId="5C390026" w14:textId="77777777">
      <w:pPr>
        <w:pStyle w:val="CoverNormal24a"/>
        <w:widowControl/>
      </w:pPr>
      <w:r w:rsidRPr="00AE4D2E">
        <w:rPr>
          <w:rStyle w:val="HideTWBExt"/>
        </w:rPr>
        <w:t>&lt;DocRef&gt;</w:t>
      </w:r>
      <w:r w:rsidRPr="00AE4D2E">
        <w:t>(COM(2025)0550 – C10</w:t>
      </w:r>
      <w:r w:rsidRPr="00AE4D2E">
        <w:noBreakHyphen/>
        <w:t>0173/2025 – 2025/0550(COD))</w:t>
      </w:r>
      <w:r w:rsidRPr="00AE4D2E">
        <w:rPr>
          <w:rStyle w:val="HideTWBExt"/>
        </w:rPr>
        <w:t>&lt;/DocRef&gt;</w:t>
      </w:r>
    </w:p>
    <w:p w:rsidR="00A72C35" w:rsidRPr="00AE4D2E" w:rsidP="00AE4D2E" w14:paraId="11C79C95" w14:textId="77777777">
      <w:pPr>
        <w:pStyle w:val="CoverNormal24a"/>
        <w:widowControl/>
      </w:pPr>
      <w:r w:rsidRPr="00AE4D2E">
        <w:t xml:space="preserve">Talousarvionäkökohtia koskevan arvion valmistelija: </w:t>
      </w:r>
      <w:r w:rsidRPr="00AE4D2E">
        <w:rPr>
          <w:rStyle w:val="HideTWBExt"/>
        </w:rPr>
        <w:t>&lt;Depute&gt;</w:t>
      </w:r>
      <w:r w:rsidRPr="00AE4D2E">
        <w:t>Sandra Gómez López</w:t>
      </w:r>
      <w:r w:rsidRPr="00AE4D2E">
        <w:rPr>
          <w:rStyle w:val="HideTWBExt"/>
        </w:rPr>
        <w:t>&lt;/Depute&gt;</w:t>
      </w:r>
    </w:p>
    <w:p w:rsidR="00AE4D2E" w:rsidP="00AE4D2E" w14:paraId="2239EA16" w14:textId="77777777">
      <w:pPr>
        <w:widowControl/>
      </w:pPr>
      <w:r>
        <w:br w:type="page"/>
      </w:r>
    </w:p>
    <w:p w:rsidR="002E2F2E" w:rsidP="00AE4D2E" w14:paraId="31CEAD63" w14:textId="177297E5">
      <w:pPr>
        <w:widowControl/>
        <w:tabs>
          <w:tab w:val="center" w:pos="4677"/>
        </w:tabs>
      </w:pPr>
      <w:r w:rsidRPr="00AE4D2E">
        <w:t>PA_LegEvaluation</w:t>
      </w:r>
    </w:p>
    <w:p w:rsidR="00AE4D2E" w:rsidRPr="00AE4D2E" w:rsidP="00AE4D2E" w14:paraId="72975AAD" w14:textId="77777777">
      <w:pPr>
        <w:widowControl/>
        <w:tabs>
          <w:tab w:val="center" w:pos="4677"/>
        </w:tabs>
      </w:pPr>
    </w:p>
    <w:p w:rsidR="002E2F2E" w:rsidRPr="00AE4D2E" w:rsidP="00AE4D2E" w14:paraId="60DE7DB6" w14:textId="77777777">
      <w:pPr>
        <w:pStyle w:val="PageHeadingNotTOC"/>
        <w:widowControl/>
      </w:pPr>
      <w:r w:rsidRPr="00AE4D2E">
        <w:br w:type="page"/>
      </w:r>
      <w:r w:rsidRPr="00AE4D2E">
        <w:t>TALOUSARVIONÄKÖKOHTIA KOSKEVA ARVIO</w:t>
      </w:r>
    </w:p>
    <w:p w:rsidR="00757C4C" w:rsidRPr="00AE4D2E" w:rsidP="00AE4D2E" w14:paraId="5289ABA6" w14:textId="77777777">
      <w:pPr>
        <w:pStyle w:val="NormalBold"/>
        <w:widowControl/>
      </w:pPr>
      <w:r w:rsidRPr="00AE4D2E">
        <w:t>kulttuuri- ja koulutusvaliokunnalle ja kansalaisvapauksien sekä oikeus- ja sisäasioiden valiokunnalle ehdotuksesta Euroopan parlamentin ja neuvoston asetukseksi AgoraEU-ohjelman perustamisesta vuosiksi 2028–2034 ja asetusten (EU) 2021/692 ja (EU) 2021/818 kumoamisesta</w:t>
      </w:r>
    </w:p>
    <w:p w:rsidR="00006F54" w:rsidRPr="00AE4D2E" w:rsidP="00AE4D2E" w14:paraId="068AD4CD" w14:textId="77777777">
      <w:pPr>
        <w:pStyle w:val="NormalBold"/>
        <w:widowControl/>
      </w:pPr>
      <w:r w:rsidRPr="00AE4D2E">
        <w:t>(COM(2025)0550 – C10</w:t>
      </w:r>
      <w:r w:rsidRPr="00AE4D2E">
        <w:noBreakHyphen/>
        <w:t>0173/2025 – 2025/0550(COD))</w:t>
      </w:r>
    </w:p>
    <w:p w:rsidR="00AE79AF" w:rsidRPr="00AE4D2E" w:rsidP="00AE4D2E" w14:paraId="1712799E" w14:textId="77777777">
      <w:pPr>
        <w:pStyle w:val="Normal12a"/>
        <w:widowControl/>
        <w:spacing w:before="480"/>
      </w:pPr>
      <w:r w:rsidRPr="00AE4D2E">
        <w:rPr>
          <w:rStyle w:val="HideTWBExt"/>
        </w:rPr>
        <w:t>&lt;Intro&gt;</w:t>
      </w:r>
      <w:r w:rsidRPr="00AE4D2E">
        <w:t>Budjettivaliokunta on laatinut ehdotuksesta arvion työjärjestyksen 58 artiklan mukaisesti ja todennut seuraavaa:</w:t>
      </w:r>
      <w:r w:rsidRPr="00AE4D2E">
        <w:rPr>
          <w:rStyle w:val="HideTWBExt"/>
        </w:rPr>
        <w:t>&lt;/Intro&gt;</w:t>
      </w:r>
    </w:p>
    <w:p w:rsidR="00CE6558" w:rsidRPr="00AE4D2E" w:rsidP="00AE4D2E" w14:paraId="3AD05E44" w14:textId="77777777">
      <w:pPr>
        <w:pStyle w:val="EPComma"/>
        <w:widowControl/>
      </w:pPr>
      <w:r w:rsidRPr="00AE4D2E">
        <w:rPr>
          <w:i/>
        </w:rPr>
        <w:t>Budjettivaliokunta</w:t>
      </w:r>
      <w:r w:rsidRPr="00AE4D2E">
        <w:t>, joka</w:t>
      </w:r>
    </w:p>
    <w:p w:rsidR="00F94599" w:rsidRPr="00AE4D2E" w:rsidP="00AE4D2E" w14:paraId="66BD358F" w14:textId="77777777">
      <w:pPr>
        <w:pStyle w:val="NormalHanging12a"/>
        <w:widowControl/>
      </w:pPr>
      <w:r w:rsidRPr="00AE4D2E">
        <w:t>A.</w:t>
      </w:r>
      <w:r w:rsidRPr="00AE4D2E">
        <w:tab/>
        <w:t>ottaa huomioon, että AgoraEU on nykyisen Luova Eurooppa -ohjelman (CREA) ja kansalaisten, tasa-arvon, perusoikeuksien ja arvojen ohjelman (CERV) seuraaja;</w:t>
      </w:r>
    </w:p>
    <w:p w:rsidR="00F94599" w:rsidRPr="00AE4D2E" w:rsidP="00AE4D2E" w14:paraId="03BCAD82" w14:textId="77777777">
      <w:pPr>
        <w:pStyle w:val="NormalHanging12a"/>
        <w:widowControl/>
      </w:pPr>
      <w:r w:rsidRPr="00AE4D2E">
        <w:t>B.</w:t>
      </w:r>
      <w:r w:rsidRPr="00AE4D2E">
        <w:tab/>
        <w:t>ottaa huomioon, että EU:n talousarviolla on tärkeä rooli Euroopan unionista tehdyn sopimuksen 2 artiklassa vahvistettujen demokratiaa ja moniarvoisuutta koskevien unionin perusarvojen tukemisessa; ottaa huomioon, että sitä edeltäneet ohjelmat ovat osoittautuneet ratkaisevan tärkeiksi kulttuurialan ja luovien alojen tukemisessa, taiteellisen ja tiedotusvälineiden vapauden turvaamisessa, disinformaation torjunnassa sekä tasa-arvon, demokraattisen osallistumisen, sosiaalisen osallisuuden, yhteiskunnan selviyt</w:t>
      </w:r>
      <w:r w:rsidRPr="00AE4D2E">
        <w:t>ymiskyvyn, aktiivisen kansalaisuuden sekä perussopimuksissa ja Euroopan unionin perusoikeuskirjassa ja sovellettavissa kansainvälisissä ihmisoikeussopimuksissa vahvistettujen oikeuksien ja arvojen suojelemisessa ja edistämisessä, mukaan lukien kaikenlaisen sukupuolistuneen väkivallan torjunta;</w:t>
      </w:r>
    </w:p>
    <w:p w:rsidR="00A87D2F" w:rsidRPr="00AE4D2E" w:rsidP="00AE4D2E" w14:paraId="7858FFAF" w14:textId="77777777">
      <w:pPr>
        <w:pStyle w:val="NormalHanging12a"/>
        <w:widowControl/>
      </w:pPr>
      <w:r w:rsidRPr="00AE4D2E">
        <w:t>C.</w:t>
      </w:r>
      <w:r w:rsidRPr="00AE4D2E">
        <w:tab/>
        <w:t>ottaa huomioon, että eurooppalaisiin demokraattisiin arvoihin kohdistuvien lisääntyvien paineiden ja uhkien sekä unionin kohtaamien laajempien rakenteellisten haasteiden johdosta AgoraEU-ohjelmalla on keskeinen rooli kulttuurin, riippumattomien tiedotusvälineiden ja kansalaisyhteiskunnan tukemisessa ja yhteiskunnan selviytymiskyvyn, kansalaisvaikuttamisen ja demokratian vahvistamisen edistämisessä unionissa;</w:t>
      </w:r>
    </w:p>
    <w:p w:rsidR="00A87D2F" w:rsidRPr="00AE4D2E" w:rsidP="00AE4D2E" w14:paraId="0955C3E7" w14:textId="65A2980D">
      <w:pPr>
        <w:pStyle w:val="NormalHanging12a"/>
        <w:widowControl/>
      </w:pPr>
      <w:r w:rsidRPr="00AE4D2E">
        <w:t>1.</w:t>
      </w:r>
      <w:r w:rsidRPr="00AE4D2E">
        <w:tab/>
        <w:t xml:space="preserve">huomauttaa, että äskettäin ehdotetussa AgoraEU-ohjelmassa yhdistetään kaksi erillistä olemassa olevaa ohjelmaa – CREA ja CERV – ja siihen sisällytetään rahoitus, joka liittyy MEDIA-toimiin, joita tuetaan komission toimivallan nojalla; panee merkille, että komission ehdotukseen sisältyy merkittävä talousarvion lisäys CERV- ja CREA </w:t>
      </w:r>
      <w:r>
        <w:noBreakHyphen/>
      </w:r>
      <w:r w:rsidRPr="00AE4D2E">
        <w:t>ohjelmien yhteenlaskettuihin kauden 2021–2027 määrärahoihin verrattuna; painottaa, että näihin ohjelmiin kohdistuu rakenteellista ylikysyntää, ja toteaa, että kysyntä ylittää merkittävästi sen, mikä on mahdollista ohjelmien yksittäisten talousarvioiden puitteissa; korostaa, että AgoraEU-ohjelmalla on keskeinen rooli unionin demokratioiden selviytymiskyvyn edistämisessä; painottaa siksi, että ehdotettua talousarviota on kasvatettava entisestään;</w:t>
      </w:r>
    </w:p>
    <w:p w:rsidR="00F94599" w:rsidRPr="00AE4D2E" w:rsidP="00AE4D2E" w14:paraId="3A493AFA" w14:textId="77777777">
      <w:pPr>
        <w:pStyle w:val="NormalHanging12a"/>
        <w:widowControl/>
      </w:pPr>
      <w:r w:rsidRPr="00AE4D2E">
        <w:t>2.</w:t>
      </w:r>
      <w:r w:rsidRPr="00AE4D2E">
        <w:tab/>
        <w:t xml:space="preserve">katsoo, että ohjelman määrärahoja olisi kasvatettava 8 582 000 000 eurosta käypinä hintoina 10 720 330 000 euroon käypinä hintoina ja 9 500 000 000 euroon vuoden 2025 hintoina, jotta sillä olisi riittävät resurssit saavuttaa tavoitteensa, samalla kun </w:t>
      </w:r>
      <w:r w:rsidRPr="00AE4D2E">
        <w:t>varmistetaan, ettei yhdistäminen heikennä tukea kulttuurialalle ja luoville aloille, riippumattomille tiedotusvälineille, kansalaisyhteiskunnalle, demokraattiselle osallistumiselle ja tasa-arvolle, ja että sillä tuetaan edelleen Daphne-toimia ja edistetään per</w:t>
      </w:r>
      <w:r w:rsidRPr="00AE4D2E">
        <w:t>usoikeuksia;</w:t>
      </w:r>
    </w:p>
    <w:p w:rsidR="00950C9F" w:rsidRPr="00AE4D2E" w:rsidP="00AE4D2E" w14:paraId="26685C4B" w14:textId="77777777">
      <w:pPr>
        <w:pStyle w:val="NormalHanging12a"/>
        <w:widowControl/>
      </w:pPr>
      <w:r w:rsidRPr="00AE4D2E">
        <w:t>3.</w:t>
      </w:r>
      <w:r w:rsidRPr="00AE4D2E">
        <w:tab/>
        <w:t xml:space="preserve">panee tyytyväisenä merkille äskettäin julkaistun EU:n kansalaisyhteiskuntastrategian, jossa tunnustetaan kansalaisyhteiskunnan organisaatioiden tärkeä rooli neuvonnan, tuen ja asiantuntemuksen tarjoamisessa EU:n lainsäädännön ja toimintapolitiikkojen kehittämistä ja täytäntöönpanoa varten; painottaa tässä yhteydessä tarvetta varmistaa kansalaisyhteiskunnan organisaatioiden pitkän aikavälin ennakoitavissa oleva ja riittävä rahoitus, tarvittaessa myös toiminta-avustuksilla, noudattaen täydellistä avoimuutta </w:t>
      </w:r>
      <w:r w:rsidRPr="00AE4D2E">
        <w:t>ja vastuuvelvollisuutta;</w:t>
      </w:r>
    </w:p>
    <w:p w:rsidR="00950C9F" w:rsidRPr="00AE4D2E" w:rsidP="00AE4D2E" w14:paraId="0CA96A10" w14:textId="77777777">
      <w:pPr>
        <w:pStyle w:val="NormalHanging12a"/>
        <w:widowControl/>
      </w:pPr>
      <w:r w:rsidRPr="00AE4D2E">
        <w:t>4.</w:t>
      </w:r>
      <w:r w:rsidRPr="00AE4D2E">
        <w:tab/>
        <w:t>korostaa tarvetta varmistaa AgoraEU-ohjelman laaja saavutettavuus sen kaikilla toimintalohkoilla; palauttaa tässä yhteydessä mieliin varainhoitoasetuksen</w:t>
      </w:r>
      <w:r>
        <w:rPr>
          <w:rStyle w:val="FootnoteReference"/>
        </w:rPr>
        <w:footnoteReference w:id="2"/>
      </w:r>
      <w:r w:rsidRPr="00AE4D2E">
        <w:t xml:space="preserve"> 207 artiklan, joka mahdollistaa rahoitustuen myöntämisen kolmansille osapuolille (”kaskadirahoitus”);</w:t>
      </w:r>
    </w:p>
    <w:p w:rsidR="00F94599" w:rsidRPr="00AE4D2E" w:rsidP="00AE4D2E" w14:paraId="5A569FDC" w14:textId="77777777">
      <w:pPr>
        <w:pStyle w:val="NormalHanging12a"/>
        <w:widowControl/>
      </w:pPr>
      <w:r w:rsidRPr="00AE4D2E">
        <w:t>5.</w:t>
      </w:r>
      <w:r w:rsidRPr="00AE4D2E">
        <w:tab/>
        <w:t>katsoo, että vuosien 2028–2034 monivuotisen rahoituskehyksen ohjelmakauden alusta alkaen ja koko sen ajan on oltava käytettävissä riittävästi resursseja, myös henkilöresursseja sekä teknisiä ja tietoteknisiä resursseja, myös toimeenpanovirastolle, joka voi hallinnoida suoraan osaa ohjelmasta, jotta voidaan varmistaa AgoraEU-ohjelman tehokas täytäntöönpano; painottaa, että ohjelmien tehokas täytäntöönpano ja EU:n toimintapolitiikkojen ja ohjelmien moitteeton täytäntöönpano, mukaan lukien asianmukainen seura</w:t>
      </w:r>
      <w:r w:rsidRPr="00AE4D2E">
        <w:t>nta ja täytäntöönpanon valvonta, ovat riippuvaisia unionin hallinnon riittävästä rahoituksesta ja henkilöstöstä; muistuttaa pitkäaikaisesta kannastaan, jonka mukaan hallintomenoja ei saa toteuttaa ohjelman määrärahojen kustannuksella;</w:t>
      </w:r>
    </w:p>
    <w:p w:rsidR="00F94599" w:rsidRPr="00AE4D2E" w:rsidP="00AE4D2E" w14:paraId="483F8FAA" w14:textId="77777777">
      <w:pPr>
        <w:pStyle w:val="NormalHanging12a"/>
        <w:widowControl/>
      </w:pPr>
      <w:r w:rsidRPr="00AE4D2E">
        <w:t>6.</w:t>
      </w:r>
      <w:r w:rsidRPr="00AE4D2E">
        <w:tab/>
        <w:t>korostaa, että riittävän yksityiskohtainen ja vakaa lainsäädäntö sekä asiaankuuluva hallinnon taso ovat moitteettoman talousarviota koskevan päätöksenteon ja riittävän parlamentaarisen valvonnan edellytys talousarviota toteutettaessa; suosittelee ottamaan käyttöön säännöksiä, joilla vahvistetaan sen valvontaa, miten talousarviovaroja otetaan käyttöön ja käytetään, ja painottaa säännöllisen arvioinnin merkitystä; katsoo, että niin kutsutulla ohjausmekanismilla ei voida missään tapauksessa korvata parlamenti</w:t>
      </w:r>
      <w:r w:rsidRPr="00AE4D2E">
        <w:t>n lainsäädäntö- ja budjettivaltaa eikä sitä voida suunnitella ilman moitteetonta hallintorakennetta, jolla varmistetaan tällaisten valtuuksien tehokas käyttö;</w:t>
      </w:r>
    </w:p>
    <w:p w:rsidR="00950C9F" w:rsidRPr="00AE4D2E" w:rsidP="00AE4D2E" w14:paraId="4977574E" w14:textId="77777777">
      <w:pPr>
        <w:pStyle w:val="NormalHanging12a"/>
        <w:widowControl/>
      </w:pPr>
      <w:r w:rsidRPr="00AE4D2E">
        <w:t>7.</w:t>
      </w:r>
      <w:r w:rsidRPr="00AE4D2E">
        <w:tab/>
        <w:t>painottaa, että ohjelman täytäntöönpanon joustavuuden lisääminen ei saa johtaa talousarvion täytäntöönpanon tosiasialliseen keskittämiseen komission tasolle eikä heikentää budjettivallan käyttäjän oikeuksia; painottaa, että yksinkertaistaminen ja joustavuus eivät saa tapahtua avoimuuden ja budjettivallan käyttäjän suorittaman valvonnan kustannuksella; suosittelee siksi, että kokonaismäärärahat jaotellaan AgoraEU:n eri toimintalohkoja vastaavasti; painottaa, että olisi varmistettava avoimuus kohdennettaessa</w:t>
      </w:r>
      <w:r w:rsidRPr="00AE4D2E">
        <w:t xml:space="preserve"> resursseja monialaisiin toimiin; suosittelee, että jos asian käsittelyä johtavat valiokunnat päättävät perustaa enemmän toimintalohkoja kuin komission </w:t>
      </w:r>
      <w:r w:rsidRPr="00AE4D2E">
        <w:t>ehdotuksessa on, niitä varten olisi määriteltävä myös ohjeelliset määrärahat;</w:t>
      </w:r>
    </w:p>
    <w:p w:rsidR="00F94599" w:rsidRPr="00AE4D2E" w:rsidP="00AE4D2E" w14:paraId="025D306B" w14:textId="77777777">
      <w:pPr>
        <w:pStyle w:val="NormalHanging12a"/>
        <w:widowControl/>
      </w:pPr>
      <w:r w:rsidRPr="00AE4D2E">
        <w:t>8.</w:t>
      </w:r>
      <w:r w:rsidRPr="00AE4D2E">
        <w:tab/>
        <w:t>korostaa, että AgoraEU-ohjelman osilla on eri tavoitteet, niillä vallitsee erilaiset realiteetit ja rakenteet ja että niillä aloilla, joihin ne kohdistuvat, on erilaiset tehtävät ja liiketoimintamallit, mikä olisi otettava asianmukaisesti huomioon ehdotetun asetuksen muotoilussa; pitää valitettavana, että säädösehdotukseen liittyvässä rahoitusta ja digitaalisia vaikutuksia koskevassa selvityksessä ei ole ehdotettu riittävän yksityiskohtaista ohjeellista budjettinimikkeistöä, ja katsoo, että tämä haittaa va</w:t>
      </w:r>
      <w:r w:rsidRPr="00AE4D2E">
        <w:t>lvontaa ja budjettivallan käyttäjän kykyä ohjata tarkasti politiikkapainopisteitä vuotuisessa talousarviomenettelyssä; toteaa myös, että tämä antaisi komissiolle huomattavan paljon liikkumavaraa muuttaa menojen painopisteitä ja päättää niistä täytäntöönpanon aikana; on huolissaan siitä, että liian erittelemätön talousarviorakenne lisäisi merkittävästi komission harkintavaltaa varojen siirtämisessä ja uudelleen kohdentamisessa ilman budjettivallan käyttäjän päätöstä ja rajoittaisi merkittävästi parlamentaari</w:t>
      </w:r>
      <w:r w:rsidRPr="00AE4D2E">
        <w:t>sta valvontaa; suosittelee siksi yksityiskohtaisempaa nimikkeistöä, joka kuvastaa asianmukaisesti ohjelman tavoitteita ja rakennetta ja lisää avoimuutta, vastuuvelvollisuutta ja parlamentaarista valvontaa;</w:t>
      </w:r>
    </w:p>
    <w:p w:rsidR="00950C9F" w:rsidRPr="00AE4D2E" w:rsidP="00AE4D2E" w14:paraId="4C172D9F" w14:textId="77777777">
      <w:pPr>
        <w:pStyle w:val="NormalHanging12a"/>
        <w:widowControl/>
      </w:pPr>
      <w:r w:rsidRPr="00AE4D2E">
        <w:t>9.</w:t>
      </w:r>
      <w:r w:rsidRPr="00AE4D2E">
        <w:tab/>
        <w:t>muistuttaa, että budjettinimikkeistön on noudatettava varainhoitoasetuksen 47 artiklan 2 kohtaa, jossa säädetään, että kunkin osaston on vastattava toimintalohkoa ja kunkin luvun pääsääntöisesti ohjelmaa tai toimintoa erittelyperiaatteen, moitteettoman varainhoidon periaatteen ja avoimuusperiaatteen mukaisesti; suosittelee, että kulttuuri- ja koulutusvaliokunta ja kansalaisvapauksien sekä oikeus- ja sisäasioiden valiokunta tarkistavat ehdotusta lisäämällä siihen liitteen, jossa määritellään ohjelman nimikk</w:t>
      </w:r>
      <w:r w:rsidRPr="00AE4D2E">
        <w:t>eistö; painottaa, että budjettinimikkeistö on erottamaton osa parlamentin neuvottelukantaa ja että siitä on keskusteltava toimielinten välisissä neuvotteluissa; katsoo tältä osin, että säädösehdotukseen liittyvän tarkistetun rahoitusta ja digitaalisia vaikutuksia koskevan selvityksen on oltava osa lopullista poliittista yhteisymmärrystä;</w:t>
      </w:r>
    </w:p>
    <w:p w:rsidR="00F94599" w:rsidRPr="00AE4D2E" w:rsidP="00AE4D2E" w14:paraId="303E01CF" w14:textId="77777777">
      <w:pPr>
        <w:pStyle w:val="NormalHanging12a"/>
        <w:widowControl/>
      </w:pPr>
      <w:r w:rsidRPr="00AE4D2E">
        <w:t>10.</w:t>
      </w:r>
      <w:r w:rsidRPr="00AE4D2E">
        <w:tab/>
        <w:t>muistuttaa, että ehdotukseen sisältyy mahdollisuus käyttää talousarviotakuuta; korostaa, että AgoraEU:n mukaisten lainanotto- ja lainanantotoimien talousarviovaikutukset on määriteltävä selkeästi ja esitettävä avoimesti ja niitä on seurattava tarkasti koko monivuotisen rahoituskehyksen kattaman ajanjakson ajan; painottaa erityisesti, että niiden mahdolliset vaikutukset muihin takuisiin sekä vaikutus ohjelmasta myönnettävien avustusten saatavuuteen on arvioitava kaikilta osin ja otettava asianmukaisesti huo</w:t>
      </w:r>
      <w:r w:rsidRPr="00AE4D2E">
        <w:t>mioon; vaatii, että kaikissa tällaisiin toimiin liittyvissä päätöksissä on kunnioitettava täysin lainsäätäjien toimivaltaa ja budjettivallan käyttäjän oikeuksia; painottaa, että tällaisia välineitä olisi käytettävä strategisesti EU:n rahoituksen vaikutuksen, tehokkuuden ja kestävyyden maksimoimiseen, samalla kun varmistetaan täysi avoimuus ja moitteeton riskinhallinta;</w:t>
      </w:r>
    </w:p>
    <w:p w:rsidR="00F94599" w:rsidRPr="00AE4D2E" w:rsidP="00AE4D2E" w14:paraId="55D832E5" w14:textId="77777777">
      <w:pPr>
        <w:pStyle w:val="NormalHanging12a"/>
        <w:widowControl/>
      </w:pPr>
      <w:r w:rsidRPr="00AE4D2E">
        <w:t>11.</w:t>
      </w:r>
      <w:r w:rsidRPr="00AE4D2E">
        <w:tab/>
        <w:t>edellyttää, että rahoitusvälineiden käyttö AgoraEU-rahoituksen rinnalla esitetään asianmukaisesti ja että rahoitusta yhdistäviin toimiin ja muihin rahoitusvälineisiin varattu kokonaismäärä määritetään tarvittaessa vuotuisessa talousarviomenettelyssä; vaatii, että rahoitusta yhdistävillä toimilla käyttöön otetut määrät ovat finanssipoliittisesti vastuullisia ja korkotasoltaan kohtuullisia;</w:t>
      </w:r>
    </w:p>
    <w:p w:rsidR="00950C9F" w:rsidRPr="00AE4D2E" w:rsidP="00AE4D2E" w14:paraId="62256D15" w14:textId="77777777">
      <w:pPr>
        <w:pStyle w:val="NormalHanging12a"/>
        <w:widowControl/>
      </w:pPr>
      <w:r w:rsidRPr="00AE4D2E">
        <w:t>12.</w:t>
      </w:r>
      <w:r w:rsidRPr="00AE4D2E">
        <w:tab/>
        <w:t xml:space="preserve">muistuttaa, että ehdotus tarjoaa mahdollisuuden kohdentaa uudelleen varoja yhteistyössä hallinnoitaviin ohjelmiin ja niistä pois, mutta korostaa, että tällaisilla synergioilla olisi edistettävä politiikan täytäntöönpanoa; yhtyy Euroopan </w:t>
      </w:r>
      <w:r w:rsidRPr="00AE4D2E">
        <w:t>tilintarkastustuomioistuimen suositukseen, jonka mukaan kaikki uudelleenkohdentamiset olisi perusteltava asianmukaisesti kussakin tapauksessa ja toteutettava koordinoidusti komission ja jäsenvaltioiden välillä; painottaa tarvetta varmistaa uudelleenkohdennettujen määrien tä</w:t>
      </w:r>
      <w:r w:rsidRPr="00AE4D2E">
        <w:t>ydellinen jäljitettävyys;</w:t>
      </w:r>
    </w:p>
    <w:p w:rsidR="00950C9F" w:rsidRPr="00AE4D2E" w:rsidP="00AE4D2E" w14:paraId="50D69C10" w14:textId="77777777">
      <w:pPr>
        <w:pStyle w:val="NormalHanging12a"/>
        <w:widowControl/>
      </w:pPr>
      <w:r w:rsidRPr="00AE4D2E">
        <w:t>13.</w:t>
      </w:r>
      <w:r w:rsidRPr="00AE4D2E">
        <w:tab/>
      </w:r>
      <w:r w:rsidRPr="00AE4D2E">
        <w:t>korostaa tarvetta määritellä tukikelpoisuusajan päättyminen ja teknisten ja hallinnollisten menojen enimmäismäärä sekä selkeyttää entisestään Euroopan tilintarkastustuomioistuimen tarkastusoikeuksia, myös ”kolmansien maiden” eli EU:n oikeudellisen kehyksen ulkopuolisten edunsaajien osalta;</w:t>
      </w:r>
    </w:p>
    <w:p w:rsidR="00950C9F" w:rsidRPr="00AE4D2E" w:rsidP="00AE4D2E" w14:paraId="542DFF0F" w14:textId="77777777">
      <w:pPr>
        <w:pStyle w:val="NormalHanging12a"/>
        <w:widowControl/>
      </w:pPr>
      <w:r w:rsidRPr="00AE4D2E">
        <w:t>14.</w:t>
      </w:r>
      <w:r w:rsidRPr="00AE4D2E">
        <w:tab/>
        <w:t>katsoo, että rahoitusvälineistä takaisin saatavien varojen olisi säilyttävä käytettävissä AgoraEU-ohjelmassa;</w:t>
      </w:r>
    </w:p>
    <w:p w:rsidR="00F94599" w:rsidRPr="00AE4D2E" w:rsidP="00AE4D2E" w14:paraId="039EB5D9" w14:textId="77777777">
      <w:pPr>
        <w:pStyle w:val="NormalHanging12a"/>
        <w:widowControl/>
      </w:pPr>
      <w:r w:rsidRPr="00AE4D2E">
        <w:t>15.</w:t>
      </w:r>
      <w:r w:rsidRPr="00AE4D2E">
        <w:tab/>
        <w:t>panee merkille ehdotetun täydentävyyden AgoraEU:n ja muiden unionin ohjelmien, rahastojen ja aloitteiden, kuten eurooppalaisen demokratian kilven, oikeusalan ohjelman, Erasmus+-ohjelman, Globaali Eurooppa -välineen, Euroopan kilpailukykyrahaston, Horisontti Eurooppa -puiteohjelman sekä kansallisten ja alueellisten kumppanuussuunnitelmien mukaisten yhteistyössä hallinnoitavien rahastojen, välillä; korostaa, että välineiden keskinäisen täydentävyyden lisääminen ei saa heikentää menojen jäljitettävyyttä tai b</w:t>
      </w:r>
      <w:r w:rsidRPr="00AE4D2E">
        <w:t>udjettivallan käyttäjän oikeuksia; painottaa, että toimissa, joita rahoitetaan yhdessä muiden välineiden kanssa, AgoraEU:n rahoitusosuuden on oltava selkeästi yksilöitävissä talousarviosyklin kaikissa vaiheissa; korostaa tässä yhteydessä, että kaikki tällaiset rahoitusosuudet on otettava asianmukaisesti huomioon AgoraEU-ohjelman tuloksellisuutta koskevassa lausunnossa; vaatii, että budjettivallan käyttäjä valvoo edelleen kattavasti sitä, miten eri välineiden resursseja yhdistetään, ja sitä, miten kukin ohje</w:t>
      </w:r>
      <w:r w:rsidRPr="00AE4D2E">
        <w:t>lma tosiasiallisesti edistää EU:n painopisteitä, erityisesti yksityiskohtaisen budjettinimikkeistön avulla; korostaa, että ohjelmien täydentävyyden lisääminen ei saa johtaa suhteettomaan monimutkaisuuteen tuensaajille; kehottaa tekemään EU:n rahoituksesta selkeämpää, helpommin saatavilla olevaa ja johdonmukaisempaa, jotta voidaan helpottaa sen käyttöönottoa ja maksimoida investointien vaikutus;</w:t>
      </w:r>
    </w:p>
    <w:p w:rsidR="00F94599" w:rsidRPr="00AE4D2E" w:rsidP="00AE4D2E" w14:paraId="7AB2FFAC" w14:textId="77777777">
      <w:pPr>
        <w:pStyle w:val="NormalHanging12a"/>
        <w:widowControl/>
      </w:pPr>
      <w:r w:rsidRPr="00AE4D2E">
        <w:t>16.</w:t>
      </w:r>
      <w:r w:rsidRPr="00AE4D2E">
        <w:tab/>
        <w:t>tähdentää, että ulkoisten käyttötarkoitukseensa sidottujen tulojen käytön AgoraEU:n puitteissa on oltava selkeästi rajattua ja täysin avointa ja siihen on kohdistettava tehokasta parlamentaarista valvontaa; panee tältä osin merkille säännökset, jotka koskevat osallistuvien kolmansien maiden ja muiden avunantajien lisärahoitusosuuksia ohjelmaan; muistuttaa, että on tärkeää varmistaa ulkoisten käyttötarkoitukseensa sidottujen tulojen jäljitettävyys; korostaa, että jos asian käsittelyä johtavat valiokunnat ha</w:t>
      </w:r>
      <w:r w:rsidRPr="00AE4D2E">
        <w:t>rkitsevat ulkoisia käyttötarkoitukseensa sidottuja tuloja koskevien säännösten tarkistamista, se olisi tehtävä koordinoidusti budjettivaliokunnan ja muiden valiokuntien kanssa, jotta varmistetaan lähestymistavan johdonmukaisuus; toteaa, että kolmansien osapuolten, myös yksityisen sektorin, rahoitusosuudet voivat hyödyttää ohjelmaa; korostaa, että tällaiset rahoitusosuudet on pantava täytäntöön varainhoitoasetuksen mukaisesti erityisesti riippumattomuuden ja puolueettomuuden osalta;</w:t>
      </w:r>
    </w:p>
    <w:p w:rsidR="00972442" w:rsidRPr="00AE4D2E" w:rsidP="00AE4D2E" w14:paraId="40077261" w14:textId="77777777">
      <w:pPr>
        <w:pStyle w:val="NormalHanging12a"/>
        <w:widowControl/>
      </w:pPr>
      <w:r w:rsidRPr="00AE4D2E">
        <w:t>17.</w:t>
      </w:r>
      <w:r w:rsidRPr="00AE4D2E">
        <w:tab/>
        <w:t xml:space="preserve">korostaa, että kolmansien maiden organisaatioiden osallistuminen, joka olisi määriteltävä selkeästi ja perusteltava asianmukaisesti avoimella tavalla kussakin vuotuisessa työohjelmassa riippumatta siitä, ovatko nämä maat assosioituneita vai eivät, olisi toteutettava avoimuuden, rahoituksen vastavuoroisuuden ja sääntelyn yhdenmukaistamisen periaatteiden mukaisesti; korostaa, että tässä yhteydessä </w:t>
      </w:r>
      <w:r w:rsidRPr="00AE4D2E">
        <w:t>kolmansien maiden olisi myönnettävä riittävä rahoitusosuus ohjelmalle; korostaa, että tällaisen osallistumisen e</w:t>
      </w:r>
      <w:r w:rsidRPr="00AE4D2E">
        <w:t>dellytyksenä olisi oltava sääntelyn riittävä yhdenmukaistaminen erityisesti audiovisuaalisista mediapalveluista annetun direktiivin 2010/13/EU</w:t>
      </w:r>
      <w:r>
        <w:rPr>
          <w:rStyle w:val="FootnoteReference"/>
        </w:rPr>
        <w:footnoteReference w:id="3"/>
      </w:r>
      <w:r w:rsidRPr="00AE4D2E">
        <w:t xml:space="preserve"> säännösten kanssa etenkin audiovisuaalialan yhteistyön yhteydessä; korostaa tarvetta varmistaa selkeät suojatoimet siinä tapauksessa, että kolmas maa ei noudata assosiaatiosopimuksessa antamiaan sitoumuksia, tai jos vakavat ja jatkuvat puutteet uhkaavat vaikuttaa moitteettomaan varainhoitoon ja unionin taloudellisten etujen suojaamiseen;</w:t>
      </w:r>
    </w:p>
    <w:p w:rsidR="00972442" w:rsidRPr="00AE4D2E" w:rsidP="00AE4D2E" w14:paraId="78BBC7AE" w14:textId="77777777">
      <w:pPr>
        <w:pStyle w:val="NormalHanging12a"/>
        <w:widowControl/>
      </w:pPr>
      <w:r w:rsidRPr="00AE4D2E">
        <w:t>18.</w:t>
      </w:r>
      <w:r w:rsidRPr="00AE4D2E">
        <w:tab/>
        <w:t>katsoo, että kaikki merkittävät toimintapoliittiset valinnat, kuten ohjelman tavoitteet, varainkäytön painopisteet, määrärahat, rahoitusosuudet, kelpoisuus-, valinta- ja myöntämisperusteet, edellytykset, määritelmät ja laskentamenetelmät, on määritettävä asianomaisessa perussäädöksessä kunnioittaen kaikilta osin parlamentin oikeuksia toisena lainsäätäjänä ja EU:n budjettivallan käyttäjänä ja että kaikki täydentävät ja muut kuin keskeiset osat, joihin sisältyy toimintapoliittisia valintoja, jotka eivät sisä</w:t>
      </w:r>
      <w:r w:rsidRPr="00AE4D2E">
        <w:t>lly perussäädökseen, on hyväksyttävä yksinomaan delegoiduilla säädöksillä, työohjelmat mukaan lukien;</w:t>
      </w:r>
    </w:p>
    <w:p w:rsidR="00F94599" w:rsidRPr="00AE4D2E" w:rsidP="00AE4D2E" w14:paraId="56E8533F" w14:textId="77777777">
      <w:pPr>
        <w:pStyle w:val="NormalHanging12a"/>
        <w:widowControl/>
      </w:pPr>
      <w:r w:rsidRPr="00AE4D2E">
        <w:t>19.</w:t>
      </w:r>
      <w:r w:rsidRPr="00AE4D2E">
        <w:tab/>
        <w:t>palauttaa mieliin ehdotuksen asetukseksi talousarvion menojen seurantaa ja tuloksellisuutta koskevan kehyksen sekä unionin ohjelmia ja toimintaa koskevien muiden horisontaalisten sääntöjen vahvistamisesta</w:t>
      </w:r>
      <w:r>
        <w:rPr>
          <w:rStyle w:val="FootnoteReference"/>
        </w:rPr>
        <w:footnoteReference w:id="4"/>
      </w:r>
      <w:r w:rsidRPr="00AE4D2E">
        <w:t xml:space="preserve"> (”tuloksellisuusasetus”), jossa vahvistetaan yksi yksinkertaistettu luettelo tuloksellisuusindikaattoreista sekä seuranta- ja arviointisäännöksistä, joista osa on merkityksellisiä AgoraEU:n kannalta; korostaa, että kaikki muutokset ohjelman rakenteeseen, tavoitteisiin ja tukikelpoisiin toimiin on otettava asianmukaisesti huomioon tuloksellisuusasetuksen liitteen I asiaa koskevissa säännöksissä osana kyseisen asetuksen muuttamista ja siitä käytäviä neuvotteluja koskevaa prosessia; huomauttaa, että vaikka al</w:t>
      </w:r>
      <w:r w:rsidRPr="00AE4D2E">
        <w:t>akohtaisella lainsäädännöllä voidaan täydentää tuloksellisuusasetusta esimerkiksi ohjelma-arviointien osalta, sen olisi pysyttävä kyseisen asetuksen säännösten mukaisena; ilmaisee huolensa siitä, että se, että AgoraEU:sta rahoitettavat sekalaiset toimet vaikuttavat tuloksellisuusindikaattorien luotettavuuteen, ja kehottaa yksilöimään selkeämmin ohjelmalohkokohtaiset tulokset, painottamaan enemmän tuloksia tuotosten sijaan ja yhdenmukaistamaan tietojen laatua koskevat vaatimukset;</w:t>
      </w:r>
    </w:p>
    <w:p w:rsidR="00972442" w:rsidRPr="00AE4D2E" w:rsidP="00AE4D2E" w14:paraId="29CE8D9A" w14:textId="77777777">
      <w:pPr>
        <w:pStyle w:val="NormalHanging12a"/>
        <w:widowControl/>
      </w:pPr>
      <w:r w:rsidRPr="00AE4D2E">
        <w:t>20.</w:t>
      </w:r>
      <w:r w:rsidRPr="00AE4D2E">
        <w:tab/>
        <w:t>korostaa, että kaiken rahoituksen on oltava unionin lainsäädännön ja toimintapolitiikan kehittämiseen, täytäntöönpanoon, seurantaan ja täytäntöönpanon valvontaan liittyvän toiminnan rahoitusta koskevan komission ohjeistuksen mukaista;</w:t>
      </w:r>
    </w:p>
    <w:p w:rsidR="00972442" w:rsidRPr="00AE4D2E" w:rsidP="00AE4D2E" w14:paraId="741B0E21" w14:textId="77777777">
      <w:pPr>
        <w:pStyle w:val="NormalHanging12a"/>
        <w:widowControl/>
      </w:pPr>
      <w:r w:rsidRPr="00AE4D2E">
        <w:t>21.</w:t>
      </w:r>
      <w:r w:rsidRPr="00AE4D2E">
        <w:tab/>
        <w:t>katsoo, että unionin taloudellisten etujen turvaaminen ja unionin talousarvion suojaaminen on olennaisen tärkeää kaikissa unionin talousarvion toteuttamisen vaiheissa; painottaa, että kustannuksiin perustumattoman rahoituksen tai muiden yksinkertaistettujen kustannusvaihtoehtojen käyttö ei saisi vaikuttaa komission, Euroopan petostentorjuntaviraston, Euroopan tilintarkastustuomioistuimen ja Euroopan syyttäjänviraston tarkastus- tai tutkintaoikeuksiin; korostaa sekä ennakko- että jälkitarkastusten merkityst</w:t>
      </w:r>
      <w:r w:rsidRPr="00AE4D2E">
        <w:t xml:space="preserve">ä pyrittäessä estämään päällekkäinen rahoitus ja varmistamaan moitteettomat myöntämismenettelyt, jäljitettävyys kaikissa ohjelmissa ja </w:t>
      </w:r>
      <w:r w:rsidRPr="00AE4D2E">
        <w:t>täytäntöönpanon avoimuus;</w:t>
      </w:r>
    </w:p>
    <w:p w:rsidR="00972442" w:rsidRPr="00AE4D2E" w:rsidP="00AE4D2E" w14:paraId="4CFA093D" w14:textId="77777777">
      <w:pPr>
        <w:pStyle w:val="NormalHanging12a"/>
        <w:widowControl/>
      </w:pPr>
      <w:r w:rsidRPr="00AE4D2E">
        <w:t>22.</w:t>
      </w:r>
      <w:r w:rsidRPr="00AE4D2E">
        <w:tab/>
        <w:t>muistuttaa, että varainhoitoasetuksen 6 artiklan 2 kohdan mukaan talousarvion laatimisessa ja toteuttamisessa on noudatettava yleistä ehdollisuusjärjestelmää siinä tapauksessa, että oikeusvaltion periaatteita rikotaan; tähdentää lisäksi, että saman asetuksen 6 artiklan 3 kohdassa edellytetään, että jäsenvaltiot ja komissio varmistavat talousarviota toteuttaessaan Euroopan unionin perusoikeuskirjan noudattamisen ja kunnioittavat arvoja, joille unioni rakentuu, sellaisina kuin ne on vahvistettu Euroopan unio</w:t>
      </w:r>
      <w:r w:rsidRPr="00AE4D2E">
        <w:t>nista tehdyn sopimuksen 2 artiklassa;</w:t>
      </w:r>
    </w:p>
    <w:p w:rsidR="00972442" w:rsidRPr="00AE4D2E" w:rsidP="00AE4D2E" w14:paraId="2F414FBD" w14:textId="77777777">
      <w:pPr>
        <w:pStyle w:val="NormalHanging12a"/>
        <w:widowControl/>
      </w:pPr>
      <w:r w:rsidRPr="00AE4D2E">
        <w:t>23.</w:t>
      </w:r>
      <w:r w:rsidRPr="00AE4D2E">
        <w:tab/>
        <w:t>painottaa, että tapauksissa, joissa kansalliset hallitukset rikkovat oikeusvaltioperiaatetta, komission olisi selvitettävä keinoja varmistaa, että mahdolliset lopulliset edunsaajat ja vastaanottajat voivat edelleen saada unionin rahoitusta, sanotun kuitenkaan rajoittamatta asetuksen (EU, Euratom) 2020/2092</w:t>
      </w:r>
      <w:r>
        <w:rPr>
          <w:rStyle w:val="FootnoteReference"/>
        </w:rPr>
        <w:footnoteReference w:id="5"/>
      </w:r>
      <w:r w:rsidRPr="00AE4D2E">
        <w:t xml:space="preserve"> soveltamista; korostaa, että tämä periaate on älykkään ehdollisuuden ytimessä;</w:t>
      </w:r>
    </w:p>
    <w:p w:rsidR="00F94599" w:rsidRPr="00AE4D2E" w:rsidP="00AE4D2E" w14:paraId="779CD2AF" w14:textId="77777777">
      <w:pPr>
        <w:pStyle w:val="NormalHanging12a"/>
        <w:widowControl/>
      </w:pPr>
      <w:r w:rsidRPr="00AE4D2E">
        <w:t>24.</w:t>
      </w:r>
      <w:r w:rsidRPr="00AE4D2E">
        <w:tab/>
        <w:t>muistuttaa, että varainhoitoasetuksen mukaan ohjelmat ja toimet olisi, jos se on mahdollista ja asianmukaista, asiaankuuluvien alakohtaisten sääntöjen mukaisesti toteutettava niille asetettujen tavoitteiden saavuttamiseksi noudattaen sovellettavan kansallisen lainsäädännön, unionin oikeuden, Kansainvälisen työjärjestön yleissopimusten ja työehtosopimusten mukaisia työoloja ja -ehtoja sekä ottaen huomioon sukupuolten tasa-arvon periaate ja ei merkittävää haittaa -periaate; muistuttaa tässä yhteydessä toimie</w:t>
      </w:r>
      <w:r w:rsidRPr="00AE4D2E">
        <w:t>linten yhteisessä julistuksessa ”Eurooppa kulttuurin puolesta ja kulttuuri Euroopan puolesta” annetuista sitoumuksista, joiden mukaan jokaisella on oikeus oikeudenmukaisiin, kohtuullisiin, terveellisiin ja turvallisiin työoloihin, myös taiteilijoilla ja kulttuurialan ammattilaisilla, jotka ovat kulttuuri- ja luovien alojen ja toimialojen toiminnan ytimessä; muistuttaa lisäksi, että oikeudenmukainen korvaus ja asianmukaiset työolot ovat olennaisen tärkeitä taiteellisen vapauden ja kulttuurisen monimuotoisuud</w:t>
      </w:r>
      <w:r w:rsidRPr="00AE4D2E">
        <w:t>en kannalta.</w:t>
      </w:r>
    </w:p>
    <w:p w:rsidR="00C8553D" w:rsidRPr="00AE4D2E" w:rsidP="00AE4D2E" w14:paraId="564B7949" w14:textId="77777777">
      <w:pPr>
        <w:widowControl/>
        <w:sectPr w:rsidSect="00A909E9">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FE24DE" w:rsidRPr="00AE4D2E" w:rsidP="00AE4D2E" w14:paraId="2878CD26" w14:textId="77777777">
      <w:pPr>
        <w:pStyle w:val="PageHeadingNotTOC"/>
        <w:widowControl/>
      </w:pPr>
      <w:r w:rsidRPr="00AE4D2E">
        <w:t>TARKISTUKSET</w:t>
      </w:r>
    </w:p>
    <w:p w:rsidR="00395F78" w:rsidRPr="00AE4D2E" w:rsidP="00AE4D2E" w14:paraId="3D62E64C" w14:textId="77777777">
      <w:pPr>
        <w:pStyle w:val="Normal12a"/>
        <w:widowControl/>
      </w:pPr>
      <w:r w:rsidRPr="00AE4D2E">
        <w:t>Talousarvionäkökohtia koskevassa arviossaan budjettivaliokunta esittää ehdotukseen myös seuraavat tarkistukset:</w:t>
      </w:r>
    </w:p>
    <w:p w:rsidR="0068168E" w:rsidRPr="00AE4D2E" w:rsidP="00AE4D2E" w14:paraId="1629D3FE" w14:textId="77777777">
      <w:pPr>
        <w:pStyle w:val="AmNumberTabs"/>
        <w:keepNext/>
        <w:widowControl/>
      </w:pPr>
      <w:r w:rsidRPr="00AE4D2E">
        <w:rPr>
          <w:rStyle w:val="HideTWBExt"/>
          <w:b w:val="0"/>
        </w:rPr>
        <w:t>&lt;RepeatBlock-Amend&gt;</w:t>
      </w:r>
      <w:bookmarkStart w:id="0" w:name="restart"/>
      <w:r w:rsidRPr="00AE4D2E">
        <w:rPr>
          <w:rStyle w:val="HideTWBExt"/>
          <w:b w:val="0"/>
        </w:rPr>
        <w:t>&lt;Amend&gt;</w:t>
      </w:r>
      <w:r w:rsidRPr="00AE4D2E">
        <w:t>Tarkistus</w:t>
      </w:r>
      <w:r w:rsidRPr="00AE4D2E">
        <w:tab/>
      </w:r>
      <w:r w:rsidRPr="00AE4D2E">
        <w:tab/>
      </w:r>
      <w:r w:rsidRPr="00AE4D2E">
        <w:rPr>
          <w:rStyle w:val="HideTWBExt"/>
          <w:b w:val="0"/>
        </w:rPr>
        <w:t>&lt;NumAm&gt;</w:t>
      </w:r>
      <w:r w:rsidRPr="00AE4D2E">
        <w:t>1</w:t>
      </w:r>
      <w:r w:rsidRPr="00AE4D2E">
        <w:rPr>
          <w:rStyle w:val="HideTWBExt"/>
          <w:b w:val="0"/>
        </w:rPr>
        <w:t>&lt;/NumAm&gt;</w:t>
      </w:r>
    </w:p>
    <w:p w:rsidR="0068168E" w:rsidRPr="00AE4D2E" w:rsidP="00AE4D2E" w14:paraId="5DB67DB4" w14:textId="77777777">
      <w:pPr>
        <w:pStyle w:val="NormalBold12b"/>
        <w:keepNext/>
        <w:widowControl/>
      </w:pPr>
      <w:r w:rsidRPr="00AE4D2E">
        <w:rPr>
          <w:rStyle w:val="HideTWBExt"/>
          <w:b w:val="0"/>
        </w:rPr>
        <w:t>&lt;DocAmend&gt;</w:t>
      </w:r>
      <w:r w:rsidRPr="00AE4D2E">
        <w:t>Ehdotus asetukseksi</w:t>
      </w:r>
      <w:r w:rsidRPr="00AE4D2E">
        <w:rPr>
          <w:rStyle w:val="HideTWBExt"/>
          <w:b w:val="0"/>
        </w:rPr>
        <w:t>&lt;/DocAmend&gt;</w:t>
      </w:r>
    </w:p>
    <w:p w:rsidR="0068168E" w:rsidRPr="00AE4D2E" w:rsidP="00AE4D2E" w14:paraId="3D0158B4" w14:textId="77777777">
      <w:pPr>
        <w:pStyle w:val="NormalBold"/>
        <w:widowControl/>
      </w:pPr>
      <w:r w:rsidRPr="00AE4D2E">
        <w:rPr>
          <w:rStyle w:val="HideTWBExt"/>
          <w:b w:val="0"/>
        </w:rPr>
        <w:t>&lt;Article&gt;</w:t>
      </w:r>
      <w:r w:rsidRPr="00AE4D2E">
        <w:t xml:space="preserve"> Johdanto-osan 28 a kappale (uusi)</w:t>
      </w:r>
      <w:r w:rsidRPr="00AE4D2E">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6CCE94A6" w14:textId="77777777" w:rsidTr="0068168E">
        <w:tblPrEx>
          <w:tblW w:w="9752" w:type="dxa"/>
          <w:jc w:val="center"/>
          <w:tblLayout w:type="fixed"/>
          <w:tblCellMar>
            <w:left w:w="340" w:type="dxa"/>
            <w:right w:w="340" w:type="dxa"/>
          </w:tblCellMar>
          <w:tblLook w:val="04A0"/>
        </w:tblPrEx>
        <w:trPr>
          <w:jc w:val="center"/>
        </w:trPr>
        <w:tc>
          <w:tcPr>
            <w:tcW w:w="9752" w:type="dxa"/>
            <w:gridSpan w:val="2"/>
          </w:tcPr>
          <w:p w:rsidR="0068168E" w:rsidRPr="00AE4D2E" w:rsidP="00AE4D2E" w14:paraId="77B4C3F5" w14:textId="77777777">
            <w:pPr>
              <w:keepNext/>
              <w:widowControl/>
            </w:pPr>
          </w:p>
        </w:tc>
      </w:tr>
      <w:tr w14:paraId="10EAA5D6" w14:textId="77777777" w:rsidTr="0068168E">
        <w:tblPrEx>
          <w:tblW w:w="9752" w:type="dxa"/>
          <w:jc w:val="center"/>
          <w:tblLayout w:type="fixed"/>
          <w:tblCellMar>
            <w:left w:w="340" w:type="dxa"/>
            <w:right w:w="340" w:type="dxa"/>
          </w:tblCellMar>
          <w:tblLook w:val="04A0"/>
        </w:tblPrEx>
        <w:trPr>
          <w:jc w:val="center"/>
        </w:trPr>
        <w:tc>
          <w:tcPr>
            <w:tcW w:w="4876" w:type="dxa"/>
            <w:hideMark/>
          </w:tcPr>
          <w:p w:rsidR="0068168E" w:rsidRPr="00AE4D2E" w:rsidP="00AE4D2E" w14:paraId="4C298DE1" w14:textId="77777777">
            <w:pPr>
              <w:pStyle w:val="AmColumnHeading"/>
              <w:keepNext/>
              <w:widowControl/>
            </w:pPr>
            <w:r w:rsidRPr="00AE4D2E">
              <w:t>Komission teksti</w:t>
            </w:r>
          </w:p>
        </w:tc>
        <w:tc>
          <w:tcPr>
            <w:tcW w:w="4876" w:type="dxa"/>
            <w:hideMark/>
          </w:tcPr>
          <w:p w:rsidR="0068168E" w:rsidRPr="00AE4D2E" w:rsidP="00AE4D2E" w14:paraId="7134C807" w14:textId="77777777">
            <w:pPr>
              <w:pStyle w:val="AmColumnHeading"/>
              <w:keepNext/>
              <w:widowControl/>
            </w:pPr>
            <w:r w:rsidRPr="00AE4D2E">
              <w:t>Tarkistus</w:t>
            </w:r>
          </w:p>
        </w:tc>
      </w:tr>
      <w:tr w14:paraId="6512A2FA" w14:textId="77777777" w:rsidTr="0068168E">
        <w:tblPrEx>
          <w:tblW w:w="9752" w:type="dxa"/>
          <w:jc w:val="center"/>
          <w:tblLayout w:type="fixed"/>
          <w:tblCellMar>
            <w:left w:w="340" w:type="dxa"/>
            <w:right w:w="340" w:type="dxa"/>
          </w:tblCellMar>
          <w:tblLook w:val="04A0"/>
        </w:tblPrEx>
        <w:trPr>
          <w:jc w:val="center"/>
        </w:trPr>
        <w:tc>
          <w:tcPr>
            <w:tcW w:w="4876" w:type="dxa"/>
            <w:hideMark/>
          </w:tcPr>
          <w:p w:rsidR="0068168E" w:rsidRPr="00AE4D2E" w:rsidP="00AE4D2E" w14:paraId="14E8CECC" w14:textId="77777777">
            <w:pPr>
              <w:pStyle w:val="Normal6a"/>
              <w:widowControl/>
            </w:pPr>
          </w:p>
        </w:tc>
        <w:tc>
          <w:tcPr>
            <w:tcW w:w="4876" w:type="dxa"/>
            <w:hideMark/>
          </w:tcPr>
          <w:p w:rsidR="0068168E" w:rsidRPr="00AE4D2E" w:rsidP="00AE4D2E" w14:paraId="42522999" w14:textId="77777777">
            <w:pPr>
              <w:pStyle w:val="Normal6a"/>
              <w:widowControl/>
            </w:pPr>
            <w:r w:rsidRPr="00AE4D2E">
              <w:rPr>
                <w:b/>
                <w:i/>
              </w:rPr>
              <w:t>(28 a)</w:t>
            </w:r>
            <w:r w:rsidRPr="00AE4D2E">
              <w:rPr>
                <w:b/>
                <w:i/>
              </w:rPr>
              <w:tab/>
            </w:r>
            <w:r w:rsidRPr="00AE4D2E">
              <w:rPr>
                <w:b/>
                <w:i/>
              </w:rPr>
              <w:t>AgoraEU:n ja muiden unionin välineiden keskinäisen täydentävyyden lisääminen ei saisi tapahtua menojen jäljitettävyyden tai budjettivallan käyttäjän oikeuksien kustannuksella. Yhteisesti rahoitettuja toimia koskevan AgoraEU:n rahoitusosuuden olisi oltava jatkossakin selkeästi yksilöitävissä talousarviosyklin kaikissa vaiheissa, ja se olisi otettava asianmukaisesti huomioon ohjelman tuloksellisuutta koskevassa lausunnossa.</w:t>
            </w:r>
          </w:p>
        </w:tc>
      </w:tr>
    </w:tbl>
    <w:p w:rsidR="0068168E" w:rsidRPr="00AE4D2E" w:rsidP="00AE4D2E" w14:paraId="17034D34" w14:textId="77777777">
      <w:pPr>
        <w:widowControl/>
        <w:rPr>
          <w:rStyle w:val="HideTWBExt"/>
          <w:rFonts w:eastAsiaTheme="majorEastAsia"/>
        </w:rPr>
      </w:pPr>
      <w:r w:rsidRPr="00AE4D2E">
        <w:rPr>
          <w:rStyle w:val="HideTWBExt"/>
        </w:rPr>
        <w:t>&lt;/Amend&gt;</w:t>
      </w:r>
    </w:p>
    <w:p w:rsidR="0068168E" w:rsidRPr="00AE4D2E" w:rsidP="00AE4D2E" w14:paraId="74B58B72" w14:textId="77777777">
      <w:pPr>
        <w:pStyle w:val="AmNumberTabs"/>
        <w:keepNext/>
        <w:widowControl/>
      </w:pPr>
      <w:r w:rsidRPr="00AE4D2E">
        <w:rPr>
          <w:rStyle w:val="HideTWBExt"/>
          <w:b w:val="0"/>
        </w:rPr>
        <w:t>&lt;Amend&gt;</w:t>
      </w:r>
      <w:r w:rsidRPr="00AE4D2E">
        <w:t>Tarkistus</w:t>
      </w:r>
      <w:r w:rsidRPr="00AE4D2E">
        <w:tab/>
      </w:r>
      <w:r w:rsidRPr="00AE4D2E">
        <w:tab/>
      </w:r>
      <w:r w:rsidRPr="00AE4D2E">
        <w:rPr>
          <w:rStyle w:val="HideTWBExt"/>
          <w:b w:val="0"/>
        </w:rPr>
        <w:t>&lt;NumAm&gt;</w:t>
      </w:r>
      <w:r w:rsidRPr="00AE4D2E">
        <w:t>2</w:t>
      </w:r>
      <w:r w:rsidRPr="00AE4D2E">
        <w:rPr>
          <w:rStyle w:val="HideTWBExt"/>
          <w:b w:val="0"/>
        </w:rPr>
        <w:t>&lt;/NumAm&gt;</w:t>
      </w:r>
    </w:p>
    <w:p w:rsidR="0068168E" w:rsidRPr="00AE4D2E" w:rsidP="00AE4D2E" w14:paraId="73B38028" w14:textId="77777777">
      <w:pPr>
        <w:pStyle w:val="NormalBold12b"/>
        <w:keepNext/>
        <w:widowControl/>
      </w:pPr>
      <w:r w:rsidRPr="00AE4D2E">
        <w:rPr>
          <w:rStyle w:val="HideTWBExt"/>
          <w:b w:val="0"/>
        </w:rPr>
        <w:t>&lt;DocAmend&gt;</w:t>
      </w:r>
      <w:r w:rsidRPr="00AE4D2E">
        <w:t>Ehdotus asetukseksi</w:t>
      </w:r>
      <w:r w:rsidRPr="00AE4D2E">
        <w:rPr>
          <w:rStyle w:val="HideTWBExt"/>
          <w:b w:val="0"/>
        </w:rPr>
        <w:t>&lt;/DocAmend&gt;</w:t>
      </w:r>
    </w:p>
    <w:p w:rsidR="0068168E" w:rsidRPr="00AE4D2E" w:rsidP="00AE4D2E" w14:paraId="48488687" w14:textId="77777777">
      <w:pPr>
        <w:pStyle w:val="NormalBold"/>
        <w:widowControl/>
      </w:pPr>
      <w:r w:rsidRPr="00AE4D2E">
        <w:rPr>
          <w:rStyle w:val="HideTWBExt"/>
          <w:b w:val="0"/>
        </w:rPr>
        <w:t>&lt;Article&gt;</w:t>
      </w:r>
      <w:r w:rsidRPr="00AE4D2E">
        <w:t xml:space="preserve"> Johdanto-osan 32 a kappale (uusi)</w:t>
      </w:r>
      <w:r w:rsidRPr="00AE4D2E">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2332BEFC" w14:textId="77777777" w:rsidTr="0068168E">
        <w:tblPrEx>
          <w:tblW w:w="9752" w:type="dxa"/>
          <w:jc w:val="center"/>
          <w:tblLayout w:type="fixed"/>
          <w:tblCellMar>
            <w:left w:w="340" w:type="dxa"/>
            <w:right w:w="340" w:type="dxa"/>
          </w:tblCellMar>
          <w:tblLook w:val="04A0"/>
        </w:tblPrEx>
        <w:trPr>
          <w:jc w:val="center"/>
        </w:trPr>
        <w:tc>
          <w:tcPr>
            <w:tcW w:w="9752" w:type="dxa"/>
            <w:gridSpan w:val="2"/>
          </w:tcPr>
          <w:p w:rsidR="0068168E" w:rsidRPr="00AE4D2E" w:rsidP="00AE4D2E" w14:paraId="215DB699" w14:textId="77777777">
            <w:pPr>
              <w:keepNext/>
              <w:widowControl/>
            </w:pPr>
          </w:p>
        </w:tc>
      </w:tr>
      <w:tr w14:paraId="557F5EB0" w14:textId="77777777" w:rsidTr="0068168E">
        <w:tblPrEx>
          <w:tblW w:w="9752" w:type="dxa"/>
          <w:jc w:val="center"/>
          <w:tblLayout w:type="fixed"/>
          <w:tblCellMar>
            <w:left w:w="340" w:type="dxa"/>
            <w:right w:w="340" w:type="dxa"/>
          </w:tblCellMar>
          <w:tblLook w:val="04A0"/>
        </w:tblPrEx>
        <w:trPr>
          <w:jc w:val="center"/>
        </w:trPr>
        <w:tc>
          <w:tcPr>
            <w:tcW w:w="4876" w:type="dxa"/>
            <w:hideMark/>
          </w:tcPr>
          <w:p w:rsidR="0068168E" w:rsidRPr="00AE4D2E" w:rsidP="00AE4D2E" w14:paraId="6CD5943F" w14:textId="77777777">
            <w:pPr>
              <w:pStyle w:val="AmColumnHeading"/>
              <w:keepNext/>
              <w:widowControl/>
            </w:pPr>
            <w:r w:rsidRPr="00AE4D2E">
              <w:t>Komission teksti</w:t>
            </w:r>
          </w:p>
        </w:tc>
        <w:tc>
          <w:tcPr>
            <w:tcW w:w="4876" w:type="dxa"/>
            <w:hideMark/>
          </w:tcPr>
          <w:p w:rsidR="0068168E" w:rsidRPr="00AE4D2E" w:rsidP="00AE4D2E" w14:paraId="58A538C2" w14:textId="77777777">
            <w:pPr>
              <w:pStyle w:val="AmColumnHeading"/>
              <w:keepNext/>
              <w:widowControl/>
            </w:pPr>
            <w:r w:rsidRPr="00AE4D2E">
              <w:t>Tarkistus</w:t>
            </w:r>
          </w:p>
        </w:tc>
      </w:tr>
      <w:tr w14:paraId="12BA208F" w14:textId="77777777" w:rsidTr="0068168E">
        <w:tblPrEx>
          <w:tblW w:w="9752" w:type="dxa"/>
          <w:jc w:val="center"/>
          <w:tblLayout w:type="fixed"/>
          <w:tblCellMar>
            <w:left w:w="340" w:type="dxa"/>
            <w:right w:w="340" w:type="dxa"/>
          </w:tblCellMar>
          <w:tblLook w:val="04A0"/>
        </w:tblPrEx>
        <w:trPr>
          <w:jc w:val="center"/>
        </w:trPr>
        <w:tc>
          <w:tcPr>
            <w:tcW w:w="4876" w:type="dxa"/>
            <w:hideMark/>
          </w:tcPr>
          <w:p w:rsidR="0068168E" w:rsidRPr="00AE4D2E" w:rsidP="00AE4D2E" w14:paraId="12607B94" w14:textId="77777777">
            <w:pPr>
              <w:pStyle w:val="Normal6a"/>
              <w:widowControl/>
            </w:pPr>
          </w:p>
        </w:tc>
        <w:tc>
          <w:tcPr>
            <w:tcW w:w="4876" w:type="dxa"/>
            <w:hideMark/>
          </w:tcPr>
          <w:p w:rsidR="0068168E" w:rsidRPr="00AE4D2E" w:rsidP="00AE4D2E" w14:paraId="1A7196FD" w14:textId="77777777">
            <w:pPr>
              <w:pStyle w:val="Normal6a"/>
              <w:widowControl/>
            </w:pPr>
            <w:r w:rsidRPr="00AE4D2E">
              <w:rPr>
                <w:b/>
                <w:i/>
              </w:rPr>
              <w:t>(32 a)</w:t>
            </w:r>
            <w:r w:rsidRPr="00AE4D2E">
              <w:rPr>
                <w:b/>
                <w:i/>
              </w:rPr>
              <w:tab/>
            </w:r>
            <w:r w:rsidRPr="00AE4D2E">
              <w:rPr>
                <w:b/>
                <w:i/>
              </w:rPr>
              <w:t>Ohjelmaan sovelletaan Euroopan parlamentin ja neuvoston asetusta (EU, Euratom) 2020/2092. Siinä vahvistetaan yleinen ehdollisuusjärjestelmä unionin talousarvion suojaamiseksi siinä tapauksessa, että oikeusvaltion periaatteita rikotaan jäsenvaltioissa.</w:t>
            </w:r>
          </w:p>
        </w:tc>
      </w:tr>
    </w:tbl>
    <w:p w:rsidR="0068168E" w:rsidRPr="00AE4D2E" w:rsidP="00AE4D2E" w14:paraId="097FCDB8" w14:textId="77777777">
      <w:pPr>
        <w:widowControl/>
        <w:rPr>
          <w:rStyle w:val="HideTWBExt"/>
          <w:rFonts w:eastAsiaTheme="majorEastAsia"/>
        </w:rPr>
      </w:pPr>
      <w:r w:rsidRPr="00AE4D2E">
        <w:rPr>
          <w:rStyle w:val="HideTWBExt"/>
        </w:rPr>
        <w:t>&lt;/Amend&gt;</w:t>
      </w:r>
    </w:p>
    <w:p w:rsidR="0068168E" w:rsidRPr="00AE4D2E" w:rsidP="00AE4D2E" w14:paraId="0703AF10" w14:textId="77777777">
      <w:pPr>
        <w:pStyle w:val="AmNumberTabs"/>
        <w:keepNext/>
        <w:widowControl/>
      </w:pPr>
      <w:r w:rsidRPr="00AE4D2E">
        <w:rPr>
          <w:rStyle w:val="HideTWBExt"/>
          <w:b w:val="0"/>
        </w:rPr>
        <w:t>&lt;Amend&gt;</w:t>
      </w:r>
      <w:r w:rsidRPr="00AE4D2E">
        <w:t>Tarkistus</w:t>
      </w:r>
      <w:r w:rsidRPr="00AE4D2E">
        <w:tab/>
      </w:r>
      <w:r w:rsidRPr="00AE4D2E">
        <w:tab/>
      </w:r>
      <w:r w:rsidRPr="00AE4D2E">
        <w:rPr>
          <w:rStyle w:val="HideTWBExt"/>
          <w:b w:val="0"/>
        </w:rPr>
        <w:t>&lt;NumAm&gt;</w:t>
      </w:r>
      <w:r w:rsidRPr="00AE4D2E">
        <w:t>3</w:t>
      </w:r>
      <w:r w:rsidRPr="00AE4D2E">
        <w:rPr>
          <w:rStyle w:val="HideTWBExt"/>
          <w:b w:val="0"/>
        </w:rPr>
        <w:t>&lt;/NumAm&gt;</w:t>
      </w:r>
    </w:p>
    <w:p w:rsidR="0068168E" w:rsidRPr="00AE4D2E" w:rsidP="00AE4D2E" w14:paraId="335FBA87" w14:textId="77777777">
      <w:pPr>
        <w:pStyle w:val="NormalBold12b"/>
        <w:keepNext/>
        <w:widowControl/>
      </w:pPr>
      <w:r w:rsidRPr="00AE4D2E">
        <w:rPr>
          <w:rStyle w:val="HideTWBExt"/>
          <w:b w:val="0"/>
        </w:rPr>
        <w:t>&lt;DocAmend&gt;</w:t>
      </w:r>
      <w:r w:rsidRPr="00AE4D2E">
        <w:t>Ehdotus asetukseksi</w:t>
      </w:r>
      <w:r w:rsidRPr="00AE4D2E">
        <w:rPr>
          <w:rStyle w:val="HideTWBExt"/>
          <w:b w:val="0"/>
        </w:rPr>
        <w:t>&lt;/DocAmend&gt;</w:t>
      </w:r>
    </w:p>
    <w:p w:rsidR="0068168E" w:rsidRPr="00AE4D2E" w:rsidP="00AE4D2E" w14:paraId="7A838BFB" w14:textId="77777777">
      <w:pPr>
        <w:pStyle w:val="NormalBold"/>
        <w:widowControl/>
      </w:pPr>
      <w:r w:rsidRPr="00AE4D2E">
        <w:rPr>
          <w:rStyle w:val="HideTWBExt"/>
          <w:b w:val="0"/>
        </w:rPr>
        <w:t>&lt;Article&gt;</w:t>
      </w:r>
      <w:r w:rsidRPr="00AE4D2E">
        <w:t xml:space="preserve"> Johdanto-osan 33 kappale</w:t>
      </w:r>
      <w:r w:rsidRPr="00AE4D2E">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0146EFA6" w14:textId="77777777" w:rsidTr="00222A38">
        <w:tblPrEx>
          <w:tblW w:w="9752" w:type="dxa"/>
          <w:jc w:val="center"/>
          <w:tblLayout w:type="fixed"/>
          <w:tblCellMar>
            <w:left w:w="340" w:type="dxa"/>
            <w:right w:w="340" w:type="dxa"/>
          </w:tblCellMar>
          <w:tblLook w:val="04A0"/>
        </w:tblPrEx>
        <w:trPr>
          <w:jc w:val="center"/>
        </w:trPr>
        <w:tc>
          <w:tcPr>
            <w:tcW w:w="9752" w:type="dxa"/>
            <w:gridSpan w:val="2"/>
          </w:tcPr>
          <w:p w:rsidR="0068168E" w:rsidRPr="00AE4D2E" w:rsidP="00AE4D2E" w14:paraId="239E0C34" w14:textId="77777777">
            <w:pPr>
              <w:keepNext/>
              <w:widowControl/>
            </w:pPr>
          </w:p>
        </w:tc>
      </w:tr>
      <w:tr w14:paraId="434BF486" w14:textId="77777777" w:rsidTr="00222A38">
        <w:tblPrEx>
          <w:tblW w:w="9752" w:type="dxa"/>
          <w:jc w:val="center"/>
          <w:tblLayout w:type="fixed"/>
          <w:tblCellMar>
            <w:left w:w="340" w:type="dxa"/>
            <w:right w:w="340" w:type="dxa"/>
          </w:tblCellMar>
          <w:tblLook w:val="04A0"/>
        </w:tblPrEx>
        <w:trPr>
          <w:jc w:val="center"/>
        </w:trPr>
        <w:tc>
          <w:tcPr>
            <w:tcW w:w="4876" w:type="dxa"/>
            <w:hideMark/>
          </w:tcPr>
          <w:p w:rsidR="0068168E" w:rsidRPr="00AE4D2E" w:rsidP="00AE4D2E" w14:paraId="19647518" w14:textId="77777777">
            <w:pPr>
              <w:pStyle w:val="AmColumnHeading"/>
              <w:keepNext/>
              <w:widowControl/>
            </w:pPr>
            <w:r w:rsidRPr="00AE4D2E">
              <w:t>Komission teksti</w:t>
            </w:r>
          </w:p>
        </w:tc>
        <w:tc>
          <w:tcPr>
            <w:tcW w:w="4876" w:type="dxa"/>
            <w:hideMark/>
          </w:tcPr>
          <w:p w:rsidR="0068168E" w:rsidRPr="00AE4D2E" w:rsidP="00AE4D2E" w14:paraId="3DECDFA1" w14:textId="77777777">
            <w:pPr>
              <w:pStyle w:val="AmColumnHeading"/>
              <w:keepNext/>
              <w:widowControl/>
            </w:pPr>
            <w:r w:rsidRPr="00AE4D2E">
              <w:t>Tarkistus</w:t>
            </w:r>
          </w:p>
        </w:tc>
      </w:tr>
      <w:tr w14:paraId="4624C978" w14:textId="77777777" w:rsidTr="00222A38">
        <w:tblPrEx>
          <w:tblW w:w="9752" w:type="dxa"/>
          <w:jc w:val="center"/>
          <w:tblLayout w:type="fixed"/>
          <w:tblCellMar>
            <w:left w:w="340" w:type="dxa"/>
            <w:right w:w="340" w:type="dxa"/>
          </w:tblCellMar>
          <w:tblLook w:val="04A0"/>
        </w:tblPrEx>
        <w:trPr>
          <w:jc w:val="center"/>
        </w:trPr>
        <w:tc>
          <w:tcPr>
            <w:tcW w:w="4876" w:type="dxa"/>
            <w:hideMark/>
          </w:tcPr>
          <w:p w:rsidR="0068168E" w:rsidRPr="00AE4D2E" w:rsidP="00AE4D2E" w14:paraId="53F09058" w14:textId="77777777">
            <w:pPr>
              <w:pStyle w:val="Normal6a"/>
              <w:widowControl/>
            </w:pPr>
            <w:r w:rsidRPr="00AE4D2E">
              <w:t>(33)</w:t>
            </w:r>
            <w:r w:rsidRPr="00AE4D2E">
              <w:tab/>
            </w:r>
            <w:r w:rsidRPr="00AE4D2E">
              <w:t xml:space="preserve">Ohjelmaan sovelletaan Euroopan parlamentin ja neuvoston asetusta (EU, </w:t>
            </w:r>
            <w:r w:rsidRPr="00AE4D2E">
              <w:t>Euratom) 2024/2509</w:t>
            </w:r>
            <w:r w:rsidRPr="00AE4D2E">
              <w:rPr>
                <w:vertAlign w:val="superscript"/>
              </w:rPr>
              <w:t>27</w:t>
            </w:r>
            <w:r w:rsidRPr="00AE4D2E">
              <w:t>. Siinä vahvistetaan säännöt, jotka koskevat unionin yleisen talousarvion laatimista ja toteuttamista, mukaan lukien avustuksia, palkintoja, muita kuin rahallisia lahjoituksia, hankintoja, välillistä hallinnointia, rahoitusapua, rahoitusvälineitä ja talousarviotakuita koskevat säännöt.</w:t>
            </w:r>
          </w:p>
        </w:tc>
        <w:tc>
          <w:tcPr>
            <w:tcW w:w="4876" w:type="dxa"/>
            <w:hideMark/>
          </w:tcPr>
          <w:p w:rsidR="0068168E" w:rsidRPr="00AE4D2E" w:rsidP="00AE4D2E" w14:paraId="4EDE6DBD" w14:textId="77777777">
            <w:pPr>
              <w:pStyle w:val="Normal6a"/>
              <w:widowControl/>
            </w:pPr>
            <w:r w:rsidRPr="00AE4D2E">
              <w:t>(33)</w:t>
            </w:r>
            <w:r w:rsidRPr="00AE4D2E">
              <w:tab/>
              <w:t xml:space="preserve">Ohjelmaan sovelletaan Euroopan parlamentin ja neuvoston asetusta (EU, </w:t>
            </w:r>
            <w:r w:rsidRPr="00AE4D2E">
              <w:t>Euratom) 2024/2509</w:t>
            </w:r>
            <w:r w:rsidRPr="00AE4D2E">
              <w:rPr>
                <w:vertAlign w:val="superscript"/>
              </w:rPr>
              <w:t>27</w:t>
            </w:r>
            <w:r w:rsidRPr="00AE4D2E">
              <w:t xml:space="preserve">. </w:t>
            </w:r>
            <w:r w:rsidRPr="00AE4D2E">
              <w:t xml:space="preserve">Siinä vahvistetaan säännöt, jotka koskevat unionin yleisen talousarvion laatimista ja toteuttamista, mukaan lukien avustuksia, palkintoja, muita kuin rahallisia lahjoituksia, hankintoja, välillistä hallinnointia, rahoitusapua, rahoitusvälineitä ja talousarviotakuita koskevat säännöt. </w:t>
            </w:r>
            <w:r w:rsidRPr="00AE4D2E">
              <w:rPr>
                <w:b/>
                <w:i/>
              </w:rPr>
              <w:t>Asetuksen (EU, Euratom) 2024/2509, jäljempänä ’varainhoitoasetus’, mukaisesti ohjelman täytäntöönpanossa olisi kunnioitettava kaikilta osin Euroopan unionista tehdyn sopimuksen 2 artiklassa vahvistettuja arvoja ja Euroopan unio</w:t>
            </w:r>
            <w:r w:rsidRPr="00AE4D2E">
              <w:rPr>
                <w:b/>
                <w:i/>
              </w:rPr>
              <w:t>nin perusoikeuskirjassa tunnustettuja oikeuksia.</w:t>
            </w:r>
          </w:p>
        </w:tc>
      </w:tr>
      <w:tr w14:paraId="667DB1D8" w14:textId="77777777" w:rsidTr="00222A38">
        <w:tblPrEx>
          <w:tblW w:w="9752" w:type="dxa"/>
          <w:jc w:val="center"/>
          <w:tblLayout w:type="fixed"/>
          <w:tblCellMar>
            <w:left w:w="340" w:type="dxa"/>
            <w:right w:w="340" w:type="dxa"/>
          </w:tblCellMar>
          <w:tblLook w:val="04A0"/>
        </w:tblPrEx>
        <w:trPr>
          <w:jc w:val="center"/>
        </w:trPr>
        <w:tc>
          <w:tcPr>
            <w:tcW w:w="4876" w:type="dxa"/>
          </w:tcPr>
          <w:p w:rsidR="00E42AD1" w:rsidRPr="00AE4D2E" w:rsidP="00AE4D2E" w14:paraId="0C51EA52" w14:textId="77777777">
            <w:pPr>
              <w:pStyle w:val="Normal6a"/>
              <w:widowControl/>
            </w:pPr>
            <w:r w:rsidRPr="00AE4D2E">
              <w:t>___________</w:t>
            </w:r>
          </w:p>
        </w:tc>
        <w:tc>
          <w:tcPr>
            <w:tcW w:w="4876" w:type="dxa"/>
          </w:tcPr>
          <w:p w:rsidR="00E42AD1" w:rsidRPr="00AE4D2E" w:rsidP="00AE4D2E" w14:paraId="3D970A94" w14:textId="77777777">
            <w:pPr>
              <w:pStyle w:val="Normal6a"/>
              <w:widowControl/>
            </w:pPr>
            <w:r w:rsidRPr="00AE4D2E">
              <w:t>___________</w:t>
            </w:r>
          </w:p>
        </w:tc>
      </w:tr>
      <w:tr w14:paraId="7CAE1A01" w14:textId="77777777" w:rsidTr="00222A38">
        <w:tblPrEx>
          <w:tblW w:w="9752" w:type="dxa"/>
          <w:jc w:val="center"/>
          <w:tblLayout w:type="fixed"/>
          <w:tblCellMar>
            <w:left w:w="340" w:type="dxa"/>
            <w:right w:w="340" w:type="dxa"/>
          </w:tblCellMar>
          <w:tblLook w:val="04A0"/>
        </w:tblPrEx>
        <w:trPr>
          <w:jc w:val="center"/>
        </w:trPr>
        <w:tc>
          <w:tcPr>
            <w:tcW w:w="4876" w:type="dxa"/>
          </w:tcPr>
          <w:p w:rsidR="00E42AD1" w:rsidRPr="00AE4D2E" w:rsidP="00AE4D2E" w14:paraId="7F1CA2C0" w14:textId="77777777">
            <w:pPr>
              <w:pStyle w:val="Normal6a"/>
              <w:widowControl/>
            </w:pPr>
            <w:r w:rsidRPr="00AE4D2E">
              <w:rPr>
                <w:vertAlign w:val="superscript"/>
              </w:rPr>
              <w:t>27</w:t>
            </w:r>
            <w:r w:rsidRPr="00AE4D2E">
              <w:t xml:space="preserve"> Euroopan parlamentin ja neuvoston asetus (EU, Euratom) 2024/2509, annettu 23 päivänä syyskuuta 2024, unionin yleiseen talousarvioon sovellettavista varainhoitosäännöistä (EUVL L, 2024/2509, 26.9.2024, ELI: http://data.europa.eu/eli/reg/2024/2509/oj).</w:t>
            </w:r>
          </w:p>
        </w:tc>
        <w:tc>
          <w:tcPr>
            <w:tcW w:w="4876" w:type="dxa"/>
          </w:tcPr>
          <w:p w:rsidR="00E42AD1" w:rsidRPr="00AE4D2E" w:rsidP="00AE4D2E" w14:paraId="089CA68D" w14:textId="77777777">
            <w:pPr>
              <w:pStyle w:val="Normal6a"/>
              <w:widowControl/>
            </w:pPr>
            <w:r w:rsidRPr="00AE4D2E">
              <w:rPr>
                <w:vertAlign w:val="superscript"/>
              </w:rPr>
              <w:t>27</w:t>
            </w:r>
            <w:r w:rsidRPr="00AE4D2E">
              <w:t xml:space="preserve"> Euroopan parlamentin ja neuvoston asetus (EU, Euratom) 2024/2509, annettu 23 päivänä syyskuuta 2024, unionin yleiseen talousarvioon sovellettavista varainhoitosäännöistä (EUVL L, 2024/2509, 26.9.2024, ELI: http://data.europa.eu/eli/reg/2024/2509/oj).</w:t>
            </w:r>
          </w:p>
        </w:tc>
      </w:tr>
    </w:tbl>
    <w:p w:rsidR="0068168E" w:rsidRPr="00AE4D2E" w:rsidP="00AE4D2E" w14:paraId="3E288DB4" w14:textId="77777777">
      <w:pPr>
        <w:widowControl/>
        <w:rPr>
          <w:rStyle w:val="HideTWBExt"/>
          <w:rFonts w:eastAsiaTheme="majorEastAsia"/>
        </w:rPr>
      </w:pPr>
      <w:r w:rsidRPr="00AE4D2E">
        <w:rPr>
          <w:rStyle w:val="HideTWBExt"/>
        </w:rPr>
        <w:t>&lt;/Amend&gt;</w:t>
      </w:r>
    </w:p>
    <w:p w:rsidR="00873BF3" w:rsidRPr="00AE4D2E" w:rsidP="00AE4D2E" w14:paraId="34D0F740" w14:textId="77777777">
      <w:pPr>
        <w:pStyle w:val="AmNumberTabs"/>
        <w:keepNext/>
        <w:widowControl/>
      </w:pPr>
      <w:r w:rsidRPr="00AE4D2E">
        <w:rPr>
          <w:rStyle w:val="HideTWBExt"/>
          <w:b w:val="0"/>
        </w:rPr>
        <w:t>&lt;Amend&gt;</w:t>
      </w:r>
      <w:r w:rsidRPr="00AE4D2E">
        <w:t>Tarkistus</w:t>
      </w:r>
      <w:r w:rsidRPr="00AE4D2E">
        <w:tab/>
      </w:r>
      <w:r w:rsidRPr="00AE4D2E">
        <w:tab/>
      </w:r>
      <w:r w:rsidRPr="00AE4D2E">
        <w:rPr>
          <w:rStyle w:val="HideTWBExt"/>
          <w:b w:val="0"/>
        </w:rPr>
        <w:t>&lt;NumAm&gt;</w:t>
      </w:r>
      <w:r w:rsidRPr="00AE4D2E">
        <w:t>4</w:t>
      </w:r>
      <w:r w:rsidRPr="00AE4D2E">
        <w:rPr>
          <w:rStyle w:val="HideTWBExt"/>
          <w:b w:val="0"/>
        </w:rPr>
        <w:t>&lt;/NumAm&gt;</w:t>
      </w:r>
    </w:p>
    <w:p w:rsidR="00873BF3" w:rsidRPr="00AE4D2E" w:rsidP="00AE4D2E" w14:paraId="4FAA2951" w14:textId="77777777">
      <w:pPr>
        <w:pStyle w:val="NormalBold12b"/>
        <w:keepNext/>
        <w:widowControl/>
      </w:pPr>
      <w:r w:rsidRPr="00AE4D2E">
        <w:rPr>
          <w:rStyle w:val="HideTWBExt"/>
          <w:b w:val="0"/>
        </w:rPr>
        <w:t>&lt;DocAmend&gt;</w:t>
      </w:r>
      <w:r w:rsidRPr="00AE4D2E">
        <w:t>Ehdotus asetukseksi</w:t>
      </w:r>
      <w:r w:rsidRPr="00AE4D2E">
        <w:rPr>
          <w:rStyle w:val="HideTWBExt"/>
          <w:b w:val="0"/>
        </w:rPr>
        <w:t>&lt;/DocAmend&gt;</w:t>
      </w:r>
    </w:p>
    <w:p w:rsidR="00873BF3" w:rsidRPr="00AE4D2E" w:rsidP="00AE4D2E" w14:paraId="4DFFE4D0" w14:textId="77777777">
      <w:pPr>
        <w:pStyle w:val="NormalBold"/>
        <w:widowControl/>
      </w:pPr>
      <w:r w:rsidRPr="00AE4D2E">
        <w:rPr>
          <w:rStyle w:val="HideTWBExt"/>
          <w:b w:val="0"/>
        </w:rPr>
        <w:t>&lt;Article&gt;</w:t>
      </w:r>
      <w:r w:rsidRPr="00AE4D2E">
        <w:t>Johdanto-osan 40 a kappale (uusi)</w:t>
      </w:r>
      <w:r w:rsidRPr="00AE4D2E">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47DF788C" w14:textId="77777777" w:rsidTr="003B7FC6">
        <w:tblPrEx>
          <w:tblW w:w="9752" w:type="dxa"/>
          <w:jc w:val="center"/>
          <w:tblLayout w:type="fixed"/>
          <w:tblCellMar>
            <w:left w:w="340" w:type="dxa"/>
            <w:right w:w="340" w:type="dxa"/>
          </w:tblCellMar>
          <w:tblLook w:val="04A0"/>
        </w:tblPrEx>
        <w:trPr>
          <w:jc w:val="center"/>
        </w:trPr>
        <w:tc>
          <w:tcPr>
            <w:tcW w:w="9752" w:type="dxa"/>
            <w:gridSpan w:val="2"/>
          </w:tcPr>
          <w:p w:rsidR="00873BF3" w:rsidRPr="00AE4D2E" w:rsidP="00AE4D2E" w14:paraId="6CF9D7FA" w14:textId="77777777">
            <w:pPr>
              <w:keepNext/>
              <w:widowControl/>
            </w:pPr>
          </w:p>
        </w:tc>
      </w:tr>
      <w:tr w14:paraId="177DAAAC" w14:textId="77777777" w:rsidTr="003B7FC6">
        <w:tblPrEx>
          <w:tblW w:w="9752" w:type="dxa"/>
          <w:jc w:val="center"/>
          <w:tblLayout w:type="fixed"/>
          <w:tblCellMar>
            <w:left w:w="340" w:type="dxa"/>
            <w:right w:w="340" w:type="dxa"/>
          </w:tblCellMar>
          <w:tblLook w:val="04A0"/>
        </w:tblPrEx>
        <w:trPr>
          <w:jc w:val="center"/>
        </w:trPr>
        <w:tc>
          <w:tcPr>
            <w:tcW w:w="4876" w:type="dxa"/>
            <w:hideMark/>
          </w:tcPr>
          <w:p w:rsidR="00873BF3" w:rsidRPr="00AE4D2E" w:rsidP="00AE4D2E" w14:paraId="63206DE5" w14:textId="77777777">
            <w:pPr>
              <w:pStyle w:val="AmColumnHeading"/>
              <w:keepNext/>
              <w:widowControl/>
            </w:pPr>
            <w:r w:rsidRPr="00AE4D2E">
              <w:t>Komission teksti</w:t>
            </w:r>
          </w:p>
        </w:tc>
        <w:tc>
          <w:tcPr>
            <w:tcW w:w="4876" w:type="dxa"/>
            <w:hideMark/>
          </w:tcPr>
          <w:p w:rsidR="00873BF3" w:rsidRPr="00AE4D2E" w:rsidP="00AE4D2E" w14:paraId="6E24DEA1" w14:textId="77777777">
            <w:pPr>
              <w:pStyle w:val="AmColumnHeading"/>
              <w:keepNext/>
              <w:widowControl/>
            </w:pPr>
            <w:r w:rsidRPr="00AE4D2E">
              <w:t>Tarkistus</w:t>
            </w:r>
          </w:p>
        </w:tc>
      </w:tr>
      <w:tr w14:paraId="3B88A31D" w14:textId="77777777" w:rsidTr="003B7FC6">
        <w:tblPrEx>
          <w:tblW w:w="9752" w:type="dxa"/>
          <w:jc w:val="center"/>
          <w:tblLayout w:type="fixed"/>
          <w:tblCellMar>
            <w:left w:w="340" w:type="dxa"/>
            <w:right w:w="340" w:type="dxa"/>
          </w:tblCellMar>
          <w:tblLook w:val="04A0"/>
        </w:tblPrEx>
        <w:trPr>
          <w:jc w:val="center"/>
        </w:trPr>
        <w:tc>
          <w:tcPr>
            <w:tcW w:w="4876" w:type="dxa"/>
            <w:hideMark/>
          </w:tcPr>
          <w:p w:rsidR="00873BF3" w:rsidRPr="00AE4D2E" w:rsidP="00AE4D2E" w14:paraId="4B09366A" w14:textId="77777777">
            <w:pPr>
              <w:pStyle w:val="Normal6a"/>
              <w:widowControl/>
            </w:pPr>
          </w:p>
        </w:tc>
        <w:tc>
          <w:tcPr>
            <w:tcW w:w="4876" w:type="dxa"/>
            <w:hideMark/>
          </w:tcPr>
          <w:p w:rsidR="00873BF3" w:rsidRPr="00AE4D2E" w:rsidP="00AE4D2E" w14:paraId="3B79679C" w14:textId="77777777">
            <w:pPr>
              <w:pStyle w:val="Normal6a"/>
              <w:widowControl/>
            </w:pPr>
            <w:bookmarkStart w:id="1" w:name="_Hlk227236390"/>
            <w:r w:rsidRPr="00AE4D2E">
              <w:rPr>
                <w:b/>
                <w:i/>
              </w:rPr>
              <w:t>(40 a)</w:t>
            </w:r>
            <w:r w:rsidRPr="00AE4D2E">
              <w:rPr>
                <w:b/>
                <w:i/>
              </w:rPr>
              <w:tab/>
            </w:r>
            <w:r w:rsidRPr="00AE4D2E">
              <w:rPr>
                <w:b/>
                <w:i/>
              </w:rPr>
              <w:t>On olennaisen tärkeää, että tämän asetuksen säännökset ja sen hallintojärjestelyt edistävät budjettivallan käyttäjän moitteetonta päätöksentekoa ja asianmukaista parlamentaarista valvontaa. Etenkin AgoraEU:n sisäisen rakenteen mahdollinen täsmentäminen olisi otettava asianmukaisesti huomioon budjettinimikkeistössä ottamalla käyttöön vastaavat budjettikohdat varainhoitoasetuksen 47 artiklan 2 kohdan mukaisesti.</w:t>
            </w:r>
            <w:bookmarkEnd w:id="1"/>
          </w:p>
        </w:tc>
      </w:tr>
    </w:tbl>
    <w:bookmarkEnd w:id="0"/>
    <w:p w:rsidR="0068168E" w:rsidRPr="00AE4D2E" w:rsidP="00AE4D2E" w14:paraId="03E66867" w14:textId="77777777">
      <w:pPr>
        <w:widowControl/>
        <w:rPr>
          <w:rStyle w:val="HideTWBExt"/>
          <w:rFonts w:eastAsiaTheme="majorEastAsia"/>
        </w:rPr>
      </w:pPr>
      <w:r w:rsidRPr="00AE4D2E">
        <w:rPr>
          <w:rStyle w:val="HideTWBExt"/>
        </w:rPr>
        <w:t>&lt;/Amend&gt;</w:t>
      </w:r>
    </w:p>
    <w:p w:rsidR="00251B75" w:rsidRPr="00AE4D2E" w:rsidP="00AE4D2E" w14:paraId="393FFB3B" w14:textId="77777777">
      <w:pPr>
        <w:pStyle w:val="AmNumberTabs"/>
        <w:keepNext/>
        <w:widowControl/>
      </w:pPr>
      <w:r w:rsidRPr="00AE4D2E">
        <w:rPr>
          <w:rStyle w:val="HideTWBExt"/>
          <w:b w:val="0"/>
        </w:rPr>
        <w:t>&lt;Amend&gt;</w:t>
      </w:r>
      <w:r w:rsidRPr="00AE4D2E">
        <w:t>Tarkistus</w:t>
      </w:r>
      <w:r w:rsidRPr="00AE4D2E">
        <w:tab/>
      </w:r>
      <w:r w:rsidRPr="00AE4D2E">
        <w:tab/>
      </w:r>
      <w:r w:rsidRPr="00AE4D2E">
        <w:rPr>
          <w:rStyle w:val="HideTWBExt"/>
          <w:b w:val="0"/>
        </w:rPr>
        <w:t>&lt;NumAm&gt;</w:t>
      </w:r>
      <w:r w:rsidRPr="00AE4D2E">
        <w:t>5</w:t>
      </w:r>
      <w:r w:rsidRPr="00AE4D2E">
        <w:rPr>
          <w:rStyle w:val="HideTWBExt"/>
          <w:b w:val="0"/>
        </w:rPr>
        <w:t>&lt;/NumAm&gt;</w:t>
      </w:r>
    </w:p>
    <w:p w:rsidR="00251B75" w:rsidRPr="00AE4D2E" w:rsidP="00AE4D2E" w14:paraId="6695C8AB" w14:textId="77777777">
      <w:pPr>
        <w:pStyle w:val="NormalBold12b"/>
        <w:keepNext/>
        <w:widowControl/>
      </w:pPr>
      <w:r w:rsidRPr="00AE4D2E">
        <w:rPr>
          <w:rStyle w:val="HideTWBExt"/>
          <w:b w:val="0"/>
        </w:rPr>
        <w:t>&lt;DocAmend&gt;</w:t>
      </w:r>
      <w:r w:rsidRPr="00AE4D2E">
        <w:t>Ehdotus asetukseksi</w:t>
      </w:r>
      <w:r w:rsidRPr="00AE4D2E">
        <w:rPr>
          <w:rStyle w:val="HideTWBExt"/>
          <w:b w:val="0"/>
        </w:rPr>
        <w:t>&lt;/DocAmend&gt;</w:t>
      </w:r>
    </w:p>
    <w:p w:rsidR="00251B75" w:rsidRPr="00AE4D2E" w:rsidP="00AE4D2E" w14:paraId="1B4037D7" w14:textId="77777777">
      <w:pPr>
        <w:pStyle w:val="NormalBold"/>
        <w:widowControl/>
      </w:pPr>
      <w:r w:rsidRPr="00AE4D2E">
        <w:rPr>
          <w:rStyle w:val="HideTWBExt"/>
          <w:b w:val="0"/>
        </w:rPr>
        <w:t>&lt;Article&gt;</w:t>
      </w:r>
      <w:r w:rsidRPr="00AE4D2E">
        <w:t>Johdanto-osan 40 b kappale (uusi)</w:t>
      </w:r>
      <w:r w:rsidRPr="00AE4D2E">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011C9D1A" w14:textId="77777777" w:rsidTr="003B7FC6">
        <w:tblPrEx>
          <w:tblW w:w="9752" w:type="dxa"/>
          <w:jc w:val="center"/>
          <w:tblLayout w:type="fixed"/>
          <w:tblCellMar>
            <w:left w:w="340" w:type="dxa"/>
            <w:right w:w="340" w:type="dxa"/>
          </w:tblCellMar>
          <w:tblLook w:val="04A0"/>
        </w:tblPrEx>
        <w:trPr>
          <w:jc w:val="center"/>
        </w:trPr>
        <w:tc>
          <w:tcPr>
            <w:tcW w:w="9752" w:type="dxa"/>
            <w:gridSpan w:val="2"/>
          </w:tcPr>
          <w:p w:rsidR="00251B75" w:rsidRPr="00AE4D2E" w:rsidP="00AE4D2E" w14:paraId="09AB0648" w14:textId="77777777">
            <w:pPr>
              <w:keepNext/>
              <w:widowControl/>
            </w:pPr>
          </w:p>
        </w:tc>
      </w:tr>
      <w:tr w14:paraId="508469E4" w14:textId="77777777" w:rsidTr="003B7FC6">
        <w:tblPrEx>
          <w:tblW w:w="9752" w:type="dxa"/>
          <w:jc w:val="center"/>
          <w:tblLayout w:type="fixed"/>
          <w:tblCellMar>
            <w:left w:w="340" w:type="dxa"/>
            <w:right w:w="340" w:type="dxa"/>
          </w:tblCellMar>
          <w:tblLook w:val="04A0"/>
        </w:tblPrEx>
        <w:trPr>
          <w:jc w:val="center"/>
        </w:trPr>
        <w:tc>
          <w:tcPr>
            <w:tcW w:w="4876" w:type="dxa"/>
            <w:hideMark/>
          </w:tcPr>
          <w:p w:rsidR="00251B75" w:rsidRPr="00AE4D2E" w:rsidP="00AE4D2E" w14:paraId="41C3909D" w14:textId="77777777">
            <w:pPr>
              <w:pStyle w:val="AmColumnHeading"/>
              <w:keepNext/>
              <w:widowControl/>
            </w:pPr>
            <w:r w:rsidRPr="00AE4D2E">
              <w:t>Komission teksti</w:t>
            </w:r>
          </w:p>
        </w:tc>
        <w:tc>
          <w:tcPr>
            <w:tcW w:w="4876" w:type="dxa"/>
            <w:hideMark/>
          </w:tcPr>
          <w:p w:rsidR="00251B75" w:rsidRPr="00AE4D2E" w:rsidP="00AE4D2E" w14:paraId="068FAA49" w14:textId="77777777">
            <w:pPr>
              <w:pStyle w:val="AmColumnHeading"/>
              <w:keepNext/>
              <w:widowControl/>
            </w:pPr>
            <w:r w:rsidRPr="00AE4D2E">
              <w:t>Tarkistus</w:t>
            </w:r>
          </w:p>
        </w:tc>
      </w:tr>
      <w:tr w14:paraId="091FBC21" w14:textId="77777777" w:rsidTr="003B7FC6">
        <w:tblPrEx>
          <w:tblW w:w="9752" w:type="dxa"/>
          <w:jc w:val="center"/>
          <w:tblLayout w:type="fixed"/>
          <w:tblCellMar>
            <w:left w:w="340" w:type="dxa"/>
            <w:right w:w="340" w:type="dxa"/>
          </w:tblCellMar>
          <w:tblLook w:val="04A0"/>
        </w:tblPrEx>
        <w:trPr>
          <w:jc w:val="center"/>
        </w:trPr>
        <w:tc>
          <w:tcPr>
            <w:tcW w:w="4876" w:type="dxa"/>
            <w:hideMark/>
          </w:tcPr>
          <w:p w:rsidR="00251B75" w:rsidRPr="00AE4D2E" w:rsidP="00AE4D2E" w14:paraId="02DF3296" w14:textId="77777777">
            <w:pPr>
              <w:pStyle w:val="Normal6a"/>
              <w:widowControl/>
            </w:pPr>
          </w:p>
        </w:tc>
        <w:tc>
          <w:tcPr>
            <w:tcW w:w="4876" w:type="dxa"/>
            <w:hideMark/>
          </w:tcPr>
          <w:p w:rsidR="00251B75" w:rsidRPr="00AE4D2E" w:rsidP="00AE4D2E" w14:paraId="47A46767" w14:textId="77777777">
            <w:pPr>
              <w:pStyle w:val="Normal6a"/>
              <w:widowControl/>
            </w:pPr>
            <w:r w:rsidRPr="00AE4D2E">
              <w:rPr>
                <w:b/>
                <w:i/>
              </w:rPr>
              <w:t>(40 b)</w:t>
            </w:r>
            <w:r w:rsidRPr="00AE4D2E">
              <w:rPr>
                <w:b/>
                <w:i/>
              </w:rPr>
              <w:tab/>
            </w:r>
            <w:r w:rsidRPr="00AE4D2E">
              <w:rPr>
                <w:b/>
                <w:i/>
              </w:rPr>
              <w:t>Tämän asetuksen vaikutukset unionin talousarvioon on arvioitu* Euroopan unionin toiminnasta tehdyn sopimuksen 310 artiklan 4 kohdan mukaisesti. Sen täytäntöönpanoon olisi osoitettava riittävät varat ja henkilöresurssit ottaen samalla huomioon sen rahoituksen vaikutukset muihin unionin ohjelmiin tai toimintapolitiikkoihin ja varmistaen sen yhteensopivuuden monivuotisen rahoituskehyksen, omien varojen järjestelmän ja vastaavan toimielinten välisen sopimuksen kanssa sekä Euroopan parlamentin ja neuvoston asetu</w:t>
            </w:r>
            <w:r w:rsidRPr="00AE4D2E">
              <w:rPr>
                <w:b/>
                <w:i/>
              </w:rPr>
              <w:t>ksessa (EU, Euratom) 2024/2509</w:t>
            </w:r>
            <w:r w:rsidRPr="00AE4D2E">
              <w:rPr>
                <w:b/>
                <w:i/>
                <w:vertAlign w:val="superscript"/>
              </w:rPr>
              <w:t>[1]</w:t>
            </w:r>
            <w:r w:rsidRPr="00AE4D2E">
              <w:rPr>
                <w:b/>
                <w:i/>
              </w:rPr>
              <w:t xml:space="preserve"> vahvistettujen talousarvioperiaatteiden kanssa.</w:t>
            </w:r>
          </w:p>
        </w:tc>
      </w:tr>
      <w:tr w14:paraId="0BC3329E" w14:textId="77777777" w:rsidTr="003B7FC6">
        <w:tblPrEx>
          <w:tblW w:w="9752" w:type="dxa"/>
          <w:jc w:val="center"/>
          <w:tblLayout w:type="fixed"/>
          <w:tblCellMar>
            <w:left w:w="340" w:type="dxa"/>
            <w:right w:w="340" w:type="dxa"/>
          </w:tblCellMar>
          <w:tblLook w:val="04A0"/>
        </w:tblPrEx>
        <w:trPr>
          <w:jc w:val="center"/>
        </w:trPr>
        <w:tc>
          <w:tcPr>
            <w:tcW w:w="4876" w:type="dxa"/>
          </w:tcPr>
          <w:p w:rsidR="003B7FC6" w:rsidRPr="00AE4D2E" w:rsidP="00AE4D2E" w14:paraId="21810313" w14:textId="77777777">
            <w:pPr>
              <w:pStyle w:val="Normal6a"/>
              <w:widowControl/>
            </w:pPr>
          </w:p>
        </w:tc>
        <w:tc>
          <w:tcPr>
            <w:tcW w:w="4876" w:type="dxa"/>
          </w:tcPr>
          <w:p w:rsidR="003B7FC6" w:rsidRPr="00AE4D2E" w:rsidP="00AE4D2E" w14:paraId="6D5FB582" w14:textId="77777777">
            <w:pPr>
              <w:pStyle w:val="Normal6a"/>
              <w:widowControl/>
              <w:rPr>
                <w:rStyle w:val="HideTWBExt"/>
              </w:rPr>
            </w:pPr>
            <w:r w:rsidRPr="00AE4D2E">
              <w:t>______________________</w:t>
            </w:r>
          </w:p>
        </w:tc>
      </w:tr>
      <w:tr w14:paraId="5ED04F2F" w14:textId="77777777" w:rsidTr="003B7FC6">
        <w:tblPrEx>
          <w:tblW w:w="9752" w:type="dxa"/>
          <w:jc w:val="center"/>
          <w:tblLayout w:type="fixed"/>
          <w:tblCellMar>
            <w:left w:w="340" w:type="dxa"/>
            <w:right w:w="340" w:type="dxa"/>
          </w:tblCellMar>
          <w:tblLook w:val="04A0"/>
        </w:tblPrEx>
        <w:trPr>
          <w:jc w:val="center"/>
        </w:trPr>
        <w:tc>
          <w:tcPr>
            <w:tcW w:w="4876" w:type="dxa"/>
          </w:tcPr>
          <w:p w:rsidR="003B7FC6" w:rsidRPr="00AE4D2E" w:rsidP="00AE4D2E" w14:paraId="5A798A93" w14:textId="77777777">
            <w:pPr>
              <w:pStyle w:val="Normal6a"/>
              <w:widowControl/>
            </w:pPr>
          </w:p>
        </w:tc>
        <w:tc>
          <w:tcPr>
            <w:tcW w:w="4876" w:type="dxa"/>
          </w:tcPr>
          <w:p w:rsidR="003B7FC6" w:rsidRPr="00AE4D2E" w:rsidP="00AE4D2E" w14:paraId="03C60591" w14:textId="77777777">
            <w:pPr>
              <w:pStyle w:val="Normal6a"/>
              <w:widowControl/>
            </w:pPr>
            <w:r w:rsidRPr="00AE4D2E">
              <w:rPr>
                <w:b/>
                <w:i/>
                <w:vertAlign w:val="superscript"/>
              </w:rPr>
              <w:t>+</w:t>
            </w:r>
            <w:r w:rsidRPr="00AE4D2E">
              <w:rPr>
                <w:b/>
                <w:i/>
              </w:rPr>
              <w:t xml:space="preserve"> Pro memoria: Euroopan parlamentin budjettivaliokunnan talousarvionäkökohtia koskeva arvio, annettu 15 päivänä heinäkuuta 2026, ehdotuksesta Euroopan parlamentin ja neuvoston asetukseksi AgoraEU-ohjelman perustamisesta vuosiksi 2028–2034 ja asetusten (EU) 2021/692 ja (EU) 2021/818 kumoamisesta (COM(2025)0550).</w:t>
            </w:r>
          </w:p>
        </w:tc>
      </w:tr>
      <w:tr w14:paraId="0484FAD5" w14:textId="77777777" w:rsidTr="003B7FC6">
        <w:tblPrEx>
          <w:tblW w:w="9752" w:type="dxa"/>
          <w:jc w:val="center"/>
          <w:tblLayout w:type="fixed"/>
          <w:tblCellMar>
            <w:left w:w="340" w:type="dxa"/>
            <w:right w:w="340" w:type="dxa"/>
          </w:tblCellMar>
          <w:tblLook w:val="04A0"/>
        </w:tblPrEx>
        <w:trPr>
          <w:jc w:val="center"/>
        </w:trPr>
        <w:tc>
          <w:tcPr>
            <w:tcW w:w="4876" w:type="dxa"/>
          </w:tcPr>
          <w:p w:rsidR="00395F78" w:rsidRPr="00AE4D2E" w:rsidP="00AE4D2E" w14:paraId="787AB129" w14:textId="77777777">
            <w:pPr>
              <w:pStyle w:val="Normal6a"/>
              <w:widowControl/>
            </w:pPr>
          </w:p>
        </w:tc>
        <w:tc>
          <w:tcPr>
            <w:tcW w:w="4876" w:type="dxa"/>
          </w:tcPr>
          <w:p w:rsidR="00395F78" w:rsidRPr="00AE4D2E" w:rsidP="00AE4D2E" w14:paraId="15EB721A" w14:textId="77777777">
            <w:pPr>
              <w:pStyle w:val="Normal6a"/>
              <w:widowControl/>
              <w:rPr>
                <w:b/>
                <w:bCs/>
                <w:i/>
                <w:iCs/>
                <w:vertAlign w:val="superscript"/>
              </w:rPr>
            </w:pPr>
            <w:r w:rsidRPr="00AE4D2E">
              <w:rPr>
                <w:b/>
                <w:i/>
                <w:vertAlign w:val="superscript"/>
              </w:rPr>
              <w:t>[1]</w:t>
            </w:r>
            <w:r w:rsidRPr="00AE4D2E">
              <w:rPr>
                <w:b/>
                <w:i/>
              </w:rPr>
              <w:t xml:space="preserve"> Euroopan parlamentin ja neuvoston asetus (EU, Euratom) 2024/2509, annettu 23 päivänä syyskuuta 2024, unionin yleiseen talousarvioon sovellettavista varainhoitosäännöistä (EUVL L, 2024/2509, 26.9.2024, ELI: http://data.europa.eu/eli/reg/2024/2509/oj).</w:t>
            </w:r>
          </w:p>
        </w:tc>
      </w:tr>
    </w:tbl>
    <w:p w:rsidR="0068168E" w:rsidRPr="00AE4D2E" w:rsidP="00AE4D2E" w14:paraId="7C97775F" w14:textId="77777777">
      <w:pPr>
        <w:widowControl/>
        <w:rPr>
          <w:rStyle w:val="HideTWBExt"/>
          <w:rFonts w:eastAsiaTheme="majorEastAsia"/>
        </w:rPr>
      </w:pPr>
      <w:r w:rsidRPr="00AE4D2E">
        <w:rPr>
          <w:rStyle w:val="HideTWBExt"/>
        </w:rPr>
        <w:t>&lt;/Amend&gt;</w:t>
      </w:r>
    </w:p>
    <w:p w:rsidR="003B60FC" w:rsidRPr="00AE4D2E" w:rsidP="00AE4D2E" w14:paraId="59CB67FA" w14:textId="77777777">
      <w:pPr>
        <w:pStyle w:val="AmNumberTabs"/>
        <w:keepNext/>
        <w:widowControl/>
      </w:pPr>
      <w:r w:rsidRPr="00AE4D2E">
        <w:rPr>
          <w:rStyle w:val="HideTWBExt"/>
          <w:b w:val="0"/>
        </w:rPr>
        <w:t>&lt;Amend&gt;</w:t>
      </w:r>
      <w:r w:rsidRPr="00AE4D2E">
        <w:t>Tarkistus</w:t>
      </w:r>
      <w:r w:rsidRPr="00AE4D2E">
        <w:tab/>
      </w:r>
      <w:r w:rsidRPr="00AE4D2E">
        <w:tab/>
      </w:r>
      <w:r w:rsidRPr="00AE4D2E">
        <w:rPr>
          <w:rStyle w:val="HideTWBExt"/>
          <w:b w:val="0"/>
        </w:rPr>
        <w:t>&lt;NumAm&gt;</w:t>
      </w:r>
      <w:r w:rsidRPr="00AE4D2E">
        <w:t>6</w:t>
      </w:r>
      <w:r w:rsidRPr="00AE4D2E">
        <w:rPr>
          <w:rStyle w:val="HideTWBExt"/>
          <w:b w:val="0"/>
        </w:rPr>
        <w:t>&lt;/NumAm&gt;</w:t>
      </w:r>
    </w:p>
    <w:p w:rsidR="003B60FC" w:rsidRPr="00AE4D2E" w:rsidP="00AE4D2E" w14:paraId="6B60D462" w14:textId="77777777">
      <w:pPr>
        <w:pStyle w:val="NormalBold12b"/>
        <w:keepNext/>
        <w:widowControl/>
      </w:pPr>
      <w:r w:rsidRPr="00AE4D2E">
        <w:rPr>
          <w:rStyle w:val="HideTWBExt"/>
          <w:b w:val="0"/>
        </w:rPr>
        <w:t>&lt;DocAmend&gt;</w:t>
      </w:r>
      <w:r w:rsidRPr="00AE4D2E">
        <w:t>Ehdotus asetukseksi</w:t>
      </w:r>
      <w:r w:rsidRPr="00AE4D2E">
        <w:rPr>
          <w:rStyle w:val="HideTWBExt"/>
          <w:b w:val="0"/>
        </w:rPr>
        <w:t>&lt;/DocAmend&gt;</w:t>
      </w:r>
    </w:p>
    <w:p w:rsidR="003B60FC" w:rsidRPr="00AE4D2E" w:rsidP="00AE4D2E" w14:paraId="7CC0A963" w14:textId="77777777">
      <w:pPr>
        <w:pStyle w:val="NormalBold"/>
        <w:widowControl/>
      </w:pPr>
      <w:r w:rsidRPr="00AE4D2E">
        <w:rPr>
          <w:rStyle w:val="HideTWBExt"/>
          <w:b w:val="0"/>
        </w:rPr>
        <w:t>&lt;Article&gt;</w:t>
      </w:r>
      <w:r w:rsidRPr="00AE4D2E">
        <w:t>11 artikla – 1 kohta</w:t>
      </w:r>
      <w:r w:rsidRPr="00AE4D2E">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5A5750E3" w14:textId="77777777" w:rsidTr="003B60FC">
        <w:tblPrEx>
          <w:tblW w:w="9752" w:type="dxa"/>
          <w:jc w:val="center"/>
          <w:tblLayout w:type="fixed"/>
          <w:tblCellMar>
            <w:left w:w="340" w:type="dxa"/>
            <w:right w:w="340" w:type="dxa"/>
          </w:tblCellMar>
          <w:tblLook w:val="04A0"/>
        </w:tblPrEx>
        <w:trPr>
          <w:jc w:val="center"/>
        </w:trPr>
        <w:tc>
          <w:tcPr>
            <w:tcW w:w="9752" w:type="dxa"/>
            <w:gridSpan w:val="2"/>
          </w:tcPr>
          <w:p w:rsidR="003B60FC" w:rsidRPr="00AE4D2E" w:rsidP="00AE4D2E" w14:paraId="062F297D" w14:textId="77777777">
            <w:pPr>
              <w:keepNext/>
              <w:widowControl/>
            </w:pPr>
          </w:p>
        </w:tc>
      </w:tr>
      <w:tr w14:paraId="1797AEED" w14:textId="77777777" w:rsidTr="003B60FC">
        <w:tblPrEx>
          <w:tblW w:w="9752" w:type="dxa"/>
          <w:jc w:val="center"/>
          <w:tblLayout w:type="fixed"/>
          <w:tblCellMar>
            <w:left w:w="340" w:type="dxa"/>
            <w:right w:w="340" w:type="dxa"/>
          </w:tblCellMar>
          <w:tblLook w:val="04A0"/>
        </w:tblPrEx>
        <w:trPr>
          <w:jc w:val="center"/>
        </w:trPr>
        <w:tc>
          <w:tcPr>
            <w:tcW w:w="4876" w:type="dxa"/>
            <w:hideMark/>
          </w:tcPr>
          <w:p w:rsidR="003B60FC" w:rsidRPr="00AE4D2E" w:rsidP="00AE4D2E" w14:paraId="62C7024F" w14:textId="77777777">
            <w:pPr>
              <w:pStyle w:val="AmColumnHeading"/>
              <w:keepNext/>
              <w:widowControl/>
            </w:pPr>
            <w:r w:rsidRPr="00AE4D2E">
              <w:t>Komission teksti</w:t>
            </w:r>
          </w:p>
        </w:tc>
        <w:tc>
          <w:tcPr>
            <w:tcW w:w="4876" w:type="dxa"/>
            <w:hideMark/>
          </w:tcPr>
          <w:p w:rsidR="003B60FC" w:rsidRPr="00AE4D2E" w:rsidP="00AE4D2E" w14:paraId="07B0757B" w14:textId="77777777">
            <w:pPr>
              <w:pStyle w:val="AmColumnHeading"/>
              <w:keepNext/>
              <w:widowControl/>
            </w:pPr>
            <w:r w:rsidRPr="00AE4D2E">
              <w:t>Tarkistus</w:t>
            </w:r>
          </w:p>
        </w:tc>
      </w:tr>
      <w:tr w14:paraId="3033A33D" w14:textId="77777777" w:rsidTr="003B60FC">
        <w:tblPrEx>
          <w:tblW w:w="9752" w:type="dxa"/>
          <w:jc w:val="center"/>
          <w:tblLayout w:type="fixed"/>
          <w:tblCellMar>
            <w:left w:w="340" w:type="dxa"/>
            <w:right w:w="340" w:type="dxa"/>
          </w:tblCellMar>
          <w:tblLook w:val="04A0"/>
        </w:tblPrEx>
        <w:trPr>
          <w:jc w:val="center"/>
        </w:trPr>
        <w:tc>
          <w:tcPr>
            <w:tcW w:w="4876" w:type="dxa"/>
            <w:hideMark/>
          </w:tcPr>
          <w:p w:rsidR="003B60FC" w:rsidRPr="00AE4D2E" w:rsidP="00AE4D2E" w14:paraId="311E7943" w14:textId="77777777">
            <w:pPr>
              <w:pStyle w:val="Normal6a"/>
              <w:widowControl/>
            </w:pPr>
            <w:r w:rsidRPr="00AE4D2E">
              <w:t>1.</w:t>
            </w:r>
            <w:r w:rsidRPr="00AE4D2E">
              <w:rPr>
                <w:b/>
                <w:i/>
              </w:rPr>
              <w:tab/>
              <w:t>Ohjelman</w:t>
            </w:r>
            <w:r w:rsidRPr="00AE4D2E">
              <w:t xml:space="preserve"> täytäntöönpanoon varatut </w:t>
            </w:r>
            <w:r w:rsidRPr="00AE4D2E">
              <w:rPr>
                <w:b/>
                <w:i/>
              </w:rPr>
              <w:t>ohjeelliset rahoituspuitteet</w:t>
            </w:r>
            <w:r w:rsidRPr="00AE4D2E">
              <w:t xml:space="preserve"> kaudeksi 2028–2034 ovat </w:t>
            </w:r>
            <w:r w:rsidRPr="00AE4D2E">
              <w:rPr>
                <w:b/>
                <w:i/>
              </w:rPr>
              <w:t>8 582</w:t>
            </w:r>
            <w:r w:rsidRPr="00AE4D2E">
              <w:t> </w:t>
            </w:r>
            <w:r w:rsidRPr="00AE4D2E">
              <w:rPr>
                <w:b/>
                <w:bCs/>
                <w:i/>
                <w:iCs/>
              </w:rPr>
              <w:t>000 000</w:t>
            </w:r>
            <w:r w:rsidRPr="00AE4D2E">
              <w:t xml:space="preserve"> euroa </w:t>
            </w:r>
            <w:r w:rsidRPr="00AE4D2E">
              <w:rPr>
                <w:b/>
                <w:i/>
              </w:rPr>
              <w:t>käypinä</w:t>
            </w:r>
            <w:r w:rsidRPr="00AE4D2E">
              <w:t xml:space="preserve"> hintoina.</w:t>
            </w:r>
          </w:p>
        </w:tc>
        <w:tc>
          <w:tcPr>
            <w:tcW w:w="4876" w:type="dxa"/>
            <w:hideMark/>
          </w:tcPr>
          <w:p w:rsidR="003B60FC" w:rsidRPr="00AE4D2E" w:rsidP="00AE4D2E" w14:paraId="791EDDE5" w14:textId="77777777">
            <w:pPr>
              <w:pStyle w:val="Normal6a"/>
              <w:widowControl/>
            </w:pPr>
            <w:r w:rsidRPr="00AE4D2E">
              <w:t>1.</w:t>
            </w:r>
            <w:r w:rsidRPr="00AE4D2E">
              <w:rPr>
                <w:b/>
                <w:i/>
              </w:rPr>
              <w:tab/>
              <w:t>Asetuksen</w:t>
            </w:r>
            <w:r w:rsidRPr="00AE4D2E">
              <w:t xml:space="preserve"> täytäntöönpanoon varatut </w:t>
            </w:r>
            <w:r w:rsidRPr="00AE4D2E">
              <w:rPr>
                <w:b/>
                <w:i/>
              </w:rPr>
              <w:t>ohjelman määrärahat</w:t>
            </w:r>
            <w:r w:rsidRPr="00AE4D2E">
              <w:t xml:space="preserve"> kaudeksi 2028–2034 ovat </w:t>
            </w:r>
            <w:r w:rsidRPr="00AE4D2E">
              <w:rPr>
                <w:b/>
                <w:i/>
              </w:rPr>
              <w:t>10 720 330 000 euroa käypinä hintoina (9 500</w:t>
            </w:r>
            <w:r w:rsidRPr="00AE4D2E">
              <w:t> </w:t>
            </w:r>
            <w:r w:rsidRPr="00AE4D2E">
              <w:rPr>
                <w:b/>
                <w:bCs/>
                <w:i/>
                <w:iCs/>
              </w:rPr>
              <w:t>000 000</w:t>
            </w:r>
            <w:r w:rsidRPr="00AE4D2E">
              <w:t xml:space="preserve"> euroa </w:t>
            </w:r>
            <w:r w:rsidRPr="00AE4D2E">
              <w:rPr>
                <w:b/>
                <w:i/>
              </w:rPr>
              <w:t>vuoden 2025</w:t>
            </w:r>
            <w:r w:rsidRPr="00AE4D2E">
              <w:t xml:space="preserve"> hintoina</w:t>
            </w:r>
            <w:r w:rsidRPr="00AE4D2E">
              <w:rPr>
                <w:b/>
                <w:i/>
              </w:rPr>
              <w:t>)</w:t>
            </w:r>
            <w:r w:rsidRPr="00AE4D2E">
              <w:t>.</w:t>
            </w:r>
          </w:p>
        </w:tc>
      </w:tr>
    </w:tbl>
    <w:p w:rsidR="00B77427" w:rsidRPr="00AE4D2E" w:rsidP="00AE4D2E" w14:paraId="480A172D" w14:textId="77777777">
      <w:pPr>
        <w:widowControl/>
        <w:rPr>
          <w:rStyle w:val="HideTWBExt"/>
          <w:rFonts w:eastAsiaTheme="majorEastAsia"/>
        </w:rPr>
      </w:pPr>
      <w:r w:rsidRPr="00AE4D2E">
        <w:rPr>
          <w:rStyle w:val="HideTWBExt"/>
        </w:rPr>
        <w:t>&lt;/Amend&gt;</w:t>
      </w:r>
    </w:p>
    <w:p w:rsidR="00457488" w:rsidRPr="00AE4D2E" w:rsidP="00AE4D2E" w14:paraId="46280625" w14:textId="77777777">
      <w:pPr>
        <w:pStyle w:val="AmNumberTabs"/>
        <w:keepNext/>
        <w:widowControl/>
      </w:pPr>
      <w:r w:rsidRPr="00AE4D2E">
        <w:rPr>
          <w:rStyle w:val="HideTWBExt"/>
          <w:b w:val="0"/>
        </w:rPr>
        <w:t>&lt;Amend&gt;</w:t>
      </w:r>
      <w:r w:rsidRPr="00AE4D2E">
        <w:t>Tarkistus</w:t>
      </w:r>
      <w:r w:rsidRPr="00AE4D2E">
        <w:tab/>
      </w:r>
      <w:r w:rsidRPr="00AE4D2E">
        <w:tab/>
      </w:r>
      <w:r w:rsidRPr="00AE4D2E">
        <w:rPr>
          <w:rStyle w:val="HideTWBExt"/>
          <w:b w:val="0"/>
        </w:rPr>
        <w:t>&lt;NumAm&gt;</w:t>
      </w:r>
      <w:r w:rsidRPr="00AE4D2E">
        <w:t>7</w:t>
      </w:r>
      <w:r w:rsidRPr="00AE4D2E">
        <w:rPr>
          <w:rStyle w:val="HideTWBExt"/>
          <w:b w:val="0"/>
        </w:rPr>
        <w:t>&lt;/NumAm&gt;</w:t>
      </w:r>
    </w:p>
    <w:p w:rsidR="00457488" w:rsidRPr="00AE4D2E" w:rsidP="00AE4D2E" w14:paraId="08808965" w14:textId="77777777">
      <w:pPr>
        <w:pStyle w:val="NormalBold12b"/>
        <w:keepNext/>
        <w:widowControl/>
      </w:pPr>
      <w:r w:rsidRPr="00AE4D2E">
        <w:rPr>
          <w:rStyle w:val="HideTWBExt"/>
          <w:b w:val="0"/>
        </w:rPr>
        <w:t>&lt;DocAmend&gt;</w:t>
      </w:r>
      <w:r w:rsidRPr="00AE4D2E">
        <w:t>Ehdotus asetukseksi</w:t>
      </w:r>
      <w:r w:rsidRPr="00AE4D2E">
        <w:rPr>
          <w:rStyle w:val="HideTWBExt"/>
          <w:b w:val="0"/>
        </w:rPr>
        <w:t>&lt;/DocAmend&gt;</w:t>
      </w:r>
    </w:p>
    <w:p w:rsidR="00457488" w:rsidRPr="00AE4D2E" w:rsidP="00AE4D2E" w14:paraId="462393E6" w14:textId="77777777">
      <w:pPr>
        <w:pStyle w:val="NormalBold"/>
        <w:widowControl/>
      </w:pPr>
      <w:r w:rsidRPr="00AE4D2E">
        <w:rPr>
          <w:rStyle w:val="HideTWBExt"/>
          <w:b w:val="0"/>
        </w:rPr>
        <w:t>&lt;Article&gt;</w:t>
      </w:r>
      <w:r w:rsidRPr="00AE4D2E">
        <w:t>13 artikla – 1 kohta</w:t>
      </w:r>
      <w:r w:rsidRPr="00AE4D2E">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04BF013F" w14:textId="77777777" w:rsidTr="00460880">
        <w:tblPrEx>
          <w:tblW w:w="9752" w:type="dxa"/>
          <w:jc w:val="center"/>
          <w:tblLayout w:type="fixed"/>
          <w:tblCellMar>
            <w:left w:w="340" w:type="dxa"/>
            <w:right w:w="340" w:type="dxa"/>
          </w:tblCellMar>
          <w:tblLook w:val="04A0"/>
        </w:tblPrEx>
        <w:trPr>
          <w:jc w:val="center"/>
        </w:trPr>
        <w:tc>
          <w:tcPr>
            <w:tcW w:w="9752" w:type="dxa"/>
            <w:gridSpan w:val="2"/>
          </w:tcPr>
          <w:p w:rsidR="00457488" w:rsidRPr="00AE4D2E" w:rsidP="00AE4D2E" w14:paraId="5DEDBED6" w14:textId="77777777">
            <w:pPr>
              <w:keepNext/>
              <w:widowControl/>
            </w:pPr>
          </w:p>
        </w:tc>
      </w:tr>
      <w:tr w14:paraId="65C0D5E3" w14:textId="77777777" w:rsidTr="00460880">
        <w:tblPrEx>
          <w:tblW w:w="9752" w:type="dxa"/>
          <w:jc w:val="center"/>
          <w:tblLayout w:type="fixed"/>
          <w:tblCellMar>
            <w:left w:w="340" w:type="dxa"/>
            <w:right w:w="340" w:type="dxa"/>
          </w:tblCellMar>
          <w:tblLook w:val="04A0"/>
        </w:tblPrEx>
        <w:trPr>
          <w:jc w:val="center"/>
        </w:trPr>
        <w:tc>
          <w:tcPr>
            <w:tcW w:w="4876" w:type="dxa"/>
            <w:hideMark/>
          </w:tcPr>
          <w:p w:rsidR="00457488" w:rsidRPr="00AE4D2E" w:rsidP="00AE4D2E" w14:paraId="2E9F77C6" w14:textId="77777777">
            <w:pPr>
              <w:pStyle w:val="AmColumnHeading"/>
              <w:keepNext/>
              <w:widowControl/>
            </w:pPr>
            <w:r w:rsidRPr="00AE4D2E">
              <w:t>Komission teksti</w:t>
            </w:r>
          </w:p>
        </w:tc>
        <w:tc>
          <w:tcPr>
            <w:tcW w:w="4876" w:type="dxa"/>
            <w:hideMark/>
          </w:tcPr>
          <w:p w:rsidR="00457488" w:rsidRPr="00AE4D2E" w:rsidP="00AE4D2E" w14:paraId="36C2AF03" w14:textId="77777777">
            <w:pPr>
              <w:pStyle w:val="AmColumnHeading"/>
              <w:keepNext/>
              <w:widowControl/>
            </w:pPr>
            <w:r w:rsidRPr="00AE4D2E">
              <w:t>Tarkistus</w:t>
            </w:r>
          </w:p>
        </w:tc>
      </w:tr>
      <w:tr w14:paraId="011B9015" w14:textId="77777777" w:rsidTr="00460880">
        <w:tblPrEx>
          <w:tblW w:w="9752" w:type="dxa"/>
          <w:jc w:val="center"/>
          <w:tblLayout w:type="fixed"/>
          <w:tblCellMar>
            <w:left w:w="340" w:type="dxa"/>
            <w:right w:w="340" w:type="dxa"/>
          </w:tblCellMar>
          <w:tblLook w:val="04A0"/>
        </w:tblPrEx>
        <w:trPr>
          <w:jc w:val="center"/>
        </w:trPr>
        <w:tc>
          <w:tcPr>
            <w:tcW w:w="4876" w:type="dxa"/>
            <w:hideMark/>
          </w:tcPr>
          <w:p w:rsidR="00457488" w:rsidRPr="00AE4D2E" w:rsidP="00AE4D2E" w14:paraId="31DA5077" w14:textId="77777777">
            <w:pPr>
              <w:pStyle w:val="Normal6a"/>
              <w:widowControl/>
            </w:pPr>
            <w:r w:rsidRPr="00AE4D2E">
              <w:t>1.</w:t>
            </w:r>
            <w:r w:rsidRPr="00AE4D2E">
              <w:tab/>
              <w:t>Ohjelma pannaan täytäntöön synergiassa muiden unionin ohjelmien kanssa. Toimi, joka on saanut unionin rahoitusta jostakin toisesta ohjelmasta, voi saada rahoitusta myös tästä ohjelmasta. Tällöin kustakin unionin ohjelmasta myönnettyyn rahoitusosuuteen sovelletaan asianomaisen ohjelman sääntöjä tai vaihtoehtoisesti voidaan soveltaa samoja sääntöjä kaikkiin rahoitusosuuksiin, jolloin voidaan tehdä vain yksi oikeudellinen sitoumus. Jos unionin rahoitusosuudet myönnetään avustuskelpoisten kustannusten perustee</w:t>
            </w:r>
            <w:r w:rsidRPr="00AE4D2E">
              <w:t>lla, unionin talousarviosta myönnettävä kumulatiivinen tuki ei saa ylittää toimen avustuskelpoisia kokonaiskustannuksia, ja se voidaan laskea määräsuhteen mukaisesti tukiehtoja koskevissa asiakirjoissa vahvistetulla tavalla.</w:t>
            </w:r>
          </w:p>
        </w:tc>
        <w:tc>
          <w:tcPr>
            <w:tcW w:w="4876" w:type="dxa"/>
            <w:hideMark/>
          </w:tcPr>
          <w:p w:rsidR="00457488" w:rsidRPr="00AE4D2E" w:rsidP="00AE4D2E" w14:paraId="1F4DA765" w14:textId="77777777">
            <w:pPr>
              <w:pStyle w:val="Normal6a"/>
              <w:widowControl/>
            </w:pPr>
            <w:r w:rsidRPr="00AE4D2E">
              <w:t>1.</w:t>
            </w:r>
            <w:r w:rsidRPr="00AE4D2E">
              <w:tab/>
              <w:t>Ohjelma pannaan täytäntöön synergiassa muiden unionin ohjelmien kanssa. Toimi, joka on saanut unionin rahoitusta jostakin toisesta ohjelmasta, voi saada rahoitusta myös tästä ohjelmasta. Tällöin kustakin unionin ohjelmasta myönnettyyn rahoitusosuuteen sovelletaan asianomaisen ohjelman sääntöjä tai vaihtoehtoisesti voidaan soveltaa samoja sääntöjä kaikkiin rahoitusosuuksiin, jolloin voidaan tehdä vain yksi oikeudellinen sitoumus. Jos unionin rahoitusosuudet myönnetään avustuskelpoisten kustannusten perustee</w:t>
            </w:r>
            <w:r w:rsidRPr="00AE4D2E">
              <w:t xml:space="preserve">lla, unionin talousarviosta myönnettävä kumulatiivinen tuki ei saa ylittää toimen avustuskelpoisia kokonaiskustannuksia, ja se voidaan laskea määräsuhteen mukaisesti tukiehtoja koskevissa asiakirjoissa vahvistetulla tavalla. </w:t>
            </w:r>
            <w:r w:rsidRPr="00AE4D2E">
              <w:rPr>
                <w:b/>
                <w:i/>
              </w:rPr>
              <w:t>Komissio tarkastelee ohjelman ja muiden unionin ohjelmien välisiä synergioita asetuksen (EU, Euratom) 2024/2509 41 artiklan 3 kohdan h alakohdassa vahvistetussa ohjelman tuloksellisuutta koskevassa lausunnossa ja asiaa koskevissa ohjelma- ja raportointiasiakirjoissa.</w:t>
            </w:r>
          </w:p>
        </w:tc>
      </w:tr>
    </w:tbl>
    <w:p w:rsidR="0068168E" w:rsidRPr="00AE4D2E" w:rsidP="00AE4D2E" w14:paraId="1973268F" w14:textId="77777777">
      <w:pPr>
        <w:widowControl/>
        <w:rPr>
          <w:rStyle w:val="HideTWBExt"/>
          <w:rFonts w:eastAsiaTheme="majorEastAsia"/>
        </w:rPr>
      </w:pPr>
      <w:r w:rsidRPr="00AE4D2E">
        <w:rPr>
          <w:rStyle w:val="HideTWBExt"/>
        </w:rPr>
        <w:t>&lt;/Amend&gt;</w:t>
      </w:r>
    </w:p>
    <w:p w:rsidR="00222A38" w:rsidRPr="00AE4D2E" w:rsidP="00AE4D2E" w14:paraId="719B06E0" w14:textId="77777777">
      <w:pPr>
        <w:pStyle w:val="AmNumberTabs"/>
        <w:keepNext/>
        <w:widowControl/>
      </w:pPr>
      <w:r w:rsidRPr="00AE4D2E">
        <w:rPr>
          <w:rStyle w:val="HideTWBExt"/>
          <w:b w:val="0"/>
        </w:rPr>
        <w:t>&lt;Amend&gt;</w:t>
      </w:r>
      <w:r w:rsidRPr="00AE4D2E">
        <w:t>Tarkistus</w:t>
      </w:r>
      <w:r w:rsidRPr="00AE4D2E">
        <w:tab/>
      </w:r>
      <w:r w:rsidRPr="00AE4D2E">
        <w:tab/>
      </w:r>
      <w:r w:rsidRPr="00AE4D2E">
        <w:rPr>
          <w:rStyle w:val="HideTWBExt"/>
          <w:b w:val="0"/>
        </w:rPr>
        <w:t>&lt;NumAm&gt;</w:t>
      </w:r>
      <w:r w:rsidRPr="00AE4D2E">
        <w:t>8</w:t>
      </w:r>
      <w:r w:rsidRPr="00AE4D2E">
        <w:rPr>
          <w:rStyle w:val="HideTWBExt"/>
          <w:b w:val="0"/>
        </w:rPr>
        <w:t>&lt;/NumAm&gt;</w:t>
      </w:r>
    </w:p>
    <w:p w:rsidR="00222A38" w:rsidRPr="00AE4D2E" w:rsidP="00AE4D2E" w14:paraId="6363BD4A" w14:textId="77777777">
      <w:pPr>
        <w:pStyle w:val="NormalBold12b"/>
        <w:keepNext/>
        <w:widowControl/>
      </w:pPr>
      <w:r w:rsidRPr="00AE4D2E">
        <w:rPr>
          <w:rStyle w:val="HideTWBExt"/>
          <w:b w:val="0"/>
        </w:rPr>
        <w:t>&lt;DocAmend&gt;</w:t>
      </w:r>
      <w:r w:rsidRPr="00AE4D2E">
        <w:t>Ehdotus asetukseksi</w:t>
      </w:r>
      <w:r w:rsidRPr="00AE4D2E">
        <w:rPr>
          <w:rStyle w:val="HideTWBExt"/>
          <w:b w:val="0"/>
        </w:rPr>
        <w:t>&lt;/DocAmend&gt;</w:t>
      </w:r>
    </w:p>
    <w:p w:rsidR="00222A38" w:rsidRPr="00AE4D2E" w:rsidP="00AE4D2E" w14:paraId="0461B680" w14:textId="77777777">
      <w:pPr>
        <w:pStyle w:val="NormalBold"/>
        <w:widowControl/>
      </w:pPr>
      <w:r w:rsidRPr="00AE4D2E">
        <w:rPr>
          <w:rStyle w:val="HideTWBExt"/>
          <w:b w:val="0"/>
        </w:rPr>
        <w:t>&lt;Article&gt;</w:t>
      </w:r>
      <w:r w:rsidRPr="00AE4D2E">
        <w:t>15 artikla – 4 a kohta (uusi)</w:t>
      </w:r>
      <w:r w:rsidRPr="00AE4D2E">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0C99AA25" w14:textId="77777777" w:rsidTr="00222A38">
        <w:tblPrEx>
          <w:tblW w:w="9752" w:type="dxa"/>
          <w:jc w:val="center"/>
          <w:tblLayout w:type="fixed"/>
          <w:tblCellMar>
            <w:left w:w="340" w:type="dxa"/>
            <w:right w:w="340" w:type="dxa"/>
          </w:tblCellMar>
          <w:tblLook w:val="04A0"/>
        </w:tblPrEx>
        <w:trPr>
          <w:jc w:val="center"/>
        </w:trPr>
        <w:tc>
          <w:tcPr>
            <w:tcW w:w="9752" w:type="dxa"/>
            <w:gridSpan w:val="2"/>
          </w:tcPr>
          <w:p w:rsidR="00222A38" w:rsidRPr="00AE4D2E" w:rsidP="00AE4D2E" w14:paraId="33A2EE38" w14:textId="77777777">
            <w:pPr>
              <w:keepNext/>
              <w:widowControl/>
            </w:pPr>
          </w:p>
        </w:tc>
      </w:tr>
      <w:tr w14:paraId="26BD7D6D" w14:textId="77777777" w:rsidTr="00222A38">
        <w:tblPrEx>
          <w:tblW w:w="9752" w:type="dxa"/>
          <w:jc w:val="center"/>
          <w:tblLayout w:type="fixed"/>
          <w:tblCellMar>
            <w:left w:w="340" w:type="dxa"/>
            <w:right w:w="340" w:type="dxa"/>
          </w:tblCellMar>
          <w:tblLook w:val="04A0"/>
        </w:tblPrEx>
        <w:trPr>
          <w:jc w:val="center"/>
        </w:trPr>
        <w:tc>
          <w:tcPr>
            <w:tcW w:w="4876" w:type="dxa"/>
            <w:hideMark/>
          </w:tcPr>
          <w:p w:rsidR="00222A38" w:rsidRPr="00AE4D2E" w:rsidP="00AE4D2E" w14:paraId="7E211212" w14:textId="77777777">
            <w:pPr>
              <w:pStyle w:val="AmColumnHeading"/>
              <w:keepNext/>
              <w:widowControl/>
            </w:pPr>
            <w:r w:rsidRPr="00AE4D2E">
              <w:t>Komission teksti</w:t>
            </w:r>
          </w:p>
        </w:tc>
        <w:tc>
          <w:tcPr>
            <w:tcW w:w="4876" w:type="dxa"/>
            <w:hideMark/>
          </w:tcPr>
          <w:p w:rsidR="00222A38" w:rsidRPr="00AE4D2E" w:rsidP="00AE4D2E" w14:paraId="55BF4B6D" w14:textId="77777777">
            <w:pPr>
              <w:pStyle w:val="AmColumnHeading"/>
              <w:keepNext/>
              <w:widowControl/>
            </w:pPr>
            <w:r w:rsidRPr="00AE4D2E">
              <w:t>Tarkistus</w:t>
            </w:r>
          </w:p>
        </w:tc>
      </w:tr>
      <w:tr w14:paraId="70168C57" w14:textId="77777777" w:rsidTr="00222A38">
        <w:tblPrEx>
          <w:tblW w:w="9752" w:type="dxa"/>
          <w:jc w:val="center"/>
          <w:tblLayout w:type="fixed"/>
          <w:tblCellMar>
            <w:left w:w="340" w:type="dxa"/>
            <w:right w:w="340" w:type="dxa"/>
          </w:tblCellMar>
          <w:tblLook w:val="04A0"/>
        </w:tblPrEx>
        <w:trPr>
          <w:jc w:val="center"/>
        </w:trPr>
        <w:tc>
          <w:tcPr>
            <w:tcW w:w="4876" w:type="dxa"/>
            <w:hideMark/>
          </w:tcPr>
          <w:p w:rsidR="00222A38" w:rsidRPr="00AE4D2E" w:rsidP="00AE4D2E" w14:paraId="4E81767E" w14:textId="77777777">
            <w:pPr>
              <w:pStyle w:val="Normal6a"/>
              <w:widowControl/>
            </w:pPr>
          </w:p>
        </w:tc>
        <w:tc>
          <w:tcPr>
            <w:tcW w:w="4876" w:type="dxa"/>
            <w:hideMark/>
          </w:tcPr>
          <w:p w:rsidR="00222A38" w:rsidRPr="00AE4D2E" w:rsidP="00AE4D2E" w14:paraId="57ABACF1" w14:textId="77777777">
            <w:pPr>
              <w:pStyle w:val="Normal6a"/>
              <w:widowControl/>
            </w:pPr>
            <w:r w:rsidRPr="00AE4D2E">
              <w:rPr>
                <w:b/>
                <w:i/>
              </w:rPr>
              <w:t>4 a.</w:t>
            </w:r>
            <w:r w:rsidRPr="00AE4D2E">
              <w:rPr>
                <w:b/>
                <w:i/>
              </w:rPr>
              <w:tab/>
            </w:r>
            <w:r w:rsidRPr="00AE4D2E">
              <w:rPr>
                <w:b/>
                <w:i/>
              </w:rPr>
              <w:t xml:space="preserve">Poiketen siitä, mitä asetuksen (EU, Euratom) 2024/2509 212 artiklan 3 kohdan ensimmäisessä, toisessa ja neljännessä alakohdassa säädetään, jos ohjelmasta myönnetään rahoitusta rahoitusvälineisiin Euroopan kilpailukykyrahaston InvestEU-välineen kautta tämän artiklan 4 kohdan nojalla, tulot, takaisinmaksut ja takaisinperinnät näistä rahoitusvälineistä on [1 päivästä tammikuuta 2028 / ohjelman alkamispäivästä alkaen] käytettävä tämän asetuksen mukaisen unionin tuen myöntämiseen. Poiketen siitä, mitä asetuksen </w:t>
            </w:r>
            <w:r w:rsidRPr="00AE4D2E">
              <w:rPr>
                <w:b/>
                <w:i/>
              </w:rPr>
              <w:t>(EU, Euratom) 2024/2509 21 artiklan 3 kohdan f alakohdassa säädetään, ja mainitun asetuksen 21 artiklan 5 kohdan mukaisesti kyseiset varat ovat ohjelman ulkoisia käyttötarkoitukseensa sidottuja tuloja.</w:t>
            </w:r>
          </w:p>
        </w:tc>
      </w:tr>
    </w:tbl>
    <w:p w:rsidR="00222A38" w:rsidRPr="00AE4D2E" w:rsidP="00AE4D2E" w14:paraId="2C12C9F0" w14:textId="77777777">
      <w:pPr>
        <w:widowControl/>
        <w:rPr>
          <w:rStyle w:val="HideTWBExt"/>
          <w:rFonts w:eastAsiaTheme="majorEastAsia"/>
        </w:rPr>
      </w:pPr>
      <w:r w:rsidRPr="00AE4D2E">
        <w:rPr>
          <w:rStyle w:val="HideTWBExt"/>
        </w:rPr>
        <w:t>&lt;/Amend&gt;</w:t>
      </w:r>
    </w:p>
    <w:p w:rsidR="0052626E" w:rsidRPr="00AE4D2E" w:rsidP="00AE4D2E" w14:paraId="67D9B80E" w14:textId="77777777">
      <w:pPr>
        <w:pStyle w:val="AmNumberTabs"/>
        <w:keepNext/>
        <w:widowControl/>
      </w:pPr>
      <w:r w:rsidRPr="00AE4D2E">
        <w:rPr>
          <w:rStyle w:val="HideTWBExt"/>
          <w:b w:val="0"/>
        </w:rPr>
        <w:t>&lt;Amend&gt;</w:t>
      </w:r>
      <w:r w:rsidRPr="00AE4D2E">
        <w:t>Tarkistus</w:t>
      </w:r>
      <w:r w:rsidRPr="00AE4D2E">
        <w:tab/>
      </w:r>
      <w:r w:rsidRPr="00AE4D2E">
        <w:tab/>
      </w:r>
      <w:r w:rsidRPr="00AE4D2E">
        <w:rPr>
          <w:rStyle w:val="HideTWBExt"/>
          <w:b w:val="0"/>
        </w:rPr>
        <w:t>&lt;NumAm&gt;</w:t>
      </w:r>
      <w:r w:rsidRPr="00AE4D2E">
        <w:t>9</w:t>
      </w:r>
      <w:r w:rsidRPr="00AE4D2E">
        <w:rPr>
          <w:rStyle w:val="HideTWBExt"/>
          <w:b w:val="0"/>
        </w:rPr>
        <w:t>&lt;/NumAm&gt;</w:t>
      </w:r>
    </w:p>
    <w:p w:rsidR="0052626E" w:rsidRPr="00AE4D2E" w:rsidP="00AE4D2E" w14:paraId="2676CFF2" w14:textId="77777777">
      <w:pPr>
        <w:pStyle w:val="NormalBold12b"/>
        <w:keepNext/>
        <w:widowControl/>
      </w:pPr>
      <w:r w:rsidRPr="00AE4D2E">
        <w:rPr>
          <w:rStyle w:val="HideTWBExt"/>
          <w:b w:val="0"/>
        </w:rPr>
        <w:t>&lt;DocAmend&gt;</w:t>
      </w:r>
      <w:r w:rsidRPr="00AE4D2E">
        <w:t>Ehdotus asetukseksi</w:t>
      </w:r>
      <w:r w:rsidRPr="00AE4D2E">
        <w:rPr>
          <w:rStyle w:val="HideTWBExt"/>
          <w:b w:val="0"/>
        </w:rPr>
        <w:t>&lt;/DocAmend&gt;</w:t>
      </w:r>
    </w:p>
    <w:p w:rsidR="0052626E" w:rsidRPr="00AE4D2E" w:rsidP="00AE4D2E" w14:paraId="37144F1B" w14:textId="77777777">
      <w:pPr>
        <w:pStyle w:val="NormalBold"/>
        <w:widowControl/>
      </w:pPr>
      <w:r w:rsidRPr="00AE4D2E">
        <w:rPr>
          <w:rStyle w:val="HideTWBExt"/>
          <w:b w:val="0"/>
        </w:rPr>
        <w:t>&lt;Article&gt;</w:t>
      </w:r>
      <w:r w:rsidRPr="00AE4D2E">
        <w:t>15 artikla – 6 kohta</w:t>
      </w:r>
      <w:r w:rsidRPr="00AE4D2E">
        <w:rPr>
          <w:rStyle w:val="HideTWBExt"/>
          <w:b w:val="0"/>
        </w:rPr>
        <w:t>&lt;/Article&gt;</w:t>
      </w:r>
    </w:p>
    <w:tbl>
      <w:tblPr>
        <w:tblW w:w="9752" w:type="dxa"/>
        <w:jc w:val="center"/>
        <w:tblLayout w:type="fixed"/>
        <w:tblCellMar>
          <w:left w:w="340" w:type="dxa"/>
          <w:right w:w="340" w:type="dxa"/>
        </w:tblCellMar>
        <w:tblLook w:val="04A0"/>
      </w:tblPr>
      <w:tblGrid>
        <w:gridCol w:w="4876"/>
        <w:gridCol w:w="4876"/>
      </w:tblGrid>
      <w:tr w14:paraId="1F5857D1" w14:textId="77777777" w:rsidTr="0052626E">
        <w:tblPrEx>
          <w:tblW w:w="9752" w:type="dxa"/>
          <w:jc w:val="center"/>
          <w:tblLayout w:type="fixed"/>
          <w:tblCellMar>
            <w:left w:w="340" w:type="dxa"/>
            <w:right w:w="340" w:type="dxa"/>
          </w:tblCellMar>
          <w:tblLook w:val="04A0"/>
        </w:tblPrEx>
        <w:trPr>
          <w:jc w:val="center"/>
        </w:trPr>
        <w:tc>
          <w:tcPr>
            <w:tcW w:w="9752" w:type="dxa"/>
            <w:gridSpan w:val="2"/>
          </w:tcPr>
          <w:p w:rsidR="0052626E" w:rsidRPr="00AE4D2E" w:rsidP="00AE4D2E" w14:paraId="212B90A2" w14:textId="77777777">
            <w:pPr>
              <w:keepNext/>
              <w:widowControl/>
            </w:pPr>
          </w:p>
        </w:tc>
      </w:tr>
      <w:tr w14:paraId="71DCB3BC" w14:textId="77777777" w:rsidTr="0052626E">
        <w:tblPrEx>
          <w:tblW w:w="9752" w:type="dxa"/>
          <w:jc w:val="center"/>
          <w:tblLayout w:type="fixed"/>
          <w:tblCellMar>
            <w:left w:w="340" w:type="dxa"/>
            <w:right w:w="340" w:type="dxa"/>
          </w:tblCellMar>
          <w:tblLook w:val="04A0"/>
        </w:tblPrEx>
        <w:trPr>
          <w:jc w:val="center"/>
        </w:trPr>
        <w:tc>
          <w:tcPr>
            <w:tcW w:w="4876" w:type="dxa"/>
            <w:hideMark/>
          </w:tcPr>
          <w:p w:rsidR="0052626E" w:rsidRPr="00AE4D2E" w:rsidP="00AE4D2E" w14:paraId="1B2DB2E9" w14:textId="77777777">
            <w:pPr>
              <w:pStyle w:val="AmColumnHeading"/>
              <w:keepNext/>
              <w:widowControl/>
            </w:pPr>
            <w:r w:rsidRPr="00AE4D2E">
              <w:t>Komission teksti</w:t>
            </w:r>
          </w:p>
        </w:tc>
        <w:tc>
          <w:tcPr>
            <w:tcW w:w="4876" w:type="dxa"/>
            <w:hideMark/>
          </w:tcPr>
          <w:p w:rsidR="0052626E" w:rsidRPr="00AE4D2E" w:rsidP="00AE4D2E" w14:paraId="43356125" w14:textId="77777777">
            <w:pPr>
              <w:pStyle w:val="AmColumnHeading"/>
              <w:keepNext/>
              <w:widowControl/>
            </w:pPr>
            <w:r w:rsidRPr="00AE4D2E">
              <w:t>Tarkistus</w:t>
            </w:r>
          </w:p>
        </w:tc>
      </w:tr>
      <w:tr w14:paraId="10148620" w14:textId="77777777" w:rsidTr="0052626E">
        <w:tblPrEx>
          <w:tblW w:w="9752" w:type="dxa"/>
          <w:jc w:val="center"/>
          <w:tblLayout w:type="fixed"/>
          <w:tblCellMar>
            <w:left w:w="340" w:type="dxa"/>
            <w:right w:w="340" w:type="dxa"/>
          </w:tblCellMar>
          <w:tblLook w:val="04A0"/>
        </w:tblPrEx>
        <w:trPr>
          <w:jc w:val="center"/>
        </w:trPr>
        <w:tc>
          <w:tcPr>
            <w:tcW w:w="4876" w:type="dxa"/>
            <w:hideMark/>
          </w:tcPr>
          <w:p w:rsidR="0052626E" w:rsidRPr="00AE4D2E" w:rsidP="00AE4D2E" w14:paraId="3AE837B2" w14:textId="77777777">
            <w:pPr>
              <w:pStyle w:val="Normal6a"/>
              <w:widowControl/>
            </w:pPr>
            <w:r w:rsidRPr="00AE4D2E">
              <w:t>6.</w:t>
            </w:r>
            <w:r w:rsidRPr="00AE4D2E">
              <w:tab/>
              <w:t xml:space="preserve">Jos unionin rahoitusta myönnetään avustuksina, käytetään </w:t>
            </w:r>
            <w:r w:rsidRPr="00AE4D2E">
              <w:rPr>
                <w:b/>
                <w:i/>
              </w:rPr>
              <w:t>kustannuksiin perustumatonta rahoitusta tai tarvittaessa</w:t>
            </w:r>
            <w:r w:rsidRPr="00AE4D2E">
              <w:t xml:space="preserve"> yksinkertaistettuja kustannusvaihtoehtoja asetuksen (EU, Euratom) 2024/2509 mukaisesti. Rahoitusta voidaan myöntää korvaamalla todelliset avustuskelpoiset kustannukset ainoastaan siinä tapauksessa, että toimen tavoitteita ei voida saavuttaa muulla tavoin.</w:t>
            </w:r>
          </w:p>
        </w:tc>
        <w:tc>
          <w:tcPr>
            <w:tcW w:w="4876" w:type="dxa"/>
            <w:hideMark/>
          </w:tcPr>
          <w:p w:rsidR="0052626E" w:rsidRPr="00AE4D2E" w:rsidP="00AE4D2E" w14:paraId="79AD8000" w14:textId="77777777">
            <w:pPr>
              <w:pStyle w:val="Normal6a"/>
              <w:widowControl/>
            </w:pPr>
            <w:r w:rsidRPr="00AE4D2E">
              <w:t>6.</w:t>
            </w:r>
            <w:r w:rsidRPr="00AE4D2E">
              <w:tab/>
              <w:t xml:space="preserve">Jos unionin rahoitusta myönnetään avustuksina, käytetään yksinkertaistettuja kustannusvaihtoehtoja asetuksen (EU, Euratom) 2024/2509 </w:t>
            </w:r>
            <w:r w:rsidRPr="00AE4D2E">
              <w:rPr>
                <w:b/>
                <w:i/>
              </w:rPr>
              <w:t>125 artiklan</w:t>
            </w:r>
            <w:r w:rsidRPr="00AE4D2E">
              <w:t xml:space="preserve"> mukaisesti. Rahoitusta voidaan myöntää korvaamalla todelliset avustuskelpoiset kustannukset ainoastaan siinä tapauksessa, että toimen tavoitteita ei voida saavuttaa muulla tavoin.</w:t>
            </w:r>
          </w:p>
        </w:tc>
      </w:tr>
    </w:tbl>
    <w:p w:rsidR="0052626E" w:rsidRPr="00AE4D2E" w:rsidP="00AE4D2E" w14:paraId="7E6A327E" w14:textId="77777777">
      <w:pPr>
        <w:widowControl/>
      </w:pPr>
      <w:r w:rsidRPr="00AE4D2E">
        <w:rPr>
          <w:rStyle w:val="HideTWBExt"/>
        </w:rPr>
        <w:t>&lt;/Amend&gt;</w:t>
      </w:r>
    </w:p>
    <w:p w:rsidR="00864AF6" w:rsidRPr="00AE4D2E" w:rsidP="00AE4D2E" w14:paraId="4B2006CE" w14:textId="77777777">
      <w:pPr>
        <w:widowControl/>
      </w:pPr>
      <w:r w:rsidRPr="00AE4D2E">
        <w:rPr>
          <w:rStyle w:val="HideTWBExt"/>
        </w:rPr>
        <w:t>&lt;/RepeatBlock-Amend&gt;</w:t>
      </w:r>
    </w:p>
    <w:p w:rsidR="00864AF6" w:rsidRPr="00AE4D2E" w:rsidP="00AE4D2E" w14:paraId="26B1F091" w14:textId="77777777">
      <w:pPr>
        <w:widowControl/>
        <w:rPr>
          <w:rStyle w:val="HideTWBExt"/>
        </w:rPr>
      </w:pPr>
    </w:p>
    <w:p w:rsidR="007C598C" w:rsidRPr="00AE4D2E" w:rsidP="00AE4D2E" w14:paraId="1366BB74" w14:textId="77777777">
      <w:pPr>
        <w:widowControl/>
        <w:rPr>
          <w:rStyle w:val="HideTWBExt"/>
        </w:rPr>
        <w:sectPr w:rsidSect="00AB298C">
          <w:footnotePr>
            <w:numRestart w:val="eachSect"/>
          </w:footnotePr>
          <w:endnotePr>
            <w:numFmt w:val="decimal"/>
          </w:endnotePr>
          <w:pgSz w:w="11906" w:h="16838" w:code="9"/>
          <w:pgMar w:top="1134" w:right="1418" w:bottom="1418" w:left="1418" w:header="1134" w:footer="567" w:gutter="0"/>
          <w:cols w:space="720"/>
          <w:noEndnote/>
          <w:docGrid w:linePitch="326"/>
        </w:sectPr>
      </w:pPr>
    </w:p>
    <w:p w:rsidR="00864AF6" w:rsidRPr="00AE4D2E" w:rsidP="00AE4D2E" w14:paraId="6731FD45" w14:textId="77777777">
      <w:pPr>
        <w:widowControl/>
      </w:pPr>
    </w:p>
    <w:p w:rsidR="001539C0" w:rsidRPr="00AE4D2E" w:rsidP="00AE4D2E" w14:paraId="03CE3FC0" w14:textId="77777777">
      <w:pPr>
        <w:widowControl/>
        <w:rPr>
          <w:rFonts w:ascii="Arial" w:hAnsi="Arial" w:cs="Arial"/>
          <w:b/>
        </w:rPr>
      </w:pPr>
      <w:bookmarkStart w:id="2" w:name="FootprintPageAD"/>
      <w:r w:rsidRPr="00AE4D2E">
        <w:br w:type="page"/>
      </w:r>
    </w:p>
    <w:p w:rsidR="00864AF6" w:rsidRPr="00AE4D2E" w:rsidP="00AE4D2E" w14:paraId="1A7049A5" w14:textId="77777777">
      <w:pPr>
        <w:pStyle w:val="PageHeadingNotTOC"/>
        <w:widowControl/>
      </w:pPr>
      <w:r w:rsidRPr="00AE4D2E">
        <w:t>LIITE: ILMOITUS SAADUISTA TIEDOISTA</w:t>
      </w:r>
    </w:p>
    <w:p w:rsidR="00864AF6" w:rsidRPr="00AE4D2E" w:rsidP="00AE4D2E" w14:paraId="60C60ED0" w14:textId="77777777">
      <w:pPr>
        <w:pStyle w:val="Normal24a"/>
        <w:widowControl/>
      </w:pPr>
      <w:r w:rsidRPr="00AE4D2E">
        <w:rPr>
          <w:rStyle w:val="HideTWBExt"/>
        </w:rPr>
        <w:t>&lt;FootprintIntro&gt;</w:t>
      </w:r>
      <w:r w:rsidRPr="00AE4D2E">
        <w:t>Talousarvionäkökohtia koskevan arvion valmistelija ilmoittaa yksinomaisella vastuullaan, ettei hän ole sisällyttänyt talousarvionäkökohtia koskevaan arvioonsa mitään tietoja pakollisesta avoimuusrekisteristä tehdyn toimielinten välisen sopimuksen</w:t>
      </w:r>
      <w:r>
        <w:rPr>
          <w:rStyle w:val="FootnoteReference"/>
        </w:rPr>
        <w:footnoteReference w:id="6"/>
      </w:r>
      <w:r w:rsidRPr="00AE4D2E">
        <w:t xml:space="preserve"> soveltamisalaan kuuluvilta edunvalvojilta tai kolmansien maiden viranomaisten edustajilta, mukaan lukien niiden diplomaattiset edustustot ja suurlähetystöt, jotka olisi mainittava tässä liitteessä työjärjestyksen liitteessä I olevan 8 artiklan mukaisesti.</w:t>
      </w:r>
      <w:r w:rsidRPr="00AE4D2E">
        <w:rPr>
          <w:rStyle w:val="HideTWBExt"/>
        </w:rPr>
        <w:t>&lt;/FootprintIntro&gt;</w:t>
      </w:r>
    </w:p>
    <w:bookmarkEnd w:id="2"/>
    <w:p w:rsidR="00BF70F2" w:rsidRPr="00AE4D2E" w:rsidP="00AE4D2E" w14:paraId="29333388" w14:textId="77777777">
      <w:pPr>
        <w:widowControl/>
      </w:pPr>
    </w:p>
    <w:p w:rsidR="00AB298C" w:rsidRPr="00AE4D2E" w:rsidP="00AE4D2E" w14:paraId="2C4CA673" w14:textId="77777777">
      <w:pPr>
        <w:widowControl/>
        <w:sectPr w:rsidSect="00AB298C">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B298C" w:rsidRPr="00AE4D2E" w:rsidP="00AE4D2E" w14:paraId="139A4C8B" w14:textId="0CB2D3BD">
      <w:pPr>
        <w:pStyle w:val="PageHeadingNotTOC"/>
        <w:widowControl/>
      </w:pPr>
      <w:bookmarkStart w:id="3" w:name="ProcPageAD"/>
      <w:r w:rsidRPr="00AE4D2E">
        <w:t>ASIAN KÄSITTELY</w:t>
      </w:r>
      <w:r>
        <w:br/>
      </w:r>
      <w:r w:rsidRPr="00AE4D2E">
        <w:t>TALOUSARVIONÄKÖKOHTIA KOSKEVAN ARVION ANTAVASSA</w:t>
      </w:r>
      <w:r>
        <w:t> </w:t>
      </w:r>
      <w:r w:rsidRPr="00AE4D2E">
        <w:t>VALIOKUNNASSA</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616E1F3B"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B298C" w:rsidRPr="00AE4D2E" w:rsidP="00AE4D2E" w14:paraId="21771DE8" w14:textId="77777777">
            <w:pPr>
              <w:widowControl/>
              <w:autoSpaceDE w:val="0"/>
              <w:autoSpaceDN w:val="0"/>
              <w:adjustRightInd w:val="0"/>
              <w:rPr>
                <w:b/>
                <w:bCs/>
                <w:sz w:val="20"/>
              </w:rPr>
            </w:pPr>
            <w:r w:rsidRPr="00AE4D2E">
              <w:rPr>
                <w:b/>
                <w:sz w:val="20"/>
              </w:rPr>
              <w:t>Otsikko</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B298C" w:rsidRPr="00AE4D2E" w:rsidP="00AE4D2E" w14:paraId="71C3039A" w14:textId="77777777">
            <w:pPr>
              <w:widowControl/>
              <w:autoSpaceDE w:val="0"/>
              <w:autoSpaceDN w:val="0"/>
              <w:adjustRightInd w:val="0"/>
              <w:rPr>
                <w:sz w:val="20"/>
              </w:rPr>
            </w:pPr>
            <w:r w:rsidRPr="00AE4D2E">
              <w:rPr>
                <w:sz w:val="20"/>
              </w:rPr>
              <w:t>AgoraEU-ohjelman perustaminen vuosiksi 2028–2034 ja asetusten (EU) 2021/692 ja (EU) 2021/818 kumoaminen</w:t>
            </w:r>
          </w:p>
        </w:tc>
      </w:tr>
      <w:tr w14:paraId="1AF5F31B" w14:textId="77777777">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B298C" w:rsidRPr="00AE4D2E" w:rsidP="00AE4D2E" w14:paraId="58B1170A" w14:textId="77777777">
            <w:pPr>
              <w:widowControl/>
              <w:autoSpaceDE w:val="0"/>
              <w:autoSpaceDN w:val="0"/>
              <w:adjustRightInd w:val="0"/>
              <w:rPr>
                <w:b/>
                <w:bCs/>
                <w:sz w:val="20"/>
              </w:rPr>
            </w:pPr>
            <w:r w:rsidRPr="00AE4D2E">
              <w:rPr>
                <w:b/>
                <w:sz w:val="20"/>
              </w:rPr>
              <w:t>Viiteasiakirjat</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AB298C" w:rsidRPr="00AE4D2E" w:rsidP="00AE4D2E" w14:paraId="1CCDB719" w14:textId="77777777">
            <w:pPr>
              <w:widowControl/>
              <w:autoSpaceDE w:val="0"/>
              <w:autoSpaceDN w:val="0"/>
              <w:adjustRightInd w:val="0"/>
              <w:rPr>
                <w:sz w:val="20"/>
              </w:rPr>
            </w:pPr>
            <w:r w:rsidRPr="00AE4D2E">
              <w:rPr>
                <w:sz w:val="20"/>
              </w:rPr>
              <w:t>COM(2025)0550 – C10-0173/2025 – 2025/0550(COD)</w:t>
            </w:r>
          </w:p>
        </w:tc>
      </w:tr>
      <w:tr w14:paraId="099E93BD"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B298C" w:rsidRPr="00AE4D2E" w:rsidP="00AE4D2E" w14:paraId="687C0F0C" w14:textId="77777777">
            <w:pPr>
              <w:widowControl/>
              <w:autoSpaceDE w:val="0"/>
              <w:autoSpaceDN w:val="0"/>
              <w:adjustRightInd w:val="0"/>
              <w:rPr>
                <w:b/>
                <w:bCs/>
                <w:sz w:val="20"/>
              </w:rPr>
            </w:pPr>
            <w:r w:rsidRPr="00AE4D2E">
              <w:rPr>
                <w:b/>
                <w:sz w:val="20"/>
              </w:rPr>
              <w:t>Asiasta vastaava valiokunta tai valiokunnat</w:t>
            </w:r>
          </w:p>
          <w:p w:rsidR="00AB298C" w:rsidRPr="00AE4D2E" w:rsidP="00AE4D2E" w14:paraId="7A5A410F" w14:textId="77777777">
            <w:pPr>
              <w:widowControl/>
              <w:autoSpaceDE w:val="0"/>
              <w:autoSpaceDN w:val="0"/>
              <w:adjustRightInd w:val="0"/>
              <w:rPr>
                <w:sz w:val="20"/>
              </w:rPr>
            </w:pPr>
            <w:r w:rsidRPr="00AE4D2E">
              <w:rPr>
                <w:sz w:val="20"/>
              </w:rPr>
              <w:t>       Ilmoitettu istunnossa (pvä)</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B298C" w:rsidRPr="00AE4D2E" w:rsidP="00AE4D2E" w14:paraId="737EC665" w14:textId="77777777">
            <w:pPr>
              <w:widowControl/>
              <w:autoSpaceDE w:val="0"/>
              <w:autoSpaceDN w:val="0"/>
              <w:adjustRightInd w:val="0"/>
              <w:rPr>
                <w:sz w:val="20"/>
              </w:rPr>
            </w:pPr>
            <w:r w:rsidRPr="00AE4D2E">
              <w:rPr>
                <w:sz w:val="20"/>
              </w:rPr>
              <w:t>CULT</w:t>
            </w:r>
          </w:p>
          <w:p w:rsidR="00AB298C" w:rsidRPr="00AE4D2E" w:rsidP="00AE4D2E" w14:paraId="618E0AE6" w14:textId="77777777">
            <w:pPr>
              <w:widowControl/>
              <w:autoSpaceDE w:val="0"/>
              <w:autoSpaceDN w:val="0"/>
              <w:adjustRightInd w:val="0"/>
              <w:rPr>
                <w:sz w:val="20"/>
              </w:rPr>
            </w:pPr>
            <w:r w:rsidRPr="00AE4D2E">
              <w:rPr>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B298C" w:rsidRPr="00AE4D2E" w:rsidP="00AE4D2E" w14:paraId="2144FD49" w14:textId="77777777">
            <w:pPr>
              <w:widowControl/>
              <w:autoSpaceDE w:val="0"/>
              <w:autoSpaceDN w:val="0"/>
              <w:adjustRightInd w:val="0"/>
              <w:rPr>
                <w:sz w:val="20"/>
              </w:rPr>
            </w:pPr>
            <w:r w:rsidRPr="00AE4D2E">
              <w:rPr>
                <w:sz w:val="20"/>
              </w:rPr>
              <w:t>LIBE</w:t>
            </w:r>
          </w:p>
          <w:p w:rsidR="00AB298C" w:rsidRPr="00AE4D2E" w:rsidP="00AE4D2E" w14:paraId="6EB5AA4A" w14:textId="77777777">
            <w:pPr>
              <w:widowControl/>
              <w:autoSpaceDE w:val="0"/>
              <w:autoSpaceDN w:val="0"/>
              <w:adjustRightInd w:val="0"/>
              <w:rPr>
                <w:sz w:val="20"/>
              </w:rPr>
            </w:pPr>
            <w:r w:rsidRPr="00AE4D2E">
              <w:rPr>
                <w:sz w:val="20"/>
              </w:rPr>
              <w:t>23.10.2025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B298C" w:rsidRPr="00AE4D2E" w:rsidP="00AE4D2E" w14:paraId="4A52D1BE" w14:textId="77777777">
            <w:pPr>
              <w:widowControl/>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B298C" w:rsidRPr="00AE4D2E" w:rsidP="00AE4D2E" w14:paraId="66453F69" w14:textId="77777777">
            <w:pPr>
              <w:widowControl/>
              <w:autoSpaceDE w:val="0"/>
              <w:autoSpaceDN w:val="0"/>
              <w:adjustRightInd w:val="0"/>
              <w:rPr>
                <w:rFonts w:ascii="sans-serif" w:hAnsi="sans-serif" w:cs="sans-serif"/>
              </w:rPr>
            </w:pPr>
          </w:p>
        </w:tc>
      </w:tr>
      <w:tr w14:paraId="53CE53E6"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B298C" w:rsidRPr="00AE4D2E" w:rsidP="00AE4D2E" w14:paraId="23965F0D" w14:textId="77777777">
            <w:pPr>
              <w:widowControl/>
              <w:autoSpaceDE w:val="0"/>
              <w:autoSpaceDN w:val="0"/>
              <w:adjustRightInd w:val="0"/>
              <w:rPr>
                <w:b/>
                <w:bCs/>
                <w:sz w:val="20"/>
              </w:rPr>
            </w:pPr>
            <w:r w:rsidRPr="00AE4D2E">
              <w:rPr>
                <w:b/>
                <w:sz w:val="20"/>
              </w:rPr>
              <w:t>Talousarvionäkökohtia koskeva arvio</w:t>
            </w:r>
          </w:p>
          <w:p w:rsidR="00AB298C" w:rsidRPr="00AE4D2E" w:rsidP="00AE4D2E" w14:paraId="5AC941B3" w14:textId="77777777">
            <w:pPr>
              <w:widowControl/>
              <w:autoSpaceDE w:val="0"/>
              <w:autoSpaceDN w:val="0"/>
              <w:adjustRightInd w:val="0"/>
              <w:rPr>
                <w:sz w:val="20"/>
              </w:rPr>
            </w:pPr>
            <w:r w:rsidRPr="00AE4D2E">
              <w:rPr>
                <w:sz w:val="20"/>
              </w:rPr>
              <w:t>       </w:t>
            </w:r>
            <w:r w:rsidRPr="00AE4D2E">
              <w:rPr>
                <w:sz w:val="20"/>
              </w:rPr>
              <w:t>Ilmoitettu istunnossa (pvä)</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B298C" w:rsidRPr="00AE4D2E" w:rsidP="00AE4D2E" w14:paraId="75EA50E8" w14:textId="77777777">
            <w:pPr>
              <w:widowControl/>
              <w:autoSpaceDE w:val="0"/>
              <w:autoSpaceDN w:val="0"/>
              <w:adjustRightInd w:val="0"/>
              <w:rPr>
                <w:sz w:val="20"/>
              </w:rPr>
            </w:pPr>
            <w:r w:rsidRPr="00AE4D2E">
              <w:rPr>
                <w:sz w:val="20"/>
              </w:rPr>
              <w:t>BUDG</w:t>
            </w:r>
          </w:p>
          <w:p w:rsidR="00AB298C" w:rsidRPr="00AE4D2E" w:rsidP="00AE4D2E" w14:paraId="392ECF2A" w14:textId="77777777">
            <w:pPr>
              <w:widowControl/>
              <w:autoSpaceDE w:val="0"/>
              <w:autoSpaceDN w:val="0"/>
              <w:adjustRightInd w:val="0"/>
              <w:rPr>
                <w:sz w:val="20"/>
              </w:rPr>
            </w:pPr>
            <w:r w:rsidRPr="00AE4D2E">
              <w:rPr>
                <w:sz w:val="20"/>
              </w:rPr>
              <w:t>23.10.2025</w:t>
            </w:r>
          </w:p>
        </w:tc>
      </w:tr>
      <w:tr w14:paraId="5FB53D63"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B298C" w:rsidRPr="00AE4D2E" w:rsidP="00AE4D2E" w14:paraId="2D758FFF" w14:textId="77777777">
            <w:pPr>
              <w:widowControl/>
              <w:autoSpaceDE w:val="0"/>
              <w:autoSpaceDN w:val="0"/>
              <w:adjustRightInd w:val="0"/>
              <w:rPr>
                <w:b/>
                <w:bCs/>
                <w:sz w:val="20"/>
              </w:rPr>
            </w:pPr>
            <w:r w:rsidRPr="00AE4D2E">
              <w:rPr>
                <w:b/>
                <w:sz w:val="20"/>
              </w:rPr>
              <w:t>Talousarvionäkökohtia koskevan arvion valmistelija</w:t>
            </w:r>
          </w:p>
          <w:p w:rsidR="00AB298C" w:rsidRPr="00AE4D2E" w:rsidP="00AE4D2E" w14:paraId="122203A1" w14:textId="77777777">
            <w:pPr>
              <w:widowControl/>
              <w:autoSpaceDE w:val="0"/>
              <w:autoSpaceDN w:val="0"/>
              <w:adjustRightInd w:val="0"/>
              <w:rPr>
                <w:sz w:val="20"/>
              </w:rPr>
            </w:pPr>
            <w:r w:rsidRPr="00AE4D2E">
              <w:rPr>
                <w:sz w:val="20"/>
              </w:rPr>
              <w:t>       Nimitetty (pvä)</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B298C" w:rsidRPr="00AE4D2E" w:rsidP="00AE4D2E" w14:paraId="3DF1F0BC" w14:textId="77777777">
            <w:pPr>
              <w:widowControl/>
              <w:autoSpaceDE w:val="0"/>
              <w:autoSpaceDN w:val="0"/>
              <w:adjustRightInd w:val="0"/>
              <w:rPr>
                <w:sz w:val="20"/>
              </w:rPr>
            </w:pPr>
            <w:r w:rsidRPr="00AE4D2E">
              <w:rPr>
                <w:sz w:val="20"/>
              </w:rPr>
              <w:t>Sandra Gómez López</w:t>
            </w:r>
          </w:p>
          <w:p w:rsidR="00AB298C" w:rsidRPr="00AE4D2E" w:rsidP="00AE4D2E" w14:paraId="05AD2D73" w14:textId="77777777">
            <w:pPr>
              <w:widowControl/>
              <w:autoSpaceDE w:val="0"/>
              <w:autoSpaceDN w:val="0"/>
              <w:adjustRightInd w:val="0"/>
              <w:rPr>
                <w:sz w:val="20"/>
              </w:rPr>
            </w:pPr>
            <w:r w:rsidRPr="00AE4D2E">
              <w:rPr>
                <w:sz w:val="20"/>
              </w:rPr>
              <w:t>25.2.2026</w:t>
            </w:r>
          </w:p>
        </w:tc>
      </w:tr>
      <w:tr w14:paraId="6E401032"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B298C" w:rsidRPr="00AE4D2E" w:rsidP="00AE4D2E" w14:paraId="4700EA0A" w14:textId="77777777">
            <w:pPr>
              <w:widowControl/>
              <w:autoSpaceDE w:val="0"/>
              <w:autoSpaceDN w:val="0"/>
              <w:adjustRightInd w:val="0"/>
              <w:rPr>
                <w:b/>
                <w:bCs/>
                <w:sz w:val="20"/>
              </w:rPr>
            </w:pPr>
            <w:r w:rsidRPr="00AE4D2E">
              <w:rPr>
                <w:b/>
                <w:sz w:val="20"/>
              </w:rPr>
              <w:t>Valiokuntakäsittely</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B298C" w:rsidRPr="00AE4D2E" w:rsidP="00AE4D2E" w14:paraId="091F4AC4" w14:textId="77777777">
            <w:pPr>
              <w:widowControl/>
              <w:autoSpaceDE w:val="0"/>
              <w:autoSpaceDN w:val="0"/>
              <w:adjustRightInd w:val="0"/>
              <w:rPr>
                <w:sz w:val="20"/>
              </w:rPr>
            </w:pPr>
            <w:r w:rsidRPr="00AE4D2E">
              <w:rPr>
                <w:sz w:val="20"/>
              </w:rPr>
              <w:t>7.5.2026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B298C" w:rsidRPr="00AE4D2E" w:rsidP="00AE4D2E" w14:paraId="1083FF79" w14:textId="77777777">
            <w:pPr>
              <w:widowControl/>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AB298C" w:rsidRPr="00AE4D2E" w:rsidP="00AE4D2E" w14:paraId="32EC7643" w14:textId="77777777">
            <w:pPr>
              <w:widowControl/>
              <w:autoSpaceDE w:val="0"/>
              <w:autoSpaceDN w:val="0"/>
              <w:adjustRightInd w:val="0"/>
              <w:rPr>
                <w:rFonts w:ascii="sans-serif" w:hAnsi="sans-serif" w:cs="sans-serif"/>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B298C" w:rsidRPr="00AE4D2E" w:rsidP="00AE4D2E" w14:paraId="3481AFBF" w14:textId="77777777">
            <w:pPr>
              <w:widowControl/>
              <w:autoSpaceDE w:val="0"/>
              <w:autoSpaceDN w:val="0"/>
              <w:adjustRightInd w:val="0"/>
              <w:rPr>
                <w:rFonts w:ascii="sans-serif" w:hAnsi="sans-serif" w:cs="sans-serif"/>
              </w:rPr>
            </w:pPr>
          </w:p>
        </w:tc>
      </w:tr>
      <w:tr w14:paraId="0E1204EF" w14:textId="77777777">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AB298C" w:rsidRPr="00AE4D2E" w:rsidP="00AE4D2E" w14:paraId="2ABA37E4" w14:textId="77777777">
            <w:pPr>
              <w:widowControl/>
              <w:autoSpaceDE w:val="0"/>
              <w:autoSpaceDN w:val="0"/>
              <w:adjustRightInd w:val="0"/>
              <w:rPr>
                <w:b/>
                <w:bCs/>
                <w:sz w:val="20"/>
              </w:rPr>
            </w:pPr>
            <w:r w:rsidRPr="00AE4D2E">
              <w:rPr>
                <w:b/>
                <w:sz w:val="20"/>
              </w:rPr>
              <w:t>Hyväksytty (pvä)</w:t>
            </w:r>
          </w:p>
        </w:tc>
        <w:tc>
          <w:tcPr>
            <w:tcW w:w="1530" w:type="dxa"/>
            <w:tcBorders>
              <w:top w:val="nil"/>
              <w:left w:val="nil"/>
              <w:bottom w:val="single" w:sz="8" w:space="0" w:color="000000"/>
              <w:right w:val="nil"/>
            </w:tcBorders>
            <w:tcMar>
              <w:top w:w="79" w:type="dxa"/>
              <w:left w:w="79" w:type="dxa"/>
              <w:bottom w:w="79" w:type="dxa"/>
              <w:right w:w="79" w:type="dxa"/>
            </w:tcMar>
          </w:tcPr>
          <w:p w:rsidR="00AB298C" w:rsidRPr="00AE4D2E" w:rsidP="00AE4D2E" w14:paraId="44FEE4B1" w14:textId="77777777">
            <w:pPr>
              <w:widowControl/>
              <w:autoSpaceDE w:val="0"/>
              <w:autoSpaceDN w:val="0"/>
              <w:adjustRightInd w:val="0"/>
              <w:rPr>
                <w:sz w:val="20"/>
              </w:rPr>
            </w:pPr>
            <w:r w:rsidRPr="00AE4D2E">
              <w:rPr>
                <w:sz w:val="20"/>
              </w:rPr>
              <w:t>15.7.2026</w:t>
            </w:r>
          </w:p>
        </w:tc>
        <w:tc>
          <w:tcPr>
            <w:tcW w:w="1474" w:type="dxa"/>
            <w:tcBorders>
              <w:top w:val="nil"/>
              <w:left w:val="nil"/>
              <w:bottom w:val="single" w:sz="8" w:space="0" w:color="000000"/>
              <w:right w:val="nil"/>
            </w:tcBorders>
            <w:tcMar>
              <w:top w:w="79" w:type="dxa"/>
              <w:left w:w="79" w:type="dxa"/>
              <w:bottom w:w="79" w:type="dxa"/>
              <w:right w:w="79" w:type="dxa"/>
            </w:tcMar>
          </w:tcPr>
          <w:p w:rsidR="00AB298C" w:rsidRPr="00AE4D2E" w:rsidP="00AE4D2E" w14:paraId="0198435B" w14:textId="77777777">
            <w:pPr>
              <w:widowControl/>
              <w:autoSpaceDE w:val="0"/>
              <w:autoSpaceDN w:val="0"/>
              <w:adjustRightInd w:val="0"/>
              <w:rPr>
                <w:rFonts w:ascii="sans-serif" w:hAnsi="sans-serif" w:cs="sans-serif"/>
              </w:rPr>
            </w:pPr>
          </w:p>
        </w:tc>
        <w:tc>
          <w:tcPr>
            <w:tcW w:w="1474" w:type="dxa"/>
            <w:tcBorders>
              <w:top w:val="nil"/>
              <w:left w:val="nil"/>
              <w:bottom w:val="single" w:sz="8" w:space="0" w:color="000000"/>
              <w:right w:val="nil"/>
            </w:tcBorders>
            <w:tcMar>
              <w:top w:w="79" w:type="dxa"/>
              <w:left w:w="79" w:type="dxa"/>
              <w:bottom w:w="79" w:type="dxa"/>
              <w:right w:w="79" w:type="dxa"/>
            </w:tcMar>
          </w:tcPr>
          <w:p w:rsidR="00AB298C" w:rsidRPr="00AE4D2E" w:rsidP="00AE4D2E" w14:paraId="495CA07F" w14:textId="77777777">
            <w:pPr>
              <w:widowControl/>
              <w:autoSpaceDE w:val="0"/>
              <w:autoSpaceDN w:val="0"/>
              <w:adjustRightInd w:val="0"/>
              <w:rPr>
                <w:rFonts w:ascii="sans-serif" w:hAnsi="sans-serif" w:cs="sans-serif"/>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AB298C" w:rsidRPr="00AE4D2E" w:rsidP="00AE4D2E" w14:paraId="018608F3" w14:textId="77777777">
            <w:pPr>
              <w:widowControl/>
              <w:autoSpaceDE w:val="0"/>
              <w:autoSpaceDN w:val="0"/>
              <w:adjustRightInd w:val="0"/>
              <w:rPr>
                <w:rFonts w:ascii="sans-serif" w:hAnsi="sans-serif" w:cs="sans-serif"/>
              </w:rPr>
            </w:pPr>
          </w:p>
        </w:tc>
      </w:tr>
      <w:tr w14:paraId="6C989F9B" w14:textId="77777777">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AB298C" w:rsidRPr="00AE4D2E" w:rsidP="00AE4D2E" w14:paraId="6453F035" w14:textId="77777777">
            <w:pPr>
              <w:widowControl/>
              <w:autoSpaceDE w:val="0"/>
              <w:autoSpaceDN w:val="0"/>
              <w:adjustRightInd w:val="0"/>
              <w:rPr>
                <w:b/>
                <w:bCs/>
                <w:sz w:val="20"/>
              </w:rPr>
            </w:pPr>
            <w:r w:rsidRPr="00AE4D2E">
              <w:rPr>
                <w:b/>
                <w:sz w:val="20"/>
              </w:rPr>
              <w:t>Lopullisen äänestyksen tulos</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AB298C" w:rsidRPr="00AE4D2E" w:rsidP="00AE4D2E" w14:paraId="03330D1E" w14:textId="77777777">
            <w:pPr>
              <w:widowControl/>
              <w:autoSpaceDE w:val="0"/>
              <w:autoSpaceDN w:val="0"/>
              <w:adjustRightInd w:val="0"/>
              <w:rPr>
                <w:sz w:val="20"/>
              </w:rPr>
            </w:pPr>
            <w:r w:rsidRPr="00AE4D2E">
              <w:rPr>
                <w:sz w:val="20"/>
              </w:rPr>
              <w:t>+:</w:t>
            </w:r>
          </w:p>
          <w:p w:rsidR="00AB298C" w:rsidRPr="00AE4D2E" w:rsidP="00AE4D2E" w14:paraId="588AEA40" w14:textId="77777777">
            <w:pPr>
              <w:widowControl/>
              <w:autoSpaceDE w:val="0"/>
              <w:autoSpaceDN w:val="0"/>
              <w:adjustRightInd w:val="0"/>
              <w:rPr>
                <w:sz w:val="20"/>
              </w:rPr>
            </w:pPr>
            <w:r w:rsidRPr="00AE4D2E">
              <w:rPr>
                <w:sz w:val="20"/>
              </w:rPr>
              <w:t>–:</w:t>
            </w:r>
          </w:p>
          <w:p w:rsidR="00AB298C" w:rsidRPr="00AE4D2E" w:rsidP="00AE4D2E" w14:paraId="6449757D" w14:textId="77777777">
            <w:pPr>
              <w:widowControl/>
              <w:autoSpaceDE w:val="0"/>
              <w:autoSpaceDN w:val="0"/>
              <w:adjustRightInd w:val="0"/>
              <w:rPr>
                <w:sz w:val="20"/>
              </w:rPr>
            </w:pPr>
            <w:r w:rsidRPr="00AE4D2E">
              <w:rPr>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AB298C" w:rsidRPr="00AE4D2E" w:rsidP="00AE4D2E" w14:paraId="712D1DE4" w14:textId="77777777">
            <w:pPr>
              <w:widowControl/>
              <w:autoSpaceDE w:val="0"/>
              <w:autoSpaceDN w:val="0"/>
              <w:adjustRightInd w:val="0"/>
              <w:rPr>
                <w:sz w:val="20"/>
              </w:rPr>
            </w:pPr>
            <w:r w:rsidRPr="00AE4D2E">
              <w:rPr>
                <w:sz w:val="20"/>
              </w:rPr>
              <w:t>23</w:t>
            </w:r>
          </w:p>
          <w:p w:rsidR="00AB298C" w:rsidRPr="00AE4D2E" w:rsidP="00AE4D2E" w14:paraId="6AE099BA" w14:textId="77777777">
            <w:pPr>
              <w:widowControl/>
              <w:autoSpaceDE w:val="0"/>
              <w:autoSpaceDN w:val="0"/>
              <w:adjustRightInd w:val="0"/>
              <w:rPr>
                <w:sz w:val="20"/>
              </w:rPr>
            </w:pPr>
            <w:r w:rsidRPr="00AE4D2E">
              <w:rPr>
                <w:sz w:val="20"/>
              </w:rPr>
              <w:t>7</w:t>
            </w:r>
          </w:p>
          <w:p w:rsidR="00AB298C" w:rsidRPr="00AE4D2E" w:rsidP="00AE4D2E" w14:paraId="457675F9" w14:textId="77777777">
            <w:pPr>
              <w:widowControl/>
              <w:autoSpaceDE w:val="0"/>
              <w:autoSpaceDN w:val="0"/>
              <w:adjustRightInd w:val="0"/>
              <w:rPr>
                <w:sz w:val="20"/>
              </w:rPr>
            </w:pPr>
            <w:r w:rsidRPr="00AE4D2E">
              <w:rPr>
                <w:sz w:val="20"/>
              </w:rPr>
              <w:t>1</w:t>
            </w:r>
          </w:p>
        </w:tc>
      </w:tr>
    </w:tbl>
    <w:p w:rsidR="00AB298C" w:rsidRPr="00AE4D2E" w:rsidP="00AE4D2E" w14:paraId="362FE875" w14:textId="77777777">
      <w:pPr>
        <w:widowControl/>
      </w:pPr>
    </w:p>
    <w:bookmarkEnd w:id="3"/>
    <w:p w:rsidR="00AB298C" w:rsidRPr="00AE4D2E" w:rsidP="00AE4D2E" w14:paraId="66F5A0C0" w14:textId="77777777">
      <w:pPr>
        <w:widowControl/>
        <w:sectPr w:rsidSect="00AB298C">
          <w:pgSz w:w="11894" w:h="15840"/>
          <w:pgMar w:top="1700" w:right="1417" w:bottom="1417" w:left="1417" w:header="720" w:footer="720" w:gutter="0"/>
          <w:cols w:space="720"/>
          <w:noEndnote/>
          <w:docGrid w:linePitch="326"/>
        </w:sectPr>
      </w:pPr>
    </w:p>
    <w:p w:rsidR="00AB298C" w:rsidRPr="00AE4D2E" w:rsidP="00AE4D2E" w14:paraId="7824D431" w14:textId="4D71D117">
      <w:pPr>
        <w:pStyle w:val="PageHeadingNotTOC"/>
        <w:widowControl/>
      </w:pPr>
      <w:bookmarkStart w:id="4" w:name="RollCallPageAD"/>
      <w:r w:rsidRPr="00AE4D2E">
        <w:t>LOPULLINEN ÄÄNESTYS NIMENHUUTOÄÄNESTYKSENÄ</w:t>
      </w:r>
      <w:r>
        <w:br/>
      </w:r>
      <w:r w:rsidRPr="00AE4D2E">
        <w:t>TALOUSARVIONÄKÖKOHTIA KOSKEVAN ARVION ANTAVASSA</w:t>
      </w:r>
      <w:r>
        <w:t> </w:t>
      </w:r>
      <w:r w:rsidRPr="00AE4D2E">
        <w:t>VALIOKUNNASSA</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6D04F92E"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B298C" w:rsidRPr="00AE4D2E" w:rsidP="00AE4D2E" w14:paraId="37ED51F7" w14:textId="77777777">
            <w:pPr>
              <w:pStyle w:val="RollCallVotes"/>
              <w:widowControl/>
            </w:pPr>
            <w:r w:rsidRPr="00AE4D2E">
              <w:t>23</w:t>
            </w:r>
          </w:p>
        </w:tc>
        <w:tc>
          <w:tcPr>
            <w:tcW w:w="7371" w:type="dxa"/>
            <w:shd w:val="pct10" w:color="000000" w:fill="FFFFFF"/>
          </w:tcPr>
          <w:p w:rsidR="00AB298C" w:rsidRPr="00AE4D2E" w:rsidP="00AE4D2E" w14:paraId="266E3571" w14:textId="77777777">
            <w:pPr>
              <w:pStyle w:val="RollCallSymbols14pt"/>
              <w:widowControl/>
            </w:pPr>
            <w:r w:rsidRPr="00AE4D2E">
              <w:t>+</w:t>
            </w:r>
          </w:p>
        </w:tc>
      </w:tr>
      <w:tr w14:paraId="5E758FC8"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B298C" w:rsidRPr="00AE4D2E" w:rsidP="00AE4D2E" w14:paraId="72D83E56" w14:textId="77777777">
            <w:pPr>
              <w:pStyle w:val="RollCallTable"/>
              <w:widowControl/>
            </w:pPr>
            <w:r w:rsidRPr="00AE4D2E">
              <w:t>ECR</w:t>
            </w:r>
          </w:p>
        </w:tc>
        <w:tc>
          <w:tcPr>
            <w:tcW w:w="7371" w:type="dxa"/>
            <w:shd w:val="clear" w:color="auto" w:fill="FFFFFF"/>
          </w:tcPr>
          <w:p w:rsidR="00AB298C" w:rsidRPr="00AE4D2E" w:rsidP="00AE4D2E" w14:paraId="6CDC6758" w14:textId="77777777">
            <w:pPr>
              <w:pStyle w:val="RollCallTable"/>
              <w:widowControl/>
            </w:pPr>
            <w:r w:rsidRPr="00AE4D2E">
              <w:t>Ruggero Razza</w:t>
            </w:r>
          </w:p>
        </w:tc>
      </w:tr>
      <w:tr w14:paraId="7DEE6E87"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B298C" w:rsidRPr="00AE4D2E" w:rsidP="00AE4D2E" w14:paraId="5F19CC63" w14:textId="77777777">
            <w:pPr>
              <w:pStyle w:val="RollCallTable"/>
              <w:widowControl/>
            </w:pPr>
            <w:r w:rsidRPr="00AE4D2E">
              <w:t>PPE</w:t>
            </w:r>
          </w:p>
        </w:tc>
        <w:tc>
          <w:tcPr>
            <w:tcW w:w="7371" w:type="dxa"/>
            <w:shd w:val="clear" w:color="auto" w:fill="FFFFFF"/>
          </w:tcPr>
          <w:p w:rsidR="00AB298C" w:rsidRPr="00AE4D2E" w:rsidP="00AE4D2E" w14:paraId="7BC2DEE8" w14:textId="77777777">
            <w:pPr>
              <w:pStyle w:val="RollCallTable"/>
              <w:widowControl/>
            </w:pPr>
            <w:r w:rsidRPr="00AE4D2E">
              <w:t>Georgios Aftias, Michalis Hadjipantela, Monika Hohlmeier, Kinga Kollár, Janusz Lewandowski, Danuše Nerudová, Jacek Protas, Jüri Ratas, Karlo Ressler, Hélder Sousa Silva</w:t>
            </w:r>
          </w:p>
        </w:tc>
      </w:tr>
      <w:tr w14:paraId="439C64BC"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B298C" w:rsidRPr="00AE4D2E" w:rsidP="00AE4D2E" w14:paraId="3F1321CF" w14:textId="77777777">
            <w:pPr>
              <w:pStyle w:val="RollCallTable"/>
              <w:widowControl/>
            </w:pPr>
            <w:r w:rsidRPr="00AE4D2E">
              <w:t>Renew</w:t>
            </w:r>
          </w:p>
        </w:tc>
        <w:tc>
          <w:tcPr>
            <w:tcW w:w="7371" w:type="dxa"/>
            <w:shd w:val="clear" w:color="auto" w:fill="FFFFFF"/>
          </w:tcPr>
          <w:p w:rsidR="00AB298C" w:rsidRPr="00AE4D2E" w:rsidP="00AE4D2E" w14:paraId="5C04EA46" w14:textId="77777777">
            <w:pPr>
              <w:pStyle w:val="RollCallTable"/>
              <w:widowControl/>
            </w:pPr>
            <w:r w:rsidRPr="00AE4D2E">
              <w:t>Olivier Chastel, Fabienne Keller, Lucia Yar</w:t>
            </w:r>
          </w:p>
        </w:tc>
      </w:tr>
      <w:tr w14:paraId="1673D0F9"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B298C" w:rsidRPr="00AE4D2E" w:rsidP="00AE4D2E" w14:paraId="61D149F3" w14:textId="77777777">
            <w:pPr>
              <w:pStyle w:val="RollCallTable"/>
              <w:widowControl/>
            </w:pPr>
            <w:r w:rsidRPr="00AE4D2E">
              <w:t>S&amp;D</w:t>
            </w:r>
          </w:p>
        </w:tc>
        <w:tc>
          <w:tcPr>
            <w:tcW w:w="7371" w:type="dxa"/>
            <w:shd w:val="clear" w:color="auto" w:fill="FFFFFF"/>
          </w:tcPr>
          <w:p w:rsidR="00AB298C" w:rsidRPr="00AE4D2E" w:rsidP="00AE4D2E" w14:paraId="350EDE52" w14:textId="77777777">
            <w:pPr>
              <w:pStyle w:val="RollCallTable"/>
              <w:widowControl/>
            </w:pPr>
            <w:r w:rsidRPr="00AE4D2E">
              <w:t>Matthias Ecke, Jean-Marc Germain, Sandra Gómez López, Giuseppe Lupo, Matjaž Nemec, Carla Tavares, Nils Ušakovs</w:t>
            </w:r>
          </w:p>
        </w:tc>
      </w:tr>
      <w:tr w14:paraId="3ADFA7B1"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B298C" w:rsidRPr="00AE4D2E" w:rsidP="00AE4D2E" w14:paraId="7424AA7C" w14:textId="77777777">
            <w:pPr>
              <w:pStyle w:val="RollCallTable"/>
              <w:widowControl/>
            </w:pPr>
            <w:r w:rsidRPr="00AE4D2E">
              <w:t>Verts/ALE</w:t>
            </w:r>
          </w:p>
        </w:tc>
        <w:tc>
          <w:tcPr>
            <w:tcW w:w="7371" w:type="dxa"/>
            <w:shd w:val="clear" w:color="auto" w:fill="FFFFFF"/>
          </w:tcPr>
          <w:p w:rsidR="00AB298C" w:rsidRPr="00AE4D2E" w:rsidP="00AE4D2E" w14:paraId="3DAD4292" w14:textId="77777777">
            <w:pPr>
              <w:pStyle w:val="RollCallTable"/>
              <w:widowControl/>
            </w:pPr>
            <w:r w:rsidRPr="00AE4D2E">
              <w:t>Ignazio Roberto Marino, Rasmus Nordqvist</w:t>
            </w:r>
          </w:p>
        </w:tc>
      </w:tr>
    </w:tbl>
    <w:p w:rsidR="00AB298C" w:rsidRPr="00AE4D2E" w:rsidP="00AE4D2E" w14:paraId="3131042C" w14:textId="77777777">
      <w:pPr>
        <w:widowControl/>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48C97072"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B298C" w:rsidRPr="00AE4D2E" w:rsidP="00AE4D2E" w14:paraId="4079E1C7" w14:textId="77777777">
            <w:pPr>
              <w:pStyle w:val="RollCallVotes"/>
              <w:widowControl/>
            </w:pPr>
            <w:r w:rsidRPr="00AE4D2E">
              <w:t>7</w:t>
            </w:r>
          </w:p>
        </w:tc>
        <w:tc>
          <w:tcPr>
            <w:tcW w:w="7371" w:type="dxa"/>
            <w:shd w:val="pct10" w:color="000000" w:fill="FFFFFF"/>
          </w:tcPr>
          <w:p w:rsidR="00AB298C" w:rsidRPr="00AE4D2E" w:rsidP="00AE4D2E" w14:paraId="1ED7684F" w14:textId="77777777">
            <w:pPr>
              <w:pStyle w:val="RollCallSymbols14pt"/>
              <w:widowControl/>
            </w:pPr>
            <w:r w:rsidRPr="00AE4D2E">
              <w:t>-</w:t>
            </w:r>
          </w:p>
        </w:tc>
      </w:tr>
      <w:tr w14:paraId="15D49079"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B298C" w:rsidRPr="00AE4D2E" w:rsidP="00AE4D2E" w14:paraId="72EBA5C5" w14:textId="77777777">
            <w:pPr>
              <w:pStyle w:val="RollCallTable"/>
              <w:widowControl/>
            </w:pPr>
            <w:r w:rsidRPr="00AE4D2E">
              <w:t>ESN</w:t>
            </w:r>
          </w:p>
        </w:tc>
        <w:tc>
          <w:tcPr>
            <w:tcW w:w="7371" w:type="dxa"/>
            <w:shd w:val="clear" w:color="auto" w:fill="FFFFFF"/>
          </w:tcPr>
          <w:p w:rsidR="00AB298C" w:rsidRPr="00AE4D2E" w:rsidP="00AE4D2E" w14:paraId="55436708" w14:textId="77777777">
            <w:pPr>
              <w:pStyle w:val="RollCallTable"/>
              <w:widowControl/>
            </w:pPr>
            <w:r w:rsidRPr="00AE4D2E">
              <w:t>Alexander Jungbluth</w:t>
            </w:r>
          </w:p>
        </w:tc>
      </w:tr>
      <w:tr w14:paraId="27AD2D3F"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B298C" w:rsidRPr="00AE4D2E" w:rsidP="00AE4D2E" w14:paraId="16B74162" w14:textId="77777777">
            <w:pPr>
              <w:pStyle w:val="RollCallTable"/>
              <w:widowControl/>
            </w:pPr>
            <w:r w:rsidRPr="00AE4D2E">
              <w:t>NI</w:t>
            </w:r>
          </w:p>
        </w:tc>
        <w:tc>
          <w:tcPr>
            <w:tcW w:w="7371" w:type="dxa"/>
            <w:shd w:val="clear" w:color="auto" w:fill="FFFFFF"/>
          </w:tcPr>
          <w:p w:rsidR="00AB298C" w:rsidRPr="00AE4D2E" w:rsidP="00AE4D2E" w14:paraId="0F5414C3" w14:textId="77777777">
            <w:pPr>
              <w:pStyle w:val="RollCallTable"/>
              <w:widowControl/>
            </w:pPr>
            <w:r w:rsidRPr="00AE4D2E">
              <w:t>Thomas Geisel</w:t>
            </w:r>
          </w:p>
        </w:tc>
      </w:tr>
      <w:tr w14:paraId="01D89CDF"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B298C" w:rsidRPr="00AE4D2E" w:rsidP="00AE4D2E" w14:paraId="39AD8A67" w14:textId="77777777">
            <w:pPr>
              <w:pStyle w:val="RollCallTable"/>
              <w:widowControl/>
            </w:pPr>
            <w:r w:rsidRPr="00AE4D2E">
              <w:t>PfE</w:t>
            </w:r>
          </w:p>
        </w:tc>
        <w:tc>
          <w:tcPr>
            <w:tcW w:w="7371" w:type="dxa"/>
            <w:shd w:val="clear" w:color="auto" w:fill="FFFFFF"/>
          </w:tcPr>
          <w:p w:rsidR="00AB298C" w:rsidRPr="00AE4D2E" w:rsidP="00AE4D2E" w14:paraId="51A353F4" w14:textId="77777777">
            <w:pPr>
              <w:pStyle w:val="RollCallTable"/>
              <w:widowControl/>
            </w:pPr>
            <w:r w:rsidRPr="00AE4D2E">
              <w:t>Jaroslav Bžoch, Angéline Furet, Jaroslava Pokorná Jermanová, Julien Sanchez, Auke Zijlstra</w:t>
            </w:r>
          </w:p>
        </w:tc>
      </w:tr>
    </w:tbl>
    <w:p w:rsidR="00AB298C" w:rsidRPr="00AE4D2E" w:rsidP="00AE4D2E" w14:paraId="6E06D9B2" w14:textId="77777777">
      <w:pPr>
        <w:widowControl/>
      </w:pP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2C7DE980" w14:textId="77777777" w:rsidTr="008920AC">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AB298C" w:rsidRPr="00AE4D2E" w:rsidP="00AE4D2E" w14:paraId="17DA74D5" w14:textId="77777777">
            <w:pPr>
              <w:pStyle w:val="RollCallVotes"/>
              <w:widowControl/>
            </w:pPr>
            <w:r w:rsidRPr="00AE4D2E">
              <w:t>1</w:t>
            </w:r>
          </w:p>
        </w:tc>
        <w:tc>
          <w:tcPr>
            <w:tcW w:w="7371" w:type="dxa"/>
            <w:shd w:val="pct10" w:color="000000" w:fill="FFFFFF"/>
          </w:tcPr>
          <w:p w:rsidR="00AB298C" w:rsidRPr="00AE4D2E" w:rsidP="00AE4D2E" w14:paraId="32C0E0D4" w14:textId="77777777">
            <w:pPr>
              <w:pStyle w:val="RollCallSymbols14pt"/>
              <w:widowControl/>
            </w:pPr>
            <w:r w:rsidRPr="00AE4D2E">
              <w:t>0</w:t>
            </w:r>
          </w:p>
        </w:tc>
      </w:tr>
      <w:tr w14:paraId="4A4A0417" w14:textId="77777777" w:rsidTr="008920AC">
        <w:tblPrEx>
          <w:tblW w:w="0" w:type="auto"/>
          <w:tblInd w:w="145" w:type="dxa"/>
          <w:tblLayout w:type="fixed"/>
          <w:tblCellMar>
            <w:left w:w="145" w:type="dxa"/>
            <w:right w:w="145" w:type="dxa"/>
          </w:tblCellMar>
          <w:tblLook w:val="0000"/>
        </w:tblPrEx>
        <w:trPr>
          <w:cantSplit/>
        </w:trPr>
        <w:tc>
          <w:tcPr>
            <w:tcW w:w="1701" w:type="dxa"/>
            <w:shd w:val="clear" w:color="auto" w:fill="FFFFFF"/>
          </w:tcPr>
          <w:p w:rsidR="00AB298C" w:rsidRPr="00AE4D2E" w:rsidP="00AE4D2E" w14:paraId="7573AE16" w14:textId="77777777">
            <w:pPr>
              <w:pStyle w:val="RollCallTable"/>
              <w:widowControl/>
            </w:pPr>
            <w:r w:rsidRPr="00AE4D2E">
              <w:t>Renew</w:t>
            </w:r>
          </w:p>
        </w:tc>
        <w:tc>
          <w:tcPr>
            <w:tcW w:w="7371" w:type="dxa"/>
            <w:shd w:val="clear" w:color="auto" w:fill="FFFFFF"/>
          </w:tcPr>
          <w:p w:rsidR="00AB298C" w:rsidRPr="00AE4D2E" w:rsidP="00AE4D2E" w14:paraId="71EA72FB" w14:textId="77777777">
            <w:pPr>
              <w:pStyle w:val="RollCallTable"/>
              <w:widowControl/>
            </w:pPr>
            <w:r w:rsidRPr="00AE4D2E">
              <w:t>Joachim Streit</w:t>
            </w:r>
          </w:p>
        </w:tc>
      </w:tr>
    </w:tbl>
    <w:p w:rsidR="00AB298C" w:rsidRPr="00AE4D2E" w:rsidP="00AE4D2E" w14:paraId="148BB868" w14:textId="77777777">
      <w:pPr>
        <w:pStyle w:val="Normal12a"/>
        <w:widowControl/>
      </w:pPr>
    </w:p>
    <w:p w:rsidR="00AB298C" w:rsidRPr="00AE4D2E" w:rsidP="00AE4D2E" w14:paraId="4F2E1D49" w14:textId="77777777">
      <w:pPr>
        <w:widowControl/>
      </w:pPr>
      <w:r w:rsidRPr="00AE4D2E">
        <w:t>Symbolien selitys:</w:t>
      </w:r>
    </w:p>
    <w:p w:rsidR="00AB298C" w:rsidRPr="00AE4D2E" w:rsidP="00AE4D2E" w14:paraId="37265981" w14:textId="77777777">
      <w:pPr>
        <w:pStyle w:val="RollCallTabs"/>
        <w:widowControl/>
      </w:pPr>
      <w:r w:rsidRPr="00AE4D2E">
        <w:t>+</w:t>
      </w:r>
      <w:r w:rsidRPr="00AE4D2E">
        <w:tab/>
        <w:t>:</w:t>
      </w:r>
      <w:r w:rsidRPr="00AE4D2E">
        <w:tab/>
        <w:t>puolesta</w:t>
      </w:r>
    </w:p>
    <w:p w:rsidR="00AB298C" w:rsidRPr="00AE4D2E" w:rsidP="00AE4D2E" w14:paraId="5544777D" w14:textId="77777777">
      <w:pPr>
        <w:pStyle w:val="RollCallTabs"/>
        <w:widowControl/>
      </w:pPr>
      <w:r w:rsidRPr="00AE4D2E">
        <w:t>-</w:t>
      </w:r>
      <w:r w:rsidRPr="00AE4D2E">
        <w:tab/>
        <w:t>:</w:t>
      </w:r>
      <w:r w:rsidRPr="00AE4D2E">
        <w:tab/>
        <w:t>vastaan</w:t>
      </w:r>
    </w:p>
    <w:p w:rsidR="00AB298C" w:rsidRPr="00AE4D2E" w:rsidP="00AE4D2E" w14:paraId="3EA8D725" w14:textId="77777777">
      <w:pPr>
        <w:pStyle w:val="RollCallTabs"/>
        <w:widowControl/>
      </w:pPr>
      <w:r w:rsidRPr="00AE4D2E">
        <w:t>0</w:t>
      </w:r>
      <w:r w:rsidRPr="00AE4D2E">
        <w:tab/>
        <w:t>:</w:t>
      </w:r>
      <w:r w:rsidRPr="00AE4D2E">
        <w:tab/>
        <w:t>tyhjää</w:t>
      </w:r>
    </w:p>
    <w:p w:rsidR="00AB298C" w:rsidRPr="00AE4D2E" w:rsidP="00AE4D2E" w14:paraId="6E526D05" w14:textId="77777777">
      <w:pPr>
        <w:widowControl/>
      </w:pPr>
    </w:p>
    <w:bookmarkEnd w:id="4"/>
    <w:p w:rsidR="00AB298C" w:rsidRPr="00AE4D2E" w:rsidP="00AE4D2E" w14:paraId="6B2D5D10" w14:textId="77777777">
      <w:pPr>
        <w:widowControl/>
      </w:pPr>
    </w:p>
    <w:sectPr w:rsidSect="00AB298C">
      <w:pgSz w:w="11894" w:h="15840"/>
      <w:pgMar w:top="1700" w:right="1417" w:bottom="1417" w:left="1417"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9E9" w:rsidRPr="00A909E9" w:rsidP="00A909E9" w14:paraId="272BC816" w14:textId="77777777">
    <w:pPr>
      <w:pStyle w:val="EPFooter"/>
    </w:pPr>
    <w:r w:rsidRPr="00A909E9">
      <w:t>PE</w:t>
    </w:r>
    <w:r w:rsidRPr="00AE4D2E">
      <w:rPr>
        <w:rStyle w:val="HideTWBExt"/>
      </w:rPr>
      <w:t>&lt;NoPE&gt;</w:t>
    </w:r>
    <w:r w:rsidRPr="00A909E9">
      <w:t>787.038</w:t>
    </w:r>
    <w:r w:rsidRPr="00AE4D2E">
      <w:rPr>
        <w:rStyle w:val="HideTWBExt"/>
      </w:rPr>
      <w:t>&lt;/NoPE&gt;&lt;Version&gt;</w:t>
    </w:r>
    <w:r w:rsidRPr="00A909E9">
      <w:t>v03-00</w:t>
    </w:r>
    <w:r w:rsidRPr="00AE4D2E">
      <w:rPr>
        <w:rStyle w:val="HideTWBExt"/>
      </w:rPr>
      <w:t>&lt;/Version&gt;</w:t>
    </w:r>
    <w:r w:rsidRPr="00A909E9">
      <w:tab/>
    </w:r>
    <w:r w:rsidRPr="00A909E9">
      <w:fldChar w:fldCharType="begin"/>
    </w:r>
    <w:r w:rsidRPr="00A909E9">
      <w:instrText xml:space="preserve"> PAGE  \* MERGEFORMAT </w:instrText>
    </w:r>
    <w:r w:rsidRPr="00A909E9">
      <w:fldChar w:fldCharType="separate"/>
    </w:r>
    <w:r w:rsidRPr="00A909E9">
      <w:rPr>
        <w:noProof/>
      </w:rPr>
      <w:t>2</w:t>
    </w:r>
    <w:r w:rsidRPr="00A909E9">
      <w:fldChar w:fldCharType="end"/>
    </w:r>
    <w:r w:rsidRPr="00A909E9">
      <w:t>/</w:t>
    </w:r>
    <w:r w:rsidRPr="00A909E9">
      <w:fldChar w:fldCharType="begin"/>
    </w:r>
    <w:r w:rsidRPr="00A909E9">
      <w:instrText xml:space="preserve"> NUMPAGES  \* MERGEFORMAT </w:instrText>
    </w:r>
    <w:r w:rsidRPr="00A909E9">
      <w:fldChar w:fldCharType="separate"/>
    </w:r>
    <w:r w:rsidRPr="00A909E9">
      <w:rPr>
        <w:noProof/>
      </w:rPr>
      <w:t>17</w:t>
    </w:r>
    <w:r w:rsidRPr="00A909E9">
      <w:fldChar w:fldCharType="end"/>
    </w:r>
    <w:r w:rsidRPr="00A909E9">
      <w:tab/>
    </w:r>
    <w:r w:rsidRPr="00AE4D2E">
      <w:rPr>
        <w:rStyle w:val="HideTWBExt"/>
      </w:rPr>
      <w:t>&lt;PathFdR&gt;</w:t>
    </w:r>
    <w:r w:rsidRPr="00A909E9">
      <w:t>AD\1348641FI.docx</w:t>
    </w:r>
    <w:r w:rsidRPr="00AE4D2E">
      <w:rPr>
        <w:rStyle w:val="HideTWBExt"/>
      </w:rPr>
      <w:t>&lt;/PathFdR&gt;</w:t>
    </w:r>
  </w:p>
  <w:p w:rsidR="002E2F2E" w:rsidRPr="00A909E9" w:rsidP="00A909E9" w14:paraId="0ECCA31C" w14:textId="022974B5">
    <w:pPr>
      <w:pStyle w:val="EPFooter2"/>
    </w:pPr>
    <w:r w:rsidRPr="00A909E9">
      <w:t>FI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9E9" w:rsidRPr="00A909E9" w:rsidP="00A909E9" w14:paraId="424C9DA3" w14:textId="77777777">
    <w:pPr>
      <w:pStyle w:val="EPFooter"/>
    </w:pPr>
    <w:r w:rsidRPr="00AE4D2E">
      <w:rPr>
        <w:rStyle w:val="HideTWBExt"/>
      </w:rPr>
      <w:t>&lt;PathFdR&gt;</w:t>
    </w:r>
    <w:r w:rsidRPr="00A909E9">
      <w:t>AD\1348641FI.docx</w:t>
    </w:r>
    <w:r w:rsidRPr="00AE4D2E">
      <w:rPr>
        <w:rStyle w:val="HideTWBExt"/>
      </w:rPr>
      <w:t>&lt;/PathFdR&gt;</w:t>
    </w:r>
    <w:r w:rsidRPr="00A909E9">
      <w:tab/>
    </w:r>
    <w:r w:rsidRPr="00A909E9">
      <w:fldChar w:fldCharType="begin"/>
    </w:r>
    <w:r w:rsidRPr="00A909E9">
      <w:instrText xml:space="preserve"> PAGE  \* MERGEFORMAT </w:instrText>
    </w:r>
    <w:r w:rsidRPr="00A909E9">
      <w:fldChar w:fldCharType="separate"/>
    </w:r>
    <w:r w:rsidRPr="00A909E9">
      <w:rPr>
        <w:noProof/>
      </w:rPr>
      <w:t>17</w:t>
    </w:r>
    <w:r w:rsidRPr="00A909E9">
      <w:fldChar w:fldCharType="end"/>
    </w:r>
    <w:r w:rsidRPr="00A909E9">
      <w:t>/</w:t>
    </w:r>
    <w:r w:rsidRPr="00A909E9">
      <w:fldChar w:fldCharType="begin"/>
    </w:r>
    <w:r w:rsidRPr="00A909E9">
      <w:instrText xml:space="preserve"> NUMPAGES  \* MERGEFORMAT </w:instrText>
    </w:r>
    <w:r w:rsidRPr="00A909E9">
      <w:fldChar w:fldCharType="separate"/>
    </w:r>
    <w:r w:rsidRPr="00A909E9">
      <w:rPr>
        <w:noProof/>
      </w:rPr>
      <w:t>17</w:t>
    </w:r>
    <w:r w:rsidRPr="00A909E9">
      <w:fldChar w:fldCharType="end"/>
    </w:r>
    <w:r w:rsidRPr="00A909E9">
      <w:tab/>
      <w:t>PE</w:t>
    </w:r>
    <w:r w:rsidRPr="00AE4D2E">
      <w:rPr>
        <w:rStyle w:val="HideTWBExt"/>
      </w:rPr>
      <w:t>&lt;NoPE&gt;</w:t>
    </w:r>
    <w:r w:rsidRPr="00A909E9">
      <w:t>787.038</w:t>
    </w:r>
    <w:r w:rsidRPr="00AE4D2E">
      <w:rPr>
        <w:rStyle w:val="HideTWBExt"/>
      </w:rPr>
      <w:t>&lt;/NoPE&gt;&lt;Version&gt;</w:t>
    </w:r>
    <w:r w:rsidRPr="00A909E9">
      <w:t>v03-00</w:t>
    </w:r>
    <w:r w:rsidRPr="00AE4D2E">
      <w:rPr>
        <w:rStyle w:val="HideTWBExt"/>
      </w:rPr>
      <w:t>&lt;/Version&gt;</w:t>
    </w:r>
  </w:p>
  <w:p w:rsidR="002E2F2E" w:rsidRPr="00A909E9" w:rsidP="00A909E9" w14:paraId="2919D499" w14:textId="704D9D3A">
    <w:pPr>
      <w:pStyle w:val="EPFooter2"/>
    </w:pPr>
    <w:r w:rsidRPr="00A909E9">
      <w:tab/>
    </w:r>
    <w:r w:rsidRPr="00A909E9">
      <w:tab/>
      <w:t>FI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909E9" w:rsidRPr="00A909E9" w:rsidP="00A909E9" w14:paraId="48306359" w14:textId="77777777">
    <w:pPr>
      <w:pStyle w:val="EPFooter"/>
    </w:pPr>
    <w:r w:rsidRPr="00AE4D2E">
      <w:rPr>
        <w:rStyle w:val="HideTWBExt"/>
      </w:rPr>
      <w:t>&lt;PathFdR&gt;</w:t>
    </w:r>
    <w:r w:rsidRPr="00A909E9">
      <w:t>AD\1348641FI.docx</w:t>
    </w:r>
    <w:r w:rsidRPr="00AE4D2E">
      <w:rPr>
        <w:rStyle w:val="HideTWBExt"/>
      </w:rPr>
      <w:t>&lt;/PathFdR&gt;</w:t>
    </w:r>
    <w:r w:rsidRPr="00A909E9">
      <w:tab/>
    </w:r>
    <w:r w:rsidRPr="00A909E9">
      <w:tab/>
      <w:t>PE</w:t>
    </w:r>
    <w:r w:rsidRPr="00AE4D2E">
      <w:rPr>
        <w:rStyle w:val="HideTWBExt"/>
      </w:rPr>
      <w:t>&lt;NoPE&gt;</w:t>
    </w:r>
    <w:r w:rsidRPr="00A909E9">
      <w:t>787.038</w:t>
    </w:r>
    <w:r w:rsidRPr="00AE4D2E">
      <w:rPr>
        <w:rStyle w:val="HideTWBExt"/>
      </w:rPr>
      <w:t>&lt;/NoPE&gt;&lt;Version&gt;</w:t>
    </w:r>
    <w:r w:rsidRPr="00A909E9">
      <w:t>v03-00</w:t>
    </w:r>
    <w:r w:rsidRPr="00AE4D2E">
      <w:rPr>
        <w:rStyle w:val="HideTWBExt"/>
      </w:rPr>
      <w:t>&lt;/Version&gt;</w:t>
    </w:r>
  </w:p>
  <w:p w:rsidR="002E2F2E" w:rsidRPr="00A909E9" w:rsidP="00A909E9" w14:paraId="36AF5A66" w14:textId="5CCB4FD2">
    <w:pPr>
      <w:pStyle w:val="EPFooter2"/>
    </w:pPr>
    <w:r w:rsidRPr="00A909E9">
      <w:t>FI</w:t>
    </w:r>
    <w:r w:rsidRPr="00A909E9">
      <w:tab/>
    </w:r>
    <w:r w:rsidRPr="00A909E9">
      <w:rPr>
        <w:b w:val="0"/>
        <w:i/>
        <w:color w:val="C0C0C0"/>
        <w:sz w:val="22"/>
      </w:rPr>
      <w:t>Moninaisuudessaan yhtenäinen</w:t>
    </w:r>
    <w:r w:rsidRPr="00A909E9">
      <w:tab/>
      <w:t>FI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2F1EAB" w:rsidRPr="00A909E9" w14:paraId="51CB26CC" w14:textId="77777777">
      <w:r w:rsidRPr="00A909E9">
        <w:separator/>
      </w:r>
    </w:p>
  </w:footnote>
  <w:footnote w:type="continuationSeparator" w:id="1">
    <w:p w:rsidR="002F1EAB" w:rsidRPr="00A909E9" w14:paraId="7C956C59" w14:textId="77777777">
      <w:r w:rsidRPr="00A909E9">
        <w:continuationSeparator/>
      </w:r>
    </w:p>
  </w:footnote>
  <w:footnote w:id="2">
    <w:p w:rsidR="00996EBB" w:rsidRPr="00A909E9" w14:paraId="124EF55B" w14:textId="369FF465">
      <w:pPr>
        <w:pStyle w:val="FootnoteText"/>
      </w:pPr>
      <w:r w:rsidRPr="00A909E9">
        <w:rPr>
          <w:rStyle w:val="FootnoteReference"/>
        </w:rPr>
        <w:footnoteRef/>
      </w:r>
      <w:r w:rsidRPr="00A909E9">
        <w:t xml:space="preserve"> Euroopan parlamentin ja neuvoston asetus (EU, Euratom) 2024/2509, annettu 23. syyskuuta 2024, unionin yleiseen talousarvioon sovellettavista varainhoitosäännöistä (EUVL L, 2024/2509, 26.9.2024, ELI: </w:t>
      </w:r>
      <w:hyperlink r:id="rId1" w:history="1">
        <w:r w:rsidRPr="00A909E9">
          <w:rPr>
            <w:rStyle w:val="Hyperlink"/>
          </w:rPr>
          <w:t>http://data.europa.eu/eli/reg/2024/2509/oj</w:t>
        </w:r>
      </w:hyperlink>
      <w:r w:rsidRPr="00A909E9">
        <w:t xml:space="preserve">). </w:t>
      </w:r>
    </w:p>
  </w:footnote>
  <w:footnote w:id="3">
    <w:p w:rsidR="00996EBB" w:rsidRPr="00A909E9" w14:paraId="7A276505" w14:textId="1EFEBAA7">
      <w:pPr>
        <w:pStyle w:val="FootnoteText"/>
      </w:pPr>
      <w:r w:rsidRPr="00A909E9">
        <w:rPr>
          <w:rStyle w:val="FootnoteReference"/>
        </w:rPr>
        <w:footnoteRef/>
      </w:r>
      <w:r w:rsidRPr="00A909E9">
        <w:t xml:space="preserve"> Euroopan parlamentin ja neuvoston direktiivi 2010/13/EU, annettu 10. maaliskuuta 2010, audiovisuaalisten mediapalvelujen tarjoamista koskevien jäsenvaltioiden tiettyjen lakien, asetusten ja hallinnollisten määräysten yhteensovittamisesta (EUVL L 95, 15.4.2010, s. 1, ELI: </w:t>
      </w:r>
      <w:hyperlink r:id="rId2" w:history="1">
        <w:r w:rsidRPr="00A909E9">
          <w:rPr>
            <w:rStyle w:val="Hyperlink"/>
          </w:rPr>
          <w:t>http://data.europa.eu/eli/dir/2010/13/oj</w:t>
        </w:r>
      </w:hyperlink>
      <w:r w:rsidRPr="00A909E9">
        <w:t xml:space="preserve">). </w:t>
      </w:r>
    </w:p>
  </w:footnote>
  <w:footnote w:id="4">
    <w:p w:rsidR="008877CB" w:rsidRPr="00A909E9" w14:paraId="545B5D29" w14:textId="77777777">
      <w:pPr>
        <w:pStyle w:val="FootnoteText"/>
      </w:pPr>
      <w:r w:rsidRPr="00A909E9">
        <w:rPr>
          <w:rStyle w:val="FootnoteReference"/>
        </w:rPr>
        <w:footnoteRef/>
      </w:r>
      <w:r w:rsidRPr="00A909E9">
        <w:t xml:space="preserve"> COM(2025)0545.</w:t>
      </w:r>
    </w:p>
  </w:footnote>
  <w:footnote w:id="5">
    <w:p w:rsidR="00996EBB" w:rsidRPr="00A909E9" w14:paraId="5011E0E9" w14:textId="41A5C036">
      <w:pPr>
        <w:pStyle w:val="FootnoteText"/>
      </w:pPr>
      <w:r w:rsidRPr="00A909E9">
        <w:rPr>
          <w:rStyle w:val="FootnoteReference"/>
        </w:rPr>
        <w:footnoteRef/>
      </w:r>
      <w:r w:rsidRPr="00A909E9">
        <w:t xml:space="preserve"> Euroopan parlamentin ja neuvoston asetus (EU, Euratom) 2020/2092, annettu 16. joulukuuta 2020, yleisestä ehdollisuusjärjestelmästä unionin talousarvion suojaamiseksi (EUVL L 433 I, 22.12.2020, s. 1), ELI: </w:t>
      </w:r>
      <w:hyperlink r:id="rId3" w:history="1">
        <w:r w:rsidRPr="00A909E9">
          <w:rPr>
            <w:rStyle w:val="Hyperlink"/>
          </w:rPr>
          <w:t>http://data.europa.eu/eli/reg/2020/2092/oj</w:t>
        </w:r>
      </w:hyperlink>
      <w:r w:rsidRPr="00A909E9">
        <w:t xml:space="preserve">). </w:t>
      </w:r>
    </w:p>
  </w:footnote>
  <w:footnote w:id="6">
    <w:p w:rsidR="00864AF6" w:rsidRPr="00A909E9" w14:paraId="58EE1D84" w14:textId="35CB798A">
      <w:pPr>
        <w:pStyle w:val="FootnoteText"/>
      </w:pPr>
      <w:r w:rsidRPr="00A909E9">
        <w:rPr>
          <w:rStyle w:val="FootnoteReference"/>
        </w:rPr>
        <w:footnoteRef/>
      </w:r>
      <w:r w:rsidRPr="00A909E9">
        <w:t xml:space="preserve"> Euroopan parlamentin, Euroopan unionin neuvoston ja Euroopan komission toimielinten välinen sopimus, tehty 20. toukokuuta 2021, pakollisesta avoimuusrekisteristä (EUVL L 207, 11.6.2021, s. 1, ELI: </w:t>
      </w:r>
      <w:hyperlink r:id="rId4" w:tooltip="http://data.europa.eu/eli/agree_interinstit/2021/611/oj" w:history="1">
        <w:r w:rsidRPr="00A909E9">
          <w:rPr>
            <w:rStyle w:val="Hyperlink"/>
          </w:rPr>
          <w:t>http://data.europa.eu/eli/agree_interinstit/2021/611/oj</w:t>
        </w:r>
      </w:hyperlink>
      <w:r w:rsidRPr="00A909E9">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4D2E" w14:paraId="6BFB558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4D2E" w14:paraId="34218BF1"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E4D2E" w14:paraId="27B589C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28696C71"/>
    <w:multiLevelType w:val="hybridMultilevel"/>
    <w:tmpl w:val="E48ED068"/>
    <w:lvl w:ilvl="0">
      <w:start w:val="1"/>
      <w:numFmt w:val="upperLetter"/>
      <w:lvlText w:val="%1."/>
      <w:lvlJc w:val="left"/>
      <w:pPr>
        <w:ind w:left="930" w:hanging="57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EAB"/>
    <w:rsid w:val="00006F54"/>
    <w:rsid w:val="00007C5D"/>
    <w:rsid w:val="00013F29"/>
    <w:rsid w:val="000178E7"/>
    <w:rsid w:val="0003367A"/>
    <w:rsid w:val="000354F6"/>
    <w:rsid w:val="00037518"/>
    <w:rsid w:val="0004424C"/>
    <w:rsid w:val="00071CB7"/>
    <w:rsid w:val="00075948"/>
    <w:rsid w:val="00082375"/>
    <w:rsid w:val="00096BE6"/>
    <w:rsid w:val="000E3DE4"/>
    <w:rsid w:val="000E3FF6"/>
    <w:rsid w:val="000E7EBF"/>
    <w:rsid w:val="00116F33"/>
    <w:rsid w:val="00124F60"/>
    <w:rsid w:val="001336B6"/>
    <w:rsid w:val="00133FB5"/>
    <w:rsid w:val="00135121"/>
    <w:rsid w:val="00140BE6"/>
    <w:rsid w:val="001449F5"/>
    <w:rsid w:val="00147F4E"/>
    <w:rsid w:val="00147FBF"/>
    <w:rsid w:val="001539C0"/>
    <w:rsid w:val="00155C94"/>
    <w:rsid w:val="001650C0"/>
    <w:rsid w:val="0016635E"/>
    <w:rsid w:val="001709A0"/>
    <w:rsid w:val="00173215"/>
    <w:rsid w:val="001746D0"/>
    <w:rsid w:val="00182746"/>
    <w:rsid w:val="00183DAD"/>
    <w:rsid w:val="00184443"/>
    <w:rsid w:val="00185722"/>
    <w:rsid w:val="00187ED3"/>
    <w:rsid w:val="00192D8D"/>
    <w:rsid w:val="0019486A"/>
    <w:rsid w:val="001B7393"/>
    <w:rsid w:val="001D2ED9"/>
    <w:rsid w:val="001E42AF"/>
    <w:rsid w:val="001F21C1"/>
    <w:rsid w:val="00203BEF"/>
    <w:rsid w:val="0020594A"/>
    <w:rsid w:val="00207509"/>
    <w:rsid w:val="002107CB"/>
    <w:rsid w:val="00217211"/>
    <w:rsid w:val="00222624"/>
    <w:rsid w:val="00222A38"/>
    <w:rsid w:val="0022554A"/>
    <w:rsid w:val="00243643"/>
    <w:rsid w:val="00247AE6"/>
    <w:rsid w:val="00251B75"/>
    <w:rsid w:val="00257456"/>
    <w:rsid w:val="00265CB5"/>
    <w:rsid w:val="00270E86"/>
    <w:rsid w:val="002915E7"/>
    <w:rsid w:val="00292801"/>
    <w:rsid w:val="002B2C72"/>
    <w:rsid w:val="002D28A7"/>
    <w:rsid w:val="002E2F2E"/>
    <w:rsid w:val="002E38B0"/>
    <w:rsid w:val="002E4AA3"/>
    <w:rsid w:val="002E6F98"/>
    <w:rsid w:val="002F1EAB"/>
    <w:rsid w:val="002F7BCF"/>
    <w:rsid w:val="00324546"/>
    <w:rsid w:val="00325BCB"/>
    <w:rsid w:val="00331944"/>
    <w:rsid w:val="00332AD9"/>
    <w:rsid w:val="003402B9"/>
    <w:rsid w:val="00347D2C"/>
    <w:rsid w:val="00350410"/>
    <w:rsid w:val="00350F3D"/>
    <w:rsid w:val="00362463"/>
    <w:rsid w:val="003647BD"/>
    <w:rsid w:val="003654AF"/>
    <w:rsid w:val="00367A50"/>
    <w:rsid w:val="0037356F"/>
    <w:rsid w:val="00373857"/>
    <w:rsid w:val="00375670"/>
    <w:rsid w:val="003855AA"/>
    <w:rsid w:val="003858C5"/>
    <w:rsid w:val="00387541"/>
    <w:rsid w:val="00390EB2"/>
    <w:rsid w:val="00391AC1"/>
    <w:rsid w:val="00395F78"/>
    <w:rsid w:val="00396A0E"/>
    <w:rsid w:val="003A6F42"/>
    <w:rsid w:val="003B60FC"/>
    <w:rsid w:val="003B78F0"/>
    <w:rsid w:val="003B7FC6"/>
    <w:rsid w:val="003C08C3"/>
    <w:rsid w:val="003C29C0"/>
    <w:rsid w:val="003E2402"/>
    <w:rsid w:val="003F620A"/>
    <w:rsid w:val="003F7894"/>
    <w:rsid w:val="0040369E"/>
    <w:rsid w:val="0041592A"/>
    <w:rsid w:val="004234CA"/>
    <w:rsid w:val="00450A7E"/>
    <w:rsid w:val="004519DE"/>
    <w:rsid w:val="004524F6"/>
    <w:rsid w:val="00457488"/>
    <w:rsid w:val="00460880"/>
    <w:rsid w:val="004667D1"/>
    <w:rsid w:val="00475333"/>
    <w:rsid w:val="00476E25"/>
    <w:rsid w:val="00485C5C"/>
    <w:rsid w:val="004A65BF"/>
    <w:rsid w:val="004C28FB"/>
    <w:rsid w:val="004C3145"/>
    <w:rsid w:val="004C3CF0"/>
    <w:rsid w:val="004C44C0"/>
    <w:rsid w:val="004C5791"/>
    <w:rsid w:val="004D09DE"/>
    <w:rsid w:val="004D1FA8"/>
    <w:rsid w:val="00521B5B"/>
    <w:rsid w:val="0052544E"/>
    <w:rsid w:val="0052626E"/>
    <w:rsid w:val="00530290"/>
    <w:rsid w:val="00537353"/>
    <w:rsid w:val="00555696"/>
    <w:rsid w:val="00566481"/>
    <w:rsid w:val="00567E5C"/>
    <w:rsid w:val="005749BB"/>
    <w:rsid w:val="00580F37"/>
    <w:rsid w:val="00593797"/>
    <w:rsid w:val="005940C3"/>
    <w:rsid w:val="00594C48"/>
    <w:rsid w:val="005B2F11"/>
    <w:rsid w:val="005C0BDF"/>
    <w:rsid w:val="005D01BC"/>
    <w:rsid w:val="005D45E5"/>
    <w:rsid w:val="005D60C6"/>
    <w:rsid w:val="005D6788"/>
    <w:rsid w:val="005D6F9A"/>
    <w:rsid w:val="005E5BBC"/>
    <w:rsid w:val="005E7294"/>
    <w:rsid w:val="005F2CA1"/>
    <w:rsid w:val="006102E7"/>
    <w:rsid w:val="006233B7"/>
    <w:rsid w:val="00624AE1"/>
    <w:rsid w:val="006352A8"/>
    <w:rsid w:val="00640C1B"/>
    <w:rsid w:val="00657AFB"/>
    <w:rsid w:val="0068168E"/>
    <w:rsid w:val="00692449"/>
    <w:rsid w:val="00697C9F"/>
    <w:rsid w:val="006B7199"/>
    <w:rsid w:val="006C3336"/>
    <w:rsid w:val="006D5BF7"/>
    <w:rsid w:val="006E2DDE"/>
    <w:rsid w:val="006E67D8"/>
    <w:rsid w:val="006F0C7B"/>
    <w:rsid w:val="006F189E"/>
    <w:rsid w:val="006F379B"/>
    <w:rsid w:val="006F54B8"/>
    <w:rsid w:val="00707AC0"/>
    <w:rsid w:val="00721237"/>
    <w:rsid w:val="0072511A"/>
    <w:rsid w:val="007350EA"/>
    <w:rsid w:val="00737F68"/>
    <w:rsid w:val="00740BED"/>
    <w:rsid w:val="00757C4C"/>
    <w:rsid w:val="007638D0"/>
    <w:rsid w:val="0077440C"/>
    <w:rsid w:val="007753D3"/>
    <w:rsid w:val="00795885"/>
    <w:rsid w:val="007B5CC7"/>
    <w:rsid w:val="007B6357"/>
    <w:rsid w:val="007C598C"/>
    <w:rsid w:val="007D10F5"/>
    <w:rsid w:val="007D5322"/>
    <w:rsid w:val="00806074"/>
    <w:rsid w:val="00825069"/>
    <w:rsid w:val="00825ECA"/>
    <w:rsid w:val="008313E7"/>
    <w:rsid w:val="0084601D"/>
    <w:rsid w:val="00852263"/>
    <w:rsid w:val="00854CAC"/>
    <w:rsid w:val="00864AF6"/>
    <w:rsid w:val="00873BF3"/>
    <w:rsid w:val="00876A88"/>
    <w:rsid w:val="00883B5D"/>
    <w:rsid w:val="00884E6D"/>
    <w:rsid w:val="008877CB"/>
    <w:rsid w:val="008A32C5"/>
    <w:rsid w:val="008A7308"/>
    <w:rsid w:val="008B4A3D"/>
    <w:rsid w:val="008C6203"/>
    <w:rsid w:val="008D61E7"/>
    <w:rsid w:val="008D7A5E"/>
    <w:rsid w:val="008E2BE3"/>
    <w:rsid w:val="008E2C5D"/>
    <w:rsid w:val="008F0606"/>
    <w:rsid w:val="008F33FC"/>
    <w:rsid w:val="008F7002"/>
    <w:rsid w:val="009226B3"/>
    <w:rsid w:val="0093672A"/>
    <w:rsid w:val="009505F8"/>
    <w:rsid w:val="00950C9F"/>
    <w:rsid w:val="009626A8"/>
    <w:rsid w:val="0096746A"/>
    <w:rsid w:val="00972442"/>
    <w:rsid w:val="00992DF1"/>
    <w:rsid w:val="0099493F"/>
    <w:rsid w:val="00996EBB"/>
    <w:rsid w:val="009A3CF4"/>
    <w:rsid w:val="009B135C"/>
    <w:rsid w:val="009D60A5"/>
    <w:rsid w:val="009E1B4E"/>
    <w:rsid w:val="009E3A1C"/>
    <w:rsid w:val="009F4D53"/>
    <w:rsid w:val="00A01EC2"/>
    <w:rsid w:val="00A1158F"/>
    <w:rsid w:val="00A16BEA"/>
    <w:rsid w:val="00A20513"/>
    <w:rsid w:val="00A27801"/>
    <w:rsid w:val="00A312B3"/>
    <w:rsid w:val="00A43A35"/>
    <w:rsid w:val="00A47E2F"/>
    <w:rsid w:val="00A51A8C"/>
    <w:rsid w:val="00A56164"/>
    <w:rsid w:val="00A600AF"/>
    <w:rsid w:val="00A600FA"/>
    <w:rsid w:val="00A72C35"/>
    <w:rsid w:val="00A87D2F"/>
    <w:rsid w:val="00A909E9"/>
    <w:rsid w:val="00A92590"/>
    <w:rsid w:val="00AA3525"/>
    <w:rsid w:val="00AB298C"/>
    <w:rsid w:val="00AB47EE"/>
    <w:rsid w:val="00AB5733"/>
    <w:rsid w:val="00AB6CBF"/>
    <w:rsid w:val="00AC5AAD"/>
    <w:rsid w:val="00AE180F"/>
    <w:rsid w:val="00AE4D2E"/>
    <w:rsid w:val="00AE5581"/>
    <w:rsid w:val="00AE79AF"/>
    <w:rsid w:val="00B108C1"/>
    <w:rsid w:val="00B24D7A"/>
    <w:rsid w:val="00B3084E"/>
    <w:rsid w:val="00B362F7"/>
    <w:rsid w:val="00B43C72"/>
    <w:rsid w:val="00B50F00"/>
    <w:rsid w:val="00B5456B"/>
    <w:rsid w:val="00B5574C"/>
    <w:rsid w:val="00B735E3"/>
    <w:rsid w:val="00B73818"/>
    <w:rsid w:val="00B74B53"/>
    <w:rsid w:val="00B77427"/>
    <w:rsid w:val="00B85DFF"/>
    <w:rsid w:val="00B87BB2"/>
    <w:rsid w:val="00B96E86"/>
    <w:rsid w:val="00B97057"/>
    <w:rsid w:val="00BA053B"/>
    <w:rsid w:val="00BA3446"/>
    <w:rsid w:val="00BA7635"/>
    <w:rsid w:val="00BC26E4"/>
    <w:rsid w:val="00BD1EAA"/>
    <w:rsid w:val="00BE7B62"/>
    <w:rsid w:val="00BF0AFC"/>
    <w:rsid w:val="00BF6786"/>
    <w:rsid w:val="00BF70F2"/>
    <w:rsid w:val="00C025FE"/>
    <w:rsid w:val="00C06A5B"/>
    <w:rsid w:val="00C10A8D"/>
    <w:rsid w:val="00C13EE9"/>
    <w:rsid w:val="00C234F2"/>
    <w:rsid w:val="00C23D90"/>
    <w:rsid w:val="00C3088E"/>
    <w:rsid w:val="00C36610"/>
    <w:rsid w:val="00C379E4"/>
    <w:rsid w:val="00C43792"/>
    <w:rsid w:val="00C45953"/>
    <w:rsid w:val="00C52739"/>
    <w:rsid w:val="00C62AE2"/>
    <w:rsid w:val="00C65E18"/>
    <w:rsid w:val="00C827FF"/>
    <w:rsid w:val="00C8553D"/>
    <w:rsid w:val="00C85D0F"/>
    <w:rsid w:val="00C86950"/>
    <w:rsid w:val="00C93601"/>
    <w:rsid w:val="00CA180E"/>
    <w:rsid w:val="00CC476E"/>
    <w:rsid w:val="00CD34AC"/>
    <w:rsid w:val="00CE0A89"/>
    <w:rsid w:val="00CE347F"/>
    <w:rsid w:val="00CE40C5"/>
    <w:rsid w:val="00CE6558"/>
    <w:rsid w:val="00CE7579"/>
    <w:rsid w:val="00D006EE"/>
    <w:rsid w:val="00D07C5B"/>
    <w:rsid w:val="00D318E7"/>
    <w:rsid w:val="00D34053"/>
    <w:rsid w:val="00D37833"/>
    <w:rsid w:val="00D467BF"/>
    <w:rsid w:val="00D5213C"/>
    <w:rsid w:val="00D7202C"/>
    <w:rsid w:val="00D77A32"/>
    <w:rsid w:val="00D82297"/>
    <w:rsid w:val="00D8432D"/>
    <w:rsid w:val="00DA5A88"/>
    <w:rsid w:val="00DB4824"/>
    <w:rsid w:val="00DC4F54"/>
    <w:rsid w:val="00DC7701"/>
    <w:rsid w:val="00DD2C01"/>
    <w:rsid w:val="00DE19FF"/>
    <w:rsid w:val="00E16BDB"/>
    <w:rsid w:val="00E21739"/>
    <w:rsid w:val="00E23868"/>
    <w:rsid w:val="00E26603"/>
    <w:rsid w:val="00E333F0"/>
    <w:rsid w:val="00E40D29"/>
    <w:rsid w:val="00E42AD1"/>
    <w:rsid w:val="00E43A48"/>
    <w:rsid w:val="00E55261"/>
    <w:rsid w:val="00E62196"/>
    <w:rsid w:val="00E81BA6"/>
    <w:rsid w:val="00E856D2"/>
    <w:rsid w:val="00E929A7"/>
    <w:rsid w:val="00E93E66"/>
    <w:rsid w:val="00E95430"/>
    <w:rsid w:val="00EA35B2"/>
    <w:rsid w:val="00EA6DE0"/>
    <w:rsid w:val="00EA7ACA"/>
    <w:rsid w:val="00EA7F20"/>
    <w:rsid w:val="00EB114A"/>
    <w:rsid w:val="00EB761F"/>
    <w:rsid w:val="00ED74AF"/>
    <w:rsid w:val="00EE2AC2"/>
    <w:rsid w:val="00EF7C6C"/>
    <w:rsid w:val="00F06E70"/>
    <w:rsid w:val="00F13A32"/>
    <w:rsid w:val="00F14A2D"/>
    <w:rsid w:val="00F33D44"/>
    <w:rsid w:val="00F40D6E"/>
    <w:rsid w:val="00F63FE4"/>
    <w:rsid w:val="00F70637"/>
    <w:rsid w:val="00F9166E"/>
    <w:rsid w:val="00F94599"/>
    <w:rsid w:val="00FC228C"/>
    <w:rsid w:val="00FC42F1"/>
    <w:rsid w:val="00FC6460"/>
    <w:rsid w:val="00FC7B08"/>
    <w:rsid w:val="00FD0D14"/>
    <w:rsid w:val="00FD4BC4"/>
    <w:rsid w:val="00FE24DE"/>
    <w:rsid w:val="00FF4B50"/>
  </w:rsids>
  <w:docVars>
    <w:docVar w:name="AMACTMNU" w:val=" 2"/>
    <w:docVar w:name="AMPLURMNU" w:val=" 1"/>
    <w:docVar w:name="AUTHORMFMNU" w:val=" 2"/>
    <w:docVar w:name="CJMNU" w:val="2"/>
    <w:docVar w:name="CODEMNU" w:val=" 3"/>
    <w:docVar w:name="COM2KEY" w:val="CJ65"/>
    <w:docVar w:name="COMKEY" w:val="BUDG"/>
    <w:docVar w:name="CONTRIBUTIONMNU" w:val=" 2"/>
    <w:docVar w:name="CopyToNetwork" w:val="-1"/>
    <w:docVar w:name="CVar" w:val="3"/>
    <w:docVar w:name="DOCDT" w:val="15/04/2026"/>
    <w:docVar w:name="DOCMNU" w:val=" 1"/>
    <w:docVar w:name="FONCTIONMNU" w:val=" 1"/>
    <w:docVar w:name="iNoAmend" w:val="5"/>
    <w:docVar w:name="LastEditedSection" w:val=" 1"/>
    <w:docVar w:name="ORLANGKEY" w:val="EN"/>
    <w:docVar w:name="ORLANGMNU" w:val=" 1"/>
    <w:docVar w:name="PROPOSALCOD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1\fbidi \froman\fcharset238\fprq2 Times New Roman CE;}{\f52\fbidi \froman\fcharset204\fprq2 Times New Roman Cyr;}&#13;_x000a_{\f54\fbidi \froman\fcharset161\fprq2 Times New Roman Greek;}{\f55\fbidi \froman\fcharset162\fprq2 Times New Roman Tur;}{\f56\fbidi \froman\fcharset177\fprq2 Times New Roman (Hebrew);}{\f57\fbidi \froman\fcharset178\fprq2 Times New Roman (Arabic);}&#13;_x000a_{\f58\fbidi \froman\fcharset186\fprq2 Times New Roman Baltic;}{\f59\fbidi \froman\fcharset163\fprq2 Times New Roman (Vietnamese);}{\f61\fbidi \fswiss\fcharset238\fprq2 Arial CE;}{\f62\fbidi \fswiss\fcharset204\fprq2 Arial Cyr;}&#13;_x000a_{\f64\fbidi \fswiss\fcharset161\fprq2 Arial Greek;}{\f65\fbidi \fswiss\fcharset162\fprq2 Arial Tur;}{\f66\fbidi \fswiss\fcharset177\fprq2 Arial (Hebrew);}{\f67\fbidi \fswiss\fcharset178\fprq2 Arial (Arabic);}&#13;_x000a_{\f68\fbidi \fswiss\fcharset186\fprq2 Arial Baltic;}{\f69\fbidi \fswiss\fcharset163\fprq2 Arial (Vietnamese);}{\f391\fbidi \froman\fcharset238\fprq2 Cambria Math CE;}{\f392\fbidi \froman\fcharset204\fprq2 Cambria Math Cyr;}&#13;_x000a_{\f394\fbidi \froman\fcharset161\fprq2 Cambria Math Greek;}{\f395\fbidi \froman\fcharset162\fprq2 Cambria Math Tur;}{\f398\fbidi \froman\fcharset186\fprq2 Cambria Math Baltic;}{\f399\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9010838 HideTWBExt;}{\*\cs18 \additive \v\f1\fs20\cf15 &#13;_x000a_\spriority0 \styrsid9010838 HideTWBInt;}{\s19\ql \li0\ri0\nowidctlpar\wrapdefault\aspalpha\aspnum\faauto\adjustright\rin0\lin0\itap0 \rtlch\fcs1 \af0\afs20\alang1025 \ltrch\fcs0 \b\fs24\lang2057\langfe2057\cgrid\langnp2057\langfenp2057 &#13;_x000a_\sbasedon0 \snext19 \spriority0 \styrsid9010838 NormalBold;}{\s20\ql \li0\ri0\sa120\nowidctlpar\wrapdefault\aspalpha\aspnum\faauto\adjustright\rin0\lin0\itap0 \rtlch\fcs1 \af0\afs20\alang1025 \ltrch\fcs0 &#13;_x000a_\fs24\lang2057\langfe2057\cgrid\langnp2057\langfenp2057 \sbasedon0 \snext20 \spriority0 \styrsid9010838 Normal6a;}{\s21\qc \li0\ri0\sa240\nowidctlpar\wrapdefault\aspalpha\aspnum\faauto\adjustright\rin0\lin0\itap0 \rtlch\fcs1 \af0\afs20\alang1025 &#13;_x000a_\ltrch\fcs0 \i\fs24\lang2057\langfe2057\cgrid\langnp2057\langfenp2057 \sbasedon0 \snext21 \spriority0 \styrsid9010838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2 \spriority0 \styrsid9010838 AmNumberTabs;}{\s23\ql \li0\ri0\sa240\nowidctlpar\wrapdefault\aspalpha\aspnum\faauto\adjustright\rin0\lin0\itap0 \rtlch\fcs1 &#13;_x000a_\af0\afs20\alang1025 \ltrch\fcs0 \i\fs24\lang2057\langfe2057\cgrid\langnp2057\langfenp2057 \sbasedon0 \snext23 \spriority0 \styrsid9010838 AmJustText;}{&#13;_x000a_\s24\qc \li0\ri0\sb240\sa240\nowidctlpar\wrapdefault\aspalpha\aspnum\faauto\adjustright\rin0\lin0\itap0 \rtlch\fcs1 \af0\afs20\alang1025 \ltrch\fcs0 \i\fs24\lang2057\langfe2057\cgrid\langnp2057\langfenp2057 \sbasedon0 \snext24 \spriority0 \styrsid9010838 &#13;_x000a_AmCrossRef;}{\s25\qc \li0\ri0\sb240\sa240\keepn\nowidctlpar\wrapdefault\aspalpha\aspnum\faauto\adjustright\rin0\lin0\itap0 \rtlch\fcs1 \af0\afs20\alang1025 \ltrch\fcs0 \i\fs24\lang2057\langfe2057\cgrid\langnp2057\langfenp2057 &#13;_x000a_\sbasedon0 \snext23 \spriority0 \styrsid9010838 AmJustTitle;}{\s26\ql \li0\ri0\sb240\nowidctlpar\wrapdefault\aspalpha\aspnum\faauto\adjustright\rin0\lin0\itap0 \rtlch\fcs1 \af0\afs20\alang1025 \ltrch\fcs0 &#13;_x000a_\b\fs24\lang2057\langfe2057\cgrid\langnp2057\langfenp2057 \sbasedon0 \snext26 \spriority0 \styrsid9010838 NormalBold12b;}}{\*\rsidtbl \rsid24658\rsid223860\rsid735077\rsid1007922\rsid1718133\rsid2892074\rsid3565327\rsid4666813\rsid6641733\rsid7823322&#13;_x000a_\rsid9010838\rsid9636012\rsid10377208\rsid11215221\rsid11225070\rsid11549030\rsid12154954\rsid14382809\rsid14424199\rsid15204470\rsid15285974\rsid15950462\rsid16324206\rsid16662270}{\mmathPr\mmathFont34\mbrkBin0\mbrkBinSub0\msmallFrac0\mdispDef1\mlMargin0&#13;_x000a_\mrMargin0\mdefJc1\mwrapIndent1440\mintLim0\mnaryLim1}{\info{\author ATES Devrim}{\operator ATES Devrim}{\creatim\yr2026\mo7\dy6\hr11\min40}{\revtim\yr2026\mo7\dy6\hr11\min40}{\version1}{\edmins0}{\nofpages1}{\nofwords103}{\nofchars598}{\nofcharsws696}&#13;_x000a_{\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9010838\newtblstyruls\nogrowautofit\usenormstyforlist\noindnmbrts\felnbrelev\nocxsptable\indrlsweleven\noafcnsttbl\afelev\utinl\hwelev\spltpgpar\notcvasp\notbrkcnstfrctbl\notvatxbx\krnprsnet\cachedcolbal &#13;_x000a_\nouicompat \fet0{\*\wgrffmtfilter 013f}\nofeaturethrottle1\ilfomacatclnup0{\*\template C:\\Users\\dates\\AppData\\Local\\Temp\\Blank1.dotx}{\*\ftnsep \ltrpar \pard\plain \ltrpar&#13;_x000a_\ql \li0\ri0\widctlpar\wrapdefault\aspalpha\aspnum\faauto\adjustright\rin0\lin0\itap0 \rtlch\fcs1 \af0\afs20\alang1025 \ltrch\fcs0 \fs24\lang2057\langfe2057\cgrid\langnp2057\langfenp2057 {\rtlch\fcs1 \af0 \ltrch\fcs0 \insrsid1007922 \chftnsep &#13;_x000a_\par }}{\*\ftnsepc \ltrpar \pard\plain \ltrpar\ql \li0\ri0\widctlpar\wrapdefault\aspalpha\aspnum\faauto\adjustright\rin0\lin0\itap0 \rtlch\fcs1 \af0\afs20\alang1025 \ltrch\fcs0 \fs24\lang2057\langfe2057\cgrid\langnp2057\langfenp2057 {\rtlch\fcs1 \af0 &#13;_x000a_\ltrch\fcs0 \insrsid1007922 \chftnsepc &#13;_x000a_\par }}{\*\aftnsep \ltrpar \pard\plain \ltrpar\ql \li0\ri0\widctlpar\wrapdefault\aspalpha\aspnum\faauto\adjustright\rin0\lin0\itap0 \rtlch\fcs1 \af0\afs20\alang1025 \ltrch\fcs0 \fs24\lang2057\langfe2057\cgrid\langnp2057\langfenp2057 {\rtlch\fcs1 \af0 &#13;_x000a_\ltrch\fcs0 \insrsid1007922 \chftnsep &#13;_x000a_\par }}{\*\aftnsepc \ltrpar \pard\plain \ltrpar\ql \li0\ri0\widctlpar\wrapdefault\aspalpha\aspnum\faauto\adjustright\rin0\lin0\itap0 \rtlch\fcs1 \af0\afs20\alang1025 \ltrch\fcs0 \fs24\lang2057\langfe2057\cgrid\langnp2057\langfenp2057 {\rtlch\fcs1 \af0 &#13;_x000a_\ltrch\fcs0 \insrsid1007922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15363552 \rtlch\fcs1 &#13;_x000a_\af0\afs20\alang1025 \ltrch\fcs0 \b\fs24\lang2057\langfe2057\cgrid\langnp2057\langfenp2057 {\rtlch\fcs1 \af0 \ltrch\fcs0 \cs17\b0\v\fs20\cf9\lang1024\langfe1024\loch\af1\hich\af1\dbch\af31501\noproof\insrsid9010838\charrsid8798805 {\*\bkmkstart restart}&#13;_x000a_\hich\af1\dbch\af31501\loch\f1 &lt;Amend&gt;}{\rtlch\fcs1 \af0 \ltrch\fcs0 \insrsid9010838\charrsid8798805 Amendment\tab \tab }{\rtlch\fcs1 \af0 \ltrch\fcs0 &#13;_x000a_\cs17\b0\v\fs20\cf9\lang1024\langfe1024\loch\af1\hich\af1\dbch\af31501\noproof\insrsid9010838\charrsid8798805 \hich\af1\dbch\af31501\loch\f1 &lt;NumAm&gt;}{\rtlch\fcs1 \af0 \ltrch\fcs0 \insrsid9010838\charrsid8798805 #}{\rtlch\fcs1 \af0 \ltrch\fcs0 &#13;_x000a_\cs18\v\f1\fs20\cf15\insrsid9010838\charrsid8798805 ENMIENDA@NRAM@}{\rtlch\fcs1 \af0 \ltrch\fcs0 \insrsid9010838\charrsid8798805 #}{\rtlch\fcs1 \af0 \ltrch\fcs0 &#13;_x000a_\cs17\b0\v\fs20\cf9\lang1024\langfe1024\loch\af1\hich\af1\dbch\af31501\noproof\insrsid9010838\charrsid8798805 \hich\af1\dbch\af31501\loch\f1 &lt;/NumAm&gt;}{\rtlch\fcs1 \af0 \ltrch\fcs0 \insrsid9010838\charrsid8798805 &#13;_x000a_\par }\pard\plain \ltrpar\s26\ql \li0\ri0\sb240\keepn\nowidctlpar\wrapdefault\aspalpha\aspnum\faauto\adjustright\rin0\lin0\itap0\pararsid15363552 \rtlch\fcs1 \af0\afs20\alang1025 \ltrch\fcs0 \b\fs24\lang2057\langfe2057\cgrid\langnp2057\langfenp2057 {&#13;_x000a_\rtlch\fcs1 \af0 \ltrch\fcs0 \cs17\b0\v\fs20\cf9\lang1024\langfe1024\loch\af1\hich\af1\dbch\af31501\noproof\insrsid9010838\charrsid8798805 \hich\af1\dbch\af31501\loch\f1 &lt;DocAmend&gt;}{\rtlch\fcs1 \af0 \ltrch\fcs0 \insrsid9010838\charrsid8798805 #}{&#13;_x000a_\rtlch\fcs1 \af0 \ltrch\fcs0 \cs18\v\f1\fs20\cf15\insrsid9010838\charrsid8798805 MNU[PROPCOM][PROPCOUNC]@CHOICE@TITLEMNU}{\rtlch\fcs1 \af0 \ltrch\fcs0 \insrsid9010838\charrsid8798805 ##}{\rtlch\fcs1 \af0 \ltrch\fcs0 &#13;_x000a_\cs18\v\f1\fs20\cf15\insrsid9010838\charrsid8798805 MNU[AMACTYES][NOTAPP]@CHOICE@AMACTMNU}{\rtlch\fcs1 \af0 \ltrch\fcs0 \insrsid9010838\charrsid8798805 #}{\rtlch\fcs1 \af0 \ltrch\fcs0 &#13;_x000a_\cs17\b0\v\fs20\cf9\lang1024\langfe1024\loch\af1\hich\af1\dbch\af31501\noproof\insrsid9010838\charrsid8798805 \hich\af1\dbch\af31501\loch\f1 &lt;/DocAmend&gt;}{\rtlch\fcs1 \af0 \ltrch\fcs0 \insrsid9010838\charrsid8798805 &#13;_x000a_\par }\pard\plain \ltrpar\s19\ql \li0\ri0\nowidctlpar\wrapdefault\aspalpha\aspnum\faauto\adjustright\rin0\lin0\itap0\pararsid15363552 \rtlch\fcs1 \af0\afs20\alang1025 \ltrch\fcs0 \b\fs24\lang2057\langfe2057\cgrid\langnp2057\langfenp2057 {\rtlch\fcs1 \af0 &#13;_x000a_\ltrch\fcs0 \cs17\b0\v\fs20\cf9\lang1024\langfe1024\loch\af1\hich\af1\dbch\af31501\noproof\insrsid9010838\charrsid8798805 \hich\af1\dbch\af31501\loch\f1 &lt;Article&gt;}{\rtlch\fcs1 \af0 \ltrch\fcs0 \insrsid9010838\charrsid8798805 #}{\rtlch\fcs1 \af0 &#13;_x000a_\ltrch\fcs0 \cs18\v\f1\fs20\cf15\insrsid9010838\charrsid8798805 MNU[AMACTPARTYES][AMACTPARTNO]@CHOICE@AMACTMNU}{\rtlch\fcs1 \af0 \ltrch\fcs0 \insrsid9010838\charrsid8798805 #}{\rtlch\fcs1 \af0 \ltrch\fcs0 &#13;_x000a_\cs17\b0\v\fs20\cf9\lang1024\langfe1024\loch\af1\hich\af1\dbch\af31501\noproof\insrsid9010838\charrsid8798805 \hich\af1\dbch\af31501\loch\f1 &lt;/Article&gt;}{\rtlch\fcs1 \af0 \ltrch\fcs0 \insrsid9010838\charrsid8798805 &#13;_x000a_\par }\pard\plain \ltrpar\ql \li0\ri0\keepn\widctlpar\wrapdefault\aspalpha\aspnum\faauto\adjustright\rin0\lin0\itap0\pararsid15363552 \rtlch\fcs1 \af0\afs20\alang1025 \ltrch\fcs0 \fs24\lang2057\langfe2057\cgrid\langnp2057\langfenp2057 {\rtlch\fcs1 \af0 &#13;_x000a_\ltrch\fcs0 \cs17\v\fs20\cf9\lang1024\langfe1024\loch\af1\hich\af1\dbch\af31501\noproof\insrsid9010838\charrsid8798805 \hich\af1\dbch\af31501\loch\f1 &lt;DocAmend2&gt;&lt;OptDel&gt;}{\rtlch\fcs1 \af0 \ltrch\fcs0 \insrsid9010838\charrsid8798805 #}{\rtlch\fcs1 \af0 &#13;_x000a_\ltrch\fcs0 \cs18\v\f1\fs20\cf15\insrsid9010838\charrsid8798805 MNU[OPTNRACTYES][NOTAPP]@CHOICE@AMACTMNU}{\rtlch\fcs1 \af0 \ltrch\fcs0 \insrsid9010838\charrsid8798805 #}{\rtlch\fcs1 \af0 \ltrch\fcs0 &#13;_x000a_\cs17\v\fs20\cf9\lang1024\langfe1024\loch\af1\hich\af1\dbch\af31501\noproof\insrsid9010838\charrsid8798805 \hich\af1\dbch\af31501\loch\f1 &lt;/OptDel&gt;&lt;/DocAmend2&gt;}{\rtlch\fcs1 \af0 \ltrch\fcs0 \insrsid9010838\charrsid8798805 &#13;_x000a_\par }\pard \ltrpar\ql \li0\ri0\widctlpar\wrapdefault\aspalpha\aspnum\faauto\adjustright\rin0\lin0\itap0\pararsid15363552 {\rtlch\fcs1 \af0 \ltrch\fcs0 \cs17\v\fs20\cf9\lang1024\langfe1024\loch\af1\hich\af1\dbch\af31501\noproof\insrsid9010838\charrsid8798805 &#13;_x000a_\hich\af1\dbch\af31501\loch\f1 &lt;Article2&gt;&lt;OptDel&gt;}{\rtlch\fcs1 \af0 \ltrch\fcs0 \insrsid9010838\charrsid8798805 #}{\rtlch\fcs1 \af0 \ltrch\fcs0 \cs18\v\f1\fs20\cf15\insrsid9010838\charrsid8798805 MNU[OPTACTPARTYES][NOTAPP]@CHOICE@AMACTMNU}{\rtlch\fcs1 &#13;_x000a_\af0 \ltrch\fcs0 \insrsid9010838\charrsid8798805 #}{\rtlch\fcs1 \af0 \ltrch\fcs0 \cs17\v\fs20\cf9\lang1024\langfe1024\loch\af1\hich\af1\dbch\af31501\noproof\insrsid9010838\charrsid8798805 \hich\af1\dbch\af31501\loch\f1 &lt;/OptDel&gt;&lt;/Article2&gt;}{\rtlch\fcs1 &#13;_x000a_\af0 \ltrch\fcs0 \insrsid9010838\charrsid8798805 &#13;_x000a_\par \ltrrow}\trowd \ltrrow\ts11\trqc\trgaph340\trleft-340\trftsWidth3\trftsWidthB3\trpaddl340\trpaddr340\trpaddfl3\trpaddft3\trpaddfb3\trpaddfr3\tblrsid11085200\tbllkhdrrows\tbllkhdrcols\tbllknocolband\tblind0\tblindtype3 \clvertalt\clbrdrt\brdrtbl \clbrdrl&#13;_x000a_\brdrtbl \clbrdrb\brdrtbl \clbrdrr\brdrtbl \cltxlrtb\clftsWidth3\clwWidth9752\clshdrawnil \cellx9412\pard \ltrpar\ql \li0\ri0\keepn\widctlpar\intbl\wrapdefault\aspalpha\aspnum\faauto\adjustright\rin0\lin0\pararsid11085200 {\rtlch\fcs1 \af0 \ltrch\fcs0 &#13;_x000a_\insrsid9010838\charrsid8798805 \cell }\pard \ltrpar\ql \li0\ri0\widctlpar\intbl\wrapdefault\aspalpha\aspnum\faauto\adjustright\rin0\lin0 {\rtlch\fcs1 \af0 \ltrch\fcs0 \insrsid9010838\charrsid8798805 \trowd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9752\clshdrawnil \cellx9412\row \ltrrow}\trowd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4876\clshdrawnil\clhidemark \cellx4536\clvertalt\clbrdrt\brdrtbl \clbrdrl\brdrtbl \clbrdrb\brdrtbl \clbrdrr\brdrtbl \cltxlrtb\clftsWidth3\clwWidth4876\clshdrawnil\clhidemark \cellx9412&#13;_x000a_\pard\plain \ltrpar\s21\qc \li0\ri0\sa240\keepn\nowidctlpar\intbl\wrapdefault\aspalpha\aspnum\faauto\adjustright\rin0\lin0\pararsid11085200 \rtlch\fcs1 \af0\afs20\alang1025 \ltrch\fcs0 \i\fs24\lang2057\langfe2057\cgrid\langnp2057\langfenp2057 {&#13;_x000a_\rtlch\fcs1 \af0 \ltrch\fcs0 \insrsid9010838\charrsid8798805 #}{\rtlch\fcs1 \af0 \ltrch\fcs0 \cs18\v\f1\fs20\cf15\insrsid9010838\charrsid8798805 MNU[OPTLEFTAMACT][LEFTPROP]@CHOICE@AMACTMNU}{\rtlch\fcs1 \af0 \ltrch\fcs0 \insrsid9010838\charrsid8798805 #&#13;_x000a_\cell Amendment\cell }\pard\plain \ltrpar\ql \li0\ri0\widctlpar\intbl\wrapdefault\aspalpha\aspnum\faauto\adjustright\rin0\lin0 \rtlch\fcs1 \af0\afs20\alang1025 \ltrch\fcs0 \fs24\lang2057\langfe2057\cgrid\langnp2057\langfenp2057 {\rtlch\fcs1 \af0 &#13;_x000a_\ltrch\fcs0 \insrsid9010838\charrsid8798805 \trowd \ltrrow\ts11\trqc\trgaph340\trleft-340\trftsWidth3\trftsWidthB3\trpaddl340\trpaddr340\trpaddfl3\trpaddft3\trpaddfb3\trpaddfr3\tblrsid11085200\tbllkhdrrows\tbllkhdrcols\tbllknocolband\tblind0\tblindtype3 &#13;_x000a_\clvertalt\clbrdrt\brdrtbl \clbrdrl\brdrtbl \clbrdrb\brdrtbl \clbrdrr\brdrtbl \cltxlrtb\clftsWidth3\clwWidth4876\clshdrawnil\clhidemark \cellx4536\clvertalt\clbrdrt\brdrtbl \clbrdrl\brdrtbl \clbrdrb\brdrtbl \clbrdrr\brdrtbl &#13;_x000a_\cltxlrtb\clftsWidth3\clwWidth4876\clshdrawnil\clhidemark \cellx9412\row \ltrrow}\pard\plain \ltrpar\s20\ql \li0\ri0\sa120\nowidctlpar\intbl\wrapdefault\aspalpha\aspnum\faauto\adjustright\rin0\lin0\pararsid11085200 \rtlch\fcs1 \af0\afs20\alang1025 &#13;_x000a_\ltrch\fcs0 \fs24\lang2057\langfe2057\cgrid\langnp2057\langfenp2057 {\rtlch\fcs1 \af0 \ltrch\fcs0 \insrsid9010838\charrsid8798805 #}{\rtlch\fcs1 \af0 \ltrch\fcs0 \cs18\v\f1\fs20\cf15\insrsid9010838\charrsid8798805 MNU[TEXTLEVA][TEXTLOTHER]@CHOICE@TEXTRMNU&#13;_x000a_}{\rtlch\fcs1 \af0 \ltrch\fcs0 \insrsid9010838\charrsid8798805 #\cell #}{\rtlch\fcs1 \af0 \ltrch\fcs0 \cs18\v\f1\fs20\cf15\insrsid9010838\charrsid8798805 MNU[TEXTREVA][TEXTROTHER]@CHOICE@TEXTRMNU}{\rtlch\fcs1 \af0 \ltrch\fcs0 &#13;_x000a_\insrsid9010838\charrsid8798805 #\cell }\pard\plain \ltrpar\ql \li0\ri0\widctlpar\intbl\wrapdefault\aspalpha\aspnum\faauto\adjustright\rin0\lin0 \rtlch\fcs1 \af0\afs20\alang1025 \ltrch\fcs0 \fs24\lang2057\langfe2057\cgrid\langnp2057\langfenp2057 {&#13;_x000a_\rtlch\fcs1 \af0 \ltrch\fcs0 \insrsid9010838\charrsid8798805 \trowd \lastrow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4876\clshdrawnil\clhidemark \cellx4536\clvertalt\clbrdrt\brdrtbl \clbrdrl\brdrtbl \clbrdrb\brdrtbl \clbrdrr\brdrtbl \cltxlrtb\clftsWidth3\clwWidth4876\clshdrawnil\clhidemark \cellx9412\row &#13;_x000a_}\pard\plain \ltrpar\s24\qc \li0\ri0\sb240\sa240\nowidctlpar\wrapdefault\aspalpha\aspnum\faauto\adjustright\rin0\lin0\itap0\pararsid15363552 \rtlch\fcs1 \af0\afs20\alang1025 \ltrch\fcs0 \i\fs24\lang2057\langfe2057\cgrid\langnp2057\langfenp2057 {&#13;_x000a_\rtlch\fcs1 \af0 \ltrch\fcs0 \cs17\i0\v\fs20\cf9\lang1024\langfe1024\loch\af1\hich\af1\dbch\af31501\noproof\insrsid9010838\charrsid8798805 \hich\af1\dbch\af31501\loch\f1 &lt;OptDel&gt;}{\rtlch\fcs1 \af0 \ltrch\fcs0 \insrsid9010838\charrsid8798805 #}{&#13;_x000a_\rtlch\fcs1 \af0 \ltrch\fcs0 \cs18\v\f1\fs20\cf15\insrsid9010838\charrsid8798805 MNU[CROSSREFNO][CROSSREFYES]@CHOICE@}{\rtlch\fcs1 \af0 \ltrch\fcs0 \insrsid9010838\charrsid8798805 #}{\rtlch\fcs1 \af0 \ltrch\fcs0 &#13;_x000a_\cs17\i0\v\fs20\cf9\lang1024\langfe1024\loch\af1\hich\af1\dbch\af31501\noproof\insrsid9010838\charrsid8798805 \hich\af1\dbch\af31501\loch\f1 &lt;/OptDel&gt;}{\rtlch\fcs1 \af0 \ltrch\fcs0 \insrsid9010838\charrsid8798805 &#13;_x000a_\par }\pard\plain \ltrpar\s25\qc \li0\ri0\sb240\sa240\keepn\nowidctlpar\wrapdefault\aspalpha\aspnum\faauto\adjustright\rin0\lin0\itap0\pararsid15363552 \rtlch\fcs1 \af0\afs20\alang1025 \ltrch\fcs0 \i\fs24\lang2057\langfe2057\cgrid\langnp2057\langfenp2057 {&#13;_x000a_\rtlch\fcs1 \af0 \ltrch\fcs0 \cs17\i0\v\fs20\cf9\lang1024\langfe1024\loch\af1\hich\af1\dbch\af31501\noproof\insrsid9010838\charrsid8798805 \hich\af1\dbch\af31501\loch\f1 &lt;TitreJust&gt;}{\rtlch\fcs1 \af0 \ltrch\fcs0 \insrsid9010838\charrsid8798805 &#13;_x000a_Justification}{\rtlch\fcs1 \af0 \ltrch\fcs0 \cs17\i0\v\fs20\cf9\lang1024\langfe1024\loch\af1\hich\af1\dbch\af31501\noproof\insrsid9010838\charrsid8798805 \hich\af1\dbch\af31501\loch\f1 &lt;/TitreJust&gt;}{\rtlch\fcs1 \af0 \ltrch\fcs0 &#13;_x000a_\insrsid9010838\charrsid8798805 &#13;_x000a_\par }\pard\plain \ltrpar\s23\ql \li0\ri0\sa240\nowidctlpar\wrapdefault\aspalpha\aspnum\faauto\adjustright\rin0\lin0\itap0\pararsid15363552 \rtlch\fcs1 \af0\afs20\alang1025 \ltrch\fcs0 \i\fs24\lang2057\langfe2057\cgrid\langnp2057\langfenp2057 {\rtlch\fcs1 &#13;_x000a_\af0 \ltrch\fcs0 \cs17\i0\v\fs20\cf9\lang1024\langfe1024\loch\af1\hich\af1\dbch\af31501\noproof\insrsid9010838\charrsid8798805 \hich\af1\dbch\af31501\loch\f1 &lt;OptDelPrev&gt;}{\rtlch\fcs1 \af0 \ltrch\fcs0 \insrsid9010838\charrsid8798805 #}{\rtlch\fcs1 \af0 &#13;_x000a_\ltrch\fcs0 \cs18\v\f1\fs20\cf15\insrsid9010838\charrsid8798805 MNU[TEXTJUSTYES][TEXTJUSTNO]@CHOICE@}{\rtlch\fcs1 \af0 \ltrch\fcs0 \insrsid9010838\charrsid8798805 #}{\rtlch\fcs1 \af0 \ltrch\fcs0 &#13;_x000a_\cs17\i0\v\fs20\cf9\lang1024\langfe1024\loch\af1\hich\af1\dbch\af31501\noproof\insrsid9010838\charrsid8798805 \hich\af1\dbch\af31501\loch\f1 &lt;/OptDelPrev&gt;}{\rtlch\fcs1 \af0 \ltrch\fcs0 \insrsid9010838\charrsid8798805 &#13;_x000a_\par }\pard\plain \ltrpar\ql \li0\ri0\widctlpar\wrapdefault\aspalpha\aspnum\faauto\adjustright\rin0\lin0\itap0\pararsid15363552 \rtlch\fcs1 \af0\afs20\alang1025 \ltrch\fcs0 \fs24\lang2057\langfe2057\cgrid\langnp2057\langfenp2057 {\rtlch\fcs1 \af0 \ltrch\fcs0 &#13;_x000a_\cs17\v\fs20\cf9\lang1024\langfe1024\loch\af1\hich\af1\dbch\af31501\noproof\insrsid9010838\charrsid8798805 \hich\af1\dbch\af31501\loch\f1 &lt;/Amend&gt;}{\rtlch\fcs1 \af0 \ltrch\fcs0 \insrsid9010838\charrsid16324206 {\*\bkmkend restart}&#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8056&#13;_x000a_7f742b0d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52\fbidi \froman\fcharset238\fprq2 Times New Roman CE;}{\f53\fbidi \froman\fcharset204\fprq2 Times New Roman Cyr;}&#13;_x000a_{\f55\fbidi \froman\fcharset161\fprq2 Times New Roman Greek;}{\f56\fbidi \froman\fcharset162\fprq2 Times New Roman Tur;}{\f57\fbidi \froman\fcharset177\fprq2 Times New Roman (Hebrew);}{\f58\fbidi \froman\fcharset178\fprq2 Times New Roman (Arabic);}&#13;_x000a_{\f59\fbidi \froman\fcharset186\fprq2 Times New Roman Baltic;}{\f60\fbidi \froman\fcharset163\fprq2 Times New Roman (Vietnamese);}{\f62\fbidi \fswiss\fcharset238\fprq2 Arial CE;}{\f63\fbidi \fswiss\fcharset204\fprq2 Arial Cyr;}&#13;_x000a_{\f65\fbidi \fswiss\fcharset161\fprq2 Arial Greek;}{\f66\fbidi \fswiss\fcharset162\fprq2 Arial Tur;}{\f67\fbidi \fswiss\fcharset177\fprq2 Arial (Hebrew);}{\f68\fbidi \fswiss\fcharset178\fprq2 Arial (Arabic);}&#13;_x000a_{\f69\fbidi \fswiss\fcharset186\fprq2 Arial Baltic;}{\f70\fbidi \fswiss\fcharset163\fprq2 Arial (Vietnamese);}{\f392\fbidi \froman\fcharset238\fprq2 Cambria Math CE;}{\f393\fbidi \froman\fcharset204\fprq2 Cambria Math Cyr;}&#13;_x000a_{\f395\fbidi \froman\fcharset161\fprq2 Cambria Math Greek;}{\f396\fbidi \froman\fcharset162\fprq2 Cambria Math Tur;}{\f399\fbidi \froman\fcharset186\fprq2 Cambria Math Baltic;}{\f400\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1285722 HideTWBExt;}{&#13;_x000a_\s18\ql \li0\ri0\nowidctlpar\wrapdefault\aspalpha\aspnum\faauto\adjustright\rin0\lin0\itap0 \rtlch\fcs1 \af0\afs20\alang1025 \ltrch\fcs0 \b\fs24\lang2057\langfe2057\cgrid\langnp2057\langfenp2057 \sbasedon0 \snext18 \spriority0 \styrsid11285722 &#13;_x000a_NormalBold;}{\s19\ql \li0\ri0\sa120\nowidctlpar\wrapdefault\aspalpha\aspnum\faauto\adjustright\rin0\lin0\itap0 \rtlch\fcs1 \af0\afs20\alang1025 \ltrch\fcs0 \fs24\lang2057\langfe2057\cgrid\langnp2057\langfenp2057 &#13;_x000a_\sbasedon0 \snext19 \spriority0 \styrsid11285722 Normal6a;}{\s20\qc \li0\ri0\sa240\nowidctlpar\wrapdefault\aspalpha\aspnum\faauto\adjustright\rin0\lin0\itap0 \rtlch\fcs1 \af0\afs20\alang1025 \ltrch\fcs0 &#13;_x000a_\i\fs24\lang2057\langfe2057\cgrid\langnp2057\langfenp2057 \sbasedon0 \snext20 \spriority0 \styrsid11285722 AmColumnHeading;}{\s21\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1 \spriority0 \styrsid11285722 AmNumberTabs;}{\s22\ql \li0\ri0\sa240\nowidctlpar\wrapdefault\aspalpha\aspnum\faauto\adjustright\rin0\lin0\itap0 \rtlch\fcs1 &#13;_x000a_\af0\afs20\alang1025 \ltrch\fcs0 \i\fs24\lang2057\langfe2057\cgrid\langnp2057\langfenp2057 \sbasedon0 \snext22 \spriority0 \styrsid11285722 AmJustText;}{&#13;_x000a_\s23\qc \li0\ri0\sb240\sa240\nowidctlpar\wrapdefault\aspalpha\aspnum\faauto\adjustright\rin0\lin0\itap0 \rtlch\fcs1 \af0\afs20\alang1025 \ltrch\fcs0 \i\fs24\lang2057\langfe2057\cgrid\langnp2057\langfenp2057 &#13;_x000a_\sbasedon0 \snext23 \spriority0 \styrsid11285722 AmCrossRef;}{\s24\qc \li0\ri0\sb240\sa240\keepn\nowidctlpar\wrapdefault\aspalpha\aspnum\faauto\adjustright\rin0\lin0\itap0 \rtlch\fcs1 \af0\afs20\alang1025 \ltrch\fcs0 &#13;_x000a_\i\fs24\lang2057\langfe2057\cgrid\langnp2057\langfenp2057 \sbasedon0 \snext22 \spriority0 \styrsid11285722 AmJustTitle;}{\s25\ql \li0\ri0\sb240\nowidctlpar\wrapdefault\aspalpha\aspnum\faauto\adjustright\rin0\lin0\itap0 \rtlch\fcs1 \af0\afs20\alang1025 &#13;_x000a_\ltrch\fcs0 \b\fs24\lang2057\langfe2057\cgrid\langnp2057\langfenp2057 \sbasedon0 \snext25 \spriority0 \styrsid11285722 NormalBold12b;}}{\*\rsidtbl \rsid24658\rsid223860\rsid735077\rsid1718133\rsid2892074\rsid3565327\rsid4539522\rsid4666813\rsid6641733&#13;_x000a_\rsid7823322\rsid9636012\rsid10377208\rsid11215221\rsid11225070\rsid11285722\rsid11549030\rsid12154954\rsid14382809\rsid14424199\rsid15204470\rsid15285974\rsid15950462\rsid16324206\rsid16662270}{\mmathPr\mmathFont34\mbrkBin0\mbrkBinSub0\msmallFrac0&#13;_x000a_\mdispDef1\mlMargin0\mrMargin0\mdefJc1\mwrapIndent1440\mintLim0\mnaryLim1}{\info{\author ATES Devrim}{\operator ATES Devrim}{\creatim\yr2026\mo7\dy6\hr11\min40}{\revtim\yr2026\mo7\dy6\hr11\min40}{\version1}{\edmins0}{\nofpages1}{\nofwords54}{\nofchars313}&#13;_x000a_{\nofcharsws364}{\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1285722\newtblstyruls\nogrowautofit\usenormstyforlist\noindnmbrts\felnbrelev\nocxsptable\indrlsweleven\noafcnsttbl\afelev\utinl\hwelev\spltpgpar\notcvasp\notbrkcnstfrctbl\notvatxbx\krnprsnet\cachedcolbal &#13;_x000a_\nouicompat \fet0{\*\wgrffmtfilter 013f}\nofeaturethrottle1\ilfomacatclnup0{\*\template C:\\Users\\dates\\AppData\\Local\\Temp\\Blank1.dotx}{\*\ftnsep \ltrpar \pard\plain \ltrpar&#13;_x000a_\ql \li0\ri0\widctlpar\wrapdefault\aspalpha\aspnum\faauto\adjustright\rin0\lin0\itap0 \rtlch\fcs1 \af0\afs20\alang1025 \ltrch\fcs0 \fs24\lang2057\langfe2057\cgrid\langnp2057\langfenp2057 {\rtlch\fcs1 \af0 \ltrch\fcs0 \insrsid4539522 \chftnsep &#13;_x000a_\par }}{\*\ftnsepc \ltrpar \pard\plain \ltrpar\ql \li0\ri0\widctlpar\wrapdefault\aspalpha\aspnum\faauto\adjustright\rin0\lin0\itap0 \rtlch\fcs1 \af0\afs20\alang1025 \ltrch\fcs0 \fs24\lang2057\langfe2057\cgrid\langnp2057\langfenp2057 {\rtlch\fcs1 \af0 &#13;_x000a_\ltrch\fcs0 \insrsid4539522 \chftnsepc &#13;_x000a_\par }}{\*\aftnsep \ltrpar \pard\plain \ltrpar\ql \li0\ri0\widctlpar\wrapdefault\aspalpha\aspnum\faauto\adjustright\rin0\lin0\itap0 \rtlch\fcs1 \af0\afs20\alang1025 \ltrch\fcs0 \fs24\lang2057\langfe2057\cgrid\langnp2057\langfenp2057 {\rtlch\fcs1 \af0 &#13;_x000a_\ltrch\fcs0 \insrsid4539522 \chftnsep &#13;_x000a_\par }}{\*\aftnsepc \ltrpar \pard\plain \ltrpar\ql \li0\ri0\widctlpar\wrapdefault\aspalpha\aspnum\faauto\adjustright\rin0\lin0\itap0 \rtlch\fcs1 \af0\afs20\alang1025 \ltrch\fcs0 \fs24\lang2057\langfe2057\cgrid\langnp2057\langfenp2057 {\rtlch\fcs1 \af0 &#13;_x000a_\ltrch\fcs0 \insrsid4539522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1\ql \li0\ri0\sb240\keepn\nowidctlpar&#13;_x000a_\tx879\tx936\tx1021\tx1077\tx1134\tx1191\tx1247\tx1304\tx1361\tx1418\tx1474\tx1531\tx1588\tx1644\tx1701\tx1758\tx1814\tx1871\tx2070\tx2126\tx3374\tx3430\wrapdefault\aspalpha\aspnum\faauto\adjustright\rin0\lin0\itap0\pararsid6293919 \rtlch\fcs1 &#13;_x000a_\af0\afs20\alang1025 \ltrch\fcs0 \b\fs24\lang2057\langfe2057\cgrid\langnp2057\langfenp2057 {\rtlch\fcs1 \af0 \ltrch\fcs0 \cs17\b0\v\fs20\cf9\lang1024\langfe1024\loch\af1\hich\af1\dbch\af31501\noproof\langnp1030\insrsid11285722 {\*\bkmkstart restart}&#13;_x000a_\hich\af1\dbch\af31501\loch\f1 &lt;Amend&gt;}{\rtlch\fcs1 \af0 \ltrch\fcs0 \lang1030\langfe2057\langnp1030\insrsid11285722 [ZAMENDMENT]\tab \tab }{\rtlch\fcs1 \af0 \ltrch\fcs0 &#13;_x000a_\cs17\b0\v\fs20\cf9\lang1024\langfe1024\loch\af1\hich\af1\dbch\af31501\noproof\langnp1030\insrsid11285722 \hich\af1\dbch\af31501\loch\f1 &lt;NumAm&gt;}{\rtlch\fcs1 \af0 \ltrch\fcs0 \lang1030\langfe2057\langnp1030\insrsid11285722 [ZNRAM]}{\rtlch\fcs1 \af0 &#13;_x000a_\ltrch\fcs0 \cs17\b0\v\fs20\cf9\lang1024\langfe1024\loch\af1\hich\af1\dbch\af31501\noproof\langnp1030\insrsid11285722 \hich\af1\dbch\af31501\loch\f1 &lt;/NumAm&gt;}{\rtlch\fcs1 \af0 \ltrch\fcs0 \lang1030\langfe2057\langnp1030\insrsid11285722 &#13;_x000a_\par }\pard\plain \ltrpar\s25\ql \li0\ri0\sb240\keepn\nowidctlpar\wrapdefault\aspalpha\aspnum\faauto\adjustright\rin0\lin0\itap0\pararsid6293919 \rtlch\fcs1 \af0\afs20\alang1025 \ltrch\fcs0 \b\fs24\lang2057\langfe2057\cgrid\langnp2057\langfenp2057 {&#13;_x000a_\rtlch\fcs1 \af0 \ltrch\fcs0 \cs17\b0\v\fs20\cf9\lang1024\langfe1024\loch\af1\hich\af1\dbch\af31501\noproof\langnp1030\insrsid11285722 \hich\af1\dbch\af31501\loch\f1 &lt;DocAmend&gt;}{\rtlch\fcs1 \af0 \ltrch\fcs0 \lang1030\langfe2057\langnp1030\insrsid11285722 &#13;_x000a_[ZPROPOSAL][ZAMACT]}{\rtlch\fcs1 \af0 \ltrch\fcs0 \cs17\b0\v\fs20\cf9\lang1024\langfe1024\loch\af1\hich\af1\dbch\af31501\noproof\langnp1030\insrsid11285722 \hich\af1\dbch\af31501\loch\f1 &lt;/DocAmend&gt;}{\rtlch\fcs1 \af0 \ltrch\fcs0 &#13;_x000a_\lang1030\langfe2057\langnp1030\insrsid11285722 &#13;_x000a_\par }\pard\plain \ltrpar\s18\ql \li0\ri0\nowidctlpar\wrapdefault\aspalpha\aspnum\faauto\adjustright\rin0\lin0\itap0\pararsid6293919 \rtlch\fcs1 \af0\afs20\alang1025 \ltrch\fcs0 \b\fs24\lang2057\langfe2057\cgrid\langnp2057\langfenp2057 {\rtlch\fcs1 \af0 &#13;_x000a_\ltrch\fcs0 \cs17\b0\v\fs20\cf9\lang1024\langfe1024\loch\af1\hich\af1\dbch\af31501\noproof\langnp1030\insrsid11285722 \hich\af1\dbch\af31501\loch\f1 &lt;Article&gt;}{\rtlch\fcs1 \af0 \ltrch\fcs0 \lang1030\langfe2057\langnp1030\insrsid11285722 [ZAMPART]}{&#13;_x000a_\rtlch\fcs1 \af0 \ltrch\fcs0 \cs17\b0\v\fs20\cf9\lang1024\langfe1024\loch\af1\hich\af1\dbch\af31501\noproof\langnp1030\insrsid11285722 \hich\af1\dbch\af31501\loch\f1 &lt;/Article&gt;}{\rtlch\fcs1 \af0 \ltrch\fcs0 \lang1030\langfe2057\langnp1030\insrsid11285722 &#13;_x000a_&#13;_x000a_\par }\pard\plain \ltrpar\ql \li0\ri0\keepn\widctlpar\wrapdefault\aspalpha\aspnum\faauto\adjustright\rin0\lin0\itap0\pararsid6293919 \rtlch\fcs1 \af0\afs20\alang1025 \ltrch\fcs0 \fs24\lang2057\langfe2057\cgrid\langnp2057\langfenp2057 {\rtlch\fcs1 \af0 &#13;_x000a_\ltrch\fcs0 \cs17\v\fs20\cf9\lang1024\langfe1024\loch\af1\hich\af1\dbch\af31501\noproof\langnp1030\insrsid11285722 \hich\af1\dbch\af31501\loch\f1 &lt;DocAmend2&gt;&lt;OptDel&gt;}{\rtlch\fcs1 \af0 \ltrch\fcs0 \lang1030\langfe2057\langnp1030\insrsid11285722 [ZNRACT]}{&#13;_x000a_\rtlch\fcs1 \af0 \ltrch\fcs0 \cs17\v\fs20\cf9\lang1024\langfe1024\loch\af1\hich\af1\dbch\af31501\noproof\langnp1030\insrsid11285722 \hich\af1\dbch\af31501\loch\f1 &lt;/OptDel&gt;&lt;/DocAmend2&gt;}{\rtlch\fcs1 \af0 \ltrch\fcs0 &#13;_x000a_\lang1030\langfe2057\langnp1030\insrsid11285722 &#13;_x000a_\par }\pard \ltrpar\ql \li0\ri0\widctlpar\wrapdefault\aspalpha\aspnum\faauto\adjustright\rin0\lin0\itap0\pararsid6293919 {\rtlch\fcs1 \af0 \ltrch\fcs0 \cs17\v\fs20\cf9\lang1024\langfe1024\loch\af1\hich\af1\dbch\af31501\noproof\langnp1036\insrsid11285722 &#13;_x000a_\hich\af1\dbch\af31501\loch\f1 &lt;Article2&gt;&lt;OptDel&gt;}{\rtlch\fcs1 \af0 \ltrch\fcs0 \lang1036\langfe2057\langnp1036\insrsid11285722 [ZACTPART]}{\rtlch\fcs1 \af0 \ltrch\fcs0 &#13;_x000a_\cs17\v\fs20\cf9\lang1024\langfe1024\loch\af1\hich\af1\dbch\af31501\noproof\langnp1036\insrsid11285722 \hich\af1\dbch\af31501\loch\f1 &lt;/OptDel&gt;&lt;/Article2&gt;}{\rtlch\fcs1 \af0 \ltrch\fcs0 \lang1036\langfe2057\langnp1036\insrsid11285722 &#13;_x000a_\par \ltrrow}\trowd \ltrrow\ts11\trqc\trgaph340\trleft-340\trftsWidth3\trftsWidthB3\trpaddl340\trpaddr340\trpaddfl3\trpaddft3\trpaddfb3\trpaddfr3\tblrsid11085200\tbllkhdrrows\tbllkhdrcols\tbllknocolband\tblind0\tblindtype3 \clvertalt\clbrdrt\brdrtbl \clbrdrl&#13;_x000a_\brdrtbl \clbrdrb\brdrtbl \clbrdrr\brdrtbl \cltxlrtb\clftsWidth3\clwWidth9752\clshdrawnil \cellx9412\pard \ltrpar\ql \li0\ri0\keepn\widctlpar\intbl\wrapdefault\aspalpha\aspnum\faauto\adjustright\rin0\lin0\pararsid11085200 {\rtlch\fcs1 \af0 \ltrch\fcs0 &#13;_x000a_\lang1036\langfe2057\langnp1036\insrsid11285722 \cell }\pard \ltrpar\ql \li0\ri0\widctlpar\intbl\wrapdefault\aspalpha\aspnum\faauto\adjustright\rin0\lin0 {\rtlch\fcs1 \af0 \ltrch\fcs0 \insrsid11285722 \trowd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9752\clshdrawnil \cellx9412\row \ltrrow}\trowd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4876\clshdrawnil\clhidemark \cellx4536\clvertalt\clbrdrt\brdrtbl \clbrdrl\brdrtbl \clbrdrb\brdrtbl \clbrdrr\brdrtbl \cltxlrtb\clftsWidth3\clwWidth4876\clshdrawnil\clhidemark \cellx9412&#13;_x000a_\pard\plain \ltrpar\s20\qc \li0\ri0\sa240\keepn\nowidctlpar\intbl\wrapdefault\aspalpha\aspnum\faauto\adjustright\rin0\lin0\pararsid11085200 \rtlch\fcs1 \af0\afs20\alang1025 \ltrch\fcs0 \i\fs24\lang2057\langfe2057\cgrid\langnp2057\langfenp2057 {&#13;_x000a_\rtlch\fcs1 \af0 \ltrch\fcs0 \insrsid11285722 [ZLEFT]\cell [ZRIGHT]\cell }\pard\plain \ltrpar\ql \li0\ri0\widctlpar\intbl\wrapdefault\aspalpha\aspnum\faauto\adjustright\rin0\lin0 \rtlch\fcs1 \af0\afs20\alang1025 \ltrch\fcs0 &#13;_x000a_\fs24\lang2057\langfe2057\cgrid\langnp2057\langfenp2057 {\rtlch\fcs1 \af0 \ltrch\fcs0 \insrsid11285722 \trowd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4876\clshdrawnil\clhidemark \cellx4536\clvertalt\clbrdrt\brdrtbl \clbrdrl\brdrtbl \clbrdrb\brdrtbl \clbrdrr\brdrtbl \cltxlrtb\clftsWidth3\clwWidth4876\clshdrawnil\clhidemark \cellx9412\row \ltrrow&#13;_x000a_}\pard\plain \ltrpar\s19\ql \li0\ri0\sa120\nowidctlpar\intbl\wrapdefault\aspalpha\aspnum\faauto\adjustright\rin0\lin0\pararsid11085200 \rtlch\fcs1 \af0\afs20\alang1025 \ltrch\fcs0 \fs24\lang2057\langfe2057\cgrid\langnp2057\langfenp2057 {\rtlch\fcs1 \af0 &#13;_x000a_\ltrch\fcs0 \insrsid11285722 [ZTEXTL]\cell [ZTEXTR]\cell }\pard\plain \ltrpar\ql \li0\ri0\widctlpar\intbl\wrapdefault\aspalpha\aspnum\faauto\adjustright\rin0\lin0 \rtlch\fcs1 \af0\afs20\alang1025 \ltrch\fcs0 &#13;_x000a_\fs24\lang2057\langfe2057\cgrid\langnp2057\langfenp2057 {\rtlch\fcs1 \af0 \ltrch\fcs0 \insrsid11285722 \trowd \lastrow \ltrrow&#13;_x000a_\ts11\trqc\trgaph340\trleft-340\trftsWidth3\trftsWidthB3\trpaddl340\trpaddr340\trpaddfl3\trpaddft3\trpaddfb3\trpaddfr3\tblrsid11085200\tbllkhdrrows\tbllkhdrcols\tbllknocolband\tblind0\tblindtype3 \clvertalt\clbrdrt\brdrtbl \clbrdrl\brdrtbl \clbrdrb&#13;_x000a_\brdrtbl \clbrdrr\brdrtbl \cltxlrtb\clftsWidth3\clwWidth4876\clshdrawnil\clhidemark \cellx4536\clvertalt\clbrdrt\brdrtbl \clbrdrl\brdrtbl \clbrdrb\brdrtbl \clbrdrr\brdrtbl \cltxlrtb\clftsWidth3\clwWidth4876\clshdrawnil\clhidemark \cellx9412\row &#13;_x000a_}\pard\plain \ltrpar\s23\qc \li0\ri0\sb240\sa240\nowidctlpar\wrapdefault\aspalpha\aspnum\faauto\adjustright\rin0\lin0\itap0\pararsid6293919 \rtlch\fcs1 \af0\afs20\alang1025 \ltrch\fcs0 \i\fs24\lang2057\langfe2057\cgrid\langnp2057\langfenp2057 {&#13;_x000a_\rtlch\fcs1 \af0 \ltrch\fcs0 \cs17\i0\v\fs20\cf9\lang1024\langfe1024\loch\af1\hich\af1\dbch\af31501\noproof\insrsid11285722 \hich\af1\dbch\af31501\loch\f1 &lt;OptDel&gt;}{\rtlch\fcs1 \af0 \ltrch\fcs0 \insrsid11285722 [ZCROSSREF]}{\rtlch\fcs1 \af0 \ltrch\fcs0 &#13;_x000a_\cs17\i0\v\fs20\cf9\lang1024\langfe1024\loch\af1\hich\af1\dbch\af31501\noproof\insrsid11285722 \hich\af1\dbch\af31501\loch\f1 &lt;/OptDel&gt;}{\rtlch\fcs1 \af0 \ltrch\fcs0 \insrsid11285722 &#13;_x000a_\par }\pard\plain \ltrpar\s24\qc \li0\ri0\sb240\sa240\keepn\nowidctlpar\wrapdefault\aspalpha\aspnum\faauto\adjustright\rin0\lin0\itap0\pararsid6293919 \rtlch\fcs1 \af0\afs20\alang1025 \ltrch\fcs0 \i\fs24\lang2057\langfe2057\cgrid\langnp2057\langfenp2057 {&#13;_x000a_\rtlch\fcs1 \af0 \ltrch\fcs0 \cs17\i0\v\fs20\cf9\lang1024\langfe1024\loch\af1\hich\af1\dbch\af31501\noproof\insrsid11285722 \hich\af1\dbch\af31501\loch\f1 &lt;TitreJust&gt;}{\rtlch\fcs1 \af0 \ltrch\fcs0 \insrsid11285722 [ZJUSTIFICATION]}{\rtlch\fcs1 \af0 &#13;_x000a_\ltrch\fcs0 \cs17\i0\v\fs20\cf9\lang1024\langfe1024\loch\af1\hich\af1\dbch\af31501\noproof\insrsid11285722 \hich\af1\dbch\af31501\loch\f1 &lt;/TitreJust&gt;}{\rtlch\fcs1 \af0 \ltrch\fcs0 \insrsid11285722 &#13;_x000a_\par }\pard\plain \ltrpar\s22\ql \li0\ri0\sa240\nowidctlpar\wrapdefault\aspalpha\aspnum\faauto\adjustright\rin0\lin0\itap0\pararsid6293919 \rtlch\fcs1 \af0\afs20\alang1025 \ltrch\fcs0 \i\fs24\lang2057\langfe2057\cgrid\langnp2057\langfenp2057 {\rtlch\fcs1 \af0 &#13;_x000a_\ltrch\fcs0 \cs17\i0\v\fs20\cf9\lang1024\langfe1024\loch\af1\hich\af1\dbch\af31501\noproof\insrsid11285722 \hich\af1\dbch\af31501\loch\f1 &lt;OptDelPrev&gt;}{\rtlch\fcs1 \af0 \ltrch\fcs0 \insrsid11285722 [ZTEXTJUST]}{\rtlch\fcs1 \af0 \ltrch\fcs0 &#13;_x000a_\cs17\i0\v\fs20\cf9\lang1024\langfe1024\loch\af1\hich\af1\dbch\af31501\noproof\insrsid11285722 \hich\af1\dbch\af31501\loch\f1 &lt;/OptDelPrev&gt;}{\rtlch\fcs1 \af0 \ltrch\fcs0 \insrsid11285722 &#13;_x000a_\par }\pard\plain \ltrpar\ql \li0\ri0\widctlpar\wrapdefault\aspalpha\aspnum\faauto\adjustright\rin0\lin0\itap0\pararsid6293919 \rtlch\fcs1 \af0\afs20\alang1025 \ltrch\fcs0 \fs24\lang2057\langfe2057\cgrid\langnp2057\langfenp2057 {\rtlch\fcs1 \af0 \ltrch\fcs0 &#13;_x000a_\cs17\v\fs20\cf9\lang1024\langfe1024\loch\af1\hich\af1\dbch\af31501\noproof\insrsid11285722 \hich\af1\dbch\af31501\loch\f1 &lt;/Amend&gt;}{\rtlch\fcs1 \af0 \ltrch\fcs0 \insrsid11285722\charrsid16324206 {\*\bkmkend restart}&#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9a&#13;_x000a_31762b0d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PA_LegEvaluation"/>
    <w:docVar w:name="strSubDir" w:val="1348"/>
    <w:docVar w:name="TEXTRMNU" w:val="1"/>
    <w:docVar w:name="TITLECODMNU" w:val=" 1"/>
    <w:docVar w:name="TITLEMNU" w:val=" 1"/>
    <w:docVar w:name="TVTAMPART" w:val="Article 15 – paragraph 5"/>
    <w:docVar w:name="TXTAUTHOR" w:val="Sandra Gómez López"/>
    <w:docVar w:name="TXTLANGUE" w:val="EN"/>
    <w:docVar w:name="TXTLANGUEMIN" w:val="en"/>
    <w:docVar w:name="TXTNRC" w:val="0173/2025"/>
    <w:docVar w:name="TXTNRCOM" w:val="(2025)0550"/>
    <w:docVar w:name="TXTNRFIRSTAM" w:val="1"/>
    <w:docVar w:name="TXTNRLASTAM" w:val="9"/>
    <w:docVar w:name="TXTNRPE" w:val="787.038"/>
    <w:docVar w:name="TXTNRPROC" w:val="2025/0550"/>
    <w:docVar w:name="TXTPEorAP" w:val="PE"/>
    <w:docVar w:name="TXTROUTE" w:val="AD\1348641EN.docx"/>
    <w:docVar w:name="TXTTITLE" w:val="Regulation of the European Parliament and of the Council establishing the 'AgoraEU' programme for the period 2028 to 2034, and repealing Regulations (EU) 2021/692 and (EU) 2021/818"/>
    <w:docVar w:name="TXTVERSION" w:val="03-00"/>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E04F5BD0-90CC-4379-88EC-F832CF84E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8432D"/>
    <w:rPr>
      <w:rFonts w:ascii="Arial" w:hAnsi="Arial" w:cs="Arial"/>
      <w:noProof/>
      <w:vanish/>
      <w:color w:val="000080"/>
      <w:sz w:val="20"/>
    </w:rPr>
  </w:style>
  <w:style w:type="paragraph" w:customStyle="1" w:styleId="EPFooter2">
    <w:name w:val="EPFooter2"/>
    <w:basedOn w:val="Normal"/>
    <w:next w:val="Normal"/>
    <w:rsid w:val="00D8432D"/>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8432D"/>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D8432D"/>
    <w:rPr>
      <w:rFonts w:ascii="Arial" w:hAnsi="Arial"/>
      <w:noProof/>
      <w:vanish/>
      <w:color w:val="808080"/>
      <w:sz w:val="20"/>
    </w:rPr>
  </w:style>
  <w:style w:type="paragraph" w:customStyle="1" w:styleId="PageHeadingNotTOC">
    <w:name w:val="PageHeadingNotTOC"/>
    <w:basedOn w:val="Normal"/>
    <w:rsid w:val="00D8432D"/>
    <w:pPr>
      <w:keepNext/>
      <w:spacing w:after="480"/>
      <w:jc w:val="center"/>
    </w:pPr>
    <w:rPr>
      <w:rFonts w:ascii="Arial" w:hAnsi="Arial" w:cs="Arial"/>
      <w:b/>
    </w:rPr>
  </w:style>
  <w:style w:type="paragraph" w:customStyle="1" w:styleId="EPName">
    <w:name w:val="EPName"/>
    <w:basedOn w:val="Normal"/>
    <w:rsid w:val="00D8432D"/>
    <w:pPr>
      <w:spacing w:before="80" w:after="80"/>
    </w:pPr>
    <w:rPr>
      <w:rFonts w:ascii="Arial Narrow" w:hAnsi="Arial Narrow" w:cs="Arial"/>
      <w:b/>
      <w:sz w:val="32"/>
      <w:szCs w:val="22"/>
    </w:rPr>
  </w:style>
  <w:style w:type="paragraph" w:customStyle="1" w:styleId="CoverNormal24a">
    <w:name w:val="CoverNormal24a"/>
    <w:basedOn w:val="Normal"/>
    <w:rsid w:val="00D8432D"/>
    <w:pPr>
      <w:spacing w:after="480"/>
      <w:ind w:left="1417"/>
    </w:pPr>
  </w:style>
  <w:style w:type="paragraph" w:customStyle="1" w:styleId="CoverNormal">
    <w:name w:val="CoverNormal"/>
    <w:basedOn w:val="Normal"/>
    <w:rsid w:val="00D8432D"/>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D8432D"/>
    <w:pPr>
      <w:spacing w:before="1080"/>
      <w:jc w:val="right"/>
    </w:pPr>
    <w:rPr>
      <w:rFonts w:ascii="Arial" w:hAnsi="Arial"/>
      <w:b/>
    </w:rPr>
  </w:style>
  <w:style w:type="paragraph" w:customStyle="1" w:styleId="CoverDocType24a">
    <w:name w:val="CoverDocType24a"/>
    <w:basedOn w:val="Normal"/>
    <w:rsid w:val="00D8432D"/>
    <w:pPr>
      <w:spacing w:after="480"/>
      <w:ind w:left="1417"/>
    </w:pPr>
    <w:rPr>
      <w:rFonts w:ascii="Arial" w:hAnsi="Arial" w:cs="Arial"/>
      <w:b/>
      <w:sz w:val="48"/>
    </w:rPr>
  </w:style>
  <w:style w:type="paragraph" w:customStyle="1" w:styleId="CoverDate">
    <w:name w:val="CoverDate"/>
    <w:basedOn w:val="Normal"/>
    <w:rsid w:val="00D8432D"/>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8432D"/>
    <w:pPr>
      <w:jc w:val="center"/>
    </w:pPr>
    <w:rPr>
      <w:rFonts w:ascii="Arial" w:hAnsi="Arial" w:cs="Arial"/>
      <w:i/>
      <w:sz w:val="22"/>
      <w:szCs w:val="22"/>
    </w:rPr>
  </w:style>
  <w:style w:type="paragraph" w:customStyle="1" w:styleId="LineTop">
    <w:name w:val="LineTop"/>
    <w:basedOn w:val="Normal"/>
    <w:next w:val="Normal"/>
    <w:rsid w:val="00D8432D"/>
    <w:pPr>
      <w:pBdr>
        <w:top w:val="single" w:sz="4" w:space="1" w:color="auto"/>
      </w:pBdr>
      <w:jc w:val="center"/>
    </w:pPr>
    <w:rPr>
      <w:rFonts w:ascii="Arial" w:hAnsi="Arial"/>
      <w:sz w:val="16"/>
      <w:szCs w:val="16"/>
    </w:rPr>
  </w:style>
  <w:style w:type="paragraph" w:customStyle="1" w:styleId="LineBottom">
    <w:name w:val="LineBottom"/>
    <w:basedOn w:val="Normal"/>
    <w:next w:val="Normal"/>
    <w:rsid w:val="00D8432D"/>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8432D"/>
    <w:pPr>
      <w:spacing w:after="80"/>
    </w:pPr>
    <w:rPr>
      <w:rFonts w:ascii="Arial" w:hAnsi="Arial" w:cs="Arial"/>
      <w:sz w:val="20"/>
      <w:szCs w:val="22"/>
    </w:rPr>
  </w:style>
  <w:style w:type="paragraph" w:customStyle="1" w:styleId="EPLogo">
    <w:name w:val="EPLogo"/>
    <w:basedOn w:val="Normal"/>
    <w:qFormat/>
    <w:rsid w:val="00D8432D"/>
    <w:pPr>
      <w:jc w:val="right"/>
    </w:pPr>
  </w:style>
  <w:style w:type="paragraph" w:customStyle="1" w:styleId="NormalHanging12a">
    <w:name w:val="NormalHanging12a"/>
    <w:basedOn w:val="Normal"/>
    <w:rsid w:val="00D8432D"/>
    <w:pPr>
      <w:spacing w:after="240"/>
      <w:ind w:left="567" w:hanging="567"/>
    </w:pPr>
  </w:style>
  <w:style w:type="paragraph" w:customStyle="1" w:styleId="EPFooter">
    <w:name w:val="EPFooter"/>
    <w:basedOn w:val="Normal"/>
    <w:rsid w:val="00D8432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paragraph" w:customStyle="1" w:styleId="AmDocTypeTab">
    <w:name w:val="AmDocTypeTab"/>
    <w:basedOn w:val="Normal"/>
    <w:rsid w:val="00D8432D"/>
    <w:pPr>
      <w:tabs>
        <w:tab w:val="right" w:pos="9072"/>
      </w:tabs>
    </w:pPr>
    <w:rPr>
      <w:b/>
    </w:rPr>
  </w:style>
  <w:style w:type="paragraph" w:customStyle="1" w:styleId="NormalBold">
    <w:name w:val="NormalBold"/>
    <w:basedOn w:val="Normal"/>
    <w:rsid w:val="00D8432D"/>
    <w:rPr>
      <w:b/>
    </w:rPr>
  </w:style>
  <w:style w:type="paragraph" w:customStyle="1" w:styleId="AmOrLang">
    <w:name w:val="AmOrLang"/>
    <w:basedOn w:val="Normal"/>
    <w:rsid w:val="00D8432D"/>
    <w:pPr>
      <w:spacing w:before="240" w:after="240"/>
      <w:jc w:val="right"/>
    </w:pPr>
  </w:style>
  <w:style w:type="paragraph" w:customStyle="1" w:styleId="Normal6a">
    <w:name w:val="Normal6a"/>
    <w:basedOn w:val="Normal"/>
    <w:rsid w:val="00D8432D"/>
    <w:pPr>
      <w:spacing w:after="120"/>
    </w:pPr>
  </w:style>
  <w:style w:type="paragraph" w:customStyle="1" w:styleId="AmDateTab">
    <w:name w:val="AmDateTab"/>
    <w:basedOn w:val="Normal"/>
    <w:rsid w:val="00D8432D"/>
    <w:pPr>
      <w:tabs>
        <w:tab w:val="right" w:pos="9072"/>
      </w:tabs>
    </w:pPr>
  </w:style>
  <w:style w:type="paragraph" w:customStyle="1" w:styleId="AmColumnHeading">
    <w:name w:val="AmColumnHeading"/>
    <w:basedOn w:val="Normal"/>
    <w:rsid w:val="00D8432D"/>
    <w:pPr>
      <w:spacing w:after="240"/>
      <w:jc w:val="center"/>
    </w:pPr>
    <w:rPr>
      <w:i/>
    </w:rPr>
  </w:style>
  <w:style w:type="paragraph" w:customStyle="1" w:styleId="AmNumberTabs">
    <w:name w:val="AmNumberTabs"/>
    <w:basedOn w:val="Normal"/>
    <w:rsid w:val="00D8432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JustText">
    <w:name w:val="AmJustText"/>
    <w:basedOn w:val="Normal"/>
    <w:rsid w:val="00D8432D"/>
    <w:pPr>
      <w:spacing w:after="240"/>
    </w:pPr>
    <w:rPr>
      <w:i/>
    </w:rPr>
  </w:style>
  <w:style w:type="paragraph" w:customStyle="1" w:styleId="AmCrossRef">
    <w:name w:val="AmCrossRef"/>
    <w:basedOn w:val="Normal"/>
    <w:rsid w:val="00D8432D"/>
    <w:pPr>
      <w:spacing w:before="240" w:after="240"/>
      <w:jc w:val="center"/>
    </w:pPr>
    <w:rPr>
      <w:i/>
    </w:rPr>
  </w:style>
  <w:style w:type="paragraph" w:customStyle="1" w:styleId="AmJustTitle">
    <w:name w:val="AmJustTitle"/>
    <w:basedOn w:val="Normal"/>
    <w:next w:val="AmJustText"/>
    <w:rsid w:val="00D8432D"/>
    <w:pPr>
      <w:keepNext/>
      <w:spacing w:before="240" w:after="240"/>
      <w:jc w:val="center"/>
    </w:pPr>
    <w:rPr>
      <w:i/>
    </w:rPr>
  </w:style>
  <w:style w:type="paragraph" w:customStyle="1" w:styleId="NormalBold12b">
    <w:name w:val="NormalBold12b"/>
    <w:basedOn w:val="Normal"/>
    <w:rsid w:val="00D8432D"/>
    <w:pPr>
      <w:spacing w:before="240"/>
    </w:pPr>
    <w:rPr>
      <w:b/>
    </w:rPr>
  </w:style>
  <w:style w:type="paragraph" w:customStyle="1" w:styleId="Normal24a">
    <w:name w:val="Normal24a"/>
    <w:basedOn w:val="Normal"/>
    <w:rsid w:val="00D8432D"/>
    <w:pPr>
      <w:spacing w:after="480"/>
    </w:pPr>
  </w:style>
  <w:style w:type="paragraph" w:customStyle="1" w:styleId="NormalBoldCenter">
    <w:name w:val="NormalBoldCenter"/>
    <w:basedOn w:val="Normal"/>
    <w:rsid w:val="00D8432D"/>
    <w:pPr>
      <w:jc w:val="center"/>
    </w:pPr>
    <w:rPr>
      <w:b/>
    </w:rPr>
  </w:style>
  <w:style w:type="paragraph" w:customStyle="1" w:styleId="Footprint12b">
    <w:name w:val="Footprint12b"/>
    <w:basedOn w:val="Normal"/>
    <w:rsid w:val="00D8432D"/>
    <w:pPr>
      <w:spacing w:before="240"/>
    </w:pPr>
    <w:rPr>
      <w:szCs w:val="24"/>
    </w:rPr>
  </w:style>
  <w:style w:type="paragraph" w:customStyle="1" w:styleId="NormalSingle">
    <w:name w:val="NormalSingle"/>
    <w:basedOn w:val="Normal"/>
    <w:qFormat/>
    <w:rsid w:val="00D8432D"/>
    <w:rPr>
      <w:szCs w:val="24"/>
    </w:rPr>
  </w:style>
  <w:style w:type="paragraph" w:customStyle="1" w:styleId="EPComma">
    <w:name w:val="EPComma"/>
    <w:basedOn w:val="Normal"/>
    <w:rsid w:val="00D8432D"/>
    <w:pPr>
      <w:spacing w:before="480" w:after="240"/>
    </w:pPr>
  </w:style>
  <w:style w:type="paragraph" w:styleId="FootnoteText">
    <w:name w:val="footnote text"/>
    <w:basedOn w:val="Normal"/>
    <w:link w:val="FootnoteTextChar"/>
    <w:rsid w:val="00251B75"/>
    <w:rPr>
      <w:sz w:val="20"/>
    </w:rPr>
  </w:style>
  <w:style w:type="character" w:customStyle="1" w:styleId="FootnoteTextChar">
    <w:name w:val="Footnote Text Char"/>
    <w:basedOn w:val="DefaultParagraphFont"/>
    <w:link w:val="FootnoteText"/>
    <w:rsid w:val="00251B75"/>
  </w:style>
  <w:style w:type="character" w:styleId="FootnoteReference">
    <w:name w:val="footnote reference"/>
    <w:basedOn w:val="DefaultParagraphFont"/>
    <w:uiPriority w:val="99"/>
    <w:rsid w:val="00251B75"/>
    <w:rPr>
      <w:vertAlign w:val="superscript"/>
    </w:rPr>
  </w:style>
  <w:style w:type="character" w:styleId="Hyperlink">
    <w:name w:val="Hyperlink"/>
    <w:basedOn w:val="DefaultParagraphFont"/>
    <w:rsid w:val="00251B75"/>
    <w:rPr>
      <w:color w:val="0563C1" w:themeColor="hyperlink"/>
      <w:u w:val="single"/>
    </w:rPr>
  </w:style>
  <w:style w:type="character" w:customStyle="1" w:styleId="UnresolvedMention">
    <w:name w:val="Unresolved Mention"/>
    <w:basedOn w:val="DefaultParagraphFont"/>
    <w:uiPriority w:val="99"/>
    <w:semiHidden/>
    <w:unhideWhenUsed/>
    <w:rsid w:val="00251B75"/>
    <w:rPr>
      <w:color w:val="605E5C"/>
      <w:shd w:val="clear" w:color="auto" w:fill="E1DFDD"/>
    </w:rPr>
  </w:style>
  <w:style w:type="paragraph" w:styleId="Footer">
    <w:name w:val="footer"/>
    <w:basedOn w:val="Normal"/>
    <w:link w:val="FooterChar"/>
    <w:semiHidden/>
    <w:rsid w:val="00DB4824"/>
    <w:pPr>
      <w:tabs>
        <w:tab w:val="center" w:pos="4513"/>
        <w:tab w:val="right" w:pos="9026"/>
      </w:tabs>
    </w:pPr>
  </w:style>
  <w:style w:type="character" w:customStyle="1" w:styleId="FooterChar">
    <w:name w:val="Footer Char"/>
    <w:basedOn w:val="DefaultParagraphFont"/>
    <w:link w:val="Footer"/>
    <w:semiHidden/>
    <w:rsid w:val="00DB4824"/>
    <w:rPr>
      <w:sz w:val="24"/>
    </w:rPr>
  </w:style>
  <w:style w:type="character" w:styleId="CommentReference">
    <w:name w:val="annotation reference"/>
    <w:basedOn w:val="DefaultParagraphFont"/>
    <w:rsid w:val="00155C94"/>
    <w:rPr>
      <w:sz w:val="16"/>
      <w:szCs w:val="16"/>
    </w:rPr>
  </w:style>
  <w:style w:type="paragraph" w:styleId="CommentText">
    <w:name w:val="annotation text"/>
    <w:basedOn w:val="Normal"/>
    <w:link w:val="CommentTextChar"/>
    <w:rsid w:val="00155C94"/>
    <w:rPr>
      <w:sz w:val="20"/>
    </w:rPr>
  </w:style>
  <w:style w:type="character" w:customStyle="1" w:styleId="CommentTextChar">
    <w:name w:val="Comment Text Char"/>
    <w:basedOn w:val="DefaultParagraphFont"/>
    <w:link w:val="CommentText"/>
    <w:rsid w:val="00155C94"/>
  </w:style>
  <w:style w:type="paragraph" w:styleId="CommentSubject">
    <w:name w:val="annotation subject"/>
    <w:basedOn w:val="CommentText"/>
    <w:next w:val="CommentText"/>
    <w:link w:val="CommentSubjectChar"/>
    <w:semiHidden/>
    <w:unhideWhenUsed/>
    <w:rsid w:val="00155C94"/>
    <w:rPr>
      <w:b/>
      <w:bCs/>
    </w:rPr>
  </w:style>
  <w:style w:type="character" w:customStyle="1" w:styleId="CommentSubjectChar">
    <w:name w:val="Comment Subject Char"/>
    <w:basedOn w:val="CommentTextChar"/>
    <w:link w:val="CommentSubject"/>
    <w:semiHidden/>
    <w:rsid w:val="00155C94"/>
    <w:rPr>
      <w:b/>
      <w:bCs/>
    </w:rPr>
  </w:style>
  <w:style w:type="paragraph" w:styleId="Revision">
    <w:name w:val="Revision"/>
    <w:hidden/>
    <w:uiPriority w:val="99"/>
    <w:semiHidden/>
    <w:rsid w:val="00395F78"/>
    <w:rPr>
      <w:sz w:val="24"/>
    </w:rPr>
  </w:style>
  <w:style w:type="paragraph" w:customStyle="1" w:styleId="RollCallSymbols14pt">
    <w:name w:val="RollCallSymbols14pt"/>
    <w:basedOn w:val="Normal"/>
    <w:rsid w:val="00AB298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AB298C"/>
    <w:pPr>
      <w:tabs>
        <w:tab w:val="center" w:pos="284"/>
        <w:tab w:val="left" w:pos="426"/>
      </w:tabs>
    </w:pPr>
    <w:rPr>
      <w:snapToGrid w:val="0"/>
      <w:lang w:eastAsia="en-US"/>
    </w:rPr>
  </w:style>
  <w:style w:type="paragraph" w:customStyle="1" w:styleId="RollCallVotes">
    <w:name w:val="RollCallVotes"/>
    <w:basedOn w:val="Normal"/>
    <w:rsid w:val="00AB298C"/>
    <w:pPr>
      <w:spacing w:before="120" w:after="120"/>
      <w:jc w:val="center"/>
    </w:pPr>
    <w:rPr>
      <w:b/>
      <w:bCs/>
      <w:snapToGrid w:val="0"/>
      <w:sz w:val="16"/>
      <w:lang w:eastAsia="en-US"/>
    </w:rPr>
  </w:style>
  <w:style w:type="paragraph" w:customStyle="1" w:styleId="RollCallTable">
    <w:name w:val="RollCallTable"/>
    <w:basedOn w:val="Normal"/>
    <w:rsid w:val="00AB298C"/>
    <w:pPr>
      <w:spacing w:before="120" w:after="120"/>
    </w:pPr>
    <w:rPr>
      <w:snapToGrid w:val="0"/>
      <w:sz w:val="16"/>
      <w:lang w:eastAsia="en-US"/>
    </w:rPr>
  </w:style>
  <w:style w:type="character" w:styleId="FollowedHyperlink">
    <w:name w:val="FollowedHyperlink"/>
    <w:basedOn w:val="DefaultParagraphFont"/>
    <w:rsid w:val="0020594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reg/2024/2509/oj" TargetMode="External" /><Relationship Id="rId2" Type="http://schemas.openxmlformats.org/officeDocument/2006/relationships/hyperlink" Target="http://data.europa.eu/eli/dir/2010/13/oj" TargetMode="External" /><Relationship Id="rId3" Type="http://schemas.openxmlformats.org/officeDocument/2006/relationships/hyperlink" Target="http://data.europa.eu/eli/reg/2020/2092/oj" TargetMode="External" /><Relationship Id="rId4"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780BDA-AD9A-4E4A-9FF4-C8C7D64979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17</Pages>
  <Words>3168</Words>
  <Characters>27246</Characters>
  <Application>Microsoft Office Word</Application>
  <DocSecurity>0</DocSecurity>
  <Lines>664</Lines>
  <Paragraphs>198</Paragraphs>
  <ScaleCrop>false</ScaleCrop>
  <HeadingPairs>
    <vt:vector size="2" baseType="variant">
      <vt:variant>
        <vt:lpstr>Title</vt:lpstr>
      </vt:variant>
      <vt:variant>
        <vt:i4>1</vt:i4>
      </vt:variant>
    </vt:vector>
  </HeadingPairs>
  <TitlesOfParts>
    <vt:vector size="1" baseType="lpstr">
      <vt:lpstr>PA_LegEvaluation</vt:lpstr>
    </vt:vector>
  </TitlesOfParts>
  <Company/>
  <LinksUpToDate>false</LinksUpToDate>
  <CharactersWithSpaces>30216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PA_LegEvaluation</dc:title>
  <dc:creator>European Parliament</dc:creator>
  <cp:lastModifiedBy>European Parliament</cp:lastModifiedBy>
  <cp:revision>2</cp:revision>
  <cp:lastPrinted>2026-07-20T12:01:00Z</cp:lastPrinted>
  <dcterms:created xsi:type="dcterms:W3CDTF">2026-08-31T07:37:00Z</dcterms:created>
  <dcterms:modified xsi:type="dcterms:W3CDTF">2026-08-31T07:37:00Z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1348641</vt:lpwstr>
  </property>
  <property fmtid="{D5CDD505-2E9C-101B-9397-08002B2CF9AE}" pid="4" name="&lt;Model&gt;">
    <vt:lpwstr>PA_LegEvaluation</vt:lpwstr>
  </property>
  <property fmtid="{D5CDD505-2E9C-101B-9397-08002B2CF9AE}" pid="5" name="&lt;ModelCod&gt;">
    <vt:lpwstr>\\eiciBRUpr1\pdocep$\DocEP\DOCS\General\PA\PA_Leg\PA_LegEvaluation.dotx(18/03/2025 13:35:01)</vt:lpwstr>
  </property>
  <property fmtid="{D5CDD505-2E9C-101B-9397-08002B2CF9AE}" pid="6" name="&lt;ModelTra&gt;">
    <vt:lpwstr>\\eiciBRUpr1\pdocep$\DocEP\TRANSFIL\EN\PA_LegEvaluation.EN(03/03/2026 11:04:10)</vt:lpwstr>
  </property>
  <property fmtid="{D5CDD505-2E9C-101B-9397-08002B2CF9AE}" pid="7" name="&lt;Type&gt;">
    <vt:lpwstr>AD</vt:lpwstr>
  </property>
  <property fmtid="{D5CDD505-2E9C-101B-9397-08002B2CF9AE}" pid="8" name="Bookout">
    <vt:lpwstr>OK - 2026/08/31 09:32</vt:lpwstr>
  </property>
  <property fmtid="{D5CDD505-2E9C-101B-9397-08002B2CF9AE}" pid="9" name="Created with">
    <vt:lpwstr>10.2.1 Build [20260301]</vt:lpwstr>
  </property>
  <property fmtid="{D5CDD505-2E9C-101B-9397-08002B2CF9AE}" pid="10" name="FooterPath">
    <vt:lpwstr>AD\1348641FI.docx</vt:lpwstr>
  </property>
  <property fmtid="{D5CDD505-2E9C-101B-9397-08002B2CF9AE}" pid="11" name="LastEdited with">
    <vt:lpwstr>10.3.0 Build [20260401]</vt:lpwstr>
  </property>
  <property fmtid="{D5CDD505-2E9C-101B-9397-08002B2CF9AE}" pid="12" name="OriLang">
    <vt:lpwstr>EN</vt:lpwstr>
  </property>
  <property fmtid="{D5CDD505-2E9C-101B-9397-08002B2CF9AE}" pid="13" name="PE number">
    <vt:lpwstr>787.038</vt:lpwstr>
  </property>
  <property fmtid="{D5CDD505-2E9C-101B-9397-08002B2CF9AE}" pid="14" name="RegistreCheck">
    <vt:lpwstr>OK</vt:lpwstr>
  </property>
  <property fmtid="{D5CDD505-2E9C-101B-9397-08002B2CF9AE}" pid="15" name="SDLStudio">
    <vt:lpwstr/>
  </property>
  <property fmtid="{D5CDD505-2E9C-101B-9397-08002B2CF9AE}" pid="16" name="SendToEpades">
    <vt:lpwstr>OK - 2026/07/22 17:06</vt:lpwstr>
  </property>
</Properties>
</file>