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C3115A4"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854CAC" w:rsidRPr="00C136C4" w:rsidP="00C85D0F" w14:paraId="23077C58" w14:textId="77777777">
            <w:pPr>
              <w:pStyle w:val="EPName"/>
            </w:pPr>
            <w:r>
              <w:t>Europos Parlamentas</w:t>
            </w:r>
          </w:p>
          <w:p w:rsidR="00854CAC" w:rsidRPr="00C136C4" w:rsidP="00C85D0F" w14:paraId="713A053F" w14:textId="77777777">
            <w:pPr>
              <w:pStyle w:val="EPTerm"/>
            </w:pPr>
            <w:r>
              <w:t>2024-2029</w:t>
            </w:r>
          </w:p>
        </w:tc>
        <w:tc>
          <w:tcPr>
            <w:tcW w:w="2268" w:type="dxa"/>
            <w:shd w:val="clear" w:color="auto" w:fill="auto"/>
          </w:tcPr>
          <w:p w:rsidR="00854CAC" w:rsidRPr="00C136C4" w:rsidP="00C85D0F" w14:paraId="59E83473" w14:textId="77777777">
            <w:pPr>
              <w:pStyle w:val="EPLogo"/>
            </w:pPr>
            <w:r w:rsidRPr="00C136C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307352"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C136C4" w:rsidP="001746D0" w14:paraId="421803B4" w14:textId="77777777">
      <w:pPr>
        <w:pStyle w:val="LineTop"/>
      </w:pPr>
    </w:p>
    <w:p w:rsidR="001746D0" w:rsidRPr="00C136C4" w:rsidP="001746D0" w14:paraId="2E52E30A" w14:textId="77777777">
      <w:pPr>
        <w:pStyle w:val="EPBody"/>
      </w:pPr>
      <w:r>
        <w:rPr>
          <w:rStyle w:val="HideTWBExt"/>
        </w:rPr>
        <w:t>&lt;</w:t>
      </w:r>
      <w:r>
        <w:rPr>
          <w:rStyle w:val="HideTWBExt"/>
          <w:i w:val="0"/>
        </w:rPr>
        <w:t>Commission</w:t>
      </w:r>
      <w:r>
        <w:rPr>
          <w:rStyle w:val="HideTWBExt"/>
        </w:rPr>
        <w:t>&gt;</w:t>
      </w:r>
      <w:r>
        <w:rPr>
          <w:rStyle w:val="HideTWBInt"/>
          <w:i w:val="0"/>
          <w:color w:val="auto"/>
        </w:rPr>
        <w:t>{BUDG}</w:t>
      </w:r>
      <w:r>
        <w:t>Biudžeto komitetas</w:t>
      </w:r>
      <w:r>
        <w:rPr>
          <w:rStyle w:val="HideTWBExt"/>
        </w:rPr>
        <w:t>&lt;/</w:t>
      </w:r>
      <w:r>
        <w:rPr>
          <w:rStyle w:val="HideTWBExt"/>
          <w:i w:val="0"/>
        </w:rPr>
        <w:t>Commission</w:t>
      </w:r>
      <w:r>
        <w:rPr>
          <w:rStyle w:val="HideTWBExt"/>
        </w:rPr>
        <w:t>&gt;</w:t>
      </w:r>
    </w:p>
    <w:p w:rsidR="001746D0" w:rsidRPr="00C136C4" w:rsidP="001746D0" w14:paraId="3CDCB785" w14:textId="77777777">
      <w:pPr>
        <w:pStyle w:val="LineBottom"/>
      </w:pPr>
    </w:p>
    <w:p w:rsidR="002E2F2E" w:rsidRPr="00C136C4" w14:paraId="7A794EB1" w14:textId="77777777">
      <w:pPr>
        <w:pStyle w:val="CoverReference"/>
      </w:pPr>
      <w:r>
        <w:rPr>
          <w:rStyle w:val="HideTWBExt"/>
          <w:b w:val="0"/>
        </w:rPr>
        <w:t>&lt;RefProc&gt;</w:t>
      </w:r>
      <w:r>
        <w:t>2025/0550</w:t>
      </w:r>
      <w:r>
        <w:rPr>
          <w:rStyle w:val="HideTWBExt"/>
          <w:b w:val="0"/>
        </w:rPr>
        <w:t>&lt;/</w:t>
      </w:r>
      <w:r>
        <w:rPr>
          <w:rStyle w:val="HideTWBExt"/>
          <w:b w:val="0"/>
        </w:rPr>
        <w:t>RefProc</w:t>
      </w:r>
      <w:r>
        <w:rPr>
          <w:rStyle w:val="HideTWBExt"/>
          <w:b w:val="0"/>
        </w:rPr>
        <w:t>&gt;&lt;RefTypeProc&gt;</w:t>
      </w:r>
      <w:r>
        <w:t>(COD)</w:t>
      </w:r>
      <w:r>
        <w:rPr>
          <w:rStyle w:val="HideTWBExt"/>
          <w:b w:val="0"/>
        </w:rPr>
        <w:t>&lt;/</w:t>
      </w:r>
      <w:r>
        <w:rPr>
          <w:rStyle w:val="HideTWBExt"/>
          <w:b w:val="0"/>
        </w:rPr>
        <w:t>RefTypeProc</w:t>
      </w:r>
      <w:r>
        <w:rPr>
          <w:rStyle w:val="HideTWBExt"/>
          <w:b w:val="0"/>
        </w:rPr>
        <w:t>&gt;</w:t>
      </w:r>
    </w:p>
    <w:p w:rsidR="002E2F2E" w:rsidRPr="00C136C4" w14:paraId="1ACCD34A" w14:textId="77777777">
      <w:pPr>
        <w:pStyle w:val="CoverDate"/>
      </w:pPr>
      <w:r>
        <w:rPr>
          <w:rStyle w:val="HideTWBExt"/>
        </w:rPr>
        <w:t>&lt;Date&gt;</w:t>
      </w:r>
      <w:r>
        <w:rPr>
          <w:rStyle w:val="HideTWBInt"/>
          <w:color w:val="auto"/>
        </w:rPr>
        <w:t>{22/07/2026}</w:t>
      </w:r>
      <w:r>
        <w:t>22.7.2026</w:t>
      </w:r>
      <w:r>
        <w:rPr>
          <w:rStyle w:val="HideTWBExt"/>
        </w:rPr>
        <w:t>&lt;/</w:t>
      </w:r>
      <w:r>
        <w:rPr>
          <w:rStyle w:val="HideTWBExt"/>
        </w:rPr>
        <w:t>Date</w:t>
      </w:r>
      <w:r>
        <w:rPr>
          <w:rStyle w:val="HideTWBExt"/>
        </w:rPr>
        <w:t>&gt;</w:t>
      </w:r>
    </w:p>
    <w:p w:rsidR="002E2F2E" w:rsidRPr="00C136C4" w14:paraId="3ED28271" w14:textId="77777777">
      <w:pPr>
        <w:pStyle w:val="CoverDocType24a"/>
      </w:pPr>
      <w:r>
        <w:rPr>
          <w:rStyle w:val="HideTWBExt"/>
          <w:b w:val="0"/>
        </w:rPr>
        <w:t>&lt;TitreType&gt;</w:t>
      </w:r>
      <w:r>
        <w:t>BIUDŽETINIS VERTINIMAS</w:t>
      </w:r>
      <w:r>
        <w:rPr>
          <w:rStyle w:val="HideTWBExt"/>
          <w:b w:val="0"/>
        </w:rPr>
        <w:t>&lt;/</w:t>
      </w:r>
      <w:r>
        <w:rPr>
          <w:rStyle w:val="HideTWBExt"/>
          <w:b w:val="0"/>
        </w:rPr>
        <w:t>TitreType</w:t>
      </w:r>
      <w:r>
        <w:rPr>
          <w:rStyle w:val="HideTWBExt"/>
          <w:b w:val="0"/>
        </w:rPr>
        <w:t>&gt;</w:t>
      </w:r>
    </w:p>
    <w:p w:rsidR="002E2F2E" w:rsidRPr="00C136C4" w14:paraId="2CE30A9C" w14:textId="77777777">
      <w:pPr>
        <w:pStyle w:val="CoverNormal24a"/>
      </w:pPr>
      <w:r>
        <w:rPr>
          <w:rStyle w:val="HideTWBExt"/>
        </w:rPr>
        <w:t>&lt;CommissionResp&gt;</w:t>
      </w:r>
      <w:r>
        <w:t>Biudžeto komiteto</w:t>
      </w:r>
      <w:r>
        <w:rPr>
          <w:rStyle w:val="HideTWBExt"/>
        </w:rPr>
        <w:t>&lt;/</w:t>
      </w:r>
      <w:r>
        <w:rPr>
          <w:rStyle w:val="HideTWBExt"/>
        </w:rPr>
        <w:t>CommissionResp</w:t>
      </w:r>
      <w:r>
        <w:rPr>
          <w:rStyle w:val="HideTWBExt"/>
        </w:rPr>
        <w:t>&gt;</w:t>
      </w:r>
    </w:p>
    <w:p w:rsidR="002E2F2E" w:rsidRPr="00C136C4" w14:paraId="1D1AC92F" w14:textId="77777777">
      <w:pPr>
        <w:pStyle w:val="CoverNormal24a"/>
      </w:pPr>
      <w:r>
        <w:rPr>
          <w:rStyle w:val="HideTWBExt"/>
        </w:rPr>
        <w:t>&lt;CommissionInt&gt;</w:t>
      </w:r>
      <w:r>
        <w:t>pateikta Kultūros ir švietimo komitetui ir Piliečių laisvių, teisingumo ir vidaus reikalų komitetui</w:t>
      </w:r>
      <w:r>
        <w:rPr>
          <w:rStyle w:val="HideTWBExt"/>
        </w:rPr>
        <w:t>&lt;/</w:t>
      </w:r>
      <w:r>
        <w:rPr>
          <w:rStyle w:val="HideTWBExt"/>
        </w:rPr>
        <w:t>CommissionInt</w:t>
      </w:r>
      <w:r>
        <w:rPr>
          <w:rStyle w:val="HideTWBExt"/>
        </w:rPr>
        <w:t>&gt;</w:t>
      </w:r>
    </w:p>
    <w:p w:rsidR="002E2F2E" w:rsidRPr="00C136C4" w14:paraId="27A4C0A1" w14:textId="77777777">
      <w:pPr>
        <w:pStyle w:val="CoverNormal"/>
      </w:pPr>
      <w:r>
        <w:rPr>
          <w:rStyle w:val="HideTWBExt"/>
        </w:rPr>
        <w:t>&lt;Titre&gt;</w:t>
      </w:r>
      <w:r>
        <w:t>dėl pasiūlymo dėl Europos Parlamento ir Tarybos reglamento, kuriuo nustatoma 2028–2034 m. programa „</w:t>
      </w:r>
      <w:r>
        <w:t>AgoraEU</w:t>
      </w:r>
      <w:r>
        <w:t>“ ir panaikinami reglamentai (ES) 2021/692 bei (ES) 2021/818</w:t>
      </w:r>
      <w:r>
        <w:rPr>
          <w:rStyle w:val="HideTWBExt"/>
        </w:rPr>
        <w:t>&lt;/Titre&gt;</w:t>
      </w:r>
    </w:p>
    <w:p w:rsidR="002E2F2E" w:rsidRPr="00C136C4" w14:paraId="767EAEEF" w14:textId="77777777">
      <w:pPr>
        <w:pStyle w:val="CoverNormal24a"/>
      </w:pPr>
      <w:r>
        <w:rPr>
          <w:rStyle w:val="HideTWBExt"/>
        </w:rPr>
        <w:t>&lt;DocRef&gt;</w:t>
      </w:r>
      <w:r>
        <w:t>(COM(2025)0550 – C10</w:t>
      </w:r>
      <w:r>
        <w:noBreakHyphen/>
        <w:t>0173/2025 – 2025/0550(COD))</w:t>
      </w:r>
      <w:r>
        <w:rPr>
          <w:rStyle w:val="HideTWBExt"/>
        </w:rPr>
        <w:t>&lt;/</w:t>
      </w:r>
      <w:r>
        <w:rPr>
          <w:rStyle w:val="HideTWBExt"/>
        </w:rPr>
        <w:t>DocRef</w:t>
      </w:r>
      <w:r>
        <w:rPr>
          <w:rStyle w:val="HideTWBExt"/>
        </w:rPr>
        <w:t>&gt;</w:t>
      </w:r>
    </w:p>
    <w:p w:rsidR="00A72C35" w:rsidRPr="00C136C4" w:rsidP="00FC42F1" w14:paraId="750A0DD8" w14:textId="77777777">
      <w:pPr>
        <w:pStyle w:val="CoverNormal24a"/>
      </w:pPr>
      <w:r>
        <w:t xml:space="preserve">Biudžetinio vertinimo referentė: </w:t>
      </w:r>
      <w:r>
        <w:rPr>
          <w:rStyle w:val="HideTWBExt"/>
        </w:rPr>
        <w:t>&lt;Depute&gt;</w:t>
      </w:r>
      <w:r>
        <w:t xml:space="preserve">Sandra </w:t>
      </w:r>
      <w:r>
        <w:t>Gómez</w:t>
      </w:r>
      <w:r>
        <w:t xml:space="preserve"> </w:t>
      </w:r>
      <w:r>
        <w:t>López</w:t>
      </w:r>
      <w:r>
        <w:rPr>
          <w:rStyle w:val="HideTWBExt"/>
        </w:rPr>
        <w:t>&lt;/Depute&gt;</w:t>
      </w:r>
    </w:p>
    <w:p w:rsidR="002E2F2E" w:rsidRPr="00C136C4" w:rsidP="00E856D2" w14:paraId="1DC1FD99" w14:textId="77777777">
      <w:pPr>
        <w:widowControl/>
        <w:tabs>
          <w:tab w:val="center" w:pos="4677"/>
        </w:tabs>
      </w:pPr>
      <w:r>
        <w:br w:type="page"/>
      </w:r>
      <w:r>
        <w:t>PA_LegEvaluation</w:t>
      </w:r>
    </w:p>
    <w:p w:rsidR="002E2F2E" w:rsidRPr="00C136C4" w:rsidP="00757C4C" w14:paraId="362AA03D" w14:textId="77777777">
      <w:pPr>
        <w:pStyle w:val="PageHeadingNotTOC"/>
      </w:pPr>
      <w:r>
        <w:br w:type="page"/>
      </w:r>
      <w:r>
        <w:t>BIUDŽETINIS VERTINIMAS</w:t>
      </w:r>
    </w:p>
    <w:p w:rsidR="00757C4C" w:rsidRPr="00C136C4" w:rsidP="00757C4C" w14:paraId="1C520CD8" w14:textId="77777777">
      <w:pPr>
        <w:pStyle w:val="NormalBold"/>
      </w:pPr>
      <w:r>
        <w:t>pateiktas Kultūros ir švietimo komitetui ir Piliečių laisvių, teisingumo ir vidaus reikalų komitetui dėl pasiūlymo dėl Europos Parlamento ir Tarybos reglamento, kuriuo nustatoma 2028–2034 m. programa „</w:t>
      </w:r>
      <w:r>
        <w:t>AgoraEU</w:t>
      </w:r>
      <w:r>
        <w:t>“ ir panaikinami reglamentai (ES) 2021/692 bei (ES) 2021/818</w:t>
      </w:r>
    </w:p>
    <w:p w:rsidR="00006F54" w:rsidRPr="00C136C4" w:rsidP="00006F54" w14:paraId="12C3754A" w14:textId="77777777">
      <w:pPr>
        <w:pStyle w:val="NormalBold"/>
      </w:pPr>
      <w:r>
        <w:t>(COM(2025)0550 – C10</w:t>
      </w:r>
      <w:r>
        <w:noBreakHyphen/>
        <w:t>0173/2025 – 2025/0550(COD))</w:t>
      </w:r>
    </w:p>
    <w:p w:rsidR="00AE79AF" w:rsidRPr="00C136C4" w:rsidP="00006F54" w14:paraId="6F7761E9" w14:textId="77777777">
      <w:pPr>
        <w:pStyle w:val="Normal12a"/>
        <w:spacing w:before="480"/>
      </w:pPr>
      <w:r>
        <w:rPr>
          <w:rStyle w:val="HideTWBExt"/>
        </w:rPr>
        <w:t>&lt;Intro&gt;</w:t>
      </w:r>
      <w:r>
        <w:t>Biudžeto komitetas, vadovaudamasis Darbo tvarkos taisyklių 58 straipsniu, įvertino pasiūlymą ir padarė tokias išvadas:</w:t>
      </w:r>
      <w:r>
        <w:rPr>
          <w:rStyle w:val="HideTWBExt"/>
        </w:rPr>
        <w:t>&lt;/</w:t>
      </w:r>
      <w:r>
        <w:rPr>
          <w:rStyle w:val="HideTWBExt"/>
        </w:rPr>
        <w:t>Intro</w:t>
      </w:r>
      <w:r>
        <w:rPr>
          <w:rStyle w:val="HideTWBExt"/>
        </w:rPr>
        <w:t>&gt;</w:t>
      </w:r>
    </w:p>
    <w:p w:rsidR="00CE6558" w:rsidRPr="00C136C4" w:rsidP="00CE6558" w14:paraId="51F4132A" w14:textId="77777777">
      <w:pPr>
        <w:pStyle w:val="EPComma"/>
      </w:pPr>
      <w:r>
        <w:rPr>
          <w:i/>
        </w:rPr>
        <w:t xml:space="preserve">Biudžeto </w:t>
      </w:r>
      <w:r>
        <w:rPr>
          <w:i/>
        </w:rPr>
        <w:t>komitetas,</w:t>
      </w:r>
    </w:p>
    <w:p w:rsidR="00C136C4" w:rsidRPr="00C136C4" w:rsidP="00C136C4" w14:paraId="1B902546" w14:textId="77777777">
      <w:pPr>
        <w:pStyle w:val="NormalHanging12a"/>
      </w:pPr>
      <w:r>
        <w:t>A.</w:t>
      </w:r>
      <w:r>
        <w:tab/>
        <w:t>kadangi programa „</w:t>
      </w:r>
      <w:r>
        <w:t>AgoraEU</w:t>
      </w:r>
      <w:r>
        <w:t>“ pakeičia esamą programą „Kūrybiška Europa“ ir Piliečių, lygybės, teisių ir vertybių programą;</w:t>
      </w:r>
    </w:p>
    <w:p w:rsidR="00C136C4" w:rsidRPr="00C136C4" w:rsidP="00C136C4" w14:paraId="03F2C14E" w14:textId="77777777">
      <w:pPr>
        <w:pStyle w:val="NormalHanging12a"/>
      </w:pPr>
      <w:r>
        <w:t>B.</w:t>
      </w:r>
      <w:r>
        <w:tab/>
        <w:t xml:space="preserve">kadangi ES biudžetas atlieka labai svarbią funkciją remiant Sąjungos pagrindines demokratijos ir pliuralizmo vertybes, įtvirtintas Europos Sąjungos sutarties 2 straipsnyje; kadangi ankstesnės programos pasirodė esančios nepaprastai svarbios remiant kultūros ir kūrybos sektorius, apsaugant meninę ir žiniasklaidos laisvę, kovojant su dezinformacija, taip pat apsaugant ir propaguojant lygybę, demokratinį dalyvavimą, socialinę </w:t>
      </w:r>
      <w:r>
        <w:t>įtrauktį</w:t>
      </w:r>
      <w:r>
        <w:t>, visuomenės atsparumą ir aktyvų pilietiškumą, teises ir vertybes, įskaitant</w:t>
      </w:r>
      <w:r>
        <w:t xml:space="preserve"> kovą su visų formų smurtu dėl lyties, kaip įtvirtinta Sutartyse ir Europos Sąjungos pagrindinių teisių chartijoje bei taikytinose tarptautinėse žmogaus teisių konvencijose;</w:t>
      </w:r>
    </w:p>
    <w:p w:rsidR="00C136C4" w:rsidRPr="00C136C4" w:rsidP="00C136C4" w14:paraId="12EE7CC5" w14:textId="77777777">
      <w:pPr>
        <w:pStyle w:val="NormalHanging12a"/>
      </w:pPr>
      <w:r>
        <w:t>C.</w:t>
      </w:r>
      <w:r>
        <w:tab/>
        <w:t>kadangi didėjančio spaudimo ir grėsmių Europos demokratinėms vertybėms, taip pat platesnių struktūrinių iššūkių, su kuriais susiduria Sąjunga, aplinkybėmis programa „</w:t>
      </w:r>
      <w:r>
        <w:t>AgoraEU</w:t>
      </w:r>
      <w:r>
        <w:t>“ atlieka esminį vaidmenį remiant kultūrą, nepriklausomą žiniasklaidą ir pilietinę visuomenę, taip pat prisidedant prie Sąjungos visuomenės atsparumo, pilietinio angažuotumo ir demokratijos stiprinimo;</w:t>
      </w:r>
    </w:p>
    <w:p w:rsidR="00C136C4" w:rsidRPr="00C136C4" w:rsidP="00C136C4" w14:paraId="62354437" w14:textId="77777777">
      <w:pPr>
        <w:pStyle w:val="NormalHanging12a"/>
      </w:pPr>
      <w:r>
        <w:t>1.</w:t>
      </w:r>
      <w:r>
        <w:tab/>
        <w:t>atkreipia dėmesį į tai, kad pagal naujai pasiūlytą programą „</w:t>
      </w:r>
      <w:r>
        <w:t>AgoraEU</w:t>
      </w:r>
      <w:r>
        <w:t>“ sujungiamos dvi esamos atskiros programos – programa „Kūrybiška Europa“ ir Piliečių, lygybės, teisių ir vertybių programa, ir integruojamas finansavimas, susijęs su paprogramės MEDIA veiksmais, remiamais pagal Komisijos prerogatyvas; atkreipia dėmesį į Komisijos pasiūlymą gerokai padidinti biudžetą, palyginti su 2021–2027 m. bendru Piliečių, lygybės, teisių ir vertybių programos ir programos „Kūrybiška Europa“ biudžetu; pabrėžia, kad str</w:t>
      </w:r>
      <w:r>
        <w:t>uktūriškai pateikiama daugiau paraiškų dalyvauti šiose programose nei gali būti patenkinta ir paklausa yra gerokai didesnė nei programų galimybės, grindžiamos jų atskirais biudžetais; akcentuoja esminį programos „</w:t>
      </w:r>
      <w:r>
        <w:t>AgoraEU</w:t>
      </w:r>
      <w:r>
        <w:t>“ vaidmenį didinant Sąjungos demokratinį atsparumą; todėl pabrėžia, kad reikia toliau didinti siūlomą biudžetą;</w:t>
      </w:r>
    </w:p>
    <w:p w:rsidR="00C136C4" w:rsidRPr="00C136C4" w:rsidP="00C136C4" w14:paraId="3086EA17" w14:textId="77777777">
      <w:pPr>
        <w:pStyle w:val="NormalHanging12a"/>
      </w:pPr>
      <w:r>
        <w:t>2.</w:t>
      </w:r>
      <w:r>
        <w:tab/>
        <w:t xml:space="preserve">mano, kad programos finansinis paketas turėtų būti padidintas nuo 8 582 000 000 EUR dabartinėmis kainomis iki 10 720 330 000 EUR dabartinėmis kainomis ir </w:t>
      </w:r>
      <w:r>
        <w:t>9 500 000 000 EUR 2025 m. kainomis, kad būtų pakankamai aprūpintas ištekliais programos tikslams pasiekti, sykiu užtikrinant, kad dėl sujungimo nesumažėtų parama kultūros ir kūrybos sektoriams, nepriklausomai žiniasklaidai, pilietinei visuomenei, demokratiniam dalyvavimui bei lygybei, taip pat toliau būtų remiami programos „</w:t>
      </w:r>
      <w:r>
        <w:t>Daphne</w:t>
      </w:r>
      <w:r>
        <w:t>“ veiksmai bei propaguoja</w:t>
      </w:r>
      <w:r>
        <w:t>mos pagrindinės teisės;</w:t>
      </w:r>
    </w:p>
    <w:p w:rsidR="00C136C4" w:rsidRPr="00C136C4" w:rsidP="00C136C4" w14:paraId="42CF54B7" w14:textId="77777777">
      <w:pPr>
        <w:pStyle w:val="NormalHanging12a"/>
      </w:pPr>
      <w:r>
        <w:t>3.</w:t>
      </w:r>
      <w:r>
        <w:tab/>
        <w:t>palankiai vertina neseniai paskelbtą ES pilietinės visuomenės strategiją, kurioje pripažįstamas svarbus pilietinės visuomenės organizacijų (PVO) vaidmuo teikiant konsultacijas, paramą ir ekspertines žinias rengiant ir įgyvendinant ES teisės aktus bei politiką; atsižvelgdamas į tai pabrėžia, kad reikia užtikrinti ilgalaikį, nuspėjamą ir pakankamą PVO finansavimą, be kita ko, prireikus teikiant dotacijas veiklai, užtikrinant visapusišką skaidrumą ir atskaitomybę;</w:t>
      </w:r>
    </w:p>
    <w:p w:rsidR="00C136C4" w:rsidRPr="00C136C4" w:rsidP="00C136C4" w14:paraId="26F1BA96" w14:textId="77777777">
      <w:pPr>
        <w:pStyle w:val="NormalHanging12a"/>
      </w:pPr>
      <w:r>
        <w:t>4.</w:t>
      </w:r>
      <w:r>
        <w:tab/>
        <w:t>akcentuoja, jog reikia užtikrinti platų programos „</w:t>
      </w:r>
      <w:r>
        <w:t>AgoraEU</w:t>
      </w:r>
      <w:r>
        <w:t>“ prieinamumą pagal visas jos paprogrames; atsižvelgdamas į tai, primena, kad Finansinio reglamento</w:t>
      </w:r>
      <w:r>
        <w:rPr>
          <w:rStyle w:val="FootnoteReference"/>
        </w:rPr>
        <w:footnoteReference w:id="2"/>
      </w:r>
      <w:r>
        <w:t xml:space="preserve"> 207 straipsnyje numatyta galimybė teikti finansinę paramą trečiosioms šalims (vadinamasis pakopinis finansavimas);</w:t>
      </w:r>
    </w:p>
    <w:p w:rsidR="00C136C4" w:rsidRPr="00C136C4" w:rsidP="00C136C4" w14:paraId="228FD89F" w14:textId="77777777">
      <w:pPr>
        <w:pStyle w:val="NormalHanging12a"/>
      </w:pPr>
      <w:r>
        <w:t>5.</w:t>
      </w:r>
      <w:r>
        <w:tab/>
        <w:t>mano, kad, siekiant veiksmingai įgyvendinti programą „</w:t>
      </w:r>
      <w:r>
        <w:t>AgoraEU</w:t>
      </w:r>
      <w:r>
        <w:t>“, nuo pat pradžių ir visą 2028–2034 m. daugiametės finansinės programos (DFP) programavimo laikotarpį turi būti numatyta pakankamai žmogiškųjų, techninių ir IT išteklių, be kita ko, vykdomajai įstaigai, kuri gali tiesiogiai valdyti programos dalis; pabrėžia, kad rezultatyvus programų vykdymas ir patikimas ES politikos ir programų įgyvendinimas, įskaitant tinkamą stebėseną ir vykdymo užtikrinimą, priklauso nuo to, ar Sąjungos administracija yra t</w:t>
      </w:r>
      <w:r>
        <w:t>inkamai finansuojama ir aprūpinama personalu; primena savo ne kartą išsakytą poziciją, kad dėl administracinių išlaidų neturi nukentėti programos finansinis paketas;</w:t>
      </w:r>
    </w:p>
    <w:p w:rsidR="00C136C4" w:rsidRPr="00C136C4" w:rsidP="00C136C4" w14:paraId="03761439" w14:textId="77777777">
      <w:pPr>
        <w:pStyle w:val="NormalHanging12a"/>
      </w:pPr>
      <w:r>
        <w:t>6.</w:t>
      </w:r>
      <w:r>
        <w:tab/>
        <w:t>atkakliai tvirtina, kad pakankamai išsamūs ir patikimi teisės aktai, nustatant tinkamą valdymo lygmenį, yra tinkamo sprendimų dėl biudžeto priėmimo ir tinkamos parlamentinės priežiūros vykdant biudžetą sąlyga; rekomenduoja numatyti nuostatas, kuriomis būtų stiprinama biudžeto lėšų mobilizavimo ir panaudojimo kontrolė, ir pabrėžia, kad svarbu reguliariai atlikti vertinimus; mano, kad vadinamasis valdymo mechanizmas jokiu būdu negali pakeisti Parlamento teisėkūros ir biudžetinių įgaliojimų ir negali būti nus</w:t>
      </w:r>
      <w:r>
        <w:t>tatytas be patikimos valdymo struktūros, kuri užtikrintų veiksmingą tokių įgaliojimų vykdymą;</w:t>
      </w:r>
    </w:p>
    <w:p w:rsidR="00C136C4" w:rsidRPr="00C136C4" w:rsidP="00C136C4" w14:paraId="63F2749E" w14:textId="77777777">
      <w:pPr>
        <w:pStyle w:val="NormalHanging12a"/>
      </w:pPr>
      <w:r>
        <w:t>7.</w:t>
      </w:r>
      <w:r>
        <w:tab/>
        <w:t xml:space="preserve">pabrėžia, kad didesnis lankstumas įgyvendinant programą neturi lemti nei </w:t>
      </w:r>
      <w:r>
        <w:rPr>
          <w:i/>
          <w:iCs/>
        </w:rPr>
        <w:t>de facto</w:t>
      </w:r>
      <w:r>
        <w:t xml:space="preserve"> biudžeto vykdymo centralizavimo Komisijos lygmeniu, nei susilpninti biudžeto valdymo institucijos prerogatyvų; pabrėžia, kad dėl supaprastinimo ir lankstumo neturėtų sumažėti skaidrumas ir susilpnėti biudžeto valdymo institucijos vykdoma priežiūra; todėl rekomenduoja visą paketą suskirstyti taip, kad jis atspindėtų konkrečias programos „</w:t>
      </w:r>
      <w:r>
        <w:t>AgoraEU</w:t>
      </w:r>
      <w:r>
        <w:t xml:space="preserve">“ paprogrames; pabrėžia, kad turėtų būti užtikrintas išteklių skyrimo kompleksinei </w:t>
      </w:r>
      <w:r>
        <w:t xml:space="preserve">veiklai skaidrumas; rekomenduoja, kad tuo atveju, jei vadovaujantys komitetai nuspręstų sukurti daugiau paprogramių, palyginti su Komisijos </w:t>
      </w:r>
      <w:r>
        <w:t>pasiūlymu, joms taip pat turėtų būti nustatyti orientaciniai papildomi paketai;</w:t>
      </w:r>
    </w:p>
    <w:p w:rsidR="00C136C4" w:rsidRPr="00C136C4" w:rsidP="00C136C4" w14:paraId="6770CE27" w14:textId="77777777">
      <w:pPr>
        <w:pStyle w:val="NormalHanging12a"/>
      </w:pPr>
      <w:r>
        <w:t>8.</w:t>
      </w:r>
      <w:r>
        <w:tab/>
        <w:t>akcentuoja, kad programą „</w:t>
      </w:r>
      <w:r>
        <w:t>AgoraEU</w:t>
      </w:r>
      <w:r>
        <w:t>“ sudarančių dalių tikslai skiriasi, jos susijusios su skirtingomis realijomis ir skiriasi jų struktūra ir kad sektoriai, kuriems jos skirtos, vadovaujasi skirtingomis misijomis bei verslo modeliais, į kuriuos reikėtų tinkamai atsižvelgti rengiant siūlomą reglamentą; apgailestauja dėl to, kad teisės akto pasiūlymo finansinio poveikio ir skaitmeninių aspektų pažymoje nepateikta pakankamai išsami orientacinė biudžeto nomenklatūra, ir mano, kad tai trukdys priežiūrai ir biudže</w:t>
      </w:r>
      <w:r>
        <w:t>to valdymo institucijos gebėjimui tiksliai nustatyti politikos prioritetus vykdant metinę biudžeto procedūrą; be to, pažymi, kad tai suteiktų Komisijai didelę veiksmų laisvę įgyvendinimo metu keisti išlaidų prioritetus ir priimti sprendimus dėl jų; reiškia susirūpinimą dėl to, kad pernelyg apibendrinta biudžeto struktūra drastiškai padidintų Komisijos veiksmų laisvę perkeliant ir perskirstant išteklius be biudžeto valdymo institucijos sprendimo ir labai apribotų parlamentinę priežiūrą; todėl rekomenduoja pa</w:t>
      </w:r>
      <w:r>
        <w:t>rengti išsamesnę nomenklatūrą, kuri tinkamai atspindėtų programos tikslus ir struktūrą bei padidintų skaidrumą, atskaitomybę ir parlamentinę kontrolę;</w:t>
      </w:r>
    </w:p>
    <w:p w:rsidR="00C136C4" w:rsidRPr="00C136C4" w:rsidP="00C136C4" w14:paraId="6DA19890" w14:textId="77777777">
      <w:pPr>
        <w:pStyle w:val="NormalHanging12a"/>
      </w:pPr>
      <w:r>
        <w:t>9.</w:t>
      </w:r>
      <w:r>
        <w:tab/>
        <w:t>primena, kad biudžeto nomenklatūra turi būti nustatyta pagal Finansinio reglamento 47 straipsnio 2 dalį, kurioje numatyta, kad kiekviena antraštinė dalis atitinka politikos sritį, o kiekvienas skyrius paprastai atitinka programą arba veiklą, laikantis konkretumo, patikimo finansų valdymo ir skaidrumo principų; rekomenduoja, kad Kultūros ir švietimo komitetas ir Piliečių laisvių, teisingumo ir vidaus reikalų komitetas iš dalies pakeistų pasiūlymą siekiant įtraukti priedą, kuriame būtų nustatyta programos no</w:t>
      </w:r>
      <w:r>
        <w:t>menklatūra; atkakliai tvirtina, kad biudžeto nomenklatūra yra neatskiriama Parlamento derybinės pozicijos dalis ir kad dėl jos turi būti diskutuojama per tarpinstitucines derybas; atsižvelgdamas į tai mano, kad peržiūrėta teisės akto pasiūlymo finansinio poveikio ir skaitmeninių aspektų pažyma turi būti įtraukta į galutinį politinį susitarimą;</w:t>
      </w:r>
    </w:p>
    <w:p w:rsidR="00C136C4" w:rsidRPr="00C136C4" w:rsidP="00C136C4" w14:paraId="6B66C9D1" w14:textId="77777777">
      <w:pPr>
        <w:pStyle w:val="NormalHanging12a"/>
      </w:pPr>
      <w:r>
        <w:t>10.</w:t>
      </w:r>
      <w:r>
        <w:tab/>
        <w:t>primena, kad pasiūlyme numatyta galimybė naudoti biudžeto garantiją; pabrėžia, kad skolinimosi ir skolinimo operacijų pagal programą „</w:t>
      </w:r>
      <w:r>
        <w:t>AgoraEU</w:t>
      </w:r>
      <w:r>
        <w:t>“ poveikis biudžetui turi būti aiškiai nustatytas, skaidriai pristatytas ir atidžiai stebimas visu DFP laikotarpiu; ypač pabrėžia, kad turi būti visapusiškai įvertintas jų galimas poveikis kitoms garantijoms, taip pat poveikis galimybėms gauti dotacijas pagal programą, ir į juos turi būti tinkamai atsižvelgta; primygtinai ragina priimant visus su tokiomis operacijomis</w:t>
      </w:r>
      <w:r>
        <w:t xml:space="preserve"> susijusius sprendimus visapusiškai atsižvelgti į teisėkūros institucijų įgaliojimus ir biudžeto valdymo institucijos prerogatyvas; pabrėžia, kad tokios priemonės turėtų būti naudojamos strategiškai, siekiant kuo labiau padidinti ES finansavimo poveikį, efektyvumą ir tvarumą, sykiu užtikrinant visapusišką skaidrumą ir patikimą rizikos valdymą;</w:t>
      </w:r>
    </w:p>
    <w:p w:rsidR="00C136C4" w:rsidRPr="00C136C4" w:rsidP="00C136C4" w14:paraId="61593A5B" w14:textId="77777777">
      <w:pPr>
        <w:pStyle w:val="NormalHanging12a"/>
      </w:pPr>
      <w:r>
        <w:t>11.</w:t>
      </w:r>
      <w:r>
        <w:tab/>
        <w:t>atkakliai tvirtina, kad turi būti tinkamai nustatytas finansinių priemonių naudojimas kartu su finansavimu pagal programą „</w:t>
      </w:r>
      <w:r>
        <w:t>AgoraEU</w:t>
      </w:r>
      <w:r>
        <w:t>“ ir, kai taikytina, nurodyta bendra derinimo operacijoms bei kitoms finansinėms priemonėms rezervuota suma metinėje biudžeto procedūroje; primygtinai ragina užtikrinti, kad pasitelkiant derinimo operacijas mobilizuotos lėšos būtų fiskaliniu požiūriu atsakingai naudojamos, taikant pagrįstas palūkanų normas;</w:t>
      </w:r>
    </w:p>
    <w:p w:rsidR="00C136C4" w:rsidRPr="00C136C4" w:rsidP="00C136C4" w14:paraId="37209066" w14:textId="77777777">
      <w:pPr>
        <w:pStyle w:val="NormalHanging12a"/>
      </w:pPr>
      <w:r>
        <w:t>12.</w:t>
      </w:r>
      <w:r>
        <w:tab/>
        <w:t>primena, kad pasiūlyme numatyta galimybė perskirstyti išteklius, nukreipiant juos pagal pasidalijamojo valdymo principą valdomoms programoms ir iš jų, tačiau pabrėžia, kad tokia sinergija turėtų skatinti politikos įgyvendinimą; pritaria Europos Audito Rūmų rekomendacijai, kad bet koks perskirstymas kiekvienu atveju turėtų būti tinkamai pagrįstas ir vykdomas koordinuojant Komisijos ir valstybių narių veiksmus; pabrėžia, kad reikia užtikrinti visapusišką perskirstytų sumų atsekamumą;</w:t>
      </w:r>
    </w:p>
    <w:p w:rsidR="00C136C4" w:rsidRPr="00C136C4" w:rsidP="00C136C4" w14:paraId="77505CA3" w14:textId="77777777">
      <w:pPr>
        <w:pStyle w:val="NormalHanging12a"/>
      </w:pPr>
      <w:r>
        <w:t>13.</w:t>
      </w:r>
      <w:r>
        <w:tab/>
        <w:t>pabrėžia, kad reikia nustatyti tinkamumo finansuoti laikotarpio pabaigą ir techninių bei administracinių išlaidų viršutinę ribą, taip pat suteikti daugiau aiškumo dėl Europos Audito Rūmų audito teisių, be kita ko, susijusių su naudos gavėjais trečiosiose valstybėse, t. y. už ES teisinės sistemos ribų;</w:t>
      </w:r>
    </w:p>
    <w:p w:rsidR="00C136C4" w:rsidRPr="00C136C4" w:rsidP="00C136C4" w14:paraId="60FED345" w14:textId="77777777">
      <w:pPr>
        <w:pStyle w:val="NormalHanging12a"/>
      </w:pPr>
      <w:r>
        <w:t>14.</w:t>
      </w:r>
      <w:r>
        <w:tab/>
        <w:t>mano, kad finansinių priemonių grįžtamosios lėšos turėtų likti prieinamos pagal programą „</w:t>
      </w:r>
      <w:r>
        <w:t>AgoraEU</w:t>
      </w:r>
      <w:r>
        <w:t>“;</w:t>
      </w:r>
    </w:p>
    <w:p w:rsidR="00C136C4" w:rsidRPr="00C136C4" w:rsidP="00C136C4" w14:paraId="2AFBFA39" w14:textId="77777777">
      <w:pPr>
        <w:pStyle w:val="NormalHanging12a"/>
      </w:pPr>
      <w:r>
        <w:t>15.</w:t>
      </w:r>
      <w:r>
        <w:tab/>
        <w:t>atkreipia dėmesį į siūlomą programos „</w:t>
      </w:r>
      <w:r>
        <w:t>AgoraEU</w:t>
      </w:r>
      <w:r>
        <w:t xml:space="preserve">“ ir kitų Sąjungos programų, fondų bei iniciatyvų, pvz., Europos </w:t>
      </w:r>
      <w:r>
        <w:t>demokratijos skydo, Teisingumo programos, programos „Erasmus+“, priemonės „Globali Europa“, Europos konkurencingumo fondo, programos „Europos horizontas“ ir pasidalijamojo valdymo fondų pagal nacionalinės ir regioninės partnerystės planus, tarpusavio papildomumą; pabrėžia, kad didesnis priemonių tarpusavio papildomumas neturi pakenkti išlaidų atsekamumui ar biudžeto valdymo institucijos prerogatyvoms; pabrėžia, kad programos „</w:t>
      </w:r>
      <w:r>
        <w:t>AgoraEU</w:t>
      </w:r>
      <w:r>
        <w:t>“ įnašą į operacijas, finansuojamas bendrai su kitomis priemonėmis, turi bū</w:t>
      </w:r>
      <w:r>
        <w:t>ti galima aiškiai nustatyti visais biudžeto ciklo etapais; atsižvelgdamas į tai pabrėžia, kad bet koks toks įnašas turi būti tinkamai atspindėtas programos „</w:t>
      </w:r>
      <w:r>
        <w:t>AgoraEU</w:t>
      </w:r>
      <w:r>
        <w:t>“ veiklos rezultatų suvestinėje; primygtinai tvirtina, kad biudžeto valdymo institucija turi toliau visapusiškai kontroliuoti, kaip derinami įvairių priemonių ištekliai ir kaip kiekviena programa veiksmingai prisidedama prie ES prioritetų įgyvendinimo, šiuo tikslu visų pirma pasitelkiant išsamią biudžeto nomenklatūrą; pabrėžia, kad didesnis progr</w:t>
      </w:r>
      <w:r>
        <w:t xml:space="preserve">amų tarpusavio papildomumas neturi lemti neproporcingo sudėtingumo paramos gavėjams; ragina užtikrinti, kad, siekiant palengvinti lėšų panaudojimą ir kuo labiau padidinti investicijų poveikį, Sąjungos finansavimas būtų aiškesnis, </w:t>
      </w:r>
      <w:r>
        <w:t>prieinamesnis</w:t>
      </w:r>
      <w:r>
        <w:t xml:space="preserve"> ir nuoseklesnis;</w:t>
      </w:r>
    </w:p>
    <w:p w:rsidR="00C136C4" w:rsidRPr="00C136C4" w:rsidP="00C136C4" w14:paraId="1FBB35B9" w14:textId="77777777">
      <w:pPr>
        <w:pStyle w:val="NormalHanging12a"/>
      </w:pPr>
      <w:r>
        <w:t>16.</w:t>
      </w:r>
      <w:r>
        <w:tab/>
        <w:t>pabrėžia, kad išorės asignuotųjų pajamų naudojimas pagal programą „</w:t>
      </w:r>
      <w:r>
        <w:t>AgoraEU</w:t>
      </w:r>
      <w:r>
        <w:t>“ turi būti aiškiai apibrėžtas, visiškai skaidrus ir jam turi būti taikomas veiksmingas parlamentinis tikrinimas; atsižvelgdamas į tai, atkreipia dėmesį į nuostatas, susijusias su bet kurios dalyvaujančios trečiosios valstybės ir kitų paramos teikėjų papildomais finansiniais įnašais į programą; primena, kad svarbu užtikrinti išorės asignuotųjų pajamų atsekamumą; pabrėžia, kad tuo atveju, jei vadovaujantis komitetas svarstytų galimybę</w:t>
      </w:r>
      <w:r>
        <w:t xml:space="preserve"> iš dalies pakeisti nuostatas, susijusias su išorės asignuotosiomis pajamomis, tai turėtų būti daroma derinant veiksmus su Biudžeto komitetu ir kitais komitetais, kad būtų užtikrintas nuoseklus požiūris; pripažįsta, kad programai gali būti naudingi trečiųjų šalių, įskaitant privatųjį sektorių, įnašai; pabrėžia, kad tokie įnašai turi būti įgyvendinami laikantis Finansinio reglamento, visų pirma atsižvelgiant į nepriklausomumą ir nešališkumą;</w:t>
      </w:r>
    </w:p>
    <w:p w:rsidR="00C136C4" w:rsidRPr="00C136C4" w:rsidP="00C136C4" w14:paraId="6C08CBF4" w14:textId="77777777">
      <w:pPr>
        <w:pStyle w:val="NormalHanging12a"/>
      </w:pPr>
      <w:r>
        <w:t>17.</w:t>
      </w:r>
      <w:r>
        <w:tab/>
        <w:t xml:space="preserve">pabrėžia, kad trečiųjų valstybių organizacijų dalyvavimas, kuris turėtų būti aiškiai ir </w:t>
      </w:r>
      <w:r>
        <w:t>skaidriai apibrėžtas bei tinkamai pagrįstas kiekvienoje metinėje darbo programoje, neatsižvelgiant į tai, ar tos valstybės yra asocijuotosios šalys, turėtų būti vykdomas laikantis skaidrumo, finansinio abipusiškumo ir reguliavimo suderinimo principų; atsižvelgdamas į tai pabrėžia, kad trečiosios valstybės turėtų teikti tinkamą finansinį įnašą į programą; pabrėžia, kad toks dalyvavimas turėtų priklausyti nuo pakankamo re</w:t>
      </w:r>
      <w:r>
        <w:t>guliavimo suderinimo lygio, visų pirma su Direktyvos 2010/13/ES</w:t>
      </w:r>
      <w:r>
        <w:rPr>
          <w:rStyle w:val="FootnoteReference"/>
        </w:rPr>
        <w:footnoteReference w:id="3"/>
      </w:r>
      <w:r>
        <w:t xml:space="preserve"> dėl audiovizualinės žiniasklaidos paslaugų nuostatomis, ypač bendradarbiavimo audiovizualinėje srityje kontekste; akcentuoja, kad reikia užtikrinti aiškias apsaugos priemones tuo atveju, jei trečioji valstybė nesilaiko asociacijos susitarime prisiimtų įsipareigojimų arba jei dėl didelių ir nuolatinių trūkumų kyla rizika, kad bus pakenkta patikimam finansų valdymui ir Sąjungos finansinių interesų apsaugai;</w:t>
      </w:r>
    </w:p>
    <w:p w:rsidR="00C136C4" w:rsidRPr="00C136C4" w:rsidP="00C136C4" w14:paraId="28853000" w14:textId="77777777">
      <w:pPr>
        <w:pStyle w:val="NormalHanging12a"/>
      </w:pPr>
      <w:r>
        <w:t>18.</w:t>
      </w:r>
      <w:r>
        <w:tab/>
        <w:t>mano, kad visi esminiai politikos pasirinkimai, pvz., programos tikslai, išlaidų prioritetai, finansiniai asignavimai, finansavimo normos, tinkamumas finansuoti, atrankos ir skyrimo kriterijai, sąlygos, apibrėžtys ir apskaičiavimo metodai, turi būti nustatyti atitinkamame pagrindiniame teisės akte, visapusiškai atsižvelgiant į Parlamento, kaip vienos iš teisėkūros ir ES biudžeto valdymo institucijų, prerogatyvas, ir kad bet kokie papildomi ir neesminiai elementai, susiję su politikos pasirinkimais, kurie n</w:t>
      </w:r>
      <w:r>
        <w:t>ėra įtraukti į pagrindinį aktą, įskaitant darbo programas, turi būti priimami tik deleguotaisiais aktais;</w:t>
      </w:r>
    </w:p>
    <w:p w:rsidR="00C136C4" w:rsidRPr="00C136C4" w:rsidP="00C136C4" w14:paraId="188F3A42" w14:textId="77777777">
      <w:pPr>
        <w:pStyle w:val="NormalHanging12a"/>
      </w:pPr>
      <w:r>
        <w:t>19.</w:t>
      </w:r>
      <w:r>
        <w:tab/>
        <w:t>primena pasiūlymą dėl reglamento, kuriuo nustatoma biudžeto išlaidų stebėjimo ir veiklos rezultatų peržiūros sistema ir kitos Sąjungos programų ir veiklos horizontaliosios taisyklės</w:t>
      </w:r>
      <w:r>
        <w:rPr>
          <w:rStyle w:val="FootnoteReference"/>
        </w:rPr>
        <w:footnoteReference w:id="4"/>
      </w:r>
      <w:r>
        <w:t xml:space="preserve"> (Veiklos rezultatų reglamentas), kuriuo nustatomas bendras supaprastintas veiklos rodiklių sąrašas ir stebėsenos bei vertinimo nuostatos, kurių kai kurios yra svarbios programai „</w:t>
      </w:r>
      <w:r>
        <w:t>AgoraEU</w:t>
      </w:r>
      <w:r>
        <w:t>“; pabrėžia, kad bet kokie programos struktūros, tikslų ir reikalavimus atitinkančių veiksmų pakeitimai turės būti tinkamai atspindėti atitinkamose Veiklos rezultatų reglamento I priedo nuostatose, vykdant to reglamento dalinio keitimo ir derybų dėl jo procesą; atkreipia dėmesį į tai, kad, nors sektorių teisės aktais galima</w:t>
      </w:r>
      <w:r>
        <w:t xml:space="preserve"> papildyti Veiklos rezultatų reglamentą, pvz., kiek tai susiję su programos vertinimais, jie turėtų ir toliau atitikti to reglamento nuostatas; reiškia susirūpinimą dėl to, kad pagal programą „</w:t>
      </w:r>
      <w:r>
        <w:t>AgoraEU</w:t>
      </w:r>
      <w:r>
        <w:t>“ finansuojama nevienalytė veikla paveiks veiklos rezultatų rodiklių patikimumą, ir ragina aiškiau nustatyti konkrečiai su paprogramėmis susijusius rezultatus, daugiau dėmesio skirti rezultatams, o ne produktams, ir suderinti duomenų kokybės reikalavimus;</w:t>
      </w:r>
    </w:p>
    <w:p w:rsidR="00C136C4" w:rsidRPr="00C136C4" w:rsidP="00C136C4" w14:paraId="49BAA9AD" w14:textId="77777777">
      <w:pPr>
        <w:pStyle w:val="NormalHanging12a"/>
      </w:pPr>
      <w:r>
        <w:t>20.</w:t>
      </w:r>
      <w:r>
        <w:tab/>
        <w:t>pabrėžia, kad visas finansavimas turi atitikti Komisijos gaires dėl veiklos, susijusios su Sąjungos teisės aktų ir politikos rengimu, įgyvendinimu, stebėsena ir vykdymo užtikrinimu, finansavimo;</w:t>
      </w:r>
    </w:p>
    <w:p w:rsidR="00C136C4" w:rsidRPr="00C136C4" w:rsidP="00C136C4" w14:paraId="190C386D" w14:textId="77777777">
      <w:pPr>
        <w:pStyle w:val="NormalHanging12a"/>
      </w:pPr>
      <w:r>
        <w:t>21.</w:t>
      </w:r>
      <w:r>
        <w:tab/>
        <w:t xml:space="preserve">mano, kad visais Sąjungos biudžeto vykdymo etapais nepaprastai svarbu yra apsaugoti Sąjungos finansinius interesus ir Sąjungos biudžetą; pabrėžia, kad su išlaidomis nesusijusio finansavimo ar kito supaprastinto išlaidų apmokėjimo naudojimas neturėtų daryti poveikio atitinkamai Komisijos, Europos kovos su sukčiavimu tarnybos, Europos </w:t>
      </w:r>
      <w:r>
        <w:t xml:space="preserve">Audito Rūmų ir Europos prokuratūros audito ar tyrimo teisėms; akcentuoja </w:t>
      </w:r>
      <w:r>
        <w:rPr>
          <w:i/>
          <w:iCs/>
        </w:rPr>
        <w:t>ex</w:t>
      </w:r>
      <w:r>
        <w:rPr>
          <w:i/>
          <w:iCs/>
        </w:rPr>
        <w:t> ante</w:t>
      </w:r>
      <w:r>
        <w:t xml:space="preserve"> ir </w:t>
      </w:r>
      <w:r>
        <w:rPr>
          <w:i/>
          <w:iCs/>
        </w:rPr>
        <w:t>ex</w:t>
      </w:r>
      <w:r>
        <w:rPr>
          <w:i/>
          <w:iCs/>
        </w:rPr>
        <w:t> </w:t>
      </w:r>
      <w:r>
        <w:rPr>
          <w:i/>
          <w:iCs/>
        </w:rPr>
        <w:t>post</w:t>
      </w:r>
      <w:r>
        <w:t xml:space="preserve"> patikrinimų svarbą siekiant užkirsti kelią dvigubam finansavimui ir užtikrinti patik</w:t>
      </w:r>
      <w:r>
        <w:t>imas skyrimo procedūras, atsekamumą programose ir įgyvendinimo skaidrumą;</w:t>
      </w:r>
    </w:p>
    <w:p w:rsidR="00C136C4" w:rsidRPr="00C136C4" w:rsidP="00C136C4" w14:paraId="04DD7AA1" w14:textId="77777777">
      <w:pPr>
        <w:pStyle w:val="NormalHanging12a"/>
      </w:pPr>
      <w:r>
        <w:t>22.</w:t>
      </w:r>
      <w:r>
        <w:tab/>
        <w:t>primena, kad pagal Finansinio reglamento 6 straipsnio 2 dalį sudarant ir vykdant biudžetą teisinės valstybės principo pažeidimų atvejais turi būti taikomas bendras sąlygų režimas; be to, pabrėžia, kad pagal to paties reglamento 6 straipsnio 3 dalį valstybės narės ir Komisija, vykdydamos biudžetą, turi užtikrinti, kad būtų laikomasi Europos Sąjungos pagrindinių teisių chartijos ir gerbiamos vertybės, kuriomis grindžiama Sąjunga, kaip įtvirtinta Europos Sąjungos sutarties 2 straipsnyje;</w:t>
      </w:r>
    </w:p>
    <w:p w:rsidR="00C136C4" w:rsidRPr="00C136C4" w:rsidP="00C136C4" w14:paraId="3FB61B79" w14:textId="77777777">
      <w:pPr>
        <w:pStyle w:val="NormalHanging12a"/>
      </w:pPr>
      <w:r>
        <w:t>23.</w:t>
      </w:r>
      <w:r>
        <w:tab/>
        <w:t>primygtinai tvirtina, kad tais atvejais, kai nacionalinės vyriausybės pažeidžia teisinės valstybės principą, ir nedarant poveikio Reglamento (ES, Euratomas) 2020/2092</w:t>
      </w:r>
      <w:r>
        <w:rPr>
          <w:rStyle w:val="FootnoteReference"/>
        </w:rPr>
        <w:footnoteReference w:id="5"/>
      </w:r>
      <w:r>
        <w:t xml:space="preserve"> taikymui, Komisija turėtų išnagrinėti būdus, kaip užtikrinti, kad potencialūs galutiniai naudos gavėjai ir gavėjai galėtų toliau naudotis Sąjungos finansavimu; pabrėžia, kad šis principas yra pažangių sąlygų metodo pagrindas;</w:t>
      </w:r>
    </w:p>
    <w:p w:rsidR="00C136C4" w:rsidRPr="00C136C4" w:rsidP="00C136C4" w14:paraId="4848D882" w14:textId="77777777">
      <w:pPr>
        <w:pStyle w:val="NormalHanging12a"/>
      </w:pPr>
      <w:r>
        <w:t>24.</w:t>
      </w:r>
      <w:r>
        <w:tab/>
        <w:t>primena, kad pagal Finansinį reglamentą programos ir veikla, kai įmanoma ir tinkama, laikantis atitinkamų konkrečių sektorių taisyklių, turėtų būti įgyvendinamos taip, kad būtų pasiekti nustatyti jų tikslai, sykiu laikantis darbo ir įdarbinimo sąlygų pagal taikytiną nacionalinę teisę, Sąjungos teisę, Tarptautinės darbo organizacijos konvencijas ir kolektyvines sutartis, taip pat atsižvelgiant į lyčių lygybės ir reikšmingos žalos nedarymo principus; atsižvelgdamas į tai, primena bendroje tarpinstitucinėje d</w:t>
      </w:r>
      <w:r>
        <w:t>eklaracijoje „Europa kultūrai. Kultūra Europai“ prisiimtus įsipareigojimus, t. y. kad kiekvienas turi teisę į sąžiningas, teisingas, sveikas ir saugias darbo sąlygas, įskaitant menininkus ir kultūros specialistus, kurie yra mūsų kultūros ir kūrybos sektorių bei pramonės pagrindas; be to, primena, kad, siekiant puoselėti meninę laisvę ir kultūrų įvairovę, nepaprastai svarbu užtikrinti teisingą atlyginimą ir tinkamas darbo sąlygas.</w:t>
      </w:r>
    </w:p>
    <w:p w:rsidR="00C8553D" w:rsidRPr="00C136C4" w:rsidP="00C8553D" w14:paraId="2DA6CE1E" w14:textId="77777777">
      <w:pPr>
        <w:sectPr w:rsidSect="00C136C4">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FE24DE" w:rsidRPr="00C136C4" w:rsidP="00FE24DE" w14:paraId="733E1509" w14:textId="77777777">
      <w:pPr>
        <w:pStyle w:val="PageHeadingNotTOC"/>
      </w:pPr>
      <w:r>
        <w:t>PAKEITIMAI</w:t>
      </w:r>
    </w:p>
    <w:p w:rsidR="00395F78" w:rsidRPr="00C136C4" w:rsidP="00B77427" w14:paraId="2FB9E6B1" w14:textId="77777777">
      <w:pPr>
        <w:pStyle w:val="Normal12a"/>
      </w:pPr>
      <w:r>
        <w:t>Atlikdamas biudžetinį vertinimą, Biudžeto komitetas taip pat pateikė šiuos pasiūlymo pakeitimus:</w:t>
      </w:r>
    </w:p>
    <w:p w:rsidR="00C136C4" w:rsidRPr="00C136C4" w:rsidP="00C136C4" w14:paraId="09D3E7D9" w14:textId="77777777">
      <w:pPr>
        <w:pStyle w:val="AmNumberTabs"/>
        <w:keepNext/>
      </w:pPr>
      <w:r>
        <w:rPr>
          <w:rStyle w:val="HideTWBExt"/>
        </w:rPr>
        <w:t>&lt;RepeatBlock-Amend&gt;</w:t>
      </w:r>
      <w:bookmarkStart w:id="0" w:name="restart"/>
      <w:r>
        <w:rPr>
          <w:rStyle w:val="HideTWBExt"/>
          <w:b w:val="0"/>
        </w:rPr>
        <w:t>&lt;Amend&gt;</w:t>
      </w:r>
      <w:r>
        <w:t>Pakeitimas</w:t>
      </w:r>
      <w:r>
        <w:tab/>
      </w:r>
      <w:r>
        <w:tab/>
      </w:r>
      <w:r>
        <w:rPr>
          <w:rStyle w:val="HideTWBExt"/>
          <w:b w:val="0"/>
        </w:rPr>
        <w:t>&lt;NumAm&gt;</w:t>
      </w:r>
      <w:r>
        <w:t>1</w:t>
      </w:r>
      <w:r>
        <w:rPr>
          <w:rStyle w:val="HideTWBExt"/>
          <w:b w:val="0"/>
        </w:rPr>
        <w:t>&lt;/</w:t>
      </w:r>
      <w:r>
        <w:rPr>
          <w:rStyle w:val="HideTWBExt"/>
          <w:b w:val="0"/>
        </w:rPr>
        <w:t>NumAm</w:t>
      </w:r>
      <w:r>
        <w:rPr>
          <w:rStyle w:val="HideTWBExt"/>
          <w:b w:val="0"/>
        </w:rPr>
        <w:t>&gt;</w:t>
      </w:r>
    </w:p>
    <w:p w:rsidR="00C136C4" w:rsidRPr="00C136C4" w:rsidP="00C136C4" w14:paraId="2172379E" w14:textId="77777777">
      <w:pPr>
        <w:pStyle w:val="NormalBold12b"/>
        <w:keepNext/>
      </w:pPr>
      <w:r>
        <w:rPr>
          <w:rStyle w:val="HideTWBExt"/>
          <w:b w:val="0"/>
        </w:rPr>
        <w:t>&lt;DocAmend&gt;</w:t>
      </w:r>
      <w:r>
        <w:t>Pasiūlymas dėl reglamento</w:t>
      </w:r>
      <w:r>
        <w:rPr>
          <w:rStyle w:val="HideTWBExt"/>
          <w:b w:val="0"/>
        </w:rPr>
        <w:t>&lt;/</w:t>
      </w:r>
      <w:r>
        <w:rPr>
          <w:rStyle w:val="HideTWBExt"/>
          <w:b w:val="0"/>
        </w:rPr>
        <w:t>DocAmend</w:t>
      </w:r>
      <w:r>
        <w:rPr>
          <w:rStyle w:val="HideTWBExt"/>
          <w:b w:val="0"/>
        </w:rPr>
        <w:t>&gt;</w:t>
      </w:r>
    </w:p>
    <w:p w:rsidR="00C136C4" w:rsidRPr="00C136C4" w:rsidP="00C136C4" w14:paraId="35CC5C53" w14:textId="77777777">
      <w:pPr>
        <w:pStyle w:val="NormalBold"/>
      </w:pPr>
      <w:r>
        <w:rPr>
          <w:rStyle w:val="HideTWBExt"/>
          <w:b w:val="0"/>
        </w:rPr>
        <w:t>&lt;Article&gt;</w:t>
      </w:r>
      <w:r>
        <w:t xml:space="preserve"> 28 a konstatuojamoji dalis (nauja)</w:t>
      </w:r>
      <w:r>
        <w:rPr>
          <w:rStyle w:val="HideTWBExt"/>
          <w:b w:val="0"/>
        </w:rPr>
        <w:t>&lt;/</w:t>
      </w:r>
      <w:r>
        <w:rPr>
          <w:rStyle w:val="HideTWBExt"/>
          <w:b w:val="0"/>
        </w:rPr>
        <w:t>Article</w:t>
      </w:r>
      <w:r>
        <w:rPr>
          <w:rStyle w:val="HideTWBExt"/>
          <w:b w:val="0"/>
        </w:rPr>
        <w:t>&gt;</w:t>
      </w:r>
    </w:p>
    <w:tbl>
      <w:tblPr>
        <w:tblW w:w="9752" w:type="dxa"/>
        <w:jc w:val="center"/>
        <w:tblLayout w:type="fixed"/>
        <w:tblCellMar>
          <w:left w:w="340" w:type="dxa"/>
          <w:right w:w="340" w:type="dxa"/>
        </w:tblCellMar>
        <w:tblLook w:val="04A0"/>
      </w:tblPr>
      <w:tblGrid>
        <w:gridCol w:w="4876"/>
        <w:gridCol w:w="4876"/>
      </w:tblGrid>
      <w:tr w14:paraId="74E38B17" w14:textId="77777777" w:rsidTr="003272CB">
        <w:tblPrEx>
          <w:tblW w:w="9752" w:type="dxa"/>
          <w:jc w:val="center"/>
          <w:tblLayout w:type="fixed"/>
          <w:tblCellMar>
            <w:left w:w="340" w:type="dxa"/>
            <w:right w:w="340" w:type="dxa"/>
          </w:tblCellMar>
          <w:tblLook w:val="04A0"/>
        </w:tblPrEx>
        <w:trPr>
          <w:jc w:val="center"/>
        </w:trPr>
        <w:tc>
          <w:tcPr>
            <w:tcW w:w="9752" w:type="dxa"/>
            <w:gridSpan w:val="2"/>
          </w:tcPr>
          <w:p w:rsidR="00C136C4" w:rsidRPr="00C136C4" w:rsidP="003272CB" w14:paraId="7BFEB144" w14:textId="77777777">
            <w:pPr>
              <w:keepNext/>
            </w:pPr>
          </w:p>
        </w:tc>
      </w:tr>
      <w:tr w14:paraId="31F45E95"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585BE844" w14:textId="77777777">
            <w:pPr>
              <w:pStyle w:val="AmColumnHeading"/>
              <w:keepNext/>
            </w:pPr>
            <w:r>
              <w:t>Komisijos siūlomas tekstas</w:t>
            </w:r>
          </w:p>
        </w:tc>
        <w:tc>
          <w:tcPr>
            <w:tcW w:w="4876" w:type="dxa"/>
            <w:hideMark/>
          </w:tcPr>
          <w:p w:rsidR="00C136C4" w:rsidRPr="00C136C4" w:rsidP="003272CB" w14:paraId="58EA5CBB" w14:textId="77777777">
            <w:pPr>
              <w:pStyle w:val="AmColumnHeading"/>
              <w:keepNext/>
            </w:pPr>
            <w:r>
              <w:t>Pakeitimas</w:t>
            </w:r>
          </w:p>
        </w:tc>
      </w:tr>
      <w:tr w14:paraId="232A095D"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06DD3C25" w14:textId="77777777">
            <w:pPr>
              <w:pStyle w:val="Normal6a"/>
            </w:pPr>
          </w:p>
        </w:tc>
        <w:tc>
          <w:tcPr>
            <w:tcW w:w="4876" w:type="dxa"/>
            <w:hideMark/>
          </w:tcPr>
          <w:p w:rsidR="00C136C4" w:rsidRPr="00C136C4" w:rsidP="003272CB" w14:paraId="70590BE3" w14:textId="77777777">
            <w:pPr>
              <w:pStyle w:val="Normal6a"/>
            </w:pPr>
            <w:r>
              <w:rPr>
                <w:b/>
                <w:i/>
              </w:rPr>
              <w:t>(28a)</w:t>
            </w:r>
            <w:r>
              <w:rPr>
                <w:b/>
                <w:i/>
              </w:rPr>
              <w:tab/>
            </w:r>
            <w:r>
              <w:rPr>
                <w:b/>
                <w:i/>
              </w:rPr>
              <w:t>programos „</w:t>
            </w:r>
            <w:r>
              <w:rPr>
                <w:b/>
                <w:i/>
              </w:rPr>
              <w:t>AgoraEU</w:t>
            </w:r>
            <w:r>
              <w:rPr>
                <w:b/>
                <w:i/>
              </w:rPr>
              <w:t>“ ir kitų Sąjungos priemonių tarpusavio papildomumas neturi pakenkti išlaidų atsekamumui arba biudžeto valdymo institucijos prerogatyvoms. Programos „</w:t>
            </w:r>
            <w:r>
              <w:rPr>
                <w:b/>
                <w:i/>
              </w:rPr>
              <w:t>AgoraEU</w:t>
            </w:r>
            <w:r>
              <w:rPr>
                <w:b/>
                <w:i/>
              </w:rPr>
              <w:t>“ įnašą į bendrai finansuojamus veiksmus turėtų būti galima aiškiai nustatyti visais biudžeto ciklo etapais ir jis turėtų būti tinkamai atspindėtas programos veiklos rezultatų suvestinėje;</w:t>
            </w:r>
          </w:p>
        </w:tc>
      </w:tr>
    </w:tbl>
    <w:p w:rsidR="00C136C4" w:rsidRPr="00C136C4" w:rsidP="00C136C4" w14:paraId="1EB5FF0B" w14:textId="77777777">
      <w:pPr>
        <w:rPr>
          <w:rStyle w:val="HideTWBExt"/>
          <w:rFonts w:eastAsiaTheme="majorEastAsia"/>
        </w:rPr>
      </w:pPr>
      <w:r>
        <w:rPr>
          <w:rStyle w:val="HideTWBExt"/>
        </w:rPr>
        <w:t>&lt;/Amend&gt;</w:t>
      </w:r>
    </w:p>
    <w:p w:rsidR="00C136C4" w:rsidRPr="00C136C4" w:rsidP="00C136C4" w14:paraId="4705FCB2" w14:textId="77777777">
      <w:pPr>
        <w:pStyle w:val="AmNumberTabs"/>
        <w:keepNext/>
      </w:pPr>
      <w:r>
        <w:rPr>
          <w:rStyle w:val="HideTWBExt"/>
          <w:b w:val="0"/>
        </w:rPr>
        <w:t>&lt;Amend&gt;</w:t>
      </w:r>
      <w:r>
        <w:t>Pakeitimas</w:t>
      </w:r>
      <w:r>
        <w:tab/>
      </w:r>
      <w:r>
        <w:tab/>
      </w:r>
      <w:r>
        <w:rPr>
          <w:rStyle w:val="HideTWBExt"/>
          <w:b w:val="0"/>
        </w:rPr>
        <w:t>&lt;NumAm&gt;</w:t>
      </w:r>
      <w:r>
        <w:t>2</w:t>
      </w:r>
      <w:r>
        <w:rPr>
          <w:rStyle w:val="HideTWBExt"/>
          <w:b w:val="0"/>
        </w:rPr>
        <w:t>&lt;/</w:t>
      </w:r>
      <w:r>
        <w:rPr>
          <w:rStyle w:val="HideTWBExt"/>
          <w:b w:val="0"/>
        </w:rPr>
        <w:t>NumAm</w:t>
      </w:r>
      <w:r>
        <w:rPr>
          <w:rStyle w:val="HideTWBExt"/>
          <w:b w:val="0"/>
        </w:rPr>
        <w:t>&gt;</w:t>
      </w:r>
    </w:p>
    <w:p w:rsidR="00C136C4" w:rsidRPr="00C136C4" w:rsidP="00C136C4" w14:paraId="4BBC1F3E" w14:textId="77777777">
      <w:pPr>
        <w:pStyle w:val="NormalBold12b"/>
        <w:keepNext/>
      </w:pPr>
      <w:r>
        <w:rPr>
          <w:rStyle w:val="HideTWBExt"/>
          <w:b w:val="0"/>
        </w:rPr>
        <w:t>&lt;DocAmend&gt;</w:t>
      </w:r>
      <w:r>
        <w:t>Pasiūlymas dėl reglamento</w:t>
      </w:r>
      <w:r>
        <w:rPr>
          <w:rStyle w:val="HideTWBExt"/>
          <w:b w:val="0"/>
        </w:rPr>
        <w:t>&lt;/</w:t>
      </w:r>
      <w:r>
        <w:rPr>
          <w:rStyle w:val="HideTWBExt"/>
          <w:b w:val="0"/>
        </w:rPr>
        <w:t>DocAmend</w:t>
      </w:r>
      <w:r>
        <w:rPr>
          <w:rStyle w:val="HideTWBExt"/>
          <w:b w:val="0"/>
        </w:rPr>
        <w:t>&gt;</w:t>
      </w:r>
    </w:p>
    <w:p w:rsidR="00C136C4" w:rsidRPr="00C136C4" w:rsidP="00C136C4" w14:paraId="0B075A8E" w14:textId="77777777">
      <w:pPr>
        <w:pStyle w:val="NormalBold"/>
      </w:pPr>
      <w:r>
        <w:rPr>
          <w:rStyle w:val="HideTWBExt"/>
          <w:b w:val="0"/>
        </w:rPr>
        <w:t>&lt;Article&gt;</w:t>
      </w:r>
      <w:r>
        <w:t xml:space="preserve"> 32 a konstatuojamoji dalis (nauja)</w:t>
      </w:r>
      <w:r>
        <w:rPr>
          <w:rStyle w:val="HideTWBExt"/>
          <w:b w:val="0"/>
        </w:rPr>
        <w:t>&lt;/</w:t>
      </w:r>
      <w:r>
        <w:rPr>
          <w:rStyle w:val="HideTWBExt"/>
          <w:b w:val="0"/>
        </w:rPr>
        <w:t>Article</w:t>
      </w:r>
      <w:r>
        <w:rPr>
          <w:rStyle w:val="HideTWBExt"/>
          <w:b w:val="0"/>
        </w:rPr>
        <w:t>&gt;</w:t>
      </w:r>
    </w:p>
    <w:tbl>
      <w:tblPr>
        <w:tblW w:w="9752" w:type="dxa"/>
        <w:jc w:val="center"/>
        <w:tblLayout w:type="fixed"/>
        <w:tblCellMar>
          <w:left w:w="340" w:type="dxa"/>
          <w:right w:w="340" w:type="dxa"/>
        </w:tblCellMar>
        <w:tblLook w:val="04A0"/>
      </w:tblPr>
      <w:tblGrid>
        <w:gridCol w:w="4876"/>
        <w:gridCol w:w="4876"/>
      </w:tblGrid>
      <w:tr w14:paraId="3C4EA297" w14:textId="77777777" w:rsidTr="003272CB">
        <w:tblPrEx>
          <w:tblW w:w="9752" w:type="dxa"/>
          <w:jc w:val="center"/>
          <w:tblLayout w:type="fixed"/>
          <w:tblCellMar>
            <w:left w:w="340" w:type="dxa"/>
            <w:right w:w="340" w:type="dxa"/>
          </w:tblCellMar>
          <w:tblLook w:val="04A0"/>
        </w:tblPrEx>
        <w:trPr>
          <w:jc w:val="center"/>
        </w:trPr>
        <w:tc>
          <w:tcPr>
            <w:tcW w:w="9752" w:type="dxa"/>
            <w:gridSpan w:val="2"/>
          </w:tcPr>
          <w:p w:rsidR="00C136C4" w:rsidRPr="00C136C4" w:rsidP="003272CB" w14:paraId="3429A293" w14:textId="77777777">
            <w:pPr>
              <w:keepNext/>
            </w:pPr>
          </w:p>
        </w:tc>
      </w:tr>
      <w:tr w14:paraId="0506411B"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2FC055BF" w14:textId="77777777">
            <w:pPr>
              <w:pStyle w:val="AmColumnHeading"/>
              <w:keepNext/>
            </w:pPr>
            <w:r>
              <w:t>Komisijos siūlomas tekstas</w:t>
            </w:r>
          </w:p>
        </w:tc>
        <w:tc>
          <w:tcPr>
            <w:tcW w:w="4876" w:type="dxa"/>
            <w:hideMark/>
          </w:tcPr>
          <w:p w:rsidR="00C136C4" w:rsidRPr="00C136C4" w:rsidP="003272CB" w14:paraId="00A64088" w14:textId="77777777">
            <w:pPr>
              <w:pStyle w:val="AmColumnHeading"/>
              <w:keepNext/>
            </w:pPr>
            <w:r>
              <w:t>Pakeitimas</w:t>
            </w:r>
          </w:p>
        </w:tc>
      </w:tr>
      <w:tr w14:paraId="0AE9CCAB"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5BFC55EA" w14:textId="77777777">
            <w:pPr>
              <w:pStyle w:val="Normal6a"/>
            </w:pPr>
          </w:p>
        </w:tc>
        <w:tc>
          <w:tcPr>
            <w:tcW w:w="4876" w:type="dxa"/>
            <w:hideMark/>
          </w:tcPr>
          <w:p w:rsidR="00C136C4" w:rsidRPr="00C136C4" w:rsidP="003272CB" w14:paraId="7A78E4AD" w14:textId="77777777">
            <w:pPr>
              <w:pStyle w:val="Normal6a"/>
            </w:pPr>
            <w:r>
              <w:rPr>
                <w:b/>
                <w:i/>
              </w:rPr>
              <w:t>(32a)</w:t>
            </w:r>
            <w:r>
              <w:rPr>
                <w:b/>
                <w:i/>
              </w:rPr>
              <w:tab/>
              <w:t xml:space="preserve">šiai programai taikomas Europos Parlamento ir Tarybos reglamentas (ES, Euratomas) 2020/2092. Juo nustatomas bendras Sąjungos biudžeto apsaugos sąlygų režimas teisinės valstybės principų pažeidimų </w:t>
            </w:r>
            <w:r>
              <w:rPr>
                <w:b/>
                <w:i/>
              </w:rPr>
              <w:t>valstybėse narėse atvejais;</w:t>
            </w:r>
          </w:p>
        </w:tc>
      </w:tr>
    </w:tbl>
    <w:p w:rsidR="00C136C4" w:rsidRPr="00C136C4" w:rsidP="00C136C4" w14:paraId="465D6D80" w14:textId="77777777">
      <w:pPr>
        <w:rPr>
          <w:rStyle w:val="HideTWBExt"/>
          <w:rFonts w:eastAsiaTheme="majorEastAsia"/>
        </w:rPr>
      </w:pPr>
      <w:r>
        <w:rPr>
          <w:rStyle w:val="HideTWBExt"/>
        </w:rPr>
        <w:t>&lt;/Amend&gt;</w:t>
      </w:r>
    </w:p>
    <w:p w:rsidR="00C136C4" w:rsidRPr="00C136C4" w:rsidP="00C136C4" w14:paraId="093E95E1" w14:textId="77777777">
      <w:pPr>
        <w:pStyle w:val="AmNumberTabs"/>
        <w:keepNext/>
      </w:pPr>
      <w:r>
        <w:rPr>
          <w:rStyle w:val="HideTWBExt"/>
          <w:b w:val="0"/>
        </w:rPr>
        <w:t>&lt;Amend&gt;</w:t>
      </w:r>
      <w:r>
        <w:t>Pakeitimas</w:t>
      </w:r>
      <w:r>
        <w:tab/>
      </w:r>
      <w:r>
        <w:tab/>
      </w:r>
      <w:r>
        <w:rPr>
          <w:rStyle w:val="HideTWBExt"/>
          <w:b w:val="0"/>
        </w:rPr>
        <w:t>&lt;NumAm&gt;</w:t>
      </w:r>
      <w:r>
        <w:t>3</w:t>
      </w:r>
      <w:r>
        <w:rPr>
          <w:rStyle w:val="HideTWBExt"/>
          <w:b w:val="0"/>
        </w:rPr>
        <w:t>&lt;/</w:t>
      </w:r>
      <w:r>
        <w:rPr>
          <w:rStyle w:val="HideTWBExt"/>
          <w:b w:val="0"/>
        </w:rPr>
        <w:t>NumAm</w:t>
      </w:r>
      <w:r>
        <w:rPr>
          <w:rStyle w:val="HideTWBExt"/>
          <w:b w:val="0"/>
        </w:rPr>
        <w:t>&gt;</w:t>
      </w:r>
    </w:p>
    <w:p w:rsidR="00C136C4" w:rsidRPr="00C136C4" w:rsidP="00C136C4" w14:paraId="41088C10" w14:textId="77777777">
      <w:pPr>
        <w:pStyle w:val="NormalBold12b"/>
        <w:keepNext/>
      </w:pPr>
      <w:r>
        <w:rPr>
          <w:rStyle w:val="HideTWBExt"/>
          <w:b w:val="0"/>
        </w:rPr>
        <w:t>&lt;DocAmend&gt;</w:t>
      </w:r>
      <w:r>
        <w:t>Pasiūlymas dėl reglamento</w:t>
      </w:r>
      <w:r>
        <w:rPr>
          <w:rStyle w:val="HideTWBExt"/>
          <w:b w:val="0"/>
        </w:rPr>
        <w:t>&lt;/</w:t>
      </w:r>
      <w:r>
        <w:rPr>
          <w:rStyle w:val="HideTWBExt"/>
          <w:b w:val="0"/>
        </w:rPr>
        <w:t>DocAmend</w:t>
      </w:r>
      <w:r>
        <w:rPr>
          <w:rStyle w:val="HideTWBExt"/>
          <w:b w:val="0"/>
        </w:rPr>
        <w:t>&gt;</w:t>
      </w:r>
    </w:p>
    <w:p w:rsidR="00C136C4" w:rsidRPr="00C136C4" w:rsidP="00C136C4" w14:paraId="7FF22BE8" w14:textId="77777777">
      <w:pPr>
        <w:pStyle w:val="NormalBold"/>
      </w:pPr>
      <w:r>
        <w:rPr>
          <w:rStyle w:val="HideTWBExt"/>
          <w:b w:val="0"/>
        </w:rPr>
        <w:t>&lt;Article&gt;</w:t>
      </w:r>
      <w:r>
        <w:t xml:space="preserve"> 33 konstatuojamoji dalis</w:t>
      </w:r>
      <w:r>
        <w:rPr>
          <w:rStyle w:val="HideTWBExt"/>
          <w:b w:val="0"/>
        </w:rPr>
        <w:t>&lt;/</w:t>
      </w:r>
      <w:r>
        <w:rPr>
          <w:rStyle w:val="HideTWBExt"/>
          <w:b w:val="0"/>
        </w:rPr>
        <w:t>Article</w:t>
      </w:r>
      <w:r>
        <w:rPr>
          <w:rStyle w:val="HideTWBExt"/>
          <w:b w:val="0"/>
        </w:rPr>
        <w:t>&gt;</w:t>
      </w:r>
    </w:p>
    <w:tbl>
      <w:tblPr>
        <w:tblW w:w="9752" w:type="dxa"/>
        <w:jc w:val="center"/>
        <w:tblLayout w:type="fixed"/>
        <w:tblCellMar>
          <w:left w:w="340" w:type="dxa"/>
          <w:right w:w="340" w:type="dxa"/>
        </w:tblCellMar>
        <w:tblLook w:val="04A0"/>
      </w:tblPr>
      <w:tblGrid>
        <w:gridCol w:w="4876"/>
        <w:gridCol w:w="4876"/>
      </w:tblGrid>
      <w:tr w14:paraId="679F5057" w14:textId="77777777" w:rsidTr="003272CB">
        <w:tblPrEx>
          <w:tblW w:w="9752" w:type="dxa"/>
          <w:jc w:val="center"/>
          <w:tblLayout w:type="fixed"/>
          <w:tblCellMar>
            <w:left w:w="340" w:type="dxa"/>
            <w:right w:w="340" w:type="dxa"/>
          </w:tblCellMar>
          <w:tblLook w:val="04A0"/>
        </w:tblPrEx>
        <w:trPr>
          <w:jc w:val="center"/>
        </w:trPr>
        <w:tc>
          <w:tcPr>
            <w:tcW w:w="9752" w:type="dxa"/>
            <w:gridSpan w:val="2"/>
          </w:tcPr>
          <w:p w:rsidR="00C136C4" w:rsidRPr="00C136C4" w:rsidP="003272CB" w14:paraId="088B6B48" w14:textId="77777777">
            <w:pPr>
              <w:keepNext/>
            </w:pPr>
          </w:p>
        </w:tc>
      </w:tr>
      <w:tr w14:paraId="314B3983"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65DA19BB" w14:textId="77777777">
            <w:pPr>
              <w:pStyle w:val="AmColumnHeading"/>
              <w:keepNext/>
            </w:pPr>
            <w:r>
              <w:t>Komisijos siūlomas tekstas</w:t>
            </w:r>
          </w:p>
        </w:tc>
        <w:tc>
          <w:tcPr>
            <w:tcW w:w="4876" w:type="dxa"/>
            <w:hideMark/>
          </w:tcPr>
          <w:p w:rsidR="00C136C4" w:rsidRPr="00C136C4" w:rsidP="003272CB" w14:paraId="7B1A0BFF" w14:textId="77777777">
            <w:pPr>
              <w:pStyle w:val="AmColumnHeading"/>
              <w:keepNext/>
            </w:pPr>
            <w:r>
              <w:t>Pakeitimas</w:t>
            </w:r>
          </w:p>
        </w:tc>
      </w:tr>
      <w:tr w14:paraId="24859ABD"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2DEA2471" w14:textId="77777777">
            <w:pPr>
              <w:pStyle w:val="Normal6a"/>
            </w:pPr>
            <w:r>
              <w:t>(33)</w:t>
            </w:r>
            <w:r>
              <w:tab/>
              <w:t xml:space="preserve">Programai taikomas Europos </w:t>
            </w:r>
            <w:r>
              <w:t>Parlamento ir Tarybos reglamentas (ES, Euratomas) 2024/2509</w:t>
            </w:r>
            <w:r>
              <w:rPr>
                <w:vertAlign w:val="superscript"/>
              </w:rPr>
              <w:t>27</w:t>
            </w:r>
            <w:r>
              <w:t>. Jame nustatytos Sąjungos bendrojo biudžeto sudarymo ir vykdymo taisyklės, tarp jų – taisyklės, susijusios su dotacijomis, apdovanojimais, nepiniginiu dovanojamu turtu, viešaisiais pirkimais, netiesioginiu valdymu, finansine parama, finansinėmis priemonėmis ir biudžeto garantijomis;</w:t>
            </w:r>
          </w:p>
        </w:tc>
        <w:tc>
          <w:tcPr>
            <w:tcW w:w="4876" w:type="dxa"/>
            <w:hideMark/>
          </w:tcPr>
          <w:p w:rsidR="00C136C4" w:rsidRPr="00C136C4" w:rsidP="003272CB" w14:paraId="0A84D254" w14:textId="77777777">
            <w:pPr>
              <w:pStyle w:val="Normal6a"/>
            </w:pPr>
            <w:r>
              <w:t>(33)</w:t>
            </w:r>
            <w:r>
              <w:tab/>
              <w:t xml:space="preserve">Programai taikomas Europos </w:t>
            </w:r>
            <w:r>
              <w:t>Parlamento ir Tarybos reglamentas (ES, Euratomas) 2024/2509</w:t>
            </w:r>
            <w:r>
              <w:rPr>
                <w:vertAlign w:val="superscript"/>
              </w:rPr>
              <w:t>27</w:t>
            </w:r>
            <w:r>
              <w:t>. Jame nustatytos Sąjungos bendrojo biudžeto sudarymo ir vykdymo taisyklės, tarp jų – taisyklės, susijusios su dotacijomis, apdovanojimais, nepiniginiu dovanojamu turtu, viešaisiais pirkimais, netiesioginiu valdymu, finansine parama, finansinėmis priemonėmis ir biudžeto garantijomis</w:t>
            </w:r>
            <w:r>
              <w:rPr>
                <w:b/>
                <w:i/>
              </w:rPr>
              <w:t>.</w:t>
            </w:r>
            <w:r>
              <w:t xml:space="preserve"> </w:t>
            </w:r>
            <w:r>
              <w:rPr>
                <w:b/>
                <w:i/>
              </w:rPr>
              <w:t xml:space="preserve">Pagal Reglamentą (ES, Euratomas) </w:t>
            </w:r>
            <w:r>
              <w:rPr>
                <w:b/>
                <w:i/>
              </w:rPr>
              <w:t>2024/2509 (Finansinis reglamentas) įgyvendinant programą turėtų būti visapusiškai gerbiamos Europos Sąjungos sutarties 2 straipsnyje įtvirtintos vertybės ir Europos Sąjungos pagrindinių teisių chartijoje pripažintos teisės;</w:t>
            </w:r>
          </w:p>
        </w:tc>
      </w:tr>
      <w:tr w14:paraId="7395C1CF" w14:textId="77777777" w:rsidTr="003272CB">
        <w:tblPrEx>
          <w:tblW w:w="9752" w:type="dxa"/>
          <w:jc w:val="center"/>
          <w:tblLayout w:type="fixed"/>
          <w:tblCellMar>
            <w:left w:w="340" w:type="dxa"/>
            <w:right w:w="340" w:type="dxa"/>
          </w:tblCellMar>
          <w:tblLook w:val="04A0"/>
        </w:tblPrEx>
        <w:trPr>
          <w:jc w:val="center"/>
        </w:trPr>
        <w:tc>
          <w:tcPr>
            <w:tcW w:w="4876" w:type="dxa"/>
          </w:tcPr>
          <w:p w:rsidR="00C136C4" w:rsidRPr="00C136C4" w:rsidP="003272CB" w14:paraId="348DFD4F" w14:textId="77777777">
            <w:pPr>
              <w:pStyle w:val="Normal6a"/>
            </w:pPr>
            <w:r>
              <w:t>___________</w:t>
            </w:r>
          </w:p>
        </w:tc>
        <w:tc>
          <w:tcPr>
            <w:tcW w:w="4876" w:type="dxa"/>
          </w:tcPr>
          <w:p w:rsidR="00C136C4" w:rsidRPr="00C136C4" w:rsidP="003272CB" w14:paraId="463B7F77" w14:textId="77777777">
            <w:pPr>
              <w:pStyle w:val="Normal6a"/>
            </w:pPr>
            <w:r>
              <w:t>___________</w:t>
            </w:r>
          </w:p>
        </w:tc>
      </w:tr>
      <w:tr w14:paraId="556149D2" w14:textId="77777777" w:rsidTr="003272CB">
        <w:tblPrEx>
          <w:tblW w:w="9752" w:type="dxa"/>
          <w:jc w:val="center"/>
          <w:tblLayout w:type="fixed"/>
          <w:tblCellMar>
            <w:left w:w="340" w:type="dxa"/>
            <w:right w:w="340" w:type="dxa"/>
          </w:tblCellMar>
          <w:tblLook w:val="04A0"/>
        </w:tblPrEx>
        <w:trPr>
          <w:jc w:val="center"/>
        </w:trPr>
        <w:tc>
          <w:tcPr>
            <w:tcW w:w="4876" w:type="dxa"/>
          </w:tcPr>
          <w:p w:rsidR="00C136C4" w:rsidRPr="00C136C4" w:rsidP="003272CB" w14:paraId="53390A46" w14:textId="77777777">
            <w:pPr>
              <w:pStyle w:val="Normal6a"/>
            </w:pPr>
            <w:r>
              <w:rPr>
                <w:vertAlign w:val="superscript"/>
              </w:rPr>
              <w:t>27</w:t>
            </w:r>
            <w:r>
              <w:t xml:space="preserve"> 2024 m. rugsėjo 23 d. Europos Parlamento ir Tarybos reglamentas (ES, Euratomas) 2024/2509 dėl Sąjungos bendrajam biudžetui taikomų finansinių taisyklių (OL L, 2024/2509, 2024 9 26, ELI: http://data.europa.eu/eli/reg/2024/2509/oj).</w:t>
            </w:r>
          </w:p>
        </w:tc>
        <w:tc>
          <w:tcPr>
            <w:tcW w:w="4876" w:type="dxa"/>
          </w:tcPr>
          <w:p w:rsidR="00C136C4" w:rsidRPr="00C136C4" w:rsidP="003272CB" w14:paraId="4E4C04CF" w14:textId="77777777">
            <w:pPr>
              <w:pStyle w:val="Normal6a"/>
            </w:pPr>
            <w:r>
              <w:rPr>
                <w:vertAlign w:val="superscript"/>
              </w:rPr>
              <w:t>27</w:t>
            </w:r>
            <w:r>
              <w:t xml:space="preserve"> 2024 m. rugsėjo 23 d. Europos Parlamento ir Tarybos reglamentas (ES, Euratomas) 2024/2509 dėl Sąjungos bendrajam biudžetui taikomų finansinių taisyklių (OL L, 2024/2509, 2024 9 26, ELI: http://data.europa.eu/eli/reg/2024/2509/oj).</w:t>
            </w:r>
          </w:p>
        </w:tc>
      </w:tr>
    </w:tbl>
    <w:p w:rsidR="00C136C4" w:rsidRPr="00C136C4" w:rsidP="00C136C4" w14:paraId="1059E837" w14:textId="77777777">
      <w:pPr>
        <w:rPr>
          <w:rStyle w:val="HideTWBExt"/>
          <w:rFonts w:eastAsiaTheme="majorEastAsia"/>
        </w:rPr>
      </w:pPr>
      <w:r>
        <w:rPr>
          <w:rStyle w:val="HideTWBExt"/>
        </w:rPr>
        <w:t>&lt;/Amend&gt;</w:t>
      </w:r>
    </w:p>
    <w:p w:rsidR="00C136C4" w:rsidRPr="00C136C4" w:rsidP="00C136C4" w14:paraId="642E412C" w14:textId="77777777">
      <w:pPr>
        <w:pStyle w:val="AmNumberTabs"/>
        <w:keepNext/>
      </w:pPr>
      <w:r>
        <w:rPr>
          <w:rStyle w:val="HideTWBExt"/>
          <w:b w:val="0"/>
        </w:rPr>
        <w:t>&lt;Amend&gt;</w:t>
      </w:r>
      <w:r>
        <w:t>Pakeitimas</w:t>
      </w:r>
      <w:r>
        <w:tab/>
      </w:r>
      <w:r>
        <w:tab/>
      </w:r>
      <w:r>
        <w:rPr>
          <w:rStyle w:val="HideTWBExt"/>
          <w:b w:val="0"/>
        </w:rPr>
        <w:t>&lt;NumAm&gt;</w:t>
      </w:r>
      <w:r>
        <w:t>4</w:t>
      </w:r>
      <w:r>
        <w:rPr>
          <w:rStyle w:val="HideTWBExt"/>
          <w:b w:val="0"/>
        </w:rPr>
        <w:t>&lt;/</w:t>
      </w:r>
      <w:r>
        <w:rPr>
          <w:rStyle w:val="HideTWBExt"/>
          <w:b w:val="0"/>
        </w:rPr>
        <w:t>NumAm</w:t>
      </w:r>
      <w:r>
        <w:rPr>
          <w:rStyle w:val="HideTWBExt"/>
          <w:b w:val="0"/>
        </w:rPr>
        <w:t>&gt;</w:t>
      </w:r>
    </w:p>
    <w:p w:rsidR="00C136C4" w:rsidRPr="00C136C4" w:rsidP="00C136C4" w14:paraId="5D8721DB" w14:textId="77777777">
      <w:pPr>
        <w:pStyle w:val="NormalBold12b"/>
        <w:keepNext/>
      </w:pPr>
      <w:r>
        <w:rPr>
          <w:rStyle w:val="HideTWBExt"/>
          <w:b w:val="0"/>
        </w:rPr>
        <w:t>&lt;DocAmend&gt;</w:t>
      </w:r>
      <w:r>
        <w:t>Pasiūlymas dėl reglamento</w:t>
      </w:r>
      <w:r>
        <w:rPr>
          <w:rStyle w:val="HideTWBExt"/>
          <w:b w:val="0"/>
        </w:rPr>
        <w:t>&lt;/</w:t>
      </w:r>
      <w:r>
        <w:rPr>
          <w:rStyle w:val="HideTWBExt"/>
          <w:b w:val="0"/>
        </w:rPr>
        <w:t>DocAmend</w:t>
      </w:r>
      <w:r>
        <w:rPr>
          <w:rStyle w:val="HideTWBExt"/>
          <w:b w:val="0"/>
        </w:rPr>
        <w:t>&gt;</w:t>
      </w:r>
    </w:p>
    <w:p w:rsidR="00C136C4" w:rsidRPr="00C136C4" w:rsidP="00C136C4" w14:paraId="242AA57A" w14:textId="77777777">
      <w:pPr>
        <w:pStyle w:val="NormalBold"/>
      </w:pPr>
      <w:r>
        <w:rPr>
          <w:rStyle w:val="HideTWBExt"/>
          <w:b w:val="0"/>
        </w:rPr>
        <w:t>&lt;Article&gt;</w:t>
      </w:r>
      <w:r>
        <w:t>40 a konstatuojamoji dalis (nauja)</w:t>
      </w:r>
      <w:r>
        <w:rPr>
          <w:rStyle w:val="HideTWBExt"/>
          <w:b w:val="0"/>
        </w:rPr>
        <w:t>&lt;/</w:t>
      </w:r>
      <w:r>
        <w:rPr>
          <w:rStyle w:val="HideTWBExt"/>
          <w:b w:val="0"/>
        </w:rPr>
        <w:t>Article</w:t>
      </w:r>
      <w:r>
        <w:rPr>
          <w:rStyle w:val="HideTWBExt"/>
          <w:b w:val="0"/>
        </w:rPr>
        <w:t>&gt;</w:t>
      </w:r>
    </w:p>
    <w:tbl>
      <w:tblPr>
        <w:tblW w:w="9752" w:type="dxa"/>
        <w:jc w:val="center"/>
        <w:tblLayout w:type="fixed"/>
        <w:tblCellMar>
          <w:left w:w="340" w:type="dxa"/>
          <w:right w:w="340" w:type="dxa"/>
        </w:tblCellMar>
        <w:tblLook w:val="04A0"/>
      </w:tblPr>
      <w:tblGrid>
        <w:gridCol w:w="4876"/>
        <w:gridCol w:w="4876"/>
      </w:tblGrid>
      <w:tr w14:paraId="0F05F13A" w14:textId="77777777" w:rsidTr="003272CB">
        <w:tblPrEx>
          <w:tblW w:w="9752" w:type="dxa"/>
          <w:jc w:val="center"/>
          <w:tblLayout w:type="fixed"/>
          <w:tblCellMar>
            <w:left w:w="340" w:type="dxa"/>
            <w:right w:w="340" w:type="dxa"/>
          </w:tblCellMar>
          <w:tblLook w:val="04A0"/>
        </w:tblPrEx>
        <w:trPr>
          <w:jc w:val="center"/>
        </w:trPr>
        <w:tc>
          <w:tcPr>
            <w:tcW w:w="9752" w:type="dxa"/>
            <w:gridSpan w:val="2"/>
          </w:tcPr>
          <w:p w:rsidR="00C136C4" w:rsidRPr="00C136C4" w:rsidP="003272CB" w14:paraId="131B07C6" w14:textId="77777777">
            <w:pPr>
              <w:keepNext/>
            </w:pPr>
          </w:p>
        </w:tc>
      </w:tr>
      <w:tr w14:paraId="00449216"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7203FDAF" w14:textId="77777777">
            <w:pPr>
              <w:pStyle w:val="AmColumnHeading"/>
              <w:keepNext/>
            </w:pPr>
            <w:r>
              <w:t>Komisijos siūlomas tekstas</w:t>
            </w:r>
          </w:p>
        </w:tc>
        <w:tc>
          <w:tcPr>
            <w:tcW w:w="4876" w:type="dxa"/>
            <w:hideMark/>
          </w:tcPr>
          <w:p w:rsidR="00C136C4" w:rsidRPr="00C136C4" w:rsidP="003272CB" w14:paraId="1E280495" w14:textId="77777777">
            <w:pPr>
              <w:pStyle w:val="AmColumnHeading"/>
              <w:keepNext/>
            </w:pPr>
            <w:r>
              <w:t>Pakeitimas</w:t>
            </w:r>
          </w:p>
        </w:tc>
      </w:tr>
      <w:tr w14:paraId="5A43C8D8"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61A5142E" w14:textId="77777777">
            <w:pPr>
              <w:pStyle w:val="Normal6a"/>
            </w:pPr>
          </w:p>
        </w:tc>
        <w:tc>
          <w:tcPr>
            <w:tcW w:w="4876" w:type="dxa"/>
            <w:hideMark/>
          </w:tcPr>
          <w:p w:rsidR="00C136C4" w:rsidRPr="00C136C4" w:rsidP="003272CB" w14:paraId="15041FC7" w14:textId="77777777">
            <w:pPr>
              <w:pStyle w:val="Normal6a"/>
            </w:pPr>
            <w:bookmarkStart w:id="1" w:name="_Hlk227236390"/>
            <w:r>
              <w:rPr>
                <w:b/>
                <w:i/>
              </w:rPr>
              <w:t>(40a)</w:t>
            </w:r>
            <w:r>
              <w:rPr>
                <w:b/>
                <w:i/>
              </w:rPr>
              <w:tab/>
              <w:t xml:space="preserve">labai svarbu, kad šio reglamento nuostatos ir jame nustatyta valdymo tvarka padėtų </w:t>
            </w:r>
            <w:r>
              <w:rPr>
                <w:b/>
                <w:i/>
              </w:rPr>
              <w:t>biudžeto valdymo institucijai tinkamai priimti sprendimus ir vykdyti tinkamą parlamentinę priežiūrą. Visų pirma, vadovaujantis Finansinio reglamento 47 straipsnio 2 dalimi, bet koks programos „</w:t>
            </w:r>
            <w:r>
              <w:rPr>
                <w:b/>
                <w:i/>
              </w:rPr>
              <w:t>AgoraEU</w:t>
            </w:r>
            <w:r>
              <w:rPr>
                <w:b/>
                <w:i/>
              </w:rPr>
              <w:t>“ vidinės struktūros patikslinimas turėtų būti tinkamai atspindėtas biudžeto nomenklatūroje nustatant atitinkamas biudžeto eilutes;</w:t>
            </w:r>
            <w:bookmarkEnd w:id="1"/>
          </w:p>
        </w:tc>
      </w:tr>
    </w:tbl>
    <w:bookmarkEnd w:id="0"/>
    <w:p w:rsidR="00C136C4" w:rsidRPr="00C136C4" w:rsidP="00C136C4" w14:paraId="757CDF1B" w14:textId="77777777">
      <w:pPr>
        <w:rPr>
          <w:rStyle w:val="HideTWBExt"/>
          <w:rFonts w:eastAsiaTheme="majorEastAsia"/>
        </w:rPr>
      </w:pPr>
      <w:r>
        <w:rPr>
          <w:rStyle w:val="HideTWBExt"/>
        </w:rPr>
        <w:t>&lt;/Amend&gt;</w:t>
      </w:r>
    </w:p>
    <w:p w:rsidR="00C136C4" w:rsidRPr="00C136C4" w:rsidP="00C136C4" w14:paraId="52880A71" w14:textId="77777777">
      <w:pPr>
        <w:pStyle w:val="AmNumberTabs"/>
        <w:keepNext/>
      </w:pPr>
      <w:r>
        <w:rPr>
          <w:rStyle w:val="HideTWBExt"/>
          <w:b w:val="0"/>
        </w:rPr>
        <w:t>&lt;Amend&gt;</w:t>
      </w:r>
      <w:r>
        <w:t>Pakeitimas</w:t>
      </w:r>
      <w:r>
        <w:tab/>
      </w:r>
      <w:r>
        <w:tab/>
      </w:r>
      <w:r>
        <w:rPr>
          <w:rStyle w:val="HideTWBExt"/>
          <w:b w:val="0"/>
        </w:rPr>
        <w:t>&lt;NumAm&gt;</w:t>
      </w:r>
      <w:r>
        <w:t>5</w:t>
      </w:r>
      <w:r>
        <w:rPr>
          <w:rStyle w:val="HideTWBExt"/>
          <w:b w:val="0"/>
        </w:rPr>
        <w:t>&lt;/</w:t>
      </w:r>
      <w:r>
        <w:rPr>
          <w:rStyle w:val="HideTWBExt"/>
          <w:b w:val="0"/>
        </w:rPr>
        <w:t>NumAm</w:t>
      </w:r>
      <w:r>
        <w:rPr>
          <w:rStyle w:val="HideTWBExt"/>
          <w:b w:val="0"/>
        </w:rPr>
        <w:t>&gt;</w:t>
      </w:r>
    </w:p>
    <w:p w:rsidR="00C136C4" w:rsidRPr="00C136C4" w:rsidP="00C136C4" w14:paraId="48055FCD" w14:textId="77777777">
      <w:pPr>
        <w:pStyle w:val="NormalBold12b"/>
        <w:keepNext/>
      </w:pPr>
      <w:r>
        <w:rPr>
          <w:rStyle w:val="HideTWBExt"/>
          <w:b w:val="0"/>
        </w:rPr>
        <w:t>&lt;DocAmend&gt;</w:t>
      </w:r>
      <w:r>
        <w:t>Pasiūlymas dėl reglamento</w:t>
      </w:r>
      <w:r>
        <w:rPr>
          <w:rStyle w:val="HideTWBExt"/>
          <w:b w:val="0"/>
        </w:rPr>
        <w:t>&lt;/</w:t>
      </w:r>
      <w:r>
        <w:rPr>
          <w:rStyle w:val="HideTWBExt"/>
          <w:b w:val="0"/>
        </w:rPr>
        <w:t>DocAmend</w:t>
      </w:r>
      <w:r>
        <w:rPr>
          <w:rStyle w:val="HideTWBExt"/>
          <w:b w:val="0"/>
        </w:rPr>
        <w:t>&gt;</w:t>
      </w:r>
    </w:p>
    <w:p w:rsidR="00C136C4" w:rsidRPr="00C136C4" w:rsidP="00C136C4" w14:paraId="113911A5" w14:textId="77777777">
      <w:pPr>
        <w:pStyle w:val="NormalBold"/>
      </w:pPr>
      <w:r>
        <w:rPr>
          <w:rStyle w:val="HideTWBExt"/>
          <w:b w:val="0"/>
        </w:rPr>
        <w:t>&lt;Article&gt;</w:t>
      </w:r>
      <w:r>
        <w:t>40 b konstatuojamoji dalis (nauja)</w:t>
      </w:r>
      <w:r>
        <w:rPr>
          <w:rStyle w:val="HideTWBExt"/>
          <w:b w:val="0"/>
        </w:rPr>
        <w:t>&lt;/</w:t>
      </w:r>
      <w:r>
        <w:rPr>
          <w:rStyle w:val="HideTWBExt"/>
          <w:b w:val="0"/>
        </w:rPr>
        <w:t>Article</w:t>
      </w:r>
      <w:r>
        <w:rPr>
          <w:rStyle w:val="HideTWBExt"/>
          <w:b w:val="0"/>
        </w:rPr>
        <w:t>&gt;</w:t>
      </w:r>
    </w:p>
    <w:tbl>
      <w:tblPr>
        <w:tblW w:w="9752" w:type="dxa"/>
        <w:jc w:val="center"/>
        <w:tblLayout w:type="fixed"/>
        <w:tblCellMar>
          <w:left w:w="340" w:type="dxa"/>
          <w:right w:w="340" w:type="dxa"/>
        </w:tblCellMar>
        <w:tblLook w:val="04A0"/>
      </w:tblPr>
      <w:tblGrid>
        <w:gridCol w:w="4876"/>
        <w:gridCol w:w="4876"/>
      </w:tblGrid>
      <w:tr w14:paraId="5B98140B" w14:textId="77777777" w:rsidTr="003272CB">
        <w:tblPrEx>
          <w:tblW w:w="9752" w:type="dxa"/>
          <w:jc w:val="center"/>
          <w:tblLayout w:type="fixed"/>
          <w:tblCellMar>
            <w:left w:w="340" w:type="dxa"/>
            <w:right w:w="340" w:type="dxa"/>
          </w:tblCellMar>
          <w:tblLook w:val="04A0"/>
        </w:tblPrEx>
        <w:trPr>
          <w:jc w:val="center"/>
        </w:trPr>
        <w:tc>
          <w:tcPr>
            <w:tcW w:w="9752" w:type="dxa"/>
            <w:gridSpan w:val="2"/>
          </w:tcPr>
          <w:p w:rsidR="00C136C4" w:rsidRPr="00C136C4" w:rsidP="003272CB" w14:paraId="55669612" w14:textId="77777777">
            <w:pPr>
              <w:keepNext/>
            </w:pPr>
          </w:p>
        </w:tc>
      </w:tr>
      <w:tr w14:paraId="2BA8A1CE"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7445CC39" w14:textId="77777777">
            <w:pPr>
              <w:pStyle w:val="AmColumnHeading"/>
              <w:keepNext/>
            </w:pPr>
            <w:r>
              <w:t>Komisijos siūlomas tekstas</w:t>
            </w:r>
          </w:p>
        </w:tc>
        <w:tc>
          <w:tcPr>
            <w:tcW w:w="4876" w:type="dxa"/>
            <w:hideMark/>
          </w:tcPr>
          <w:p w:rsidR="00C136C4" w:rsidRPr="00C136C4" w:rsidP="003272CB" w14:paraId="34B8ABEE" w14:textId="77777777">
            <w:pPr>
              <w:pStyle w:val="AmColumnHeading"/>
              <w:keepNext/>
            </w:pPr>
            <w:r>
              <w:t>Pakeitimas</w:t>
            </w:r>
          </w:p>
        </w:tc>
      </w:tr>
      <w:tr w14:paraId="628D501F"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7F54153A" w14:textId="77777777">
            <w:pPr>
              <w:pStyle w:val="Normal6a"/>
            </w:pPr>
          </w:p>
        </w:tc>
        <w:tc>
          <w:tcPr>
            <w:tcW w:w="4876" w:type="dxa"/>
            <w:hideMark/>
          </w:tcPr>
          <w:p w:rsidR="00C136C4" w:rsidRPr="00C136C4" w:rsidP="003272CB" w14:paraId="57BF5784" w14:textId="77777777">
            <w:pPr>
              <w:pStyle w:val="Normal6a"/>
            </w:pPr>
            <w:r>
              <w:rPr>
                <w:b/>
                <w:i/>
              </w:rPr>
              <w:t>(40b)</w:t>
            </w:r>
            <w:r>
              <w:rPr>
                <w:b/>
                <w:i/>
              </w:rPr>
              <w:tab/>
              <w:t xml:space="preserve">šio reglamento poveikis Sąjungos biudžetui įvertintas* pagal Sutarties dėl Europos Sąjungos veikimo 310 straipsnio 4 dalį. Jo įgyvendinimui turėtų būti skirta pakankamai finansinių ir žmogiškųjų išteklių, kartu atsižvelgiant į jo </w:t>
            </w:r>
            <w:r>
              <w:rPr>
                <w:b/>
                <w:i/>
              </w:rPr>
              <w:t>finansavimo poveikį kitoms Sąjungos programoms ar politikos sritims ir užtikrinant suderinamumą su daugiamete finansine programa, nuosavų išteklių sistema ir atitinkamu tarpinstituciniu susitarimu, taip pat su biudžeto principais, nustatytais Europos Parlamento ir Tarybos reglamente (ES, Euratomas) 2024/2509</w:t>
            </w:r>
            <w:r>
              <w:rPr>
                <w:b/>
                <w:i/>
                <w:vertAlign w:val="superscript"/>
              </w:rPr>
              <w:t>[1]</w:t>
            </w:r>
            <w:r>
              <w:rPr>
                <w:b/>
                <w:i/>
              </w:rPr>
              <w:t>.;</w:t>
            </w:r>
          </w:p>
        </w:tc>
      </w:tr>
      <w:tr w14:paraId="0CA7D7E2" w14:textId="77777777" w:rsidTr="003272CB">
        <w:tblPrEx>
          <w:tblW w:w="9752" w:type="dxa"/>
          <w:jc w:val="center"/>
          <w:tblLayout w:type="fixed"/>
          <w:tblCellMar>
            <w:left w:w="340" w:type="dxa"/>
            <w:right w:w="340" w:type="dxa"/>
          </w:tblCellMar>
          <w:tblLook w:val="04A0"/>
        </w:tblPrEx>
        <w:trPr>
          <w:jc w:val="center"/>
        </w:trPr>
        <w:tc>
          <w:tcPr>
            <w:tcW w:w="4876" w:type="dxa"/>
          </w:tcPr>
          <w:p w:rsidR="00C136C4" w:rsidRPr="00C136C4" w:rsidP="003272CB" w14:paraId="6247A80D" w14:textId="77777777">
            <w:pPr>
              <w:pStyle w:val="Normal6a"/>
            </w:pPr>
          </w:p>
        </w:tc>
        <w:tc>
          <w:tcPr>
            <w:tcW w:w="4876" w:type="dxa"/>
          </w:tcPr>
          <w:p w:rsidR="00C136C4" w:rsidRPr="00C136C4" w:rsidP="003272CB" w14:paraId="7206DF0D" w14:textId="77777777">
            <w:pPr>
              <w:pStyle w:val="Normal6a"/>
              <w:rPr>
                <w:rStyle w:val="HideTWBExt"/>
                <w:rFonts w:ascii="Times New Roman" w:hAnsi="Times New Roman"/>
                <w:noProof w:val="0"/>
                <w:vanish w:val="0"/>
                <w:color w:val="auto"/>
                <w:sz w:val="24"/>
              </w:rPr>
            </w:pPr>
            <w:r>
              <w:t>______________________</w:t>
            </w:r>
          </w:p>
        </w:tc>
      </w:tr>
      <w:tr w14:paraId="4DF063B3" w14:textId="77777777" w:rsidTr="003272CB">
        <w:tblPrEx>
          <w:tblW w:w="9752" w:type="dxa"/>
          <w:jc w:val="center"/>
          <w:tblLayout w:type="fixed"/>
          <w:tblCellMar>
            <w:left w:w="340" w:type="dxa"/>
            <w:right w:w="340" w:type="dxa"/>
          </w:tblCellMar>
          <w:tblLook w:val="04A0"/>
        </w:tblPrEx>
        <w:trPr>
          <w:jc w:val="center"/>
        </w:trPr>
        <w:tc>
          <w:tcPr>
            <w:tcW w:w="4876" w:type="dxa"/>
          </w:tcPr>
          <w:p w:rsidR="00C136C4" w:rsidRPr="00C136C4" w:rsidP="003272CB" w14:paraId="1E11AAC8" w14:textId="77777777">
            <w:pPr>
              <w:pStyle w:val="Normal6a"/>
            </w:pPr>
          </w:p>
        </w:tc>
        <w:tc>
          <w:tcPr>
            <w:tcW w:w="4876" w:type="dxa"/>
          </w:tcPr>
          <w:p w:rsidR="00C136C4" w:rsidRPr="00C136C4" w:rsidP="003272CB" w14:paraId="26D17E8B" w14:textId="77777777">
            <w:pPr>
              <w:pStyle w:val="Normal6a"/>
            </w:pPr>
            <w:r>
              <w:rPr>
                <w:b/>
                <w:i/>
                <w:vertAlign w:val="superscript"/>
              </w:rPr>
              <w:t>+</w:t>
            </w:r>
            <w:r>
              <w:rPr>
                <w:b/>
                <w:i/>
              </w:rPr>
              <w:t xml:space="preserve"> Pro </w:t>
            </w:r>
            <w:r>
              <w:rPr>
                <w:b/>
                <w:i/>
              </w:rPr>
              <w:t>memoria</w:t>
            </w:r>
            <w:r>
              <w:rPr>
                <w:b/>
                <w:i/>
              </w:rPr>
              <w:t xml:space="preserve">: Europos Parlamento Biudžeto komiteto 2026 m. liepos 15 d. pateiktas pasiūlymo dėl Europos Parlamento ir Tarybos reglamento, kuriuo nustatoma </w:t>
            </w:r>
            <w:r>
              <w:rPr>
                <w:b/>
                <w:i/>
              </w:rPr>
              <w:t>2028–2034 m. programa „</w:t>
            </w:r>
            <w:r>
              <w:rPr>
                <w:b/>
                <w:i/>
              </w:rPr>
              <w:t>AgoraEU</w:t>
            </w:r>
            <w:r>
              <w:rPr>
                <w:b/>
                <w:i/>
              </w:rPr>
              <w:t>“ ir panaikinami reglamentai (ES) 2021/692 bei (ES) 2021/818 (COM(2025)0550), biudžetinis vertinimas.</w:t>
            </w:r>
          </w:p>
        </w:tc>
      </w:tr>
      <w:tr w14:paraId="45772444" w14:textId="77777777" w:rsidTr="003272CB">
        <w:tblPrEx>
          <w:tblW w:w="9752" w:type="dxa"/>
          <w:jc w:val="center"/>
          <w:tblLayout w:type="fixed"/>
          <w:tblCellMar>
            <w:left w:w="340" w:type="dxa"/>
            <w:right w:w="340" w:type="dxa"/>
          </w:tblCellMar>
          <w:tblLook w:val="04A0"/>
        </w:tblPrEx>
        <w:trPr>
          <w:jc w:val="center"/>
        </w:trPr>
        <w:tc>
          <w:tcPr>
            <w:tcW w:w="4876" w:type="dxa"/>
          </w:tcPr>
          <w:p w:rsidR="00C136C4" w:rsidRPr="00C136C4" w:rsidP="003272CB" w14:paraId="1A2DB5A1" w14:textId="77777777">
            <w:pPr>
              <w:pStyle w:val="Normal6a"/>
            </w:pPr>
          </w:p>
        </w:tc>
        <w:tc>
          <w:tcPr>
            <w:tcW w:w="4876" w:type="dxa"/>
          </w:tcPr>
          <w:p w:rsidR="00C136C4" w:rsidRPr="00C136C4" w:rsidP="003272CB" w14:paraId="669D8EAB" w14:textId="77777777">
            <w:pPr>
              <w:pStyle w:val="Normal6a"/>
              <w:rPr>
                <w:b/>
                <w:bCs/>
                <w:i/>
                <w:iCs/>
                <w:vertAlign w:val="superscript"/>
              </w:rPr>
            </w:pPr>
            <w:r>
              <w:rPr>
                <w:b/>
                <w:i/>
                <w:vertAlign w:val="superscript"/>
              </w:rPr>
              <w:t>[1]</w:t>
            </w:r>
            <w:r>
              <w:rPr>
                <w:b/>
                <w:i/>
              </w:rPr>
              <w:t xml:space="preserve"> 2024 m. rugsėjo 23 d. Europos Parlamento ir Tarybos reglamentas (ES, Euratomas) 2024/2509 dėl Sąjungos bendrajam biudžetui taikomų finansinių taisyklių (OL L, 2024/2509, 2024 9 26, ELI: http://data.europa.eu/eli/reg/2024/2509/oj).</w:t>
            </w:r>
          </w:p>
        </w:tc>
      </w:tr>
    </w:tbl>
    <w:p w:rsidR="00C136C4" w:rsidRPr="00C136C4" w:rsidP="00C136C4" w14:paraId="06B71EFF" w14:textId="77777777">
      <w:pPr>
        <w:rPr>
          <w:rStyle w:val="HideTWBExt"/>
          <w:rFonts w:eastAsiaTheme="majorEastAsia"/>
        </w:rPr>
      </w:pPr>
      <w:r>
        <w:rPr>
          <w:rStyle w:val="HideTWBExt"/>
        </w:rPr>
        <w:t>&lt;/Amend&gt;</w:t>
      </w:r>
    </w:p>
    <w:p w:rsidR="00C136C4" w:rsidRPr="00C136C4" w:rsidP="00C136C4" w14:paraId="3A2CCB65" w14:textId="77777777">
      <w:pPr>
        <w:pStyle w:val="AmNumberTabs"/>
        <w:keepNext/>
      </w:pPr>
      <w:r>
        <w:rPr>
          <w:rStyle w:val="HideTWBExt"/>
          <w:b w:val="0"/>
        </w:rPr>
        <w:t>&lt;Amend&gt;</w:t>
      </w:r>
      <w:r>
        <w:t>Pakeitimas</w:t>
      </w:r>
      <w:r>
        <w:tab/>
      </w:r>
      <w:r>
        <w:tab/>
      </w:r>
      <w:r>
        <w:rPr>
          <w:rStyle w:val="HideTWBExt"/>
          <w:b w:val="0"/>
        </w:rPr>
        <w:t>&lt;NumAm&gt;</w:t>
      </w:r>
      <w:r>
        <w:t>6</w:t>
      </w:r>
      <w:r>
        <w:rPr>
          <w:rStyle w:val="HideTWBExt"/>
          <w:b w:val="0"/>
        </w:rPr>
        <w:t>&lt;/</w:t>
      </w:r>
      <w:r>
        <w:rPr>
          <w:rStyle w:val="HideTWBExt"/>
          <w:b w:val="0"/>
        </w:rPr>
        <w:t>NumAm</w:t>
      </w:r>
      <w:r>
        <w:rPr>
          <w:rStyle w:val="HideTWBExt"/>
          <w:b w:val="0"/>
        </w:rPr>
        <w:t>&gt;</w:t>
      </w:r>
    </w:p>
    <w:p w:rsidR="00C136C4" w:rsidRPr="00C136C4" w:rsidP="00C136C4" w14:paraId="6383A25A" w14:textId="77777777">
      <w:pPr>
        <w:pStyle w:val="NormalBold12b"/>
        <w:keepNext/>
      </w:pPr>
      <w:r>
        <w:rPr>
          <w:rStyle w:val="HideTWBExt"/>
          <w:b w:val="0"/>
        </w:rPr>
        <w:t>&lt;DocAmend&gt;</w:t>
      </w:r>
      <w:r>
        <w:t>Pasiūlymas dėl reglamento</w:t>
      </w:r>
      <w:r>
        <w:rPr>
          <w:rStyle w:val="HideTWBExt"/>
          <w:b w:val="0"/>
        </w:rPr>
        <w:t>&lt;/</w:t>
      </w:r>
      <w:r>
        <w:rPr>
          <w:rStyle w:val="HideTWBExt"/>
          <w:b w:val="0"/>
        </w:rPr>
        <w:t>DocAmend</w:t>
      </w:r>
      <w:r>
        <w:rPr>
          <w:rStyle w:val="HideTWBExt"/>
          <w:b w:val="0"/>
        </w:rPr>
        <w:t>&gt;</w:t>
      </w:r>
    </w:p>
    <w:p w:rsidR="00C136C4" w:rsidRPr="00C136C4" w:rsidP="00C136C4" w14:paraId="4BF84D88" w14:textId="77777777">
      <w:pPr>
        <w:pStyle w:val="NormalBold"/>
      </w:pPr>
      <w:r>
        <w:rPr>
          <w:rStyle w:val="HideTWBExt"/>
          <w:b w:val="0"/>
        </w:rPr>
        <w:t>&lt;Article&gt;</w:t>
      </w:r>
      <w:r>
        <w:t>11 straipsnio 1 dalis</w:t>
      </w:r>
      <w:r>
        <w:rPr>
          <w:rStyle w:val="HideTWBExt"/>
          <w:b w:val="0"/>
        </w:rPr>
        <w:t>&lt;/</w:t>
      </w:r>
      <w:r>
        <w:rPr>
          <w:rStyle w:val="HideTWBExt"/>
          <w:b w:val="0"/>
        </w:rPr>
        <w:t>Article</w:t>
      </w:r>
      <w:r>
        <w:rPr>
          <w:rStyle w:val="HideTWBExt"/>
          <w:b w:val="0"/>
        </w:rPr>
        <w:t>&gt;</w:t>
      </w:r>
    </w:p>
    <w:tbl>
      <w:tblPr>
        <w:tblW w:w="9752" w:type="dxa"/>
        <w:jc w:val="center"/>
        <w:tblLayout w:type="fixed"/>
        <w:tblCellMar>
          <w:left w:w="340" w:type="dxa"/>
          <w:right w:w="340" w:type="dxa"/>
        </w:tblCellMar>
        <w:tblLook w:val="04A0"/>
      </w:tblPr>
      <w:tblGrid>
        <w:gridCol w:w="4876"/>
        <w:gridCol w:w="4876"/>
      </w:tblGrid>
      <w:tr w14:paraId="4F30E120" w14:textId="77777777" w:rsidTr="003272CB">
        <w:tblPrEx>
          <w:tblW w:w="9752" w:type="dxa"/>
          <w:jc w:val="center"/>
          <w:tblLayout w:type="fixed"/>
          <w:tblCellMar>
            <w:left w:w="340" w:type="dxa"/>
            <w:right w:w="340" w:type="dxa"/>
          </w:tblCellMar>
          <w:tblLook w:val="04A0"/>
        </w:tblPrEx>
        <w:trPr>
          <w:jc w:val="center"/>
        </w:trPr>
        <w:tc>
          <w:tcPr>
            <w:tcW w:w="9752" w:type="dxa"/>
            <w:gridSpan w:val="2"/>
          </w:tcPr>
          <w:p w:rsidR="00C136C4" w:rsidRPr="00C136C4" w:rsidP="003272CB" w14:paraId="0FC33765" w14:textId="77777777">
            <w:pPr>
              <w:keepNext/>
            </w:pPr>
          </w:p>
        </w:tc>
      </w:tr>
      <w:tr w14:paraId="2E7AA4A1"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213974C0" w14:textId="77777777">
            <w:pPr>
              <w:pStyle w:val="AmColumnHeading"/>
              <w:keepNext/>
            </w:pPr>
            <w:r>
              <w:t>Komisijos siūlomas tekstas</w:t>
            </w:r>
          </w:p>
        </w:tc>
        <w:tc>
          <w:tcPr>
            <w:tcW w:w="4876" w:type="dxa"/>
            <w:hideMark/>
          </w:tcPr>
          <w:p w:rsidR="00C136C4" w:rsidRPr="00C136C4" w:rsidP="003272CB" w14:paraId="3440A159" w14:textId="77777777">
            <w:pPr>
              <w:pStyle w:val="AmColumnHeading"/>
              <w:keepNext/>
            </w:pPr>
            <w:r>
              <w:t>Pakeitimas</w:t>
            </w:r>
          </w:p>
        </w:tc>
      </w:tr>
      <w:tr w14:paraId="69254658"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320A9167" w14:textId="77777777">
            <w:pPr>
              <w:pStyle w:val="Normal6a"/>
            </w:pPr>
            <w:r>
              <w:t>1.</w:t>
            </w:r>
            <w:r>
              <w:rPr>
                <w:b/>
                <w:i/>
              </w:rPr>
              <w:tab/>
              <w:t>Programos</w:t>
            </w:r>
            <w:r>
              <w:t xml:space="preserve"> įgyvendinimo 2028–2034 m. </w:t>
            </w:r>
            <w:r>
              <w:rPr>
                <w:b/>
                <w:i/>
              </w:rPr>
              <w:t>orientacinis finansinis</w:t>
            </w:r>
            <w:r>
              <w:t xml:space="preserve"> paketas yra </w:t>
            </w:r>
            <w:r>
              <w:rPr>
                <w:b/>
                <w:i/>
              </w:rPr>
              <w:t>8 582 000 000 EUR</w:t>
            </w:r>
            <w:r>
              <w:t xml:space="preserve"> einamosiomis kainomis.</w:t>
            </w:r>
          </w:p>
        </w:tc>
        <w:tc>
          <w:tcPr>
            <w:tcW w:w="4876" w:type="dxa"/>
            <w:hideMark/>
          </w:tcPr>
          <w:p w:rsidR="00C136C4" w:rsidRPr="00C136C4" w:rsidP="003272CB" w14:paraId="5A78D8E2" w14:textId="77777777">
            <w:pPr>
              <w:pStyle w:val="Normal6a"/>
            </w:pPr>
            <w:r>
              <w:t>1.</w:t>
            </w:r>
            <w:r>
              <w:rPr>
                <w:b/>
                <w:i/>
              </w:rPr>
              <w:tab/>
              <w:t>Šio reglamento</w:t>
            </w:r>
            <w:r>
              <w:t xml:space="preserve"> įgyvendinimo 2028–2034 m. </w:t>
            </w:r>
            <w:r>
              <w:rPr>
                <w:b/>
                <w:i/>
              </w:rPr>
              <w:t>programos</w:t>
            </w:r>
            <w:r>
              <w:t xml:space="preserve"> paketas yra </w:t>
            </w:r>
            <w:r>
              <w:rPr>
                <w:b/>
                <w:i/>
              </w:rPr>
              <w:t xml:space="preserve">10 720 330 000 EUR </w:t>
            </w:r>
            <w:r>
              <w:t>einamosiomis kainomis</w:t>
            </w:r>
            <w:r>
              <w:rPr>
                <w:b/>
                <w:i/>
              </w:rPr>
              <w:t xml:space="preserve"> (9 500 000 000 EUR</w:t>
            </w:r>
            <w:r>
              <w:t xml:space="preserve"> </w:t>
            </w:r>
            <w:r>
              <w:rPr>
                <w:b/>
                <w:i/>
              </w:rPr>
              <w:t>2025 m. kainomis)</w:t>
            </w:r>
            <w:r>
              <w:t>.</w:t>
            </w:r>
          </w:p>
        </w:tc>
      </w:tr>
    </w:tbl>
    <w:p w:rsidR="00C136C4" w:rsidRPr="00C136C4" w:rsidP="00C136C4" w14:paraId="56087B8E" w14:textId="77777777">
      <w:pPr>
        <w:rPr>
          <w:rStyle w:val="HideTWBExt"/>
          <w:rFonts w:eastAsiaTheme="majorEastAsia"/>
        </w:rPr>
      </w:pPr>
      <w:r>
        <w:rPr>
          <w:rStyle w:val="HideTWBExt"/>
        </w:rPr>
        <w:t>&lt;/Amend&gt;</w:t>
      </w:r>
    </w:p>
    <w:p w:rsidR="00C136C4" w:rsidRPr="00C136C4" w:rsidP="00C136C4" w14:paraId="1E78CB68" w14:textId="77777777">
      <w:pPr>
        <w:pStyle w:val="AmNumberTabs"/>
        <w:keepNext/>
      </w:pPr>
      <w:r>
        <w:rPr>
          <w:rStyle w:val="HideTWBExt"/>
          <w:b w:val="0"/>
        </w:rPr>
        <w:t>&lt;Amend&gt;</w:t>
      </w:r>
      <w:r>
        <w:t>Pakeitimas</w:t>
      </w:r>
      <w:r>
        <w:tab/>
      </w:r>
      <w:r>
        <w:tab/>
      </w:r>
      <w:r>
        <w:rPr>
          <w:rStyle w:val="HideTWBExt"/>
          <w:b w:val="0"/>
        </w:rPr>
        <w:t>&lt;NumAm&gt;</w:t>
      </w:r>
      <w:r>
        <w:t>7</w:t>
      </w:r>
      <w:r>
        <w:rPr>
          <w:rStyle w:val="HideTWBExt"/>
          <w:b w:val="0"/>
        </w:rPr>
        <w:t>&lt;/</w:t>
      </w:r>
      <w:r>
        <w:rPr>
          <w:rStyle w:val="HideTWBExt"/>
          <w:b w:val="0"/>
        </w:rPr>
        <w:t>NumAm</w:t>
      </w:r>
      <w:r>
        <w:rPr>
          <w:rStyle w:val="HideTWBExt"/>
          <w:b w:val="0"/>
        </w:rPr>
        <w:t>&gt;</w:t>
      </w:r>
    </w:p>
    <w:p w:rsidR="00C136C4" w:rsidRPr="00C136C4" w:rsidP="00C136C4" w14:paraId="1B201FF0" w14:textId="77777777">
      <w:pPr>
        <w:pStyle w:val="NormalBold12b"/>
        <w:keepNext/>
      </w:pPr>
      <w:r>
        <w:rPr>
          <w:rStyle w:val="HideTWBExt"/>
          <w:b w:val="0"/>
        </w:rPr>
        <w:t>&lt;DocAmend&gt;</w:t>
      </w:r>
      <w:r>
        <w:t>Pasiūlymas dėl reglamento</w:t>
      </w:r>
      <w:r>
        <w:rPr>
          <w:rStyle w:val="HideTWBExt"/>
          <w:b w:val="0"/>
        </w:rPr>
        <w:t>&lt;/</w:t>
      </w:r>
      <w:r>
        <w:rPr>
          <w:rStyle w:val="HideTWBExt"/>
          <w:b w:val="0"/>
        </w:rPr>
        <w:t>DocAmend</w:t>
      </w:r>
      <w:r>
        <w:rPr>
          <w:rStyle w:val="HideTWBExt"/>
          <w:b w:val="0"/>
        </w:rPr>
        <w:t>&gt;</w:t>
      </w:r>
    </w:p>
    <w:p w:rsidR="00C136C4" w:rsidRPr="00C136C4" w:rsidP="00C136C4" w14:paraId="3A75F4C8" w14:textId="77777777">
      <w:pPr>
        <w:pStyle w:val="NormalBold"/>
      </w:pPr>
      <w:r>
        <w:rPr>
          <w:rStyle w:val="HideTWBExt"/>
          <w:b w:val="0"/>
        </w:rPr>
        <w:t>&lt;Article&gt;</w:t>
      </w:r>
      <w:r>
        <w:t>13 straipsnio 1 dalis</w:t>
      </w:r>
      <w:r>
        <w:rPr>
          <w:rStyle w:val="HideTWBExt"/>
          <w:b w:val="0"/>
        </w:rPr>
        <w:t>&lt;/</w:t>
      </w:r>
      <w:r>
        <w:rPr>
          <w:rStyle w:val="HideTWBExt"/>
          <w:b w:val="0"/>
        </w:rPr>
        <w:t>Article</w:t>
      </w:r>
      <w:r>
        <w:rPr>
          <w:rStyle w:val="HideTWBExt"/>
          <w:b w:val="0"/>
        </w:rPr>
        <w:t>&gt;</w:t>
      </w:r>
    </w:p>
    <w:tbl>
      <w:tblPr>
        <w:tblW w:w="9752" w:type="dxa"/>
        <w:jc w:val="center"/>
        <w:tblLayout w:type="fixed"/>
        <w:tblCellMar>
          <w:left w:w="340" w:type="dxa"/>
          <w:right w:w="340" w:type="dxa"/>
        </w:tblCellMar>
        <w:tblLook w:val="04A0"/>
      </w:tblPr>
      <w:tblGrid>
        <w:gridCol w:w="4876"/>
        <w:gridCol w:w="4876"/>
      </w:tblGrid>
      <w:tr w14:paraId="5CD9F4F6" w14:textId="77777777" w:rsidTr="003272CB">
        <w:tblPrEx>
          <w:tblW w:w="9752" w:type="dxa"/>
          <w:jc w:val="center"/>
          <w:tblLayout w:type="fixed"/>
          <w:tblCellMar>
            <w:left w:w="340" w:type="dxa"/>
            <w:right w:w="340" w:type="dxa"/>
          </w:tblCellMar>
          <w:tblLook w:val="04A0"/>
        </w:tblPrEx>
        <w:trPr>
          <w:jc w:val="center"/>
        </w:trPr>
        <w:tc>
          <w:tcPr>
            <w:tcW w:w="9752" w:type="dxa"/>
            <w:gridSpan w:val="2"/>
          </w:tcPr>
          <w:p w:rsidR="00C136C4" w:rsidRPr="00C136C4" w:rsidP="003272CB" w14:paraId="5A3C7824" w14:textId="77777777">
            <w:pPr>
              <w:keepNext/>
            </w:pPr>
          </w:p>
        </w:tc>
      </w:tr>
      <w:tr w14:paraId="2890A780"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3097732F" w14:textId="77777777">
            <w:pPr>
              <w:pStyle w:val="AmColumnHeading"/>
              <w:keepNext/>
            </w:pPr>
            <w:r>
              <w:t>Komisijos siūlomas tekstas</w:t>
            </w:r>
          </w:p>
        </w:tc>
        <w:tc>
          <w:tcPr>
            <w:tcW w:w="4876" w:type="dxa"/>
            <w:hideMark/>
          </w:tcPr>
          <w:p w:rsidR="00C136C4" w:rsidRPr="00C136C4" w:rsidP="003272CB" w14:paraId="3D2AA88B" w14:textId="77777777">
            <w:pPr>
              <w:pStyle w:val="AmColumnHeading"/>
              <w:keepNext/>
            </w:pPr>
            <w:r>
              <w:t>Pakeitimas</w:t>
            </w:r>
          </w:p>
        </w:tc>
      </w:tr>
      <w:tr w14:paraId="734FF321"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5076AC85" w14:textId="77777777">
            <w:pPr>
              <w:pStyle w:val="Normal6a"/>
            </w:pPr>
            <w:r>
              <w:t>1.</w:t>
            </w:r>
            <w:r>
              <w:tab/>
              <w:t xml:space="preserve">Programa įgyvendinama </w:t>
            </w:r>
            <w:r>
              <w:t>užtikrinant sinergiją su kitomis Sąjungos programomis. Veiksmui, kuriam skirtas Sąjungos įnašas pagal kitą programą, įnašas gali būti skiriamas ir pagal Programą. Atitinkamam įnašui taikomos atitinkamos Sąjungos programos taisyklės arba visiems įnašams gali būti taikomas bendras taisyklių rinkinys ir gali būti prisiimamas vienas teisinis įsipareigojimas. Jei visi Sąjungos įnašai teikiami remiantis tinkamomis finansuoti išlaidomis, sudėtinė parama iš Sąjungos biudžeto negali viršyti visų tinkamų finansuoti v</w:t>
            </w:r>
            <w:r>
              <w:t>eiksmo išlaidų ir gali būti apskaičiuojama proporcingai pagal dokumentus, kuriuose nustatytos paramos sąlygos.</w:t>
            </w:r>
          </w:p>
        </w:tc>
        <w:tc>
          <w:tcPr>
            <w:tcW w:w="4876" w:type="dxa"/>
            <w:hideMark/>
          </w:tcPr>
          <w:p w:rsidR="00C136C4" w:rsidRPr="00C136C4" w:rsidP="003272CB" w14:paraId="73C54E0B" w14:textId="77777777">
            <w:pPr>
              <w:pStyle w:val="Normal6a"/>
            </w:pPr>
            <w:r>
              <w:t>1.</w:t>
            </w:r>
            <w:r>
              <w:tab/>
              <w:t>Programa įgyvendinama užtikrinant sinergiją su kitomis Sąjungos programomis. Veiksmui, kuriam skirtas Sąjungos įnašas pagal kitą programą, įnašas gali būti skiriamas ir pagal Programą. Atitinkamam įnašui taikomos atitinkamos Sąjungos programos taisyklės arba visiems įnašams gali būti taikomas bendras taisyklių rinkinys ir gali būti prisiimamas vienas teisinis įsipareigojimas. Jei visi Sąjungos įnašai teikiami remiantis tinkamomis finansuoti išlaidomis, sudėtinė parama iš Sąjungos biudžeto negali viršyti vi</w:t>
            </w:r>
            <w:r>
              <w:t xml:space="preserve">sų tinkamų finansuoti veiksmo išlaidų ir gali būti apskaičiuojama proporcingai pagal dokumentus, kuriuose nustatytos paramos sąlygos. </w:t>
            </w:r>
            <w:r>
              <w:rPr>
                <w:b/>
                <w:i/>
              </w:rPr>
              <w:t>Programos veiklos rezultatų suvestinėje, nustatytoje Reglamento (ES, Euratomas) 2024/2509 41 straipsnio 3 dalies h punkte, ir atitinkamuose programavimo bei ataskaitų teikimo dokumentuose Komisija aptaria programos ir kitų Sąjungos programų sinergiją.</w:t>
            </w:r>
          </w:p>
        </w:tc>
      </w:tr>
    </w:tbl>
    <w:p w:rsidR="00C136C4" w:rsidRPr="00C136C4" w:rsidP="00C136C4" w14:paraId="5D2F31FF" w14:textId="77777777">
      <w:pPr>
        <w:rPr>
          <w:rStyle w:val="HideTWBExt"/>
          <w:rFonts w:eastAsiaTheme="majorEastAsia"/>
        </w:rPr>
      </w:pPr>
      <w:r>
        <w:rPr>
          <w:rStyle w:val="HideTWBExt"/>
        </w:rPr>
        <w:t>&lt;/Amend&gt;</w:t>
      </w:r>
    </w:p>
    <w:p w:rsidR="00C136C4" w:rsidRPr="00C136C4" w:rsidP="00C136C4" w14:paraId="769DEAF6" w14:textId="77777777">
      <w:pPr>
        <w:pStyle w:val="AmNumberTabs"/>
        <w:keepNext/>
      </w:pPr>
      <w:r>
        <w:rPr>
          <w:rStyle w:val="HideTWBExt"/>
          <w:b w:val="0"/>
        </w:rPr>
        <w:t>&lt;Amend&gt;</w:t>
      </w:r>
      <w:r>
        <w:t>Pakeitimas</w:t>
      </w:r>
      <w:r>
        <w:tab/>
      </w:r>
      <w:r>
        <w:tab/>
      </w:r>
      <w:r>
        <w:rPr>
          <w:rStyle w:val="HideTWBExt"/>
          <w:b w:val="0"/>
        </w:rPr>
        <w:t>&lt;NumAm&gt;</w:t>
      </w:r>
      <w:r>
        <w:t>8</w:t>
      </w:r>
      <w:r>
        <w:rPr>
          <w:rStyle w:val="HideTWBExt"/>
          <w:b w:val="0"/>
        </w:rPr>
        <w:t>&lt;/</w:t>
      </w:r>
      <w:r>
        <w:rPr>
          <w:rStyle w:val="HideTWBExt"/>
          <w:b w:val="0"/>
        </w:rPr>
        <w:t>NumAm</w:t>
      </w:r>
      <w:r>
        <w:rPr>
          <w:rStyle w:val="HideTWBExt"/>
          <w:b w:val="0"/>
        </w:rPr>
        <w:t>&gt;</w:t>
      </w:r>
    </w:p>
    <w:p w:rsidR="00C136C4" w:rsidRPr="00C136C4" w:rsidP="00C136C4" w14:paraId="234BCBB7" w14:textId="77777777">
      <w:pPr>
        <w:pStyle w:val="NormalBold12b"/>
        <w:keepNext/>
      </w:pPr>
      <w:r>
        <w:rPr>
          <w:rStyle w:val="HideTWBExt"/>
          <w:b w:val="0"/>
        </w:rPr>
        <w:t>&lt;DocAmend&gt;</w:t>
      </w:r>
      <w:r>
        <w:t>Pasiūlymas dėl reglamento</w:t>
      </w:r>
      <w:r>
        <w:rPr>
          <w:rStyle w:val="HideTWBExt"/>
          <w:b w:val="0"/>
        </w:rPr>
        <w:t>&lt;/</w:t>
      </w:r>
      <w:r>
        <w:rPr>
          <w:rStyle w:val="HideTWBExt"/>
          <w:b w:val="0"/>
        </w:rPr>
        <w:t>DocAmend</w:t>
      </w:r>
      <w:r>
        <w:rPr>
          <w:rStyle w:val="HideTWBExt"/>
          <w:b w:val="0"/>
        </w:rPr>
        <w:t>&gt;</w:t>
      </w:r>
    </w:p>
    <w:p w:rsidR="00C136C4" w:rsidRPr="00C136C4" w:rsidP="00C136C4" w14:paraId="2DD2F822" w14:textId="77777777">
      <w:pPr>
        <w:pStyle w:val="NormalBold"/>
      </w:pPr>
      <w:r>
        <w:rPr>
          <w:rStyle w:val="HideTWBExt"/>
          <w:b w:val="0"/>
        </w:rPr>
        <w:t>&lt;Article&gt;</w:t>
      </w:r>
      <w:r>
        <w:t>15 straipsnio 4 a dalis (nauja)</w:t>
      </w:r>
      <w:r>
        <w:rPr>
          <w:rStyle w:val="HideTWBExt"/>
          <w:b w:val="0"/>
        </w:rPr>
        <w:t>&lt;/</w:t>
      </w:r>
      <w:r>
        <w:rPr>
          <w:rStyle w:val="HideTWBExt"/>
          <w:b w:val="0"/>
        </w:rPr>
        <w:t>Article</w:t>
      </w:r>
      <w:r>
        <w:rPr>
          <w:rStyle w:val="HideTWBExt"/>
          <w:b w:val="0"/>
        </w:rPr>
        <w:t>&gt;</w:t>
      </w:r>
    </w:p>
    <w:tbl>
      <w:tblPr>
        <w:tblW w:w="9752" w:type="dxa"/>
        <w:jc w:val="center"/>
        <w:tblLayout w:type="fixed"/>
        <w:tblCellMar>
          <w:left w:w="340" w:type="dxa"/>
          <w:right w:w="340" w:type="dxa"/>
        </w:tblCellMar>
        <w:tblLook w:val="04A0"/>
      </w:tblPr>
      <w:tblGrid>
        <w:gridCol w:w="4876"/>
        <w:gridCol w:w="4876"/>
      </w:tblGrid>
      <w:tr w14:paraId="5D367780" w14:textId="77777777" w:rsidTr="003272CB">
        <w:tblPrEx>
          <w:tblW w:w="9752" w:type="dxa"/>
          <w:jc w:val="center"/>
          <w:tblLayout w:type="fixed"/>
          <w:tblCellMar>
            <w:left w:w="340" w:type="dxa"/>
            <w:right w:w="340" w:type="dxa"/>
          </w:tblCellMar>
          <w:tblLook w:val="04A0"/>
        </w:tblPrEx>
        <w:trPr>
          <w:jc w:val="center"/>
        </w:trPr>
        <w:tc>
          <w:tcPr>
            <w:tcW w:w="9752" w:type="dxa"/>
            <w:gridSpan w:val="2"/>
          </w:tcPr>
          <w:p w:rsidR="00C136C4" w:rsidRPr="00C136C4" w:rsidP="003272CB" w14:paraId="1186033A" w14:textId="77777777">
            <w:pPr>
              <w:keepNext/>
            </w:pPr>
          </w:p>
        </w:tc>
      </w:tr>
      <w:tr w14:paraId="6B0E1A62"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0D934285" w14:textId="77777777">
            <w:pPr>
              <w:pStyle w:val="AmColumnHeading"/>
              <w:keepNext/>
            </w:pPr>
            <w:r>
              <w:t>Komisijos siūlomas tekstas</w:t>
            </w:r>
          </w:p>
        </w:tc>
        <w:tc>
          <w:tcPr>
            <w:tcW w:w="4876" w:type="dxa"/>
            <w:hideMark/>
          </w:tcPr>
          <w:p w:rsidR="00C136C4" w:rsidRPr="00C136C4" w:rsidP="003272CB" w14:paraId="656B93B3" w14:textId="77777777">
            <w:pPr>
              <w:pStyle w:val="AmColumnHeading"/>
              <w:keepNext/>
            </w:pPr>
            <w:r>
              <w:t>Pakeitimas</w:t>
            </w:r>
          </w:p>
        </w:tc>
      </w:tr>
      <w:tr w14:paraId="53E53072"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17171212" w14:textId="77777777">
            <w:pPr>
              <w:pStyle w:val="Normal6a"/>
            </w:pPr>
          </w:p>
        </w:tc>
        <w:tc>
          <w:tcPr>
            <w:tcW w:w="4876" w:type="dxa"/>
            <w:hideMark/>
          </w:tcPr>
          <w:p w:rsidR="00C136C4" w:rsidRPr="00C136C4" w:rsidP="003272CB" w14:paraId="6B1D08BD" w14:textId="77777777">
            <w:pPr>
              <w:pStyle w:val="Normal6a"/>
            </w:pPr>
            <w:r>
              <w:rPr>
                <w:b/>
                <w:i/>
              </w:rPr>
              <w:t>4a.</w:t>
            </w:r>
            <w:r>
              <w:rPr>
                <w:b/>
                <w:i/>
              </w:rPr>
              <w:tab/>
              <w:t xml:space="preserve">[Nuo 2028 m. sausio 1 d. / programos pradžios datos], nukrypstant nuo </w:t>
            </w:r>
            <w:r>
              <w:rPr>
                <w:b/>
                <w:i/>
              </w:rPr>
              <w:t>Reglamento (ES, Euratomas) 2024/2509 212 straipsnio 3 dalies pirmos, antros ir ketvirtos pastraipų, kai pagal Programą finansavimas finansinėms priemonėms teikiamas naudojantis EKF programa „</w:t>
            </w:r>
            <w:r>
              <w:rPr>
                <w:b/>
                <w:i/>
              </w:rPr>
              <w:t>InvestEU</w:t>
            </w:r>
            <w:r>
              <w:rPr>
                <w:b/>
                <w:i/>
              </w:rPr>
              <w:t>“, kaip nustatyta šio straipsnio 4 dalyje, iš tų finansinių priemonių gautos pajamos, grąžintos ir susigrąžintos sumos naudojamos Sąjungos paramai pagal šį reglamentą teikti. Nukrypstant nuo Reglamento (ES, Euratomas) 2024/2509 21 straipsnio 3 dalies f punkto ir pagal to reglamento 21 straipsnio 5 dalį, tie ište</w:t>
            </w:r>
            <w:r>
              <w:rPr>
                <w:b/>
                <w:i/>
              </w:rPr>
              <w:t>kliai sudaro Programos išorės asignuotąsias pajamas.</w:t>
            </w:r>
          </w:p>
        </w:tc>
      </w:tr>
    </w:tbl>
    <w:p w:rsidR="00C136C4" w:rsidRPr="00C136C4" w:rsidP="00C136C4" w14:paraId="1A8073F0" w14:textId="77777777">
      <w:pPr>
        <w:rPr>
          <w:rStyle w:val="HideTWBExt"/>
          <w:rFonts w:eastAsiaTheme="majorEastAsia"/>
        </w:rPr>
      </w:pPr>
      <w:r>
        <w:rPr>
          <w:rStyle w:val="HideTWBExt"/>
        </w:rPr>
        <w:t>&lt;/Amend&gt;</w:t>
      </w:r>
    </w:p>
    <w:p w:rsidR="00C136C4" w:rsidRPr="00C136C4" w:rsidP="00C136C4" w14:paraId="4CEC6E97" w14:textId="77777777">
      <w:pPr>
        <w:pStyle w:val="AmNumberTabs"/>
        <w:keepNext/>
      </w:pPr>
      <w:r>
        <w:rPr>
          <w:rStyle w:val="HideTWBExt"/>
          <w:b w:val="0"/>
        </w:rPr>
        <w:t>&lt;Amend&gt;</w:t>
      </w:r>
      <w:r>
        <w:t>Pakeitimas</w:t>
      </w:r>
      <w:r>
        <w:tab/>
      </w:r>
      <w:r>
        <w:tab/>
      </w:r>
      <w:r>
        <w:rPr>
          <w:rStyle w:val="HideTWBExt"/>
          <w:b w:val="0"/>
        </w:rPr>
        <w:t>&lt;NumAm&gt;</w:t>
      </w:r>
      <w:r>
        <w:t>9</w:t>
      </w:r>
      <w:r>
        <w:rPr>
          <w:rStyle w:val="HideTWBExt"/>
          <w:b w:val="0"/>
        </w:rPr>
        <w:t>&lt;/</w:t>
      </w:r>
      <w:r>
        <w:rPr>
          <w:rStyle w:val="HideTWBExt"/>
          <w:b w:val="0"/>
        </w:rPr>
        <w:t>NumAm</w:t>
      </w:r>
      <w:r>
        <w:rPr>
          <w:rStyle w:val="HideTWBExt"/>
          <w:b w:val="0"/>
        </w:rPr>
        <w:t>&gt;</w:t>
      </w:r>
    </w:p>
    <w:p w:rsidR="00C136C4" w:rsidRPr="00C136C4" w:rsidP="00C136C4" w14:paraId="255B7DBC" w14:textId="77777777">
      <w:pPr>
        <w:pStyle w:val="NormalBold12b"/>
        <w:keepNext/>
      </w:pPr>
      <w:r>
        <w:rPr>
          <w:rStyle w:val="HideTWBExt"/>
          <w:b w:val="0"/>
        </w:rPr>
        <w:t>&lt;DocAmend&gt;</w:t>
      </w:r>
      <w:r>
        <w:t>Pasiūlymas dėl reglamento</w:t>
      </w:r>
      <w:r>
        <w:rPr>
          <w:rStyle w:val="HideTWBExt"/>
          <w:b w:val="0"/>
        </w:rPr>
        <w:t>&lt;/</w:t>
      </w:r>
      <w:r>
        <w:rPr>
          <w:rStyle w:val="HideTWBExt"/>
          <w:b w:val="0"/>
        </w:rPr>
        <w:t>DocAmend</w:t>
      </w:r>
      <w:r>
        <w:rPr>
          <w:rStyle w:val="HideTWBExt"/>
          <w:b w:val="0"/>
        </w:rPr>
        <w:t>&gt;</w:t>
      </w:r>
    </w:p>
    <w:p w:rsidR="00C136C4" w:rsidRPr="00C136C4" w:rsidP="00C136C4" w14:paraId="41F357D5" w14:textId="77777777">
      <w:pPr>
        <w:pStyle w:val="NormalBold"/>
      </w:pPr>
      <w:r>
        <w:rPr>
          <w:rStyle w:val="HideTWBExt"/>
          <w:b w:val="0"/>
        </w:rPr>
        <w:t>&lt;Article&gt;</w:t>
      </w:r>
      <w:r>
        <w:t>15 straipsnio 6 dalis</w:t>
      </w:r>
      <w:r>
        <w:rPr>
          <w:rStyle w:val="HideTWBExt"/>
          <w:b w:val="0"/>
        </w:rPr>
        <w:t>&lt;/</w:t>
      </w:r>
      <w:r>
        <w:rPr>
          <w:rStyle w:val="HideTWBExt"/>
          <w:b w:val="0"/>
        </w:rPr>
        <w:t>Article</w:t>
      </w:r>
      <w:r>
        <w:rPr>
          <w:rStyle w:val="HideTWBExt"/>
          <w:b w:val="0"/>
        </w:rPr>
        <w:t>&gt;</w:t>
      </w:r>
    </w:p>
    <w:tbl>
      <w:tblPr>
        <w:tblW w:w="9752" w:type="dxa"/>
        <w:jc w:val="center"/>
        <w:tblLayout w:type="fixed"/>
        <w:tblCellMar>
          <w:left w:w="340" w:type="dxa"/>
          <w:right w:w="340" w:type="dxa"/>
        </w:tblCellMar>
        <w:tblLook w:val="04A0"/>
      </w:tblPr>
      <w:tblGrid>
        <w:gridCol w:w="4876"/>
        <w:gridCol w:w="4876"/>
      </w:tblGrid>
      <w:tr w14:paraId="7996025B" w14:textId="77777777" w:rsidTr="003272CB">
        <w:tblPrEx>
          <w:tblW w:w="9752" w:type="dxa"/>
          <w:jc w:val="center"/>
          <w:tblLayout w:type="fixed"/>
          <w:tblCellMar>
            <w:left w:w="340" w:type="dxa"/>
            <w:right w:w="340" w:type="dxa"/>
          </w:tblCellMar>
          <w:tblLook w:val="04A0"/>
        </w:tblPrEx>
        <w:trPr>
          <w:jc w:val="center"/>
        </w:trPr>
        <w:tc>
          <w:tcPr>
            <w:tcW w:w="9752" w:type="dxa"/>
            <w:gridSpan w:val="2"/>
          </w:tcPr>
          <w:p w:rsidR="00C136C4" w:rsidRPr="00C136C4" w:rsidP="003272CB" w14:paraId="2F7D6B9C" w14:textId="77777777">
            <w:pPr>
              <w:keepNext/>
            </w:pPr>
          </w:p>
        </w:tc>
      </w:tr>
      <w:tr w14:paraId="29E92460"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0AE5503A" w14:textId="77777777">
            <w:pPr>
              <w:pStyle w:val="AmColumnHeading"/>
              <w:keepNext/>
            </w:pPr>
            <w:r>
              <w:t>Komisijos siūlomas tekstas</w:t>
            </w:r>
          </w:p>
        </w:tc>
        <w:tc>
          <w:tcPr>
            <w:tcW w:w="4876" w:type="dxa"/>
            <w:hideMark/>
          </w:tcPr>
          <w:p w:rsidR="00C136C4" w:rsidRPr="00C136C4" w:rsidP="003272CB" w14:paraId="1A437B98" w14:textId="77777777">
            <w:pPr>
              <w:pStyle w:val="AmColumnHeading"/>
              <w:keepNext/>
            </w:pPr>
            <w:r>
              <w:t>Pakeitimas</w:t>
            </w:r>
          </w:p>
        </w:tc>
      </w:tr>
      <w:tr w14:paraId="1BD9DDD5" w14:textId="77777777" w:rsidTr="003272CB">
        <w:tblPrEx>
          <w:tblW w:w="9752" w:type="dxa"/>
          <w:jc w:val="center"/>
          <w:tblLayout w:type="fixed"/>
          <w:tblCellMar>
            <w:left w:w="340" w:type="dxa"/>
            <w:right w:w="340" w:type="dxa"/>
          </w:tblCellMar>
          <w:tblLook w:val="04A0"/>
        </w:tblPrEx>
        <w:trPr>
          <w:jc w:val="center"/>
        </w:trPr>
        <w:tc>
          <w:tcPr>
            <w:tcW w:w="4876" w:type="dxa"/>
            <w:hideMark/>
          </w:tcPr>
          <w:p w:rsidR="00C136C4" w:rsidRPr="00C136C4" w:rsidP="003272CB" w14:paraId="70254C84" w14:textId="77777777">
            <w:pPr>
              <w:pStyle w:val="Normal6a"/>
            </w:pPr>
            <w:r>
              <w:t>6.</w:t>
            </w:r>
            <w:r>
              <w:tab/>
            </w:r>
            <w:r>
              <w:t xml:space="preserve">Jei Sąjungos finansavimas teikiamas dotacijos forma, finansavimas pagal </w:t>
            </w:r>
            <w:r>
              <w:rPr>
                <w:b/>
                <w:i/>
              </w:rPr>
              <w:t>Reglamentą</w:t>
            </w:r>
            <w:r>
              <w:t xml:space="preserve"> (ES, Euratomas) 2024/2509 </w:t>
            </w:r>
            <w:r>
              <w:rPr>
                <w:b/>
                <w:i/>
              </w:rPr>
              <w:t>teikiamas kaip su išlaidomis nesusijęs finansavimas arba prireikus</w:t>
            </w:r>
            <w:r>
              <w:t xml:space="preserve"> supaprastintas išlaidų apmokėjimas. Finansavimas faktinių tinkamų finansuoti išlaidų kompensavimo forma gali būti teikiamas tik tuo atveju, jei veiksmo tikslų kitaip pasiekti neįmanoma.</w:t>
            </w:r>
          </w:p>
        </w:tc>
        <w:tc>
          <w:tcPr>
            <w:tcW w:w="4876" w:type="dxa"/>
            <w:hideMark/>
          </w:tcPr>
          <w:p w:rsidR="00C136C4" w:rsidRPr="00C136C4" w:rsidP="003272CB" w14:paraId="61F55565" w14:textId="77777777">
            <w:pPr>
              <w:pStyle w:val="Normal6a"/>
            </w:pPr>
            <w:r>
              <w:t>6.</w:t>
            </w:r>
            <w:r>
              <w:tab/>
              <w:t xml:space="preserve">Jei Sąjungos finansavimas teikiamas dotacijos forma, finansavimas pagal </w:t>
            </w:r>
            <w:r>
              <w:rPr>
                <w:b/>
                <w:i/>
              </w:rPr>
              <w:t>Reglamento</w:t>
            </w:r>
            <w:r>
              <w:t xml:space="preserve"> (ES, Euratomas) 2024/2509 </w:t>
            </w:r>
            <w:r>
              <w:rPr>
                <w:b/>
                <w:i/>
              </w:rPr>
              <w:t>125 straipsnį teikiamas kaip</w:t>
            </w:r>
            <w:r>
              <w:t xml:space="preserve"> supaprastintas išlaidų apmokėjimas. Finansavimas faktinių tinkamų finansuoti išlaidų kompensavimo forma gali būti teikiamas tik tuo atveju, jei veiksmo tikslų kitaip pasiekti neįmanoma.</w:t>
            </w:r>
          </w:p>
        </w:tc>
      </w:tr>
    </w:tbl>
    <w:p w:rsidR="00C136C4" w:rsidRPr="00C136C4" w:rsidP="00C136C4" w14:paraId="101FFB90" w14:textId="77777777">
      <w:r>
        <w:rPr>
          <w:rStyle w:val="HideTWBExt"/>
        </w:rPr>
        <w:t>&lt;/Amend&gt;</w:t>
      </w:r>
    </w:p>
    <w:p w:rsidR="00C136C4" w:rsidRPr="00C136C4" w:rsidP="00C136C4" w14:paraId="36028C38" w14:textId="77777777">
      <w:r>
        <w:rPr>
          <w:rStyle w:val="HideTWBExt"/>
        </w:rPr>
        <w:t>&lt;/RepeatBlock-Amend&gt;</w:t>
      </w:r>
    </w:p>
    <w:p w:rsidR="00C136C4" w:rsidRPr="00C136C4" w:rsidP="00C136C4" w14:paraId="1ACA1012" w14:textId="77777777">
      <w:pPr>
        <w:widowControl/>
        <w:rPr>
          <w:rStyle w:val="HideTWBExt"/>
        </w:rPr>
      </w:pPr>
    </w:p>
    <w:p w:rsidR="00C136C4" w:rsidRPr="00C136C4" w:rsidP="00C136C4" w14:paraId="54D74034" w14:textId="77777777">
      <w:pPr>
        <w:widowControl/>
        <w:rPr>
          <w:rStyle w:val="HideTWBExt"/>
        </w:rPr>
        <w:sectPr w:rsidSect="00C136C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136C4" w:rsidRPr="00C136C4" w:rsidP="00C136C4" w14:paraId="60C6F789" w14:textId="77777777">
      <w:pPr>
        <w:widowControl/>
      </w:pPr>
    </w:p>
    <w:p w:rsidR="00C136C4" w:rsidRPr="00C136C4" w:rsidP="00C136C4" w14:paraId="4C132B25" w14:textId="77777777">
      <w:pPr>
        <w:pStyle w:val="PageHeadingNotTOC"/>
      </w:pPr>
      <w:bookmarkStart w:id="2" w:name="FootprintPageAD"/>
      <w:r>
        <w:t xml:space="preserve">PRIEDAS. </w:t>
      </w:r>
      <w:r>
        <w:t>GAUTOS INFORMACIJOS DEKLARACIJA</w:t>
      </w:r>
    </w:p>
    <w:p w:rsidR="00C136C4" w:rsidRPr="00C136C4" w:rsidP="00C136C4" w14:paraId="166B0542" w14:textId="77777777">
      <w:pPr>
        <w:pStyle w:val="Normal24a"/>
      </w:pPr>
      <w:r>
        <w:rPr>
          <w:rStyle w:val="HideTWBExt"/>
        </w:rPr>
        <w:t>&lt;FootprintIntro&gt;</w:t>
      </w:r>
      <w:r>
        <w:t>Biudžetinio vertinimo referentė, prisiimdama visą atsakomybę, pareiškia, kad į savo biudžetinį vertinimą neįtraukė jokios interesų grupių atstovų, kuriems taikomas Tarpinstitucinis susitarimas dėl privalomo skaidrumo registro</w:t>
      </w:r>
      <w:r>
        <w:rPr>
          <w:rStyle w:val="FootnoteReference"/>
        </w:rPr>
        <w:footnoteReference w:id="6"/>
      </w:r>
      <w:r>
        <w:t>, arba trečiųjų šalių valdžios institucijų, įskaitant jų diplomatines atstovybes ir ambasadas, atstovų, kurie turi būti išvardyti šiame priede pagal Darbo tvarkos taisyklių I priedo 8 straipsnį, informacijos.</w:t>
      </w:r>
      <w:r>
        <w:rPr>
          <w:rStyle w:val="HideTWBExt"/>
        </w:rPr>
        <w:t>&lt;/</w:t>
      </w:r>
      <w:r>
        <w:rPr>
          <w:rStyle w:val="HideTWBExt"/>
        </w:rPr>
        <w:t>FootprintIntro</w:t>
      </w:r>
      <w:r>
        <w:rPr>
          <w:rStyle w:val="HideTWBExt"/>
        </w:rPr>
        <w:t>&gt;</w:t>
      </w:r>
    </w:p>
    <w:bookmarkEnd w:id="2"/>
    <w:p w:rsidR="00CD3838" w:rsidRPr="00C136C4" w:rsidP="00CD3838" w14:paraId="22B56E26" w14:textId="77777777">
      <w:pPr>
        <w:sectPr w:rsidSect="00C136C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D3838" w:rsidRPr="00C136C4" w:rsidP="00CD3838" w14:paraId="254F71FC" w14:textId="77777777">
      <w:pPr>
        <w:pStyle w:val="PageHeadingNotTOC"/>
      </w:pPr>
      <w:bookmarkStart w:id="3" w:name="ProcPageAD"/>
      <w:r>
        <w:t>BIUDŽETINĮ VERTINIMĄ TEIKIANČIO KOMITETO PROCEDŪRA</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13B53173"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3838" w:rsidRPr="00C136C4" w14:paraId="73D4A3A4" w14:textId="77777777">
            <w:pPr>
              <w:autoSpaceDE w:val="0"/>
              <w:autoSpaceDN w:val="0"/>
              <w:adjustRightInd w:val="0"/>
              <w:rPr>
                <w:b/>
                <w:bCs/>
                <w:color w:val="000000"/>
                <w:sz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3838" w:rsidRPr="00C136C4" w14:paraId="3F96B547" w14:textId="77777777">
            <w:pPr>
              <w:autoSpaceDE w:val="0"/>
              <w:autoSpaceDN w:val="0"/>
              <w:adjustRightInd w:val="0"/>
              <w:rPr>
                <w:color w:val="000000"/>
                <w:sz w:val="20"/>
              </w:rPr>
            </w:pPr>
            <w:r>
              <w:rPr>
                <w:color w:val="000000"/>
                <w:sz w:val="20"/>
              </w:rPr>
              <w:t>2028–2034 m. programos „</w:t>
            </w:r>
            <w:r>
              <w:rPr>
                <w:color w:val="000000"/>
                <w:sz w:val="20"/>
              </w:rPr>
              <w:t>AgoraEU</w:t>
            </w:r>
            <w:r>
              <w:rPr>
                <w:color w:val="000000"/>
                <w:sz w:val="20"/>
              </w:rPr>
              <w:t>“ nustatymas ir reglamentų (ES) 2021/692 bei (ES) 2021/818 panaikinimas</w:t>
            </w:r>
          </w:p>
        </w:tc>
      </w:tr>
      <w:tr w14:paraId="44B4E114"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D3838" w:rsidRPr="00C136C4" w14:paraId="2936B549" w14:textId="77777777">
            <w:pPr>
              <w:autoSpaceDE w:val="0"/>
              <w:autoSpaceDN w:val="0"/>
              <w:adjustRightInd w:val="0"/>
              <w:rPr>
                <w:b/>
                <w:bCs/>
                <w:color w:val="000000"/>
                <w:sz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D3838" w:rsidRPr="00C136C4" w14:paraId="32D58750" w14:textId="77777777">
            <w:pPr>
              <w:autoSpaceDE w:val="0"/>
              <w:autoSpaceDN w:val="0"/>
              <w:adjustRightInd w:val="0"/>
              <w:rPr>
                <w:color w:val="000000"/>
                <w:sz w:val="20"/>
              </w:rPr>
            </w:pPr>
            <w:r>
              <w:rPr>
                <w:color w:val="000000"/>
                <w:sz w:val="20"/>
              </w:rPr>
              <w:t>COM(2025)0550 – C10-0173/2025 – 2025/0550(COD)</w:t>
            </w:r>
          </w:p>
        </w:tc>
      </w:tr>
      <w:tr w14:paraId="274D0F9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3838" w:rsidRPr="00C136C4" w14:paraId="6A2B8E03" w14:textId="77777777">
            <w:pPr>
              <w:autoSpaceDE w:val="0"/>
              <w:autoSpaceDN w:val="0"/>
              <w:adjustRightInd w:val="0"/>
              <w:rPr>
                <w:b/>
                <w:bCs/>
                <w:color w:val="000000"/>
                <w:sz w:val="20"/>
              </w:rPr>
            </w:pPr>
            <w:r>
              <w:rPr>
                <w:b/>
                <w:color w:val="000000"/>
                <w:sz w:val="20"/>
              </w:rPr>
              <w:t>Atsakingi komitetai</w:t>
            </w:r>
          </w:p>
          <w:p w:rsidR="00CD3838" w:rsidRPr="00C136C4" w14:paraId="23F3E973" w14:textId="77777777">
            <w:pPr>
              <w:autoSpaceDE w:val="0"/>
              <w:autoSpaceDN w:val="0"/>
              <w:adjustRightInd w:val="0"/>
              <w:rPr>
                <w:color w:val="000000"/>
                <w:sz w:val="20"/>
              </w:rPr>
            </w:pPr>
            <w:r>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D3838" w:rsidRPr="00C136C4" w14:paraId="5F4FAAE1" w14:textId="77777777">
            <w:pPr>
              <w:autoSpaceDE w:val="0"/>
              <w:autoSpaceDN w:val="0"/>
              <w:adjustRightInd w:val="0"/>
              <w:rPr>
                <w:color w:val="000000"/>
                <w:sz w:val="20"/>
              </w:rPr>
            </w:pPr>
            <w:r>
              <w:rPr>
                <w:color w:val="000000"/>
                <w:sz w:val="20"/>
              </w:rPr>
              <w:t>CULT</w:t>
            </w:r>
          </w:p>
          <w:p w:rsidR="00CD3838" w:rsidRPr="00C136C4" w14:paraId="0E5B6C3B" w14:textId="77777777">
            <w:pPr>
              <w:autoSpaceDE w:val="0"/>
              <w:autoSpaceDN w:val="0"/>
              <w:adjustRightInd w:val="0"/>
              <w:rPr>
                <w:color w:val="000000"/>
                <w:sz w:val="20"/>
              </w:rPr>
            </w:pPr>
            <w:r>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D3838" w:rsidRPr="00C136C4" w14:paraId="6453DBE3" w14:textId="77777777">
            <w:pPr>
              <w:autoSpaceDE w:val="0"/>
              <w:autoSpaceDN w:val="0"/>
              <w:adjustRightInd w:val="0"/>
              <w:rPr>
                <w:color w:val="000000"/>
                <w:sz w:val="20"/>
              </w:rPr>
            </w:pPr>
            <w:r>
              <w:rPr>
                <w:color w:val="000000"/>
                <w:sz w:val="20"/>
              </w:rPr>
              <w:t>LIBE</w:t>
            </w:r>
          </w:p>
          <w:p w:rsidR="00CD3838" w:rsidRPr="00C136C4" w14:paraId="0027861C" w14:textId="77777777">
            <w:pPr>
              <w:autoSpaceDE w:val="0"/>
              <w:autoSpaceDN w:val="0"/>
              <w:adjustRightInd w:val="0"/>
              <w:rPr>
                <w:color w:val="000000"/>
                <w:sz w:val="20"/>
              </w:rPr>
            </w:pPr>
            <w:r>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D3838" w:rsidRPr="00C136C4" w14:paraId="07509034"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3838" w:rsidRPr="00C136C4" w14:paraId="38B8DEEE" w14:textId="77777777">
            <w:pPr>
              <w:autoSpaceDE w:val="0"/>
              <w:autoSpaceDN w:val="0"/>
              <w:adjustRightInd w:val="0"/>
              <w:rPr>
                <w:rFonts w:ascii="sans-serif" w:hAnsi="sans-serif" w:cs="sans-serif"/>
                <w:color w:val="000000"/>
              </w:rPr>
            </w:pPr>
          </w:p>
        </w:tc>
      </w:tr>
      <w:tr w14:paraId="3E748678"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3838" w:rsidRPr="00C136C4" w14:paraId="525CEFAC" w14:textId="77777777">
            <w:pPr>
              <w:autoSpaceDE w:val="0"/>
              <w:autoSpaceDN w:val="0"/>
              <w:adjustRightInd w:val="0"/>
              <w:rPr>
                <w:b/>
                <w:bCs/>
                <w:color w:val="000000"/>
                <w:sz w:val="20"/>
              </w:rPr>
            </w:pPr>
            <w:r>
              <w:rPr>
                <w:b/>
                <w:color w:val="000000"/>
                <w:sz w:val="20"/>
              </w:rPr>
              <w:t>Biudžetinį vertinimą pateikė</w:t>
            </w:r>
          </w:p>
          <w:p w:rsidR="00CD3838" w:rsidRPr="00C136C4" w14:paraId="52637A11" w14:textId="77777777">
            <w:pPr>
              <w:autoSpaceDE w:val="0"/>
              <w:autoSpaceDN w:val="0"/>
              <w:adjustRightInd w:val="0"/>
              <w:rPr>
                <w:color w:val="000000"/>
                <w:sz w:val="20"/>
              </w:rPr>
            </w:pPr>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3838" w:rsidRPr="00C136C4" w14:paraId="4D4EBD2F" w14:textId="77777777">
            <w:pPr>
              <w:autoSpaceDE w:val="0"/>
              <w:autoSpaceDN w:val="0"/>
              <w:adjustRightInd w:val="0"/>
              <w:rPr>
                <w:color w:val="000000"/>
                <w:sz w:val="20"/>
              </w:rPr>
            </w:pPr>
            <w:r>
              <w:rPr>
                <w:color w:val="000000"/>
                <w:sz w:val="20"/>
              </w:rPr>
              <w:t>BUDG</w:t>
            </w:r>
          </w:p>
          <w:p w:rsidR="00CD3838" w:rsidRPr="00C136C4" w14:paraId="60BC9A33" w14:textId="77777777">
            <w:pPr>
              <w:autoSpaceDE w:val="0"/>
              <w:autoSpaceDN w:val="0"/>
              <w:adjustRightInd w:val="0"/>
              <w:rPr>
                <w:color w:val="000000"/>
                <w:sz w:val="20"/>
              </w:rPr>
            </w:pPr>
            <w:r>
              <w:rPr>
                <w:color w:val="000000"/>
                <w:sz w:val="20"/>
              </w:rPr>
              <w:t>23.10.2025</w:t>
            </w:r>
          </w:p>
        </w:tc>
      </w:tr>
      <w:tr w14:paraId="5D681D6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3838" w:rsidRPr="00C136C4" w14:paraId="175791AC" w14:textId="77777777">
            <w:pPr>
              <w:autoSpaceDE w:val="0"/>
              <w:autoSpaceDN w:val="0"/>
              <w:adjustRightInd w:val="0"/>
              <w:rPr>
                <w:b/>
                <w:bCs/>
                <w:color w:val="000000"/>
                <w:sz w:val="20"/>
              </w:rPr>
            </w:pPr>
            <w:r>
              <w:rPr>
                <w:b/>
                <w:color w:val="000000"/>
                <w:sz w:val="20"/>
              </w:rPr>
              <w:t>Biudžetinio vertinimo referentas (-ė)</w:t>
            </w:r>
          </w:p>
          <w:p w:rsidR="00CD3838" w:rsidRPr="00C136C4" w14:paraId="157C326D" w14:textId="77777777">
            <w:pPr>
              <w:autoSpaceDE w:val="0"/>
              <w:autoSpaceDN w:val="0"/>
              <w:adjustRightInd w:val="0"/>
              <w:rPr>
                <w:color w:val="000000"/>
                <w:sz w:val="20"/>
              </w:rPr>
            </w:pPr>
            <w:r>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3838" w:rsidRPr="00C136C4" w14:paraId="58A74940" w14:textId="77777777">
            <w:pPr>
              <w:autoSpaceDE w:val="0"/>
              <w:autoSpaceDN w:val="0"/>
              <w:adjustRightInd w:val="0"/>
              <w:rPr>
                <w:color w:val="000000"/>
                <w:sz w:val="20"/>
              </w:rPr>
            </w:pPr>
            <w:r>
              <w:rPr>
                <w:color w:val="000000"/>
                <w:sz w:val="20"/>
              </w:rPr>
              <w:t xml:space="preserve">Sandra </w:t>
            </w:r>
            <w:r>
              <w:rPr>
                <w:color w:val="000000"/>
                <w:sz w:val="20"/>
              </w:rPr>
              <w:t>Gómez</w:t>
            </w:r>
            <w:r>
              <w:rPr>
                <w:color w:val="000000"/>
                <w:sz w:val="20"/>
              </w:rPr>
              <w:t xml:space="preserve"> </w:t>
            </w:r>
            <w:r>
              <w:rPr>
                <w:color w:val="000000"/>
                <w:sz w:val="20"/>
              </w:rPr>
              <w:t>López</w:t>
            </w:r>
          </w:p>
          <w:p w:rsidR="00CD3838" w:rsidRPr="00C136C4" w14:paraId="24B20B4C" w14:textId="77777777">
            <w:pPr>
              <w:autoSpaceDE w:val="0"/>
              <w:autoSpaceDN w:val="0"/>
              <w:adjustRightInd w:val="0"/>
              <w:rPr>
                <w:color w:val="000000"/>
                <w:sz w:val="20"/>
              </w:rPr>
            </w:pPr>
            <w:r>
              <w:rPr>
                <w:color w:val="000000"/>
                <w:sz w:val="20"/>
              </w:rPr>
              <w:t>25.2.2026</w:t>
            </w:r>
          </w:p>
        </w:tc>
      </w:tr>
      <w:tr w14:paraId="7FA0AF79"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3838" w:rsidRPr="00C136C4" w14:paraId="7E3DCEFD" w14:textId="77777777">
            <w:pPr>
              <w:autoSpaceDE w:val="0"/>
              <w:autoSpaceDN w:val="0"/>
              <w:adjustRightInd w:val="0"/>
              <w:rPr>
                <w:b/>
                <w:bCs/>
                <w:color w:val="000000"/>
                <w:sz w:val="20"/>
              </w:rPr>
            </w:pPr>
            <w:r>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D3838" w:rsidRPr="00C136C4" w14:paraId="243AAB6F" w14:textId="77777777">
            <w:pPr>
              <w:autoSpaceDE w:val="0"/>
              <w:autoSpaceDN w:val="0"/>
              <w:adjustRightInd w:val="0"/>
              <w:rPr>
                <w:color w:val="000000"/>
                <w:sz w:val="20"/>
              </w:rPr>
            </w:pPr>
            <w:r>
              <w:rPr>
                <w:color w:val="000000"/>
                <w:sz w:val="20"/>
              </w:rPr>
              <w:t>7.5.2026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D3838" w:rsidRPr="00C136C4" w14:paraId="79CF8DF9"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D3838" w:rsidRPr="00C136C4" w14:paraId="2A8682B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3838" w:rsidRPr="00C136C4" w14:paraId="0550963F" w14:textId="77777777">
            <w:pPr>
              <w:autoSpaceDE w:val="0"/>
              <w:autoSpaceDN w:val="0"/>
              <w:adjustRightInd w:val="0"/>
              <w:rPr>
                <w:rFonts w:ascii="sans-serif" w:hAnsi="sans-serif" w:cs="sans-serif"/>
                <w:color w:val="000000"/>
              </w:rPr>
            </w:pPr>
          </w:p>
        </w:tc>
      </w:tr>
      <w:tr w14:paraId="468FA5BA"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D3838" w:rsidRPr="00C136C4" w14:paraId="5278A4D3" w14:textId="77777777">
            <w:pPr>
              <w:autoSpaceDE w:val="0"/>
              <w:autoSpaceDN w:val="0"/>
              <w:adjustRightInd w:val="0"/>
              <w:rPr>
                <w:b/>
                <w:bCs/>
                <w:color w:val="000000"/>
                <w:sz w:val="20"/>
              </w:rPr>
            </w:pPr>
            <w:r>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rsidR="00CD3838" w:rsidRPr="00C136C4" w14:paraId="795813D5" w14:textId="77777777">
            <w:pPr>
              <w:autoSpaceDE w:val="0"/>
              <w:autoSpaceDN w:val="0"/>
              <w:adjustRightInd w:val="0"/>
              <w:rPr>
                <w:color w:val="000000"/>
                <w:sz w:val="20"/>
              </w:rPr>
            </w:pPr>
            <w:r>
              <w:rPr>
                <w:color w:val="000000"/>
                <w:sz w:val="20"/>
              </w:rPr>
              <w:t>15.7.2026</w:t>
            </w:r>
          </w:p>
        </w:tc>
        <w:tc>
          <w:tcPr>
            <w:tcW w:w="1474" w:type="dxa"/>
            <w:tcBorders>
              <w:top w:val="nil"/>
              <w:left w:val="nil"/>
              <w:bottom w:val="single" w:sz="8" w:space="0" w:color="000000"/>
              <w:right w:val="nil"/>
            </w:tcBorders>
            <w:tcMar>
              <w:top w:w="79" w:type="dxa"/>
              <w:left w:w="79" w:type="dxa"/>
              <w:bottom w:w="79" w:type="dxa"/>
              <w:right w:w="79" w:type="dxa"/>
            </w:tcMar>
          </w:tcPr>
          <w:p w:rsidR="00CD3838" w:rsidRPr="00C136C4" w14:paraId="42FDC2C6"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CD3838" w:rsidRPr="00C136C4" w14:paraId="1C25EB17"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D3838" w:rsidRPr="00C136C4" w14:paraId="75B89DEE" w14:textId="77777777">
            <w:pPr>
              <w:autoSpaceDE w:val="0"/>
              <w:autoSpaceDN w:val="0"/>
              <w:adjustRightInd w:val="0"/>
              <w:rPr>
                <w:rFonts w:ascii="sans-serif" w:hAnsi="sans-serif" w:cs="sans-serif"/>
                <w:color w:val="000000"/>
              </w:rPr>
            </w:pPr>
          </w:p>
        </w:tc>
      </w:tr>
      <w:tr w14:paraId="1FF632B4"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D3838" w:rsidRPr="00C136C4" w14:paraId="0FD5AA90" w14:textId="77777777">
            <w:pPr>
              <w:autoSpaceDE w:val="0"/>
              <w:autoSpaceDN w:val="0"/>
              <w:adjustRightInd w:val="0"/>
              <w:rPr>
                <w:b/>
                <w:bCs/>
                <w:color w:val="000000"/>
                <w:sz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D3838" w:rsidRPr="00C136C4" w14:paraId="12FD0F90" w14:textId="77777777">
            <w:pPr>
              <w:autoSpaceDE w:val="0"/>
              <w:autoSpaceDN w:val="0"/>
              <w:adjustRightInd w:val="0"/>
              <w:rPr>
                <w:color w:val="000000"/>
                <w:sz w:val="20"/>
              </w:rPr>
            </w:pPr>
            <w:r>
              <w:rPr>
                <w:color w:val="000000"/>
                <w:sz w:val="20"/>
              </w:rPr>
              <w:t>+:</w:t>
            </w:r>
          </w:p>
          <w:p w:rsidR="00CD3838" w:rsidRPr="00C136C4" w14:paraId="114AB21A" w14:textId="77777777">
            <w:pPr>
              <w:autoSpaceDE w:val="0"/>
              <w:autoSpaceDN w:val="0"/>
              <w:adjustRightInd w:val="0"/>
              <w:rPr>
                <w:color w:val="000000"/>
                <w:sz w:val="20"/>
              </w:rPr>
            </w:pPr>
            <w:r>
              <w:rPr>
                <w:color w:val="000000"/>
                <w:sz w:val="20"/>
              </w:rPr>
              <w:t>–:</w:t>
            </w:r>
          </w:p>
          <w:p w:rsidR="00CD3838" w:rsidRPr="00C136C4" w14:paraId="799F380E"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D3838" w:rsidRPr="00C136C4" w14:paraId="6C365C28" w14:textId="77777777">
            <w:pPr>
              <w:autoSpaceDE w:val="0"/>
              <w:autoSpaceDN w:val="0"/>
              <w:adjustRightInd w:val="0"/>
              <w:rPr>
                <w:color w:val="000000"/>
                <w:sz w:val="20"/>
              </w:rPr>
            </w:pPr>
            <w:r>
              <w:rPr>
                <w:color w:val="000000"/>
                <w:sz w:val="20"/>
              </w:rPr>
              <w:t>23</w:t>
            </w:r>
          </w:p>
          <w:p w:rsidR="00CD3838" w:rsidRPr="00C136C4" w14:paraId="7C7A5A19" w14:textId="77777777">
            <w:pPr>
              <w:autoSpaceDE w:val="0"/>
              <w:autoSpaceDN w:val="0"/>
              <w:adjustRightInd w:val="0"/>
              <w:rPr>
                <w:color w:val="000000"/>
                <w:sz w:val="20"/>
              </w:rPr>
            </w:pPr>
            <w:r>
              <w:rPr>
                <w:color w:val="000000"/>
                <w:sz w:val="20"/>
              </w:rPr>
              <w:t>7</w:t>
            </w:r>
          </w:p>
          <w:p w:rsidR="00CD3838" w:rsidRPr="00C136C4" w14:paraId="7CDF5CC0" w14:textId="77777777">
            <w:pPr>
              <w:autoSpaceDE w:val="0"/>
              <w:autoSpaceDN w:val="0"/>
              <w:adjustRightInd w:val="0"/>
              <w:rPr>
                <w:color w:val="000000"/>
                <w:sz w:val="20"/>
              </w:rPr>
            </w:pPr>
            <w:r>
              <w:rPr>
                <w:color w:val="000000"/>
                <w:sz w:val="20"/>
              </w:rPr>
              <w:t>1</w:t>
            </w:r>
          </w:p>
        </w:tc>
      </w:tr>
    </w:tbl>
    <w:p w:rsidR="00CD3838" w:rsidRPr="00C136C4" w14:paraId="4303EE18" w14:textId="77777777"/>
    <w:bookmarkEnd w:id="3"/>
    <w:p w:rsidR="00C136C4" w:rsidRPr="00C136C4" w:rsidP="00C136C4" w14:paraId="08D1EC3C" w14:textId="77777777">
      <w:pPr>
        <w:sectPr w:rsidSect="00C136C4">
          <w:pgSz w:w="11894" w:h="15840"/>
          <w:pgMar w:top="1700" w:right="1417" w:bottom="1417" w:left="1417" w:header="720" w:footer="720" w:gutter="0"/>
          <w:cols w:space="720"/>
          <w:noEndnote/>
          <w:docGrid w:linePitch="326"/>
        </w:sectPr>
      </w:pPr>
    </w:p>
    <w:p w:rsidR="00C136C4" w:rsidRPr="00C136C4" w:rsidP="00C136C4" w14:paraId="78606148" w14:textId="77777777"/>
    <w:p w:rsidR="00C136C4" w:rsidRPr="00C136C4" w:rsidP="00C36610" w14:paraId="2480FCCC" w14:textId="77777777">
      <w:pPr>
        <w:pStyle w:val="PageHeadingNotTOC"/>
      </w:pPr>
      <w:bookmarkStart w:id="4" w:name="RollCallPageAD"/>
      <w:r>
        <w:t>GALUTINIS VARDINIS BALSAVIMAS</w:t>
      </w:r>
      <w:r>
        <w:br/>
        <w:t>BIUDŽETINĮ VERTINIMĄ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6CAE797" w14:textId="77777777" w:rsidTr="003272CB">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136C4" w:rsidRPr="00C136C4" w:rsidP="003272CB" w14:paraId="036ED87C" w14:textId="77777777">
            <w:pPr>
              <w:pStyle w:val="RollCallVotes"/>
            </w:pPr>
            <w:r>
              <w:t>23</w:t>
            </w:r>
          </w:p>
        </w:tc>
        <w:tc>
          <w:tcPr>
            <w:tcW w:w="7371" w:type="dxa"/>
            <w:shd w:val="pct10" w:color="000000" w:fill="FFFFFF"/>
          </w:tcPr>
          <w:p w:rsidR="00C136C4" w:rsidRPr="00C136C4" w:rsidP="003272CB" w14:paraId="4E73AD44" w14:textId="77777777">
            <w:pPr>
              <w:pStyle w:val="RollCallSymbols14pt"/>
            </w:pPr>
            <w:r>
              <w:t>+</w:t>
            </w:r>
          </w:p>
        </w:tc>
      </w:tr>
      <w:tr w14:paraId="7B923056" w14:textId="77777777" w:rsidTr="003272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C136C4" w:rsidRPr="00C136C4" w:rsidP="003272CB" w14:paraId="7123562F" w14:textId="77777777">
            <w:pPr>
              <w:pStyle w:val="RollCallTable"/>
            </w:pPr>
            <w:r>
              <w:t>ECR</w:t>
            </w:r>
          </w:p>
        </w:tc>
        <w:tc>
          <w:tcPr>
            <w:tcW w:w="7371" w:type="dxa"/>
            <w:shd w:val="clear" w:color="auto" w:fill="FFFFFF"/>
          </w:tcPr>
          <w:p w:rsidR="00C136C4" w:rsidRPr="00C136C4" w:rsidP="003272CB" w14:paraId="73AE2A1B" w14:textId="77777777">
            <w:pPr>
              <w:pStyle w:val="RollCallTable"/>
            </w:pPr>
            <w:r>
              <w:t>Ruggero</w:t>
            </w:r>
            <w:r>
              <w:t xml:space="preserve"> </w:t>
            </w:r>
            <w:r>
              <w:t>Razza</w:t>
            </w:r>
          </w:p>
        </w:tc>
      </w:tr>
      <w:tr w14:paraId="51B15320" w14:textId="77777777" w:rsidTr="003272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C136C4" w:rsidRPr="00C136C4" w:rsidP="003272CB" w14:paraId="32554E0D" w14:textId="77777777">
            <w:pPr>
              <w:pStyle w:val="RollCallTable"/>
            </w:pPr>
            <w:r>
              <w:t>PPE</w:t>
            </w:r>
          </w:p>
        </w:tc>
        <w:tc>
          <w:tcPr>
            <w:tcW w:w="7371" w:type="dxa"/>
            <w:shd w:val="clear" w:color="auto" w:fill="FFFFFF"/>
          </w:tcPr>
          <w:p w:rsidR="00C136C4" w:rsidRPr="00C136C4" w:rsidP="003272CB" w14:paraId="0DA0177A" w14:textId="77777777">
            <w:pPr>
              <w:pStyle w:val="RollCallTable"/>
            </w:pPr>
            <w:r>
              <w:t>Georgios</w:t>
            </w:r>
            <w:r>
              <w:t xml:space="preserve"> </w:t>
            </w:r>
            <w:r>
              <w:t>Aftias</w:t>
            </w:r>
            <w:r>
              <w:t xml:space="preserve">, </w:t>
            </w:r>
            <w:r>
              <w:t>Michalis</w:t>
            </w:r>
            <w:r>
              <w:t xml:space="preserve"> </w:t>
            </w:r>
            <w:r>
              <w:t>Hadjipantela</w:t>
            </w:r>
            <w:r>
              <w:t xml:space="preserve">, Monika </w:t>
            </w:r>
            <w:r>
              <w:t>Hohlmeier</w:t>
            </w:r>
            <w:r>
              <w:t xml:space="preserve">, </w:t>
            </w:r>
            <w:r>
              <w:t>Kinga</w:t>
            </w:r>
            <w:r>
              <w:t xml:space="preserve"> </w:t>
            </w:r>
            <w:r>
              <w:t>Kollár</w:t>
            </w:r>
            <w:r>
              <w:t xml:space="preserve">, </w:t>
            </w:r>
            <w:r>
              <w:t>Janusz</w:t>
            </w:r>
            <w:r>
              <w:t xml:space="preserve"> </w:t>
            </w:r>
            <w:r>
              <w:t>Lewandowski</w:t>
            </w:r>
            <w:r>
              <w:t xml:space="preserve">, </w:t>
            </w:r>
            <w:r>
              <w:t>Danuše</w:t>
            </w:r>
            <w:r>
              <w:t xml:space="preserve"> </w:t>
            </w:r>
            <w:r>
              <w:t>Nerudová</w:t>
            </w:r>
            <w:r>
              <w:t xml:space="preserve">, </w:t>
            </w:r>
            <w:r>
              <w:t>Jacek</w:t>
            </w:r>
            <w:r>
              <w:t xml:space="preserve"> Protas, </w:t>
            </w:r>
            <w:r>
              <w:t>Jüri</w:t>
            </w:r>
            <w:r>
              <w:t xml:space="preserve"> Ratas, Karlo </w:t>
            </w:r>
            <w:r>
              <w:t>Ressler</w:t>
            </w:r>
            <w:r>
              <w:t xml:space="preserve">, </w:t>
            </w:r>
            <w:r>
              <w:t>Hélder</w:t>
            </w:r>
            <w:r>
              <w:t xml:space="preserve"> </w:t>
            </w:r>
            <w:r>
              <w:t>Sousa</w:t>
            </w:r>
            <w:r>
              <w:t xml:space="preserve"> Silva</w:t>
            </w:r>
          </w:p>
        </w:tc>
      </w:tr>
      <w:tr w14:paraId="72FBF3A5" w14:textId="77777777" w:rsidTr="003272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C136C4" w:rsidRPr="00C136C4" w:rsidP="003272CB" w14:paraId="1ACEC81F" w14:textId="77777777">
            <w:pPr>
              <w:pStyle w:val="RollCallTable"/>
            </w:pPr>
            <w:r>
              <w:t>Renew</w:t>
            </w:r>
          </w:p>
        </w:tc>
        <w:tc>
          <w:tcPr>
            <w:tcW w:w="7371" w:type="dxa"/>
            <w:shd w:val="clear" w:color="auto" w:fill="FFFFFF"/>
          </w:tcPr>
          <w:p w:rsidR="00C136C4" w:rsidRPr="00C136C4" w:rsidP="003272CB" w14:paraId="09E00A68" w14:textId="77777777">
            <w:pPr>
              <w:pStyle w:val="RollCallTable"/>
            </w:pPr>
            <w:r>
              <w:t>Olivier</w:t>
            </w:r>
            <w:r>
              <w:t xml:space="preserve"> </w:t>
            </w:r>
            <w:r>
              <w:t>Chastel</w:t>
            </w:r>
            <w:r>
              <w:t xml:space="preserve">, </w:t>
            </w:r>
            <w:r>
              <w:t>Fabienne</w:t>
            </w:r>
            <w:r>
              <w:t xml:space="preserve"> </w:t>
            </w:r>
            <w:r>
              <w:t>Keller</w:t>
            </w:r>
            <w:r>
              <w:t xml:space="preserve">, </w:t>
            </w:r>
            <w:r>
              <w:t>Lucia</w:t>
            </w:r>
            <w:r>
              <w:t xml:space="preserve"> </w:t>
            </w:r>
            <w:r>
              <w:t>Yar</w:t>
            </w:r>
          </w:p>
        </w:tc>
      </w:tr>
      <w:tr w14:paraId="55B33A57" w14:textId="77777777" w:rsidTr="003272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C136C4" w:rsidRPr="00C136C4" w:rsidP="003272CB" w14:paraId="46BF062A" w14:textId="77777777">
            <w:pPr>
              <w:pStyle w:val="RollCallTable"/>
            </w:pPr>
            <w:r>
              <w:t>S&amp;D</w:t>
            </w:r>
          </w:p>
        </w:tc>
        <w:tc>
          <w:tcPr>
            <w:tcW w:w="7371" w:type="dxa"/>
            <w:shd w:val="clear" w:color="auto" w:fill="FFFFFF"/>
          </w:tcPr>
          <w:p w:rsidR="00C136C4" w:rsidRPr="00C136C4" w:rsidP="003272CB" w14:paraId="295C519A" w14:textId="77777777">
            <w:pPr>
              <w:pStyle w:val="RollCallTable"/>
            </w:pPr>
            <w:r>
              <w:t>Matthias</w:t>
            </w:r>
            <w:r>
              <w:t xml:space="preserve"> </w:t>
            </w:r>
            <w:r>
              <w:t>Ecke</w:t>
            </w:r>
            <w:r>
              <w:t xml:space="preserve">, </w:t>
            </w:r>
            <w:r>
              <w:t>Jean-Marc</w:t>
            </w:r>
            <w:r>
              <w:t xml:space="preserve"> </w:t>
            </w:r>
            <w:r>
              <w:t>Germain</w:t>
            </w:r>
            <w:r>
              <w:t xml:space="preserve">, Sandra </w:t>
            </w:r>
            <w:r>
              <w:t>Gómez</w:t>
            </w:r>
            <w:r>
              <w:t xml:space="preserve"> </w:t>
            </w:r>
            <w:r>
              <w:t>López</w:t>
            </w:r>
            <w:r>
              <w:t xml:space="preserve">, </w:t>
            </w:r>
            <w:r>
              <w:t>Giuseppe</w:t>
            </w:r>
            <w:r>
              <w:t xml:space="preserve"> Lupo, </w:t>
            </w:r>
            <w:r>
              <w:t>Matjaž</w:t>
            </w:r>
            <w:r>
              <w:t xml:space="preserve"> </w:t>
            </w:r>
            <w:r>
              <w:t>Nemec</w:t>
            </w:r>
            <w:r>
              <w:t xml:space="preserve">, </w:t>
            </w:r>
            <w:r>
              <w:t>Carla</w:t>
            </w:r>
            <w:r>
              <w:t xml:space="preserve"> </w:t>
            </w:r>
            <w:r>
              <w:t>Tavares</w:t>
            </w:r>
            <w:r>
              <w:t xml:space="preserve">, </w:t>
            </w:r>
            <w:r>
              <w:t>Nils</w:t>
            </w:r>
            <w:r>
              <w:t xml:space="preserve"> </w:t>
            </w:r>
            <w:r>
              <w:t>Ušakovs</w:t>
            </w:r>
          </w:p>
        </w:tc>
      </w:tr>
      <w:tr w14:paraId="4D3261BA" w14:textId="77777777" w:rsidTr="003272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C136C4" w:rsidRPr="00C136C4" w:rsidP="003272CB" w14:paraId="57D1FAB0" w14:textId="77777777">
            <w:pPr>
              <w:pStyle w:val="RollCallTable"/>
            </w:pPr>
            <w:r>
              <w:t>Verts</w:t>
            </w:r>
            <w:r>
              <w:t>/ALE</w:t>
            </w:r>
          </w:p>
        </w:tc>
        <w:tc>
          <w:tcPr>
            <w:tcW w:w="7371" w:type="dxa"/>
            <w:shd w:val="clear" w:color="auto" w:fill="FFFFFF"/>
          </w:tcPr>
          <w:p w:rsidR="00C136C4" w:rsidRPr="00C136C4" w:rsidP="003272CB" w14:paraId="2D8B1F09" w14:textId="77777777">
            <w:pPr>
              <w:pStyle w:val="RollCallTable"/>
            </w:pPr>
            <w:r>
              <w:t>Ignazio</w:t>
            </w:r>
            <w:r>
              <w:t xml:space="preserve"> Roberto Marino, </w:t>
            </w:r>
            <w:r>
              <w:t>Rasmus</w:t>
            </w:r>
            <w:r>
              <w:t xml:space="preserve"> </w:t>
            </w:r>
            <w:r>
              <w:t>Nordqvist</w:t>
            </w:r>
          </w:p>
        </w:tc>
      </w:tr>
    </w:tbl>
    <w:p w:rsidR="00C136C4" w:rsidRPr="00C136C4" w:rsidP="00C136C4" w14:paraId="20DC0506"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AA72B30" w14:textId="77777777" w:rsidTr="003272CB">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136C4" w:rsidRPr="00C136C4" w:rsidP="003272CB" w14:paraId="33B97299" w14:textId="77777777">
            <w:pPr>
              <w:pStyle w:val="RollCallVotes"/>
            </w:pPr>
            <w:r>
              <w:t>7</w:t>
            </w:r>
          </w:p>
        </w:tc>
        <w:tc>
          <w:tcPr>
            <w:tcW w:w="7371" w:type="dxa"/>
            <w:shd w:val="pct10" w:color="000000" w:fill="FFFFFF"/>
          </w:tcPr>
          <w:p w:rsidR="00C136C4" w:rsidRPr="00C136C4" w:rsidP="003272CB" w14:paraId="6C6E32FE" w14:textId="77777777">
            <w:pPr>
              <w:pStyle w:val="RollCallSymbols14pt"/>
            </w:pPr>
            <w:r>
              <w:t>-</w:t>
            </w:r>
          </w:p>
        </w:tc>
      </w:tr>
      <w:tr w14:paraId="79253082" w14:textId="77777777" w:rsidTr="003272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C136C4" w:rsidRPr="00C136C4" w:rsidP="003272CB" w14:paraId="5A30C673" w14:textId="77777777">
            <w:pPr>
              <w:pStyle w:val="RollCallTable"/>
            </w:pPr>
            <w:r>
              <w:t>ESN</w:t>
            </w:r>
          </w:p>
        </w:tc>
        <w:tc>
          <w:tcPr>
            <w:tcW w:w="7371" w:type="dxa"/>
            <w:shd w:val="clear" w:color="auto" w:fill="FFFFFF"/>
          </w:tcPr>
          <w:p w:rsidR="00C136C4" w:rsidRPr="00C136C4" w:rsidP="003272CB" w14:paraId="1C3A06D7" w14:textId="77777777">
            <w:pPr>
              <w:pStyle w:val="RollCallTable"/>
            </w:pPr>
            <w:r>
              <w:t>Alexander</w:t>
            </w:r>
            <w:r>
              <w:t xml:space="preserve"> </w:t>
            </w:r>
            <w:r>
              <w:t>Jungbluth</w:t>
            </w:r>
          </w:p>
        </w:tc>
      </w:tr>
      <w:tr w14:paraId="32EA018F" w14:textId="77777777" w:rsidTr="003272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C136C4" w:rsidRPr="00C136C4" w:rsidP="003272CB" w14:paraId="22C2D33B" w14:textId="77777777">
            <w:pPr>
              <w:pStyle w:val="RollCallTable"/>
            </w:pPr>
            <w:r>
              <w:t>NI</w:t>
            </w:r>
          </w:p>
        </w:tc>
        <w:tc>
          <w:tcPr>
            <w:tcW w:w="7371" w:type="dxa"/>
            <w:shd w:val="clear" w:color="auto" w:fill="FFFFFF"/>
          </w:tcPr>
          <w:p w:rsidR="00C136C4" w:rsidRPr="00C136C4" w:rsidP="003272CB" w14:paraId="272E3668" w14:textId="77777777">
            <w:pPr>
              <w:pStyle w:val="RollCallTable"/>
            </w:pPr>
            <w:r>
              <w:t>Thomas</w:t>
            </w:r>
            <w:r>
              <w:t xml:space="preserve"> </w:t>
            </w:r>
            <w:r>
              <w:t>Geisel</w:t>
            </w:r>
          </w:p>
        </w:tc>
      </w:tr>
      <w:tr w14:paraId="4A72470F" w14:textId="77777777" w:rsidTr="003272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C136C4" w:rsidRPr="00C136C4" w:rsidP="003272CB" w14:paraId="564A9341" w14:textId="77777777">
            <w:pPr>
              <w:pStyle w:val="RollCallTable"/>
            </w:pPr>
            <w:r>
              <w:t>PfE</w:t>
            </w:r>
          </w:p>
        </w:tc>
        <w:tc>
          <w:tcPr>
            <w:tcW w:w="7371" w:type="dxa"/>
            <w:shd w:val="clear" w:color="auto" w:fill="FFFFFF"/>
          </w:tcPr>
          <w:p w:rsidR="00C136C4" w:rsidRPr="00C136C4" w:rsidP="003272CB" w14:paraId="06000952" w14:textId="77777777">
            <w:pPr>
              <w:pStyle w:val="RollCallTable"/>
            </w:pPr>
            <w:r>
              <w:t>Jaroslav</w:t>
            </w:r>
            <w:r>
              <w:t xml:space="preserve"> </w:t>
            </w:r>
            <w:r>
              <w:t>Bžoch</w:t>
            </w:r>
            <w:r>
              <w:t xml:space="preserve">, </w:t>
            </w:r>
            <w:r>
              <w:t>Angéline</w:t>
            </w:r>
            <w:r>
              <w:t xml:space="preserve"> </w:t>
            </w:r>
            <w:r>
              <w:t>Furet</w:t>
            </w:r>
            <w:r>
              <w:t xml:space="preserve">, </w:t>
            </w:r>
            <w:r>
              <w:t>Jaroslava</w:t>
            </w:r>
            <w:r>
              <w:t xml:space="preserve"> </w:t>
            </w:r>
            <w:r>
              <w:t>Pokorná</w:t>
            </w:r>
            <w:r>
              <w:t xml:space="preserve"> </w:t>
            </w:r>
            <w:r>
              <w:t>Jermanová</w:t>
            </w:r>
            <w:r>
              <w:t xml:space="preserve">, </w:t>
            </w:r>
            <w:r>
              <w:t>Julien</w:t>
            </w:r>
            <w:r>
              <w:t xml:space="preserve"> </w:t>
            </w:r>
            <w:r>
              <w:t>Sanchez</w:t>
            </w:r>
            <w:r>
              <w:t xml:space="preserve">, </w:t>
            </w:r>
            <w:r>
              <w:t>Auke</w:t>
            </w:r>
            <w:r>
              <w:t xml:space="preserve"> </w:t>
            </w:r>
            <w:r>
              <w:t>Zijlstra</w:t>
            </w:r>
          </w:p>
        </w:tc>
      </w:tr>
    </w:tbl>
    <w:p w:rsidR="00C136C4" w:rsidRPr="00C136C4" w:rsidP="00C136C4" w14:paraId="1D1CF41A"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2FB9BD4" w14:textId="77777777" w:rsidTr="003272CB">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136C4" w:rsidRPr="00C136C4" w:rsidP="003272CB" w14:paraId="7ACD4143" w14:textId="77777777">
            <w:pPr>
              <w:pStyle w:val="RollCallVotes"/>
            </w:pPr>
            <w:r>
              <w:t>1</w:t>
            </w:r>
          </w:p>
        </w:tc>
        <w:tc>
          <w:tcPr>
            <w:tcW w:w="7371" w:type="dxa"/>
            <w:shd w:val="pct10" w:color="000000" w:fill="FFFFFF"/>
          </w:tcPr>
          <w:p w:rsidR="00C136C4" w:rsidRPr="00C136C4" w:rsidP="003272CB" w14:paraId="2F4DB3E8" w14:textId="77777777">
            <w:pPr>
              <w:pStyle w:val="RollCallSymbols14pt"/>
            </w:pPr>
            <w:r>
              <w:t>0</w:t>
            </w:r>
          </w:p>
        </w:tc>
      </w:tr>
      <w:tr w14:paraId="01ADD411" w14:textId="77777777" w:rsidTr="003272CB">
        <w:tblPrEx>
          <w:tblW w:w="0" w:type="auto"/>
          <w:tblInd w:w="145" w:type="dxa"/>
          <w:tblLayout w:type="fixed"/>
          <w:tblCellMar>
            <w:left w:w="145" w:type="dxa"/>
            <w:right w:w="145" w:type="dxa"/>
          </w:tblCellMar>
          <w:tblLook w:val="0000"/>
        </w:tblPrEx>
        <w:trPr>
          <w:cantSplit/>
        </w:trPr>
        <w:tc>
          <w:tcPr>
            <w:tcW w:w="1701" w:type="dxa"/>
            <w:shd w:val="clear" w:color="auto" w:fill="FFFFFF"/>
          </w:tcPr>
          <w:p w:rsidR="00C136C4" w:rsidRPr="00C136C4" w:rsidP="003272CB" w14:paraId="1995F7F9" w14:textId="77777777">
            <w:pPr>
              <w:pStyle w:val="RollCallTable"/>
            </w:pPr>
            <w:r>
              <w:t>Renew</w:t>
            </w:r>
          </w:p>
        </w:tc>
        <w:tc>
          <w:tcPr>
            <w:tcW w:w="7371" w:type="dxa"/>
            <w:shd w:val="clear" w:color="auto" w:fill="FFFFFF"/>
          </w:tcPr>
          <w:p w:rsidR="00C136C4" w:rsidRPr="00C136C4" w:rsidP="003272CB" w14:paraId="2956CAC6" w14:textId="77777777">
            <w:pPr>
              <w:pStyle w:val="RollCallTable"/>
            </w:pPr>
            <w:r>
              <w:t>Joachim</w:t>
            </w:r>
            <w:r>
              <w:t xml:space="preserve"> </w:t>
            </w:r>
            <w:r>
              <w:t>Streit</w:t>
            </w:r>
          </w:p>
        </w:tc>
      </w:tr>
    </w:tbl>
    <w:p w:rsidR="00C136C4" w:rsidRPr="00C136C4" w:rsidP="00147FBF" w14:paraId="04AD4441" w14:textId="77777777">
      <w:pPr>
        <w:pStyle w:val="Normal12a"/>
      </w:pPr>
    </w:p>
    <w:p w:rsidR="00C136C4" w:rsidRPr="00C136C4" w:rsidP="00B735E3" w14:paraId="06202E50" w14:textId="77777777">
      <w:r>
        <w:t>Sutartiniai ženklai:</w:t>
      </w:r>
    </w:p>
    <w:p w:rsidR="00C136C4" w:rsidRPr="00C136C4" w:rsidP="003858C5" w14:paraId="1B9D5C1E" w14:textId="77777777">
      <w:pPr>
        <w:pStyle w:val="RollCallTabs"/>
      </w:pPr>
      <w:r>
        <w:t>+</w:t>
      </w:r>
      <w:r>
        <w:tab/>
        <w:t>:</w:t>
      </w:r>
      <w:r>
        <w:tab/>
        <w:t>už</w:t>
      </w:r>
    </w:p>
    <w:p w:rsidR="00C136C4" w:rsidRPr="00C136C4" w:rsidP="003858C5" w14:paraId="7EE3A3CB" w14:textId="77777777">
      <w:pPr>
        <w:pStyle w:val="RollCallTabs"/>
      </w:pPr>
      <w:r>
        <w:t>-</w:t>
      </w:r>
      <w:r>
        <w:tab/>
        <w:t>:</w:t>
      </w:r>
      <w:r>
        <w:tab/>
        <w:t>prieš</w:t>
      </w:r>
    </w:p>
    <w:p w:rsidR="00C136C4" w:rsidRPr="00C136C4" w:rsidP="003858C5" w14:paraId="7E0FA531" w14:textId="77777777">
      <w:pPr>
        <w:pStyle w:val="RollCallTabs"/>
      </w:pPr>
      <w:r>
        <w:t>0</w:t>
      </w:r>
      <w:r>
        <w:tab/>
        <w:t>:</w:t>
      </w:r>
      <w:r>
        <w:tab/>
        <w:t>susilaikė</w:t>
      </w:r>
    </w:p>
    <w:p w:rsidR="00C136C4" w:rsidRPr="00C136C4" w:rsidP="00207509" w14:paraId="39415225" w14:textId="77777777"/>
    <w:bookmarkEnd w:id="4"/>
    <w:p w:rsidR="00CD3838" w:rsidRPr="00C136C4" w:rsidP="00CD3838" w14:paraId="19F92D56" w14:textId="77777777"/>
    <w:sectPr w:rsidSect="00C136C4">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ąSVbN Light"/>
    <w:panose1 w:val="020B0300000000000000"/>
    <w:charset w:val="80"/>
    <w:family w:val="swiss"/>
    <w:pitch w:val="variable"/>
    <w:sig w:usb0="E00002FF" w:usb1="2AC7FDFF" w:usb2="00000016" w:usb3="00000000" w:csb0="0002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6C4" w:rsidRPr="00C136C4" w:rsidP="00C136C4" w14:paraId="189A8949" w14:textId="77777777">
    <w:pPr>
      <w:pStyle w:val="EPFooter"/>
    </w:pPr>
    <w:r w:rsidRPr="00C136C4">
      <w:t>PE</w:t>
    </w:r>
    <w:r w:rsidRPr="00C136C4">
      <w:rPr>
        <w:rStyle w:val="HideTWBExt"/>
      </w:rPr>
      <w:t>&lt;</w:t>
    </w:r>
    <w:r w:rsidRPr="00C136C4">
      <w:rPr>
        <w:rStyle w:val="HideTWBExt"/>
      </w:rPr>
      <w:t>NoPE</w:t>
    </w:r>
    <w:r w:rsidRPr="00C136C4">
      <w:rPr>
        <w:rStyle w:val="HideTWBExt"/>
      </w:rPr>
      <w:t>&gt;</w:t>
    </w:r>
    <w:r w:rsidRPr="00C136C4">
      <w:t>787.038</w:t>
    </w:r>
    <w:r w:rsidRPr="00C136C4">
      <w:rPr>
        <w:rStyle w:val="HideTWBExt"/>
      </w:rPr>
      <w:t>&lt;/</w:t>
    </w:r>
    <w:r w:rsidRPr="00C136C4">
      <w:rPr>
        <w:rStyle w:val="HideTWBExt"/>
      </w:rPr>
      <w:t>NoPE</w:t>
    </w:r>
    <w:r w:rsidRPr="00C136C4">
      <w:rPr>
        <w:rStyle w:val="HideTWBExt"/>
      </w:rPr>
      <w:t>&gt;&lt;Version&gt;</w:t>
    </w:r>
    <w:r w:rsidRPr="00C136C4">
      <w:t>v02-00</w:t>
    </w:r>
    <w:r w:rsidRPr="00C136C4">
      <w:rPr>
        <w:rStyle w:val="HideTWBExt"/>
      </w:rPr>
      <w:t>&lt;/</w:t>
    </w:r>
    <w:r w:rsidRPr="00C136C4">
      <w:rPr>
        <w:rStyle w:val="HideTWBExt"/>
      </w:rPr>
      <w:t>Version</w:t>
    </w:r>
    <w:r w:rsidRPr="00C136C4">
      <w:rPr>
        <w:rStyle w:val="HideTWBExt"/>
      </w:rPr>
      <w:t>&gt;</w:t>
    </w:r>
    <w:r w:rsidRPr="00C136C4">
      <w:tab/>
    </w:r>
    <w:r w:rsidRPr="00C136C4">
      <w:fldChar w:fldCharType="begin"/>
    </w:r>
    <w:r w:rsidRPr="00C136C4">
      <w:instrText xml:space="preserve"> PAGE  \* MERGEFORMAT </w:instrText>
    </w:r>
    <w:r w:rsidRPr="00C136C4">
      <w:fldChar w:fldCharType="separate"/>
    </w:r>
    <w:r w:rsidRPr="00C136C4">
      <w:rPr>
        <w:noProof/>
      </w:rPr>
      <w:t>16</w:t>
    </w:r>
    <w:r w:rsidRPr="00C136C4">
      <w:fldChar w:fldCharType="end"/>
    </w:r>
    <w:r w:rsidRPr="00C136C4">
      <w:t>/</w:t>
    </w:r>
    <w:r w:rsidRPr="00C136C4">
      <w:fldChar w:fldCharType="begin"/>
    </w:r>
    <w:r>
      <w:instrText xml:space="preserve"> NUMPAGES  \* MERGEFORMAT </w:instrText>
    </w:r>
    <w:r w:rsidRPr="00C136C4">
      <w:fldChar w:fldCharType="separate"/>
    </w:r>
    <w:r w:rsidRPr="00C136C4">
      <w:rPr>
        <w:noProof/>
      </w:rPr>
      <w:t>17</w:t>
    </w:r>
    <w:r w:rsidRPr="00C136C4">
      <w:rPr>
        <w:noProof/>
      </w:rPr>
      <w:fldChar w:fldCharType="end"/>
    </w:r>
    <w:r w:rsidRPr="00C136C4">
      <w:tab/>
    </w:r>
    <w:r w:rsidRPr="00C136C4">
      <w:rPr>
        <w:rStyle w:val="HideTWBExt"/>
      </w:rPr>
      <w:t>&lt;PathFdR&gt;</w:t>
    </w:r>
    <w:r w:rsidRPr="00C136C4">
      <w:t>AD\1348641LT.docx</w:t>
    </w:r>
    <w:r w:rsidRPr="00C136C4">
      <w:rPr>
        <w:rStyle w:val="HideTWBExt"/>
      </w:rPr>
      <w:t>&lt;/</w:t>
    </w:r>
    <w:r w:rsidRPr="00C136C4">
      <w:rPr>
        <w:rStyle w:val="HideTWBExt"/>
      </w:rPr>
      <w:t>PathFdR</w:t>
    </w:r>
    <w:r w:rsidRPr="00C136C4">
      <w:rPr>
        <w:rStyle w:val="HideTWBExt"/>
      </w:rPr>
      <w:t>&gt;</w:t>
    </w:r>
  </w:p>
  <w:p w:rsidR="002E2F2E" w:rsidRPr="00C136C4" w:rsidP="00C136C4" w14:paraId="7B916C70" w14:textId="77777777">
    <w:pPr>
      <w:pStyle w:val="EPFooter2"/>
    </w:pPr>
    <w:r w:rsidRPr="00C136C4">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6C4" w:rsidRPr="00C136C4" w:rsidP="00C136C4" w14:paraId="576C470F" w14:textId="77777777">
    <w:pPr>
      <w:pStyle w:val="EPFooter"/>
    </w:pPr>
    <w:r w:rsidRPr="00C136C4">
      <w:rPr>
        <w:rStyle w:val="HideTWBExt"/>
      </w:rPr>
      <w:t>&lt;PathFdR&gt;</w:t>
    </w:r>
    <w:r w:rsidRPr="00C136C4">
      <w:t>AD\1348641LT.docx</w:t>
    </w:r>
    <w:r w:rsidRPr="00C136C4">
      <w:rPr>
        <w:rStyle w:val="HideTWBExt"/>
      </w:rPr>
      <w:t>&lt;/</w:t>
    </w:r>
    <w:r w:rsidRPr="00C136C4">
      <w:rPr>
        <w:rStyle w:val="HideTWBExt"/>
      </w:rPr>
      <w:t>PathFdR</w:t>
    </w:r>
    <w:r w:rsidRPr="00C136C4">
      <w:rPr>
        <w:rStyle w:val="HideTWBExt"/>
      </w:rPr>
      <w:t>&gt;</w:t>
    </w:r>
    <w:r w:rsidRPr="00C136C4">
      <w:tab/>
    </w:r>
    <w:r w:rsidRPr="00C136C4">
      <w:fldChar w:fldCharType="begin"/>
    </w:r>
    <w:r w:rsidRPr="00C136C4">
      <w:instrText xml:space="preserve"> PAGE  \* MERGEFORMAT </w:instrText>
    </w:r>
    <w:r w:rsidRPr="00C136C4">
      <w:fldChar w:fldCharType="separate"/>
    </w:r>
    <w:r w:rsidRPr="00C136C4">
      <w:rPr>
        <w:noProof/>
      </w:rPr>
      <w:t>17</w:t>
    </w:r>
    <w:r w:rsidRPr="00C136C4">
      <w:fldChar w:fldCharType="end"/>
    </w:r>
    <w:r w:rsidRPr="00C136C4">
      <w:t>/</w:t>
    </w:r>
    <w:r w:rsidRPr="00C136C4">
      <w:fldChar w:fldCharType="begin"/>
    </w:r>
    <w:r>
      <w:instrText xml:space="preserve"> NUMPAGES  \* MERGEFORMAT </w:instrText>
    </w:r>
    <w:r w:rsidRPr="00C136C4">
      <w:fldChar w:fldCharType="separate"/>
    </w:r>
    <w:r w:rsidRPr="00C136C4">
      <w:rPr>
        <w:noProof/>
      </w:rPr>
      <w:t>17</w:t>
    </w:r>
    <w:r w:rsidRPr="00C136C4">
      <w:rPr>
        <w:noProof/>
      </w:rPr>
      <w:fldChar w:fldCharType="end"/>
    </w:r>
    <w:r w:rsidRPr="00C136C4">
      <w:tab/>
      <w:t>PE</w:t>
    </w:r>
    <w:r w:rsidRPr="00C136C4">
      <w:rPr>
        <w:rStyle w:val="HideTWBExt"/>
      </w:rPr>
      <w:t>&lt;</w:t>
    </w:r>
    <w:r w:rsidRPr="00C136C4">
      <w:rPr>
        <w:rStyle w:val="HideTWBExt"/>
      </w:rPr>
      <w:t>NoPE</w:t>
    </w:r>
    <w:r w:rsidRPr="00C136C4">
      <w:rPr>
        <w:rStyle w:val="HideTWBExt"/>
      </w:rPr>
      <w:t>&gt;</w:t>
    </w:r>
    <w:r w:rsidRPr="00C136C4">
      <w:t>787.038</w:t>
    </w:r>
    <w:r w:rsidRPr="00C136C4">
      <w:rPr>
        <w:rStyle w:val="HideTWBExt"/>
      </w:rPr>
      <w:t>&lt;/</w:t>
    </w:r>
    <w:r w:rsidRPr="00C136C4">
      <w:rPr>
        <w:rStyle w:val="HideTWBExt"/>
      </w:rPr>
      <w:t>NoPE</w:t>
    </w:r>
    <w:r w:rsidRPr="00C136C4">
      <w:rPr>
        <w:rStyle w:val="HideTWBExt"/>
      </w:rPr>
      <w:t>&gt;&lt;Version&gt;</w:t>
    </w:r>
    <w:r w:rsidRPr="00C136C4">
      <w:t>v02-00</w:t>
    </w:r>
    <w:r w:rsidRPr="00C136C4">
      <w:rPr>
        <w:rStyle w:val="HideTWBExt"/>
      </w:rPr>
      <w:t>&lt;/</w:t>
    </w:r>
    <w:r w:rsidRPr="00C136C4">
      <w:rPr>
        <w:rStyle w:val="HideTWBExt"/>
      </w:rPr>
      <w:t>Version</w:t>
    </w:r>
    <w:r w:rsidRPr="00C136C4">
      <w:rPr>
        <w:rStyle w:val="HideTWBExt"/>
      </w:rPr>
      <w:t>&gt;</w:t>
    </w:r>
  </w:p>
  <w:p w:rsidR="002E2F2E" w:rsidRPr="00C136C4" w:rsidP="00C136C4" w14:paraId="6FEEE9E8" w14:textId="77777777">
    <w:pPr>
      <w:pStyle w:val="EPFooter2"/>
    </w:pPr>
    <w:r w:rsidRPr="00C136C4">
      <w:tab/>
    </w:r>
    <w:r w:rsidRPr="00C136C4">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6C4" w:rsidRPr="00C136C4" w:rsidP="00C136C4" w14:paraId="1DDBF7AE" w14:textId="77777777">
    <w:pPr>
      <w:pStyle w:val="EPFooter"/>
    </w:pPr>
    <w:r w:rsidRPr="00C136C4">
      <w:rPr>
        <w:rStyle w:val="HideTWBExt"/>
      </w:rPr>
      <w:t>&lt;PathFdR&gt;</w:t>
    </w:r>
    <w:r w:rsidRPr="00C136C4">
      <w:t>AD\1348641LT.docx</w:t>
    </w:r>
    <w:r w:rsidRPr="00C136C4">
      <w:rPr>
        <w:rStyle w:val="HideTWBExt"/>
      </w:rPr>
      <w:t>&lt;/</w:t>
    </w:r>
    <w:r w:rsidRPr="00C136C4">
      <w:rPr>
        <w:rStyle w:val="HideTWBExt"/>
      </w:rPr>
      <w:t>PathFdR</w:t>
    </w:r>
    <w:r w:rsidRPr="00C136C4">
      <w:rPr>
        <w:rStyle w:val="HideTWBExt"/>
      </w:rPr>
      <w:t>&gt;</w:t>
    </w:r>
    <w:r w:rsidRPr="00C136C4">
      <w:tab/>
    </w:r>
    <w:r w:rsidRPr="00C136C4">
      <w:tab/>
      <w:t>PE</w:t>
    </w:r>
    <w:r w:rsidRPr="00C136C4">
      <w:rPr>
        <w:rStyle w:val="HideTWBExt"/>
      </w:rPr>
      <w:t>&lt;</w:t>
    </w:r>
    <w:r w:rsidRPr="00C136C4">
      <w:rPr>
        <w:rStyle w:val="HideTWBExt"/>
      </w:rPr>
      <w:t>NoPE</w:t>
    </w:r>
    <w:r w:rsidRPr="00C136C4">
      <w:rPr>
        <w:rStyle w:val="HideTWBExt"/>
      </w:rPr>
      <w:t>&gt;</w:t>
    </w:r>
    <w:r w:rsidRPr="00C136C4">
      <w:t>787.038</w:t>
    </w:r>
    <w:r w:rsidRPr="00C136C4">
      <w:rPr>
        <w:rStyle w:val="HideTWBExt"/>
      </w:rPr>
      <w:t>&lt;/</w:t>
    </w:r>
    <w:r w:rsidRPr="00C136C4">
      <w:rPr>
        <w:rStyle w:val="HideTWBExt"/>
      </w:rPr>
      <w:t>NoPE</w:t>
    </w:r>
    <w:r w:rsidRPr="00C136C4">
      <w:rPr>
        <w:rStyle w:val="HideTWBExt"/>
      </w:rPr>
      <w:t>&gt;&lt;Version&gt;</w:t>
    </w:r>
    <w:r w:rsidRPr="00C136C4">
      <w:t>v02-00</w:t>
    </w:r>
    <w:r w:rsidRPr="00C136C4">
      <w:rPr>
        <w:rStyle w:val="HideTWBExt"/>
      </w:rPr>
      <w:t>&lt;/</w:t>
    </w:r>
    <w:r w:rsidRPr="00C136C4">
      <w:rPr>
        <w:rStyle w:val="HideTWBExt"/>
      </w:rPr>
      <w:t>Version</w:t>
    </w:r>
    <w:r w:rsidRPr="00C136C4">
      <w:rPr>
        <w:rStyle w:val="HideTWBExt"/>
      </w:rPr>
      <w:t>&gt;</w:t>
    </w:r>
  </w:p>
  <w:p w:rsidR="002E2F2E" w:rsidRPr="00C136C4" w:rsidP="00C136C4" w14:paraId="1AB98FB3" w14:textId="77777777">
    <w:pPr>
      <w:pStyle w:val="EPFooter2"/>
    </w:pPr>
    <w:r w:rsidRPr="00C136C4">
      <w:t>LT</w:t>
    </w:r>
    <w:r w:rsidRPr="00C136C4">
      <w:tab/>
    </w:r>
    <w:r w:rsidRPr="00C136C4">
      <w:rPr>
        <w:b w:val="0"/>
        <w:i/>
        <w:color w:val="C0C0C0"/>
        <w:sz w:val="22"/>
      </w:rPr>
      <w:t>Suvienijusi įvairovę</w:t>
    </w:r>
    <w:r w:rsidRPr="00C136C4">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52085" w:rsidRPr="00C136C4" w14:paraId="377400E3" w14:textId="77777777">
      <w:r w:rsidRPr="00C136C4">
        <w:separator/>
      </w:r>
    </w:p>
  </w:footnote>
  <w:footnote w:type="continuationSeparator" w:id="1">
    <w:p w:rsidR="00A52085" w:rsidRPr="00C136C4" w14:paraId="1BDFA243" w14:textId="77777777">
      <w:r w:rsidRPr="00C136C4">
        <w:continuationSeparator/>
      </w:r>
    </w:p>
  </w:footnote>
  <w:footnote w:id="2">
    <w:p w:rsidR="00C136C4" w:rsidRPr="00C136C4" w:rsidP="00C136C4" w14:paraId="55ECD9F4" w14:textId="1A15DB84">
      <w:pPr>
        <w:pStyle w:val="FootnoteText"/>
      </w:pPr>
      <w:r>
        <w:rPr>
          <w:rStyle w:val="FootnoteReference"/>
        </w:rPr>
        <w:footnoteRef/>
      </w:r>
      <w:r>
        <w:t xml:space="preserve"> 2024 m. rugsėjo 23 d. Europos Parlamento ir Tarybos reglamentas (ES, Euratomas) 2024/2509 dėl Sąjungos bendrajam biudžetui taikomų finansinių taisyklių (OL L, 2024/2509, 2024 9 26, ELI: </w:t>
      </w:r>
      <w:hyperlink r:id="rId1" w:history="1">
        <w:r>
          <w:rPr>
            <w:rStyle w:val="Hyperlink"/>
          </w:rPr>
          <w:t>http://data.europa.eu/eli/reg/2024/2509/oj</w:t>
        </w:r>
      </w:hyperlink>
      <w:r>
        <w:t xml:space="preserve">). </w:t>
      </w:r>
    </w:p>
  </w:footnote>
  <w:footnote w:id="3">
    <w:p w:rsidR="00C136C4" w:rsidRPr="00C136C4" w:rsidP="00C136C4" w14:paraId="7A725162" w14:textId="4AF59047">
      <w:pPr>
        <w:pStyle w:val="FootnoteText"/>
      </w:pPr>
      <w:r>
        <w:rPr>
          <w:rStyle w:val="FootnoteReference"/>
        </w:rPr>
        <w:footnoteRef/>
      </w:r>
      <w:r>
        <w:t xml:space="preserve"> </w:t>
      </w:r>
      <w:r>
        <w:t xml:space="preserve">2010 m. kovo 10 d. Europos Parlamento ir Tarybos direktyva 2010/13/ES dėl valstybių narių įstatymuose ir kituose teisės aktuose išdėstytų tam tikrų nuostatų, susijusių su audiovizualinės žiniasklaidos paslaugų teikimu, derinimo (OL L 95, 2010 4 15, p. 1, ELI: </w:t>
      </w:r>
      <w:hyperlink r:id="rId2" w:history="1">
        <w:r>
          <w:rPr>
            <w:rStyle w:val="Hyperlink"/>
          </w:rPr>
          <w:t>http://data.europa.eu/eli/dir/2010/13/oj</w:t>
        </w:r>
      </w:hyperlink>
      <w:r>
        <w:t xml:space="preserve">). </w:t>
      </w:r>
    </w:p>
  </w:footnote>
  <w:footnote w:id="4">
    <w:p w:rsidR="00C136C4" w:rsidRPr="00C136C4" w:rsidP="00C136C4" w14:paraId="0EA92473" w14:textId="77777777">
      <w:pPr>
        <w:pStyle w:val="FootnoteText"/>
      </w:pPr>
      <w:r>
        <w:rPr>
          <w:rStyle w:val="FootnoteReference"/>
        </w:rPr>
        <w:footnoteRef/>
      </w:r>
      <w:r>
        <w:t xml:space="preserve"> </w:t>
      </w:r>
      <w:r>
        <w:t>COM(2025)0545.</w:t>
      </w:r>
    </w:p>
  </w:footnote>
  <w:footnote w:id="5">
    <w:p w:rsidR="00C136C4" w:rsidRPr="00C136C4" w:rsidP="00C136C4" w14:paraId="09E80F65" w14:textId="085ECEBD">
      <w:pPr>
        <w:pStyle w:val="FootnoteText"/>
      </w:pPr>
      <w:r>
        <w:rPr>
          <w:rStyle w:val="FootnoteReference"/>
        </w:rPr>
        <w:footnoteRef/>
      </w:r>
      <w:r>
        <w:t xml:space="preserve"> </w:t>
      </w:r>
      <w:r>
        <w:t xml:space="preserve">2020 m. gruodžio 16 d. Europos Parlamento ir Tarybos reglamentas (ES, Euratomas) 2020/2092 dėl bendro Sąjungos biudžeto apsaugos sąlygų režimo (OL L 433 I, 2020 12 22, p. 1, ELI: </w:t>
      </w:r>
      <w:hyperlink r:id="rId3" w:history="1">
        <w:r>
          <w:rPr>
            <w:rStyle w:val="Hyperlink"/>
          </w:rPr>
          <w:t>http://data.europa.eu/eli/reg/2020/2092/oj</w:t>
        </w:r>
      </w:hyperlink>
      <w:r>
        <w:t xml:space="preserve">). </w:t>
      </w:r>
    </w:p>
  </w:footnote>
  <w:footnote w:id="6">
    <w:p w:rsidR="00C136C4" w:rsidRPr="00C136C4" w:rsidP="00C136C4" w14:paraId="26A35156" w14:textId="52EA164F">
      <w:pPr>
        <w:pStyle w:val="FootnoteText"/>
      </w:pPr>
      <w:r>
        <w:rPr>
          <w:rStyle w:val="FootnoteReference"/>
        </w:rPr>
        <w:footnoteRef/>
      </w:r>
      <w:r>
        <w:t xml:space="preserve"> </w:t>
      </w:r>
      <w:r>
        <w:t xml:space="preserve">2021 m. gegužės 20 d. Europos Parlamento, Europos Sąjungos Tarybos ir Europos Komisijos tarpinstitucinis susitarimas dėl privalomo skaidrumo registro (OL L 207, 2021 06 11, p. 1, ELI: </w:t>
      </w:r>
      <w:hyperlink r:id="rId4"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39FA" w14:paraId="39E73FB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39FA" w14:paraId="34FE3EF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39FA" w14:paraId="2AC772D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28696C71"/>
    <w:multiLevelType w:val="hybridMultilevel"/>
    <w:tmpl w:val="E48ED068"/>
    <w:lvl w:ilvl="0">
      <w:start w:val="1"/>
      <w:numFmt w:val="upperLetter"/>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EAB"/>
    <w:rsid w:val="00006F54"/>
    <w:rsid w:val="00007C5D"/>
    <w:rsid w:val="000178E7"/>
    <w:rsid w:val="0003367A"/>
    <w:rsid w:val="0004424C"/>
    <w:rsid w:val="00067F15"/>
    <w:rsid w:val="00075948"/>
    <w:rsid w:val="00082375"/>
    <w:rsid w:val="000E3FF6"/>
    <w:rsid w:val="000E7EBF"/>
    <w:rsid w:val="00124F60"/>
    <w:rsid w:val="00135121"/>
    <w:rsid w:val="00140BE6"/>
    <w:rsid w:val="001449F5"/>
    <w:rsid w:val="00147F4E"/>
    <w:rsid w:val="00147FBF"/>
    <w:rsid w:val="00155C94"/>
    <w:rsid w:val="0016635E"/>
    <w:rsid w:val="001709A0"/>
    <w:rsid w:val="00173215"/>
    <w:rsid w:val="001746D0"/>
    <w:rsid w:val="00182746"/>
    <w:rsid w:val="00185722"/>
    <w:rsid w:val="001B7393"/>
    <w:rsid w:val="001D2ED9"/>
    <w:rsid w:val="001E42AF"/>
    <w:rsid w:val="001F21C1"/>
    <w:rsid w:val="00203BEF"/>
    <w:rsid w:val="00207509"/>
    <w:rsid w:val="002107CB"/>
    <w:rsid w:val="002335FE"/>
    <w:rsid w:val="00243643"/>
    <w:rsid w:val="00251B75"/>
    <w:rsid w:val="00257456"/>
    <w:rsid w:val="00270E86"/>
    <w:rsid w:val="002D28A7"/>
    <w:rsid w:val="002E2F2E"/>
    <w:rsid w:val="002E4AA3"/>
    <w:rsid w:val="002E6F98"/>
    <w:rsid w:val="002F1EAB"/>
    <w:rsid w:val="00324546"/>
    <w:rsid w:val="00325BCB"/>
    <w:rsid w:val="003272CB"/>
    <w:rsid w:val="00331944"/>
    <w:rsid w:val="00332AD9"/>
    <w:rsid w:val="003402B9"/>
    <w:rsid w:val="00347D2C"/>
    <w:rsid w:val="00355C50"/>
    <w:rsid w:val="00362463"/>
    <w:rsid w:val="00367A50"/>
    <w:rsid w:val="0037356F"/>
    <w:rsid w:val="003855AA"/>
    <w:rsid w:val="003858C5"/>
    <w:rsid w:val="00390EB2"/>
    <w:rsid w:val="00391AC1"/>
    <w:rsid w:val="00395F78"/>
    <w:rsid w:val="00396A0E"/>
    <w:rsid w:val="003B60FC"/>
    <w:rsid w:val="003B7FC6"/>
    <w:rsid w:val="003E2402"/>
    <w:rsid w:val="0040369E"/>
    <w:rsid w:val="004234CA"/>
    <w:rsid w:val="00450A7E"/>
    <w:rsid w:val="004519DE"/>
    <w:rsid w:val="00457488"/>
    <w:rsid w:val="00460880"/>
    <w:rsid w:val="004667D1"/>
    <w:rsid w:val="00485C5C"/>
    <w:rsid w:val="004C28FB"/>
    <w:rsid w:val="004C44C0"/>
    <w:rsid w:val="0052544E"/>
    <w:rsid w:val="00555696"/>
    <w:rsid w:val="005749BB"/>
    <w:rsid w:val="00580F37"/>
    <w:rsid w:val="005940C3"/>
    <w:rsid w:val="00594C48"/>
    <w:rsid w:val="005B2F11"/>
    <w:rsid w:val="005C0BDF"/>
    <w:rsid w:val="005D01BC"/>
    <w:rsid w:val="005D45E5"/>
    <w:rsid w:val="005D60C6"/>
    <w:rsid w:val="005D6788"/>
    <w:rsid w:val="006102E7"/>
    <w:rsid w:val="00624AE1"/>
    <w:rsid w:val="006352A8"/>
    <w:rsid w:val="00640C1B"/>
    <w:rsid w:val="00657AFB"/>
    <w:rsid w:val="00692A2A"/>
    <w:rsid w:val="006D5BF7"/>
    <w:rsid w:val="006F189E"/>
    <w:rsid w:val="006F379B"/>
    <w:rsid w:val="00711565"/>
    <w:rsid w:val="0072511A"/>
    <w:rsid w:val="007350EA"/>
    <w:rsid w:val="00737F68"/>
    <w:rsid w:val="00740BED"/>
    <w:rsid w:val="00757C4C"/>
    <w:rsid w:val="007638D0"/>
    <w:rsid w:val="007753D3"/>
    <w:rsid w:val="007B5CC7"/>
    <w:rsid w:val="00825069"/>
    <w:rsid w:val="008313E7"/>
    <w:rsid w:val="00852263"/>
    <w:rsid w:val="00854CAC"/>
    <w:rsid w:val="00873BF3"/>
    <w:rsid w:val="008A32C5"/>
    <w:rsid w:val="008C6203"/>
    <w:rsid w:val="008D61E7"/>
    <w:rsid w:val="008E2BE3"/>
    <w:rsid w:val="008F33FC"/>
    <w:rsid w:val="008F7002"/>
    <w:rsid w:val="009351A4"/>
    <w:rsid w:val="00953CC5"/>
    <w:rsid w:val="009626A8"/>
    <w:rsid w:val="00974B4F"/>
    <w:rsid w:val="00993430"/>
    <w:rsid w:val="0099493F"/>
    <w:rsid w:val="009D60A5"/>
    <w:rsid w:val="00A16BEA"/>
    <w:rsid w:val="00A239FA"/>
    <w:rsid w:val="00A312B3"/>
    <w:rsid w:val="00A43A35"/>
    <w:rsid w:val="00A47E2F"/>
    <w:rsid w:val="00A52085"/>
    <w:rsid w:val="00A56164"/>
    <w:rsid w:val="00A600AF"/>
    <w:rsid w:val="00A600FA"/>
    <w:rsid w:val="00A72C35"/>
    <w:rsid w:val="00A92590"/>
    <w:rsid w:val="00AA3525"/>
    <w:rsid w:val="00AA7A5A"/>
    <w:rsid w:val="00AB5733"/>
    <w:rsid w:val="00AC5AAD"/>
    <w:rsid w:val="00AC7767"/>
    <w:rsid w:val="00AE180F"/>
    <w:rsid w:val="00AE5581"/>
    <w:rsid w:val="00AE79AF"/>
    <w:rsid w:val="00B362F7"/>
    <w:rsid w:val="00B5456B"/>
    <w:rsid w:val="00B735E3"/>
    <w:rsid w:val="00B74B53"/>
    <w:rsid w:val="00B77427"/>
    <w:rsid w:val="00B87BB2"/>
    <w:rsid w:val="00B96E86"/>
    <w:rsid w:val="00BA3446"/>
    <w:rsid w:val="00BC26E4"/>
    <w:rsid w:val="00BD1EAA"/>
    <w:rsid w:val="00BE7B62"/>
    <w:rsid w:val="00BF0AFC"/>
    <w:rsid w:val="00BF6786"/>
    <w:rsid w:val="00C136C4"/>
    <w:rsid w:val="00C13EE9"/>
    <w:rsid w:val="00C3088E"/>
    <w:rsid w:val="00C36610"/>
    <w:rsid w:val="00C379E4"/>
    <w:rsid w:val="00C52739"/>
    <w:rsid w:val="00C827FF"/>
    <w:rsid w:val="00C8553D"/>
    <w:rsid w:val="00C85D0F"/>
    <w:rsid w:val="00C86950"/>
    <w:rsid w:val="00C93601"/>
    <w:rsid w:val="00CD34AC"/>
    <w:rsid w:val="00CD3838"/>
    <w:rsid w:val="00CE6558"/>
    <w:rsid w:val="00CF19C3"/>
    <w:rsid w:val="00D006EE"/>
    <w:rsid w:val="00D318E7"/>
    <w:rsid w:val="00D467BF"/>
    <w:rsid w:val="00D7202C"/>
    <w:rsid w:val="00D82297"/>
    <w:rsid w:val="00D8432D"/>
    <w:rsid w:val="00DB4824"/>
    <w:rsid w:val="00DC4F54"/>
    <w:rsid w:val="00DE19FF"/>
    <w:rsid w:val="00E664B8"/>
    <w:rsid w:val="00E81BA6"/>
    <w:rsid w:val="00E856D2"/>
    <w:rsid w:val="00E929A7"/>
    <w:rsid w:val="00E93E66"/>
    <w:rsid w:val="00EA6DE0"/>
    <w:rsid w:val="00EB114A"/>
    <w:rsid w:val="00EB761F"/>
    <w:rsid w:val="00ED74AF"/>
    <w:rsid w:val="00F06E70"/>
    <w:rsid w:val="00F33D44"/>
    <w:rsid w:val="00F40D6E"/>
    <w:rsid w:val="00F63FE4"/>
    <w:rsid w:val="00F94599"/>
    <w:rsid w:val="00FC228C"/>
    <w:rsid w:val="00FC42F1"/>
    <w:rsid w:val="00FC6460"/>
    <w:rsid w:val="00FD0D14"/>
    <w:rsid w:val="00FD4BC4"/>
    <w:rsid w:val="00FE24DE"/>
    <w:rsid w:val="00FF4B50"/>
  </w:rsids>
  <w:docVars>
    <w:docVar w:name="AMACTMNU" w:val=" 2"/>
    <w:docVar w:name="AMPLURMNU" w:val=" 1"/>
    <w:docVar w:name="CJMNU" w:val="2"/>
    <w:docVar w:name="CODEMNU" w:val=" 3"/>
    <w:docVar w:name="COM2KEY" w:val="CJ65"/>
    <w:docVar w:name="COMKEY" w:val="BUDG"/>
    <w:docVar w:name="CopyToNetwork" w:val="-1"/>
    <w:docVar w:name="CVar" w:val="3"/>
    <w:docVar w:name="DOCDT" w:val="15/04/2026"/>
    <w:docVar w:name="DOCMNU" w:val=" 1"/>
    <w:docVar w:name="iNoAmend" w:val="6"/>
    <w:docVar w:name="LastEditedSection" w:val=" 5"/>
    <w:docVar w:name="ORLANGKEY" w:val="EN"/>
    <w:docVar w:name="ORLANGMNU" w:val=" 1"/>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36\fbidi \froman\fcharset238\fprq2 Times New Roman CE;}{\f1337\fbidi \froman\fcharset204\fprq2 Times New Roman Cyr;}&#13;_x000a_{\f1339\fbidi \froman\fcharset161\fprq2 Times New Roman Greek;}{\f1340\fbidi \froman\fcharset162\fprq2 Times New Roman Tur;}{\f1341\fbidi \froman\fcharset177\fprq2 Times New Roman (Hebrew);}&#13;_x000a_{\f1342\fbidi \froman\fcharset178\fprq2 Times New Roman (Arabic);}{\f1343\fbidi \froman\fcharset186\fprq2 Times New Roman Baltic;}{\f1344\fbidi \froman\fcharset163\fprq2 Times New Roman (Vietnamese);}{\f1346\fbidi \fswiss\fcharset238\fprq2 Arial CE;}&#13;_x000a_{\f1347\fbidi \fswiss\fcharset204\fprq2 Arial Cyr;}{\f1349\fbidi \fswiss\fcharset161\fprq2 Arial Greek;}{\f1350\fbidi \fswiss\fcharset162\fprq2 Arial Tur;}{\f1351\fbidi \fswiss\fcharset177\fprq2 Arial (Hebrew);}&#13;_x000a_{\f1352\fbidi \fswiss\fcharset178\fprq2 Arial (Arabic);}{\f1353\fbidi \fswiss\fcharset186\fprq2 Arial Baltic;}{\f1354\fbidi \fswiss\fcharset163\fprq2 Arial (Vietnamese);}{\f1676\fbidi \froman\fcharset238\fprq2 Cambria Math CE;}&#13;_x000a_{\f1677\fbidi \froman\fcharset204\fprq2 Cambria Math Cyr;}{\f1679\fbidi \froman\fcharset161\fprq2 Cambria Math Greek;}{\f1680\fbidi \froman\fcharset162\fprq2 Cambria Math Tur;}{\f1683\fbidi \froman\fcharset186\fprq2 Cambria Math Baltic;}&#13;_x000a_{\f168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995378 HideTWBExt;}{\*\cs18 \additive \v\f1\fs20\cf15 &#13;_x000a_\spriority0 \styrsid15995378 HideTWBInt;}{\s19\ql \li0\ri0\nowidctlpar\wrapdefault\aspalpha\aspnum\faauto\adjustright\rin0\lin0\itap0 \rtlch\fcs1 \af0\afs20\alang1025 \ltrch\fcs0 \b\fs24\lang2057\langfe2057\cgrid\langnp2057\langfenp2057 &#13;_x000a_\sbasedon0 \snext19 \spriority0 \styrsid15995378 NormalBold;}{\s20\ql \li0\ri0\sa120\nowidctlpar\wrapdefault\aspalpha\aspnum\faauto\adjustright\rin0\lin0\itap0 \rtlch\fcs1 \af0\afs20\alang1025 \ltrch\fcs0 &#13;_x000a_\fs24\lang2057\langfe2057\cgrid\langnp2057\langfenp2057 \sbasedon0 \snext20 \spriority0 \styrsid15995378 Normal6a;}{\s21\qc \li0\ri0\sa240\nowidctlpar\wrapdefault\aspalpha\aspnum\faauto\adjustright\rin0\lin0\itap0 \rtlch\fcs1 \af0\afs20\alang1025 &#13;_x000a_\ltrch\fcs0 \i\fs24\lang2057\langfe2057\cgrid\langnp2057\langfenp2057 \sbasedon0 \snext21 \spriority0 \styrsid15995378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15995378 AmNumberTabs;}{\s23\ql \li0\ri0\sa240\nowidctlpar\wrapdefault\aspalpha\aspnum\faauto\adjustright\rin0\lin0\itap0 \rtlch\fcs1 &#13;_x000a_\af0\afs20\alang1025 \ltrch\fcs0 \i\fs24\lang2057\langfe2057\cgrid\langnp2057\langfenp2057 \sbasedon0 \snext23 \spriority0 \styrsid15995378 AmJustText;}{&#13;_x000a_\s24\qc \li0\ri0\sb240\sa240\nowidctlpar\wrapdefault\aspalpha\aspnum\faauto\adjustright\rin0\lin0\itap0 \rtlch\fcs1 \af0\afs20\alang1025 \ltrch\fcs0 \i\fs24\lang2057\langfe2057\cgrid\langnp2057\langfenp2057 &#13;_x000a_\sbasedon0 \snext24 \spriority0 \styrsid15995378 AmCrossRef;}{\s25\qc \li0\ri0\sb240\sa240\keepn\nowidctlpar\wrapdefault\aspalpha\aspnum\faauto\adjustright\rin0\lin0\itap0 \rtlch\fcs1 \af0\afs20\alang1025 \ltrch\fcs0 &#13;_x000a_\i\fs24\lang2057\langfe2057\cgrid\langnp2057\langfenp2057 \sbasedon0 \snext23 \spriority0 \styrsid15995378 AmJustTitle;}{\s26\ql \li0\ri0\sb240\nowidctlpar\wrapdefault\aspalpha\aspnum\faauto\adjustright\rin0\lin0\itap0 \rtlch\fcs1 \af0\afs20\alang1025 &#13;_x000a_\ltrch\fcs0 \b\fs24\lang2057\langfe2057\cgrid\langnp2057\langfenp2057 \sbasedon0 \snext26 \spriority0 \styrsid15995378 NormalBold12b;}}{\*\rsidtbl \rsid24658\rsid223860\rsid735077\rsid1718133\rsid2892074\rsid3565327\rsid4666813\rsid6641733\rsid7823322&#13;_x000a_\rsid9636012\rsid10040368\rsid10377208\rsid11215221\rsid11549030\rsid12154954\rsid14382809\rsid14424199\rsid14488308\rsid15204470\rsid15285974\rsid15950462\rsid15995378\rsid16324206\rsid16662270}{\mmathPr\mmathFont34\mbrkBin0\mbrkBinSub0\msmallFrac0&#13;_x000a_\mdispDef1\mlMargin0\mrMargin0\mdefJc1\mwrapIndent1440\mintLim0\mnaryLim1}{\info{\upr{\author PUOD\'8eIUKYNAIT? Just?}{\*\ud\uc0{\author PUOD\'8eIUKYNAIT{\uc1\u278 E Just\u279 e}}}}{\upr{\operator PUOD\'8eIUKYNAIT? Just?}&#13;_x000a_{\*\ud\uc0{\operator PUOD\'8eIUKYNAIT{\uc1\u278 E Just\u279 e}}}}{\creatim\yr2026\mo8\dy10\hr14\min54}{\revtim\yr2026\mo8\dy10\hr14\min54}{\version1}{\edmins0}{\nofpages1}{\nofwords104}{\nofchars597}{\nofcharsws700}{\vern115}}{\*\xmlnstbl {\xmlns1 http://&#13;_x000a_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80\pgbrdrhead\pgbrdrfoot\splytwnine\ftnlytwnine\htmautsp\nolnhtadjtbl\useltbaln\alntblind\lytcalctblwd\lyttblrtgr\lnbrkrule\nobrkwrptbl\snaptogridincell\allowfieldendsel\wrppunct&#13;_x000a_\asianbrkrule\nojkernpunct\rsidroot15995378\newtblstyruls\nogrowautofit\usenormstyforlist\noindnmbrts\felnbrelev\nocxsptable\indrlsweleven\noafcnsttbl\afelev\utinl\hwelev\spltpgpar\notcvasp\notbrkcnstfrctbl\notvatxbx\krnprsnet\cachedcolbal &#13;_x000a_\nouicompat \fet0{\*\wgrffmtfilter 013f}\nofeaturethrottle1\ilfomacatclnup0{\*\template C:\\Users\\JPUODZ~1\\AppData\\Local\\Temp\\Blank1.dotx}{\*\ftnsep \ltrpar \pard\plain \ltrpar&#13;_x000a_\ql \li0\ri0\widctlpar\wrapdefault\aspalpha\aspnum\faauto\adjustright\rin0\lin0\itap0 \rtlch\fcs1 \af0\afs20\alang1025 \ltrch\fcs0 \fs24\lang2057\langfe2057\cgrid\langnp2057\langfenp2057 {\rtlch\fcs1 \af0 \ltrch\fcs0 \insrsid14488308 \chftnsep &#13;_x000a_\par }}{\*\ftnsepc \ltrpar \pard\plain \ltrpar\ql \li0\ri0\widctlpar\wrapdefault\aspalpha\aspnum\faauto\adjustright\rin0\lin0\itap0 \rtlch\fcs1 \af0\afs20\alang1025 \ltrch\fcs0 \fs24\lang2057\langfe2057\cgrid\langnp2057\langfenp2057 {\rtlch\fcs1 \af0 &#13;_x000a_\ltrch\fcs0 \insrsid14488308 \chftnsepc &#13;_x000a_\par }}{\*\aftnsep \ltrpar \pard\plain \ltrpar\ql \li0\ri0\widctlpar\wrapdefault\aspalpha\aspnum\faauto\adjustright\rin0\lin0\itap0 \rtlch\fcs1 \af0\afs20\alang1025 \ltrch\fcs0 \fs24\lang2057\langfe2057\cgrid\langnp2057\langfenp2057 {\rtlch\fcs1 \af0 &#13;_x000a_\ltrch\fcs0 \insrsid14488308 \chftnsep &#13;_x000a_\par }}{\*\aftnsepc \ltrpar \pard\plain \ltrpar\ql \li0\ri0\widctlpar\wrapdefault\aspalpha\aspnum\faauto\adjustright\rin0\lin0\itap0 \rtlch\fcs1 \af0\afs20\alang1025 \ltrch\fcs0 \fs24\lang2057\langfe2057\cgrid\langnp2057\langfenp2057 {\rtlch\fcs1 \af0 &#13;_x000a_\ltrch\fcs0 \insrsid1448830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15363552 \rtlch\fcs1 &#13;_x000a_\af0\afs20\alang1025 \ltrch\fcs0 \b\fs24\lang2057\langfe2057\cgrid\langnp2057\langfenp2057 {\rtlch\fcs1 \af0 \ltrch\fcs0 \cs17\b0\v\fs20\cf9\lang1024\langfe1024\loch\af1\hich\af1\dbch\af31501\noproof\insrsid15995378\charrsid8798805 {\*\bkmkstart restart}&#13;_x000a_\hich\af1\dbch\af31501\loch\f1 &lt;Amend&gt;}{\rtlch\fcs1 \af0 \ltrch\fcs0 \insrsid15995378\charrsid8798805 Amendment\tab \tab }{\rtlch\fcs1 \af0 \ltrch\fcs0 &#13;_x000a_\cs17\b0\v\fs20\cf9\lang1024\langfe1024\loch\af1\hich\af1\dbch\af31501\noproof\insrsid15995378\charrsid8798805 \hich\af1\dbch\af31501\loch\f1 &lt;NumAm&gt;}{\rtlch\fcs1 \af0 \ltrch\fcs0 \insrsid15995378\charrsid8798805 #}{\rtlch\fcs1 \af0 \ltrch\fcs0 &#13;_x000a_\cs18\v\f1\fs20\cf15\insrsid15995378\charrsid8798805 ENMIENDA@NRAM@}{\rtlch\fcs1 \af0 \ltrch\fcs0 \insrsid15995378\charrsid8798805 #}{\rtlch\fcs1 \af0 \ltrch\fcs0 &#13;_x000a_\cs17\b0\v\fs20\cf9\lang1024\langfe1024\loch\af1\hich\af1\dbch\af31501\noproof\insrsid15995378\charrsid8798805 \hich\af1\dbch\af31501\loch\f1 &lt;/NumAm&gt;}{\rtlch\fcs1 \af0 \ltrch\fcs0 \insrsid15995378\charrsid8798805 &#13;_x000a_\par }\pard\plain \ltrpar\s26\ql \li0\ri0\sb240\keepn\nowidctlpar\wrapdefault\aspalpha\aspnum\faauto\adjustright\rin0\lin0\itap0\pararsid15363552 \rtlch\fcs1 \af0\afs20\alang1025 \ltrch\fcs0 \b\fs24\lang2057\langfe2057\cgrid\langnp2057\langfenp2057 {&#13;_x000a_\rtlch\fcs1 \af0 \ltrch\fcs0 \cs17\b0\v\fs20\cf9\lang1024\langfe1024\loch\af1\hich\af1\dbch\af31501\noproof\insrsid15995378\charrsid8798805 \hich\af1\dbch\af31501\loch\f1 &lt;DocAmend&gt;}{\rtlch\fcs1 \af0 \ltrch\fcs0 \insrsid15995378\charrsid8798805 #}{&#13;_x000a_\rtlch\fcs1 \af0 \ltrch\fcs0 \cs18\v\f1\fs20\cf15\insrsid15995378\charrsid8798805 MNU[PROPCOM][PROPCOUNC]@CHOICE@TITLEMNU}{\rtlch\fcs1 \af0 \ltrch\fcs0 \insrsid15995378\charrsid8798805 ##}{\rtlch\fcs1 \af0 \ltrch\fcs0 &#13;_x000a_\cs18\v\f1\fs20\cf15\insrsid15995378\charrsid8798805 MNU[AMACTYES][NOTAPP]@CHOICE@AMACTMNU}{\rtlch\fcs1 \af0 \ltrch\fcs0 \insrsid15995378\charrsid8798805 #}{\rtlch\fcs1 \af0 \ltrch\fcs0 &#13;_x000a_\cs17\b0\v\fs20\cf9\lang1024\langfe1024\loch\af1\hich\af1\dbch\af31501\noproof\insrsid15995378\charrsid8798805 \hich\af1\dbch\af31501\loch\f1 &lt;/DocAmend&gt;}{\rtlch\fcs1 \af0 \ltrch\fcs0 \insrsid15995378\charrsid8798805 &#13;_x000a_\par }\pard\plain \ltrpar\s19\ql \li0\ri0\nowidctlpar\wrapdefault\aspalpha\aspnum\faauto\adjustright\rin0\lin0\itap0\pararsid15363552 \rtlch\fcs1 \af0\afs20\alang1025 \ltrch\fcs0 \b\fs24\lang2057\langfe2057\cgrid\langnp2057\langfenp2057 {\rtlch\fcs1 \af0 &#13;_x000a_\ltrch\fcs0 \cs17\b0\v\fs20\cf9\lang1024\langfe1024\loch\af1\hich\af1\dbch\af31501\noproof\insrsid15995378\charrsid8798805 \hich\af1\dbch\af31501\loch\f1 &lt;Article&gt;}{\rtlch\fcs1 \af0 \ltrch\fcs0 \insrsid15995378\charrsid8798805 #}{\rtlch\fcs1 \af0 &#13;_x000a_\ltrch\fcs0 \cs18\v\f1\fs20\cf15\insrsid15995378\charrsid8798805 MNU[AMACTPARTYES][AMACTPARTNO]@CHOICE@AMACTMNU}{\rtlch\fcs1 \af0 \ltrch\fcs0 \insrsid15995378\charrsid8798805 #}{\rtlch\fcs1 \af0 \ltrch\fcs0 &#13;_x000a_\cs17\b0\v\fs20\cf9\lang1024\langfe1024\loch\af1\hich\af1\dbch\af31501\noproof\insrsid15995378\charrsid8798805 \hich\af1\dbch\af31501\loch\f1 &lt;/Article&gt;}{\rtlch\fcs1 \af0 \ltrch\fcs0 \insrsid15995378\charrsid8798805 &#13;_x000a_\par }\pard\plain \ltrpar\ql \li0\ri0\keepn\widctlpar\wrapdefault\aspalpha\aspnum\faauto\adjustright\rin0\lin0\itap0\pararsid15363552 \rtlch\fcs1 \af0\afs20\alang1025 \ltrch\fcs0 \fs24\lang2057\langfe2057\cgrid\langnp2057\langfenp2057 {\rtlch\fcs1 \af0 &#13;_x000a_\ltrch\fcs0 \cs17\v\fs20\cf9\lang1024\langfe1024\loch\af1\hich\af1\dbch\af31501\noproof\insrsid15995378\charrsid8798805 \hich\af1\dbch\af31501\loch\f1 &lt;DocAmend2&gt;&lt;OptDel&gt;}{\rtlch\fcs1 \af0 \ltrch\fcs0 \insrsid15995378\charrsid8798805 #}{\rtlch\fcs1 \af0 &#13;_x000a_\ltrch\fcs0 \cs18\v\f1\fs20\cf15\insrsid15995378\charrsid8798805 MNU[OPTNRACTYES][NOTAPP]@CHOICE@AMACTMNU}{\rtlch\fcs1 \af0 \ltrch\fcs0 \insrsid15995378\charrsid8798805 #}{\rtlch\fcs1 \af0 \ltrch\fcs0 &#13;_x000a_\cs17\v\fs20\cf9\lang1024\langfe1024\loch\af1\hich\af1\dbch\af31501\noproof\insrsid15995378\charrsid8798805 \hich\af1\dbch\af31501\loch\f1 &lt;/OptDel&gt;&lt;/DocAmend2&gt;}{\rtlch\fcs1 \af0 \ltrch\fcs0 \insrsid15995378\charrsid8798805 &#13;_x000a_\par }\pard \ltrpar\ql \li0\ri0\widctlpar\wrapdefault\aspalpha\aspnum\faauto\adjustright\rin0\lin0\itap0\pararsid15363552 {\rtlch\fcs1 \af0 \ltrch\fcs0 \cs17\v\fs20\cf9\lang1024\langfe1024\loch\af1\hich\af1\dbch\af31501\noproof\insrsid15995378\charrsid8798805 &#13;_x000a_\hich\af1\dbch\af31501\loch\f1 &lt;Article2&gt;&lt;OptDel&gt;}{\rtlch\fcs1 \af0 \ltrch\fcs0 \insrsid15995378\charrsid8798805 #}{\rtlch\fcs1 \af0 \ltrch\fcs0 \cs18\v\f1\fs20\cf15\insrsid15995378\charrsid8798805 MNU[OPTACTPARTYES][NOTAPP]@CHOICE@AMACTMNU}{\rtlch\fcs1 &#13;_x000a_\af0 \ltrch\fcs0 \insrsid15995378\charrsid8798805 #}{\rtlch\fcs1 \af0 \ltrch\fcs0 \cs17\v\fs20\cf9\lang1024\langfe1024\loch\af1\hich\af1\dbch\af31501\noproof\insrsid15995378\charrsid8798805 \hich\af1\dbch\af31501\loch\f1 &lt;/OptDel&gt;&lt;/Article2&gt;}{\rtlch\fcs1 &#13;_x000a_\af0 \ltrch\fcs0 \insrsid15995378\charrsid8798805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insrsid15995378\charrsid8798805 \cell }\pard \ltrpar\ql \li0\ri0\widctlpar\intbl\wrapdefault\aspalpha\aspnum\faauto\adjustright\rin0\lin0 {\rtlch\fcs1 \af0 \ltrch\fcs0 \insrsid15995378\charrsid8798805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1\qc \li0\ri0\sa240\keepn\nowidctlpar\intbl\wrapdefault\aspalpha\aspnum\faauto\adjustright\rin0\lin0\pararsid11085200 \rtlch\fcs1 \af0\afs20\alang1025 \ltrch\fcs0 \i\fs24\lang2057\langfe2057\cgrid\langnp2057\langfenp2057 {&#13;_x000a_\rtlch\fcs1 \af0 \ltrch\fcs0 \insrsid15995378\charrsid8798805 #}{\rtlch\fcs1 \af0 \ltrch\fcs0 \cs18\v\f1\fs20\cf15\insrsid15995378\charrsid8798805 MNU[OPTLEFTAMACT][LEFTPROP]@CHOICE@AMACTMNU}{\rtlch\fcs1 \af0 \ltrch\fcs0 \insrsid15995378\charrsid8798805 #&#13;_x000a_\cell Amendment\cell }\pard\plain \ltrpar\ql \li0\ri0\widctlpar\intbl\wrapdefault\aspalpha\aspnum\faauto\adjustright\rin0\lin0 \rtlch\fcs1 \af0\afs20\alang1025 \ltrch\fcs0 \fs24\lang2057\langfe2057\cgrid\langnp2057\langfenp2057 {\rtlch\fcs1 \af0 &#13;_x000a_\ltrch\fcs0 \insrsid15995378\charrsid8798805 \trowd \ltrrow\ts11\trqc\trgaph340\trleft-340\trftsWidth3\trftsWidthB3\trpaddl340\trpaddr340\trpaddfl3\trpaddft3\trpaddfb3\trpaddfr3\tblrsid11085200\tbllkhdrrows\tbllkhdrcols\tbllknocolband\tblind0\tblindtype3 &#13;_x000a_\clvertalt\clbrdrt\brdrtbl \clbrdrl\brdrtbl \clbrdrb\brdrtbl \clbrdrr\brdrtbl \cltxlrtb\clftsWidth3\clwWidth4876\clshdrawnil\clhidemark \cellx4536\clvertalt\clbrdrt\brdrtbl \clbrdrl\brdrtbl \clbrdrb\brdrtbl \clbrdrr\brdrtbl &#13;_x000a_\cltxlrtb\clftsWidth3\clwWidth4876\clshdrawnil\clhidemark \cellx9412\row \ltrrow}\pard\plain \ltrpar\s20\ql \li0\ri0\sa120\nowidctlpar\intbl\wrapdefault\aspalpha\aspnum\faauto\adjustright\rin0\lin0\pararsid11085200 \rtlch\fcs1 \af0\afs20\alang1025 &#13;_x000a_\ltrch\fcs0 \fs24\lang2057\langfe2057\cgrid\langnp2057\langfenp2057 {\rtlch\fcs1 \af0 \ltrch\fcs0 \insrsid15995378\charrsid8798805 #}{\rtlch\fcs1 \af0 \ltrch\fcs0 \cs18\v\f1\fs20\cf15\insrsid15995378\charrsid8798805 &#13;_x000a_MNU[TEXTLEVA][TEXTLOTHER]@CHOICE@TEXTRMNU}{\rtlch\fcs1 \af0 \ltrch\fcs0 \insrsid15995378\charrsid8798805 #\cell #}{\rtlch\fcs1 \af0 \ltrch\fcs0 \cs18\v\f1\fs20\cf15\insrsid15995378\charrsid8798805 MNU[TEXTREVA][TEXTROTHER]@CHOICE@TEXTRMNU}{\rtlch\fcs1 &#13;_x000a_\af0 \ltrch\fcs0 \insrsid15995378\charrsid8798805 #\cell }\pard\plain \ltrpar\ql \li0\ri0\widctlpar\intbl\wrapdefault\aspalpha\aspnum\faauto\adjustright\rin0\lin0 \rtlch\fcs1 \af0\afs20\alang1025 \ltrch\fcs0 &#13;_x000a_\fs24\lang2057\langfe2057\cgrid\langnp2057\langfenp2057 {\rtlch\fcs1 \af0 \ltrch\fcs0 \insrsid15995378\charrsid8798805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4\qc \li0\ri0\sb240\sa240\nowidctlpar\wrapdefault\aspalpha\aspnum\faauto\adjustright\rin0\lin0\itap0\pararsid15363552 \rtlch\fcs1 \af0\afs20\alang1025 \ltrch\fcs0 \i\fs24\lang2057\langfe2057\cgrid\langnp2057\langfenp2057 {&#13;_x000a_\rtlch\fcs1 \af0 \ltrch\fcs0 \cs17\i0\v\fs20\cf9\lang1024\langfe1024\loch\af1\hich\af1\dbch\af31501\noproof\insrsid15995378\charrsid8798805 \hich\af1\dbch\af31501\loch\f1 &lt;OptDel&gt;}{\rtlch\fcs1 \af0 \ltrch\fcs0 \insrsid15995378\charrsid8798805 #}{&#13;_x000a_\rtlch\fcs1 \af0 \ltrch\fcs0 \cs18\v\f1\fs20\cf15\insrsid15995378\charrsid8798805 MNU[CROSSREFNO][CROSSREFYES]@CHOICE@}{\rtlch\fcs1 \af0 \ltrch\fcs0 \insrsid15995378\charrsid8798805 #}{\rtlch\fcs1 \af0 \ltrch\fcs0 &#13;_x000a_\cs17\i0\v\fs20\cf9\lang1024\langfe1024\loch\af1\hich\af1\dbch\af31501\noproof\insrsid15995378\charrsid8798805 \hich\af1\dbch\af31501\loch\f1 &lt;/OptDel&gt;}{\rtlch\fcs1 \af0 \ltrch\fcs0 \insrsid15995378\charrsid8798805 &#13;_x000a_\par }\pard\plain \ltrpar\s25\qc \li0\ri0\sb240\sa240\keepn\nowidctlpar\wrapdefault\aspalpha\aspnum\faauto\adjustright\rin0\lin0\itap0\pararsid15363552 \rtlch\fcs1 \af0\afs20\alang1025 \ltrch\fcs0 \i\fs24\lang2057\langfe2057\cgrid\langnp2057\langfenp2057 {&#13;_x000a_\rtlch\fcs1 \af0 \ltrch\fcs0 \cs17\i0\v\fs20\cf9\lang1024\langfe1024\loch\af1\hich\af1\dbch\af31501\noproof\insrsid15995378\charrsid8798805 \hich\af1\dbch\af31501\loch\f1 &lt;TitreJust&gt;}{\rtlch\fcs1 \af0 \ltrch\fcs0 \insrsid15995378\charrsid8798805 &#13;_x000a_Justification}{\rtlch\fcs1 \af0 \ltrch\fcs0 \cs17\i0\v\fs20\cf9\lang1024\langfe1024\loch\af1\hich\af1\dbch\af31501\noproof\insrsid15995378\charrsid8798805 \hich\af1\dbch\af31501\loch\f1 &lt;/TitreJust&gt;}{\rtlch\fcs1 \af0 \ltrch\fcs0 &#13;_x000a_\insrsid15995378\charrsid8798805 &#13;_x000a_\par }\pard\plain \ltrpar\s23\ql \li0\ri0\sa240\nowidctlpar\wrapdefault\aspalpha\aspnum\faauto\adjustright\rin0\lin0\itap0\pararsid15363552 \rtlch\fcs1 \af0\afs20\alang1025 \ltrch\fcs0 \i\fs24\lang2057\langfe2057\cgrid\langnp2057\langfenp2057 {\rtlch\fcs1 &#13;_x000a_\af0 \ltrch\fcs0 \cs17\i0\v\fs20\cf9\lang1024\langfe1024\loch\af1\hich\af1\dbch\af31501\noproof\insrsid15995378\charrsid8798805 \hich\af1\dbch\af31501\loch\f1 &lt;OptDelPrev&gt;}{\rtlch\fcs1 \af0 \ltrch\fcs0 \insrsid15995378\charrsid8798805 #}{\rtlch\fcs1 \af0 &#13;_x000a_\ltrch\fcs0 \cs18\v\f1\fs20\cf15\insrsid15995378\charrsid8798805 MNU[TEXTJUSTYES][TEXTJUSTNO]@CHOICE@}{\rtlch\fcs1 \af0 \ltrch\fcs0 \insrsid15995378\charrsid8798805 #}{\rtlch\fcs1 \af0 \ltrch\fcs0 &#13;_x000a_\cs17\i0\v\fs20\cf9\lang1024\langfe1024\loch\af1\hich\af1\dbch\af31501\noproof\insrsid15995378\charrsid8798805 \hich\af1\dbch\af31501\loch\f1 &lt;/OptDelPrev&gt;}{\rtlch\fcs1 \af0 \ltrch\fcs0 \insrsid15995378\charrsid8798805 &#13;_x000a_\par }\pard\plain \ltrpar\ql \li0\ri0\widctlpar\wrapdefault\aspalpha\aspnum\faauto\adjustright\rin0\lin0\itap0\pararsid15363552 \rtlch\fcs1 \af0\afs20\alang1025 \ltrch\fcs0 \fs24\lang2057\langfe2057\cgrid\langnp2057\langfenp2057 {\rtlch\fcs1 \af0 \ltrch\fcs0 &#13;_x000a_\cs17\v\fs20\cf9\lang1024\langfe1024\loch\af1\hich\af1\dbch\af31501\noproof\insrsid15995378\charrsid8798805 \hich\af1\dbch\af31501\loch\f1 &lt;/Amend&gt;}{\rtlch\fcs1 \af0 \ltrch\fcs0 \insrsid15995378\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0e&#13;_x000a_ef50c728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36\fbidi \froman\fcharset238\fprq2 Times New Roman CE;}{\f1337\fbidi \froman\fcharset204\fprq2 Times New Roman Cyr;}&#13;_x000a_{\f1339\fbidi \froman\fcharset161\fprq2 Times New Roman Greek;}{\f1340\fbidi \froman\fcharset162\fprq2 Times New Roman Tur;}{\f1341\fbidi \froman\fcharset177\fprq2 Times New Roman (Hebrew);}&#13;_x000a_{\f1342\fbidi \froman\fcharset178\fprq2 Times New Roman (Arabic);}{\f1343\fbidi \froman\fcharset186\fprq2 Times New Roman Baltic;}{\f1344\fbidi \froman\fcharset163\fprq2 Times New Roman (Vietnamese);}{\f1346\fbidi \fswiss\fcharset238\fprq2 Arial CE;}&#13;_x000a_{\f1347\fbidi \fswiss\fcharset204\fprq2 Arial Cyr;}{\f1349\fbidi \fswiss\fcharset161\fprq2 Arial Greek;}{\f1350\fbidi \fswiss\fcharset162\fprq2 Arial Tur;}{\f1351\fbidi \fswiss\fcharset177\fprq2 Arial (Hebrew);}&#13;_x000a_{\f1352\fbidi \fswiss\fcharset178\fprq2 Arial (Arabic);}{\f1353\fbidi \fswiss\fcharset186\fprq2 Arial Baltic;}{\f1354\fbidi \fswiss\fcharset163\fprq2 Arial (Vietnamese);}{\f1676\fbidi \froman\fcharset238\fprq2 Cambria Math CE;}&#13;_x000a_{\f1677\fbidi \froman\fcharset204\fprq2 Cambria Math Cyr;}{\f1679\fbidi \froman\fcharset161\fprq2 Cambria Math Greek;}{\f1680\fbidi \froman\fcharset162\fprq2 Cambria Math Tur;}{\f1683\fbidi \froman\fcharset186\fprq2 Cambria Math Baltic;}&#13;_x000a_{\f168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54329 HideTWBExt;}{&#13;_x000a_\s18\ql \li0\ri0\nowidctlpar\wrapdefault\aspalpha\aspnum\faauto\adjustright\rin0\lin0\itap0 \rtlch\fcs1 \af0\afs20\alang1025 \ltrch\fcs0 \b\fs24\lang2057\langfe2057\cgrid\langnp2057\langfenp2057 \sbasedon0 \snext18 \spriority0 \styrsid2054329 NormalBold;}&#13;_x000a_{\s19\ql \li0\ri0\sa120\nowidctlpar\wrapdefault\aspalpha\aspnum\faauto\adjustright\rin0\lin0\itap0 \rtlch\fcs1 \af0\afs20\alang1025 \ltrch\fcs0 \fs24\lang2057\langfe2057\cgrid\langnp2057\langfenp2057 \sbasedon0 \snext19 \spriority0 \styrsid2054329 &#13;_x000a_Normal6a;}{\s20\qc \li0\ri0\sa240\nowidctlpar\wrapdefault\aspalpha\aspnum\faauto\adjustright\rin0\lin0\itap0 \rtlch\fcs1 \af0\afs20\alang1025 \ltrch\fcs0 \i\fs24\lang2057\langfe2057\cgrid\langnp2057\langfenp2057 &#13;_x000a_\sbasedon0 \snext20 \spriority0 \styrsid2054329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2054329 AmNumberTabs;}{\s22\ql \li0\ri0\sa240\nowidctlpar\wrapdefault\aspalpha\aspnum\faauto\adjustright\rin0\lin0\itap0 \rtlch\fcs1 &#13;_x000a_\af0\afs20\alang1025 \ltrch\fcs0 \i\fs24\lang2057\langfe2057\cgrid\langnp2057\langfenp2057 \sbasedon0 \snext22 \spriority0 \styrsid2054329 AmJustText;}{&#13;_x000a_\s23\qc \li0\ri0\sb240\sa240\nowidctlpar\wrapdefault\aspalpha\aspnum\faauto\adjustright\rin0\lin0\itap0 \rtlch\fcs1 \af0\afs20\alang1025 \ltrch\fcs0 \i\fs24\lang2057\langfe2057\cgrid\langnp2057\langfenp2057 \sbasedon0 \snext23 \spriority0 \styrsid2054329 &#13;_x000a_AmCrossRef;}{\s24\qc \li0\ri0\sb240\sa240\keepn\nowidctlpar\wrapdefault\aspalpha\aspnum\faauto\adjustright\rin0\lin0\itap0 \rtlch\fcs1 \af0\afs20\alang1025 \ltrch\fcs0 \i\fs24\lang2057\langfe2057\cgrid\langnp2057\langfenp2057 &#13;_x000a_\sbasedon0 \snext22 \spriority0 \styrsid2054329 AmJustTitle;}{\s25\ql \li0\ri0\sb240\nowidctlpar\wrapdefault\aspalpha\aspnum\faauto\adjustright\rin0\lin0\itap0 \rtlch\fcs1 \af0\afs20\alang1025 \ltrch\fcs0 &#13;_x000a_\b\fs24\lang2057\langfe2057\cgrid\langnp2057\langfenp2057 \sbasedon0 \snext25 \spriority0 \styrsid2054329 NormalBold12b;}}{\*\rsidtbl \rsid24658\rsid223860\rsid735077\rsid1718133\rsid2054329\rsid2892074\rsid3565327\rsid4666813\rsid6249873\rsid6641733&#13;_x000a_\rsid7823322\rsid9636012\rsid10040368\rsid10377208\rsid11215221\rsid11549030\rsid12154954\rsid14382809\rsid14424199\rsid15204470\rsid15285974\rsid15950462\rsid16324206\rsid16662270}{\mmathPr\mmathFont34\mbrkBin0\mbrkBinSub0\msmallFrac0\mdispDef1\mlMargin0&#13;_x000a_\mrMargin0\mdefJc1\mwrapIndent1440\mintLim0\mnaryLim1}{\info{\upr{\author PUOD\'8eIUKYNAIT? Just?}{\*\ud\uc0{\author PUOD\'8eIUKYNAIT{\uc1\u278 E Just\u279 e}}}}{\upr{\operator PUOD\'8eIUKYNAIT? Just?}&#13;_x000a_{\*\ud\uc0{\operator PUOD\'8eIUKYNAIT{\uc1\u278 E Just\u279 e}}}}{\creatim\yr2026\mo8\dy10\hr14\min54}{\revtim\yr2026\mo8\dy10\hr14\min54}{\version1}{\edmins0}{\nofpages1}{\nofwords54}{\nofchars313}{\nofcharsws366}{\vern115}}{\*\xmlnstbl {\xmlns1 http://s&#13;_x000a_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80\pgbrdrhead\pgbrdrfoot\splytwnine\ftnlytwnine\htmautsp\nolnhtadjtbl\useltbaln\alntblind\lytcalctblwd\lyttblrtgr\lnbrkrule\nobrkwrptbl\snaptogridincell\allowfieldendsel\wrppunct&#13;_x000a_\asianbrkrule\nojkernpunct\rsidroot2054329\newtblstyruls\nogrowautofit\usenormstyforlist\noindnmbrts\felnbrelev\nocxsptable\indrlsweleven\noafcnsttbl\afelev\utinl\hwelev\spltpgpar\notcvasp\notbrkcnstfrctbl\notvatxbx\krnprsnet\cachedcolbal &#13;_x000a_\nouicompat \fet0{\*\wgrffmtfilter 013f}\nofeaturethrottle1\ilfomacatclnup0{\*\template C:\\Users\\JPUODZ~1\\AppData\\Local\\Temp\\Blank1.dotx}{\*\ftnsep \ltrpar \pard\plain \ltrpar&#13;_x000a_\ql \li0\ri0\widctlpar\wrapdefault\aspalpha\aspnum\faauto\adjustright\rin0\lin0\itap0 \rtlch\fcs1 \af0\afs20\alang1025 \ltrch\fcs0 \fs24\lang2057\langfe2057\cgrid\langnp2057\langfenp2057 {\rtlch\fcs1 \af0 \ltrch\fcs0 \insrsid6249873 \chftnsep &#13;_x000a_\par }}{\*\ftnsepc \ltrpar \pard\plain \ltrpar\ql \li0\ri0\widctlpar\wrapdefault\aspalpha\aspnum\faauto\adjustright\rin0\lin0\itap0 \rtlch\fcs1 \af0\afs20\alang1025 \ltrch\fcs0 \fs24\lang2057\langfe2057\cgrid\langnp2057\langfenp2057 {\rtlch\fcs1 \af0 &#13;_x000a_\ltrch\fcs0 \insrsid6249873 \chftnsepc &#13;_x000a_\par }}{\*\aftnsep \ltrpar \pard\plain \ltrpar\ql \li0\ri0\widctlpar\wrapdefault\aspalpha\aspnum\faauto\adjustright\rin0\lin0\itap0 \rtlch\fcs1 \af0\afs20\alang1025 \ltrch\fcs0 \fs24\lang2057\langfe2057\cgrid\langnp2057\langfenp2057 {\rtlch\fcs1 \af0 &#13;_x000a_\ltrch\fcs0 \insrsid6249873 \chftnsep &#13;_x000a_\par }}{\*\aftnsepc \ltrpar \pard\plain \ltrpar\ql \li0\ri0\widctlpar\wrapdefault\aspalpha\aspnum\faauto\adjustright\rin0\lin0\itap0 \rtlch\fcs1 \af0\afs20\alang1025 \ltrch\fcs0 \fs24\lang2057\langfe2057\cgrid\langnp2057\langfenp2057 {\rtlch\fcs1 \af0 &#13;_x000a_\ltrch\fcs0 \insrsid624987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6293919 \rtlch\fcs1 &#13;_x000a_\af0\afs20\alang1025 \ltrch\fcs0 \b\fs24\lang2057\langfe2057\cgrid\langnp2057\langfenp2057 {\rtlch\fcs1 \af0 \ltrch\fcs0 \cs17\b0\v\fs20\cf9\lang1024\langfe1024\loch\af1\hich\af1\dbch\af31501\noproof\langnp1030\insrsid2054329 {\*\bkmkstart restart}&#13;_x000a_\hich\af1\dbch\af31501\loch\f1 &lt;Amend&gt;}{\rtlch\fcs1 \af0 \ltrch\fcs0 \lang1030\langfe2057\langnp1030\insrsid2054329 [ZAMENDMENT]\tab \tab }{\rtlch\fcs1 \af0 \ltrch\fcs0 &#13;_x000a_\cs17\b0\v\fs20\cf9\lang1024\langfe1024\loch\af1\hich\af1\dbch\af31501\noproof\langnp1030\insrsid2054329 \hich\af1\dbch\af31501\loch\f1 &lt;NumAm&gt;}{\rtlch\fcs1 \af0 \ltrch\fcs0 \lang1030\langfe2057\langnp1030\insrsid2054329 [ZNRAM]}{\rtlch\fcs1 \af0 &#13;_x000a_\ltrch\fcs0 \cs17\b0\v\fs20\cf9\lang1024\langfe1024\loch\af1\hich\af1\dbch\af31501\noproof\langnp1030\insrsid2054329 \hich\af1\dbch\af31501\loch\f1 &lt;/NumAm&gt;}{\rtlch\fcs1 \af0 \ltrch\fcs0 \lang1030\langfe2057\langnp1030\insrsid2054329 &#13;_x000a_\par }\pard\plain \ltrpar\s25\ql \li0\ri0\sb240\keepn\nowidctlpar\wrapdefault\aspalpha\aspnum\faauto\adjustright\rin0\lin0\itap0\pararsid6293919 \rtlch\fcs1 \af0\afs20\alang1025 \ltrch\fcs0 \b\fs24\lang2057\langfe2057\cgrid\langnp2057\langfenp2057 {&#13;_x000a_\rtlch\fcs1 \af0 \ltrch\fcs0 \cs17\b0\v\fs20\cf9\lang1024\langfe1024\loch\af1\hich\af1\dbch\af31501\noproof\langnp1030\insrsid2054329 \hich\af1\dbch\af31501\loch\f1 &lt;DocAmend&gt;}{\rtlch\fcs1 \af0 \ltrch\fcs0 \lang1030\langfe2057\langnp1030\insrsid2054329 &#13;_x000a_[ZPROPOSAL][ZAMACT]}{\rtlch\fcs1 \af0 \ltrch\fcs0 \cs17\b0\v\fs20\cf9\lang1024\langfe1024\loch\af1\hich\af1\dbch\af31501\noproof\langnp1030\insrsid2054329 \hich\af1\dbch\af31501\loch\f1 &lt;/DocAmend&gt;}{\rtlch\fcs1 \af0 \ltrch\fcs0 &#13;_x000a_\lang1030\langfe2057\langnp1030\insrsid2054329 &#13;_x000a_\par }\pard\plain \ltrpar\s18\ql \li0\ri0\nowidctlpar\wrapdefault\aspalpha\aspnum\faauto\adjustright\rin0\lin0\itap0\pararsid6293919 \rtlch\fcs1 \af0\afs20\alang1025 \ltrch\fcs0 \b\fs24\lang2057\langfe2057\cgrid\langnp2057\langfenp2057 {\rtlch\fcs1 \af0 &#13;_x000a_\ltrch\fcs0 \cs17\b0\v\fs20\cf9\lang1024\langfe1024\loch\af1\hich\af1\dbch\af31501\noproof\langnp1030\insrsid2054329 \hich\af1\dbch\af31501\loch\f1 &lt;Article&gt;}{\rtlch\fcs1 \af0 \ltrch\fcs0 \lang1030\langfe2057\langnp1030\insrsid2054329 [ZAMPART]}{&#13;_x000a_\rtlch\fcs1 \af0 \ltrch\fcs0 \cs17\b0\v\fs20\cf9\lang1024\langfe1024\loch\af1\hich\af1\dbch\af31501\noproof\langnp1030\insrsid2054329 \hich\af1\dbch\af31501\loch\f1 &lt;/Article&gt;}{\rtlch\fcs1 \af0 \ltrch\fcs0 \lang1030\langfe2057\langnp1030\insrsid2054329 &#13;_x000a_&#13;_x000a_\par }\pard\plain \ltrpar\ql \li0\ri0\keepn\widctlpar\wrapdefault\aspalpha\aspnum\faauto\adjustright\rin0\lin0\itap0\pararsid6293919 \rtlch\fcs1 \af0\afs20\alang1025 \ltrch\fcs0 \fs24\lang2057\langfe2057\cgrid\langnp2057\langfenp2057 {\rtlch\fcs1 \af0 &#13;_x000a_\ltrch\fcs0 \cs17\v\fs20\cf9\lang1024\langfe1024\loch\af1\hich\af1\dbch\af31501\noproof\langnp1030\insrsid2054329 \hich\af1\dbch\af31501\loch\f1 &lt;DocAmend2&gt;&lt;OptDel&gt;}{\rtlch\fcs1 \af0 \ltrch\fcs0 \lang1030\langfe2057\langnp1030\insrsid2054329 [ZNRACT]}{&#13;_x000a_\rtlch\fcs1 \af0 \ltrch\fcs0 \cs17\v\fs20\cf9\lang1024\langfe1024\loch\af1\hich\af1\dbch\af31501\noproof\langnp1030\insrsid2054329 \hich\af1\dbch\af31501\loch\f1 &lt;/OptDel&gt;&lt;/DocAmend2&gt;}{\rtlch\fcs1 \af0 \ltrch\fcs0 &#13;_x000a_\lang1030\langfe2057\langnp1030\insrsid2054329 &#13;_x000a_\par }\pard \ltrpar\ql \li0\ri0\widctlpar\wrapdefault\aspalpha\aspnum\faauto\adjustright\rin0\lin0\itap0\pararsid6293919 {\rtlch\fcs1 \af0 \ltrch\fcs0 \cs17\v\fs20\cf9\lang1024\langfe1024\loch\af1\hich\af1\dbch\af31501\noproof\langnp1036\insrsid2054329 &#13;_x000a_\hich\af1\dbch\af31501\loch\f1 &lt;Article2&gt;&lt;OptDel&gt;}{\rtlch\fcs1 \af0 \ltrch\fcs0 \lang1036\langfe2057\langnp1036\insrsid2054329 [ZACTPART]}{\rtlch\fcs1 \af0 \ltrch\fcs0 &#13;_x000a_\cs17\v\fs20\cf9\lang1024\langfe1024\loch\af1\hich\af1\dbch\af31501\noproof\langnp1036\insrsid2054329 \hich\af1\dbch\af31501\loch\f1 &lt;/OptDel&gt;&lt;/Article2&gt;}{\rtlch\fcs1 \af0 \ltrch\fcs0 \lang1036\langfe2057\langnp1036\insrsid2054329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lang1036\langfe2057\langnp1036\insrsid2054329 \cell }\pard \ltrpar\ql \li0\ri0\widctlpar\intbl\wrapdefault\aspalpha\aspnum\faauto\adjustright\rin0\lin0 {\rtlch\fcs1 \af0 \ltrch\fcs0 \insrsid2054329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0\qc \li0\ri0\sa240\keepn\nowidctlpar\intbl\wrapdefault\aspalpha\aspnum\faauto\adjustright\rin0\lin0\pararsid11085200 \rtlch\fcs1 \af0\afs20\alang1025 \ltrch\fcs0 \i\fs24\lang2057\langfe2057\cgrid\langnp2057\langfenp2057 {&#13;_x000a_\rtlch\fcs1 \af0 \ltrch\fcs0 \insrsid2054329 [ZLEFT]\cell [ZRIGHT]\cell }\pard\plain \ltrpar\ql \li0\ri0\widctlpar\intbl\wrapdefault\aspalpha\aspnum\faauto\adjustright\rin0\lin0 \rtlch\fcs1 \af0\afs20\alang1025 \ltrch\fcs0 &#13;_x000a_\fs24\lang2057\langfe2057\cgrid\langnp2057\langfenp2057 {\rtlch\fcs1 \af0 \ltrch\fcs0 \insrsid2054329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ltrrow&#13;_x000a_}\pard\plain \ltrpar\s19\ql \li0\ri0\sa120\nowidctlpar\intbl\wrapdefault\aspalpha\aspnum\faauto\adjustright\rin0\lin0\pararsid11085200 \rtlch\fcs1 \af0\afs20\alang1025 \ltrch\fcs0 \fs24\lang2057\langfe2057\cgrid\langnp2057\langfenp2057 {\rtlch\fcs1 \af0 &#13;_x000a_\ltrch\fcs0 \insrsid2054329 [ZTEXTL]\cell [ZTEXTR]\cell }\pard\plain \ltrpar\ql \li0\ri0\widctlpar\intbl\wrapdefault\aspalpha\aspnum\faauto\adjustright\rin0\lin0 \rtlch\fcs1 \af0\afs20\alang1025 \ltrch\fcs0 &#13;_x000a_\fs24\lang2057\langfe2057\cgrid\langnp2057\langfenp2057 {\rtlch\fcs1 \af0 \ltrch\fcs0 \insrsid2054329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3\qc \li0\ri0\sb240\sa240\nowidctlpar\wrapdefault\aspalpha\aspnum\faauto\adjustright\rin0\lin0\itap0\pararsid6293919 \rtlch\fcs1 \af0\afs20\alang1025 \ltrch\fcs0 \i\fs24\lang2057\langfe2057\cgrid\langnp2057\langfenp2057 {&#13;_x000a_\rtlch\fcs1 \af0 \ltrch\fcs0 \cs17\i0\v\fs20\cf9\lang1024\langfe1024\loch\af1\hich\af1\dbch\af31501\noproof\insrsid2054329 \hich\af1\dbch\af31501\loch\f1 &lt;OptDel&gt;}{\rtlch\fcs1 \af0 \ltrch\fcs0 \insrsid2054329 [ZCROSSREF]}{\rtlch\fcs1 \af0 \ltrch\fcs0 &#13;_x000a_\cs17\i0\v\fs20\cf9\lang1024\langfe1024\loch\af1\hich\af1\dbch\af31501\noproof\insrsid2054329 \hich\af1\dbch\af31501\loch\f1 &lt;/OptDel&gt;}{\rtlch\fcs1 \af0 \ltrch\fcs0 \insrsid2054329 &#13;_x000a_\par }\pard\plain \ltrpar\s24\qc \li0\ri0\sb240\sa240\keepn\nowidctlpar\wrapdefault\aspalpha\aspnum\faauto\adjustright\rin0\lin0\itap0\pararsid6293919 \rtlch\fcs1 \af0\afs20\alang1025 \ltrch\fcs0 \i\fs24\lang2057\langfe2057\cgrid\langnp2057\langfenp2057 {&#13;_x000a_\rtlch\fcs1 \af0 \ltrch\fcs0 \cs17\i0\v\fs20\cf9\lang1024\langfe1024\loch\af1\hich\af1\dbch\af31501\noproof\insrsid2054329 \hich\af1\dbch\af31501\loch\f1 &lt;TitreJust&gt;}{\rtlch\fcs1 \af0 \ltrch\fcs0 \insrsid2054329 [ZJUSTIFICATION]}{\rtlch\fcs1 \af0 &#13;_x000a_\ltrch\fcs0 \cs17\i0\v\fs20\cf9\lang1024\langfe1024\loch\af1\hich\af1\dbch\af31501\noproof\insrsid2054329 \hich\af1\dbch\af31501\loch\f1 &lt;/TitreJust&gt;}{\rtlch\fcs1 \af0 \ltrch\fcs0 \insrsid2054329 &#13;_x000a_\par }\pard\plain \ltrpar\s22\ql \li0\ri0\sa240\nowidctlpar\wrapdefault\aspalpha\aspnum\faauto\adjustright\rin0\lin0\itap0\pararsid6293919 \rtlch\fcs1 \af0\afs20\alang1025 \ltrch\fcs0 \i\fs24\lang2057\langfe2057\cgrid\langnp2057\langfenp2057 {\rtlch\fcs1 \af0 &#13;_x000a_\ltrch\fcs0 \cs17\i0\v\fs20\cf9\lang1024\langfe1024\loch\af1\hich\af1\dbch\af31501\noproof\insrsid2054329 \hich\af1\dbch\af31501\loch\f1 &lt;OptDelPrev&gt;}{\rtlch\fcs1 \af0 \ltrch\fcs0 \insrsid2054329 [ZTEXTJUST]}{\rtlch\fcs1 \af0 \ltrch\fcs0 &#13;_x000a_\cs17\i0\v\fs20\cf9\lang1024\langfe1024\loch\af1\hich\af1\dbch\af31501\noproof\insrsid2054329 \hich\af1\dbch\af31501\loch\f1 &lt;/OptDelPrev&gt;}{\rtlch\fcs1 \af0 \ltrch\fcs0 \insrsid2054329 &#13;_x000a_\par }\pard\plain \ltrpar\ql \li0\ri0\widctlpar\wrapdefault\aspalpha\aspnum\faauto\adjustright\rin0\lin0\itap0\pararsid6293919 \rtlch\fcs1 \af0\afs20\alang1025 \ltrch\fcs0 \fs24\lang2057\langfe2057\cgrid\langnp2057\langfenp2057 {\rtlch\fcs1 \af0 \ltrch\fcs0 &#13;_x000a_\cs17\v\fs20\cf9\lang1024\langfe1024\loch\af1\hich\af1\dbch\af31501\noproof\insrsid2054329 \hich\af1\dbch\af31501\loch\f1 &lt;/Amend&gt;}{\rtlch\fcs1 \af0 \ltrch\fcs0 \insrsid2054329\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72&#13;_x000a_9855c728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Evaluation"/>
    <w:docVar w:name="strSubDir" w:val="1348"/>
    <w:docVar w:name="TEXTRMNU" w:val="1"/>
    <w:docVar w:name="TITLECODMNU" w:val=" 1"/>
    <w:docVar w:name="TITLEMNU" w:val=" 1"/>
    <w:docVar w:name="TVTAMPART" w:val="Article 13 – paragraph 1"/>
    <w:docVar w:name="TXTAUTHOR" w:val="Sandra Gómez López"/>
    <w:docVar w:name="TXTLANGUE" w:val="LT"/>
    <w:docVar w:name="TXTLANGUEMIN" w:val="lt"/>
    <w:docVar w:name="TXTNRC" w:val="0173/2025"/>
    <w:docVar w:name="TXTNRCOM" w:val="(2025)0550"/>
    <w:docVar w:name="TXTNRFIRSTAM" w:val="1"/>
    <w:docVar w:name="TXTNRLASTAM" w:val="6"/>
    <w:docVar w:name="TXTNRPE" w:val="787.038"/>
    <w:docVar w:name="TXTNRPROC" w:val="2025/0550"/>
    <w:docVar w:name="TXTPEorAP" w:val="PE"/>
    <w:docVar w:name="TXTROUTE" w:val="AD\1348641LT.docx"/>
    <w:docVar w:name="TXTTITLE" w:val="Regulation of the European Parliament and of the Council establishing the 'AgoraEU' programme for the period 2028 to 2034, and repealing Regulations (EU) 2021/692 and (EU) 2021/818"/>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04F5BD0-90CC-4379-88EC-F832CF84E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251B75"/>
    <w:rPr>
      <w:sz w:val="20"/>
    </w:rPr>
  </w:style>
  <w:style w:type="character" w:customStyle="1" w:styleId="FootnoteTextChar">
    <w:name w:val="Footnote Text Char"/>
    <w:basedOn w:val="DefaultParagraphFont"/>
    <w:link w:val="FootnoteText"/>
    <w:rsid w:val="00251B75"/>
  </w:style>
  <w:style w:type="character" w:styleId="FootnoteReference">
    <w:name w:val="footnote reference"/>
    <w:basedOn w:val="DefaultParagraphFont"/>
    <w:rsid w:val="00251B75"/>
    <w:rPr>
      <w:vertAlign w:val="superscript"/>
    </w:rPr>
  </w:style>
  <w:style w:type="character" w:styleId="Hyperlink">
    <w:name w:val="Hyperlink"/>
    <w:basedOn w:val="DefaultParagraphFont"/>
    <w:rsid w:val="00251B75"/>
    <w:rPr>
      <w:color w:val="0563C1" w:themeColor="hyperlink"/>
      <w:u w:val="single"/>
    </w:rPr>
  </w:style>
  <w:style w:type="character" w:customStyle="1" w:styleId="UnresolvedMention">
    <w:name w:val="Unresolved Mention"/>
    <w:basedOn w:val="DefaultParagraphFont"/>
    <w:uiPriority w:val="99"/>
    <w:semiHidden/>
    <w:unhideWhenUsed/>
    <w:rsid w:val="00251B75"/>
    <w:rPr>
      <w:color w:val="605E5C"/>
      <w:shd w:val="clear" w:color="auto" w:fill="E1DFDD"/>
    </w:rPr>
  </w:style>
  <w:style w:type="paragraph" w:styleId="Footer">
    <w:name w:val="footer"/>
    <w:basedOn w:val="Normal"/>
    <w:link w:val="FooterChar"/>
    <w:semiHidden/>
    <w:rsid w:val="00DB4824"/>
    <w:pPr>
      <w:tabs>
        <w:tab w:val="center" w:pos="4513"/>
        <w:tab w:val="right" w:pos="9026"/>
      </w:tabs>
    </w:pPr>
  </w:style>
  <w:style w:type="character" w:customStyle="1" w:styleId="FooterChar">
    <w:name w:val="Footer Char"/>
    <w:basedOn w:val="DefaultParagraphFont"/>
    <w:link w:val="Footer"/>
    <w:semiHidden/>
    <w:rsid w:val="00DB4824"/>
    <w:rPr>
      <w:sz w:val="24"/>
    </w:rPr>
  </w:style>
  <w:style w:type="character" w:styleId="CommentReference">
    <w:name w:val="annotation reference"/>
    <w:basedOn w:val="DefaultParagraphFont"/>
    <w:rsid w:val="00155C94"/>
    <w:rPr>
      <w:sz w:val="16"/>
      <w:szCs w:val="16"/>
    </w:rPr>
  </w:style>
  <w:style w:type="paragraph" w:styleId="CommentText">
    <w:name w:val="annotation text"/>
    <w:basedOn w:val="Normal"/>
    <w:link w:val="CommentTextChar"/>
    <w:rsid w:val="00155C94"/>
    <w:rPr>
      <w:sz w:val="20"/>
    </w:rPr>
  </w:style>
  <w:style w:type="character" w:customStyle="1" w:styleId="CommentTextChar">
    <w:name w:val="Comment Text Char"/>
    <w:basedOn w:val="DefaultParagraphFont"/>
    <w:link w:val="CommentText"/>
    <w:rsid w:val="00155C94"/>
  </w:style>
  <w:style w:type="paragraph" w:styleId="CommentSubject">
    <w:name w:val="annotation subject"/>
    <w:basedOn w:val="CommentText"/>
    <w:next w:val="CommentText"/>
    <w:link w:val="CommentSubjectChar"/>
    <w:semiHidden/>
    <w:unhideWhenUsed/>
    <w:rsid w:val="00155C94"/>
    <w:rPr>
      <w:b/>
      <w:bCs/>
    </w:rPr>
  </w:style>
  <w:style w:type="character" w:customStyle="1" w:styleId="CommentSubjectChar">
    <w:name w:val="Comment Subject Char"/>
    <w:basedOn w:val="CommentTextChar"/>
    <w:link w:val="CommentSubject"/>
    <w:semiHidden/>
    <w:rsid w:val="00155C94"/>
    <w:rPr>
      <w:b/>
      <w:bCs/>
    </w:rPr>
  </w:style>
  <w:style w:type="paragraph" w:styleId="Revision">
    <w:name w:val="Revision"/>
    <w:hidden/>
    <w:uiPriority w:val="99"/>
    <w:semiHidden/>
    <w:rsid w:val="00395F78"/>
    <w:rPr>
      <w:sz w:val="24"/>
    </w:rPr>
  </w:style>
  <w:style w:type="paragraph" w:customStyle="1" w:styleId="RollCallSymbols14pt">
    <w:name w:val="RollCallSymbols14pt"/>
    <w:basedOn w:val="Normal"/>
    <w:rsid w:val="00C136C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136C4"/>
    <w:pPr>
      <w:tabs>
        <w:tab w:val="center" w:pos="284"/>
        <w:tab w:val="left" w:pos="426"/>
      </w:tabs>
    </w:pPr>
    <w:rPr>
      <w:snapToGrid w:val="0"/>
      <w:lang w:eastAsia="en-US"/>
    </w:rPr>
  </w:style>
  <w:style w:type="paragraph" w:customStyle="1" w:styleId="RollCallVotes">
    <w:name w:val="RollCallVotes"/>
    <w:basedOn w:val="Normal"/>
    <w:rsid w:val="00C136C4"/>
    <w:pPr>
      <w:spacing w:before="120" w:after="120"/>
      <w:jc w:val="center"/>
    </w:pPr>
    <w:rPr>
      <w:b/>
      <w:bCs/>
      <w:snapToGrid w:val="0"/>
      <w:sz w:val="16"/>
      <w:lang w:eastAsia="en-US"/>
    </w:rPr>
  </w:style>
  <w:style w:type="paragraph" w:customStyle="1" w:styleId="RollCallTable">
    <w:name w:val="RollCallTable"/>
    <w:basedOn w:val="Normal"/>
    <w:rsid w:val="00C136C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4/2509/oj" TargetMode="External" /><Relationship Id="rId2" Type="http://schemas.openxmlformats.org/officeDocument/2006/relationships/hyperlink" Target="http://data.europa.eu/eli/dir/2010/13/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3562</Words>
  <Characters>25433</Characters>
  <Application>Microsoft Office Word</Application>
  <DocSecurity>0</DocSecurity>
  <Lines>620</Lines>
  <Paragraphs>202</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28793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2026-04-16T12:49:00Z</cp:lastPrinted>
  <dcterms:created xsi:type="dcterms:W3CDTF">2026-08-31T09:49:00Z</dcterms:created>
  <dcterms:modified xsi:type="dcterms:W3CDTF">2026-08-31T09:49:00Z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1348641</vt:lpwstr>
  </property>
  <property fmtid="{D5CDD505-2E9C-101B-9397-08002B2CF9AE}" pid="4" name="&lt;Model&gt;">
    <vt:lpwstr>PA_LegEvaluation</vt:lpwstr>
  </property>
  <property fmtid="{D5CDD505-2E9C-101B-9397-08002B2CF9AE}" pid="5" name="&lt;ModelCod&gt;">
    <vt:lpwstr>\\eiciBRUpr1\pdocep$\DocEP\DOCS\General\PA\PA_Leg\PA_LegEvaluation.dotx(18/03/2025 13:35:01)</vt:lpwstr>
  </property>
  <property fmtid="{D5CDD505-2E9C-101B-9397-08002B2CF9AE}" pid="6" name="&lt;ModelTra&gt;">
    <vt:lpwstr>\\eiciBRUpr1\pdocep$\DocEP\TRANSFIL\EN\PA_LegEvaluation.EN(03/03/2026 11:04:10)</vt:lpwstr>
  </property>
  <property fmtid="{D5CDD505-2E9C-101B-9397-08002B2CF9AE}" pid="7" name="&lt;Type&gt;">
    <vt:lpwstr>AD</vt:lpwstr>
  </property>
  <property fmtid="{D5CDD505-2E9C-101B-9397-08002B2CF9AE}" pid="8" name="Bookout">
    <vt:lpwstr>OK - 2026/08/31 11:49</vt:lpwstr>
  </property>
  <property fmtid="{D5CDD505-2E9C-101B-9397-08002B2CF9AE}" pid="9" name="Created with">
    <vt:lpwstr>10.2.1 Build [20260301]</vt:lpwstr>
  </property>
  <property fmtid="{D5CDD505-2E9C-101B-9397-08002B2CF9AE}" pid="10" name="FooterPath">
    <vt:lpwstr>AD\1348641LT.docx</vt:lpwstr>
  </property>
  <property fmtid="{D5CDD505-2E9C-101B-9397-08002B2CF9AE}" pid="11" name="LastEdited with">
    <vt:lpwstr>10.3.1 Build [20260701]</vt:lpwstr>
  </property>
  <property fmtid="{D5CDD505-2E9C-101B-9397-08002B2CF9AE}" pid="12" name="PE number">
    <vt:lpwstr>787.038</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- 2026/04/16 10:51</vt:lpwstr>
  </property>
</Properties>
</file>