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5975B3F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E13B15" w:rsidP="00C85D0F" w14:paraId="2CBDE507" w14:textId="77777777">
            <w:pPr>
              <w:pStyle w:val="EPName"/>
            </w:pPr>
            <w:r w:rsidRPr="00E13B15">
              <w:t>Parlament Ewropew</w:t>
            </w:r>
          </w:p>
          <w:p w:rsidR="00854CAC" w:rsidRPr="00E13B15" w:rsidP="00C85D0F" w14:paraId="0C081B35" w14:textId="77777777">
            <w:pPr>
              <w:pStyle w:val="EPTerm"/>
            </w:pPr>
            <w:r w:rsidRPr="00E13B15">
              <w:t>2024-2029</w:t>
            </w:r>
          </w:p>
        </w:tc>
        <w:tc>
          <w:tcPr>
            <w:tcW w:w="2268" w:type="dxa"/>
            <w:shd w:val="clear" w:color="auto" w:fill="auto"/>
          </w:tcPr>
          <w:p w:rsidR="00854CAC" w:rsidRPr="00E13B15" w:rsidP="00C85D0F" w14:paraId="2E0875AE" w14:textId="77777777">
            <w:pPr>
              <w:pStyle w:val="EPLogo"/>
            </w:pPr>
            <w:r w:rsidRPr="00E13B1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10772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E13B15" w:rsidP="001746D0" w14:paraId="6A943ADA" w14:textId="77777777">
      <w:pPr>
        <w:pStyle w:val="LineTop"/>
      </w:pPr>
    </w:p>
    <w:p w:rsidR="001746D0" w:rsidRPr="00E13B15" w:rsidP="001746D0" w14:paraId="53A2BB86" w14:textId="77777777">
      <w:pPr>
        <w:pStyle w:val="EPBody"/>
      </w:pPr>
      <w:r w:rsidRPr="00E13B15">
        <w:rPr>
          <w:rStyle w:val="HideTWBExt"/>
        </w:rPr>
        <w:t>&lt;</w:t>
      </w:r>
      <w:r w:rsidRPr="00E13B15">
        <w:rPr>
          <w:rStyle w:val="HideTWBExt"/>
          <w:i w:val="0"/>
        </w:rPr>
        <w:t>Commission</w:t>
      </w:r>
      <w:r w:rsidRPr="00E13B15">
        <w:rPr>
          <w:rStyle w:val="HideTWBExt"/>
        </w:rPr>
        <w:t>&gt;</w:t>
      </w:r>
      <w:r w:rsidRPr="00E13B15">
        <w:rPr>
          <w:rStyle w:val="HideTWBInt"/>
          <w:i w:val="0"/>
          <w:color w:val="auto"/>
        </w:rPr>
        <w:t>{BUDG}</w:t>
      </w:r>
      <w:r w:rsidRPr="00E13B15">
        <w:t>Kumitat għall-Baġits</w:t>
      </w:r>
      <w:r w:rsidRPr="00E13B15">
        <w:rPr>
          <w:rStyle w:val="HideTWBExt"/>
        </w:rPr>
        <w:t>&lt;/</w:t>
      </w:r>
      <w:r w:rsidRPr="00E13B15">
        <w:rPr>
          <w:rStyle w:val="HideTWBExt"/>
          <w:i w:val="0"/>
        </w:rPr>
        <w:t>Commission</w:t>
      </w:r>
      <w:r w:rsidRPr="00E13B15">
        <w:rPr>
          <w:rStyle w:val="HideTWBExt"/>
        </w:rPr>
        <w:t>&gt;</w:t>
      </w:r>
    </w:p>
    <w:p w:rsidR="001746D0" w:rsidRPr="00E13B15" w:rsidP="001746D0" w14:paraId="2500E6F6" w14:textId="77777777">
      <w:pPr>
        <w:pStyle w:val="LineBottom"/>
      </w:pPr>
    </w:p>
    <w:p w:rsidR="002E2F2E" w:rsidRPr="00E13B15" w14:paraId="2EA938B2" w14:textId="77777777">
      <w:pPr>
        <w:pStyle w:val="CoverReference"/>
      </w:pPr>
      <w:r w:rsidRPr="00E13B15">
        <w:rPr>
          <w:rStyle w:val="HideTWBExt"/>
          <w:b w:val="0"/>
        </w:rPr>
        <w:t>&lt;RefProc&gt;</w:t>
      </w:r>
      <w:r w:rsidRPr="00E13B15">
        <w:t>2025/0550</w:t>
      </w:r>
      <w:r w:rsidRPr="00E13B15">
        <w:rPr>
          <w:rStyle w:val="HideTWBExt"/>
          <w:b w:val="0"/>
        </w:rPr>
        <w:t>&lt;/RefProc&gt;&lt;RefTypeProc&gt;</w:t>
      </w:r>
      <w:r w:rsidRPr="00E13B15">
        <w:t>(COD)</w:t>
      </w:r>
      <w:r w:rsidRPr="00E13B15">
        <w:rPr>
          <w:rStyle w:val="HideTWBExt"/>
          <w:b w:val="0"/>
        </w:rPr>
        <w:t>&lt;/RefTypeProc&gt;</w:t>
      </w:r>
    </w:p>
    <w:p w:rsidR="002E2F2E" w:rsidRPr="00E13B15" w14:paraId="2CF0C986" w14:textId="77777777">
      <w:pPr>
        <w:pStyle w:val="CoverDate"/>
      </w:pPr>
      <w:r w:rsidRPr="00E13B15">
        <w:rPr>
          <w:rStyle w:val="HideTWBExt"/>
        </w:rPr>
        <w:t>&lt;Date&gt;</w:t>
      </w:r>
      <w:r w:rsidRPr="00E13B15">
        <w:rPr>
          <w:rStyle w:val="HideTWBInt"/>
          <w:color w:val="auto"/>
        </w:rPr>
        <w:t>{22/07/2026}</w:t>
      </w:r>
      <w:r w:rsidRPr="00E13B15">
        <w:t>22.7.2026</w:t>
      </w:r>
      <w:r w:rsidRPr="00E13B15">
        <w:rPr>
          <w:rStyle w:val="HideTWBExt"/>
        </w:rPr>
        <w:t>&lt;/Date&gt;</w:t>
      </w:r>
    </w:p>
    <w:p w:rsidR="002E2F2E" w:rsidRPr="00E13B15" w14:paraId="2C6FF0BF" w14:textId="77777777">
      <w:pPr>
        <w:pStyle w:val="CoverDocType24a"/>
      </w:pPr>
      <w:r w:rsidRPr="00E13B15">
        <w:rPr>
          <w:rStyle w:val="HideTWBExt"/>
          <w:b w:val="0"/>
        </w:rPr>
        <w:t>&lt;TitreType&gt;</w:t>
      </w:r>
      <w:r w:rsidRPr="00E13B15">
        <w:t>VALUTAZZJONI BAĠITARJA</w:t>
      </w:r>
      <w:r w:rsidRPr="00E13B15">
        <w:rPr>
          <w:rStyle w:val="HideTWBExt"/>
          <w:b w:val="0"/>
        </w:rPr>
        <w:t>&lt;/TitreType&gt;</w:t>
      </w:r>
    </w:p>
    <w:p w:rsidR="002E2F2E" w:rsidRPr="00E13B15" w14:paraId="5D73ABC6" w14:textId="77777777">
      <w:pPr>
        <w:pStyle w:val="CoverNormal24a"/>
      </w:pPr>
      <w:r w:rsidRPr="00E13B15">
        <w:rPr>
          <w:rStyle w:val="HideTWBExt"/>
        </w:rPr>
        <w:t>&lt;CommissionResp&gt;</w:t>
      </w:r>
      <w:r w:rsidRPr="00E13B15">
        <w:t>tal-Kumitat għall-Baġits</w:t>
      </w:r>
      <w:r w:rsidRPr="00E13B15">
        <w:rPr>
          <w:rStyle w:val="HideTWBExt"/>
        </w:rPr>
        <w:t>&lt;/CommissionResp&gt;</w:t>
      </w:r>
    </w:p>
    <w:p w:rsidR="002E2F2E" w:rsidRPr="00E13B15" w14:paraId="3991A359" w14:textId="77777777">
      <w:pPr>
        <w:pStyle w:val="CoverNormal24a"/>
      </w:pPr>
      <w:r w:rsidRPr="00E13B15">
        <w:rPr>
          <w:rStyle w:val="HideTWBExt"/>
        </w:rPr>
        <w:t>&lt;CommissionInt&gt;</w:t>
      </w:r>
      <w:r w:rsidRPr="00E13B15">
        <w:t>għall-Kumitat għall-Kultura u l-Edukazzjoni u l-Kumitat għal-Libertajiet Ċivili, il-Ġustizzja u l-Intern</w:t>
      </w:r>
      <w:r w:rsidRPr="00E13B15">
        <w:rPr>
          <w:rStyle w:val="HideTWBExt"/>
        </w:rPr>
        <w:t>&lt;/CommissionInt&gt;</w:t>
      </w:r>
    </w:p>
    <w:p w:rsidR="002E2F2E" w:rsidRPr="00E13B15" w14:paraId="23344DB3" w14:textId="77777777">
      <w:pPr>
        <w:pStyle w:val="CoverNormal"/>
      </w:pPr>
      <w:r w:rsidRPr="00E13B15">
        <w:rPr>
          <w:rStyle w:val="HideTWBExt"/>
        </w:rPr>
        <w:t>&lt;Titre&gt;</w:t>
      </w:r>
      <w:r w:rsidRPr="00E13B15">
        <w:t>dwar il-proposta għal Regolament tal-Parlament Ewropew u tal-Kunsill li jistabbilixxi l-programm “AgoraEU” għall-perjodu 2028-2034, u li jħassar ir-Regolamenti (UE) 2021/692 u (UE) 2021/818</w:t>
      </w:r>
      <w:r w:rsidRPr="00E13B15">
        <w:rPr>
          <w:rStyle w:val="HideTWBExt"/>
        </w:rPr>
        <w:t>&lt;/Titre&gt;</w:t>
      </w:r>
    </w:p>
    <w:p w:rsidR="002E2F2E" w:rsidRPr="00E13B15" w14:paraId="289580A1" w14:textId="77777777">
      <w:pPr>
        <w:pStyle w:val="CoverNormal24a"/>
      </w:pPr>
      <w:r w:rsidRPr="00E13B15">
        <w:rPr>
          <w:rStyle w:val="HideTWBExt"/>
        </w:rPr>
        <w:t>&lt;DocRef&gt;</w:t>
      </w:r>
      <w:r w:rsidRPr="00E13B15">
        <w:t>(COM(2025)0550 – C10</w:t>
      </w:r>
      <w:r w:rsidRPr="00E13B15">
        <w:noBreakHyphen/>
        <w:t>0173/2025 – 2025/0550(COD))</w:t>
      </w:r>
      <w:r w:rsidRPr="00E13B15">
        <w:rPr>
          <w:rStyle w:val="HideTWBExt"/>
        </w:rPr>
        <w:t>&lt;/DocRef&gt;</w:t>
      </w:r>
    </w:p>
    <w:p w:rsidR="00A72C35" w:rsidRPr="00E13B15" w:rsidP="00FC42F1" w14:paraId="0A746799" w14:textId="77777777">
      <w:pPr>
        <w:pStyle w:val="CoverNormal24a"/>
        <w:rPr>
          <w:rStyle w:val="HideTWBExt"/>
        </w:rPr>
      </w:pPr>
      <w:r w:rsidRPr="00E13B15">
        <w:t xml:space="preserve">Rapporteur għal valutazzjoni </w:t>
      </w:r>
      <w:r w:rsidRPr="00E13B15">
        <w:t xml:space="preserve">baġitarja: </w:t>
      </w:r>
      <w:r w:rsidRPr="00E13B15">
        <w:rPr>
          <w:rStyle w:val="HideTWBExt"/>
        </w:rPr>
        <w:t>&lt;Depute&gt;</w:t>
      </w:r>
      <w:r w:rsidRPr="00E13B15">
        <w:t>Sandra Gómez López</w:t>
      </w:r>
      <w:r w:rsidRPr="00E13B15">
        <w:rPr>
          <w:rStyle w:val="HideTWBExt"/>
        </w:rPr>
        <w:t>&lt;/Depute&gt;</w:t>
      </w:r>
    </w:p>
    <w:p w:rsidR="002E2F2E" w:rsidRPr="00E13B15" w:rsidP="00E856D2" w14:paraId="2EB71A85" w14:textId="77777777">
      <w:pPr>
        <w:widowControl/>
        <w:tabs>
          <w:tab w:val="center" w:pos="4677"/>
        </w:tabs>
      </w:pPr>
      <w:r w:rsidRPr="00E13B15">
        <w:br w:type="page"/>
      </w:r>
      <w:r w:rsidRPr="00E13B15">
        <w:t>PA_LegEvaluation</w:t>
      </w:r>
    </w:p>
    <w:p w:rsidR="002E2F2E" w:rsidRPr="00E13B15" w:rsidP="00757C4C" w14:paraId="41813429" w14:textId="77777777">
      <w:pPr>
        <w:pStyle w:val="PageHeadingNotTOC"/>
      </w:pPr>
      <w:r w:rsidRPr="00E13B15">
        <w:br w:type="page"/>
      </w:r>
      <w:r w:rsidRPr="00E13B15">
        <w:t>VALUTAZZJONI BAĠITARJA</w:t>
      </w:r>
    </w:p>
    <w:p w:rsidR="00757C4C" w:rsidRPr="00E13B15" w:rsidP="00757C4C" w14:paraId="14BAEC8D" w14:textId="77777777">
      <w:pPr>
        <w:pStyle w:val="NormalBold"/>
      </w:pPr>
      <w:r w:rsidRPr="00E13B15">
        <w:t>għall-Kumitat għall-Kultura u l-Edukazzjoni u l-Kumitat għal-Libertajiet Ċivili, il-Ġustizzja u l-Intern dwar il-proposta għal regolament tal-Parlament Ewropew u tal-Kunsill li jistabbilixxi l-programm “AgoraEU” għall-perjodu 2028-2034, u li jħassar ir-Regolamenti (UE) 2021/692 u (UE) 2021/818</w:t>
      </w:r>
    </w:p>
    <w:p w:rsidR="00006F54" w:rsidRPr="00E13B15" w:rsidP="00006F54" w14:paraId="6211A706" w14:textId="77777777">
      <w:pPr>
        <w:pStyle w:val="NormalBold"/>
      </w:pPr>
      <w:r w:rsidRPr="00E13B15">
        <w:t>(COM(2025)0550 – C10</w:t>
      </w:r>
      <w:r w:rsidRPr="00E13B15">
        <w:noBreakHyphen/>
        <w:t>0173/2025 – 2025/0550(COD))</w:t>
      </w:r>
    </w:p>
    <w:p w:rsidR="00AE79AF" w:rsidRPr="00E13B15" w:rsidP="00006F54" w14:paraId="5A418E29" w14:textId="77777777">
      <w:pPr>
        <w:pStyle w:val="Normal12a"/>
        <w:spacing w:before="480"/>
      </w:pPr>
      <w:r w:rsidRPr="00E13B15">
        <w:rPr>
          <w:rStyle w:val="HideTWBExt"/>
        </w:rPr>
        <w:t>&lt;Intro&gt;</w:t>
      </w:r>
      <w:r w:rsidRPr="00E13B15">
        <w:t xml:space="preserve">Bis-saħħa tal-Artikolu 58 tar-Regoli ta’ Proċedura, il-Kumitat </w:t>
      </w:r>
      <w:r w:rsidRPr="00E13B15">
        <w:t>għall-Baġits ħareġ valutazzjoni tal-proposta u kkonkluda dan li ġej:</w:t>
      </w:r>
      <w:r w:rsidRPr="00E13B15">
        <w:rPr>
          <w:rStyle w:val="HideTWBExt"/>
        </w:rPr>
        <w:t>&lt;/Intro&gt;</w:t>
      </w:r>
    </w:p>
    <w:p w:rsidR="00CE6558" w:rsidRPr="00E13B15" w:rsidP="00CE6558" w14:paraId="1FF793D6" w14:textId="77777777">
      <w:pPr>
        <w:pStyle w:val="EPComma"/>
      </w:pPr>
      <w:r w:rsidRPr="00E13B15">
        <w:rPr>
          <w:i/>
          <w:iCs/>
        </w:rPr>
        <w:t>Il-Kumitat għall-Baġits</w:t>
      </w:r>
      <w:r w:rsidRPr="00E13B15">
        <w:t>,</w:t>
      </w:r>
    </w:p>
    <w:p w:rsidR="00F94599" w:rsidRPr="00E13B15" w:rsidP="00F94599" w14:paraId="77EF4384" w14:textId="77777777">
      <w:pPr>
        <w:pStyle w:val="NormalHanging12a"/>
      </w:pPr>
      <w:r w:rsidRPr="00E13B15">
        <w:t>A.</w:t>
      </w:r>
      <w:r w:rsidRPr="00E13B15">
        <w:tab/>
        <w:t>billi AgoraEU huwa s-suċċessur tal-Programm Ewropa Kreattiva (CREA) eżistenti u tal-Programm dwar iċ-Ċittadini, l-Ugwaljanza, id-Drittijiet u l-Valuri (CERV);</w:t>
      </w:r>
    </w:p>
    <w:p w:rsidR="00F94599" w:rsidRPr="00E13B15" w:rsidP="00F94599" w14:paraId="30FE29CC" w14:textId="77777777">
      <w:pPr>
        <w:pStyle w:val="NormalHanging12a"/>
      </w:pPr>
      <w:r w:rsidRPr="00E13B15">
        <w:t>B.</w:t>
      </w:r>
      <w:r w:rsidRPr="00E13B15">
        <w:tab/>
        <w:t>jisħaq li l-baġit tal-UE għandu rwol vitali fl-appoġġ tal-valuri fundamentali tal-UE tad-demokrazija u l-pluraliżmu, minquxa fl-Artikolu 2 tat-Trattat dwar l-Unjoni Ewropea; billi l-programmi predeċessuri wrew li huma kruċjali biex jappoġġjaw is-setturi kulturali u kreattivi, jissalvagwardjaw il-libertà artistika u tal-media, jiġġieldu d-diżinformazzjoni, u jipproteġu u jippromwovu l-ugwaljanza, il-parteċipazzjoni demokratika, l-inklużjoni soċjali, ir-reżiljenza tas-soċjetà u ċ-ċittadinanza attiva, id-drit</w:t>
      </w:r>
      <w:r w:rsidRPr="00E13B15">
        <w:t>tijiet u l-valuri, inkluż biex jiġu miġġielda l-forom kollha ta’ vjolenza abbażi tal-ġeneru, kif minqux fit-Trattati u fil-Karta tad-Drittijiet Fundamentali tal-Unjoni Ewropea u l-konvenzjonijiet internazzjonali dwar id-drittijiet tal-bniedem applikabbli;</w:t>
      </w:r>
    </w:p>
    <w:p w:rsidR="00A87D2F" w:rsidRPr="00E13B15" w:rsidP="00F94599" w14:paraId="219640EA" w14:textId="77777777">
      <w:pPr>
        <w:pStyle w:val="NormalHanging12a"/>
      </w:pPr>
      <w:r w:rsidRPr="00E13B15">
        <w:t>C.</w:t>
      </w:r>
      <w:r w:rsidRPr="00E13B15">
        <w:tab/>
        <w:t>billi fil-kuntest ta’ pressjoni u theddid dejjem akbar fuq il-valuri demokratiċi Ewropej kif ukoll fil-kuntest ta’ sfidi strutturali usa’ li qed tiffaċċja l-Unjoni, il-Programm AgoraEU għandu rwol ewlieni biex jappoġġja l-kultura, l-media indipendenti u s-soċjetà ċivili, u biex jikkontribwixxi għar-reżiljenza tas-soċjetà tal-Unjoni, għall-involviment ċiviku u għat-tisħiħ tad-demokrazija;</w:t>
      </w:r>
    </w:p>
    <w:p w:rsidR="00A87D2F" w:rsidRPr="00E13B15" w:rsidP="00F94599" w14:paraId="1C4527A1" w14:textId="77777777">
      <w:pPr>
        <w:pStyle w:val="NormalHanging12a"/>
      </w:pPr>
      <w:r w:rsidRPr="00E13B15">
        <w:t>1.</w:t>
      </w:r>
      <w:r w:rsidRPr="00E13B15">
        <w:tab/>
        <w:t>Jirrimarka li l-Programm AgoraEU li għadu kif ġie propost jgħaqqad żewġ programmi eżistenti distinti – CREA u CERV – u jintegra l-finanzjament relatat mal-azzjonijiet ta’ MEDIA appoġġjati fl-ambitu tal-prerogattivi tal-Kummissjoni; jinnota l-proposta tal-Kummissjoni ta’ żieda sinifikanti fil-baġit meta mqabbla mal-baġit akkumulat tal-2021-2027 ta’ CERV u CREA; jissottolinja li dawn il-programmi huma strutturalment sottoskritti żżejjed, bid-domanda li tkun konsiderevolment ogħla mill-possibbiltajiet tal-pro</w:t>
      </w:r>
      <w:r w:rsidRPr="00E13B15">
        <w:t>grammi bbażati fuq il-baġits individwali tagħhom; jenfasizza r-rwol ċentrali tal-Programm AgoraEU biex irawwem ir-reżiljenza demokratika tal-Unjoni; jissottolinja, għalhekk, li hija meħtieġa żieda ulterjuri fil-baġit propost;</w:t>
      </w:r>
    </w:p>
    <w:p w:rsidR="00F94599" w:rsidRPr="00E13B15" w:rsidP="00F94599" w14:paraId="240DFE11" w14:textId="77777777">
      <w:pPr>
        <w:pStyle w:val="NormalHanging12a"/>
      </w:pPr>
      <w:r w:rsidRPr="00E13B15">
        <w:t>2.</w:t>
      </w:r>
      <w:r w:rsidRPr="00E13B15">
        <w:tab/>
        <w:t xml:space="preserve">Iqis li l-pakkett tal-programm għandu jiżdied minn EUR 8 582 000 000 fi prezzijiet attwali għal EUR 10 720 330 000 fi prezzijiet attwali u EUR 9 500 000 000 fi prezzijiet tal-2025 sabiex ikun mgħammar biżżejjed biex jissodisfa l-objettivi tiegħu, filwaqt li jiżgura li l-fużjoni ma ddgħajjifx l-appoġġ għas-setturi kulturali u kreattivi, il-media </w:t>
      </w:r>
      <w:r w:rsidRPr="00E13B15">
        <w:t>indipendenti, is-soċjetà ċivili, il-parteċipazzjoni demokratika u l-ugwaljanza, u jkompli jappoġġja l-azzjonijiet Daphne u jippromwovi d-drittijiet fundamentali;</w:t>
      </w:r>
    </w:p>
    <w:p w:rsidR="00950C9F" w:rsidRPr="00E13B15" w:rsidP="00F94599" w14:paraId="47D89CF4" w14:textId="77777777">
      <w:pPr>
        <w:pStyle w:val="NormalHanging12a"/>
      </w:pPr>
      <w:r w:rsidRPr="00E13B15">
        <w:t>3.</w:t>
      </w:r>
      <w:r w:rsidRPr="00E13B15">
        <w:tab/>
        <w:t>Jilqa’ l-istrateġija tal-UE għas-soċjetà ċivili ppubblikata reċentement, li tirrikonoxxi r-rwol importanti tal-organizzazzjonijiet tas-soċjetà ċivili fl-għoti ta’ pariri, appoġġ u għarfien espert fl-iżvilupp u l-implimentazzjoni tal-leġiżlazzjoni u l-politiki tal-UE; jissottolinja, f’dan ir-rigward, il-ħtieġa li jiġi żgurat finanzjament fit-tul, prevedibbli u suffiċjenti għall-organizzazzjonijiet tas-soċjetà ċivili, inkluż, fejn meħtieġ, permezz ta’ għotjiet operattivi, bi trasparenza u obbligu ta’ rendiko</w:t>
      </w:r>
      <w:r w:rsidRPr="00E13B15">
        <w:t>nt sħaħ;</w:t>
      </w:r>
    </w:p>
    <w:p w:rsidR="00950C9F" w:rsidRPr="00E13B15" w:rsidP="00F94599" w14:paraId="5C0A211E" w14:textId="77777777">
      <w:pPr>
        <w:pStyle w:val="NormalHanging12a"/>
      </w:pPr>
      <w:r w:rsidRPr="00E13B15">
        <w:t>4.</w:t>
      </w:r>
      <w:r w:rsidRPr="00E13B15">
        <w:tab/>
        <w:t>Jenfasizza l-ħtieġa li tiġi żgurata l-aċċessibbiltà wiesgħa tal-Programm AgoraEU fil-fergħat kollha tiegħu; ifakkar, f’dan ir-rigward, fl-Artikolu 207 tar-Regolament Finanzjarju</w:t>
      </w:r>
      <w:r>
        <w:rPr>
          <w:rStyle w:val="FootnoteReference"/>
        </w:rPr>
        <w:footnoteReference w:id="2"/>
      </w:r>
      <w:r w:rsidRPr="00E13B15">
        <w:t xml:space="preserve"> li jippermetti l-possibbiltà li jingħata appoġġ finanzjarju lil partijiet terzi (“finanzjament kaskata”);</w:t>
      </w:r>
    </w:p>
    <w:p w:rsidR="00F94599" w:rsidRPr="00E13B15" w:rsidP="00F94599" w14:paraId="0BA56BFF" w14:textId="77777777">
      <w:pPr>
        <w:pStyle w:val="NormalHanging12a"/>
      </w:pPr>
      <w:r w:rsidRPr="00E13B15">
        <w:t>5.</w:t>
      </w:r>
      <w:r w:rsidRPr="00E13B15">
        <w:tab/>
        <w:t>Iqis li biżżejjed riżorsi, inklużi riżorsi umani, tekniċi u tal-IT, iridu jkunu disponibbli mill-bidu nett u tul il-perjodu kollu ta’ programmazzjoni tal-qafas finanzjarju pluriennali (QFP) 2028-2034 biex tiġi żgurata implimentazzjoni effettiva tal-programm AgoraEU, inkluż għall-aġenzija eżekuttiva li tista’ tiġġestixxi direttament partijiet mill-programm; jenfasizza li l-eżekuzzjoni effettiva tal-programm u l-implimentazzjoni soda tal-politiki u l-programmi tal-UE, inklużi l-monitoraġġ u l-infurzar xierqa</w:t>
      </w:r>
      <w:r w:rsidRPr="00E13B15">
        <w:t>, jiddependu minn amministrazzjoni tal-Unjoni ffinanzjata b’mod adegwat u b’persunal adegwat; ifakkar fil-pożizzjoni li l-Parlament Ewropew ilu jħaddan li l-ispejjeż amministrattivi ma jridux isiru għad-detriment tal-pakkett tal-programm;</w:t>
      </w:r>
    </w:p>
    <w:p w:rsidR="00F94599" w:rsidRPr="00E13B15" w:rsidP="00F94599" w14:paraId="642CBEEC" w14:textId="77777777">
      <w:pPr>
        <w:pStyle w:val="NormalHanging12a"/>
      </w:pPr>
      <w:r w:rsidRPr="00E13B15">
        <w:t>6.</w:t>
      </w:r>
      <w:r w:rsidRPr="00E13B15">
        <w:tab/>
        <w:t>Jinsisti li leġiżlazzjoni dettaljata u tajba biżżejjed, b’livell xieraq ta’ governanza, hija kundizzjoni għal teħid xieraq ta’ deċiżjonijiet baġitarji u sorveljanza parlamentari adegwata matul l-implimentazzjoni tal-baġit; jirrakkomanda l-introduzzjoni ta’ dispożizzjonijiet biex jissaħħaħ il-kontroll fuq kif jiġi mobilizzat u kif jintefaq il-baġit, u jissottolinja l-importanza ta’ evalwazzjonijiet regolari; iqis li l-hekk imsejjaħ mekkaniżmu ta’ tmexxija bl-ebda mod ma jista’ jkun sostitut għas-setgħat leġ</w:t>
      </w:r>
      <w:r w:rsidRPr="00E13B15">
        <w:t>iżlattivi u baġitarji tal-Parlament, u ma jistax jinħoloq mingħajr arkitettura ta’ governanza soda li tiżgura l-eżerċizzju effettiv ta’ tali setgħat;</w:t>
      </w:r>
    </w:p>
    <w:p w:rsidR="00950C9F" w:rsidRPr="00E13B15" w:rsidP="00F94599" w14:paraId="23A540CC" w14:textId="77777777">
      <w:pPr>
        <w:pStyle w:val="NormalHanging12a"/>
      </w:pPr>
      <w:r w:rsidRPr="00E13B15">
        <w:t>7.</w:t>
      </w:r>
      <w:r w:rsidRPr="00E13B15">
        <w:tab/>
        <w:t xml:space="preserve">Jissottolinja li aktar flessibbiltà fl-implimentazzjoni tal-programm ma tridx tirriżulta f’ċentralizzazzjoni </w:t>
      </w:r>
      <w:r w:rsidRPr="00E13B15">
        <w:rPr>
          <w:i/>
          <w:iCs/>
        </w:rPr>
        <w:t>de facto</w:t>
      </w:r>
      <w:r w:rsidRPr="00E13B15">
        <w:t xml:space="preserve"> tal-implimentazzjoni tal-baġit fil-livell tal-Kummissjoni u lanqas ma trid iddgħajjef il-prerogattivi tal-awtorità baġitarja; jisħaq li s-simplifikazzjoni u l-flessibbiltà ma jridux isiru għad-detriment tat-trasparenza u tas-sorveljanza mill-awtorità baġitarja; jirrakkomanda, għalhekk, li l-pakkett globali jiġi diżaggregat biex jirrifletti l-fergħat speċifiċi tal-Programm AgoraEU; jissottol</w:t>
      </w:r>
      <w:r w:rsidRPr="00E13B15">
        <w:t>inja li għandha tiġi żgurata t-trasparenza fir-rigward tal-allokazzjoni tar-riżorsi għal attivitajiet trażversali; jirrakkomanda li, jekk il-kumitati ewlenin jiddeċiedu li jistabbilixxu aktar fergħat meta mqabbla mal-proposta tal-Kummissjoni, dawn għandu jkollhom ukoll pakketti sekondarji indikattivi definiti;</w:t>
      </w:r>
    </w:p>
    <w:p w:rsidR="00F94599" w:rsidRPr="00E13B15" w:rsidP="00F94599" w14:paraId="15B39C84" w14:textId="77777777">
      <w:pPr>
        <w:pStyle w:val="NormalHanging12a"/>
      </w:pPr>
      <w:r w:rsidRPr="00E13B15">
        <w:t>8.</w:t>
      </w:r>
      <w:r w:rsidRPr="00E13B15">
        <w:tab/>
        <w:t>Jenfasizza li l-elementi li jiffurmaw il-Programm AgoraEU għandhom objettivi differenti, huma kkonfrontati b’realtajiet differenti u huma strutturati b’mod differenti, u li s-setturi li huma mmirati lejhom għandhom missjonijiet u mudelli ta’ negozju differenti, u dawn għandhom jitqiesu kif xieraq fit-tfassil tar-Regolament propost; jiddeplora n-nuqqas ta’ nomenklatura baġitarja indikattiva dettaljata biżżejjed proposta fid-dikjarazzjoni finanzjarja u diġitali leġiżlattiva (LFDS) u jqis li dan se jfixkel is</w:t>
      </w:r>
      <w:r w:rsidRPr="00E13B15">
        <w:t>-sorveljanza u l-kapaċità tal-awtorità baġitarja li tmexxi b’mod preċiż il-prijoritajiet ta’ politika fil-proċedura baġitarja annwali; jinnota, barra minn hekk, li dan jagħti lill-Kummissjoni aktar libertà biex tbiddel u tiddeċiedi dwar il-prijoritajiet tal-infiq matul l-implimentazzjoni; jesprimi tħassib li l-arkitettura baġitarja aggregata żżejjed iżżid b’mod drammatiku d-diskrezzjoni tal-Kummissjoni fit-trasferiment u r-riallokazzjoni tar-riżorsi mingħajr deċiżjoni tal-awtorità baġitarja, u tillimita ser</w:t>
      </w:r>
      <w:r w:rsidRPr="00E13B15">
        <w:t>jament is-sorveljanza parlamentari; jirrakkomanda, għalhekk, nomenklatura aktar dettaljata li tirrifletti kif xieraq l-objettivi u l-istruttura tal-programm, u ssaħħaħ it-trasparenza, l-obbligu ta’ rendikont u l-kontroll parlamentari;</w:t>
      </w:r>
    </w:p>
    <w:p w:rsidR="00950C9F" w:rsidRPr="00E13B15" w:rsidP="00F94599" w14:paraId="26883598" w14:textId="77777777">
      <w:pPr>
        <w:pStyle w:val="NormalHanging12a"/>
      </w:pPr>
      <w:r w:rsidRPr="00E13B15">
        <w:t>9.</w:t>
      </w:r>
      <w:r w:rsidRPr="00E13B15">
        <w:tab/>
        <w:t>Ifakkar li n-nomenklatura baġitarja trid tiġi stabbilita f’konformità mal-Artikolu 47(2) tar-Regolament Finanzjarju, li jipprevedi li kull titolu jrid jikkorrispondi għal qasam ta’ politika u li kull kapitolu, bħala regola, irid jikkorrispondi għal programm jew attività, f’konformità mal-prinċipji tal-ispeċifikazzjoni, il-ġestjoni finanzjarja tajba u t-trasparenza; jirrakkomanda li l-Kumitat għall-Kultura u l-Edukazzjoni u l-Kumitat għal-Libertajiet Ċivili, il-Ġustizzja u l-Affarijiet Interni jemendaw il-p</w:t>
      </w:r>
      <w:r w:rsidRPr="00E13B15">
        <w:t>roposta biex jinkludu anness li jiddefinixxi n-nomenklatura tal-programm; jinsisti li n-nomenklatura tal-baġit tifforma parti integrali mill-pożizzjoni ta’ negozjar tal-Parlament u trid tiġi diskussa fin-negozjati interistituzzjonali; iqis, f’dan ir-rigward, li d-Dikjarazzjoni Finanzjarja u Diġitali Leġiżlattiva riveduta trid tifforma parti mill-ftehim politiku finali;</w:t>
      </w:r>
    </w:p>
    <w:p w:rsidR="00F94599" w:rsidRPr="00E13B15" w:rsidP="00F94599" w14:paraId="527CC030" w14:textId="77777777">
      <w:pPr>
        <w:pStyle w:val="NormalHanging12a"/>
      </w:pPr>
      <w:r w:rsidRPr="00E13B15">
        <w:t>10.</w:t>
      </w:r>
      <w:r w:rsidRPr="00E13B15">
        <w:tab/>
        <w:t>Ifakkar li l-proposta tinkludi l-possibbiltà li tintuża garanzija baġitarja; jisħaq li l-implikazzjonijiet baġitarji tal-operazzjonijiet ta’ teħid u ta’ għoti b’self fl-ambitu ta’ AgoraEU jridu jiġu identifikati b’mod ċar, ippreżentati b’mod trasparenti u mmonitorjati bir-reqqa matul il-perjodu tal-QFP; jissottolinja b’mod partikolari li l-impatt potenzjali tagħhom fuq garanziji oħra jrid jiġi vvalutat bis-sħiħ u jitqies kif xieraq, kif ukoll irid jiġi vvalutat bis-sħiħ u jitqies kif xieraq l-impatt fuq id</w:t>
      </w:r>
      <w:r w:rsidRPr="00E13B15">
        <w:t>-disponibbiltà tal-għotjiet fl-ambitu tal-programm; jinsisti li d-deċiżjonijiet kollha relatati ma’ tali operazzjonijiet iridu jirrispettaw bis-sħiħ is-setgħat tal-koleġiżlaturi u l-prerogattivi tal-awtorità baġitarja; jissottolinja li tali strumenti għandhom jintużaw b’mod strateġiku biex jimmassimizzaw l-impatt, l-effiċjenza u s-sostenibbiltà tal-finanzjament tal-UE, filwaqt li jiżguraw trasparenza sħiħa u ġestjoni tajba tar-riskju;</w:t>
      </w:r>
    </w:p>
    <w:p w:rsidR="00F94599" w:rsidRPr="00E13B15" w:rsidP="00F94599" w14:paraId="16E5E594" w14:textId="77777777">
      <w:pPr>
        <w:pStyle w:val="NormalHanging12a"/>
      </w:pPr>
      <w:r w:rsidRPr="00E13B15">
        <w:t>11.</w:t>
      </w:r>
      <w:r w:rsidRPr="00E13B15">
        <w:tab/>
        <w:t>Jinsisti li l-użu ta’ strumenti finanzjarji flimkien mal-finanzjament ta’ AgoraEU se jiġi stabbilit b’mod xieraq u li, fejn applikabbli, l-ammont globali riżervat għall-operazzjonijiet ta’ taħlit kif ukoll għal strumenti finanzjarji oħrajn se jiġi speċifikat fil-proċedura baġitarja annwali; iħeġġeġ biex l-ammonti mobilizzati permezz ta’ operazzjonijiet b’finanzjament imħallat ikunu fiskalment responsabbli b’rati ta’ imgħax raġonevoli;</w:t>
      </w:r>
    </w:p>
    <w:p w:rsidR="00950C9F" w:rsidRPr="00E13B15" w:rsidP="00950C9F" w14:paraId="0CA52713" w14:textId="77777777">
      <w:pPr>
        <w:pStyle w:val="NormalHanging12a"/>
      </w:pPr>
      <w:r w:rsidRPr="00E13B15">
        <w:t>12.</w:t>
      </w:r>
      <w:r w:rsidRPr="00E13B15">
        <w:tab/>
        <w:t>Ifakkar li l-proposta tipprovdi possibbiltà li jiġu riallokati riżorsi lejn programmi ta’ ġestjoni kondiviża u minnhom, iżda jissottolinja li tali sinerġiji għandhom irawmu l-</w:t>
      </w:r>
      <w:r w:rsidRPr="00E13B15">
        <w:t>implimentazzjoni tal-politika; itenni r-rakkomandazzjoni tal-Qorti Ewropea tal-Awdituri li kwalunkwe riallokazzjoni għandha tkun iġġustifikata kif xieraq f’kull każ u titwettaq f’koordinazzjoni bejn il-Kummissjoni u l-Istati Membri; jissottolinja l-ħtieġa li tiġi żgurata traċċabbiltà sħiħa tal-ammonti riallokati;</w:t>
      </w:r>
    </w:p>
    <w:p w:rsidR="00950C9F" w:rsidRPr="00E13B15" w:rsidP="00950C9F" w14:paraId="36D8C23E" w14:textId="77777777">
      <w:pPr>
        <w:pStyle w:val="NormalHanging12a"/>
      </w:pPr>
      <w:r w:rsidRPr="00E13B15">
        <w:t>13.</w:t>
      </w:r>
      <w:r w:rsidRPr="00E13B15">
        <w:tab/>
        <w:t xml:space="preserve">Jisħaq fuq il-ħtieġa li jiġu definiti t-tmiem tal-perjodu ta’ eliġibbiltà u l-limitu massimu fuq in-nefqa teknika u amministrattiva kif ukoll li tiġi pprovduta aktar ċarezza dwar id-drittijiet </w:t>
      </w:r>
      <w:r w:rsidRPr="00E13B15">
        <w:t>tal-awditjar għall-Qorti Ewropea tal-Awdituri, inkluż fir-rigward tal-benefiċjarji f’“pajjiżi terzi”, jiġifieri dawk barra mill-qafas legali tal-UE;</w:t>
      </w:r>
    </w:p>
    <w:p w:rsidR="00950C9F" w:rsidRPr="00E13B15" w:rsidP="00950C9F" w14:paraId="34A0A329" w14:textId="77777777">
      <w:pPr>
        <w:pStyle w:val="NormalHanging12a"/>
      </w:pPr>
      <w:r w:rsidRPr="00E13B15">
        <w:t>14.</w:t>
      </w:r>
      <w:r w:rsidRPr="00E13B15">
        <w:tab/>
        <w:t>Iqis li r-rimborżi minn strumenti finanzjarji għandhom jibqgħu disponibbli fi ħdan il-Programm AgoraEU;</w:t>
      </w:r>
    </w:p>
    <w:p w:rsidR="00F94599" w:rsidRPr="00E13B15" w:rsidP="00F94599" w14:paraId="11A01F2F" w14:textId="77777777">
      <w:pPr>
        <w:pStyle w:val="NormalHanging12a"/>
      </w:pPr>
      <w:r w:rsidRPr="00E13B15">
        <w:t>15.</w:t>
      </w:r>
      <w:r w:rsidRPr="00E13B15">
        <w:tab/>
        <w:t>Jieħu nota tal-komplementarjetà ssuġġerita bejn AgoraEU u programmi, fondi u inizjattivi oħra tal-Unjoni bħat-Tarka Ewropea għad-Demokrazija, il-Programm Ġustizzja, Erasmus+, Ewropa Globali, il-Fond Ewropew għall-Kompetittività, Orizzont Ewropa u l-fondi ta’ ġestjoni kondiviża fl-ambitu tal-pjanijiet ta’ sħubija nazzjonali u reġjonali; jisħaq li komplementarjetà msaħħa bejn l-istrumenti ma tridx tinkiseb għad-detriment tat-traċċabbiltà tan-nefqa jew tal-prerogattivi tal-awtorità baġitarja; jissottolinja li</w:t>
      </w:r>
      <w:r w:rsidRPr="00E13B15">
        <w:t xml:space="preserve"> l-kontribuzzjoni ta’ AgoraEU għall-operazzjonijiet iffinanzjati b’mod konġunt ma’ strumenti oħrajn trid ikun identifikabbli b’mod espliċitu fl-istadji kollha taċ-ċiklu baġitarju; jisħaq, f’dan ir-rigward, li kwalunkwe kontribuzzjoni ta’ dan it-tip trid tiġi riflessa kif xieraq fid-dikjarazzjoni tal-prestazzjoni tal-programm għall-Programm AgoraEU; jinsisti li l-awtorità baġitarja għandha żżomm il-kontroll sħiħ fuq il-mod kif ir-riżorsi jiġu kkombinati bejn l-istrumenti u fuq il-kontribut effettiv ta’ kull </w:t>
      </w:r>
      <w:r w:rsidRPr="00E13B15">
        <w:t>programm għall-prijoritajiet tal-UE, partikolarment permezz ta’ nomenklatura tal-baġit dettaljata; jisħaq li komplementarjetà msaħħa bejn il-programmi ma tridx twassal għal kumplessità sproporzjonata għall-benefiċjarji; jitlob li l-finanzjament tal-UE jkun aktar ċar, aktar aċċessibbli u aktar koerenti sabiex tiġi ffaċilitata l-adozzjoni u jiġi massimizzat l-impatt tal-investimenti;</w:t>
      </w:r>
    </w:p>
    <w:p w:rsidR="00F94599" w:rsidRPr="00E13B15" w:rsidP="00F94599" w14:paraId="46D905E5" w14:textId="77777777">
      <w:pPr>
        <w:pStyle w:val="NormalHanging12a"/>
      </w:pPr>
      <w:r w:rsidRPr="00E13B15">
        <w:t>16.</w:t>
      </w:r>
      <w:r w:rsidRPr="00E13B15">
        <w:tab/>
        <w:t>Jisħaq li l-użu tad-dħul assenjat estern fl-ambitu ta’ AgoraEU jrid ikun ċirkoskritt b’mod ċar, totalment trasparenti u soġġett għal skrutinju parlamentari effettiv; jieħu nota, f’dan ir-rigward, tad-dispożizzjonijiet relatati mal-kontribuzzjonijiet finanzjarji addizzjonali minn kwalunkwe pajjiż terz parteċipant u donaturi oħrajn għall-programm; ifakkar fl-importanza li tiġi żgurata t-traċċabbiltà tad-dħul assenjat estern; jissottolinja li, jekk il-kumitati ewlenin iqisu li jemendaw id-dispożizzjonijiet re</w:t>
      </w:r>
      <w:r w:rsidRPr="00E13B15">
        <w:t>latati mad-dħul assenjat estern, dan għandu jsir f’koordinazzjoni mal-Kumitat għall-Baġits u mal-kumitati l-oħrajn sabiex jiġi żgurat approċċ konsistenti; jirrikonoxxi li l-kontribuzzjonijiet minn partijiet terzi, inkluż mis-settur privat, jistgħu jkunu ta’ benefiċċju għall-programm; jenfasizza li tali kontribuzzjonijiet iridu jiġu implimentati f’konformità mar-Regolament Finanzjarju, b’mod partikolari fir-rigward tal-indipendenza u l-imparzjalità;</w:t>
      </w:r>
    </w:p>
    <w:p w:rsidR="00972442" w:rsidRPr="00E13B15" w:rsidP="00972442" w14:paraId="0EC40866" w14:textId="77777777">
      <w:pPr>
        <w:pStyle w:val="NormalHanging12a"/>
      </w:pPr>
      <w:r w:rsidRPr="00E13B15">
        <w:t>17.</w:t>
      </w:r>
      <w:r w:rsidRPr="00E13B15">
        <w:tab/>
        <w:t xml:space="preserve">Jenfasizza li l-parteċipazzjoni ta’ organizzazzjonijiet minn pajjiżi terzi, li għandha tkun speċifikata b’mod ċar u debitament ġustifikata b’mod trasparenti f’kull programm ta’ ħidma annwali, irrispettivament minn jekk dawk il-pajjiżi humiex assoċjati jew le, għandha titwettaq f’konformità mal-prinċipji tat-trasparenza, ir-reċiproċità finanzjarja u </w:t>
      </w:r>
      <w:r w:rsidRPr="00E13B15">
        <w:t>l-allinjament regolatorju; jisħaq li, f’dan ir-rigward, il-pajjiżi terzi għandhom jipprovdu kontribuzzjoni finanzjarja adegwata għall-programm; jissottolinja li</w:t>
      </w:r>
      <w:r w:rsidRPr="00E13B15">
        <w:t xml:space="preserve"> tali parteċipazzjoni għandha tkun kundizzjonali fuq livell suffiċjenti ta’ allinjament regolatorju, b’mod partikolari mad-dispożizzjonijiet tad-Direttiva 2010/13/UE</w:t>
      </w:r>
      <w:r>
        <w:rPr>
          <w:rStyle w:val="FootnoteReference"/>
        </w:rPr>
        <w:footnoteReference w:id="3"/>
      </w:r>
      <w:r w:rsidRPr="00E13B15">
        <w:t xml:space="preserve"> dwar is-servizzi tal-media awdjoviżiva, notevolment fil-kuntest tal-kooperazzjoni awdjoviżiva; jenfasizza l-ħtieġa li jiġu żgurati salvagwardji ċari fil-każ ta’ nuqqas minn pajjiż terz li jikkonforma mal-impenji meħuda fil-Ftehim ta’ Assoċjazzjoni, jew fejn nuqqasijiet serji u persistenti jirriskjaw li jaffettwaw il-ġestjoni finanzjarja tajba u l-protezzjoni tal-interessi finanzjarji tal-Unjoni;</w:t>
      </w:r>
    </w:p>
    <w:p w:rsidR="00972442" w:rsidRPr="00E13B15" w:rsidP="00972442" w14:paraId="1182DB3E" w14:textId="77777777">
      <w:pPr>
        <w:pStyle w:val="NormalHanging12a"/>
      </w:pPr>
      <w:r w:rsidRPr="00E13B15">
        <w:t>18.</w:t>
      </w:r>
      <w:r w:rsidRPr="00E13B15">
        <w:tab/>
        <w:t xml:space="preserve">Jemmen li l-għażliet ta’ politika sostantivi kollha, bħall-objettivi tal-programm, il-prijoritajiet ta’ nfiq, l-allokazzjonijiet finanzjarji, ir-rati ta’ finanzjament, l-eliġibbiltà, il-kriterji tal-għażla u tal-għoti, il-kundizzjonijiet, id-definizzjonijiet u l-metodi ta’ kalkolu jridu jiġu ddeterminati fl-att leġiżlattiv ta’ bażi rilevanti, b’rispett sħiħ għall-prerogattivi tal-Parlament bħala koleġiżlatur u bħala waħda mill-fergħat tal-awtorità baġitarja tal-UE, u li kwalunkwe element mhux essenzjali u </w:t>
      </w:r>
      <w:r w:rsidRPr="00E13B15">
        <w:t>supplementari li jinvolvi għażliet politiċi li mhumiex inklużi fl-att bażiku jrid jiġi adottat esklużivament permezz ta’ atti delegati, inklużi l-programmi ta’ ħidma;</w:t>
      </w:r>
    </w:p>
    <w:p w:rsidR="00F94599" w:rsidRPr="00E13B15" w:rsidP="00F94599" w14:paraId="6421971D" w14:textId="77777777">
      <w:pPr>
        <w:pStyle w:val="NormalHanging12a"/>
      </w:pPr>
      <w:r w:rsidRPr="00E13B15">
        <w:t>19.</w:t>
      </w:r>
      <w:r w:rsidRPr="00E13B15">
        <w:tab/>
        <w:t>Ifakkar fil-proposta għal regolament li jistabbilixxi qafas għall-ittrekkjar tan-nefqa baġitarja u għall-prestazzjoni tal-baġit u regoli orizzontali oħrajn għall-programmi u għall-attivitajiet tal-Unjoni</w:t>
      </w:r>
      <w:r>
        <w:rPr>
          <w:rStyle w:val="FootnoteReference"/>
        </w:rPr>
        <w:footnoteReference w:id="4"/>
      </w:r>
      <w:r w:rsidRPr="00E13B15">
        <w:t xml:space="preserve"> (ir-“Regolament dwar il-Prestazzjoni”), li jistabbilixxi lista simplifikata unika għall-indikaturi tal-prestazzjoni u d-dispożizzjonijiet dwar il-monitoraġġ u l-evalwazzjoni, li wħud minnhom huma rilevanti għal AgoraEU; jissottolinja li kwalunkwe bidla fl-arkitettura, fl-objettivi u fl-azzjonijiet eliġibbli fl-ambitu tal-programm jeħtieġ li tiġi riflessa b’mod xieraq fid-dispożizzjonijiet rilevanti skont l-Anness I tar-Regolament dwar il-Prestazzjoni, bħala parti mill-proċess ta’ emendar u negozjar ta’ dak</w:t>
      </w:r>
      <w:r w:rsidRPr="00E13B15">
        <w:t xml:space="preserve"> ir-regolament; jirrimarka li, filwaqt li l-leġiżlazzjoni settorjali tista’ tissupplimenta r-regolament dwar il-prestazzjoni, pereżempju fir-rigward tal-evalwazzjonijiet tal-programmi, għandha tibqa’ konsistenti mad-dispożizzjonijiet ta’ dak ir-regolament; jesprimi tħassib li l-attivitajiet eteroġeni ffinanzjati fl-ambitu ta’ AgoraEU se jaffettwaw l-affidabbiltà tal-indikaturi tal-prestazzjoni, u jappella għal identifikazzjoni aktar ċara tar-riżultati speċifiċi għal kull fergħa, enfasi akbar fuq ir-riżultat</w:t>
      </w:r>
      <w:r w:rsidRPr="00E13B15">
        <w:t>i aktar milli fuq l-outputs, u rekwiżiti armonizzati tal-kwalità tad-data;</w:t>
      </w:r>
    </w:p>
    <w:p w:rsidR="00972442" w:rsidRPr="00E13B15" w:rsidP="00972442" w14:paraId="77AF1936" w14:textId="77777777">
      <w:pPr>
        <w:pStyle w:val="NormalHanging12a"/>
      </w:pPr>
      <w:r w:rsidRPr="00E13B15">
        <w:t>20.</w:t>
      </w:r>
      <w:r w:rsidRPr="00E13B15">
        <w:tab/>
        <w:t>Jisħaq li l-finanzjament kollu jrid ikun konformi mal-Gwida tal-Kummissjoni dwar il-finanzjament għal attivitajiet relatati mal-iżvilupp, l-implimentazzjoni, il-monitoraġġ u t-tisħiħ tal-leġiżlazzjoni u l-politika tal-Unjoni;</w:t>
      </w:r>
    </w:p>
    <w:p w:rsidR="00972442" w:rsidRPr="00E13B15" w:rsidP="00972442" w14:paraId="1367191E" w14:textId="77777777">
      <w:pPr>
        <w:pStyle w:val="NormalHanging12a"/>
      </w:pPr>
      <w:r w:rsidRPr="00E13B15">
        <w:t>21.</w:t>
      </w:r>
      <w:r w:rsidRPr="00E13B15">
        <w:tab/>
        <w:t>Iqis li s-salvagwardja tal-interessi finanzjarji tal-Unjoni u l-protezzjoni tal-baġit tal-Unjoni huma essenzjali fil-fażijiet kollha tal-implimentazzjoni tal-baġit tal-Unjoni; jissottolinja li l-użu ta’ finanzjament mhux marbut mal-kostijiet jew għażliet oħra ta’ kostijiet simplifikati ma għandux jaffettwa d-drittijiet tal-awditjar jew tal-</w:t>
      </w:r>
      <w:r w:rsidRPr="00E13B15">
        <w:t>investigazzjoni tal-Kummissjoni, tal-Uffiċċju Ewropew ta’ Kontra l-Frodi, tal-Qorti Ewropea tal-Awdituri u tal-Uffiċċju tal-Prosekutur Pubbliku Ewropew rispettivament; j</w:t>
      </w:r>
      <w:r w:rsidRPr="00E13B15">
        <w:t xml:space="preserve">enfasizza l-importanza ta’ kontrolli kemm </w:t>
      </w:r>
      <w:r w:rsidRPr="00E13B15">
        <w:rPr>
          <w:i/>
          <w:iCs/>
        </w:rPr>
        <w:t>ex ante</w:t>
      </w:r>
      <w:r w:rsidRPr="00E13B15">
        <w:t xml:space="preserve"> kif ukoll </w:t>
      </w:r>
      <w:r w:rsidRPr="00E13B15">
        <w:rPr>
          <w:i/>
          <w:iCs/>
        </w:rPr>
        <w:t>ex post</w:t>
      </w:r>
      <w:r w:rsidRPr="00E13B15">
        <w:t xml:space="preserve"> biex jiġi evitat il-finanzjament doppju u biex jiġu żgurati proċeduri ta’ għoti sodi, traċċabbiltà fil-programmi kollha u trasparenza fl-implimentazzjoni;</w:t>
      </w:r>
    </w:p>
    <w:p w:rsidR="00972442" w:rsidRPr="00E13B15" w:rsidP="00972442" w14:paraId="753B47F8" w14:textId="77777777">
      <w:pPr>
        <w:pStyle w:val="NormalHanging12a"/>
      </w:pPr>
      <w:r w:rsidRPr="00E13B15">
        <w:t>22.</w:t>
      </w:r>
      <w:r w:rsidRPr="00E13B15">
        <w:tab/>
        <w:t>Ifakkar li skont l-Artikolu 6(2) tar-Regolament Finanzjarju, l-istabbiliment u l-implimentazzjoni tal-baġit iridu jikkonformaw ma’ reġim ġenerali ta’ kundizzjonalità f’każijiet ta’ ksur tal-istat tad-dritt; jissottolinja, barra minn hekk, li l-Artikolu 6(3) tal-istess regolament jirrikjedi li l-Istati Membri u l-Kummissjoni, fl-implimentazzjoni tal-baġit, jiżguraw konformità mal-Karta tad-Drittijiet Fundamentali tal-Unjoni Ewropea u jirrispettaw il-valuri li fuqhom hija msejsa l-UE, kif minqux fl-Artikolu </w:t>
      </w:r>
      <w:r w:rsidRPr="00E13B15">
        <w:t>2 tat-Trattat dwar l-Unjoni Ewropea;</w:t>
      </w:r>
    </w:p>
    <w:p w:rsidR="00972442" w:rsidRPr="00E13B15" w:rsidP="00972442" w14:paraId="7E44FE82" w14:textId="77777777">
      <w:pPr>
        <w:pStyle w:val="NormalHanging12a"/>
      </w:pPr>
      <w:r w:rsidRPr="00E13B15">
        <w:t>23.</w:t>
      </w:r>
      <w:r w:rsidRPr="00E13B15">
        <w:tab/>
        <w:t>Jinsisti li f’każ ta’ ksur tal-istat tad-dritt mill-gvernijiet nazzjonali u mingħajr preġudizzju għall-applikazzjoni tar-Regolament (UE, Euratom) 2020/2092</w:t>
      </w:r>
      <w:r>
        <w:rPr>
          <w:rStyle w:val="FootnoteReference"/>
        </w:rPr>
        <w:footnoteReference w:id="5"/>
      </w:r>
      <w:r w:rsidRPr="00E13B15">
        <w:t>, il-Kummissjoni għandha tesplora modi kif tiżgura li l-benefiċjarji u r-riċevituri finali potenzjali jkunu jistgħu jkomplu jibbenefikaw mill-finanzjament tal-Unjoni; jisħaq li dan il-prinċipju jinsab fil-qalba ta’ approċċ ta’ kundizzjonalità intelliġenti;</w:t>
      </w:r>
    </w:p>
    <w:p w:rsidR="00F94599" w:rsidRPr="00E13B15" w:rsidP="00F94599" w14:paraId="37E4C686" w14:textId="77777777">
      <w:pPr>
        <w:pStyle w:val="NormalHanging12a"/>
      </w:pPr>
      <w:r w:rsidRPr="00E13B15">
        <w:t>24.</w:t>
      </w:r>
      <w:r w:rsidRPr="00E13B15">
        <w:tab/>
        <w:t xml:space="preserve">Ifakkar li, skont ir-Regolament Finanzjarju, il-programmi u l-attivitajiet għandhom, fejn fattibbli u xieraq, f’konformità mar-regoli rilevanti speċifiċi għas-settur, jiġu implimentati biex jintlaħqu l-objettivi stabbiliti tagħhom, filwaqt li jirrispettaw il-kundizzjonijiet tax-xogħol u tal-impjieg skont id-dritt nazzjonali applikabbli, id-dritt tal-Unjoni, il-konvenzjonijiet tal-Organizzazzjoni Internazzjonali tax-Xogħol u l-ftehimiet kollettivi kif ukoll iqisu l-prinċipji tal-ugwaljanza bejn il-ġeneri u </w:t>
      </w:r>
      <w:r w:rsidRPr="00E13B15">
        <w:t>tal-prinċipju la tagħmilx ħsara sinifikanti; ifakkar, f’dan ir-rigward, fl-impenji fid-dikjarazzjoni interistituzzjonali konġunta “L-Ewropa għall-Kultura - Il-Kultura għall-Ewropa”, jiġifieri li kulħadd għandu d-dritt għal kundizzjonijiet tax-xogħol ekwi, ġusti, tajbin għas-saħħa u sikuri, inklużi l-artisti u l-professjonisti kulturali li huma fil-qalba tas-setturi u l-industriji kulturali u kreattivi tagħna; ifakkar, barra minn hekk, li remunerazzjoni ġusta u kundizzjonijiet tax-xogħol adegwati huma fundam</w:t>
      </w:r>
      <w:r w:rsidRPr="00E13B15">
        <w:t>entali għal-libertà artistika u d-diversità kulturali.</w:t>
      </w:r>
    </w:p>
    <w:p w:rsidR="00C8553D" w:rsidRPr="00E13B15" w:rsidP="00C8553D" w14:paraId="5EA0E1E9" w14:textId="77777777">
      <w:pPr>
        <w:sectPr w:rsidSect="00E13B1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FE24DE" w:rsidRPr="00E13B15" w:rsidP="00FE24DE" w14:paraId="5D07A2AD" w14:textId="77777777">
      <w:pPr>
        <w:pStyle w:val="PageHeadingNotTOC"/>
      </w:pPr>
      <w:r w:rsidRPr="00E13B15">
        <w:t>EMENDI</w:t>
      </w:r>
    </w:p>
    <w:p w:rsidR="00395F78" w:rsidRPr="00E13B15" w:rsidP="00B77427" w14:paraId="08F8AA6E" w14:textId="77777777">
      <w:pPr>
        <w:pStyle w:val="Normal12a"/>
      </w:pPr>
      <w:r w:rsidRPr="00E13B15">
        <w:t>Fil-qafas tal-valutazzjoni baġitarja tiegħu, il-Kumitat għall-Baġits jippreżenta wkoll l-emendi li ġejjin għall-proposta:</w:t>
      </w:r>
    </w:p>
    <w:p w:rsidR="0068168E" w:rsidRPr="00E13B15" w:rsidP="0068168E" w14:paraId="46AF00CC" w14:textId="77777777">
      <w:pPr>
        <w:pStyle w:val="AmNumberTabs"/>
        <w:keepNext/>
      </w:pPr>
      <w:r w:rsidRPr="00E13B15">
        <w:rPr>
          <w:rStyle w:val="HideTWBExt"/>
        </w:rPr>
        <w:t>&lt;RepeatBlock-Amend&gt;</w:t>
      </w:r>
      <w:bookmarkStart w:id="0" w:name="restart"/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1</w:t>
      </w:r>
      <w:r w:rsidRPr="00E13B15">
        <w:rPr>
          <w:rStyle w:val="HideTWBExt"/>
          <w:b w:val="0"/>
        </w:rPr>
        <w:t>&lt;/NumAm&gt;</w:t>
      </w:r>
    </w:p>
    <w:p w:rsidR="0068168E" w:rsidRPr="00E13B15" w:rsidP="0068168E" w14:paraId="42BE6CD9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68168E" w:rsidRPr="00E13B15" w:rsidP="0068168E" w14:paraId="1E629966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 xml:space="preserve"> Premessa 28a (ġdida)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D17F1C7" w14:textId="77777777" w:rsidTr="0068168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68168E" w:rsidRPr="00E13B15" w:rsidP="00A92590" w14:paraId="47A3AC5B" w14:textId="77777777">
            <w:pPr>
              <w:keepNext/>
            </w:pPr>
          </w:p>
        </w:tc>
      </w:tr>
      <w:tr w14:paraId="665BE4B3" w14:textId="77777777" w:rsidTr="0068168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68168E" w:rsidRPr="00E13B15" w:rsidP="00A92590" w14:paraId="4AA34D83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68168E" w:rsidRPr="00E13B15" w:rsidP="00A92590" w14:paraId="75E17BEB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1B5D9356" w14:textId="77777777" w:rsidTr="0068168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68168E" w:rsidRPr="00E13B15" w:rsidP="00A92590" w14:paraId="6E618A74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68168E" w:rsidRPr="00E13B15" w:rsidP="00A92590" w14:paraId="2F0985C5" w14:textId="77777777">
            <w:pPr>
              <w:pStyle w:val="Normal6a"/>
            </w:pPr>
            <w:r w:rsidRPr="00E13B15">
              <w:rPr>
                <w:b/>
                <w:i/>
              </w:rPr>
              <w:t>(28a)</w:t>
            </w:r>
            <w:r w:rsidRPr="00E13B15">
              <w:rPr>
                <w:b/>
                <w:i/>
              </w:rPr>
              <w:tab/>
              <w:t xml:space="preserve">Jenħtieġ li l-komplementarjetà bejn AgoraEU u strumenti oħrajn tal-Unjoni ma tinkisibx għad-detriment tat-traċċabbiltà tan-nefqa jew </w:t>
            </w:r>
            <w:r w:rsidRPr="00E13B15">
              <w:rPr>
                <w:b/>
                <w:i/>
              </w:rPr>
              <w:t>tal-prerogattivi tal-awtorità baġitarja. Il-kontribuzzjoni ta’ AgoraEU għall-azzjonijiet iffinanzjati b’mod konġunt jenħtieġ li tibqa’ identifikabbli b’mod espliċitu fl-istadji kollha taċ-ċiklu baġitarju u jenħtieġ li tiġi riflessa debitament fid-Dikjarazzjoni tal-Prestazzjoni tal-Programm.</w:t>
            </w:r>
          </w:p>
        </w:tc>
      </w:tr>
    </w:tbl>
    <w:p w:rsidR="0068168E" w:rsidRPr="00E13B15" w:rsidP="0068168E" w14:paraId="6FEA09A1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68168E" w:rsidRPr="00E13B15" w:rsidP="00EA6DE0" w14:paraId="008058F5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2</w:t>
      </w:r>
      <w:r w:rsidRPr="00E13B15">
        <w:rPr>
          <w:rStyle w:val="HideTWBExt"/>
          <w:b w:val="0"/>
        </w:rPr>
        <w:t>&lt;/NumAm&gt;</w:t>
      </w:r>
    </w:p>
    <w:p w:rsidR="0068168E" w:rsidRPr="00E13B15" w:rsidP="00EA6DE0" w14:paraId="56E15F08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68168E" w:rsidRPr="00E13B15" w:rsidP="00EA6DE0" w14:paraId="1F07A04F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 xml:space="preserve"> Premessa 32a (ġdida)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6E6A2E3" w14:textId="77777777" w:rsidTr="0068168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68168E" w:rsidRPr="00E13B15" w:rsidP="00A92590" w14:paraId="029DB2F2" w14:textId="77777777">
            <w:pPr>
              <w:keepNext/>
            </w:pPr>
          </w:p>
        </w:tc>
      </w:tr>
      <w:tr w14:paraId="519C1EC7" w14:textId="77777777" w:rsidTr="0068168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68168E" w:rsidRPr="00E13B15" w:rsidP="00A92590" w14:paraId="0903C86B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68168E" w:rsidRPr="00E13B15" w:rsidP="00A92590" w14:paraId="712C7547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4B902BE7" w14:textId="77777777" w:rsidTr="0068168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68168E" w:rsidRPr="00E13B15" w:rsidP="00A92590" w14:paraId="6D55870A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68168E" w:rsidRPr="00E13B15" w:rsidP="00A92590" w14:paraId="052A872B" w14:textId="77777777">
            <w:pPr>
              <w:pStyle w:val="Normal6a"/>
            </w:pPr>
            <w:r w:rsidRPr="00E13B15">
              <w:rPr>
                <w:b/>
                <w:i/>
              </w:rPr>
              <w:t>(32a)</w:t>
            </w:r>
            <w:r w:rsidRPr="00E13B15">
              <w:rPr>
                <w:b/>
                <w:i/>
              </w:rPr>
              <w:tab/>
              <w:t xml:space="preserve">Ir-Regolament (UE, Euratom) </w:t>
            </w:r>
            <w:r w:rsidRPr="00E13B15">
              <w:rPr>
                <w:b/>
                <w:i/>
              </w:rPr>
              <w:t>2020/2092 tal-Parlament Ewropew u tal-Kunsill japplika għall-Programm. Jistabbilixxi reġim ġenerali ta’ kundizzjonalità għall-protezzjoni tal-baġit tal-Unjoni fil-każ ta’ ksur tal-prinċipji tal-istat tad-dritt fl-Istati Membri.</w:t>
            </w:r>
          </w:p>
        </w:tc>
      </w:tr>
    </w:tbl>
    <w:p w:rsidR="0068168E" w:rsidRPr="00E13B15" w:rsidP="00F9166E" w14:paraId="74F107FE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68168E" w:rsidRPr="00E13B15" w:rsidP="00EA6DE0" w14:paraId="5DCC9BA0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3</w:t>
      </w:r>
      <w:r w:rsidRPr="00E13B15">
        <w:rPr>
          <w:rStyle w:val="HideTWBExt"/>
          <w:b w:val="0"/>
        </w:rPr>
        <w:t>&lt;/NumAm&gt;</w:t>
      </w:r>
    </w:p>
    <w:p w:rsidR="0068168E" w:rsidRPr="00E13B15" w:rsidP="00EA6DE0" w14:paraId="0D7B28D0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68168E" w:rsidRPr="00E13B15" w:rsidP="00EA6DE0" w14:paraId="48D96551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 xml:space="preserve"> Premessa 33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3BB523E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68168E" w:rsidRPr="00E13B15" w:rsidP="00A92590" w14:paraId="57109F47" w14:textId="77777777">
            <w:pPr>
              <w:keepNext/>
            </w:pPr>
          </w:p>
        </w:tc>
      </w:tr>
      <w:tr w14:paraId="07E7AE6B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68168E" w:rsidRPr="00E13B15" w:rsidP="00A92590" w14:paraId="344EDA22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68168E" w:rsidRPr="00E13B15" w:rsidP="00A92590" w14:paraId="50131A60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05D65C5E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68168E" w:rsidRPr="00E13B15" w:rsidP="00A92590" w14:paraId="5E1AF4AB" w14:textId="77777777">
            <w:pPr>
              <w:pStyle w:val="Normal6a"/>
            </w:pPr>
            <w:r w:rsidRPr="00E13B15">
              <w:t>(33)</w:t>
            </w:r>
            <w:r w:rsidRPr="00E13B15">
              <w:tab/>
              <w:t xml:space="preserve">Ir-Regolament (UE, Euratom) 2024/2509 tal-Parlament Ewropew u tal-Kunsill japplika għall-Programm. </w:t>
            </w:r>
            <w:r w:rsidRPr="00E13B15">
              <w:t>Jistabbilixxi r-regoli dwar l-istabbiliment u l-implimentazzjoni tal-baġit ġenerali tal-Unjoni, inklużi r-regoli dwar l-għotjiet, il-premjijiet, id-donazzjonijiet mhux finanzjarji, l-akkwist, l-implimentazzjoni indiretta, l-assistenza finanzjarja, l-istrumenti finanzjarji u l-garanziji baġitarji.</w:t>
            </w:r>
          </w:p>
        </w:tc>
        <w:tc>
          <w:tcPr>
            <w:tcW w:w="4876" w:type="dxa"/>
            <w:hideMark/>
          </w:tcPr>
          <w:p w:rsidR="0068168E" w:rsidRPr="00E13B15" w:rsidP="00A92590" w14:paraId="4B292DFF" w14:textId="77777777">
            <w:pPr>
              <w:pStyle w:val="Normal6a"/>
            </w:pPr>
            <w:r w:rsidRPr="00E13B15">
              <w:t>(33)</w:t>
            </w:r>
            <w:r w:rsidRPr="00E13B15">
              <w:tab/>
              <w:t xml:space="preserve">Ir-Regolament (UE, Euratom) 2024/2509 tal-Parlament Ewropew u tal-Kunsill japplika għall-Programm. Jistabbilixxi r-regoli dwar l-istabbiliment u l-implimentazzjoni tal-baġit ġenerali tal-Unjoni, inklużi r-regoli dwar l-għotjiet, il-premjijiet, id-donazzjonijiet mhux finanzjarji, l-akkwist, l-implimentazzjoni indiretta, l-assistenza finanzjarja, l-istrumenti finanzjarji u l-garanziji baġitarji. </w:t>
            </w:r>
            <w:r w:rsidRPr="00E13B15">
              <w:rPr>
                <w:b/>
                <w:i/>
              </w:rPr>
              <w:t>F’konformità mar-Regolament (UE, Euratom) 2024/2509 (ir-“Regolament Finanzjarju”), l-implimentazzjoni tal-Programm</w:t>
            </w:r>
            <w:r w:rsidRPr="00E13B15">
              <w:rPr>
                <w:b/>
                <w:i/>
              </w:rPr>
              <w:t xml:space="preserve"> jenħtieġ li tirrispetta bis-sħiħ il-valuri minquxa fl-Artikolu 2 tat-Trattat dwar l-Unjoni Ewropea u d-drittijiet rikonoxxuti fil-Karta tad-Drittijiet Fundamentali tal-Unjoni Ewropea.</w:t>
            </w:r>
          </w:p>
        </w:tc>
      </w:tr>
      <w:tr w14:paraId="5C27C77F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E42AD1" w:rsidRPr="00E13B15" w:rsidP="00A92590" w14:paraId="0BA235A1" w14:textId="77777777">
            <w:pPr>
              <w:pStyle w:val="Normal6a"/>
            </w:pPr>
            <w:r w:rsidRPr="00E13B15">
              <w:t>___________</w:t>
            </w:r>
          </w:p>
        </w:tc>
        <w:tc>
          <w:tcPr>
            <w:tcW w:w="4876" w:type="dxa"/>
          </w:tcPr>
          <w:p w:rsidR="00E42AD1" w:rsidRPr="00E13B15" w:rsidP="00697C9F" w14:paraId="68F00CCB" w14:textId="77777777">
            <w:pPr>
              <w:pStyle w:val="Normal6a"/>
            </w:pPr>
            <w:r w:rsidRPr="00E13B15">
              <w:t>___________</w:t>
            </w:r>
          </w:p>
        </w:tc>
      </w:tr>
      <w:tr w14:paraId="54A91A34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E42AD1" w:rsidRPr="00E13B15" w:rsidP="00A92590" w14:paraId="7D1D47B9" w14:textId="77777777">
            <w:pPr>
              <w:pStyle w:val="Normal6a"/>
            </w:pPr>
            <w:r w:rsidRPr="00E13B15">
              <w:rPr>
                <w:vertAlign w:val="superscript"/>
              </w:rPr>
              <w:t>27</w:t>
            </w:r>
            <w:r w:rsidRPr="00E13B15">
              <w:t xml:space="preserve"> Ir-Regolament (UE, Euratom) 2024/2509 tal-Parlament Ewropew u tal-Kunsill tat-23 ta’ Settembru 2024 dwar ir-regoli finanzjarji applikabbli għall-baġit ġenerali tal-Unjoni (ĠU L, 2024/2509, 26.9.2024, ELI: http://data.europa.eu/eli/reg/2024/2509/oj).</w:t>
            </w:r>
          </w:p>
        </w:tc>
        <w:tc>
          <w:tcPr>
            <w:tcW w:w="4876" w:type="dxa"/>
          </w:tcPr>
          <w:p w:rsidR="00E42AD1" w:rsidRPr="00E13B15" w:rsidP="00697C9F" w14:paraId="67557652" w14:textId="77777777">
            <w:pPr>
              <w:pStyle w:val="Normal6a"/>
            </w:pPr>
            <w:r w:rsidRPr="00E13B15">
              <w:rPr>
                <w:vertAlign w:val="superscript"/>
              </w:rPr>
              <w:t>27</w:t>
            </w:r>
            <w:r w:rsidRPr="00E13B15">
              <w:t xml:space="preserve"> Ir-Regolament (UE, Euratom) 2024/2509 tal-Parlament Ewropew u tal-Kunsill tat-23 ta’ Settembru 2024 dwar ir-regoli finanzjarji applikabbli għall-baġit ġenerali tal-Unjoni (ĠU L, 2024/2509, 26.9.2024, ELI: http://data.europa.eu/eli/reg/2024/2509/oj).</w:t>
            </w:r>
          </w:p>
        </w:tc>
      </w:tr>
    </w:tbl>
    <w:p w:rsidR="0068168E" w:rsidRPr="00E13B15" w:rsidP="00F9166E" w14:paraId="765F24BD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873BF3" w:rsidRPr="00E13B15" w:rsidP="00873BF3" w14:paraId="3B115D6C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4</w:t>
      </w:r>
      <w:r w:rsidRPr="00E13B15">
        <w:rPr>
          <w:rStyle w:val="HideTWBExt"/>
          <w:b w:val="0"/>
        </w:rPr>
        <w:t>&lt;/NumAm&gt;</w:t>
      </w:r>
    </w:p>
    <w:p w:rsidR="00873BF3" w:rsidRPr="00E13B15" w:rsidP="00873BF3" w14:paraId="2439CE54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873BF3" w:rsidRPr="00E13B15" w:rsidP="00873BF3" w14:paraId="58AD3B0A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>Premessa 40a (ġdida)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C2E83D6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873BF3" w:rsidRPr="00E13B15" w:rsidP="00A92590" w14:paraId="08BED643" w14:textId="77777777">
            <w:pPr>
              <w:keepNext/>
            </w:pPr>
          </w:p>
        </w:tc>
      </w:tr>
      <w:tr w14:paraId="6DF97460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873BF3" w:rsidRPr="00E13B15" w:rsidP="00A92590" w14:paraId="3F8464C3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873BF3" w:rsidRPr="00E13B15" w:rsidP="00A92590" w14:paraId="551A5345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023DFFEE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873BF3" w:rsidRPr="00E13B15" w:rsidP="00A92590" w14:paraId="15F27FD0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873BF3" w:rsidRPr="00E13B15" w:rsidP="00A92590" w14:paraId="131E08A3" w14:textId="77777777">
            <w:pPr>
              <w:pStyle w:val="Normal6a"/>
            </w:pPr>
            <w:bookmarkStart w:id="1" w:name="_Hlk227236390"/>
            <w:r w:rsidRPr="00E13B15">
              <w:rPr>
                <w:b/>
                <w:i/>
              </w:rPr>
              <w:t>(40a)</w:t>
            </w:r>
            <w:r w:rsidRPr="00E13B15">
              <w:rPr>
                <w:b/>
                <w:i/>
              </w:rPr>
              <w:tab/>
              <w:t xml:space="preserve">Huwa essenzjali li d-dispożizzjonijiet ta’ dan ir-Regolament kif ukoll </w:t>
            </w:r>
            <w:r w:rsidRPr="00E13B15">
              <w:rPr>
                <w:b/>
                <w:i/>
              </w:rPr>
              <w:t xml:space="preserve">l-arranġamenti ta’ governanza tiegħu jridu jwasslu għat-teħid xieraq ta’ deċiżjonijiet mill-awtorità baġitarja u għal sorveljanza parlamentari xierqa. B’mod partikolari, f’konformità mal-Artikolu 47(2) tar-Regolament Finanzjarju, kwalunkwe speċifikazzjoni </w:t>
            </w:r>
            <w:r w:rsidRPr="00E13B15">
              <w:rPr>
                <w:b/>
                <w:i/>
              </w:rPr>
              <w:t>tal-arkitettura interna ta’ AgoraEU jenħtieġ li tiġi riflessa debitament fin-nomenklatura tal-baġit permezz tal-introduzzjoni ta’ linji baġitarji korrispondenti.</w:t>
            </w:r>
            <w:bookmarkEnd w:id="1"/>
          </w:p>
        </w:tc>
      </w:tr>
    </w:tbl>
    <w:bookmarkEnd w:id="0"/>
    <w:p w:rsidR="0068168E" w:rsidRPr="00E13B15" w:rsidP="0068168E" w14:paraId="1F8FEF1B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251B75" w:rsidRPr="00E13B15" w:rsidP="00EA6DE0" w14:paraId="6FD4A7A3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5</w:t>
      </w:r>
      <w:r w:rsidRPr="00E13B15">
        <w:rPr>
          <w:rStyle w:val="HideTWBExt"/>
          <w:b w:val="0"/>
        </w:rPr>
        <w:t>&lt;/NumAm&gt;</w:t>
      </w:r>
    </w:p>
    <w:p w:rsidR="00251B75" w:rsidRPr="00E13B15" w:rsidP="00EA6DE0" w14:paraId="4C301E56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251B75" w:rsidRPr="00E13B15" w:rsidP="00EA6DE0" w14:paraId="6D08A879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>Premessa 40b (ġdida)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B7BE1A3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251B75" w:rsidRPr="00E13B15" w:rsidP="00A92590" w14:paraId="003424FE" w14:textId="77777777">
            <w:pPr>
              <w:keepNext/>
            </w:pPr>
          </w:p>
        </w:tc>
      </w:tr>
      <w:tr w14:paraId="38E7B449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251B75" w:rsidRPr="00E13B15" w:rsidP="00A92590" w14:paraId="0A8C215B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251B75" w:rsidRPr="00E13B15" w:rsidP="00A92590" w14:paraId="3CE85A94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504BB53B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251B75" w:rsidRPr="00E13B15" w:rsidP="00A92590" w14:paraId="2BFC2A2A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251B75" w:rsidRPr="00E13B15" w:rsidP="00A92590" w14:paraId="03EA5857" w14:textId="77777777">
            <w:pPr>
              <w:pStyle w:val="Normal6a"/>
            </w:pPr>
            <w:r w:rsidRPr="00E13B15">
              <w:rPr>
                <w:b/>
                <w:i/>
              </w:rPr>
              <w:t>(40b)</w:t>
            </w:r>
            <w:r w:rsidRPr="00E13B15">
              <w:rPr>
                <w:b/>
                <w:i/>
              </w:rPr>
              <w:tab/>
              <w:t xml:space="preserve">L-implikazzjonijiet ta’ dan ir-Regolament fuq il-baġit tal-Unjoni ġew ivvalutati* skont l-Artikolu 310(4) tat-Trattat dwar il-Funzjonament tal-Unjoni Ewropea. Jenħtieġ li </w:t>
            </w:r>
            <w:r w:rsidRPr="00E13B15">
              <w:rPr>
                <w:b/>
                <w:i/>
              </w:rPr>
              <w:t>jiġu allokati biżżejjed riżorsi finanzjarji u umani għall-implimentazzjoni tiegħu, filwaqt li jitqies l-impatt tal-finanzjament tiegħu fuq programmi jew politiki oħra tal-Unjoni u tiġi żgurata l-kompatibbiltà tiegħu mal-qafas finanzjarju pluriennali, is-sistema tar-riżorsi proprji u l-Ftehim Interistituzzjonali korrispondenti, kif ukoll mal-prinċipji baġitarji stabbiliti fir-Regolament (UE, Euratom) 2024/2509 tal-Parlament Ewropew u tal-Kunsill</w:t>
            </w:r>
            <w:r w:rsidRPr="00E13B15">
              <w:rPr>
                <w:b/>
                <w:i/>
                <w:vertAlign w:val="superscript"/>
              </w:rPr>
              <w:t>[1]</w:t>
            </w:r>
            <w:r w:rsidRPr="00E13B15">
              <w:rPr>
                <w:b/>
                <w:i/>
              </w:rPr>
              <w:t>.</w:t>
            </w:r>
          </w:p>
        </w:tc>
      </w:tr>
      <w:tr w14:paraId="5007CD6A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3B7FC6" w:rsidRPr="00E13B15" w:rsidP="00A92590" w14:paraId="0374780C" w14:textId="77777777">
            <w:pPr>
              <w:pStyle w:val="Normal6a"/>
            </w:pPr>
          </w:p>
        </w:tc>
        <w:tc>
          <w:tcPr>
            <w:tcW w:w="4876" w:type="dxa"/>
          </w:tcPr>
          <w:p w:rsidR="003B7FC6" w:rsidRPr="00E13B15" w:rsidP="00A92590" w14:paraId="262E0F25" w14:textId="77777777">
            <w:pPr>
              <w:pStyle w:val="Normal6a"/>
              <w:rPr>
                <w:rStyle w:val="HideTWBExt"/>
                <w:rFonts w:ascii="Times New Roman" w:hAnsi="Times New Roman"/>
                <w:noProof w:val="0"/>
                <w:vanish w:val="0"/>
                <w:color w:val="auto"/>
                <w:sz w:val="24"/>
              </w:rPr>
            </w:pPr>
            <w:r w:rsidRPr="00E13B15">
              <w:t>______________________</w:t>
            </w:r>
          </w:p>
        </w:tc>
      </w:tr>
      <w:tr w14:paraId="4C6B479B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3B7FC6" w:rsidRPr="00E13B15" w:rsidP="00A92590" w14:paraId="56604694" w14:textId="77777777">
            <w:pPr>
              <w:pStyle w:val="Normal6a"/>
            </w:pPr>
          </w:p>
        </w:tc>
        <w:tc>
          <w:tcPr>
            <w:tcW w:w="4876" w:type="dxa"/>
          </w:tcPr>
          <w:p w:rsidR="003B7FC6" w:rsidRPr="00E13B15" w:rsidP="003B7FC6" w14:paraId="46808B42" w14:textId="77777777">
            <w:pPr>
              <w:pStyle w:val="Normal6a"/>
            </w:pPr>
            <w:r w:rsidRPr="00E13B15">
              <w:rPr>
                <w:b/>
                <w:i/>
                <w:vertAlign w:val="superscript"/>
              </w:rPr>
              <w:t xml:space="preserve">+ </w:t>
            </w:r>
            <w:r w:rsidRPr="00E13B15">
              <w:rPr>
                <w:b/>
                <w:i/>
              </w:rPr>
              <w:t xml:space="preserve">Pro memoria: </w:t>
            </w:r>
            <w:r w:rsidRPr="00E13B15">
              <w:rPr>
                <w:b/>
                <w:i/>
              </w:rPr>
              <w:t>valutazzjoni baġitarja tal-Kumitat għall-Baġits tal-Parlament Ewropew tal-15 ta’ Lulju 2026 dwar il-proposta għal regolament tal-Parlament Ewropew u tal-Kunsill li jistabbilixxi l-programm “AgoraEU” għall-perjodu 2028-2034, u li jħassar ir-Regolamenti (UE) 2021/692 u (UE) 2021/818 (COM(2025)0550).</w:t>
            </w:r>
          </w:p>
        </w:tc>
      </w:tr>
      <w:tr w14:paraId="62F8D0E1" w14:textId="77777777" w:rsidTr="003B7FC6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395F78" w:rsidRPr="00E13B15" w:rsidP="00A92590" w14:paraId="4AA6DCF9" w14:textId="77777777">
            <w:pPr>
              <w:pStyle w:val="Normal6a"/>
            </w:pPr>
          </w:p>
        </w:tc>
        <w:tc>
          <w:tcPr>
            <w:tcW w:w="4876" w:type="dxa"/>
          </w:tcPr>
          <w:p w:rsidR="00395F78" w:rsidRPr="00E13B15" w:rsidP="003B7FC6" w14:paraId="7E782A39" w14:textId="77777777">
            <w:pPr>
              <w:pStyle w:val="Normal6a"/>
              <w:rPr>
                <w:b/>
                <w:bCs/>
                <w:i/>
                <w:iCs/>
                <w:vertAlign w:val="superscript"/>
              </w:rPr>
            </w:pPr>
            <w:r w:rsidRPr="00E13B15">
              <w:rPr>
                <w:b/>
                <w:i/>
                <w:vertAlign w:val="superscript"/>
              </w:rPr>
              <w:t>[1]</w:t>
            </w:r>
            <w:r w:rsidRPr="00E13B15">
              <w:rPr>
                <w:b/>
                <w:i/>
              </w:rPr>
              <w:t xml:space="preserve"> Ir-Regolament (UE, Euratom) 2024/2509 tal-Parlament Ewropew u tal-Kunsill tat-23 ta’ Settembru 2024 dwar ir-regoli finanzjarji applikabbli għall-baġit ġenerali tal-Unjoni (ĠU L, 2024/2509, 26.9.2024, ELI: http://data.europa.eu/eli/reg/2024/2509/oj</w:t>
            </w:r>
            <w:r w:rsidRPr="00E13B15">
              <w:rPr>
                <w:b/>
                <w:i/>
              </w:rPr>
              <w:t>).</w:t>
            </w:r>
          </w:p>
        </w:tc>
      </w:tr>
    </w:tbl>
    <w:p w:rsidR="0068168E" w:rsidRPr="00E13B15" w:rsidP="0068168E" w14:paraId="7E723175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3B60FC" w:rsidRPr="00E13B15" w:rsidP="00EA6DE0" w14:paraId="7DE06104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6</w:t>
      </w:r>
      <w:r w:rsidRPr="00E13B15">
        <w:rPr>
          <w:rStyle w:val="HideTWBExt"/>
          <w:b w:val="0"/>
        </w:rPr>
        <w:t>&lt;/NumAm&gt;</w:t>
      </w:r>
    </w:p>
    <w:p w:rsidR="003B60FC" w:rsidRPr="00E13B15" w:rsidP="00EA6DE0" w14:paraId="23F6DF0D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3B60FC" w:rsidRPr="00E13B15" w:rsidP="00EA6DE0" w14:paraId="50D7AE4B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>Artikolu 11 – paragrafu 1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DD42D7C" w14:textId="77777777" w:rsidTr="003B60FC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3B60FC" w:rsidRPr="00E13B15" w:rsidP="00A92590" w14:paraId="7D465267" w14:textId="77777777">
            <w:pPr>
              <w:keepNext/>
            </w:pPr>
          </w:p>
        </w:tc>
      </w:tr>
      <w:tr w14:paraId="325F3CC0" w14:textId="77777777" w:rsidTr="003B60FC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3B60FC" w:rsidRPr="00E13B15" w:rsidP="00A92590" w14:paraId="1FE1AF76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3B60FC" w:rsidRPr="00E13B15" w:rsidP="00A92590" w14:paraId="30150B4C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7D3D82A7" w14:textId="77777777" w:rsidTr="003B60FC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3B60FC" w:rsidRPr="00E13B15" w:rsidP="00A92590" w14:paraId="0AAA58EF" w14:textId="77777777">
            <w:pPr>
              <w:pStyle w:val="Normal6a"/>
            </w:pPr>
            <w:r w:rsidRPr="00E13B15">
              <w:t>1.</w:t>
            </w:r>
            <w:r w:rsidRPr="00E13B15">
              <w:rPr>
                <w:b/>
                <w:i/>
              </w:rPr>
              <w:tab/>
            </w:r>
            <w:r w:rsidRPr="00E13B15">
              <w:t xml:space="preserve">Il-pakkett </w:t>
            </w:r>
            <w:r w:rsidRPr="00E13B15">
              <w:rPr>
                <w:b/>
                <w:bCs/>
                <w:i/>
                <w:iCs/>
              </w:rPr>
              <w:t xml:space="preserve">finanzjarju </w:t>
            </w:r>
            <w:r w:rsidRPr="00E13B15">
              <w:rPr>
                <w:b/>
                <w:bCs/>
                <w:i/>
                <w:iCs/>
              </w:rPr>
              <w:t>indikattiv</w:t>
            </w:r>
            <w:r w:rsidRPr="00E13B15">
              <w:t xml:space="preserve"> għall-implimentazzjoni </w:t>
            </w:r>
            <w:r w:rsidRPr="00E13B15">
              <w:rPr>
                <w:b/>
                <w:bCs/>
                <w:i/>
                <w:iCs/>
              </w:rPr>
              <w:t>tal-Programm</w:t>
            </w:r>
            <w:r w:rsidRPr="00E13B15">
              <w:t xml:space="preserve"> għall-perjodu 2028-2034 hu stabbilit għal EUR </w:t>
            </w:r>
            <w:r w:rsidRPr="00E13B15">
              <w:rPr>
                <w:b/>
                <w:bCs/>
                <w:i/>
                <w:iCs/>
              </w:rPr>
              <w:t>8 582 000 000</w:t>
            </w:r>
            <w:r w:rsidRPr="00E13B15">
              <w:t xml:space="preserve"> fi prezzijiet </w:t>
            </w:r>
            <w:r w:rsidRPr="00E13B15">
              <w:rPr>
                <w:b/>
                <w:bCs/>
                <w:i/>
                <w:iCs/>
              </w:rPr>
              <w:t>kurrenti</w:t>
            </w:r>
            <w:r w:rsidRPr="00E13B15">
              <w:t>.</w:t>
            </w:r>
          </w:p>
        </w:tc>
        <w:tc>
          <w:tcPr>
            <w:tcW w:w="4876" w:type="dxa"/>
            <w:hideMark/>
          </w:tcPr>
          <w:p w:rsidR="003B60FC" w:rsidRPr="00E13B15" w:rsidP="00A92590" w14:paraId="442291BB" w14:textId="77777777">
            <w:pPr>
              <w:pStyle w:val="Normal6a"/>
            </w:pPr>
            <w:r w:rsidRPr="00E13B15">
              <w:t>1.</w:t>
            </w:r>
            <w:r w:rsidRPr="00E13B15">
              <w:rPr>
                <w:b/>
                <w:i/>
              </w:rPr>
              <w:tab/>
            </w:r>
            <w:r w:rsidRPr="00E13B15">
              <w:t xml:space="preserve">Il-pakkett </w:t>
            </w:r>
            <w:r w:rsidRPr="00E13B15">
              <w:rPr>
                <w:b/>
                <w:bCs/>
                <w:i/>
                <w:iCs/>
              </w:rPr>
              <w:t>tal-programm</w:t>
            </w:r>
            <w:r w:rsidRPr="00E13B15">
              <w:t xml:space="preserve"> għall-implimentazzjoni </w:t>
            </w:r>
            <w:r w:rsidRPr="00E13B15">
              <w:rPr>
                <w:b/>
                <w:bCs/>
                <w:i/>
                <w:iCs/>
              </w:rPr>
              <w:t>ta’ dan ir-Regolament</w:t>
            </w:r>
            <w:r w:rsidRPr="00E13B15">
              <w:t xml:space="preserve"> għall-perjodu 2028-2034 hu stabbilit għal EUR </w:t>
            </w:r>
            <w:r w:rsidRPr="00E13B15">
              <w:rPr>
                <w:b/>
                <w:bCs/>
                <w:i/>
                <w:iCs/>
              </w:rPr>
              <w:t>10 720 330 000</w:t>
            </w:r>
            <w:r w:rsidRPr="00E13B15">
              <w:t xml:space="preserve"> fi prezzijiet </w:t>
            </w:r>
            <w:r w:rsidRPr="00E13B15">
              <w:rPr>
                <w:b/>
                <w:bCs/>
                <w:i/>
                <w:iCs/>
              </w:rPr>
              <w:t>attwali</w:t>
            </w:r>
            <w:r w:rsidRPr="00E13B15">
              <w:t xml:space="preserve"> (</w:t>
            </w:r>
            <w:r w:rsidRPr="00E13B15">
              <w:rPr>
                <w:b/>
                <w:bCs/>
                <w:i/>
                <w:iCs/>
              </w:rPr>
              <w:t>EUR 9 500 000 000 fi prezzijiet tal-2025</w:t>
            </w:r>
            <w:r w:rsidRPr="00E13B15">
              <w:t>).</w:t>
            </w:r>
          </w:p>
        </w:tc>
      </w:tr>
    </w:tbl>
    <w:p w:rsidR="00B77427" w:rsidRPr="00E13B15" w:rsidP="00B77427" w14:paraId="3BCA4B10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457488" w:rsidRPr="00E13B15" w:rsidP="00457488" w14:paraId="5AAE6B2B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7</w:t>
      </w:r>
      <w:r w:rsidRPr="00E13B15">
        <w:rPr>
          <w:rStyle w:val="HideTWBExt"/>
          <w:b w:val="0"/>
        </w:rPr>
        <w:t>&lt;/NumAm&gt;</w:t>
      </w:r>
    </w:p>
    <w:p w:rsidR="00457488" w:rsidRPr="00E13B15" w:rsidP="00457488" w14:paraId="70523FF6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457488" w:rsidRPr="00E13B15" w:rsidP="00457488" w14:paraId="1E6CBD6D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>Artikolu 13 – paragrafu 1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2C709F7" w14:textId="77777777" w:rsidTr="00460880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457488" w:rsidRPr="00E13B15" w:rsidP="00460880" w14:paraId="4CABB838" w14:textId="77777777">
            <w:pPr>
              <w:keepNext/>
            </w:pPr>
          </w:p>
        </w:tc>
      </w:tr>
      <w:tr w14:paraId="008E3158" w14:textId="77777777" w:rsidTr="00460880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457488" w:rsidRPr="00E13B15" w:rsidP="00460880" w14:paraId="58D64FD3" w14:textId="77777777">
            <w:pPr>
              <w:pStyle w:val="AmColumnHeading"/>
              <w:keepNext/>
            </w:pPr>
            <w:r w:rsidRPr="00E13B15">
              <w:t xml:space="preserve">Test propost </w:t>
            </w:r>
            <w:r w:rsidRPr="00E13B15">
              <w:t>mill-Kummissjoni</w:t>
            </w:r>
          </w:p>
        </w:tc>
        <w:tc>
          <w:tcPr>
            <w:tcW w:w="4876" w:type="dxa"/>
            <w:hideMark/>
          </w:tcPr>
          <w:p w:rsidR="00457488" w:rsidRPr="00E13B15" w:rsidP="00460880" w14:paraId="30C13EAD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461FEC7E" w14:textId="77777777" w:rsidTr="00460880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457488" w:rsidRPr="00E13B15" w:rsidP="00460880" w14:paraId="6A079CD0" w14:textId="77777777">
            <w:pPr>
              <w:pStyle w:val="Normal6a"/>
            </w:pPr>
            <w:r w:rsidRPr="00E13B15">
              <w:t>1.</w:t>
            </w:r>
            <w:r w:rsidRPr="00E13B15">
              <w:tab/>
              <w:t>Il-Programm għandu jiġi implimentat f’sinerġija ma’ programmi oħra tal-Unjoni. Anki azzjoni li tkun irċeviet kontribuzzjoni tal-Unjoni minn programm ieħor tista’ tirċievi kontribuzzjoni taħt dan il-Programm. Ir-regoli tal-programm rilevanti tal-Unjoni għandhom japplikaw għall-kontribuzzjoni korrispondenti, jew inkella jista’ jiġi applikat sett uniku ta’ regoli għall-kontribuzzjonijiet kollha u jista’ jiġi konkluż impenn legali wieħed. Jekk il-kontribuzzjonijiet kollha tal-Unjoni jkunu pprovduti abbażi tal-</w:t>
            </w:r>
            <w:r w:rsidRPr="00E13B15">
              <w:t>kost eliġibbli, l-appoġġ kumulattiv mill-baġit tal-Unjoni ma għandux jaqbeż it-total tal-kostijiet eliġibbli tal-azzjoni u jista’ jiġi kkalkulat fuq bażi pro rata f’konformità mad-dokumenti li jistabbilixxu l-kundizzjonijiet għall-appoġġ.</w:t>
            </w:r>
          </w:p>
        </w:tc>
        <w:tc>
          <w:tcPr>
            <w:tcW w:w="4876" w:type="dxa"/>
            <w:hideMark/>
          </w:tcPr>
          <w:p w:rsidR="00457488" w:rsidRPr="00E13B15" w:rsidP="00460880" w14:paraId="4117B8F9" w14:textId="77777777">
            <w:pPr>
              <w:pStyle w:val="Normal6a"/>
            </w:pPr>
            <w:r w:rsidRPr="00E13B15">
              <w:t>1.</w:t>
            </w:r>
            <w:r w:rsidRPr="00E13B15">
              <w:tab/>
              <w:t>Il-Programm għandu jiġi implimentat f’sinerġija ma’ programmi oħra tal-Unjoni. Anki azzjoni li tkun irċeviet kontribuzzjoni tal-Unjoni minn programm ieħor tista’ tirċievi kontribuzzjoni taħt dan il-Programm. Ir-regoli tal-programm rilevanti tal-Unjoni għandhom japplikaw għall-kontribuzzjoni korrispondenti, jew inkella jista’ jiġi applikat sett uniku ta’ regoli għall-kontribuzzjonijiet kollha u jista’ jiġi konkluż impenn legali wieħed. Jekk il-kontribuzzjonijiet kollha tal-Unjoni jkunu pprovduti abbażi tal-</w:t>
            </w:r>
            <w:r w:rsidRPr="00E13B15">
              <w:t xml:space="preserve">kost eliġibbli, l-appoġġ kumulattiv mill-baġit tal-Unjoni ma għandux jaqbeż it-total tal-kostijiet eliġibbli tal-azzjoni u jista’ jiġi kkalkulat fuq bażi pro rata f’konformità mad-dokumenti li jistabbilixxu l-kundizzjonijiet għall-appoġġ. </w:t>
            </w:r>
            <w:r w:rsidRPr="00E13B15">
              <w:rPr>
                <w:b/>
                <w:i/>
              </w:rPr>
              <w:t xml:space="preserve">Il-Kummissjoni għandha tindirizza s-sinerġiji bejn il-Programm u programmi oħra tal-Unjoni fid-Dikjarazzjoni tal-Prestazzjoni tal-Programm stabbilita fl-Artikolu 41(3)(h) </w:t>
            </w:r>
            <w:r w:rsidRPr="00E13B15">
              <w:rPr>
                <w:b/>
                <w:i/>
              </w:rPr>
              <w:t>tar-Regolament (UE, Euratom) 2024/2509 u fid-dokumenti rilevanti ta’ programmazzjoni u rapportar.</w:t>
            </w:r>
          </w:p>
        </w:tc>
      </w:tr>
    </w:tbl>
    <w:p w:rsidR="0068168E" w:rsidRPr="00E13B15" w:rsidP="0068168E" w14:paraId="51C074EA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222A38" w:rsidRPr="00E13B15" w:rsidP="00EA6DE0" w14:paraId="5F52185C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8</w:t>
      </w:r>
      <w:r w:rsidRPr="00E13B15">
        <w:rPr>
          <w:rStyle w:val="HideTWBExt"/>
          <w:b w:val="0"/>
        </w:rPr>
        <w:t>&lt;/NumAm&gt;</w:t>
      </w:r>
    </w:p>
    <w:p w:rsidR="00222A38" w:rsidRPr="00E13B15" w:rsidP="00EA6DE0" w14:paraId="6B7D7C14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222A38" w:rsidRPr="00E13B15" w:rsidP="00EA6DE0" w14:paraId="480DF25E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>Artikolu 15 – paragrafu 4a (ġdid)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FB694B8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222A38" w:rsidRPr="00E13B15" w:rsidP="00A92590" w14:paraId="5A17D797" w14:textId="77777777">
            <w:pPr>
              <w:keepNext/>
            </w:pPr>
          </w:p>
        </w:tc>
      </w:tr>
      <w:tr w14:paraId="68872570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222A38" w:rsidRPr="00E13B15" w:rsidP="00A92590" w14:paraId="7A744104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222A38" w:rsidRPr="00E13B15" w:rsidP="00A92590" w14:paraId="58EF1F0D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3BB4849F" w14:textId="77777777" w:rsidTr="00222A38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222A38" w:rsidRPr="00E13B15" w:rsidP="00A92590" w14:paraId="23B43339" w14:textId="77777777">
            <w:pPr>
              <w:pStyle w:val="Normal6a"/>
            </w:pPr>
          </w:p>
        </w:tc>
        <w:tc>
          <w:tcPr>
            <w:tcW w:w="4876" w:type="dxa"/>
            <w:hideMark/>
          </w:tcPr>
          <w:p w:rsidR="00222A38" w:rsidRPr="00E13B15" w:rsidP="00A92590" w14:paraId="531DDD02" w14:textId="77777777">
            <w:pPr>
              <w:pStyle w:val="Normal6a"/>
            </w:pPr>
            <w:r w:rsidRPr="00E13B15">
              <w:rPr>
                <w:b/>
                <w:i/>
              </w:rPr>
              <w:t>4a.</w:t>
            </w:r>
            <w:r w:rsidRPr="00E13B15">
              <w:rPr>
                <w:b/>
                <w:i/>
              </w:rPr>
              <w:tab/>
              <w:t xml:space="preserve">Mill-[1 ta’ Jannar 2028 / mid-data tal-bidu </w:t>
            </w:r>
            <w:r w:rsidRPr="00E13B15">
              <w:rPr>
                <w:b/>
                <w:i/>
              </w:rPr>
              <w:t>tal-programm], b’deroga mill-ewwel, mit-tieni u mir-raba’ subparagrafi tal-Artikolu 212(3) tar-Regolament (UE, Euratom) 2024/2509, meta l-Programm jipprovdi l-finanzjament lill-istrumenti finanzjarji permezz tal-Istrument tal-InvestEU tal-FEK kif previst fil-paragrafu 4 ta’ dan l-Artikolu, id-dħul, ir-ripagamenti u l-irkupri minn dawk l-istrumenti finanzjarji għandhom jintużaw biex jipprovdu appoġġ tal-Unjoni fl-ambitu ta’ dan ir-Regolament. B’deroga mill-Artikolu 21(3) il-punt (f) tar-Regolament (UE, Eurat</w:t>
            </w:r>
            <w:r w:rsidRPr="00E13B15">
              <w:rPr>
                <w:b/>
                <w:i/>
              </w:rPr>
              <w:t>om) 2024/2509 u f’konformità mal-Artikolu 21(5) ta’ dak ir-Regolament, dawk ir-riżorsi għandhom jikkostitwixxu dħul assenjat estern lill-Programm.</w:t>
            </w:r>
          </w:p>
        </w:tc>
      </w:tr>
    </w:tbl>
    <w:p w:rsidR="00222A38" w:rsidRPr="00E13B15" w:rsidP="00F9166E" w14:paraId="17509B03" w14:textId="77777777">
      <w:pPr>
        <w:rPr>
          <w:rStyle w:val="HideTWBExt"/>
          <w:rFonts w:eastAsiaTheme="majorEastAsia"/>
        </w:rPr>
      </w:pPr>
      <w:r w:rsidRPr="00E13B15">
        <w:rPr>
          <w:rStyle w:val="HideTWBExt"/>
        </w:rPr>
        <w:t>&lt;/Amend&gt;</w:t>
      </w:r>
    </w:p>
    <w:p w:rsidR="0052626E" w:rsidRPr="00E13B15" w:rsidP="00EA6DE0" w14:paraId="0A576E00" w14:textId="77777777">
      <w:pPr>
        <w:pStyle w:val="AmNumberTabs"/>
        <w:keepNext/>
      </w:pPr>
      <w:r w:rsidRPr="00E13B15">
        <w:rPr>
          <w:rStyle w:val="HideTWBExt"/>
          <w:b w:val="0"/>
        </w:rPr>
        <w:t>&lt;Amend&gt;</w:t>
      </w:r>
      <w:r w:rsidRPr="00E13B15">
        <w:t>Emenda</w:t>
      </w:r>
      <w:r w:rsidRPr="00E13B15">
        <w:tab/>
      </w:r>
      <w:r w:rsidRPr="00E13B15">
        <w:tab/>
      </w:r>
      <w:r w:rsidRPr="00E13B15">
        <w:rPr>
          <w:rStyle w:val="HideTWBExt"/>
          <w:b w:val="0"/>
        </w:rPr>
        <w:t>&lt;NumAm&gt;</w:t>
      </w:r>
      <w:r w:rsidRPr="00E13B15">
        <w:t>9</w:t>
      </w:r>
      <w:r w:rsidRPr="00E13B15">
        <w:rPr>
          <w:rStyle w:val="HideTWBExt"/>
          <w:b w:val="0"/>
        </w:rPr>
        <w:t>&lt;/NumAm&gt;</w:t>
      </w:r>
    </w:p>
    <w:p w:rsidR="0052626E" w:rsidRPr="00E13B15" w:rsidP="00EA6DE0" w14:paraId="5723BA69" w14:textId="77777777">
      <w:pPr>
        <w:pStyle w:val="NormalBold12b"/>
        <w:keepNext/>
      </w:pPr>
      <w:r w:rsidRPr="00E13B15">
        <w:rPr>
          <w:rStyle w:val="HideTWBExt"/>
          <w:b w:val="0"/>
        </w:rPr>
        <w:t>&lt;DocAmend&gt;</w:t>
      </w:r>
      <w:r w:rsidRPr="00E13B15">
        <w:t>Proposta għal regolament</w:t>
      </w:r>
      <w:r w:rsidRPr="00E13B15">
        <w:rPr>
          <w:rStyle w:val="HideTWBExt"/>
          <w:b w:val="0"/>
        </w:rPr>
        <w:t>&lt;/DocAmend&gt;</w:t>
      </w:r>
    </w:p>
    <w:p w:rsidR="0052626E" w:rsidRPr="00E13B15" w:rsidP="00EA6DE0" w14:paraId="10B321C5" w14:textId="77777777">
      <w:pPr>
        <w:pStyle w:val="NormalBold"/>
      </w:pPr>
      <w:r w:rsidRPr="00E13B15">
        <w:rPr>
          <w:rStyle w:val="HideTWBExt"/>
          <w:b w:val="0"/>
        </w:rPr>
        <w:t>&lt;Article&gt;</w:t>
      </w:r>
      <w:r w:rsidRPr="00E13B15">
        <w:t>Artikolu 15 – paragrafu 6</w:t>
      </w:r>
      <w:r w:rsidRPr="00E13B1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733A8CF" w14:textId="77777777" w:rsidTr="0052626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2626E" w:rsidRPr="00E13B15" w:rsidP="00A92590" w14:paraId="43232AF4" w14:textId="77777777">
            <w:pPr>
              <w:keepNext/>
            </w:pPr>
          </w:p>
        </w:tc>
      </w:tr>
      <w:tr w14:paraId="14B55812" w14:textId="77777777" w:rsidTr="0052626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2626E" w:rsidRPr="00E13B15" w:rsidP="00A92590" w14:paraId="53DFE2B1" w14:textId="77777777">
            <w:pPr>
              <w:pStyle w:val="AmColumnHeading"/>
              <w:keepNext/>
            </w:pPr>
            <w:r w:rsidRPr="00E13B15">
              <w:t>Test propost mill-Kummissjoni</w:t>
            </w:r>
          </w:p>
        </w:tc>
        <w:tc>
          <w:tcPr>
            <w:tcW w:w="4876" w:type="dxa"/>
            <w:hideMark/>
          </w:tcPr>
          <w:p w:rsidR="0052626E" w:rsidRPr="00E13B15" w:rsidP="00A92590" w14:paraId="4F0883CE" w14:textId="77777777">
            <w:pPr>
              <w:pStyle w:val="AmColumnHeading"/>
              <w:keepNext/>
            </w:pPr>
            <w:r w:rsidRPr="00E13B15">
              <w:t>Emenda</w:t>
            </w:r>
          </w:p>
        </w:tc>
      </w:tr>
      <w:tr w14:paraId="1CF108B1" w14:textId="77777777" w:rsidTr="0052626E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2626E" w:rsidRPr="00E13B15" w:rsidP="00A92590" w14:paraId="0C00630A" w14:textId="77777777">
            <w:pPr>
              <w:pStyle w:val="Normal6a"/>
            </w:pPr>
            <w:r w:rsidRPr="00E13B15">
              <w:t>6.</w:t>
            </w:r>
            <w:r w:rsidRPr="00E13B15">
              <w:tab/>
              <w:t xml:space="preserve">Meta l-finanzjament tal-Unjoni jingħata fil-forma ta’ għotja, il-finanzjament għandu jingħata bħala </w:t>
            </w:r>
            <w:r w:rsidRPr="00E13B15">
              <w:rPr>
                <w:b/>
                <w:bCs/>
                <w:i/>
                <w:iCs/>
              </w:rPr>
              <w:t>finanzjament mhux marbut mal-kostijiet jew, fejn meħtieġ,</w:t>
            </w:r>
            <w:r w:rsidRPr="00E13B15">
              <w:t xml:space="preserve"> għażliet ta’ kostijiet issimplifikati, f’konformità </w:t>
            </w:r>
            <w:r w:rsidRPr="00E13B15">
              <w:rPr>
                <w:b/>
                <w:bCs/>
                <w:i/>
                <w:iCs/>
              </w:rPr>
              <w:t>mar-Regolament</w:t>
            </w:r>
            <w:r w:rsidRPr="00E13B15">
              <w:t xml:space="preserve"> (UE, Euratom) 2024/2509. Il-finanzjament jista’ jingħata fil-forma ta’ </w:t>
            </w:r>
            <w:r w:rsidRPr="00E13B15">
              <w:t>rimborż reali tal-kost eliġibbli, meta l-objettivi ta’ azzjoni ma jkunux jistgħu jintlaħqu mod ieħor biss.</w:t>
            </w:r>
          </w:p>
        </w:tc>
        <w:tc>
          <w:tcPr>
            <w:tcW w:w="4876" w:type="dxa"/>
            <w:hideMark/>
          </w:tcPr>
          <w:p w:rsidR="0052626E" w:rsidRPr="00E13B15" w:rsidP="00A92590" w14:paraId="05E42877" w14:textId="77777777">
            <w:pPr>
              <w:pStyle w:val="Normal6a"/>
            </w:pPr>
            <w:r w:rsidRPr="00E13B15">
              <w:t>6.</w:t>
            </w:r>
            <w:r w:rsidRPr="00E13B15">
              <w:tab/>
              <w:t xml:space="preserve">Meta l-finanzjament tal-Unjoni jingħata fil-forma ta’ għotja, il-finanzjament għandu jingħata bħala għażliet ta’ kostijiet issimplifikati, f’konformità </w:t>
            </w:r>
            <w:r w:rsidRPr="00E13B15">
              <w:rPr>
                <w:b/>
                <w:bCs/>
                <w:i/>
                <w:iCs/>
              </w:rPr>
              <w:t>mal-Artikolu 125 tar-Regolament</w:t>
            </w:r>
            <w:r w:rsidRPr="00E13B15">
              <w:t xml:space="preserve"> (UE, Euratom) 2024/2509. Il-finanzjament jista’ jingħata fil-forma ta’ rimborż reali tal-kost eliġibbli, meta l-</w:t>
            </w:r>
            <w:r w:rsidRPr="00E13B15">
              <w:t>objettivi ta’ azzjoni ma jkunux jistgħu jintlaħqu mod ieħor biss.</w:t>
            </w:r>
          </w:p>
        </w:tc>
      </w:tr>
    </w:tbl>
    <w:p w:rsidR="0052626E" w:rsidRPr="00E13B15" w:rsidP="00F9166E" w14:paraId="65E72F43" w14:textId="77777777">
      <w:r w:rsidRPr="00E13B15">
        <w:rPr>
          <w:rStyle w:val="HideTWBExt"/>
        </w:rPr>
        <w:t>&lt;/Amend&gt;</w:t>
      </w:r>
    </w:p>
    <w:p w:rsidR="00864AF6" w:rsidRPr="00E13B15" w:rsidP="00BF70F2" w14:paraId="710D09AF" w14:textId="77777777">
      <w:r w:rsidRPr="00E13B15">
        <w:rPr>
          <w:rStyle w:val="HideTWBExt"/>
        </w:rPr>
        <w:t>&lt;/RepeatBlock-Amend&gt;</w:t>
      </w:r>
    </w:p>
    <w:p w:rsidR="00864AF6" w:rsidRPr="00E13B15" w14:paraId="1C397171" w14:textId="77777777">
      <w:pPr>
        <w:widowControl/>
        <w:rPr>
          <w:rStyle w:val="HideTWBExt"/>
        </w:rPr>
      </w:pPr>
    </w:p>
    <w:p w:rsidR="007C598C" w:rsidRPr="00E13B15" w14:paraId="62C1C10F" w14:textId="77777777">
      <w:pPr>
        <w:widowControl/>
        <w:rPr>
          <w:rStyle w:val="HideTWBExt"/>
        </w:rPr>
        <w:sectPr w:rsidSect="00AB298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64AF6" w:rsidRPr="00E13B15" w14:paraId="3E184174" w14:textId="77777777">
      <w:pPr>
        <w:widowControl/>
      </w:pPr>
    </w:p>
    <w:p w:rsidR="001539C0" w:rsidRPr="00E13B15" w14:paraId="4393D349" w14:textId="77777777">
      <w:pPr>
        <w:widowControl/>
        <w:rPr>
          <w:rFonts w:ascii="Arial" w:hAnsi="Arial" w:cs="Arial"/>
          <w:b/>
        </w:rPr>
      </w:pPr>
      <w:bookmarkStart w:id="2" w:name="FootprintPageAD"/>
      <w:r w:rsidRPr="00E13B15">
        <w:br w:type="page"/>
      </w:r>
    </w:p>
    <w:p w:rsidR="00864AF6" w:rsidRPr="00E13B15" w:rsidP="002B2C72" w14:paraId="191D70B0" w14:textId="77777777">
      <w:pPr>
        <w:pStyle w:val="PageHeadingNotTOC"/>
      </w:pPr>
      <w:r w:rsidRPr="00E13B15">
        <w:t>ANNESS: DIKJARAZZJONI TAL-KONTRIBUT</w:t>
      </w:r>
    </w:p>
    <w:p w:rsidR="00864AF6" w:rsidRPr="00E13B15" w:rsidP="00037518" w14:paraId="1978C943" w14:textId="77777777">
      <w:pPr>
        <w:pStyle w:val="Normal24a"/>
      </w:pPr>
      <w:r w:rsidRPr="00E13B15">
        <w:rPr>
          <w:rStyle w:val="HideTWBExt"/>
        </w:rPr>
        <w:t>&lt;FootprintIntro&gt;</w:t>
      </w:r>
      <w:r w:rsidRPr="00E13B15">
        <w:t xml:space="preserve">Ir-rapporteur għal valutazzjoni baġitarja </w:t>
      </w:r>
      <w:r w:rsidRPr="00E13B15">
        <w:t>tiddikjara, taħt ir-responsabbiltà esklużiva tagħha, li fil-valutazzjoni baġitarja tagħha ma inkludiet ebda kontribut mingħand 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6"/>
      </w:r>
      <w:r w:rsidRPr="00E13B15">
        <w:t>, jew mingħand rappreżentanti ta’ awtoritajiet pubbliċi ta’ pajjiżi terzi, inklużi l-missjonijiet diplomatiċi u l-ambaxxati tagħhom, li għandhom jiġu elenkati f’dan l-Anness f’konformità mal-Artikolu 8 tal-Anness I tar-Regoli ta’ Proċedura.</w:t>
      </w:r>
      <w:r w:rsidRPr="00E13B15">
        <w:rPr>
          <w:rStyle w:val="HideTWBExt"/>
        </w:rPr>
        <w:t>&lt;/FootprintIntro&gt;</w:t>
      </w:r>
    </w:p>
    <w:bookmarkEnd w:id="2"/>
    <w:p w:rsidR="00BF70F2" w:rsidRPr="00E13B15" w:rsidP="00AB298C" w14:paraId="49CDC118" w14:textId="77777777"/>
    <w:p w:rsidR="00AB298C" w:rsidRPr="00E13B15" w:rsidP="00AB298C" w14:paraId="75758092" w14:textId="77777777">
      <w:pPr>
        <w:sectPr w:rsidSect="00AB298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B298C" w:rsidRPr="00E13B15" w:rsidP="00917712" w14:paraId="37D24C7D" w14:textId="77777777">
      <w:pPr>
        <w:pStyle w:val="PageHeadingNotTOC"/>
      </w:pPr>
      <w:bookmarkStart w:id="3" w:name="ProcPageAD"/>
      <w:r w:rsidRPr="00E13B15">
        <w:t>P</w:t>
      </w:r>
      <w:r w:rsidRPr="00E13B15">
        <w:t>R</w:t>
      </w:r>
      <w:r w:rsidRPr="00E13B15">
        <w:t>O</w:t>
      </w:r>
      <w:r w:rsidRPr="00E13B15">
        <w:t>Ċ</w:t>
      </w:r>
      <w:r w:rsidRPr="00E13B15">
        <w:t>E</w:t>
      </w:r>
      <w:r w:rsidRPr="00E13B15">
        <w:t>D</w:t>
      </w:r>
      <w:r w:rsidRPr="00E13B15">
        <w:t>U</w:t>
      </w:r>
      <w:r w:rsidRPr="00E13B15">
        <w:t>R</w:t>
      </w:r>
      <w:r w:rsidRPr="00E13B15">
        <w:t>A</w:t>
      </w:r>
      <w:r w:rsidRPr="00E13B15">
        <w:t xml:space="preserve"> </w:t>
      </w:r>
      <w:r w:rsidRPr="00E13B15">
        <w:t>T</w:t>
      </w:r>
      <w:r w:rsidRPr="00E13B15">
        <w:t>A</w:t>
      </w:r>
      <w:r w:rsidRPr="00E13B15">
        <w:t>L</w:t>
      </w:r>
      <w:r w:rsidRPr="00E13B15">
        <w:t>-</w:t>
      </w:r>
      <w:r w:rsidRPr="00E13B15">
        <w:t>K</w:t>
      </w:r>
      <w:r w:rsidRPr="00E13B15">
        <w:t>U</w:t>
      </w:r>
      <w:r w:rsidRPr="00E13B15">
        <w:t>M</w:t>
      </w:r>
      <w:r w:rsidRPr="00E13B15">
        <w:t>I</w:t>
      </w:r>
      <w:r w:rsidRPr="00E13B15">
        <w:t>T</w:t>
      </w:r>
      <w:r w:rsidRPr="00E13B15">
        <w:t>A</w:t>
      </w:r>
      <w:r w:rsidRPr="00E13B15">
        <w:t>T</w:t>
      </w:r>
      <w:r w:rsidRPr="00E13B15">
        <w:t xml:space="preserve"> </w:t>
      </w:r>
      <w:r w:rsidRPr="00E13B15">
        <w:t>L</w:t>
      </w:r>
      <w:r w:rsidRPr="00E13B15">
        <w:t>I</w:t>
      </w:r>
      <w:r w:rsidRPr="00E13B15">
        <w:t xml:space="preserve"> </w:t>
      </w:r>
      <w:r w:rsidRPr="00E13B15">
        <w:t>J</w:t>
      </w:r>
      <w:r w:rsidRPr="00E13B15">
        <w:t>I</w:t>
      </w:r>
      <w:r w:rsidRPr="00E13B15">
        <w:t>N</w:t>
      </w:r>
      <w:r w:rsidRPr="00E13B15">
        <w:t>T</w:t>
      </w:r>
      <w:r w:rsidRPr="00E13B15">
        <w:t>A</w:t>
      </w:r>
      <w:r w:rsidRPr="00E13B15">
        <w:t>L</w:t>
      </w:r>
      <w:r w:rsidRPr="00E13B15">
        <w:t>A</w:t>
      </w:r>
      <w:r w:rsidRPr="00E13B15">
        <w:t>B</w:t>
      </w:r>
      <w:r w:rsidRPr="00E13B15">
        <w:t xml:space="preserve"> </w:t>
      </w:r>
      <w:r w:rsidRPr="00E13B15">
        <w:t>J</w:t>
      </w:r>
      <w:r w:rsidRPr="00E13B15">
        <w:t>O</w:t>
      </w:r>
      <w:r w:rsidRPr="00E13B15">
        <w:t>Ħ</w:t>
      </w:r>
      <w:r w:rsidRPr="00E13B15">
        <w:t>R</w:t>
      </w:r>
      <w:r w:rsidRPr="00E13B15">
        <w:t>O</w:t>
      </w:r>
      <w:r w:rsidRPr="00E13B15">
        <w:t>Ġ</w:t>
      </w:r>
      <w:r w:rsidRPr="00E13B15">
        <w:t xml:space="preserve"> </w:t>
      </w:r>
      <w:r w:rsidRPr="00E13B15">
        <w:t>V</w:t>
      </w:r>
      <w:r w:rsidRPr="00E13B15">
        <w:t>A</w:t>
      </w:r>
      <w:r w:rsidRPr="00E13B15">
        <w:t>L</w:t>
      </w:r>
      <w:r w:rsidRPr="00E13B15">
        <w:t>U</w:t>
      </w:r>
      <w:r w:rsidRPr="00E13B15">
        <w:t>T</w:t>
      </w:r>
      <w:r w:rsidRPr="00E13B15">
        <w:t>A</w:t>
      </w:r>
      <w:r w:rsidRPr="00E13B15">
        <w:t>Z</w:t>
      </w:r>
      <w:r w:rsidRPr="00E13B15">
        <w:t>Z</w:t>
      </w:r>
      <w:r w:rsidRPr="00E13B15">
        <w:t>J</w:t>
      </w:r>
      <w:r w:rsidRPr="00E13B15">
        <w:t>O</w:t>
      </w:r>
      <w:r w:rsidRPr="00E13B15">
        <w:t>N</w:t>
      </w:r>
      <w:r w:rsidRPr="00E13B15">
        <w:t>I</w:t>
      </w:r>
      <w:r w:rsidRPr="00E13B15">
        <w:t xml:space="preserve"> </w:t>
      </w:r>
      <w:r w:rsidRPr="00E13B15">
        <w:t>B</w:t>
      </w:r>
      <w:r w:rsidRPr="00E13B15">
        <w:t>A</w:t>
      </w:r>
      <w:r w:rsidRPr="00E13B15">
        <w:t>Ġ</w:t>
      </w:r>
      <w:r w:rsidRPr="00E13B15">
        <w:t>I</w:t>
      </w:r>
      <w:r w:rsidRPr="00E13B15">
        <w:t>T</w:t>
      </w:r>
      <w:r w:rsidRPr="00E13B15">
        <w:t>A</w:t>
      </w:r>
      <w:r w:rsidRPr="00E13B15">
        <w:t>R</w:t>
      </w:r>
      <w:r w:rsidRPr="00E13B15">
        <w:t>J</w:t>
      </w:r>
      <w:r w:rsidRPr="00E13B15">
        <w:t>A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22559D6E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19CD1D2C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6CE4D894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 xml:space="preserve">L-istabbiliment tal-programm “AgoraEU” għall-perjodu 2028-2034, u t-tħassir tar-Regolamenti (UE) 2021/692 u </w:t>
            </w:r>
            <w:r w:rsidRPr="00E13B15">
              <w:rPr>
                <w:color w:val="000000"/>
                <w:sz w:val="20"/>
              </w:rPr>
              <w:t>(UE) 2021/818</w:t>
            </w:r>
          </w:p>
        </w:tc>
      </w:tr>
      <w:tr w14:paraId="4D35EC38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49853B95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174BACEE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COM(2025)0550 – C10-0173/2025 – 2025/0550(COD)</w:t>
            </w:r>
          </w:p>
        </w:tc>
      </w:tr>
      <w:tr w14:paraId="2CCCCE04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28B3FE4E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Kumitat(i) responsabbli</w:t>
            </w:r>
          </w:p>
          <w:p w:rsidR="00AB298C" w:rsidRPr="00E13B15" w14:paraId="1C2FC7A3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00A6EC3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CULT</w:t>
            </w:r>
          </w:p>
          <w:p w:rsidR="00AB298C" w:rsidRPr="00E13B15" w14:paraId="5B4811AB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6DABD70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LIBE</w:t>
            </w:r>
          </w:p>
          <w:p w:rsidR="00AB298C" w:rsidRPr="00E13B15" w14:paraId="40A2563E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2ED3595F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D186AF9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576C9A80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48083729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Valutazzjoni baġitarja minn</w:t>
            </w:r>
          </w:p>
          <w:p w:rsidR="00AB298C" w:rsidRPr="00E13B15" w14:paraId="7E38F336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69D75E38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BUDG</w:t>
            </w:r>
          </w:p>
          <w:p w:rsidR="00AB298C" w:rsidRPr="00E13B15" w14:paraId="06467113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23.10.2025</w:t>
            </w:r>
          </w:p>
        </w:tc>
      </w:tr>
      <w:tr w14:paraId="2C77FB46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C700DF8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Rapporteur għal valutazzjoni baġitarja</w:t>
            </w:r>
          </w:p>
          <w:p w:rsidR="00AB298C" w:rsidRPr="00E13B15" w14:paraId="71D4CB64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0B8BB58A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Sandra Gómez López</w:t>
            </w:r>
          </w:p>
          <w:p w:rsidR="00AB298C" w:rsidRPr="00E13B15" w14:paraId="09C02C81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25.2.2026</w:t>
            </w:r>
          </w:p>
        </w:tc>
      </w:tr>
      <w:tr w14:paraId="6F765220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11EF7EEE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Eżami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2BE5236A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7.5.2026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108C60C5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4690F13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D743DDD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7CF32387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293985CB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1ECE9371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15.7.2026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5FB0F98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3B92273D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70F83416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14:paraId="7EE8AA09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16A6F5D8" w14:textId="7777777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E13B15"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1E32266E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+:</w:t>
            </w:r>
          </w:p>
          <w:p w:rsidR="00AB298C" w:rsidRPr="00E13B15" w14:paraId="04F8FDF7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–:</w:t>
            </w:r>
          </w:p>
          <w:p w:rsidR="00AB298C" w:rsidRPr="00E13B15" w14:paraId="5F33A274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B298C" w:rsidRPr="00E13B15" w14:paraId="5AEC1F0B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23</w:t>
            </w:r>
          </w:p>
          <w:p w:rsidR="00AB298C" w:rsidRPr="00E13B15" w14:paraId="2F6FE035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7</w:t>
            </w:r>
          </w:p>
          <w:p w:rsidR="00AB298C" w:rsidRPr="00E13B15" w14:paraId="71F92AB7" w14:textId="7777777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13B15">
              <w:rPr>
                <w:color w:val="000000"/>
                <w:sz w:val="20"/>
              </w:rPr>
              <w:t>1</w:t>
            </w:r>
          </w:p>
        </w:tc>
      </w:tr>
    </w:tbl>
    <w:p w:rsidR="00AB298C" w:rsidRPr="00E13B15" w:rsidP="00AB298C" w14:paraId="3ED00957" w14:textId="77777777"/>
    <w:bookmarkEnd w:id="3"/>
    <w:p w:rsidR="00AB298C" w:rsidRPr="00E13B15" w:rsidP="00AB298C" w14:paraId="4E032200" w14:textId="77777777">
      <w:pPr>
        <w:sectPr w:rsidSect="00AB298C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AB298C" w:rsidRPr="00E13B15" w:rsidP="00C36610" w14:paraId="693C3A35" w14:textId="77777777">
      <w:pPr>
        <w:pStyle w:val="PageHeadingNotTOC"/>
      </w:pPr>
      <w:bookmarkStart w:id="4" w:name="RollCallPageAD"/>
      <w:r w:rsidRPr="00E13B15">
        <w:t xml:space="preserve">VOTAZZJONI </w:t>
      </w:r>
      <w:r w:rsidRPr="00E13B15">
        <w:t>FINALI B’SEJĦA TAL-ISMIJIET</w:t>
      </w:r>
      <w:r w:rsidRPr="00E13B15">
        <w:br/>
        <w:t>FIL-KUMITAT LI JINTALAB JOĦROĠ VALUTAZZJONI BAĠITARJA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5365D809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AB298C" w:rsidRPr="00E13B15" w:rsidP="003858C5" w14:paraId="4691E5C9" w14:textId="77777777">
            <w:pPr>
              <w:pStyle w:val="RollCallVotes"/>
            </w:pPr>
            <w:r w:rsidRPr="00E13B15">
              <w:t>23</w:t>
            </w:r>
          </w:p>
        </w:tc>
        <w:tc>
          <w:tcPr>
            <w:tcW w:w="7371" w:type="dxa"/>
            <w:shd w:val="pct10" w:color="000000" w:fill="FFFFFF"/>
          </w:tcPr>
          <w:p w:rsidR="00AB298C" w:rsidRPr="00E13B15" w:rsidP="003858C5" w14:paraId="66292463" w14:textId="77777777">
            <w:pPr>
              <w:pStyle w:val="RollCallSymbols14pt"/>
            </w:pPr>
            <w:r w:rsidRPr="00E13B15">
              <w:t>+</w:t>
            </w:r>
          </w:p>
        </w:tc>
      </w:tr>
      <w:tr w14:paraId="7D69955E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051DA498" w14:textId="77777777">
            <w:pPr>
              <w:pStyle w:val="RollCallTable"/>
            </w:pPr>
            <w:r w:rsidRPr="00E13B15">
              <w:t>ECR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5D400E18" w14:textId="77777777">
            <w:pPr>
              <w:pStyle w:val="RollCallTable"/>
            </w:pPr>
            <w:r w:rsidRPr="00E13B15">
              <w:t>Ruggero Razza</w:t>
            </w:r>
          </w:p>
        </w:tc>
      </w:tr>
      <w:tr w14:paraId="31C610F0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56943181" w14:textId="77777777">
            <w:pPr>
              <w:pStyle w:val="RollCallTable"/>
            </w:pPr>
            <w:r w:rsidRPr="00E13B15">
              <w:t>PPE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0E3C1388" w14:textId="77777777">
            <w:pPr>
              <w:pStyle w:val="RollCallTable"/>
            </w:pPr>
            <w:r w:rsidRPr="00E13B15">
              <w:t xml:space="preserve">Georgios Aftias, Michalis Hadjipantela, Monika Hohlmeier, Kinga Kollár, Janusz Lewandowski, Danuše Nerudová, Jacek Protas, Jüri Ratas, Karlo </w:t>
            </w:r>
            <w:r w:rsidRPr="00E13B15">
              <w:t>Ressler, Hélder Sousa Silva</w:t>
            </w:r>
          </w:p>
        </w:tc>
      </w:tr>
      <w:tr w14:paraId="4DDDBFFE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16849A70" w14:textId="77777777">
            <w:pPr>
              <w:pStyle w:val="RollCallTable"/>
            </w:pPr>
            <w:r w:rsidRPr="00E13B15">
              <w:t>Renew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78256698" w14:textId="77777777">
            <w:pPr>
              <w:pStyle w:val="RollCallTable"/>
            </w:pPr>
            <w:r w:rsidRPr="00E13B15">
              <w:t>Olivier Chastel, Fabienne Keller, Lucia Yar</w:t>
            </w:r>
          </w:p>
        </w:tc>
      </w:tr>
      <w:tr w14:paraId="6147969B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4F1B46F8" w14:textId="77777777">
            <w:pPr>
              <w:pStyle w:val="RollCallTable"/>
            </w:pPr>
            <w:r w:rsidRPr="00E13B15">
              <w:t>S&amp;D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647E6DCF" w14:textId="77777777">
            <w:pPr>
              <w:pStyle w:val="RollCallTable"/>
            </w:pPr>
            <w:r w:rsidRPr="00E13B15">
              <w:t>Matthias Ecke, Jean-Marc Germain, Sandra Gómez López, Giuseppe Lupo, Matjaž Nemec, Carla Tavares, Nils Ušakovs</w:t>
            </w:r>
          </w:p>
        </w:tc>
      </w:tr>
      <w:tr w14:paraId="3C383686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1269B48B" w14:textId="77777777">
            <w:pPr>
              <w:pStyle w:val="RollCallTable"/>
            </w:pPr>
            <w:r w:rsidRPr="00E13B15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7C3FF21D" w14:textId="77777777">
            <w:pPr>
              <w:pStyle w:val="RollCallTable"/>
            </w:pPr>
            <w:r w:rsidRPr="00E13B15">
              <w:t>Ignazio Roberto Marino, Rasmus Nordqvist</w:t>
            </w:r>
          </w:p>
        </w:tc>
      </w:tr>
    </w:tbl>
    <w:p w:rsidR="00AB298C" w:rsidRPr="00E13B15" w:rsidP="00147FBF" w14:paraId="53909369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22D3B4EE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AB298C" w:rsidRPr="00E13B15" w:rsidP="003858C5" w14:paraId="6C741016" w14:textId="77777777">
            <w:pPr>
              <w:pStyle w:val="RollCallVotes"/>
            </w:pPr>
            <w:r w:rsidRPr="00E13B15">
              <w:t>7</w:t>
            </w:r>
          </w:p>
        </w:tc>
        <w:tc>
          <w:tcPr>
            <w:tcW w:w="7371" w:type="dxa"/>
            <w:shd w:val="pct10" w:color="000000" w:fill="FFFFFF"/>
          </w:tcPr>
          <w:p w:rsidR="00AB298C" w:rsidRPr="00E13B15" w:rsidP="003858C5" w14:paraId="3B9A203E" w14:textId="77777777">
            <w:pPr>
              <w:pStyle w:val="RollCallSymbols14pt"/>
            </w:pPr>
            <w:r w:rsidRPr="00E13B15">
              <w:t>-</w:t>
            </w:r>
          </w:p>
        </w:tc>
      </w:tr>
      <w:tr w14:paraId="02F72FA7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2ED0D019" w14:textId="77777777">
            <w:pPr>
              <w:pStyle w:val="RollCallTable"/>
            </w:pPr>
            <w:r w:rsidRPr="00E13B15">
              <w:t>ESN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1BCC2D6B" w14:textId="77777777">
            <w:pPr>
              <w:pStyle w:val="RollCallTable"/>
            </w:pPr>
            <w:r w:rsidRPr="00E13B15">
              <w:t>Alexander Jungbluth</w:t>
            </w:r>
          </w:p>
        </w:tc>
      </w:tr>
      <w:tr w14:paraId="37AB3C83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5FEBBB9C" w14:textId="77777777">
            <w:pPr>
              <w:pStyle w:val="RollCallTable"/>
            </w:pPr>
            <w:r w:rsidRPr="00E13B15">
              <w:t>NI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71893460" w14:textId="77777777">
            <w:pPr>
              <w:pStyle w:val="RollCallTable"/>
            </w:pPr>
            <w:r w:rsidRPr="00E13B15">
              <w:t>Thomas Geisel</w:t>
            </w:r>
          </w:p>
        </w:tc>
      </w:tr>
      <w:tr w14:paraId="4D0DE62E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3F3D4E53" w14:textId="77777777">
            <w:pPr>
              <w:pStyle w:val="RollCallTable"/>
            </w:pPr>
            <w:r w:rsidRPr="00E13B15">
              <w:t>PfE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2DF28CBC" w14:textId="77777777">
            <w:pPr>
              <w:pStyle w:val="RollCallTable"/>
            </w:pPr>
            <w:r w:rsidRPr="00E13B15">
              <w:t>Jaroslav Bžoch, Angéline Furet, Jaroslava Pokorná Jermanová, Julien Sanchez, Auke Zijlstra</w:t>
            </w:r>
          </w:p>
        </w:tc>
      </w:tr>
    </w:tbl>
    <w:p w:rsidR="00AB298C" w:rsidRPr="00E13B15" w:rsidP="00147FBF" w14:paraId="29446368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22737033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AB298C" w:rsidRPr="00E13B15" w:rsidP="003858C5" w14:paraId="3FA64773" w14:textId="77777777">
            <w:pPr>
              <w:pStyle w:val="RollCallVotes"/>
            </w:pPr>
            <w:r w:rsidRPr="00E13B15">
              <w:t>1</w:t>
            </w:r>
          </w:p>
        </w:tc>
        <w:tc>
          <w:tcPr>
            <w:tcW w:w="7371" w:type="dxa"/>
            <w:shd w:val="pct10" w:color="000000" w:fill="FFFFFF"/>
          </w:tcPr>
          <w:p w:rsidR="00AB298C" w:rsidRPr="00E13B15" w:rsidP="003858C5" w14:paraId="690FE93B" w14:textId="77777777">
            <w:pPr>
              <w:pStyle w:val="RollCallSymbols14pt"/>
            </w:pPr>
            <w:r w:rsidRPr="00E13B15">
              <w:t>0</w:t>
            </w:r>
          </w:p>
        </w:tc>
      </w:tr>
      <w:tr w14:paraId="76AB011F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AB298C" w:rsidRPr="00E13B15" w:rsidP="003858C5" w14:paraId="41A4205B" w14:textId="77777777">
            <w:pPr>
              <w:pStyle w:val="RollCallTable"/>
            </w:pPr>
            <w:r w:rsidRPr="00E13B15">
              <w:t>Renew</w:t>
            </w:r>
          </w:p>
        </w:tc>
        <w:tc>
          <w:tcPr>
            <w:tcW w:w="7371" w:type="dxa"/>
            <w:shd w:val="clear" w:color="auto" w:fill="FFFFFF"/>
          </w:tcPr>
          <w:p w:rsidR="00AB298C" w:rsidRPr="00E13B15" w:rsidP="003858C5" w14:paraId="507A1601" w14:textId="77777777">
            <w:pPr>
              <w:pStyle w:val="RollCallTable"/>
            </w:pPr>
            <w:r w:rsidRPr="00E13B15">
              <w:t>Joachim Streit</w:t>
            </w:r>
          </w:p>
        </w:tc>
      </w:tr>
    </w:tbl>
    <w:p w:rsidR="00AB298C" w:rsidRPr="00E13B15" w:rsidP="00147FBF" w14:paraId="1956FD85" w14:textId="77777777">
      <w:pPr>
        <w:pStyle w:val="Normal12a"/>
      </w:pPr>
    </w:p>
    <w:p w:rsidR="00AB298C" w:rsidRPr="00E13B15" w:rsidP="00B735E3" w14:paraId="3948A983" w14:textId="77777777">
      <w:r w:rsidRPr="00E13B15">
        <w:t>Tifsira tas-simboli użati:</w:t>
      </w:r>
    </w:p>
    <w:p w:rsidR="00AB298C" w:rsidRPr="00E13B15" w:rsidP="003858C5" w14:paraId="339BEA65" w14:textId="77777777">
      <w:pPr>
        <w:pStyle w:val="RollCallTabs"/>
      </w:pPr>
      <w:r w:rsidRPr="00E13B15">
        <w:t>+</w:t>
      </w:r>
      <w:r w:rsidRPr="00E13B15">
        <w:tab/>
        <w:t>:</w:t>
      </w:r>
      <w:r w:rsidRPr="00E13B15">
        <w:tab/>
        <w:t>favur</w:t>
      </w:r>
    </w:p>
    <w:p w:rsidR="00AB298C" w:rsidRPr="00E13B15" w:rsidP="003858C5" w14:paraId="7F7BFC6E" w14:textId="77777777">
      <w:pPr>
        <w:pStyle w:val="RollCallTabs"/>
      </w:pPr>
      <w:r w:rsidRPr="00E13B15">
        <w:t>-</w:t>
      </w:r>
      <w:r w:rsidRPr="00E13B15">
        <w:tab/>
        <w:t>:</w:t>
      </w:r>
      <w:r w:rsidRPr="00E13B15">
        <w:tab/>
        <w:t>kontra</w:t>
      </w:r>
    </w:p>
    <w:p w:rsidR="00AB298C" w:rsidRPr="00E13B15" w:rsidP="003858C5" w14:paraId="528FFCB3" w14:textId="77777777">
      <w:pPr>
        <w:pStyle w:val="RollCallTabs"/>
      </w:pPr>
      <w:r w:rsidRPr="00E13B15">
        <w:t>0</w:t>
      </w:r>
      <w:r w:rsidRPr="00E13B15">
        <w:tab/>
        <w:t>:</w:t>
      </w:r>
      <w:r w:rsidRPr="00E13B15">
        <w:tab/>
        <w:t>astensjoni</w:t>
      </w:r>
    </w:p>
    <w:p w:rsidR="00AB298C" w:rsidRPr="00E13B15" w:rsidP="00207509" w14:paraId="78DE38DD" w14:textId="77777777"/>
    <w:bookmarkEnd w:id="4"/>
    <w:p w:rsidR="00AB298C" w:rsidRPr="00E13B15" w:rsidP="00AB298C" w14:paraId="00386E53" w14:textId="77777777"/>
    <w:sectPr w:rsidSect="00AB298C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3B15" w:rsidRPr="00E13B15" w:rsidP="00E13B15" w14:paraId="3DE0F6E3" w14:textId="77777777">
    <w:pPr>
      <w:pStyle w:val="EPFooter"/>
    </w:pPr>
    <w:r w:rsidRPr="00E13B15">
      <w:t>PE</w:t>
    </w:r>
    <w:r w:rsidRPr="00E13B15">
      <w:rPr>
        <w:rStyle w:val="HideTWBExt"/>
      </w:rPr>
      <w:t>&lt;NoPE&gt;</w:t>
    </w:r>
    <w:r w:rsidRPr="00E13B15">
      <w:t>787.038</w:t>
    </w:r>
    <w:r w:rsidRPr="00E13B15">
      <w:rPr>
        <w:rStyle w:val="HideTWBExt"/>
      </w:rPr>
      <w:t>&lt;/NoPE&gt;&lt;Version&gt;</w:t>
    </w:r>
    <w:r w:rsidRPr="00E13B15">
      <w:t>v03-00</w:t>
    </w:r>
    <w:r w:rsidRPr="00E13B15">
      <w:rPr>
        <w:rStyle w:val="HideTWBExt"/>
      </w:rPr>
      <w:t>&lt;/Version&gt;</w:t>
    </w:r>
    <w:r w:rsidRPr="00E13B15">
      <w:tab/>
    </w:r>
    <w:r w:rsidRPr="00E13B15">
      <w:fldChar w:fldCharType="begin"/>
    </w:r>
    <w:r w:rsidRPr="00E13B15">
      <w:instrText xml:space="preserve"> PAGE  \* MERGEFORMAT </w:instrText>
    </w:r>
    <w:r w:rsidRPr="00E13B15">
      <w:fldChar w:fldCharType="separate"/>
    </w:r>
    <w:r w:rsidRPr="00E13B15">
      <w:rPr>
        <w:noProof/>
      </w:rPr>
      <w:t>2</w:t>
    </w:r>
    <w:r w:rsidRPr="00E13B15">
      <w:fldChar w:fldCharType="end"/>
    </w:r>
    <w:r w:rsidRPr="00E13B15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E13B15">
      <w:rPr>
        <w:noProof/>
      </w:rPr>
      <w:t>18</w:t>
    </w:r>
    <w:r w:rsidRPr="00E13B15">
      <w:rPr>
        <w:noProof/>
      </w:rPr>
      <w:fldChar w:fldCharType="end"/>
    </w:r>
    <w:r w:rsidRPr="00E13B15">
      <w:tab/>
    </w:r>
    <w:r w:rsidRPr="00E13B15">
      <w:rPr>
        <w:rStyle w:val="HideTWBExt"/>
      </w:rPr>
      <w:t>&lt;PathFdR&gt;</w:t>
    </w:r>
    <w:r w:rsidRPr="00E13B15">
      <w:t>AD\1348641MT.docx</w:t>
    </w:r>
    <w:r w:rsidRPr="00E13B15">
      <w:rPr>
        <w:rStyle w:val="HideTWBExt"/>
      </w:rPr>
      <w:t>&lt;/PathFdR&gt;</w:t>
    </w:r>
  </w:p>
  <w:p w:rsidR="002E2F2E" w:rsidRPr="00E13B15" w:rsidP="00E13B15" w14:paraId="42A9E553" w14:textId="14EC77A4">
    <w:pPr>
      <w:pStyle w:val="EPFooter2"/>
    </w:pPr>
    <w:r w:rsidRPr="00E13B15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3B15" w:rsidRPr="00E13B15" w:rsidP="00E13B15" w14:paraId="79FC544A" w14:textId="77777777">
    <w:pPr>
      <w:pStyle w:val="EPFooter"/>
    </w:pPr>
    <w:r w:rsidRPr="00E13B15">
      <w:rPr>
        <w:rStyle w:val="HideTWBExt"/>
      </w:rPr>
      <w:t>&lt;PathFdR&gt;</w:t>
    </w:r>
    <w:r w:rsidRPr="00E13B15">
      <w:t>AD\1348641MT.docx</w:t>
    </w:r>
    <w:r w:rsidRPr="00E13B15">
      <w:rPr>
        <w:rStyle w:val="HideTWBExt"/>
      </w:rPr>
      <w:t>&lt;/PathFdR&gt;</w:t>
    </w:r>
    <w:r w:rsidRPr="00E13B15">
      <w:tab/>
    </w:r>
    <w:r w:rsidRPr="00E13B15">
      <w:fldChar w:fldCharType="begin"/>
    </w:r>
    <w:r w:rsidRPr="00E13B15">
      <w:instrText xml:space="preserve"> PAGE  \* MERGEFORMAT </w:instrText>
    </w:r>
    <w:r w:rsidRPr="00E13B15">
      <w:fldChar w:fldCharType="separate"/>
    </w:r>
    <w:r w:rsidRPr="00E13B15">
      <w:rPr>
        <w:noProof/>
      </w:rPr>
      <w:t>3</w:t>
    </w:r>
    <w:r w:rsidRPr="00E13B15">
      <w:fldChar w:fldCharType="end"/>
    </w:r>
    <w:r w:rsidRPr="00E13B15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E13B15">
      <w:rPr>
        <w:noProof/>
      </w:rPr>
      <w:t>18</w:t>
    </w:r>
    <w:r w:rsidRPr="00E13B15">
      <w:rPr>
        <w:noProof/>
      </w:rPr>
      <w:fldChar w:fldCharType="end"/>
    </w:r>
    <w:r w:rsidRPr="00E13B15">
      <w:tab/>
      <w:t>PE</w:t>
    </w:r>
    <w:r w:rsidRPr="00E13B15">
      <w:rPr>
        <w:rStyle w:val="HideTWBExt"/>
      </w:rPr>
      <w:t>&lt;NoPE&gt;</w:t>
    </w:r>
    <w:r w:rsidRPr="00E13B15">
      <w:t>787.038</w:t>
    </w:r>
    <w:r w:rsidRPr="00E13B15">
      <w:rPr>
        <w:rStyle w:val="HideTWBExt"/>
      </w:rPr>
      <w:t>&lt;/NoPE&gt;&lt;Version&gt;</w:t>
    </w:r>
    <w:r w:rsidRPr="00E13B15">
      <w:t>v03-00</w:t>
    </w:r>
    <w:r w:rsidRPr="00E13B15">
      <w:rPr>
        <w:rStyle w:val="HideTWBExt"/>
      </w:rPr>
      <w:t>&lt;/Version&gt;</w:t>
    </w:r>
  </w:p>
  <w:p w:rsidR="002E2F2E" w:rsidRPr="00E13B15" w:rsidP="00E13B15" w14:paraId="6B4B8165" w14:textId="328E65C3">
    <w:pPr>
      <w:pStyle w:val="EPFooter2"/>
    </w:pPr>
    <w:r w:rsidRPr="00E13B15">
      <w:tab/>
    </w:r>
    <w:r w:rsidRPr="00E13B15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3B15" w:rsidRPr="00E13B15" w:rsidP="00E13B15" w14:paraId="0E296C63" w14:textId="77777777">
    <w:pPr>
      <w:pStyle w:val="EPFooter"/>
    </w:pPr>
    <w:r w:rsidRPr="00E13B15">
      <w:rPr>
        <w:rStyle w:val="HideTWBExt"/>
      </w:rPr>
      <w:t>&lt;PathFdR&gt;</w:t>
    </w:r>
    <w:r w:rsidRPr="00E13B15">
      <w:t>AD\1348641MT.docx</w:t>
    </w:r>
    <w:r w:rsidRPr="00E13B15">
      <w:rPr>
        <w:rStyle w:val="HideTWBExt"/>
      </w:rPr>
      <w:t>&lt;/PathFdR&gt;</w:t>
    </w:r>
    <w:r w:rsidRPr="00E13B15">
      <w:tab/>
    </w:r>
    <w:r w:rsidRPr="00E13B15">
      <w:tab/>
      <w:t>PE</w:t>
    </w:r>
    <w:r w:rsidRPr="00E13B15">
      <w:rPr>
        <w:rStyle w:val="HideTWBExt"/>
      </w:rPr>
      <w:t>&lt;NoPE&gt;</w:t>
    </w:r>
    <w:r w:rsidRPr="00E13B15">
      <w:t>787.038</w:t>
    </w:r>
    <w:r w:rsidRPr="00E13B15">
      <w:rPr>
        <w:rStyle w:val="HideTWBExt"/>
      </w:rPr>
      <w:t>&lt;/NoPE&gt;&lt;Version&gt;</w:t>
    </w:r>
    <w:r w:rsidRPr="00E13B15">
      <w:t>v03-00</w:t>
    </w:r>
    <w:r w:rsidRPr="00E13B15">
      <w:rPr>
        <w:rStyle w:val="HideTWBExt"/>
      </w:rPr>
      <w:t>&lt;/Version&gt;</w:t>
    </w:r>
  </w:p>
  <w:p w:rsidR="002E2F2E" w:rsidRPr="00E13B15" w:rsidP="00E13B15" w14:paraId="08E5856C" w14:textId="2C2CFC6F">
    <w:pPr>
      <w:pStyle w:val="EPFooter2"/>
    </w:pPr>
    <w:r w:rsidRPr="00E13B15">
      <w:t>MT</w:t>
    </w:r>
    <w:r w:rsidRPr="00E13B15">
      <w:tab/>
    </w:r>
    <w:r w:rsidRPr="00E13B15">
      <w:rPr>
        <w:b w:val="0"/>
        <w:i/>
        <w:color w:val="C0C0C0"/>
        <w:sz w:val="22"/>
      </w:rPr>
      <w:t>Magħquda fid-diversità</w:t>
    </w:r>
    <w:r w:rsidRPr="00E13B15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2F1EAB" w:rsidRPr="00E13B15" w14:paraId="027D7224" w14:textId="77777777">
      <w:r w:rsidRPr="00E13B15">
        <w:separator/>
      </w:r>
    </w:p>
  </w:footnote>
  <w:footnote w:type="continuationSeparator" w:id="1">
    <w:p w:rsidR="002F1EAB" w:rsidRPr="00E13B15" w14:paraId="3DEDAA48" w14:textId="77777777">
      <w:r w:rsidRPr="00E13B15">
        <w:continuationSeparator/>
      </w:r>
    </w:p>
  </w:footnote>
  <w:footnote w:id="2">
    <w:p w:rsidR="00996EBB" w:rsidRPr="00E13B15" w14:paraId="63AC5B71" w14:textId="4F179465">
      <w:pPr>
        <w:pStyle w:val="FootnoteText"/>
      </w:pPr>
      <w:r w:rsidRPr="00E13B15">
        <w:rPr>
          <w:rStyle w:val="FootnoteReference"/>
        </w:rPr>
        <w:footnoteRef/>
      </w:r>
      <w:r w:rsidRPr="00E13B15">
        <w:t xml:space="preserve"> Ir-Regolament (UE, Euratom) 2024/2509 tal-Parlament Ewropew u tal-Kunsill tat-23 ta’ Settembru 2024 dwar ir-regoli finanzjarji applikabbli għall-baġit ġenerali tal-Unjoni (ĠU L, 2024/2509, 26.9.2024, ELI: </w:t>
      </w:r>
      <w:hyperlink r:id="rId1" w:history="1">
        <w:r w:rsidRPr="00E13B15">
          <w:rPr>
            <w:rStyle w:val="Hyperlink"/>
          </w:rPr>
          <w:t>http://data.europa.eu/eli/reg/2024/2509/oj</w:t>
        </w:r>
      </w:hyperlink>
      <w:r w:rsidRPr="00E13B15">
        <w:t xml:space="preserve">). </w:t>
      </w:r>
    </w:p>
  </w:footnote>
  <w:footnote w:id="3">
    <w:p w:rsidR="00996EBB" w:rsidRPr="00E13B15" w14:paraId="663CE7EC" w14:textId="0CE1EBE5">
      <w:pPr>
        <w:pStyle w:val="FootnoteText"/>
      </w:pPr>
      <w:r w:rsidRPr="00E13B15">
        <w:rPr>
          <w:rStyle w:val="FootnoteReference"/>
        </w:rPr>
        <w:footnoteRef/>
      </w:r>
      <w:r w:rsidRPr="00E13B15">
        <w:t xml:space="preserve"> Id-Direttiva 2010/13/UE tal-Parlament Ewropew u tal-Kunsill tal-10 ta’ Marzu 2010 dwar il-koordinazzjoni ta’ ċerti dispożizzjonijiet stabbiliti bil-liġi, b’regolament jew b’azzjoni amministrattiva fi Stati Membri dwar il-forniment ta’ servizzi tal-midja awdjoviżiva (ĠU L 95, 15.4.2010, p. 1, ELI: </w:t>
      </w:r>
      <w:hyperlink r:id="rId2" w:history="1">
        <w:r w:rsidRPr="00E13B15">
          <w:rPr>
            <w:rStyle w:val="Hyperlink"/>
          </w:rPr>
          <w:t>http://data.europa.eu/eli/dir/2010/13/oj</w:t>
        </w:r>
      </w:hyperlink>
      <w:r w:rsidRPr="00E13B15">
        <w:t xml:space="preserve">). </w:t>
      </w:r>
    </w:p>
  </w:footnote>
  <w:footnote w:id="4">
    <w:p w:rsidR="008877CB" w:rsidRPr="00E13B15" w14:paraId="499A3BD3" w14:textId="77777777">
      <w:pPr>
        <w:pStyle w:val="FootnoteText"/>
      </w:pPr>
      <w:r w:rsidRPr="00E13B15">
        <w:rPr>
          <w:rStyle w:val="FootnoteReference"/>
        </w:rPr>
        <w:footnoteRef/>
      </w:r>
      <w:r w:rsidRPr="00E13B15">
        <w:t xml:space="preserve"> COM(2025)0545.</w:t>
      </w:r>
    </w:p>
  </w:footnote>
  <w:footnote w:id="5">
    <w:p w:rsidR="00996EBB" w:rsidRPr="00E13B15" w14:paraId="3CF5E77E" w14:textId="353A2BB2">
      <w:pPr>
        <w:pStyle w:val="FootnoteText"/>
      </w:pPr>
      <w:r w:rsidRPr="00E13B15">
        <w:rPr>
          <w:rStyle w:val="FootnoteReference"/>
        </w:rPr>
        <w:footnoteRef/>
      </w:r>
      <w:r w:rsidRPr="00E13B15">
        <w:t xml:space="preserve"> Ir-Regolament (UE, Euratom) 2020/2092 tal-Parlament Ewropew u tal-Kunsill tas-16 ta’ Diċembru 2020 dwar reġim ġenerali ta’ kondizzjonalità għall-protezzjoni tal-baġit tal-Unjoni (ĠU L 433 I, 22.12.2020, p. 1, ELI: </w:t>
      </w:r>
      <w:hyperlink r:id="rId3" w:history="1">
        <w:r w:rsidRPr="00E13B15">
          <w:rPr>
            <w:rStyle w:val="Hyperlink"/>
          </w:rPr>
          <w:t>http://data.europa.eu/eli/reg/2020/2092/oj</w:t>
        </w:r>
      </w:hyperlink>
      <w:r w:rsidRPr="00E13B15">
        <w:t xml:space="preserve">). </w:t>
      </w:r>
    </w:p>
  </w:footnote>
  <w:footnote w:id="6">
    <w:p w:rsidR="00864AF6" w:rsidRPr="00E13B15" w14:paraId="40BE9E72" w14:textId="26BF4390">
      <w:pPr>
        <w:pStyle w:val="FootnoteText"/>
      </w:pPr>
      <w:r w:rsidRPr="00E13B15">
        <w:rPr>
          <w:rStyle w:val="FootnoteReference"/>
        </w:rPr>
        <w:footnoteRef/>
      </w:r>
      <w:r w:rsidRPr="00E13B15"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4" w:tooltip="http://data.europa.eu/eli/agree_interinstit/2021/611/oj" w:history="1">
        <w:r w:rsidRPr="00E13B15">
          <w:rPr>
            <w:rStyle w:val="Hyperlink"/>
          </w:rPr>
          <w:t>http://data.europa.eu/eli/agree_interinstit/2021/611/oj</w:t>
        </w:r>
      </w:hyperlink>
      <w:r w:rsidRPr="00E13B15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7712" w14:paraId="31B78B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7712" w14:paraId="7150E18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7712" w14:paraId="643A3F6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696C71"/>
    <w:multiLevelType w:val="hybridMultilevel"/>
    <w:tmpl w:val="E48ED068"/>
    <w:lvl w:ilvl="0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AB"/>
    <w:rsid w:val="00006F54"/>
    <w:rsid w:val="00007C5D"/>
    <w:rsid w:val="00013F29"/>
    <w:rsid w:val="000178E7"/>
    <w:rsid w:val="0003367A"/>
    <w:rsid w:val="000354F6"/>
    <w:rsid w:val="00037518"/>
    <w:rsid w:val="0004424C"/>
    <w:rsid w:val="00071CB7"/>
    <w:rsid w:val="00075948"/>
    <w:rsid w:val="00082375"/>
    <w:rsid w:val="00096BE6"/>
    <w:rsid w:val="000E3DE4"/>
    <w:rsid w:val="000E3FF6"/>
    <w:rsid w:val="000E7EBF"/>
    <w:rsid w:val="00116F33"/>
    <w:rsid w:val="00124F60"/>
    <w:rsid w:val="001336B6"/>
    <w:rsid w:val="00133FB5"/>
    <w:rsid w:val="00135121"/>
    <w:rsid w:val="00140BE6"/>
    <w:rsid w:val="001449F5"/>
    <w:rsid w:val="00147F4E"/>
    <w:rsid w:val="00147FBF"/>
    <w:rsid w:val="001539C0"/>
    <w:rsid w:val="00155C94"/>
    <w:rsid w:val="001650C0"/>
    <w:rsid w:val="0016635E"/>
    <w:rsid w:val="001709A0"/>
    <w:rsid w:val="00173215"/>
    <w:rsid w:val="001746D0"/>
    <w:rsid w:val="00182746"/>
    <w:rsid w:val="00183DAD"/>
    <w:rsid w:val="00184443"/>
    <w:rsid w:val="00185722"/>
    <w:rsid w:val="00187ED3"/>
    <w:rsid w:val="00192D8D"/>
    <w:rsid w:val="001B7393"/>
    <w:rsid w:val="001D2ED9"/>
    <w:rsid w:val="001E42AF"/>
    <w:rsid w:val="001F21C1"/>
    <w:rsid w:val="00203BEF"/>
    <w:rsid w:val="0020594A"/>
    <w:rsid w:val="00207509"/>
    <w:rsid w:val="002107CB"/>
    <w:rsid w:val="00217211"/>
    <w:rsid w:val="00222624"/>
    <w:rsid w:val="00222A38"/>
    <w:rsid w:val="0022554A"/>
    <w:rsid w:val="00243643"/>
    <w:rsid w:val="00247AE6"/>
    <w:rsid w:val="00251B75"/>
    <w:rsid w:val="00257456"/>
    <w:rsid w:val="00265CB5"/>
    <w:rsid w:val="00270E86"/>
    <w:rsid w:val="002915E7"/>
    <w:rsid w:val="00292801"/>
    <w:rsid w:val="002B2C72"/>
    <w:rsid w:val="002D28A7"/>
    <w:rsid w:val="002E2F2E"/>
    <w:rsid w:val="002E38B0"/>
    <w:rsid w:val="002E4AA3"/>
    <w:rsid w:val="002E6F98"/>
    <w:rsid w:val="002F1EAB"/>
    <w:rsid w:val="002F7BCF"/>
    <w:rsid w:val="00324546"/>
    <w:rsid w:val="00325BCB"/>
    <w:rsid w:val="00331944"/>
    <w:rsid w:val="00332AD9"/>
    <w:rsid w:val="003402B9"/>
    <w:rsid w:val="00347D2C"/>
    <w:rsid w:val="00350410"/>
    <w:rsid w:val="00350F3D"/>
    <w:rsid w:val="00362463"/>
    <w:rsid w:val="003647BD"/>
    <w:rsid w:val="003654AF"/>
    <w:rsid w:val="00367A50"/>
    <w:rsid w:val="0037356F"/>
    <w:rsid w:val="00373857"/>
    <w:rsid w:val="00375670"/>
    <w:rsid w:val="003855AA"/>
    <w:rsid w:val="003858C5"/>
    <w:rsid w:val="00387541"/>
    <w:rsid w:val="00390EB2"/>
    <w:rsid w:val="00391AC1"/>
    <w:rsid w:val="00395F78"/>
    <w:rsid w:val="00396A0E"/>
    <w:rsid w:val="003A6F42"/>
    <w:rsid w:val="003B60FC"/>
    <w:rsid w:val="003B78F0"/>
    <w:rsid w:val="003B7FC6"/>
    <w:rsid w:val="003C08C3"/>
    <w:rsid w:val="003C29C0"/>
    <w:rsid w:val="003E2402"/>
    <w:rsid w:val="003F620A"/>
    <w:rsid w:val="0040369E"/>
    <w:rsid w:val="0041592A"/>
    <w:rsid w:val="004234CA"/>
    <w:rsid w:val="00450A7E"/>
    <w:rsid w:val="004519DE"/>
    <w:rsid w:val="004524F6"/>
    <w:rsid w:val="00457488"/>
    <w:rsid w:val="00460880"/>
    <w:rsid w:val="004667D1"/>
    <w:rsid w:val="00475333"/>
    <w:rsid w:val="00476E25"/>
    <w:rsid w:val="00485C5C"/>
    <w:rsid w:val="004A65BF"/>
    <w:rsid w:val="004C28FB"/>
    <w:rsid w:val="004C3145"/>
    <w:rsid w:val="004C3CF0"/>
    <w:rsid w:val="004C44C0"/>
    <w:rsid w:val="004C5791"/>
    <w:rsid w:val="004D09DE"/>
    <w:rsid w:val="004D1FA8"/>
    <w:rsid w:val="00521B5B"/>
    <w:rsid w:val="0052544E"/>
    <w:rsid w:val="0052626E"/>
    <w:rsid w:val="00530290"/>
    <w:rsid w:val="00537353"/>
    <w:rsid w:val="00555696"/>
    <w:rsid w:val="00566481"/>
    <w:rsid w:val="00567E5C"/>
    <w:rsid w:val="005749BB"/>
    <w:rsid w:val="00580F37"/>
    <w:rsid w:val="00593797"/>
    <w:rsid w:val="005940C3"/>
    <w:rsid w:val="00594C48"/>
    <w:rsid w:val="005B2F11"/>
    <w:rsid w:val="005C0BDF"/>
    <w:rsid w:val="005D01BC"/>
    <w:rsid w:val="005D45E5"/>
    <w:rsid w:val="005D60C6"/>
    <w:rsid w:val="005D6788"/>
    <w:rsid w:val="005D6F9A"/>
    <w:rsid w:val="005E5BBC"/>
    <w:rsid w:val="005E7294"/>
    <w:rsid w:val="005F2CA1"/>
    <w:rsid w:val="006102E7"/>
    <w:rsid w:val="006233B7"/>
    <w:rsid w:val="00624AE1"/>
    <w:rsid w:val="006352A8"/>
    <w:rsid w:val="00640C1B"/>
    <w:rsid w:val="00657AFB"/>
    <w:rsid w:val="0068168E"/>
    <w:rsid w:val="00692449"/>
    <w:rsid w:val="00697C9F"/>
    <w:rsid w:val="006B7199"/>
    <w:rsid w:val="006C3336"/>
    <w:rsid w:val="006D5BF7"/>
    <w:rsid w:val="006E2DDE"/>
    <w:rsid w:val="006E67D8"/>
    <w:rsid w:val="006F0C7B"/>
    <w:rsid w:val="006F189E"/>
    <w:rsid w:val="006F379B"/>
    <w:rsid w:val="006F54B8"/>
    <w:rsid w:val="00707AC0"/>
    <w:rsid w:val="00721237"/>
    <w:rsid w:val="0072511A"/>
    <w:rsid w:val="007350EA"/>
    <w:rsid w:val="00737F68"/>
    <w:rsid w:val="00740BED"/>
    <w:rsid w:val="00757C4C"/>
    <w:rsid w:val="007638D0"/>
    <w:rsid w:val="0077440C"/>
    <w:rsid w:val="007753D3"/>
    <w:rsid w:val="00795885"/>
    <w:rsid w:val="007B5CC7"/>
    <w:rsid w:val="007B6357"/>
    <w:rsid w:val="007C598C"/>
    <w:rsid w:val="007D10F5"/>
    <w:rsid w:val="007D5322"/>
    <w:rsid w:val="00806074"/>
    <w:rsid w:val="00825069"/>
    <w:rsid w:val="00825ECA"/>
    <w:rsid w:val="008313E7"/>
    <w:rsid w:val="0084601D"/>
    <w:rsid w:val="00852263"/>
    <w:rsid w:val="00854CAC"/>
    <w:rsid w:val="00864AF6"/>
    <w:rsid w:val="00873BF3"/>
    <w:rsid w:val="00876A88"/>
    <w:rsid w:val="00883B5D"/>
    <w:rsid w:val="00884E6D"/>
    <w:rsid w:val="008877CB"/>
    <w:rsid w:val="008A32C5"/>
    <w:rsid w:val="008A7308"/>
    <w:rsid w:val="008B4A3D"/>
    <w:rsid w:val="008C6203"/>
    <w:rsid w:val="008D61E7"/>
    <w:rsid w:val="008D7A5E"/>
    <w:rsid w:val="008E2BE3"/>
    <w:rsid w:val="008E2C5D"/>
    <w:rsid w:val="008F0606"/>
    <w:rsid w:val="008F33FC"/>
    <w:rsid w:val="008F7002"/>
    <w:rsid w:val="00917712"/>
    <w:rsid w:val="009226B3"/>
    <w:rsid w:val="0093672A"/>
    <w:rsid w:val="009505F8"/>
    <w:rsid w:val="00950C9F"/>
    <w:rsid w:val="009626A8"/>
    <w:rsid w:val="0096746A"/>
    <w:rsid w:val="00972442"/>
    <w:rsid w:val="00992DF1"/>
    <w:rsid w:val="0099493F"/>
    <w:rsid w:val="00996EBB"/>
    <w:rsid w:val="009A3CF4"/>
    <w:rsid w:val="009B135C"/>
    <w:rsid w:val="009D60A5"/>
    <w:rsid w:val="009E1B4E"/>
    <w:rsid w:val="009E3A1C"/>
    <w:rsid w:val="009F4D53"/>
    <w:rsid w:val="00A01EC2"/>
    <w:rsid w:val="00A1158F"/>
    <w:rsid w:val="00A16BEA"/>
    <w:rsid w:val="00A20513"/>
    <w:rsid w:val="00A27801"/>
    <w:rsid w:val="00A312B3"/>
    <w:rsid w:val="00A43A35"/>
    <w:rsid w:val="00A47E2F"/>
    <w:rsid w:val="00A51A8C"/>
    <w:rsid w:val="00A56164"/>
    <w:rsid w:val="00A600AF"/>
    <w:rsid w:val="00A600FA"/>
    <w:rsid w:val="00A72C35"/>
    <w:rsid w:val="00A87D2F"/>
    <w:rsid w:val="00A92590"/>
    <w:rsid w:val="00AA3525"/>
    <w:rsid w:val="00AB298C"/>
    <w:rsid w:val="00AB47EE"/>
    <w:rsid w:val="00AB5733"/>
    <w:rsid w:val="00AB6CBF"/>
    <w:rsid w:val="00AC5AAD"/>
    <w:rsid w:val="00AE180F"/>
    <w:rsid w:val="00AE5581"/>
    <w:rsid w:val="00AE79AF"/>
    <w:rsid w:val="00B108C1"/>
    <w:rsid w:val="00B24D7A"/>
    <w:rsid w:val="00B3084E"/>
    <w:rsid w:val="00B362F7"/>
    <w:rsid w:val="00B43C72"/>
    <w:rsid w:val="00B50F00"/>
    <w:rsid w:val="00B5456B"/>
    <w:rsid w:val="00B5574C"/>
    <w:rsid w:val="00B735E3"/>
    <w:rsid w:val="00B73818"/>
    <w:rsid w:val="00B74B53"/>
    <w:rsid w:val="00B77427"/>
    <w:rsid w:val="00B85DFF"/>
    <w:rsid w:val="00B87BB2"/>
    <w:rsid w:val="00B96E86"/>
    <w:rsid w:val="00B97057"/>
    <w:rsid w:val="00BA053B"/>
    <w:rsid w:val="00BA3446"/>
    <w:rsid w:val="00BA7635"/>
    <w:rsid w:val="00BC26E4"/>
    <w:rsid w:val="00BD1EAA"/>
    <w:rsid w:val="00BE7B62"/>
    <w:rsid w:val="00BF0AFC"/>
    <w:rsid w:val="00BF6786"/>
    <w:rsid w:val="00BF70F2"/>
    <w:rsid w:val="00C025FE"/>
    <w:rsid w:val="00C06A5B"/>
    <w:rsid w:val="00C10A8D"/>
    <w:rsid w:val="00C13EE9"/>
    <w:rsid w:val="00C234F2"/>
    <w:rsid w:val="00C23D90"/>
    <w:rsid w:val="00C3088E"/>
    <w:rsid w:val="00C36610"/>
    <w:rsid w:val="00C379E4"/>
    <w:rsid w:val="00C43792"/>
    <w:rsid w:val="00C456DD"/>
    <w:rsid w:val="00C45953"/>
    <w:rsid w:val="00C52739"/>
    <w:rsid w:val="00C62AE2"/>
    <w:rsid w:val="00C65E18"/>
    <w:rsid w:val="00C827FF"/>
    <w:rsid w:val="00C8553D"/>
    <w:rsid w:val="00C85D0F"/>
    <w:rsid w:val="00C86950"/>
    <w:rsid w:val="00C93601"/>
    <w:rsid w:val="00CA180E"/>
    <w:rsid w:val="00CC476E"/>
    <w:rsid w:val="00CD34AC"/>
    <w:rsid w:val="00CE0A89"/>
    <w:rsid w:val="00CE347F"/>
    <w:rsid w:val="00CE40C5"/>
    <w:rsid w:val="00CE6558"/>
    <w:rsid w:val="00CE7579"/>
    <w:rsid w:val="00D006EE"/>
    <w:rsid w:val="00D07C5B"/>
    <w:rsid w:val="00D318E7"/>
    <w:rsid w:val="00D34053"/>
    <w:rsid w:val="00D37833"/>
    <w:rsid w:val="00D467BF"/>
    <w:rsid w:val="00D5213C"/>
    <w:rsid w:val="00D7202C"/>
    <w:rsid w:val="00D77A32"/>
    <w:rsid w:val="00D82297"/>
    <w:rsid w:val="00D8432D"/>
    <w:rsid w:val="00DA5A88"/>
    <w:rsid w:val="00DB4824"/>
    <w:rsid w:val="00DC4F54"/>
    <w:rsid w:val="00DC7701"/>
    <w:rsid w:val="00DD2C01"/>
    <w:rsid w:val="00DE19FF"/>
    <w:rsid w:val="00E13B15"/>
    <w:rsid w:val="00E16BDB"/>
    <w:rsid w:val="00E21739"/>
    <w:rsid w:val="00E23868"/>
    <w:rsid w:val="00E26603"/>
    <w:rsid w:val="00E333F0"/>
    <w:rsid w:val="00E40D29"/>
    <w:rsid w:val="00E42AD1"/>
    <w:rsid w:val="00E43A48"/>
    <w:rsid w:val="00E55261"/>
    <w:rsid w:val="00E62196"/>
    <w:rsid w:val="00E81BA6"/>
    <w:rsid w:val="00E856D2"/>
    <w:rsid w:val="00E929A7"/>
    <w:rsid w:val="00E93E66"/>
    <w:rsid w:val="00E95430"/>
    <w:rsid w:val="00EA35B2"/>
    <w:rsid w:val="00EA6DE0"/>
    <w:rsid w:val="00EA7ACA"/>
    <w:rsid w:val="00EA7F20"/>
    <w:rsid w:val="00EB114A"/>
    <w:rsid w:val="00EB761F"/>
    <w:rsid w:val="00ED74AF"/>
    <w:rsid w:val="00EE2AC2"/>
    <w:rsid w:val="00EF7C6C"/>
    <w:rsid w:val="00F06E70"/>
    <w:rsid w:val="00F13A32"/>
    <w:rsid w:val="00F14A2D"/>
    <w:rsid w:val="00F17B71"/>
    <w:rsid w:val="00F33D44"/>
    <w:rsid w:val="00F40D6E"/>
    <w:rsid w:val="00F63FE4"/>
    <w:rsid w:val="00F70637"/>
    <w:rsid w:val="00F9166E"/>
    <w:rsid w:val="00F94599"/>
    <w:rsid w:val="00FC228C"/>
    <w:rsid w:val="00FC42F1"/>
    <w:rsid w:val="00FC6460"/>
    <w:rsid w:val="00FC7B08"/>
    <w:rsid w:val="00FD0D14"/>
    <w:rsid w:val="00FD4BC4"/>
    <w:rsid w:val="00FE24DE"/>
    <w:rsid w:val="00FF4B50"/>
  </w:rsids>
  <w:docVars>
    <w:docVar w:name="AMACTMNU" w:val=" 2"/>
    <w:docVar w:name="AMPLURMNU" w:val=" 1"/>
    <w:docVar w:name="AUTHORMFMNU" w:val=" 2"/>
    <w:docVar w:name="CJMNU" w:val="2"/>
    <w:docVar w:name="CODEMNU" w:val=" 3"/>
    <w:docVar w:name="COM2KEY" w:val="CJ65"/>
    <w:docVar w:name="COMKEY" w:val="BUDG"/>
    <w:docVar w:name="CONTRIBUTIONMNU" w:val=" 2"/>
    <w:docVar w:name="CopyToNetwork" w:val="-1"/>
    <w:docVar w:name="CVar" w:val="3"/>
    <w:docVar w:name="DOCDT" w:val="15/04/2026"/>
    <w:docVar w:name="DOCMNU" w:val=" 1"/>
    <w:docVar w:name="FONCTIONMNU" w:val=" 1"/>
    <w:docVar w:name="iNoAmend" w:val="5"/>
    <w:docVar w:name="LastEditedSection" w:val=" 1"/>
    <w:docVar w:name="ORLANGKEY" w:val="EN"/>
    <w:docVar w:name="ORLANGMNU" w:val=" 1"/>
    <w:docVar w:name="PROPOSALCOD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1\fbidi \froman\fcharset238\fprq2 Times New Roman CE;}{\f52\fbidi \froman\fcharset204\fprq2 Times New Roman Cyr;}&#13;_x000a_{\f54\fbidi \froman\fcharset161\fprq2 Times New Roman Greek;}{\f55\fbidi \froman\fcharset162\fprq2 Times New Roman Tur;}{\f56\fbidi \froman\fcharset177\fprq2 Times New Roman (Hebrew);}{\f57\fbidi \froman\fcharset178\fprq2 Times New Roman (Arabic);}&#13;_x000a_{\f58\fbidi \froman\fcharset186\fprq2 Times New Roman Baltic;}{\f59\fbidi \froman\fcharset163\fprq2 Times New Roman (Vietnamese);}{\f61\fbidi \fswiss\fcharset238\fprq2 Arial CE;}{\f62\fbidi \fswiss\fcharset204\fprq2 Arial Cyr;}&#13;_x000a_{\f64\fbidi \fswiss\fcharset161\fprq2 Arial Greek;}{\f65\fbidi \fswiss\fcharset162\fprq2 Arial Tur;}{\f66\fbidi \fswiss\fcharset177\fprq2 Arial (Hebrew);}{\f67\fbidi \fswiss\fcharset178\fprq2 Arial (Arabic);}&#13;_x000a_{\f68\fbidi \fswiss\fcharset186\fprq2 Arial Baltic;}{\f69\fbidi \fswiss\fcharset163\fprq2 Arial (Vietnamese);}{\f391\fbidi \froman\fcharset238\fprq2 Cambria Math CE;}{\f392\fbidi \froman\fcharset204\fprq2 Cambria Math Cyr;}&#13;_x000a_{\f394\fbidi \froman\fcharset161\fprq2 Cambria Math Greek;}{\f395\fbidi \froman\fcharset162\fprq2 Cambria Math Tur;}{\f398\fbidi \froman\fcharset186\fprq2 Cambria Math Baltic;}{\f399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9010838 HideTWBExt;}{\*\cs18 \additive \v\f1\fs20\cf15 &#13;_x000a_\spriority0 \styrsid9010838 HideTWBInt;}{\s19\ql \li0\ri0\nowidctlpar\wrapdefault\aspalpha\aspnum\faauto\adjustright\rin0\lin0\itap0 \rtlch\fcs1 \af0\afs20\alang1025 \ltrch\fcs0 \b\fs24\lang2057\langfe2057\cgrid\langnp2057\langfenp2057 &#13;_x000a_\sbasedon0 \snext19 \spriority0 \styrsid9010838 NormalBold;}{\s20\ql \li0\ri0\sa120\nowidctlpar\wrapdefault\aspalpha\aspnum\faauto\adjustright\rin0\lin0\itap0 \rtlch\fcs1 \af0\afs20\alang1025 \ltrch\fcs0 &#13;_x000a_\fs24\lang2057\langfe2057\cgrid\langnp2057\langfenp2057 \sbasedon0 \snext20 \spriority0 \styrsid9010838 Normal6a;}{\s21\qc \li0\ri0\sa240\nowidctlpar\wrapdefault\aspalpha\aspnum\faauto\adjustright\rin0\lin0\itap0 \rtlch\fcs1 \af0\afs20\alang1025 &#13;_x000a_\ltrch\fcs0 \i\fs24\lang2057\langfe2057\cgrid\langnp2057\langfenp2057 \sbasedon0 \snext21 \spriority0 \styrsid9010838 AmColumnHeading;}{\s22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2 \spriority0 \styrsid9010838 AmNumberTabs;}{\s23\ql \li0\ri0\sa240\nowidctlpar\wrapdefault\aspalpha\aspnum\faauto\adjustright\rin0\lin0\itap0 \rtlch\fcs1 &#13;_x000a_\af0\afs20\alang1025 \ltrch\fcs0 \i\fs24\lang2057\langfe2057\cgrid\langnp2057\langfenp2057 \sbasedon0 \snext23 \spriority0 \styrsid9010838 AmJustText;}{&#13;_x000a_\s24\qc \li0\ri0\sb240\sa240\nowidctlpar\wrapdefault\aspalpha\aspnum\faauto\adjustright\rin0\lin0\itap0 \rtlch\fcs1 \af0\afs20\alang1025 \ltrch\fcs0 \i\fs24\lang2057\langfe2057\cgrid\langnp2057\langfenp2057 \sbasedon0 \snext24 \spriority0 \styrsid9010838 &#13;_x000a_AmCrossRef;}{\s25\qc \li0\ri0\sb240\sa240\keepn\nowidctlpar\wrapdefault\aspalpha\aspnum\faauto\adjustright\rin0\lin0\itap0 \rtlch\fcs1 \af0\afs20\alang1025 \ltrch\fcs0 \i\fs24\lang2057\langfe2057\cgrid\langnp2057\langfenp2057 &#13;_x000a_\sbasedon0 \snext23 \spriority0 \styrsid9010838 AmJustTitle;}{\s26\ql \li0\ri0\sb240\nowidctlpar\wrapdefault\aspalpha\aspnum\faauto\adjustright\rin0\lin0\itap0 \rtlch\fcs1 \af0\afs20\alang1025 \ltrch\fcs0 &#13;_x000a_\b\fs24\lang2057\langfe2057\cgrid\langnp2057\langfenp2057 \sbasedon0 \snext26 \spriority0 \styrsid9010838 NormalBold12b;}}{\*\rsidtbl \rsid24658\rsid223860\rsid735077\rsid1007922\rsid1718133\rsid2892074\rsid3565327\rsid4666813\rsid6641733\rsid7823322&#13;_x000a_\rsid9010838\rsid9636012\rsid10377208\rsid11215221\rsid11225070\rsid11549030\rsid12154954\rsid14382809\rsid14424199\rsid15204470\rsid15285974\rsid15950462\rsid16324206\rsid16662270}{\mmathPr\mmathFont34\mbrkBin0\mbrkBinSub0\msmallFrac0\mdispDef1\mlMargin0&#13;_x000a_\mrMargin0\mdefJc1\mwrapIndent1440\mintLim0\mnaryLim1}{\info{\author ATES Devrim}{\operator ATES Devrim}{\creatim\yr2026\mo7\dy6\hr11\min40}{\revtim\yr2026\mo7\dy6\hr11\min40}{\version1}{\edmins0}{\nofpages1}{\nofwords103}{\nofchars598}{\nofcharsws696}&#13;_x000a_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9010838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ates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007922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0792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0792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07922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2\ql \li0\ri0\sb240\keepn\nowidctlpar&#13;_x000a_\tx879\tx936\tx1021\tx1077\tx1134\tx1191\tx1247\tx1304\tx1361\tx1418\tx1474\tx1531\tx1588\tx1644\tx1701\tx1758\tx1814\tx1871\tx2070\tx2126\tx3374\tx3430\wrapdefault\aspalpha\aspnum\faauto\adjustright\rin0\lin0\itap0\pararsid15363552 \rtlch\fcs1 &#13;_x000a_\af0\afs20\alang1025 \ltrch\fcs0 \b\fs24\lang2057\langfe2057\cgrid\langnp2057\langfenp2057 {\rtlch\fcs1 \af0 \ltrch\fcs0 \cs17\b0\v\fs20\cf9\lang1024\langfe1024\loch\af1\hich\af1\dbch\af31501\noproof\insrsid9010838\charrsid8798805 {\*\bkmkstart restart}&#13;_x000a_\hich\af1\dbch\af31501\loch\f1 &lt;Amend&gt;}{\rtlch\fcs1 \af0 \ltrch\fcs0 \insrsid9010838\charrsid8798805 Amendment\tab \tab }{\rtlch\fcs1 \af0 \ltrch\fcs0 &#13;_x000a_\cs17\b0\v\fs20\cf9\lang1024\langfe1024\loch\af1\hich\af1\dbch\af31501\noproof\insrsid9010838\charrsid8798805 \hich\af1\dbch\af31501\loch\f1 &lt;NumAm&gt;}{\rtlch\fcs1 \af0 \ltrch\fcs0 \insrsid9010838\charrsid8798805 #}{\rtlch\fcs1 \af0 \ltrch\fcs0 &#13;_x000a_\cs18\v\f1\fs20\cf15\insrsid9010838\charrsid8798805 ENMIENDA@NRAM@}{\rtlch\fcs1 \af0 \ltrch\fcs0 \insrsid9010838\charrsid8798805 #}{\rtlch\fcs1 \af0 \ltrch\fcs0 &#13;_x000a_\cs17\b0\v\fs20\cf9\lang1024\langfe1024\loch\af1\hich\af1\dbch\af31501\noproof\insrsid9010838\charrsid8798805 \hich\af1\dbch\af31501\loch\f1 &lt;/NumAm&gt;}{\rtlch\fcs1 \af0 \ltrch\fcs0 \insrsid9010838\charrsid8798805 &#13;_x000a_\par }\pard\plain \ltrpar\s26\ql \li0\ri0\sb240\keepn\nowidctlpar\wrapdefault\aspalpha\aspnum\faauto\adjustright\rin0\lin0\itap0\pararsid15363552 \rtlch\fcs1 \af0\afs20\alang1025 \ltrch\fcs0 \b\fs24\lang2057\langfe2057\cgrid\langnp2057\langfenp2057 {&#13;_x000a_\rtlch\fcs1 \af0 \ltrch\fcs0 \cs17\b0\v\fs20\cf9\lang1024\langfe1024\loch\af1\hich\af1\dbch\af31501\noproof\insrsid9010838\charrsid8798805 \hich\af1\dbch\af31501\loch\f1 &lt;DocAmend&gt;}{\rtlch\fcs1 \af0 \ltrch\fcs0 \insrsid9010838\charrsid8798805 #}{&#13;_x000a_\rtlch\fcs1 \af0 \ltrch\fcs0 \cs18\v\f1\fs20\cf15\insrsid9010838\charrsid8798805 MNU[PROPCOM][PROPCOUNC]@CHOICE@TITLEMNU}{\rtlch\fcs1 \af0 \ltrch\fcs0 \insrsid9010838\charrsid8798805 ##}{\rtlch\fcs1 \af0 \ltrch\fcs0 &#13;_x000a_\cs18\v\f1\fs20\cf15\insrsid9010838\charrsid8798805 MNU[AMACTYES][NOTAPP]@CHOICE@AMACTMNU}{\rtlch\fcs1 \af0 \ltrch\fcs0 \insrsid9010838\charrsid8798805 #}{\rtlch\fcs1 \af0 \ltrch\fcs0 &#13;_x000a_\cs17\b0\v\fs20\cf9\lang1024\langfe1024\loch\af1\hich\af1\dbch\af31501\noproof\insrsid9010838\charrsid8798805 \hich\af1\dbch\af31501\loch\f1 &lt;/DocAmend&gt;}{\rtlch\fcs1 \af0 \ltrch\fcs0 \insrsid9010838\charrsid8798805 &#13;_x000a_\par }\pard\plain \ltrpar\s19\ql \li0\ri0\nowidctlpar\wrapdefault\aspalpha\aspnum\faauto\adjustright\rin0\lin0\itap0\pararsid15363552 \rtlch\fcs1 \af0\afs20\alang1025 \ltrch\fcs0 \b\fs24\lang2057\langfe2057\cgrid\langnp2057\langfenp2057 {\rtlch\fcs1 \af0 &#13;_x000a_\ltrch\fcs0 \cs17\b0\v\fs20\cf9\lang1024\langfe1024\loch\af1\hich\af1\dbch\af31501\noproof\insrsid9010838\charrsid8798805 \hich\af1\dbch\af31501\loch\f1 &lt;Article&gt;}{\rtlch\fcs1 \af0 \ltrch\fcs0 \insrsid9010838\charrsid8798805 #}{\rtlch\fcs1 \af0 &#13;_x000a_\ltrch\fcs0 \cs18\v\f1\fs20\cf15\insrsid9010838\charrsid8798805 MNU[AMACTPARTYES][AMACTPARTNO]@CHOICE@AMACTMNU}{\rtlch\fcs1 \af0 \ltrch\fcs0 \insrsid9010838\charrsid8798805 #}{\rtlch\fcs1 \af0 \ltrch\fcs0 &#13;_x000a_\cs17\b0\v\fs20\cf9\lang1024\langfe1024\loch\af1\hich\af1\dbch\af31501\noproof\insrsid9010838\charrsid8798805 \hich\af1\dbch\af31501\loch\f1 &lt;/Article&gt;}{\rtlch\fcs1 \af0 \ltrch\fcs0 \insrsid9010838\charrsid8798805 &#13;_x000a_\par }\pard\plain \ltrpar\ql \li0\ri0\keepn\widctlpar\wrapdefault\aspalpha\aspnum\faauto\adjustright\rin0\lin0\itap0\pararsid15363552 \rtlch\fcs1 \af0\afs20\alang1025 \ltrch\fcs0 \fs24\lang2057\langfe2057\cgrid\langnp2057\langfenp2057 {\rtlch\fcs1 \af0 &#13;_x000a_\ltrch\fcs0 \cs17\v\fs20\cf9\lang1024\langfe1024\loch\af1\hich\af1\dbch\af31501\noproof\insrsid9010838\charrsid8798805 \hich\af1\dbch\af31501\loch\f1 &lt;DocAmend2&gt;&lt;OptDel&gt;}{\rtlch\fcs1 \af0 \ltrch\fcs0 \insrsid9010838\charrsid8798805 #}{\rtlch\fcs1 \af0 &#13;_x000a_\ltrch\fcs0 \cs18\v\f1\fs20\cf15\insrsid9010838\charrsid8798805 MNU[OPTNRACTYES][NOTAPP]@CHOICE@AMACTMNU}{\rtlch\fcs1 \af0 \ltrch\fcs0 \insrsid9010838\charrsid8798805 #}{\rtlch\fcs1 \af0 \ltrch\fcs0 &#13;_x000a_\cs17\v\fs20\cf9\lang1024\langfe1024\loch\af1\hich\af1\dbch\af31501\noproof\insrsid9010838\charrsid8798805 \hich\af1\dbch\af31501\loch\f1 &lt;/OptDel&gt;&lt;/DocAmend2&gt;}{\rtlch\fcs1 \af0 \ltrch\fcs0 \insrsid9010838\charrsid8798805 &#13;_x000a_\par }\pard \ltrpar\ql \li0\ri0\widctlpar\wrapdefault\aspalpha\aspnum\faauto\adjustright\rin0\lin0\itap0\pararsid15363552 {\rtlch\fcs1 \af0 \ltrch\fcs0 \cs17\v\fs20\cf9\lang1024\langfe1024\loch\af1\hich\af1\dbch\af31501\noproof\insrsid9010838\charrsid8798805 &#13;_x000a_\hich\af1\dbch\af31501\loch\f1 &lt;Article2&gt;&lt;OptDel&gt;}{\rtlch\fcs1 \af0 \ltrch\fcs0 \insrsid9010838\charrsid8798805 #}{\rtlch\fcs1 \af0 \ltrch\fcs0 \cs18\v\f1\fs20\cf15\insrsid9010838\charrsid8798805 MNU[OPTACTPARTYES][NOTAPP]@CHOICE@AMACTMNU}{\rtlch\fcs1 &#13;_x000a_\af0 \ltrch\fcs0 \insrsid9010838\charrsid8798805 #}{\rtlch\fcs1 \af0 \ltrch\fcs0 \cs17\v\fs20\cf9\lang1024\langfe1024\loch\af1\hich\af1\dbch\af31501\noproof\insrsid9010838\charrsid8798805 \hich\af1\dbch\af31501\loch\f1 &lt;/OptDel&gt;&lt;/Article2&gt;}{\rtlch\fcs1 &#13;_x000a_\af0 \ltrch\fcs0 \insrsid9010838\charrsid8798805 &#13;_x000a_\par \ltrrow}\trowd \ltrrow\ts11\trqc\trgaph340\trleft-340\trftsWidth3\trftsWidthB3\trpaddl340\trpaddr340\trpaddfl3\trpaddft3\trpaddfb3\trpaddfr3\tblrsid11085200\tbllkhdrrows\tbllkhdrcols\tbllknocolband\tblind0\tblindtype3 \clvertalt\clbrdrt\brdrtbl \clbrdrl&#13;_x000a_\brdrtbl \clbrdrb\brdrtbl \clbrdrr\brdrtbl \cltxlrtb\clftsWidth3\clwWidth9752\clshdrawnil \cellx9412\pard \ltrpar\ql \li0\ri0\keepn\widctlpar\intbl\wrapdefault\aspalpha\aspnum\faauto\adjustright\rin0\lin0\pararsid11085200 {\rtlch\fcs1 \af0 \ltrch\fcs0 &#13;_x000a_\insrsid9010838\charrsid8798805 \cell }\pard \ltrpar\ql \li0\ri0\widctlpar\intbl\wrapdefault\aspalpha\aspnum\faauto\adjustright\rin0\lin0 {\rtlch\fcs1 \af0 \ltrch\fcs0 \insrsid9010838\charrsid8798805 \trowd \ltrrow&#13;_x000a_\ts11\trqc\trgaph340\trleft-340\trftsWidth3\trftsWidthB3\trpaddl340\trpaddr340\trpaddfl3\trpaddft3\trpaddfb3\trpaddfr3\tblrsid11085200\tbllkhdrrows\tbllkhdrcols\tbllknocolband\tblind0\tblindtype3 \clvertalt\clbrdrt\brdrtbl \clbrdrl\brdrtbl \clbrdrb&#13;_x000a_\brdrtbl \clbrdrr\brdrtbl \cltxlrtb\clftsWidth3\clwWidth9752\clshdrawnil \cellx9412\row \ltrrow}\trowd \ltrrow&#13;_x000a_\ts11\trqc\trgaph340\trleft-340\trftsWidth3\trftsWidthB3\trpaddl340\trpaddr340\trpaddfl3\trpaddft3\trpaddfb3\trpaddfr3\tblrsid11085200\tbllkhdrrows\tbllkhdrcols\tbllknocolband\tblind0\tblindtype3 \clvertalt\clbrdrt\brdrtbl \clbrdrl\brdrtbl \clbrdrb&#13;_x000a_\brdrtbl \clbrdrr\brdrtbl \cltxlrtb\clftsWidth3\clwWidth4876\clshdrawnil\clhidemark \cellx4536\clvertalt\clbrdrt\brdrtbl \clbrdrl\brdrtbl \clbrdrb\brdrtbl \clbrdrr\brdrtbl \cltxlrtb\clftsWidth3\clwWidth4876\clshdrawnil\clhidemark \cellx9412&#13;_x000a_\pard\plain \ltrpar\s21\qc \li0\ri0\sa240\keepn\nowidctlpar\intbl\wrapdefault\aspalpha\aspnum\faauto\adjustright\rin0\lin0\pararsid11085200 \rtlch\fcs1 \af0\afs20\alang1025 \ltrch\fcs0 \i\fs24\lang2057\langfe2057\cgrid\langnp2057\langfenp2057 {&#13;_x000a_\rtlch\fcs1 \af0 \ltrch\fcs0 \insrsid9010838\charrsid8798805 #}{\rtlch\fcs1 \af0 \ltrch\fcs0 \cs18\v\f1\fs20\cf15\insrsid9010838\charrsid8798805 MNU[OPTLEFTAMACT][LEFTPROP]@CHOICE@AMACTMNU}{\rtlch\fcs1 \af0 \ltrch\fcs0 \insrsid9010838\charrsid8798805 #&#13;_x000a_\cell Amendment\cell }\pard\plain \ltrpar\ql \li0\ri0\widctlpar\intbl\wrapdefault\aspalpha\aspnum\faauto\adjustright\rin0\lin0 \rtlch\fcs1 \af0\afs20\alang1025 \ltrch\fcs0 \fs24\lang2057\langfe2057\cgrid\langnp2057\langfenp2057 {\rtlch\fcs1 \af0 &#13;_x000a_\ltrch\fcs0 \insrsid9010838\charrsid8798805 \trowd \ltrrow\ts11\trqc\trgaph340\trleft-340\trftsWidth3\trftsWidthB3\trpaddl340\trpaddr340\trpaddfl3\trpaddft3\trpaddfb3\trpaddfr3\tblrsid11085200\tbllkhdrrows\tbllkhdrcols\tbllknocolband\tblind0\tblindtype3 &#13;_x000a_\clvertalt\clbrdrt\brdrtbl \clbrdrl\brdrtbl \clbrdrb\brdrtbl \clbrdrr\brdrtbl \cltxlrtb\clftsWidth3\clwWidth4876\clshdrawnil\clhidemark \cellx4536\clvertalt\clbrdrt\brdrtbl \clbrdrl\brdrtbl \clbrdrb\brdrtbl \clbrdrr\brdrtbl &#13;_x000a_\cltxlrtb\clftsWidth3\clwWidth4876\clshdrawnil\clhidemark \cellx9412\row \ltrrow}\pard\plain \ltrpar\s20\ql \li0\ri0\sa120\nowidctlpar\intbl\wrapdefault\aspalpha\aspnum\faauto\adjustright\rin0\lin0\pararsid11085200 \rtlch\fcs1 \af0\afs20\alang1025 &#13;_x000a_\ltrch\fcs0 \fs24\lang2057\langfe2057\cgrid\langnp2057\langfenp2057 {\rtlch\fcs1 \af0 \ltrch\fcs0 \insrsid9010838\charrsid8798805 #}{\rtlch\fcs1 \af0 \ltrch\fcs0 \cs18\v\f1\fs20\cf15\insrsid9010838\charrsid8798805 MNU[TEXTLEVA][TEXTLOTHER]@CHOICE@TEXTRMNU&#13;_x000a_}{\rtlch\fcs1 \af0 \ltrch\fcs0 \insrsid9010838\charrsid8798805 #\cell #}{\rtlch\fcs1 \af0 \ltrch\fcs0 \cs18\v\f1\fs20\cf15\insrsid9010838\charrsid8798805 MNU[TEXTREVA][TEXTROTHER]@CHOICE@TEXTRMNU}{\rtlch\fcs1 \af0 \ltrch\fcs0 &#13;_x000a_\insrsid9010838\charrsid8798805 #\cell }\pard\plain \ltrpar\ql \li0\ri0\widctlpar\intbl\wrapdefault\aspalpha\aspnum\faauto\adjustright\rin0\lin0 \rtlch\fcs1 \af0\afs20\alang1025 \ltrch\fcs0 \fs24\lang2057\langfe2057\cgrid\langnp2057\langfenp2057 {&#13;_x000a_\rtlch\fcs1 \af0 \ltrch\fcs0 \insrsid9010838\charrsid8798805 \trowd \lastrow \ltrrow&#13;_x000a_\ts11\trqc\trgaph340\trleft-340\trftsWidth3\trftsWidthB3\trpaddl340\trpaddr340\trpaddfl3\trpaddft3\trpaddfb3\trpaddfr3\tblrsid11085200\tbllkhdrrows\tbllkhdrcols\tbllknocolband\tblind0\tblindtype3 \clvertalt\clbrdrt\brdrtbl \clbrdrl\brdrtbl \clbrdrb&#13;_x000a_\brdrtbl \clbrdrr\brdrtbl \cltxlrtb\clftsWidth3\clwWidth4876\clshdrawnil\clhidemark \cellx4536\clvertalt\clbrdrt\brdrtbl \clbrdrl\brdrtbl \clbrdrb\brdrtbl \clbrdrr\brdrtbl \cltxlrtb\clftsWidth3\clwWidth4876\clshdrawnil\clhidemark \cellx9412\row &#13;_x000a_}\pard\plain \ltrpar\s24\qc \li0\ri0\sb240\sa240\nowidctlpar\wrapdefault\aspalpha\aspnum\faauto\adjustright\rin0\lin0\itap0\pararsid15363552 \rtlch\fcs1 \af0\afs20\alang1025 \ltrch\fcs0 \i\fs24\lang2057\langfe2057\cgrid\langnp2057\langfenp2057 {&#13;_x000a_\rtlch\fcs1 \af0 \ltrch\fcs0 \cs17\i0\v\fs20\cf9\lang1024\langfe1024\loch\af1\hich\af1\dbch\af31501\noproof\insrsid9010838\charrsid8798805 \hich\af1\dbch\af31501\loch\f1 &lt;OptDel&gt;}{\rtlch\fcs1 \af0 \ltrch\fcs0 \insrsid9010838\charrsid8798805 #}{&#13;_x000a_\rtlch\fcs1 \af0 \ltrch\fcs0 \cs18\v\f1\fs20\cf15\insrsid9010838\charrsid8798805 MNU[CROSSREFNO][CROSSREFYES]@CHOICE@}{\rtlch\fcs1 \af0 \ltrch\fcs0 \insrsid9010838\charrsid8798805 #}{\rtlch\fcs1 \af0 \ltrch\fcs0 &#13;_x000a_\cs17\i0\v\fs20\cf9\lang1024\langfe1024\loch\af1\hich\af1\dbch\af31501\noproof\insrsid9010838\charrsid8798805 \hich\af1\dbch\af31501\loch\f1 &lt;/OptDel&gt;}{\rtlch\fcs1 \af0 \ltrch\fcs0 \insrsid9010838\charrsid8798805 &#13;_x000a_\par }\pard\plain \ltrpar\s25\qc \li0\ri0\sb240\sa240\keepn\nowidctlpar\wrapdefault\aspalpha\aspnum\faauto\adjustright\rin0\lin0\itap0\pararsid15363552 \rtlch\fcs1 \af0\afs20\alang1025 \ltrch\fcs0 \i\fs24\lang2057\langfe2057\cgrid\langnp2057\langfenp2057 {&#13;_x000a_\rtlch\fcs1 \af0 \ltrch\fcs0 \cs17\i0\v\fs20\cf9\lang1024\langfe1024\loch\af1\hich\af1\dbch\af31501\noproof\insrsid9010838\charrsid8798805 \hich\af1\dbch\af31501\loch\f1 &lt;TitreJust&gt;}{\rtlch\fcs1 \af0 \ltrch\fcs0 \insrsid9010838\charrsid8798805 &#13;_x000a_Justification}{\rtlch\fcs1 \af0 \ltrch\fcs0 \cs17\i0\v\fs20\cf9\lang1024\langfe1024\loch\af1\hich\af1\dbch\af31501\noproof\insrsid9010838\charrsid8798805 \hich\af1\dbch\af31501\loch\f1 &lt;/TitreJust&gt;}{\rtlch\fcs1 \af0 \ltrch\fcs0 &#13;_x000a_\insrsid9010838\charrsid8798805 &#13;_x000a_\par }\pard\plain \ltrpar\s23\ql \li0\ri0\sa240\nowidctlpar\wrapdefault\aspalpha\aspnum\faauto\adjustright\rin0\lin0\itap0\pararsid15363552 \rtlch\fcs1 \af0\afs20\alang1025 \ltrch\fcs0 \i\fs24\lang2057\langfe2057\cgrid\langnp2057\langfenp2057 {\rtlch\fcs1 &#13;_x000a_\af0 \ltrch\fcs0 \cs17\i0\v\fs20\cf9\lang1024\langfe1024\loch\af1\hich\af1\dbch\af31501\noproof\insrsid9010838\charrsid8798805 \hich\af1\dbch\af31501\loch\f1 &lt;OptDelPrev&gt;}{\rtlch\fcs1 \af0 \ltrch\fcs0 \insrsid9010838\charrsid8798805 #}{\rtlch\fcs1 \af0 &#13;_x000a_\ltrch\fcs0 \cs18\v\f1\fs20\cf15\insrsid9010838\charrsid8798805 MNU[TEXTJUSTYES][TEXTJUSTNO]@CHOICE@}{\rtlch\fcs1 \af0 \ltrch\fcs0 \insrsid9010838\charrsid8798805 #}{\rtlch\fcs1 \af0 \ltrch\fcs0 &#13;_x000a_\cs17\i0\v\fs20\cf9\lang1024\langfe1024\loch\af1\hich\af1\dbch\af31501\noproof\insrsid9010838\charrsid8798805 \hich\af1\dbch\af31501\loch\f1 &lt;/OptDelPrev&gt;}{\rtlch\fcs1 \af0 \ltrch\fcs0 \insrsid9010838\charrsid8798805 &#13;_x000a_\par }\pard\plain \ltrpar\ql \li0\ri0\widctlpar\wrapdefault\aspalpha\aspnum\faauto\adjustright\rin0\lin0\itap0\pararsid15363552 \rtlch\fcs1 \af0\afs20\alang1025 \ltrch\fcs0 \fs24\lang2057\langfe2057\cgrid\langnp2057\langfenp2057 {\rtlch\fcs1 \af0 \ltrch\fcs0 &#13;_x000a_\cs17\v\fs20\cf9\lang1024\langfe1024\loch\af1\hich\af1\dbch\af31501\noproof\insrsid9010838\charrsid8798805 \hich\af1\dbch\af31501\loch\f1 &lt;/Amend&gt;}{\rtlch\fcs1 \af0 \ltrch\fcs0 \insrsid9010838\charrsid16324206 {\*\bkmkend restart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56&#13;_x000a_7f742b0d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2\fbidi \froman\fcharset238\fprq2 Times New Roman CE;}{\f53\fbidi \froman\fcharset204\fprq2 Times New Roman Cyr;}&#13;_x000a_{\f55\fbidi \froman\fcharset161\fprq2 Times New Roman Greek;}{\f56\fbidi \froman\fcharset162\fprq2 Times New Roman Tur;}{\f57\fbidi \froman\fcharset177\fprq2 Times New Roman (Hebrew);}{\f58\fbidi \froman\fcharset178\fprq2 Times New Roman (Arabic);}&#13;_x000a_{\f59\fbidi \froman\fcharset186\fprq2 Times New Roman Baltic;}{\f60\fbidi \froman\fcharset163\fprq2 Times New Roman (Vietnamese);}{\f62\fbidi \fswiss\fcharset238\fprq2 Arial CE;}{\f63\fbidi \fswiss\fcharset204\fprq2 Arial Cyr;}&#13;_x000a_{\f65\fbidi \fswiss\fcharset161\fprq2 Arial Greek;}{\f66\fbidi \fswiss\fcharset162\fprq2 Arial Tur;}{\f67\fbidi \fswiss\fcharset177\fprq2 Arial (Hebrew);}{\f68\fbidi \fswiss\fcharset178\fprq2 Arial (Arabic);}&#13;_x000a_{\f69\fbidi \fswiss\fcharset186\fprq2 Arial Baltic;}{\f70\fbidi \fswiss\fcharset163\fprq2 Arial (Vietnamese);}{\f392\fbidi \froman\fcharset238\fprq2 Cambria Math CE;}{\f393\fbidi \froman\fcharset204\fprq2 Cambria Math Cyr;}&#13;_x000a_{\f395\fbidi \froman\fcharset161\fprq2 Cambria Math Greek;}{\f396\fbidi \froman\fcharset162\fprq2 Cambria Math Tur;}{\f399\fbidi \froman\fcharset186\fprq2 Cambria Math Baltic;}{\f400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1285722 HideTWBExt;}{&#13;_x000a_\s18\ql \li0\ri0\nowidctlpar\wrapdefault\aspalpha\aspnum\faauto\adjustright\rin0\lin0\itap0 \rtlch\fcs1 \af0\afs20\alang1025 \ltrch\fcs0 \b\fs24\lang2057\langfe2057\cgrid\langnp2057\langfenp2057 \sbasedon0 \snext18 \spriority0 \styrsid11285722 &#13;_x000a_NormalBold;}{\s19\ql \li0\ri0\sa120\nowidctlpar\wrapdefault\aspalpha\aspnum\faauto\adjustright\rin0\lin0\itap0 \rtlch\fcs1 \af0\afs20\alang1025 \ltrch\fcs0 \fs24\lang2057\langfe2057\cgrid\langnp2057\langfenp2057 &#13;_x000a_\sbasedon0 \snext19 \spriority0 \styrsid11285722 Normal6a;}{\s20\qc \li0\ri0\sa240\nowidctlpar\wrapdefault\aspalpha\aspnum\faauto\adjustright\rin0\lin0\itap0 \rtlch\fcs1 \af0\afs20\alang1025 \ltrch\fcs0 &#13;_x000a_\i\fs24\lang2057\langfe2057\cgrid\langnp2057\langfenp2057 \sbasedon0 \snext20 \spriority0 \styrsid11285722 AmColumnHeading;}{\s21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1 \spriority0 \styrsid11285722 AmNumberTabs;}{\s22\ql \li0\ri0\sa240\nowidctlpar\wrapdefault\aspalpha\aspnum\faauto\adjustright\rin0\lin0\itap0 \rtlch\fcs1 &#13;_x000a_\af0\afs20\alang1025 \ltrch\fcs0 \i\fs24\lang2057\langfe2057\cgrid\langnp2057\langfenp2057 \sbasedon0 \snext22 \spriority0 \styrsid11285722 AmJustText;}{&#13;_x000a_\s23\qc \li0\ri0\sb240\sa240\nowidctlpar\wrapdefault\aspalpha\aspnum\faauto\adjustright\rin0\lin0\itap0 \rtlch\fcs1 \af0\afs20\alang1025 \ltrch\fcs0 \i\fs24\lang2057\langfe2057\cgrid\langnp2057\langfenp2057 &#13;_x000a_\sbasedon0 \snext23 \spriority0 \styrsid11285722 AmCrossRef;}{\s24\qc \li0\ri0\sb240\sa240\keepn\nowidctlpar\wrapdefault\aspalpha\aspnum\faauto\adjustright\rin0\lin0\itap0 \rtlch\fcs1 \af0\afs20\alang1025 \ltrch\fcs0 &#13;_x000a_\i\fs24\lang2057\langfe2057\cgrid\langnp2057\langfenp2057 \sbasedon0 \snext22 \spriority0 \styrsid11285722 AmJustTitle;}{\s25\ql \li0\ri0\sb240\nowidctlpar\wrapdefault\aspalpha\aspnum\faauto\adjustright\rin0\lin0\itap0 \rtlch\fcs1 \af0\afs20\alang1025 &#13;_x000a_\ltrch\fcs0 \b\fs24\lang2057\langfe2057\cgrid\langnp2057\langfenp2057 \sbasedon0 \snext25 \spriority0 \styrsid11285722 NormalBold12b;}}{\*\rsidtbl \rsid24658\rsid223860\rsid735077\rsid1718133\rsid2892074\rsid3565327\rsid4539522\rsid4666813\rsid6641733&#13;_x000a_\rsid7823322\rsid9636012\rsid10377208\rsid11215221\rsid11225070\rsid11285722\rsid11549030\rsid12154954\rsid14382809\rsid14424199\rsid15204470\rsid15285974\rsid15950462\rsid16324206\rsid16662270}{\mmathPr\mmathFont34\mbrkBin0\mbrkBinSub0\msmallFrac0&#13;_x000a_\mdispDef1\mlMargin0\mrMargin0\mdefJc1\mwrapIndent1440\mintLim0\mnaryLim1}{\info{\author ATES Devrim}{\operator ATES Devrim}{\creatim\yr2026\mo7\dy6\hr11\min40}{\revtim\yr2026\mo7\dy6\hr11\min40}{\version1}{\edmins0}{\nofpages1}{\nofwords54}{\nofchars313}&#13;_x000a_{\nofcharsws364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1285722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ates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4539522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453952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453952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4539522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1\ql \li0\ri0\sb240\keepn\nowidctlpar&#13;_x000a_\tx879\tx936\tx1021\tx1077\tx1134\tx1191\tx1247\tx1304\tx1361\tx1418\tx1474\tx1531\tx1588\tx1644\tx1701\tx1758\tx1814\tx1871\tx2070\tx2126\tx3374\tx3430\wrapdefault\aspalpha\aspnum\faauto\adjustright\rin0\lin0\itap0\pararsid6293919 \rtlch\fcs1 &#13;_x000a_\af0\afs20\alang1025 \ltrch\fcs0 \b\fs24\lang2057\langfe2057\cgrid\langnp2057\langfenp2057 {\rtlch\fcs1 \af0 \ltrch\fcs0 \cs17\b0\v\fs20\cf9\lang1024\langfe1024\loch\af1\hich\af1\dbch\af31501\noproof\langnp1030\insrsid11285722 {\*\bkmkstart restart}&#13;_x000a_\hich\af1\dbch\af31501\loch\f1 &lt;Amend&gt;}{\rtlch\fcs1 \af0 \ltrch\fcs0 \lang1030\langfe2057\langnp1030\insrsid11285722 [ZAMENDMENT]\tab \tab }{\rtlch\fcs1 \af0 \ltrch\fcs0 &#13;_x000a_\cs17\b0\v\fs20\cf9\lang1024\langfe1024\loch\af1\hich\af1\dbch\af31501\noproof\langnp1030\insrsid11285722 \hich\af1\dbch\af31501\loch\f1 &lt;NumAm&gt;}{\rtlch\fcs1 \af0 \ltrch\fcs0 \lang1030\langfe2057\langnp1030\insrsid11285722 [ZNRAM]}{\rtlch\fcs1 \af0 &#13;_x000a_\ltrch\fcs0 \cs17\b0\v\fs20\cf9\lang1024\langfe1024\loch\af1\hich\af1\dbch\af31501\noproof\langnp1030\insrsid11285722 \hich\af1\dbch\af31501\loch\f1 &lt;/NumAm&gt;}{\rtlch\fcs1 \af0 \ltrch\fcs0 \lang1030\langfe2057\langnp1030\insrsid11285722 &#13;_x000a_\par }\pard\plain \ltrpar\s25\ql \li0\ri0\sb240\keepn\nowidctlpar\wrapdefault\aspalpha\aspnum\faauto\adjustright\rin0\lin0\itap0\pararsid6293919 \rtlch\fcs1 \af0\afs20\alang1025 \ltrch\fcs0 \b\fs24\lang2057\langfe2057\cgrid\langnp2057\langfenp2057 {&#13;_x000a_\rtlch\fcs1 \af0 \ltrch\fcs0 \cs17\b0\v\fs20\cf9\lang1024\langfe1024\loch\af1\hich\af1\dbch\af31501\noproof\langnp1030\insrsid11285722 \hich\af1\dbch\af31501\loch\f1 &lt;DocAmend&gt;}{\rtlch\fcs1 \af0 \ltrch\fcs0 \lang1030\langfe2057\langnp1030\insrsid11285722 &#13;_x000a_[ZPROPOSAL][ZAMACT]}{\rtlch\fcs1 \af0 \ltrch\fcs0 \cs17\b0\v\fs20\cf9\lang1024\langfe1024\loch\af1\hich\af1\dbch\af31501\noproof\langnp1030\insrsid11285722 \hich\af1\dbch\af31501\loch\f1 &lt;/DocAmend&gt;}{\rtlch\fcs1 \af0 \ltrch\fcs0 &#13;_x000a_\lang1030\langfe2057\langnp1030\insrsid11285722 &#13;_x000a_\par }\pard\plain \ltrpar\s18\ql \li0\ri0\nowidctlpar\wrapdefault\aspalpha\aspnum\faauto\adjustright\rin0\lin0\itap0\pararsid6293919 \rtlch\fcs1 \af0\afs20\alang1025 \ltrch\fcs0 \b\fs24\lang2057\langfe2057\cgrid\langnp2057\langfenp2057 {\rtlch\fcs1 \af0 &#13;_x000a_\ltrch\fcs0 \cs17\b0\v\fs20\cf9\lang1024\langfe1024\loch\af1\hich\af1\dbch\af31501\noproof\langnp1030\insrsid11285722 \hich\af1\dbch\af31501\loch\f1 &lt;Article&gt;}{\rtlch\fcs1 \af0 \ltrch\fcs0 \lang1030\langfe2057\langnp1030\insrsid11285722 [ZAMPART]}{&#13;_x000a_\rtlch\fcs1 \af0 \ltrch\fcs0 \cs17\b0\v\fs20\cf9\lang1024\langfe1024\loch\af1\hich\af1\dbch\af31501\noproof\langnp1030\insrsid11285722 \hich\af1\dbch\af31501\loch\f1 &lt;/Article&gt;}{\rtlch\fcs1 \af0 \ltrch\fcs0 \lang1030\langfe2057\langnp1030\insrsid11285722 &#13;_x000a_&#13;_x000a_\par }\pard\plain \ltrpar\ql \li0\ri0\keepn\widctlpar\wrapdefault\aspalpha\aspnum\faauto\adjustright\rin0\lin0\itap0\pararsid6293919 \rtlch\fcs1 \af0\afs20\alang1025 \ltrch\fcs0 \fs24\lang2057\langfe2057\cgrid\langnp2057\langfenp2057 {\rtlch\fcs1 \af0 &#13;_x000a_\ltrch\fcs0 \cs17\v\fs20\cf9\lang1024\langfe1024\loch\af1\hich\af1\dbch\af31501\noproof\langnp1030\insrsid11285722 \hich\af1\dbch\af31501\loch\f1 &lt;DocAmend2&gt;&lt;OptDel&gt;}{\rtlch\fcs1 \af0 \ltrch\fcs0 \lang1030\langfe2057\langnp1030\insrsid11285722 [ZNRACT]}{&#13;_x000a_\rtlch\fcs1 \af0 \ltrch\fcs0 \cs17\v\fs20\cf9\lang1024\langfe1024\loch\af1\hich\af1\dbch\af31501\noproof\langnp1030\insrsid11285722 \hich\af1\dbch\af31501\loch\f1 &lt;/OptDel&gt;&lt;/DocAmend2&gt;}{\rtlch\fcs1 \af0 \ltrch\fcs0 &#13;_x000a_\lang1030\langfe2057\langnp1030\insrsid11285722 &#13;_x000a_\par }\pard \ltrpar\ql \li0\ri0\widctlpar\wrapdefault\aspalpha\aspnum\faauto\adjustright\rin0\lin0\itap0\pararsid6293919 {\rtlch\fcs1 \af0 \ltrch\fcs0 \cs17\v\fs20\cf9\lang1024\langfe1024\loch\af1\hich\af1\dbch\af31501\noproof\langnp1036\insrsid11285722 &#13;_x000a_\hich\af1\dbch\af31501\loch\f1 &lt;Article2&gt;&lt;OptDel&gt;}{\rtlch\fcs1 \af0 \ltrch\fcs0 \lang1036\langfe2057\langnp1036\insrsid11285722 [ZACTPART]}{\rtlch\fcs1 \af0 \ltrch\fcs0 &#13;_x000a_\cs17\v\fs20\cf9\lang1024\langfe1024\loch\af1\hich\af1\dbch\af31501\noproof\langnp1036\insrsid11285722 \hich\af1\dbch\af31501\loch\f1 &lt;/OptDel&gt;&lt;/Article2&gt;}{\rtlch\fcs1 \af0 \ltrch\fcs0 \lang1036\langfe2057\langnp1036\insrsid11285722 &#13;_x000a_\par \ltrrow}\trowd \ltrrow\ts11\trqc\trgaph340\trleft-340\trftsWidth3\trftsWidthB3\trpaddl340\trpaddr340\trpaddfl3\trpaddft3\trpaddfb3\trpaddfr3\tblrsid11085200\tbllkhdrrows\tbllkhdrcols\tbllknocolband\tblind0\tblindtype3 \clvertalt\clbrdrt\brdrtbl \clbrdrl&#13;_x000a_\brdrtbl \clbrdrb\brdrtbl \clbrdrr\brdrtbl \cltxlrtb\clftsWidth3\clwWidth9752\clshdrawnil \cellx9412\pard \ltrpar\ql \li0\ri0\keepn\widctlpar\intbl\wrapdefault\aspalpha\aspnum\faauto\adjustright\rin0\lin0\pararsid11085200 {\rtlch\fcs1 \af0 \ltrch\fcs0 &#13;_x000a_\lang1036\langfe2057\langnp1036\insrsid11285722 \cell }\pard \ltrpar\ql \li0\ri0\widctlpar\intbl\wrapdefault\aspalpha\aspnum\faauto\adjustright\rin0\lin0 {\rtlch\fcs1 \af0 \ltrch\fcs0 \insrsid11285722 \trowd \ltrrow&#13;_x000a_\ts11\trqc\trgaph340\trleft-340\trftsWidth3\trftsWidthB3\trpaddl340\trpaddr340\trpaddfl3\trpaddft3\trpaddfb3\trpaddfr3\tblrsid11085200\tbllkhdrrows\tbllkhdrcols\tbllknocolband\tblind0\tblindtype3 \clvertalt\clbrdrt\brdrtbl \clbrdrl\brdrtbl \clbrdrb&#13;_x000a_\brdrtbl \clbrdrr\brdrtbl \cltxlrtb\clftsWidth3\clwWidth9752\clshdrawnil \cellx9412\row \ltrrow}\trowd \ltrrow&#13;_x000a_\ts11\trqc\trgaph340\trleft-340\trftsWidth3\trftsWidthB3\trpaddl340\trpaddr340\trpaddfl3\trpaddft3\trpaddfb3\trpaddfr3\tblrsid11085200\tbllkhdrrows\tbllkhdrcols\tbllknocolband\tblind0\tblindtype3 \clvertalt\clbrdrt\brdrtbl \clbrdrl\brdrtbl \clbrdrb&#13;_x000a_\brdrtbl \clbrdrr\brdrtbl \cltxlrtb\clftsWidth3\clwWidth4876\clshdrawnil\clhidemark \cellx4536\clvertalt\clbrdrt\brdrtbl \clbrdrl\brdrtbl \clbrdrb\brdrtbl \clbrdrr\brdrtbl \cltxlrtb\clftsWidth3\clwWidth4876\clshdrawnil\clhidemark \cellx9412&#13;_x000a_\pard\plain \ltrpar\s20\qc \li0\ri0\sa240\keepn\nowidctlpar\intbl\wrapdefault\aspalpha\aspnum\faauto\adjustright\rin0\lin0\pararsid11085200 \rtlch\fcs1 \af0\afs20\alang1025 \ltrch\fcs0 \i\fs24\lang2057\langfe2057\cgrid\langnp2057\langfenp2057 {&#13;_x000a_\rtlch\fcs1 \af0 \ltrch\fcs0 \insrsid11285722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285722 \trowd \ltrrow&#13;_x000a_\ts11\trqc\trgaph340\trleft-340\trftsWidth3\trftsWidthB3\trpaddl340\trpaddr340\trpaddfl3\trpaddft3\trpaddfb3\trpaddfr3\tblrsid11085200\tbllkhdrrows\tbllkhdrcols\tbllknocolband\tblind0\tblindtype3 \clvertalt\clbrdrt\brdrtbl \clbrdrl\brdrtbl \clbrdrb&#13;_x000a_\brdrtbl \clbrdrr\brdrtbl \cltxlrtb\clftsWidth3\clwWidth4876\clshdrawnil\clhidemark \cellx4536\clvertalt\clbrdrt\brdrtbl \clbrdrl\brdrtbl \clbrdrb\brdrtbl \clbrdrr\brdrtbl \cltxlrtb\clftsWidth3\clwWidth4876\clshdrawnil\clhidemark \cellx9412\row \ltrrow&#13;_x000a_}\pard\plain \ltrpar\s19\ql \li0\ri0\sa120\nowidctlpar\intbl\wrapdefault\aspalpha\aspnum\faauto\adjustright\rin0\lin0\pararsid11085200 \rtlch\fcs1 \af0\afs20\alang1025 \ltrch\fcs0 \fs24\lang2057\langfe2057\cgrid\langnp2057\langfenp2057 {\rtlch\fcs1 \af0 &#13;_x000a_\ltrch\fcs0 \insrsid11285722 [ZTEXTL]\cell [ZTEXTR]\cell }\pard\plain \ltrpar\ql \li0\ri0\widctlpar\intbl\wrapdefault\aspalpha\aspnum\faauto\adjustright\rin0\lin0 \rtlch\fcs1 \af0\afs20\alang1025 \ltrch\fcs0 &#13;_x000a_\fs24\lang2057\langfe2057\cgrid\langnp2057\langfenp2057 {\rtlch\fcs1 \af0 \ltrch\fcs0 \insrsid11285722 \trowd \lastrow \ltrrow&#13;_x000a_\ts11\trqc\trgaph340\trleft-340\trftsWidth3\trftsWidthB3\trpaddl340\trpaddr340\trpaddfl3\trpaddft3\trpaddfb3\trpaddfr3\tblrsid11085200\tbllkhdrrows\tbllkhdrcols\tbllknocolband\tblind0\tblindtype3 \clvertalt\clbrdrt\brdrtbl \clbrdrl\brdrtbl \clbrdrb&#13;_x000a_\brdrtbl \clbrdrr\brdrtbl \cltxlrtb\clftsWidth3\clwWidth4876\clshdrawnil\clhidemark \cellx4536\clvertalt\clbrdrt\brdrtbl \clbrdrl\brdrtbl \clbrdrb\brdrtbl \clbrdrr\brdrtbl \cltxlrtb\clftsWidth3\clwWidth4876\clshdrawnil\clhidemark \cellx9412\row &#13;_x000a_}\pard\plain \ltrpar\s23\qc \li0\ri0\sb240\sa240\nowidctlpar\wrapdefault\aspalpha\aspnum\faauto\adjustright\rin0\lin0\itap0\pararsid6293919 \rtlch\fcs1 \af0\afs20\alang1025 \ltrch\fcs0 \i\fs24\lang2057\langfe2057\cgrid\langnp2057\langfenp2057 {&#13;_x000a_\rtlch\fcs1 \af0 \ltrch\fcs0 \cs17\i0\v\fs20\cf9\lang1024\langfe1024\loch\af1\hich\af1\dbch\af31501\noproof\insrsid11285722 \hich\af1\dbch\af31501\loch\f1 &lt;OptDel&gt;}{\rtlch\fcs1 \af0 \ltrch\fcs0 \insrsid11285722 [ZCROSSREF]}{\rtlch\fcs1 \af0 \ltrch\fcs0 &#13;_x000a_\cs17\i0\v\fs20\cf9\lang1024\langfe1024\loch\af1\hich\af1\dbch\af31501\noproof\insrsid11285722 \hich\af1\dbch\af31501\loch\f1 &lt;/OptDel&gt;}{\rtlch\fcs1 \af0 \ltrch\fcs0 \insrsid11285722 &#13;_x000a_\par }\pard\plain \ltrpar\s24\qc \li0\ri0\sb240\sa240\keepn\nowidctlpar\wrapdefault\aspalpha\aspnum\faauto\adjustright\rin0\lin0\itap0\pararsid6293919 \rtlch\fcs1 \af0\afs20\alang1025 \ltrch\fcs0 \i\fs24\lang2057\langfe2057\cgrid\langnp2057\langfenp2057 {&#13;_x000a_\rtlch\fcs1 \af0 \ltrch\fcs0 \cs17\i0\v\fs20\cf9\lang1024\langfe1024\loch\af1\hich\af1\dbch\af31501\noproof\insrsid11285722 \hich\af1\dbch\af31501\loch\f1 &lt;TitreJust&gt;}{\rtlch\fcs1 \af0 \ltrch\fcs0 \insrsid11285722 [ZJUSTIFICATION]}{\rtlch\fcs1 \af0 &#13;_x000a_\ltrch\fcs0 \cs17\i0\v\fs20\cf9\lang1024\langfe1024\loch\af1\hich\af1\dbch\af31501\noproof\insrsid11285722 \hich\af1\dbch\af31501\loch\f1 &lt;/TitreJust&gt;}{\rtlch\fcs1 \af0 \ltrch\fcs0 \insrsid11285722 &#13;_x000a_\par }\pard\plain \ltrpar\s22\ql \li0\ri0\sa240\nowidctlpar\wrapdefault\aspalpha\aspnum\faauto\adjustright\rin0\lin0\itap0\pararsid6293919 \rtlch\fcs1 \af0\afs20\alang1025 \ltrch\fcs0 \i\fs24\lang2057\langfe2057\cgrid\langnp2057\langfenp2057 {\rtlch\fcs1 \af0 &#13;_x000a_\ltrch\fcs0 \cs17\i0\v\fs20\cf9\lang1024\langfe1024\loch\af1\hich\af1\dbch\af31501\noproof\insrsid11285722 \hich\af1\dbch\af31501\loch\f1 &lt;OptDelPrev&gt;}{\rtlch\fcs1 \af0 \ltrch\fcs0 \insrsid11285722 [ZTEXTJUST]}{\rtlch\fcs1 \af0 \ltrch\fcs0 &#13;_x000a_\cs17\i0\v\fs20\cf9\lang1024\langfe1024\loch\af1\hich\af1\dbch\af31501\noproof\insrsid11285722 \hich\af1\dbch\af31501\loch\f1 &lt;/OptDelPrev&gt;}{\rtlch\fcs1 \af0 \ltrch\fcs0 \insrsid11285722 &#13;_x000a_\par }\pard\plain \ltrpar\ql \li0\ri0\widctlpar\wrapdefault\aspalpha\aspnum\faauto\adjustright\rin0\lin0\itap0\pararsid6293919 \rtlch\fcs1 \af0\afs20\alang1025 \ltrch\fcs0 \fs24\lang2057\langfe2057\cgrid\langnp2057\langfenp2057 {\rtlch\fcs1 \af0 \ltrch\fcs0 &#13;_x000a_\cs17\v\fs20\cf9\lang1024\langfe1024\loch\af1\hich\af1\dbch\af31501\noproof\insrsid11285722 \hich\af1\dbch\af31501\loch\f1 &lt;/Amend&gt;}{\rtlch\fcs1 \af0 \ltrch\fcs0 \insrsid11285722\charrsid16324206 {\*\bkmkend restart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9a&#13;_x000a_31762b0d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PA_LegEvaluation"/>
    <w:docVar w:name="strSubDir" w:val="1348"/>
    <w:docVar w:name="TEXTRMNU" w:val="1"/>
    <w:docVar w:name="TITLECODMNU" w:val=" 1"/>
    <w:docVar w:name="TITLEMNU" w:val=" 1"/>
    <w:docVar w:name="TVTAMPART" w:val="Article 15 – paragraph 5"/>
    <w:docVar w:name="TXTAUTHOR" w:val="Sandra Gómez López"/>
    <w:docVar w:name="TXTLANGUE" w:val="EN"/>
    <w:docVar w:name="TXTLANGUEMIN" w:val="en"/>
    <w:docVar w:name="TXTNRC" w:val="0173/2025"/>
    <w:docVar w:name="TXTNRCOM" w:val="(2025)0550"/>
    <w:docVar w:name="TXTNRFIRSTAM" w:val="1"/>
    <w:docVar w:name="TXTNRLASTAM" w:val="9"/>
    <w:docVar w:name="TXTNRPE" w:val="787.038"/>
    <w:docVar w:name="TXTNRPROC" w:val="2025/0550"/>
    <w:docVar w:name="TXTPEorAP" w:val="PE"/>
    <w:docVar w:name="TXTROUTE" w:val="AD\1348641EN.docx"/>
    <w:docVar w:name="TXTTITLE" w:val="Regulation of the European Parliament and of the Council establishing the 'AgoraEU' programme for the period 2028 to 2034, and repealing Regulations (EU) 2021/692 and (EU) 2021/818"/>
    <w:docVar w:name="TXTVERSION" w:val="03-00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04F5BD0-90CC-4379-88EC-F832CF84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8432D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843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8432D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8432D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843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8432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8432D"/>
    <w:pPr>
      <w:spacing w:after="480"/>
      <w:ind w:left="1417"/>
    </w:pPr>
  </w:style>
  <w:style w:type="paragraph" w:customStyle="1" w:styleId="CoverNormal">
    <w:name w:val="CoverNormal"/>
    <w:basedOn w:val="Normal"/>
    <w:rsid w:val="00D8432D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8432D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8432D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8432D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843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8432D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8432D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8432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8432D"/>
    <w:pPr>
      <w:jc w:val="right"/>
    </w:pPr>
  </w:style>
  <w:style w:type="paragraph" w:customStyle="1" w:styleId="NormalHanging12a">
    <w:name w:val="NormalHanging12a"/>
    <w:basedOn w:val="Normal"/>
    <w:rsid w:val="00D8432D"/>
    <w:pPr>
      <w:spacing w:after="240"/>
      <w:ind w:left="567" w:hanging="567"/>
    </w:pPr>
  </w:style>
  <w:style w:type="paragraph" w:customStyle="1" w:styleId="EPFooter">
    <w:name w:val="EPFooter"/>
    <w:basedOn w:val="Normal"/>
    <w:rsid w:val="00D843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customStyle="1" w:styleId="AmDocTypeTab">
    <w:name w:val="AmDocTypeTab"/>
    <w:basedOn w:val="Normal"/>
    <w:rsid w:val="00D8432D"/>
    <w:pPr>
      <w:tabs>
        <w:tab w:val="right" w:pos="9072"/>
      </w:tabs>
    </w:pPr>
    <w:rPr>
      <w:b/>
    </w:rPr>
  </w:style>
  <w:style w:type="paragraph" w:customStyle="1" w:styleId="NormalBold">
    <w:name w:val="NormalBold"/>
    <w:basedOn w:val="Normal"/>
    <w:rsid w:val="00D8432D"/>
    <w:rPr>
      <w:b/>
    </w:rPr>
  </w:style>
  <w:style w:type="paragraph" w:customStyle="1" w:styleId="AmOrLang">
    <w:name w:val="AmOrLang"/>
    <w:basedOn w:val="Normal"/>
    <w:rsid w:val="00D8432D"/>
    <w:pPr>
      <w:spacing w:before="240" w:after="240"/>
      <w:jc w:val="right"/>
    </w:pPr>
  </w:style>
  <w:style w:type="paragraph" w:customStyle="1" w:styleId="Normal6a">
    <w:name w:val="Normal6a"/>
    <w:basedOn w:val="Normal"/>
    <w:rsid w:val="00D8432D"/>
    <w:pPr>
      <w:spacing w:after="120"/>
    </w:pPr>
  </w:style>
  <w:style w:type="paragraph" w:customStyle="1" w:styleId="AmDateTab">
    <w:name w:val="AmDateTab"/>
    <w:basedOn w:val="Normal"/>
    <w:rsid w:val="00D8432D"/>
    <w:pPr>
      <w:tabs>
        <w:tab w:val="right" w:pos="9072"/>
      </w:tabs>
    </w:pPr>
  </w:style>
  <w:style w:type="paragraph" w:customStyle="1" w:styleId="AmColumnHeading">
    <w:name w:val="AmColumnHeading"/>
    <w:basedOn w:val="Normal"/>
    <w:rsid w:val="00D843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843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D8432D"/>
    <w:pPr>
      <w:spacing w:after="240"/>
    </w:pPr>
    <w:rPr>
      <w:i/>
    </w:rPr>
  </w:style>
  <w:style w:type="paragraph" w:customStyle="1" w:styleId="AmCrossRef">
    <w:name w:val="AmCrossRef"/>
    <w:basedOn w:val="Normal"/>
    <w:rsid w:val="00D843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8432D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rsid w:val="00D8432D"/>
    <w:pPr>
      <w:spacing w:before="240"/>
    </w:pPr>
    <w:rPr>
      <w:b/>
    </w:rPr>
  </w:style>
  <w:style w:type="paragraph" w:customStyle="1" w:styleId="Normal24a">
    <w:name w:val="Normal24a"/>
    <w:basedOn w:val="Normal"/>
    <w:rsid w:val="00D8432D"/>
    <w:pPr>
      <w:spacing w:after="480"/>
    </w:pPr>
  </w:style>
  <w:style w:type="paragraph" w:customStyle="1" w:styleId="NormalBoldCenter">
    <w:name w:val="NormalBoldCenter"/>
    <w:basedOn w:val="Normal"/>
    <w:rsid w:val="00D8432D"/>
    <w:pPr>
      <w:jc w:val="center"/>
    </w:pPr>
    <w:rPr>
      <w:b/>
    </w:rPr>
  </w:style>
  <w:style w:type="paragraph" w:customStyle="1" w:styleId="Footprint12b">
    <w:name w:val="Footprint12b"/>
    <w:basedOn w:val="Normal"/>
    <w:rsid w:val="00D8432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8432D"/>
    <w:rPr>
      <w:szCs w:val="24"/>
    </w:rPr>
  </w:style>
  <w:style w:type="paragraph" w:customStyle="1" w:styleId="EPComma">
    <w:name w:val="EPComma"/>
    <w:basedOn w:val="Normal"/>
    <w:rsid w:val="00D8432D"/>
    <w:pPr>
      <w:spacing w:before="480" w:after="240"/>
    </w:pPr>
  </w:style>
  <w:style w:type="paragraph" w:styleId="FootnoteText">
    <w:name w:val="footnote text"/>
    <w:basedOn w:val="Normal"/>
    <w:link w:val="FootnoteTextChar"/>
    <w:rsid w:val="00251B7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51B75"/>
  </w:style>
  <w:style w:type="character" w:styleId="FootnoteReference">
    <w:name w:val="footnote reference"/>
    <w:basedOn w:val="DefaultParagraphFont"/>
    <w:uiPriority w:val="99"/>
    <w:rsid w:val="00251B75"/>
    <w:rPr>
      <w:vertAlign w:val="superscript"/>
    </w:rPr>
  </w:style>
  <w:style w:type="character" w:styleId="Hyperlink">
    <w:name w:val="Hyperlink"/>
    <w:basedOn w:val="DefaultParagraphFont"/>
    <w:rsid w:val="00251B7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1B7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DB48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824"/>
    <w:rPr>
      <w:sz w:val="24"/>
    </w:rPr>
  </w:style>
  <w:style w:type="character" w:styleId="CommentReference">
    <w:name w:val="annotation reference"/>
    <w:basedOn w:val="DefaultParagraphFont"/>
    <w:rsid w:val="00155C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55C9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55C9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5C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5C94"/>
    <w:rPr>
      <w:b/>
      <w:bCs/>
    </w:rPr>
  </w:style>
  <w:style w:type="paragraph" w:styleId="Revision">
    <w:name w:val="Revision"/>
    <w:hidden/>
    <w:uiPriority w:val="99"/>
    <w:semiHidden/>
    <w:rsid w:val="00395F78"/>
    <w:rPr>
      <w:sz w:val="24"/>
    </w:rPr>
  </w:style>
  <w:style w:type="paragraph" w:customStyle="1" w:styleId="RollCallSymbols14pt">
    <w:name w:val="RollCallSymbols14pt"/>
    <w:basedOn w:val="Normal"/>
    <w:rsid w:val="00AB29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B29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B29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B298C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rsid w:val="002059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4/2509/oj" TargetMode="External" /><Relationship Id="rId2" Type="http://schemas.openxmlformats.org/officeDocument/2006/relationships/hyperlink" Target="http://data.europa.eu/eli/dir/2010/13/oj" TargetMode="External" /><Relationship Id="rId3" Type="http://schemas.openxmlformats.org/officeDocument/2006/relationships/hyperlink" Target="http://data.europa.eu/eli/reg/2020/2092/oj" TargetMode="External" /><Relationship Id="rId4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80BDA-AD9A-4E4A-9FF4-C8C7D6497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3563</Words>
  <Characters>27759</Characters>
  <Application>Microsoft Office Word</Application>
  <DocSecurity>0</DocSecurity>
  <Lines>645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PA_LegEvaluation</vt:lpstr>
    </vt:vector>
  </TitlesOfParts>
  <Company/>
  <LinksUpToDate>false</LinksUpToDate>
  <CharactersWithSpaces>31122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PA_LegEvaluation</dc:title>
  <dc:creator>European Parliament</dc:creator>
  <cp:lastModifiedBy>European Parliament</cp:lastModifiedBy>
  <cp:revision>2</cp:revision>
  <cp:lastPrinted>2026-07-20T12:01:00Z</cp:lastPrinted>
  <dcterms:created xsi:type="dcterms:W3CDTF">2026-08-13T07:09:00Z</dcterms:created>
  <dcterms:modified xsi:type="dcterms:W3CDTF">2026-08-13T07:09:00Z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1348641</vt:lpwstr>
  </property>
  <property fmtid="{D5CDD505-2E9C-101B-9397-08002B2CF9AE}" pid="4" name="&lt;Model&gt;">
    <vt:lpwstr>PA_LegEvaluation</vt:lpwstr>
  </property>
  <property fmtid="{D5CDD505-2E9C-101B-9397-08002B2CF9AE}" pid="5" name="&lt;ModelCod&gt;">
    <vt:lpwstr>\\eiciBRUpr1\pdocep$\DocEP\DOCS\General\PA\PA_Leg\PA_LegEvaluation.dotx(18/03/2025 13:35:01)</vt:lpwstr>
  </property>
  <property fmtid="{D5CDD505-2E9C-101B-9397-08002B2CF9AE}" pid="6" name="&lt;ModelTra&gt;">
    <vt:lpwstr>\\eiciBRUpr1\pdocep$\DocEP\TRANSFIL\EN\PA_LegEvaluation.EN(03/03/2026 11:04:10)</vt:lpwstr>
  </property>
  <property fmtid="{D5CDD505-2E9C-101B-9397-08002B2CF9AE}" pid="7" name="&lt;Type&gt;">
    <vt:lpwstr>AD</vt:lpwstr>
  </property>
  <property fmtid="{D5CDD505-2E9C-101B-9397-08002B2CF9AE}" pid="8" name="Bookout">
    <vt:lpwstr>OK - 2026/08/13 09:09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AD\1348641MT.docx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787.038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OK - 2026/07/22 17:06</vt:lpwstr>
  </property>
</Properties>
</file>