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6EC4DE3"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0E0711" w:rsidP="00C85D0F" w14:paraId="3C15B19B" w14:textId="77777777">
            <w:pPr>
              <w:pStyle w:val="EPName"/>
            </w:pPr>
            <w:r w:rsidRPr="000E0711">
              <w:t>Evropski parlament</w:t>
            </w:r>
          </w:p>
          <w:p w:rsidR="00854CAC" w:rsidRPr="000E0711" w:rsidP="00C85D0F" w14:paraId="274B6D5D" w14:textId="77777777">
            <w:pPr>
              <w:pStyle w:val="EPTerm"/>
            </w:pPr>
            <w:r w:rsidRPr="000E0711">
              <w:t>2024-2029</w:t>
            </w:r>
          </w:p>
        </w:tc>
        <w:tc>
          <w:tcPr>
            <w:tcW w:w="2268" w:type="dxa"/>
            <w:shd w:val="clear" w:color="auto" w:fill="auto"/>
          </w:tcPr>
          <w:p w:rsidR="00854CAC" w:rsidRPr="000E0711" w:rsidP="00C85D0F" w14:paraId="13AF4B66" w14:textId="77777777">
            <w:pPr>
              <w:pStyle w:val="EPLogo"/>
            </w:pPr>
            <w:r w:rsidRPr="000E071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02962"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0E0711" w:rsidP="001746D0" w14:paraId="7274E264" w14:textId="77777777">
      <w:pPr>
        <w:pStyle w:val="LineTop"/>
      </w:pPr>
    </w:p>
    <w:p w:rsidR="001746D0" w:rsidRPr="000E0711" w:rsidP="001746D0" w14:paraId="091E09DF" w14:textId="77777777">
      <w:pPr>
        <w:pStyle w:val="EPBody"/>
      </w:pPr>
      <w:r w:rsidRPr="000E0711">
        <w:rPr>
          <w:rStyle w:val="HideTWBExt"/>
        </w:rPr>
        <w:t>&lt;</w:t>
      </w:r>
      <w:r w:rsidRPr="000E0711">
        <w:rPr>
          <w:rStyle w:val="HideTWBExt"/>
          <w:i w:val="0"/>
        </w:rPr>
        <w:t>Commission</w:t>
      </w:r>
      <w:r w:rsidRPr="000E0711">
        <w:rPr>
          <w:rStyle w:val="HideTWBExt"/>
        </w:rPr>
        <w:t>&gt;</w:t>
      </w:r>
      <w:r w:rsidRPr="000E0711">
        <w:rPr>
          <w:rStyle w:val="HideTWBInt"/>
          <w:i w:val="0"/>
          <w:color w:val="auto"/>
        </w:rPr>
        <w:t>{BUDG}</w:t>
      </w:r>
      <w:r w:rsidRPr="000E0711">
        <w:t>Odbor za proračun</w:t>
      </w:r>
      <w:r w:rsidRPr="000E0711">
        <w:rPr>
          <w:rStyle w:val="HideTWBExt"/>
        </w:rPr>
        <w:t>&lt;/</w:t>
      </w:r>
      <w:r w:rsidRPr="000E0711">
        <w:rPr>
          <w:rStyle w:val="HideTWBExt"/>
          <w:i w:val="0"/>
        </w:rPr>
        <w:t>Commission</w:t>
      </w:r>
      <w:r w:rsidRPr="000E0711">
        <w:rPr>
          <w:rStyle w:val="HideTWBExt"/>
        </w:rPr>
        <w:t>&gt;</w:t>
      </w:r>
    </w:p>
    <w:p w:rsidR="001746D0" w:rsidRPr="000E0711" w:rsidP="001746D0" w14:paraId="606D6715" w14:textId="77777777">
      <w:pPr>
        <w:pStyle w:val="LineBottom"/>
      </w:pPr>
    </w:p>
    <w:p w:rsidR="002E2F2E" w:rsidRPr="000E0711" w14:paraId="60187DDF" w14:textId="77777777">
      <w:pPr>
        <w:pStyle w:val="CoverReference"/>
      </w:pPr>
      <w:r w:rsidRPr="000E0711">
        <w:rPr>
          <w:rStyle w:val="HideTWBExt"/>
          <w:b w:val="0"/>
        </w:rPr>
        <w:t>&lt;RefProc&gt;</w:t>
      </w:r>
      <w:r w:rsidRPr="000E0711">
        <w:t>2025/0550</w:t>
      </w:r>
      <w:r w:rsidRPr="000E0711">
        <w:rPr>
          <w:rStyle w:val="HideTWBExt"/>
          <w:b w:val="0"/>
        </w:rPr>
        <w:t>&lt;/RefProc&gt;&lt;RefTypeProc&gt;</w:t>
      </w:r>
      <w:r w:rsidRPr="000E0711">
        <w:t>(COD)</w:t>
      </w:r>
      <w:r w:rsidRPr="000E0711">
        <w:rPr>
          <w:rStyle w:val="HideTWBExt"/>
          <w:b w:val="0"/>
        </w:rPr>
        <w:t>&lt;/RefTypeProc&gt;</w:t>
      </w:r>
    </w:p>
    <w:p w:rsidR="002E2F2E" w:rsidRPr="000E0711" w14:paraId="26A1CDC6" w14:textId="77777777">
      <w:pPr>
        <w:pStyle w:val="CoverDate"/>
      </w:pPr>
      <w:r w:rsidRPr="000E0711">
        <w:rPr>
          <w:rStyle w:val="HideTWBExt"/>
        </w:rPr>
        <w:t>&lt;Date&gt;</w:t>
      </w:r>
      <w:r w:rsidRPr="000E0711">
        <w:rPr>
          <w:rStyle w:val="HideTWBInt"/>
          <w:color w:val="auto"/>
        </w:rPr>
        <w:t>{22/07/2026}</w:t>
      </w:r>
      <w:r w:rsidRPr="000E0711">
        <w:t>22.7.2026</w:t>
      </w:r>
      <w:r w:rsidRPr="000E0711">
        <w:rPr>
          <w:rStyle w:val="HideTWBExt"/>
        </w:rPr>
        <w:t>&lt;/Date&gt;</w:t>
      </w:r>
    </w:p>
    <w:p w:rsidR="002E2F2E" w:rsidRPr="000E0711" w14:paraId="285FDEC7" w14:textId="77777777">
      <w:pPr>
        <w:pStyle w:val="CoverDocType24a"/>
      </w:pPr>
      <w:r w:rsidRPr="000E0711">
        <w:rPr>
          <w:rStyle w:val="HideTWBExt"/>
          <w:b w:val="0"/>
        </w:rPr>
        <w:t>&lt;TitreType&gt;</w:t>
      </w:r>
      <w:r w:rsidRPr="000E0711">
        <w:t>OSNUTEK PRORAČUNSKE OCENE</w:t>
      </w:r>
      <w:r w:rsidRPr="000E0711">
        <w:rPr>
          <w:rStyle w:val="HideTWBExt"/>
          <w:b w:val="0"/>
        </w:rPr>
        <w:t>&lt;/TitreType&gt;</w:t>
      </w:r>
    </w:p>
    <w:p w:rsidR="002E2F2E" w:rsidRPr="000E0711" w14:paraId="00F23477" w14:textId="77777777">
      <w:pPr>
        <w:pStyle w:val="CoverNormal24a"/>
      </w:pPr>
      <w:r w:rsidRPr="000E0711">
        <w:rPr>
          <w:rStyle w:val="HideTWBExt"/>
        </w:rPr>
        <w:t>&lt;CommissionResp&gt;</w:t>
      </w:r>
      <w:r w:rsidRPr="000E0711">
        <w:t>Odbora za proračun</w:t>
      </w:r>
      <w:r w:rsidRPr="000E0711">
        <w:rPr>
          <w:rStyle w:val="HideTWBExt"/>
        </w:rPr>
        <w:t>&lt;/CommissionResp&gt;</w:t>
      </w:r>
    </w:p>
    <w:p w:rsidR="002E2F2E" w:rsidRPr="000E0711" w14:paraId="66D3673C" w14:textId="77777777">
      <w:pPr>
        <w:pStyle w:val="CoverNormal24a"/>
      </w:pPr>
      <w:r w:rsidRPr="000E0711">
        <w:rPr>
          <w:rStyle w:val="HideTWBExt"/>
        </w:rPr>
        <w:t>&lt;CommissionInt&gt;</w:t>
      </w:r>
      <w:r w:rsidRPr="000E0711">
        <w:t>za Odbor za kulturo in izobraževanje in Odbor za državljanske svoboščine, pravosodje in notranje zadeve</w:t>
      </w:r>
      <w:r w:rsidRPr="000E0711">
        <w:rPr>
          <w:rStyle w:val="HideTWBExt"/>
        </w:rPr>
        <w:t>&lt;/CommissionInt&gt;</w:t>
      </w:r>
    </w:p>
    <w:p w:rsidR="002E2F2E" w:rsidRPr="000E0711" w14:paraId="572C56DE" w14:textId="77777777">
      <w:pPr>
        <w:pStyle w:val="CoverNormal"/>
      </w:pPr>
      <w:r w:rsidRPr="000E0711">
        <w:rPr>
          <w:rStyle w:val="HideTWBExt"/>
        </w:rPr>
        <w:t>&lt;Titre&gt;</w:t>
      </w:r>
      <w:r w:rsidRPr="000E0711">
        <w:t>o predlogu uredbe Evropskega parlamenta in Sveta o vzpostavitvi programa „AgoraEU“ za obdobje 2028–2034 ter razveljavitvi uredb (EU) 2021/692 in (EU) 2021/818</w:t>
      </w:r>
      <w:r w:rsidRPr="000E0711">
        <w:rPr>
          <w:rStyle w:val="HideTWBExt"/>
        </w:rPr>
        <w:t>&lt;/Titre&gt;</w:t>
      </w:r>
    </w:p>
    <w:p w:rsidR="002E2F2E" w:rsidRPr="000E0711" w14:paraId="5B0D616E" w14:textId="77777777">
      <w:pPr>
        <w:pStyle w:val="CoverNormal24a"/>
      </w:pPr>
      <w:r w:rsidRPr="000E0711">
        <w:rPr>
          <w:rStyle w:val="HideTWBExt"/>
        </w:rPr>
        <w:t>&lt;DocRef&gt;</w:t>
      </w:r>
      <w:r w:rsidRPr="000E0711">
        <w:t>(COM(2025)0550 – C10</w:t>
      </w:r>
      <w:r w:rsidRPr="000E0711">
        <w:noBreakHyphen/>
        <w:t>0173/2025 – 2025/0550(COD))</w:t>
      </w:r>
      <w:r w:rsidRPr="000E0711">
        <w:rPr>
          <w:rStyle w:val="HideTWBExt"/>
        </w:rPr>
        <w:t>&lt;/DocRef&gt;</w:t>
      </w:r>
    </w:p>
    <w:p w:rsidR="00A72C35" w:rsidRPr="000E0711" w:rsidP="00FC42F1" w14:paraId="2B5FB08C" w14:textId="77777777">
      <w:pPr>
        <w:pStyle w:val="CoverNormal24a"/>
        <w:rPr>
          <w:rStyle w:val="HideTWBExt"/>
        </w:rPr>
      </w:pPr>
      <w:r w:rsidRPr="000E0711">
        <w:t xml:space="preserve">Pripravljavka proračunske ocene: </w:t>
      </w:r>
      <w:r w:rsidRPr="000E0711">
        <w:rPr>
          <w:rStyle w:val="HideTWBExt"/>
        </w:rPr>
        <w:t>&lt;Depute&gt;</w:t>
      </w:r>
      <w:r w:rsidRPr="000E0711">
        <w:t>Sandra Gómez López</w:t>
      </w:r>
      <w:r w:rsidRPr="000E0711">
        <w:rPr>
          <w:rStyle w:val="HideTWBExt"/>
        </w:rPr>
        <w:t>&lt;/Depute&gt;</w:t>
      </w:r>
    </w:p>
    <w:p w:rsidR="002E2F2E" w:rsidRPr="000E0711" w:rsidP="00E856D2" w14:paraId="1104C0CE" w14:textId="77777777">
      <w:pPr>
        <w:widowControl/>
        <w:tabs>
          <w:tab w:val="center" w:pos="4677"/>
        </w:tabs>
      </w:pPr>
      <w:r w:rsidRPr="000E0711">
        <w:br w:type="page"/>
      </w:r>
      <w:r w:rsidRPr="000E0711">
        <w:t>PA_LegEvaluation</w:t>
      </w:r>
    </w:p>
    <w:p w:rsidR="002E2F2E" w:rsidRPr="000E0711" w:rsidP="00757C4C" w14:paraId="7E655F6C" w14:textId="77777777">
      <w:pPr>
        <w:pStyle w:val="PageHeadingNotTOC"/>
      </w:pPr>
      <w:r w:rsidRPr="000E0711">
        <w:br w:type="page"/>
        <w:t>OSNUTEK PRORAČUNSKE OCENE</w:t>
      </w:r>
    </w:p>
    <w:p w:rsidR="00757C4C" w:rsidRPr="000E0711" w:rsidP="00757C4C" w14:paraId="120AA21B" w14:textId="4EE11948">
      <w:pPr>
        <w:pStyle w:val="NormalBold"/>
      </w:pPr>
      <w:r w:rsidRPr="000E0711">
        <w:t>za Odbor za kulturo in izobraževanje in Odbor za državljanske svoboščine, pravosodje in notranje zadeve</w:t>
      </w:r>
      <w:r>
        <w:t xml:space="preserve"> </w:t>
      </w:r>
      <w:r w:rsidRPr="000E0711">
        <w:t>o</w:t>
      </w:r>
      <w:r>
        <w:t xml:space="preserve"> </w:t>
      </w:r>
      <w:r w:rsidRPr="000E0711">
        <w:t>predlogu uredbe Evropskega parlamenta in Sveta o vzpostavitvi programa „AgoraEU“ za obdobje 2028–2034 ter razveljavitvi uredb (EU) 2021/692 in (EU) 2021/818</w:t>
      </w:r>
    </w:p>
    <w:p w:rsidR="00006F54" w:rsidRPr="000E0711" w:rsidP="00006F54" w14:paraId="3CF9A0A1" w14:textId="77777777">
      <w:pPr>
        <w:pStyle w:val="NormalBold"/>
      </w:pPr>
      <w:r w:rsidRPr="000E0711">
        <w:t>(COM(2025)0550 – C10</w:t>
      </w:r>
      <w:r w:rsidRPr="000E0711">
        <w:noBreakHyphen/>
        <w:t>0173/2025 – 2025/0550(COD))</w:t>
      </w:r>
    </w:p>
    <w:p w:rsidR="00AE79AF" w:rsidRPr="000E0711" w:rsidP="00006F54" w14:paraId="4F940A84" w14:textId="77777777">
      <w:pPr>
        <w:pStyle w:val="Normal12a"/>
        <w:spacing w:before="480"/>
      </w:pPr>
      <w:r w:rsidRPr="000E0711">
        <w:rPr>
          <w:rStyle w:val="HideTWBExt"/>
        </w:rPr>
        <w:t>&lt;Intro&gt;</w:t>
      </w:r>
      <w:r w:rsidRPr="000E0711">
        <w:t>Odbor za proračun je na podlagi člena 58 Poslovnika opravil oceno predloga in ugotovil:</w:t>
      </w:r>
      <w:r w:rsidRPr="000E0711">
        <w:rPr>
          <w:rStyle w:val="HideTWBExt"/>
        </w:rPr>
        <w:t>&lt;/Intro&gt;</w:t>
      </w:r>
    </w:p>
    <w:p w:rsidR="00CE6558" w:rsidRPr="000E0711" w:rsidP="00CE6558" w14:paraId="7D645579" w14:textId="77777777">
      <w:pPr>
        <w:pStyle w:val="EPComma"/>
      </w:pPr>
      <w:r w:rsidRPr="000E0711">
        <w:rPr>
          <w:i/>
          <w:iCs/>
        </w:rPr>
        <w:t>Odbor za proračun</w:t>
      </w:r>
      <w:r w:rsidRPr="000E0711">
        <w:t>,</w:t>
      </w:r>
    </w:p>
    <w:p w:rsidR="00F94599" w:rsidRPr="000E0711" w:rsidP="00F94599" w14:paraId="0D2FF5E7" w14:textId="77777777">
      <w:pPr>
        <w:pStyle w:val="NormalHanging12a"/>
      </w:pPr>
      <w:r w:rsidRPr="000E0711">
        <w:t>A.</w:t>
      </w:r>
      <w:r w:rsidRPr="000E0711">
        <w:tab/>
        <w:t>ker bo program AgoraEU nasledil obstoječa programa Ustvarjalna Evropa (CREA) in program Državljani, enakost, pravice in vrednote (CERV);</w:t>
      </w:r>
    </w:p>
    <w:p w:rsidR="00F94599" w:rsidRPr="000E0711" w:rsidP="00F94599" w14:paraId="03F9449C" w14:textId="77777777">
      <w:pPr>
        <w:pStyle w:val="NormalHanging12a"/>
      </w:pPr>
      <w:r w:rsidRPr="000E0711">
        <w:t>B.</w:t>
      </w:r>
      <w:r w:rsidRPr="000E0711">
        <w:tab/>
        <w:t>ker ima proračun EU osrednjo vlogo pri podpiranju temeljnih vrednot Unije iz člena 2 Pogodbe o Evropski uniji, kot sta demokracija in pluralizem; ker sta se predhodna programa izkazala za bistvena pri podpiranju kulturnih in ustvarjalnih sektorjev, varovanju umetniške in medijske svobode, boju proti dezinformacijam ter varovanju in spodbujanju enakosti, demokratične udeležbe, socialne vključenosti, družbene odpornosti in aktivnega državljanstva, pravic in vrednot, tudi na področju boja proti vsem oblikam nasilja na podlagi spola, kot je določeno v Pogodbah in Listini Evropske unije o temeljnih pravicah ter veljavnih mednarodnih konvencijah o človekovih pravicah;</w:t>
      </w:r>
    </w:p>
    <w:p w:rsidR="00A87D2F" w:rsidRPr="000E0711" w:rsidP="00F94599" w14:paraId="0CC9D62A" w14:textId="77777777">
      <w:pPr>
        <w:pStyle w:val="NormalHanging12a"/>
      </w:pPr>
      <w:r w:rsidRPr="000E0711">
        <w:t>C.</w:t>
      </w:r>
      <w:r w:rsidRPr="000E0711">
        <w:tab/>
        <w:t>ker ima program AgoraEU – v kontekstu sedanjih rastočih pritiskov na evropske demokratične vrednote in groženj tem vrednotam, pa tudi strukturnih izzivov, s katerimi se srečuje Unija – ključno vlogo pri podpiranju kulture, neodvisnih medijev in civilne družbe ter s prispevanjem k družbeni odpornosti, državljanskemu udejstvovanju in odpornosti demokratične infrastrukture v Uniji;</w:t>
      </w:r>
    </w:p>
    <w:p w:rsidR="00A87D2F" w:rsidRPr="000E0711" w:rsidP="00F94599" w14:paraId="3629B34B" w14:textId="77777777">
      <w:pPr>
        <w:pStyle w:val="NormalHanging12a"/>
      </w:pPr>
      <w:r w:rsidRPr="000E0711">
        <w:t>1.</w:t>
      </w:r>
      <w:r w:rsidRPr="000E0711">
        <w:tab/>
        <w:t>poudarja, da novi predlog programa AgoraEU združuje dva ločena obstoječa programa, in sicer programa CREA in CERV, ter vključuje financiranje, povezano z ukrepi programa MEDIA, ki se podpirajo v okviru pristojnosti Komisije; je seznanjen s predlogom Komisije o znatnem povečanju proračuna v primerjavi s skupnim proračunom programov Državljani, enakost, pravice in vrednote ter Ustvarjalna Evropa za obdobje 2021–2027; poudarja, da sta ta programa strukturno preobremenjena s prijavami, saj povpraševanje znatno presega njune zmogljivosti glede na njun proračun; poudarja, da ima program AgoraEU osrednjo vlogo pri spodbujanju demokratične odpornosti Unije; zato poudarja, da je treba predlagani proračun povečati;</w:t>
      </w:r>
    </w:p>
    <w:p w:rsidR="00F94599" w:rsidRPr="000E0711" w:rsidP="00F94599" w14:paraId="78D01A43" w14:textId="77777777">
      <w:pPr>
        <w:pStyle w:val="NormalHanging12a"/>
      </w:pPr>
      <w:r w:rsidRPr="000E0711">
        <w:t>2.</w:t>
      </w:r>
      <w:r w:rsidRPr="000E0711">
        <w:tab/>
        <w:t>meni, da bi bilo treba sredstva za program z 8 582 000 000 EUR v tekočih cenah povečati na 10 720 330 000 v tekočih cenah in 9 500 000 000 v cenah iz leta 2025, da bo sposoben ustrezno izpolnjevati svoje cilje, hkrati pa zagotoviti, da združitev ne bo oslabila podpore za kulturne in ustvarjalne sektorje, neodvisne medije, civilno družbo, demokratično udeležbo in enakost ter da se bodo tudi po njej še naprej podpirali ukrepi programa Daphne in spodbujale temeljne pravice;</w:t>
      </w:r>
    </w:p>
    <w:p w:rsidR="00950C9F" w:rsidRPr="000E0711" w:rsidP="00F94599" w14:paraId="628C6A42" w14:textId="77777777">
      <w:pPr>
        <w:pStyle w:val="NormalHanging12a"/>
      </w:pPr>
      <w:r w:rsidRPr="000E0711">
        <w:t>3.</w:t>
      </w:r>
      <w:r w:rsidRPr="000E0711">
        <w:tab/>
        <w:t>pozdravlja nedavno objavljeno strategijo EU za civilno družbo, v kateri je priznana pomembna vloga organizacij civilne družbe pri zagotavljanju svetovanja, podpore in strokovnega znanja pri razvoju in izvajanju zakonodaje in politik EU; v zvezi s tem poudarja, da je treba organizacijam civilne družbe zagotoviti dolgoročno, predvidljivo in zadostno financiranje, po potrebi tudi z nepovratnimi sredstvi za poslovanje, ob popolni preglednosti in odgovornosti;</w:t>
      </w:r>
    </w:p>
    <w:p w:rsidR="00950C9F" w:rsidRPr="000E0711" w:rsidP="00F94599" w14:paraId="3FD551CC" w14:textId="77777777">
      <w:pPr>
        <w:pStyle w:val="NormalHanging12a"/>
      </w:pPr>
      <w:r w:rsidRPr="000E0711">
        <w:t>4.</w:t>
      </w:r>
      <w:r w:rsidRPr="000E0711">
        <w:tab/>
        <w:t>poudarja, da je treba zagotoviti široko dostopnost vseh sklopov programa AgoraEU; v zvezi s tem opozarja na člen 207 finančne uredbe</w:t>
      </w:r>
      <w:r>
        <w:rPr>
          <w:rStyle w:val="FootnoteReference"/>
        </w:rPr>
        <w:footnoteReference w:id="2"/>
      </w:r>
      <w:r w:rsidRPr="000E0711">
        <w:t>, ki dopušča možnost zagotavljanja finančne podpore tretjim stranem (kaskadno financiranje);</w:t>
      </w:r>
    </w:p>
    <w:p w:rsidR="00F94599" w:rsidRPr="000E0711" w:rsidP="00F94599" w14:paraId="75AFE78E" w14:textId="77777777">
      <w:pPr>
        <w:pStyle w:val="NormalHanging12a"/>
      </w:pPr>
      <w:r w:rsidRPr="000E0711">
        <w:t>5.</w:t>
      </w:r>
      <w:r w:rsidRPr="000E0711">
        <w:tab/>
        <w:t>meni, da morajo biti že od začetka in v celotnem programskem obdobju večletnega finančnega okvira 2028–2034 na voljo zadostni viri, tudi človeški in tehnični viri ter viri IT, da bo zagotovljeno učinkovito izvajanje programa AgoraEU, tudi za izvajalsko agencijo, ki utegne neposredno upravljati dele programa; poudarja, da sta učinkovito izvajanje programov ter dobro izvajanje politik in programov EU, vključno z ustreznim spremljanjem in izvrševanjem, odvisna od uprave Unije, ki ima ustrezne finančne in kadrovske vire; opozarja na svoje dolgoletno stališče, da se upravni stroški ne smejo kriti na račun sredstev za program;</w:t>
      </w:r>
    </w:p>
    <w:p w:rsidR="00F94599" w:rsidRPr="000E0711" w:rsidP="00F94599" w14:paraId="78533ABA" w14:textId="77777777">
      <w:pPr>
        <w:pStyle w:val="NormalHanging12a"/>
      </w:pPr>
      <w:r w:rsidRPr="000E0711">
        <w:t>6.</w:t>
      </w:r>
      <w:r w:rsidRPr="000E0711">
        <w:tab/>
        <w:t>vztraja, da je za ustrezno sprejemanje proračunskih odločitev in ustrezen parlamentarni nadzor med izvrševanjem proračuna potrebna dovolj podrobna in trdna zakonodaja z ustrezno ravnjo upravljanja; priporoča uvedbo določb za okrepitev nadzora nad uporabo in porabo proračuna ter poudarja pomen rednih ocenjevanj; meni, da tako imenovani mehanizem za usmerjanje nikakor ne more nadomestiti zakonodajnih in proračunskih pristojnosti Parlamenta in ga ni mogoče zasnovati brez trdne strukture upravljanja, ki bo zagotavljala učinkovito izvajanje teh pristojnosti;</w:t>
      </w:r>
    </w:p>
    <w:p w:rsidR="00950C9F" w:rsidRPr="000E0711" w:rsidP="00F94599" w14:paraId="2C00F36C" w14:textId="77777777">
      <w:pPr>
        <w:pStyle w:val="NormalHanging12a"/>
      </w:pPr>
      <w:r w:rsidRPr="000E0711">
        <w:t>7.</w:t>
      </w:r>
      <w:r w:rsidRPr="000E0711">
        <w:tab/>
        <w:t>poudarja, da večja prožnost pri izvajanju programa ne sme povzročiti dejanske centralizacije izvrševanja proračuna na ravni Komisije niti oslabiti pristojnosti proračunskega organa; poudarja, da poenostavitev in prožnost ne smeta škoditi preglednosti in nadzoru, ki ga izvaja proračunski organ; zato priporoča, da se skupna sredstva razčlenijo tako, da bodo odražala posebne sklope programa AgoraEU; poudarja, da bi bilo treba poskrbeti za preglednost pri dodeljevanju sredstev za medsektorske dejavnosti; priporoča, naj se v primeru, da se pristojni odbori odločijo vzpostaviti več sklopov, kot jih je predlagala Komisija, opredelijo tudi okvirna podsredstva;</w:t>
      </w:r>
    </w:p>
    <w:p w:rsidR="00F94599" w:rsidRPr="000E0711" w:rsidP="00F94599" w14:paraId="3B8747D5" w14:textId="77777777">
      <w:pPr>
        <w:pStyle w:val="NormalHanging12a"/>
      </w:pPr>
      <w:r w:rsidRPr="000E0711">
        <w:t>8.</w:t>
      </w:r>
      <w:r w:rsidRPr="000E0711">
        <w:tab/>
        <w:t>poudarja, da imajo sestavni deli programa AgoraEU različne cilje, se spoprijemajo z različnimi okoliščinami ter so različno strukturirani, sektorji, katerim so namenjeni, pa imajo različne naloge in poslovne modele, kar bi bilo treba ustrezno upoštevati pri oblikovanju predlagane uredbe; obžaluje, da ocena finančnih posledic in digitalnih razsežnosti zakonodajnega predloga ne vsebuje dovolj podrobne okvirne proračunske nomenklature, in meni, da bo to oviralo nadzor in zmožnost proračunskega organa, da bi natančno usmerjal politične prednostne naloge v letnem proračunskem postopku; poleg tega ugotavlja, da bi to Komisiji dalo veliko manevrskega prostora za spremembo in odločanje o prednostnih nalogah pri porabi med izvajanjem; izraža zaskrbljenost, da bi preveč združena proračunska struktura korenito povečala diskrecijsko pravico Komisije za prenose in prerazporeditve sredstev brez odločitve proračunskega organa ter močno omejila parlamentarni nadzor; zato priporoča podrobnejšo nomenklaturo, ki bo ustrezno odražala cilje in strukturo programa ter povečala preglednost, odgovornost in parlamentarni nadzor;</w:t>
      </w:r>
    </w:p>
    <w:p w:rsidR="00950C9F" w:rsidRPr="000E0711" w:rsidP="00F94599" w14:paraId="4FDB88CD" w14:textId="77777777">
      <w:pPr>
        <w:pStyle w:val="NormalHanging12a"/>
      </w:pPr>
      <w:r w:rsidRPr="000E0711">
        <w:t>9.</w:t>
      </w:r>
      <w:r w:rsidRPr="000E0711">
        <w:tab/>
        <w:t>želi spomniti, da mora biti v skladu z načeli specifikacije, dobrega finančnega poslovodenja in preglednosti proračunska nomenklatura skladna s členom 47(2) finančne uredbe, na podlagi katerega se mora vsak naslov nanašati na eno področje politike, vsako poglavje pa praviloma na en program ali eno dejavnost; priporoča, naj Odbor za kulturo in izobraževanje ter Odbor za državljanske svoboščine, pravosodje in notranje zadeve spremenita predlog in vanj vključita prilogo, v kateri bo opredeljena nomenklatura programa; vztraja, da je proračunska nomenklatura sestavni del pogajalskega stališča Parlamenta in jo je treba obravnavati v medinstitucionalnih pogajanjih; v zvezi s tem meni, da mora biti revidirana ocena finančnih posledic in digitalnih razsežnosti zakonodajnega predloga del končnega političnega dogovora;</w:t>
      </w:r>
    </w:p>
    <w:p w:rsidR="00F94599" w:rsidRPr="000E0711" w:rsidP="00F94599" w14:paraId="341BF2D2" w14:textId="77777777">
      <w:pPr>
        <w:pStyle w:val="NormalHanging12a"/>
      </w:pPr>
      <w:r w:rsidRPr="000E0711">
        <w:t>10.</w:t>
      </w:r>
      <w:r w:rsidRPr="000E0711">
        <w:tab/>
        <w:t>želi spomniti, da predlog omogoča tudi uporabo proračunskega jamstva; poudarja, da je treba jasno opredeliti proračunske posledice najemanja in dajanja posojil v okviru programa AgoraEU, jih pregledno predstaviti in skrbno spremljati v celotnem obdobju večletnega finančnega okvira; zlasti poudarja, da je treba v celoti oceniti in ustrezno upoštevati njihov morebitni učinek na druga jamstva, pa tudi učinek na razpoložljivost nepovratnih sredstev v okviru programa; vztraja, da je treba pri vseh odločitvah v zvezi s temi operacijami v celoti spoštovati pristojnosti sozakonodajalcev in proračunskega organa; poudarja, da bi bilo treba te instrumente uporabljati strateško, da bi čim bolj povečali učinek, učinkovitost in vzdržnost financiranja EU, hkrati pa zagotovili popolno preglednost in dobro obvladovanje tveganja;</w:t>
      </w:r>
    </w:p>
    <w:p w:rsidR="00F94599" w:rsidRPr="000E0711" w:rsidP="00F94599" w14:paraId="2F3F2DAB" w14:textId="77777777">
      <w:pPr>
        <w:pStyle w:val="NormalHanging12a"/>
      </w:pPr>
      <w:r w:rsidRPr="000E0711">
        <w:t>11.</w:t>
      </w:r>
      <w:r w:rsidRPr="000E0711">
        <w:tab/>
        <w:t>vztraja, naj bo uporaba finančnih instrumentov poleg financiranja v okviru programa AgoraEU ustrezno določena, skupni znesek, rezerviran za operacije mešanega financiranja, ter drugi finančni instrumenti pa po potrebi določeni v letnem proračunskem postopku; poziva, naj bodo zneski, mobilizirani z operacijami mešanega financiranja, fiskalno odgovorni z razumnimi obrestnimi merami;</w:t>
      </w:r>
    </w:p>
    <w:p w:rsidR="00950C9F" w:rsidRPr="000E0711" w:rsidP="00950C9F" w14:paraId="25C7C89F" w14:textId="77777777">
      <w:pPr>
        <w:pStyle w:val="NormalHanging12a"/>
      </w:pPr>
      <w:r w:rsidRPr="000E0711">
        <w:t>12.</w:t>
      </w:r>
      <w:r w:rsidRPr="000E0711">
        <w:tab/>
        <w:t>želi spomniti, da predlog zagotavlja možnost prerazporeditve sredstev v programe deljenega upravljanja in iz njih, a poudarja, da bi morale take sinergije spodbujati izvajanje politike; se strinja s priporočilom Evropskega računskega sodišča, da bi bilo treba vsako prerazporeditev v vsakem primeru ustrezno utemeljiti in izvesti z usklajevanemu med Komisijo in državami članicami; poudarja, da je treba zagotoviti popolno sledljivost prerazporejenih zneskov;</w:t>
      </w:r>
    </w:p>
    <w:p w:rsidR="00950C9F" w:rsidRPr="000E0711" w:rsidP="00950C9F" w14:paraId="7C684AE2" w14:textId="77777777">
      <w:pPr>
        <w:pStyle w:val="NormalHanging12a"/>
      </w:pPr>
      <w:r w:rsidRPr="000E0711">
        <w:t>13.</w:t>
      </w:r>
      <w:r w:rsidRPr="000E0711">
        <w:tab/>
        <w:t>poudarja, da je treba opredeliti konec obdobja upravičenosti in zgornjo mejo za tehnične in upravne odhodke ter dodatno pojasniti revizijske pravice Evropskega računskega sodišča, tudi v zvezi z upravičenci v „tretjih državah“, tj. zunaj pravnega okvira EU;</w:t>
      </w:r>
    </w:p>
    <w:p w:rsidR="00950C9F" w:rsidRPr="000E0711" w:rsidP="00950C9F" w14:paraId="480DB91C" w14:textId="77777777">
      <w:pPr>
        <w:pStyle w:val="NormalHanging12a"/>
      </w:pPr>
      <w:r w:rsidRPr="000E0711">
        <w:t>14.</w:t>
      </w:r>
      <w:r w:rsidRPr="000E0711">
        <w:tab/>
        <w:t>meni, da bi morala biti vrnjena sredstva iz finančnih instrumentov še naprej na voljo v okviru programa AgoraEU;</w:t>
      </w:r>
    </w:p>
    <w:p w:rsidR="00F94599" w:rsidRPr="000E0711" w:rsidP="00F94599" w14:paraId="51834E7F" w14:textId="77777777">
      <w:pPr>
        <w:pStyle w:val="NormalHanging12a"/>
      </w:pPr>
      <w:r w:rsidRPr="000E0711">
        <w:t>15.</w:t>
      </w:r>
      <w:r w:rsidRPr="000E0711">
        <w:tab/>
        <w:t>je seznanjen s predlaganim dopolnjevanjem med programom AgoraEU ter drugimi programi, skladi in pobudami Unije, kot so evropski ščit za demokracijo, program za pravosodje, Erasmus+, Globalna Evropa, Evropski sklad za konkurenčnost, Obzorje Evropa ter skladi z deljenim upravljanjem v okviru načrtov za nacionalna in regionalna partnerstva; poudarja, da večje dopolnjevanje med instrumentoma ne sme škoditi sledljivosti odhodkov ali pristojnostim proračunskega organa; poudarja, da mora biti prispevek programa AgoraEU k dejavnostim, ki se financirajo skupaj z drugimi instrumenti, izrecno prepoznaven v vseh fazah proračunskega cikla; v zvezi s tem poudarja, da se mora vsak tak prispevek ustrezno odražati v izjavi o smotrnosti programa AgoraEU; vztraja, da mora proračunski organ ohraniti popoln nadzor nad tem, kako se sredstva kombinirajo med instrumenti, in nad dejanskim prispevkom vsakega programa k prednostnim nalogam EU, in sicer s podrobno proračunsko nomenklaturo; poudarja, da večje dopolnjevanje med programi ne sme povzročiti nesorazmerne zapletenosti za upravičence; poziva, naj bo financiranje EU jasnejše, dostopnejše in bolj usklajeno, da bi olajšali uporabo teh sredstev in čim bolj povečali učinek naložb;</w:t>
      </w:r>
    </w:p>
    <w:p w:rsidR="00F94599" w:rsidRPr="000E0711" w:rsidP="00F94599" w14:paraId="35674A7C" w14:textId="77777777">
      <w:pPr>
        <w:pStyle w:val="NormalHanging12a"/>
      </w:pPr>
      <w:r w:rsidRPr="000E0711">
        <w:t>16.</w:t>
      </w:r>
      <w:r w:rsidRPr="000E0711">
        <w:tab/>
        <w:t>poudarja, da mora biti uporaba zunanjih namenskih prejemkov v okviru programa AgoraEU jasno omejena, popolnoma pregledna in predmet učinkovitega parlamentarnega nadzora; je v zvezi s tem seznanjen z določbami o dodatnih finančnih prispevkih vseh sodelujočih tretjih držav in drugih donatorjev za program; želi opomniti, da je treba poskrbeti za sledljivost zunanjih namenskih prejemkov; poudarja, da če bosta pristojna odbora razmišljala o spremembi določb v zvezi z zunanjimi namenskimi prejemki, bi morala to storiti v sodelovanju z Odborom za proračun in drugimi odbori, da se zagotovi dosleden pristop; priznava, da so lahko prispevki tretjih strani, tudi iz zasebnega sektorja, koristni za program; poudarja, da je treba te prispevke izvajati v skladu s finančno uredbo, zlasti glede neodvisnosti in nepristranskosti;</w:t>
      </w:r>
    </w:p>
    <w:p w:rsidR="00972442" w:rsidRPr="000E0711" w:rsidP="00972442" w14:paraId="56A1438C" w14:textId="77777777">
      <w:pPr>
        <w:pStyle w:val="NormalHanging12a"/>
      </w:pPr>
      <w:r w:rsidRPr="000E0711">
        <w:t>17.</w:t>
      </w:r>
      <w:r w:rsidRPr="000E0711">
        <w:tab/>
        <w:t>poudarja, da bi se moralo sodelovanje organizacij iz tretjih držav, ki bi moralo biti jasno opredeljeno in ustrezno utemeljeno na pregleden način v vsakem letnem programu dela, ne glede na to, ali so te države pridružene ali ne, izvajati v skladu z načeli preglednosti, finančne vzajemnosti in regulativne usklajenosti; v zvezi s tem poudarja, da bi morale tretje države zagotoviti ustrezen finančni prispevek za program; poudarja, da bi bilo treba to sodelovanje pogojevati z zadostno stopnjo regulativne usklajenosti, zlasti z določbami Direktive 2010/13/EU</w:t>
      </w:r>
      <w:r>
        <w:rPr>
          <w:rStyle w:val="FootnoteReference"/>
        </w:rPr>
        <w:footnoteReference w:id="3"/>
      </w:r>
      <w:r w:rsidRPr="000E0711">
        <w:t xml:space="preserve"> o avdiovizualnih medijskih storitvah, in sicer v okviru sodelovanja na avdiovizualnem področju; poudarja, da je treba zagotoviti jasne zaščitne ukrepe, če tretja država ne izpolnjuje zavez iz pridružitvenega sporazuma ali če bi bila lahko zaradi hudih in vztrajnih pomanjkljivosti prizadeta dobro finančno poslovodenje in zaščita finančnih interesov Unije;</w:t>
      </w:r>
    </w:p>
    <w:p w:rsidR="00972442" w:rsidRPr="000E0711" w:rsidP="00972442" w14:paraId="03A93D29" w14:textId="77777777">
      <w:pPr>
        <w:pStyle w:val="NormalHanging12a"/>
      </w:pPr>
      <w:r w:rsidRPr="000E0711">
        <w:t>18.</w:t>
      </w:r>
      <w:r w:rsidRPr="000E0711">
        <w:tab/>
        <w:t>meni, da je treba vse bistvene politične odločitve, kot so cilji programa, prednostne naloge pri porabi, dodeljena finančna sredstva, stopnje financiranja, merila za upravičenost, izbor in dodelitev, pogoji, opredelitve in metode izračuna, določiti v ustreznem temeljnem zakonodajnem aktu, pri čemer je treba v celoti spoštovati pristojnosti Parlamenta kot sozakonodajalca in ene od vej proračunskega organa EU, in da morajo biti vsi dopolnilni in nebistveni elementi, ki pomenijo politične izbire, ki niso vključene v temeljni akt, sprejeti izključno z delegiranimi akti, vključno z delovnimi programi;</w:t>
      </w:r>
    </w:p>
    <w:p w:rsidR="00F94599" w:rsidRPr="000E0711" w:rsidP="00F94599" w14:paraId="0E9C0592" w14:textId="77777777">
      <w:pPr>
        <w:pStyle w:val="NormalHanging12a"/>
      </w:pPr>
      <w:r w:rsidRPr="000E0711">
        <w:t>19.</w:t>
      </w:r>
      <w:r w:rsidRPr="000E0711">
        <w:tab/>
        <w:t>želi opozoriti na predlog uredbe o vzpostavitvi okvira za spremljanje proračunskih odhodkov in smotrnost proračuna ter drugih horizontalnih pravil za programe in dejavnosti Unije</w:t>
      </w:r>
      <w:r>
        <w:rPr>
          <w:rStyle w:val="FootnoteReference"/>
        </w:rPr>
        <w:footnoteReference w:id="4"/>
      </w:r>
      <w:r w:rsidRPr="000E0711">
        <w:t xml:space="preserve"> (v nadaljnjem besedilu: uredba o smotrnosti), ki določa enoten racionaliziran seznam kazalnikov smotrnosti ter določb o spremljanju in vrednotenju, od katerih so nekatere relevantne za program AgoraEU; poudarja, da se bodo morale vse spremembe strukture, ciljev in upravičenih ukrepov v okviru programa ustrezno odražati v zadevnih določbah iz Priloge I k uredbi o smotrnosti kot del postopka spremembe te uredbe in pogajanj o njej; poudarja, da lahko sektorska zakonodaja sicer dopolnjuje uredbo o smotrnosti, na primer pri ocenjevanju programov, vendar bi morala ostati skladna določbami navedene uredbe; izraža zaskrbljenost, da bodo heterogene dejavnosti, ki se financirajo v okviru programa AgoraEU, vplivale na zanesljivost kazalnikov smotrnosti, in poziva k jasnejši opredelitvi rezultatov za posamezne sklope, večjemu poudarku na rezultatih namesto izložkih ter usklajenim zahtevam glede kakovosti podatkov;</w:t>
      </w:r>
    </w:p>
    <w:p w:rsidR="00972442" w:rsidRPr="000E0711" w:rsidP="00972442" w14:paraId="128E63F2" w14:textId="77777777">
      <w:pPr>
        <w:pStyle w:val="NormalHanging12a"/>
      </w:pPr>
      <w:r w:rsidRPr="000E0711">
        <w:t>20.</w:t>
      </w:r>
      <w:r w:rsidRPr="000E0711">
        <w:tab/>
        <w:t>poudarja, da mora biti vse financiranje v skladu s smernicami Komisije o financiranju dejavnosti, povezanih z razvojem, izvajanjem, spremljanjem in izvrševanjem zakonodaje in politike Unije;</w:t>
      </w:r>
    </w:p>
    <w:p w:rsidR="00972442" w:rsidRPr="000E0711" w:rsidP="00972442" w14:paraId="7B9CED56" w14:textId="77777777">
      <w:pPr>
        <w:pStyle w:val="NormalHanging12a"/>
      </w:pPr>
      <w:r w:rsidRPr="000E0711">
        <w:t>21.</w:t>
      </w:r>
      <w:r w:rsidRPr="000E0711">
        <w:tab/>
        <w:t>meni, da sta varstvo finančnih interesov Unije in zaščita proračuna Unije bistvena v vseh fazah izvrševanja proračuna Unije; poudarja, da uporaba financiranja, ki ni povezano s stroški, ali drugih možnosti poenostavljenega obračunavanja stroškov ne bi smela vplivati na revizijske ali preiskovalne pravice Komisije, Evropskega urada za boj proti goljufijam, Evropskega računskega sodišča oziroma Evropskega javnega tožilstva; poudarja pomen predhodnih in naknadnih pregledov za preprečevanje dvojnega financiranja in zagotavljanje zanesljivih postopkov dodeljevanja, sledljivost med programi in preglednost pri izvajanju;</w:t>
      </w:r>
    </w:p>
    <w:p w:rsidR="00972442" w:rsidRPr="000E0711" w:rsidP="00972442" w14:paraId="4E4A05CF" w14:textId="77777777">
      <w:pPr>
        <w:pStyle w:val="NormalHanging12a"/>
      </w:pPr>
      <w:r w:rsidRPr="000E0711">
        <w:t>22.</w:t>
      </w:r>
      <w:r w:rsidRPr="000E0711">
        <w:tab/>
        <w:t>opozarja, da je treba v skladu s členom 6(2) finančne uredbe pri pripravi in izvrševanju proračuna upoštevati splošni režim pogojenosti v primerih kršitev načela pravne države; poleg tega poudarja, da morajo države članice in Komisija v skladu s členom 6(3) iste uredbe pri izvrševanju proračuna zagotoviti skladnost z Listino Evropske unije o temeljnih pravicah in spoštovati vrednote, na katerih temelji Unija in so zapisane v členu 2 Pogodbe o Evropski uniji;</w:t>
      </w:r>
    </w:p>
    <w:p w:rsidR="00972442" w:rsidRPr="000E0711" w:rsidP="00972442" w14:paraId="08CDC2ED" w14:textId="77777777">
      <w:pPr>
        <w:pStyle w:val="NormalHanging12a"/>
      </w:pPr>
      <w:r w:rsidRPr="000E0711">
        <w:t>23.</w:t>
      </w:r>
      <w:r w:rsidRPr="000E0711">
        <w:tab/>
        <w:t>vztraja, da mora Komisija v primeru, ko nacionalne vlade kršijo načelo pravne države, brez poseganja v uporabo Uredbe (EU, Euratom) 2020/2092</w:t>
      </w:r>
      <w:r>
        <w:rPr>
          <w:rStyle w:val="FootnoteReference"/>
        </w:rPr>
        <w:footnoteReference w:id="5"/>
      </w:r>
      <w:r w:rsidRPr="000E0711">
        <w:t xml:space="preserve"> preučiti načine za zagotovitev, da bodo potencialni končni upravičenci in prejemniki še naprej imeli koristi od financiranja Unije; poudarja, da je to načelo v središču pristopa pametne pogojenosti;</w:t>
      </w:r>
    </w:p>
    <w:p w:rsidR="00F94599" w:rsidRPr="000E0711" w:rsidP="00F94599" w14:paraId="58BBA0B7" w14:textId="77777777">
      <w:pPr>
        <w:pStyle w:val="NormalHanging12a"/>
      </w:pPr>
      <w:r w:rsidRPr="000E0711">
        <w:t>24.</w:t>
      </w:r>
      <w:r w:rsidRPr="000E0711">
        <w:tab/>
        <w:t>opozarja, da bi se morali na podlagi finančne uredbe programi in dejavnosti, kadar je to izvedljivo in ustrezno ter v skladu z ustrezno sektorsko zakonodajo, izvajati za doseganje zastavljenih ciljev, hkrati pa spoštovati delovne in zaposlitvene pogoje v skladu z veljavnim nacionalnim pravom, pravom Unije, konvencijami Mednarodne organizacije dela in kolektivnimi pogodbami ter upoštevati načelo enakosti spolov in načelo, da se ne škoduje bistveno; v zvezi s tem opozarja na zaveze iz skupne medinstitucionalne izjave „Evropa za kulturo – kultura za Evropo“, in sicer, da ima vsakdo pravico do poštenih, pravičnih, zdravih in varnih delovnih pogojev, vključno z umetniki in kulturnimi delavci, ki so v središču naših kulturnih in ustvarjalnih sektorjev in industrij; poleg tega opozarja, da so pravično plačilo in ustrezni delovni pogoji bistveni za umetniško svobodo in kulturno raznolikost.</w:t>
      </w:r>
    </w:p>
    <w:p w:rsidR="00C8553D" w:rsidRPr="000E0711" w:rsidP="00C8553D" w14:paraId="3111632C" w14:textId="77777777">
      <w:pPr>
        <w:sectPr w:rsidSect="000E071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FE24DE" w:rsidRPr="000E0711" w:rsidP="00FE24DE" w14:paraId="03166EE6" w14:textId="77777777">
      <w:pPr>
        <w:pStyle w:val="PageHeadingNotTOC"/>
      </w:pPr>
      <w:r w:rsidRPr="000E0711">
        <w:t>PREDLOGI SPREMEMB</w:t>
      </w:r>
    </w:p>
    <w:p w:rsidR="00395F78" w:rsidRPr="000E0711" w:rsidP="00B77427" w14:paraId="0EA90DDA" w14:textId="77777777">
      <w:pPr>
        <w:pStyle w:val="Normal12a"/>
      </w:pPr>
      <w:r w:rsidRPr="000E0711">
        <w:t>Odbor za proračun je v okviru svoje proračunske ocene pripravil tudi naslednje predloge sprememb predloga:</w:t>
      </w:r>
    </w:p>
    <w:p w:rsidR="0068168E" w:rsidRPr="000E0711" w:rsidP="0068168E" w14:paraId="068522B1" w14:textId="77777777">
      <w:pPr>
        <w:pStyle w:val="AmNumberTabs"/>
        <w:keepNext/>
      </w:pPr>
      <w:r w:rsidRPr="000E0711">
        <w:rPr>
          <w:rStyle w:val="HideTWBExt"/>
        </w:rPr>
        <w:t>&lt;RepeatBlock-Amend&gt;</w:t>
      </w:r>
      <w:bookmarkStart w:id="0" w:name="restart"/>
      <w:r w:rsidRPr="000E0711">
        <w:rPr>
          <w:rStyle w:val="HideTWBExt"/>
          <w:b w:val="0"/>
        </w:rPr>
        <w:t>&lt;Amend&gt;</w:t>
      </w:r>
      <w:r w:rsidRPr="000E0711">
        <w:t>Predlog spremembe</w:t>
      </w:r>
      <w:r w:rsidRPr="000E0711">
        <w:tab/>
      </w:r>
      <w:r w:rsidRPr="000E0711">
        <w:tab/>
      </w:r>
      <w:r w:rsidRPr="000E0711">
        <w:rPr>
          <w:rStyle w:val="HideTWBExt"/>
          <w:b w:val="0"/>
        </w:rPr>
        <w:t>&lt;NumAm&gt;</w:t>
      </w:r>
      <w:r w:rsidRPr="000E0711">
        <w:t>1</w:t>
      </w:r>
      <w:r w:rsidRPr="000E0711">
        <w:rPr>
          <w:rStyle w:val="HideTWBExt"/>
          <w:b w:val="0"/>
        </w:rPr>
        <w:t>&lt;/NumAm&gt;</w:t>
      </w:r>
    </w:p>
    <w:p w:rsidR="0068168E" w:rsidRPr="000E0711" w:rsidP="0068168E" w14:paraId="3C909726" w14:textId="77777777">
      <w:pPr>
        <w:pStyle w:val="NormalBold12b"/>
        <w:keepNext/>
      </w:pPr>
      <w:r w:rsidRPr="000E0711">
        <w:rPr>
          <w:rStyle w:val="HideTWBExt"/>
          <w:b w:val="0"/>
        </w:rPr>
        <w:t>&lt;DocAmend&gt;</w:t>
      </w:r>
      <w:r w:rsidRPr="000E0711">
        <w:t>Predlog uredbe</w:t>
      </w:r>
      <w:r w:rsidRPr="000E0711">
        <w:rPr>
          <w:rStyle w:val="HideTWBExt"/>
          <w:b w:val="0"/>
        </w:rPr>
        <w:t>&lt;/DocAmend&gt;</w:t>
      </w:r>
    </w:p>
    <w:p w:rsidR="0068168E" w:rsidRPr="000E0711" w:rsidP="0068168E" w14:paraId="12036526" w14:textId="77777777">
      <w:pPr>
        <w:pStyle w:val="NormalBold"/>
      </w:pPr>
      <w:r w:rsidRPr="000E0711">
        <w:rPr>
          <w:rStyle w:val="HideTWBExt"/>
          <w:b w:val="0"/>
        </w:rPr>
        <w:t>&lt;Article&gt;</w:t>
      </w:r>
      <w:r w:rsidRPr="000E0711">
        <w:t xml:space="preserve"> Uvodna izjava 28 a (novo)</w:t>
      </w:r>
      <w:r w:rsidRPr="000E071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DE2AF9D" w14:textId="77777777" w:rsidTr="0068168E">
        <w:tblPrEx>
          <w:tblW w:w="9752" w:type="dxa"/>
          <w:jc w:val="center"/>
          <w:tblLayout w:type="fixed"/>
          <w:tblCellMar>
            <w:left w:w="340" w:type="dxa"/>
            <w:right w:w="340" w:type="dxa"/>
          </w:tblCellMar>
          <w:tblLook w:val="04A0"/>
        </w:tblPrEx>
        <w:trPr>
          <w:jc w:val="center"/>
        </w:trPr>
        <w:tc>
          <w:tcPr>
            <w:tcW w:w="9752" w:type="dxa"/>
            <w:gridSpan w:val="2"/>
          </w:tcPr>
          <w:p w:rsidR="0068168E" w:rsidRPr="000E0711" w:rsidP="00A92590" w14:paraId="274C1C34" w14:textId="77777777">
            <w:pPr>
              <w:keepNext/>
            </w:pPr>
          </w:p>
        </w:tc>
      </w:tr>
      <w:tr w14:paraId="0B0BEDB5"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0E0711" w:rsidP="00A92590" w14:paraId="6C77E0C4" w14:textId="77777777">
            <w:pPr>
              <w:pStyle w:val="AmColumnHeading"/>
              <w:keepNext/>
            </w:pPr>
            <w:r w:rsidRPr="000E0711">
              <w:t>Besedilo, ki ga predlaga Komisija</w:t>
            </w:r>
          </w:p>
        </w:tc>
        <w:tc>
          <w:tcPr>
            <w:tcW w:w="4876" w:type="dxa"/>
            <w:hideMark/>
          </w:tcPr>
          <w:p w:rsidR="0068168E" w:rsidRPr="000E0711" w:rsidP="00A92590" w14:paraId="4DF6AB06" w14:textId="77777777">
            <w:pPr>
              <w:pStyle w:val="AmColumnHeading"/>
              <w:keepNext/>
            </w:pPr>
            <w:r w:rsidRPr="000E0711">
              <w:t>Predlog spremembe</w:t>
            </w:r>
          </w:p>
        </w:tc>
      </w:tr>
      <w:tr w14:paraId="6730E670"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0E0711" w:rsidP="00A92590" w14:paraId="63AAFB23" w14:textId="77777777">
            <w:pPr>
              <w:pStyle w:val="Normal6a"/>
            </w:pPr>
          </w:p>
        </w:tc>
        <w:tc>
          <w:tcPr>
            <w:tcW w:w="4876" w:type="dxa"/>
            <w:hideMark/>
          </w:tcPr>
          <w:p w:rsidR="0068168E" w:rsidRPr="000E0711" w:rsidP="00A92590" w14:paraId="31716B5F" w14:textId="77777777">
            <w:pPr>
              <w:pStyle w:val="Normal6a"/>
            </w:pPr>
            <w:r w:rsidRPr="000E0711">
              <w:rPr>
                <w:b/>
                <w:i/>
              </w:rPr>
              <w:t>(28a)</w:t>
            </w:r>
            <w:r w:rsidRPr="000E0711">
              <w:rPr>
                <w:b/>
                <w:i/>
              </w:rPr>
              <w:tab/>
              <w:t>Dopolnjevanje med programom AgoraEU in drugimi instrumenti Unije ne bi smelo škoditi sledljivosti odhodkov ali pristojnostim proračunskega organa. Prispevek programa AgoraEU k skupno financiranim ukrepom bi moral ostati izrecno prepoznaven v vseh fazah proračunskega cikla in bi moral biti ustrezno izražen v izjavi o smotrnosti programa.</w:t>
            </w:r>
          </w:p>
        </w:tc>
      </w:tr>
    </w:tbl>
    <w:p w:rsidR="0068168E" w:rsidRPr="000E0711" w:rsidP="0068168E" w14:paraId="5A05491A" w14:textId="77777777">
      <w:pPr>
        <w:rPr>
          <w:rStyle w:val="HideTWBExt"/>
          <w:rFonts w:eastAsiaTheme="majorEastAsia"/>
        </w:rPr>
      </w:pPr>
      <w:r w:rsidRPr="000E0711">
        <w:rPr>
          <w:rStyle w:val="HideTWBExt"/>
        </w:rPr>
        <w:t>&lt;/Amend&gt;</w:t>
      </w:r>
    </w:p>
    <w:p w:rsidR="0068168E" w:rsidRPr="000E0711" w:rsidP="00EA6DE0" w14:paraId="17D2524C" w14:textId="77777777">
      <w:pPr>
        <w:pStyle w:val="AmNumberTabs"/>
        <w:keepNext/>
      </w:pPr>
      <w:r w:rsidRPr="000E0711">
        <w:rPr>
          <w:rStyle w:val="HideTWBExt"/>
          <w:b w:val="0"/>
        </w:rPr>
        <w:t>&lt;Amend&gt;</w:t>
      </w:r>
      <w:r w:rsidRPr="000E0711">
        <w:t>Predlog spremembe</w:t>
      </w:r>
      <w:r w:rsidRPr="000E0711">
        <w:tab/>
      </w:r>
      <w:r w:rsidRPr="000E0711">
        <w:tab/>
      </w:r>
      <w:r w:rsidRPr="000E0711">
        <w:rPr>
          <w:rStyle w:val="HideTWBExt"/>
          <w:b w:val="0"/>
        </w:rPr>
        <w:t>&lt;NumAm&gt;</w:t>
      </w:r>
      <w:r w:rsidRPr="000E0711">
        <w:t>2</w:t>
      </w:r>
      <w:r w:rsidRPr="000E0711">
        <w:rPr>
          <w:rStyle w:val="HideTWBExt"/>
          <w:b w:val="0"/>
        </w:rPr>
        <w:t>&lt;/NumAm&gt;</w:t>
      </w:r>
    </w:p>
    <w:p w:rsidR="0068168E" w:rsidRPr="000E0711" w:rsidP="00EA6DE0" w14:paraId="7AABFE01" w14:textId="77777777">
      <w:pPr>
        <w:pStyle w:val="NormalBold12b"/>
        <w:keepNext/>
      </w:pPr>
      <w:r w:rsidRPr="000E0711">
        <w:rPr>
          <w:rStyle w:val="HideTWBExt"/>
          <w:b w:val="0"/>
        </w:rPr>
        <w:t>&lt;DocAmend&gt;</w:t>
      </w:r>
      <w:r w:rsidRPr="000E0711">
        <w:t>Predlog uredbe</w:t>
      </w:r>
      <w:r w:rsidRPr="000E0711">
        <w:rPr>
          <w:rStyle w:val="HideTWBExt"/>
          <w:b w:val="0"/>
        </w:rPr>
        <w:t>&lt;/DocAmend&gt;</w:t>
      </w:r>
    </w:p>
    <w:p w:rsidR="0068168E" w:rsidRPr="000E0711" w:rsidP="00EA6DE0" w14:paraId="333C68BF" w14:textId="77777777">
      <w:pPr>
        <w:pStyle w:val="NormalBold"/>
      </w:pPr>
      <w:r w:rsidRPr="000E0711">
        <w:rPr>
          <w:rStyle w:val="HideTWBExt"/>
          <w:b w:val="0"/>
        </w:rPr>
        <w:t>&lt;Article&gt;</w:t>
      </w:r>
      <w:r w:rsidRPr="000E0711">
        <w:t xml:space="preserve"> Uvodna izjava 32 a (novo)</w:t>
      </w:r>
      <w:r w:rsidRPr="000E071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994BF4D" w14:textId="77777777" w:rsidTr="0068168E">
        <w:tblPrEx>
          <w:tblW w:w="9752" w:type="dxa"/>
          <w:jc w:val="center"/>
          <w:tblLayout w:type="fixed"/>
          <w:tblCellMar>
            <w:left w:w="340" w:type="dxa"/>
            <w:right w:w="340" w:type="dxa"/>
          </w:tblCellMar>
          <w:tblLook w:val="04A0"/>
        </w:tblPrEx>
        <w:trPr>
          <w:jc w:val="center"/>
        </w:trPr>
        <w:tc>
          <w:tcPr>
            <w:tcW w:w="9752" w:type="dxa"/>
            <w:gridSpan w:val="2"/>
          </w:tcPr>
          <w:p w:rsidR="0068168E" w:rsidRPr="000E0711" w:rsidP="00A92590" w14:paraId="2F8B2EF2" w14:textId="77777777">
            <w:pPr>
              <w:keepNext/>
            </w:pPr>
          </w:p>
        </w:tc>
      </w:tr>
      <w:tr w14:paraId="5B359F03"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0E0711" w:rsidP="00A92590" w14:paraId="2A7BA818" w14:textId="77777777">
            <w:pPr>
              <w:pStyle w:val="AmColumnHeading"/>
              <w:keepNext/>
            </w:pPr>
            <w:r w:rsidRPr="000E0711">
              <w:t>Besedilo, ki ga predlaga Komisija</w:t>
            </w:r>
          </w:p>
        </w:tc>
        <w:tc>
          <w:tcPr>
            <w:tcW w:w="4876" w:type="dxa"/>
            <w:hideMark/>
          </w:tcPr>
          <w:p w:rsidR="0068168E" w:rsidRPr="000E0711" w:rsidP="00A92590" w14:paraId="64EC6042" w14:textId="77777777">
            <w:pPr>
              <w:pStyle w:val="AmColumnHeading"/>
              <w:keepNext/>
            </w:pPr>
            <w:r w:rsidRPr="000E0711">
              <w:t>Predlog spremembe</w:t>
            </w:r>
          </w:p>
        </w:tc>
      </w:tr>
      <w:tr w14:paraId="158C9BEE"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0E0711" w:rsidP="00A92590" w14:paraId="33222A88" w14:textId="77777777">
            <w:pPr>
              <w:pStyle w:val="Normal6a"/>
            </w:pPr>
          </w:p>
        </w:tc>
        <w:tc>
          <w:tcPr>
            <w:tcW w:w="4876" w:type="dxa"/>
            <w:hideMark/>
          </w:tcPr>
          <w:p w:rsidR="0068168E" w:rsidRPr="000E0711" w:rsidP="00A92590" w14:paraId="40C66139" w14:textId="77777777">
            <w:pPr>
              <w:pStyle w:val="Normal6a"/>
            </w:pPr>
            <w:r w:rsidRPr="000E0711">
              <w:rPr>
                <w:b/>
                <w:i/>
              </w:rPr>
              <w:t>(32a)</w:t>
            </w:r>
            <w:r w:rsidRPr="000E0711">
              <w:rPr>
                <w:b/>
                <w:i/>
              </w:rPr>
              <w:tab/>
              <w:t>Za ta program se uporablja Uredba (EU, Euratom) 2020/2092 Evropskega parlamenta in Sveta. Ta vzpostavlja splošni režim pogojenosti za zaščito proračuna Unije v primeru kršitve načel pravne države v državah članicah.</w:t>
            </w:r>
          </w:p>
        </w:tc>
      </w:tr>
    </w:tbl>
    <w:p w:rsidR="0068168E" w:rsidRPr="000E0711" w:rsidP="00F9166E" w14:paraId="4E46B33B" w14:textId="77777777">
      <w:pPr>
        <w:rPr>
          <w:rStyle w:val="HideTWBExt"/>
          <w:rFonts w:eastAsiaTheme="majorEastAsia"/>
        </w:rPr>
      </w:pPr>
      <w:r w:rsidRPr="000E0711">
        <w:rPr>
          <w:rStyle w:val="HideTWBExt"/>
        </w:rPr>
        <w:t>&lt;/Amend&gt;</w:t>
      </w:r>
    </w:p>
    <w:p w:rsidR="0068168E" w:rsidRPr="000E0711" w:rsidP="00EA6DE0" w14:paraId="0956BA00" w14:textId="77777777">
      <w:pPr>
        <w:pStyle w:val="AmNumberTabs"/>
        <w:keepNext/>
      </w:pPr>
      <w:r w:rsidRPr="000E0711">
        <w:rPr>
          <w:rStyle w:val="HideTWBExt"/>
          <w:b w:val="0"/>
        </w:rPr>
        <w:t>&lt;Amend&gt;</w:t>
      </w:r>
      <w:r w:rsidRPr="000E0711">
        <w:t>Predlog spremembe</w:t>
      </w:r>
      <w:r w:rsidRPr="000E0711">
        <w:tab/>
      </w:r>
      <w:r w:rsidRPr="000E0711">
        <w:tab/>
      </w:r>
      <w:r w:rsidRPr="000E0711">
        <w:rPr>
          <w:rStyle w:val="HideTWBExt"/>
          <w:b w:val="0"/>
        </w:rPr>
        <w:t>&lt;NumAm&gt;</w:t>
      </w:r>
      <w:r w:rsidRPr="000E0711">
        <w:t>3</w:t>
      </w:r>
      <w:r w:rsidRPr="000E0711">
        <w:rPr>
          <w:rStyle w:val="HideTWBExt"/>
          <w:b w:val="0"/>
        </w:rPr>
        <w:t>&lt;/NumAm&gt;</w:t>
      </w:r>
    </w:p>
    <w:p w:rsidR="0068168E" w:rsidRPr="000E0711" w:rsidP="00EA6DE0" w14:paraId="5F2A4420" w14:textId="77777777">
      <w:pPr>
        <w:pStyle w:val="NormalBold12b"/>
        <w:keepNext/>
      </w:pPr>
      <w:r w:rsidRPr="000E0711">
        <w:rPr>
          <w:rStyle w:val="HideTWBExt"/>
          <w:b w:val="0"/>
        </w:rPr>
        <w:t>&lt;DocAmend&gt;</w:t>
      </w:r>
      <w:r w:rsidRPr="000E0711">
        <w:t>Predlog uredbe</w:t>
      </w:r>
      <w:r w:rsidRPr="000E0711">
        <w:rPr>
          <w:rStyle w:val="HideTWBExt"/>
          <w:b w:val="0"/>
        </w:rPr>
        <w:t>&lt;/DocAmend&gt;</w:t>
      </w:r>
    </w:p>
    <w:p w:rsidR="0068168E" w:rsidRPr="000E0711" w:rsidP="00EA6DE0" w14:paraId="73846D51" w14:textId="77777777">
      <w:pPr>
        <w:pStyle w:val="NormalBold"/>
      </w:pPr>
      <w:r w:rsidRPr="000E0711">
        <w:rPr>
          <w:rStyle w:val="HideTWBExt"/>
          <w:b w:val="0"/>
        </w:rPr>
        <w:t>&lt;Article&gt;</w:t>
      </w:r>
      <w:r w:rsidRPr="000E0711">
        <w:t xml:space="preserve"> Uvodna izjava 33</w:t>
      </w:r>
      <w:r w:rsidRPr="000E071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8784368" w14:textId="77777777" w:rsidTr="00222A38">
        <w:tblPrEx>
          <w:tblW w:w="9752" w:type="dxa"/>
          <w:jc w:val="center"/>
          <w:tblLayout w:type="fixed"/>
          <w:tblCellMar>
            <w:left w:w="340" w:type="dxa"/>
            <w:right w:w="340" w:type="dxa"/>
          </w:tblCellMar>
          <w:tblLook w:val="04A0"/>
        </w:tblPrEx>
        <w:trPr>
          <w:jc w:val="center"/>
        </w:trPr>
        <w:tc>
          <w:tcPr>
            <w:tcW w:w="9752" w:type="dxa"/>
            <w:gridSpan w:val="2"/>
          </w:tcPr>
          <w:p w:rsidR="0068168E" w:rsidRPr="000E0711" w:rsidP="00A92590" w14:paraId="3A62B9A2" w14:textId="77777777">
            <w:pPr>
              <w:keepNext/>
            </w:pPr>
          </w:p>
        </w:tc>
      </w:tr>
      <w:tr w14:paraId="7BA57E52"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68168E" w:rsidRPr="000E0711" w:rsidP="00A92590" w14:paraId="38BED887" w14:textId="77777777">
            <w:pPr>
              <w:pStyle w:val="AmColumnHeading"/>
              <w:keepNext/>
            </w:pPr>
            <w:r w:rsidRPr="000E0711">
              <w:t>Besedilo, ki ga predlaga Komisija</w:t>
            </w:r>
          </w:p>
        </w:tc>
        <w:tc>
          <w:tcPr>
            <w:tcW w:w="4876" w:type="dxa"/>
            <w:hideMark/>
          </w:tcPr>
          <w:p w:rsidR="0068168E" w:rsidRPr="000E0711" w:rsidP="00A92590" w14:paraId="0C8594AE" w14:textId="77777777">
            <w:pPr>
              <w:pStyle w:val="AmColumnHeading"/>
              <w:keepNext/>
            </w:pPr>
            <w:r w:rsidRPr="000E0711">
              <w:t>Predlog spremembe</w:t>
            </w:r>
          </w:p>
        </w:tc>
      </w:tr>
      <w:tr w14:paraId="03A59F75"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68168E" w:rsidRPr="000E0711" w:rsidP="00A92590" w14:paraId="16EC08F3" w14:textId="77777777">
            <w:pPr>
              <w:pStyle w:val="Normal6a"/>
            </w:pPr>
            <w:r w:rsidRPr="000E0711">
              <w:t>(33)</w:t>
            </w:r>
            <w:r w:rsidRPr="000E0711">
              <w:tab/>
              <w:t>Za ta program se uporablja Uredba (EU, Euratom) 2024/2509 Evropskega parlamenta in Sveta</w:t>
            </w:r>
            <w:r w:rsidRPr="000E0711">
              <w:rPr>
                <w:vertAlign w:val="superscript"/>
              </w:rPr>
              <w:t>27</w:t>
            </w:r>
            <w:r w:rsidRPr="000E0711">
              <w:t>. Ta določa pravila o oblikovanju in izvrševanju splošnega proračuna Unije, vključno s pravili o nepovratnih sredstvih, nagradah, nefinančnih donacijah, javnem naročanju, posrednem izvajanju, finančni pomoči, finančnih instrumentih in proračunskih jamstvih.</w:t>
            </w:r>
          </w:p>
        </w:tc>
        <w:tc>
          <w:tcPr>
            <w:tcW w:w="4876" w:type="dxa"/>
            <w:hideMark/>
          </w:tcPr>
          <w:p w:rsidR="0068168E" w:rsidRPr="000E0711" w:rsidP="00A92590" w14:paraId="7820212C" w14:textId="77777777">
            <w:pPr>
              <w:pStyle w:val="Normal6a"/>
            </w:pPr>
            <w:r w:rsidRPr="000E0711">
              <w:t>(33)</w:t>
            </w:r>
            <w:r w:rsidRPr="000E0711">
              <w:tab/>
              <w:t>Za ta program se uporablja Uredba (EU, Euratom) 2024/2509 Evropskega parlamenta in Sveta</w:t>
            </w:r>
            <w:r w:rsidRPr="000E0711">
              <w:rPr>
                <w:vertAlign w:val="superscript"/>
              </w:rPr>
              <w:t>27</w:t>
            </w:r>
            <w:r w:rsidRPr="000E0711">
              <w:t xml:space="preserve">. Ta določa pravila o oblikovanju in izvrševanju splošnega proračuna Unije, vključno s pravili o nepovratnih sredstvih, nagradah, nefinančnih donacijah, javnem naročanju, posrednem izvajanju, finančni pomoči, finančnih instrumentih in proračunskih jamstvih. </w:t>
            </w:r>
            <w:r w:rsidRPr="000E0711">
              <w:rPr>
                <w:b/>
                <w:i/>
              </w:rPr>
              <w:t>V skladu z Uredbo (EU, Euratom) 2024/2509 (v nadaljnjem besedilu: finančna uredba) bi bilo treba pri izvajanju programa v celoti upoštevati vrednote iz člena 2 Pogodbe o Evropski uniji in pravice, priznane v Listini Evropske unije o temeljnih pravicah.</w:t>
            </w:r>
          </w:p>
        </w:tc>
      </w:tr>
      <w:tr w14:paraId="3F5D9151" w14:textId="77777777" w:rsidTr="00222A38">
        <w:tblPrEx>
          <w:tblW w:w="9752" w:type="dxa"/>
          <w:jc w:val="center"/>
          <w:tblLayout w:type="fixed"/>
          <w:tblCellMar>
            <w:left w:w="340" w:type="dxa"/>
            <w:right w:w="340" w:type="dxa"/>
          </w:tblCellMar>
          <w:tblLook w:val="04A0"/>
        </w:tblPrEx>
        <w:trPr>
          <w:jc w:val="center"/>
        </w:trPr>
        <w:tc>
          <w:tcPr>
            <w:tcW w:w="4876" w:type="dxa"/>
          </w:tcPr>
          <w:p w:rsidR="00E42AD1" w:rsidRPr="000E0711" w:rsidP="00A92590" w14:paraId="03E2F265" w14:textId="77777777">
            <w:pPr>
              <w:pStyle w:val="Normal6a"/>
            </w:pPr>
            <w:r w:rsidRPr="000E0711">
              <w:t>___________</w:t>
            </w:r>
          </w:p>
        </w:tc>
        <w:tc>
          <w:tcPr>
            <w:tcW w:w="4876" w:type="dxa"/>
          </w:tcPr>
          <w:p w:rsidR="00E42AD1" w:rsidRPr="000E0711" w:rsidP="00697C9F" w14:paraId="3479CA95" w14:textId="77777777">
            <w:pPr>
              <w:pStyle w:val="Normal6a"/>
            </w:pPr>
            <w:r w:rsidRPr="000E0711">
              <w:t>___________</w:t>
            </w:r>
          </w:p>
        </w:tc>
      </w:tr>
      <w:tr w14:paraId="30406F18" w14:textId="77777777" w:rsidTr="00222A38">
        <w:tblPrEx>
          <w:tblW w:w="9752" w:type="dxa"/>
          <w:jc w:val="center"/>
          <w:tblLayout w:type="fixed"/>
          <w:tblCellMar>
            <w:left w:w="340" w:type="dxa"/>
            <w:right w:w="340" w:type="dxa"/>
          </w:tblCellMar>
          <w:tblLook w:val="04A0"/>
        </w:tblPrEx>
        <w:trPr>
          <w:jc w:val="center"/>
        </w:trPr>
        <w:tc>
          <w:tcPr>
            <w:tcW w:w="4876" w:type="dxa"/>
          </w:tcPr>
          <w:p w:rsidR="00E42AD1" w:rsidRPr="000E0711" w:rsidP="00A92590" w14:paraId="039CAC71" w14:textId="77777777">
            <w:pPr>
              <w:pStyle w:val="Normal6a"/>
            </w:pPr>
            <w:r w:rsidRPr="000E0711">
              <w:rPr>
                <w:vertAlign w:val="superscript"/>
              </w:rPr>
              <w:t>27</w:t>
            </w:r>
            <w:r w:rsidRPr="000E0711">
              <w:t xml:space="preserve"> Uredba (EU, Euratom) 2024/2509 Evropskega parlamenta in Sveta z dne 23. septembra 2024 o finančnih pravilih, ki se uporabljajo za splošni proračun Unije (UL L, 2024/2509, 26.9.2024, ELI: http://data.europa.eu/eli/reg/2024/2509/oj).</w:t>
            </w:r>
          </w:p>
        </w:tc>
        <w:tc>
          <w:tcPr>
            <w:tcW w:w="4876" w:type="dxa"/>
          </w:tcPr>
          <w:p w:rsidR="00E42AD1" w:rsidRPr="000E0711" w:rsidP="00697C9F" w14:paraId="2C9020A0" w14:textId="77777777">
            <w:pPr>
              <w:pStyle w:val="Normal6a"/>
            </w:pPr>
            <w:r w:rsidRPr="000E0711">
              <w:rPr>
                <w:vertAlign w:val="superscript"/>
              </w:rPr>
              <w:t>27</w:t>
            </w:r>
            <w:r w:rsidRPr="000E0711">
              <w:t xml:space="preserve"> Uredba (EU, Euratom) 2024/2509 Evropskega parlamenta in Sveta z dne 23. septembra 2024 o finančnih pravilih, ki se uporabljajo za splošni proračun Unije (UL L, 2024/2509, 26.9.2024, ELI: http://data.europa.eu/eli/reg/2024/2509/oj).</w:t>
            </w:r>
          </w:p>
        </w:tc>
      </w:tr>
    </w:tbl>
    <w:p w:rsidR="0068168E" w:rsidRPr="000E0711" w:rsidP="00F9166E" w14:paraId="32F2C4CF" w14:textId="77777777">
      <w:pPr>
        <w:rPr>
          <w:rStyle w:val="HideTWBExt"/>
          <w:rFonts w:eastAsiaTheme="majorEastAsia"/>
        </w:rPr>
      </w:pPr>
      <w:r w:rsidRPr="000E0711">
        <w:rPr>
          <w:rStyle w:val="HideTWBExt"/>
        </w:rPr>
        <w:t>&lt;/Amend&gt;</w:t>
      </w:r>
    </w:p>
    <w:p w:rsidR="00873BF3" w:rsidRPr="000E0711" w:rsidP="00873BF3" w14:paraId="267511EB" w14:textId="77777777">
      <w:pPr>
        <w:pStyle w:val="AmNumberTabs"/>
        <w:keepNext/>
      </w:pPr>
      <w:r w:rsidRPr="000E0711">
        <w:rPr>
          <w:rStyle w:val="HideTWBExt"/>
          <w:b w:val="0"/>
        </w:rPr>
        <w:t>&lt;Amend&gt;</w:t>
      </w:r>
      <w:r w:rsidRPr="000E0711">
        <w:t>Predlog spremembe</w:t>
      </w:r>
      <w:r w:rsidRPr="000E0711">
        <w:tab/>
      </w:r>
      <w:r w:rsidRPr="000E0711">
        <w:tab/>
      </w:r>
      <w:r w:rsidRPr="000E0711">
        <w:rPr>
          <w:rStyle w:val="HideTWBExt"/>
          <w:b w:val="0"/>
        </w:rPr>
        <w:t>&lt;NumAm&gt;</w:t>
      </w:r>
      <w:r w:rsidRPr="000E0711">
        <w:t>4</w:t>
      </w:r>
      <w:r w:rsidRPr="000E0711">
        <w:rPr>
          <w:rStyle w:val="HideTWBExt"/>
          <w:b w:val="0"/>
        </w:rPr>
        <w:t>&lt;/NumAm&gt;</w:t>
      </w:r>
    </w:p>
    <w:p w:rsidR="00873BF3" w:rsidRPr="000E0711" w:rsidP="00873BF3" w14:paraId="743D1A3E" w14:textId="77777777">
      <w:pPr>
        <w:pStyle w:val="NormalBold12b"/>
        <w:keepNext/>
      </w:pPr>
      <w:r w:rsidRPr="000E0711">
        <w:rPr>
          <w:rStyle w:val="HideTWBExt"/>
          <w:b w:val="0"/>
        </w:rPr>
        <w:t>&lt;DocAmend&gt;</w:t>
      </w:r>
      <w:r w:rsidRPr="000E0711">
        <w:t>Predlog uredbe</w:t>
      </w:r>
      <w:r w:rsidRPr="000E0711">
        <w:rPr>
          <w:rStyle w:val="HideTWBExt"/>
          <w:b w:val="0"/>
        </w:rPr>
        <w:t>&lt;/DocAmend&gt;</w:t>
      </w:r>
    </w:p>
    <w:p w:rsidR="00873BF3" w:rsidRPr="000E0711" w:rsidP="00873BF3" w14:paraId="6724AD5D" w14:textId="77777777">
      <w:pPr>
        <w:pStyle w:val="NormalBold"/>
      </w:pPr>
      <w:r w:rsidRPr="000E0711">
        <w:rPr>
          <w:rStyle w:val="HideTWBExt"/>
          <w:b w:val="0"/>
        </w:rPr>
        <w:t>&lt;Article&gt;</w:t>
      </w:r>
      <w:r w:rsidRPr="000E0711">
        <w:t>Uvodna izjava 40 a (novo)</w:t>
      </w:r>
      <w:r w:rsidRPr="000E071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36B0112" w14:textId="77777777" w:rsidTr="003B7FC6">
        <w:tblPrEx>
          <w:tblW w:w="9752" w:type="dxa"/>
          <w:jc w:val="center"/>
          <w:tblLayout w:type="fixed"/>
          <w:tblCellMar>
            <w:left w:w="340" w:type="dxa"/>
            <w:right w:w="340" w:type="dxa"/>
          </w:tblCellMar>
          <w:tblLook w:val="04A0"/>
        </w:tblPrEx>
        <w:trPr>
          <w:jc w:val="center"/>
        </w:trPr>
        <w:tc>
          <w:tcPr>
            <w:tcW w:w="9752" w:type="dxa"/>
            <w:gridSpan w:val="2"/>
          </w:tcPr>
          <w:p w:rsidR="00873BF3" w:rsidRPr="000E0711" w:rsidP="00A92590" w14:paraId="051BB7E8" w14:textId="77777777">
            <w:pPr>
              <w:keepNext/>
            </w:pPr>
          </w:p>
        </w:tc>
      </w:tr>
      <w:tr w14:paraId="68C1601E"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873BF3" w:rsidRPr="000E0711" w:rsidP="00A92590" w14:paraId="0B14D573" w14:textId="77777777">
            <w:pPr>
              <w:pStyle w:val="AmColumnHeading"/>
              <w:keepNext/>
            </w:pPr>
            <w:r w:rsidRPr="000E0711">
              <w:t>Besedilo, ki ga predlaga Komisija</w:t>
            </w:r>
          </w:p>
        </w:tc>
        <w:tc>
          <w:tcPr>
            <w:tcW w:w="4876" w:type="dxa"/>
            <w:hideMark/>
          </w:tcPr>
          <w:p w:rsidR="00873BF3" w:rsidRPr="000E0711" w:rsidP="00A92590" w14:paraId="394D6250" w14:textId="77777777">
            <w:pPr>
              <w:pStyle w:val="AmColumnHeading"/>
              <w:keepNext/>
            </w:pPr>
            <w:r w:rsidRPr="000E0711">
              <w:t>Predlog spremembe</w:t>
            </w:r>
          </w:p>
        </w:tc>
      </w:tr>
      <w:tr w14:paraId="01C7BAB2"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873BF3" w:rsidRPr="000E0711" w:rsidP="00A92590" w14:paraId="5D913C8F" w14:textId="77777777">
            <w:pPr>
              <w:pStyle w:val="Normal6a"/>
            </w:pPr>
          </w:p>
        </w:tc>
        <w:tc>
          <w:tcPr>
            <w:tcW w:w="4876" w:type="dxa"/>
            <w:hideMark/>
          </w:tcPr>
          <w:p w:rsidR="00873BF3" w:rsidRPr="000E0711" w:rsidP="00A92590" w14:paraId="27CD15BD" w14:textId="77777777">
            <w:pPr>
              <w:pStyle w:val="Normal6a"/>
            </w:pPr>
            <w:bookmarkStart w:id="1" w:name="_Hlk227236390"/>
            <w:r w:rsidRPr="000E0711">
              <w:rPr>
                <w:b/>
                <w:i/>
              </w:rPr>
              <w:t>(40a)</w:t>
            </w:r>
            <w:r w:rsidRPr="000E0711">
              <w:rPr>
                <w:b/>
                <w:i/>
              </w:rPr>
              <w:tab/>
              <w:t>Določbe te uredbe in njena ureditev upravljanja morajo prispevati k ustreznemu odločanju proračunskega organa in ustreznemu parlamentarnemu nadzoru. Zlasti bi se morale v skladu s členom 47(2) finančne uredbe vse specifikacije notranje strukture programa AgoraEU ustrezno odražati v proračunski nomenklaturi z uvedbo ustreznih proračunskih vrstic.</w:t>
            </w:r>
            <w:bookmarkEnd w:id="1"/>
          </w:p>
        </w:tc>
      </w:tr>
    </w:tbl>
    <w:bookmarkEnd w:id="0"/>
    <w:p w:rsidR="0068168E" w:rsidRPr="000E0711" w:rsidP="0068168E" w14:paraId="6651F9A1" w14:textId="77777777">
      <w:pPr>
        <w:rPr>
          <w:rStyle w:val="HideTWBExt"/>
          <w:rFonts w:eastAsiaTheme="majorEastAsia"/>
        </w:rPr>
      </w:pPr>
      <w:r w:rsidRPr="000E0711">
        <w:rPr>
          <w:rStyle w:val="HideTWBExt"/>
        </w:rPr>
        <w:t>&lt;/Amend&gt;</w:t>
      </w:r>
    </w:p>
    <w:p w:rsidR="00251B75" w:rsidRPr="000E0711" w:rsidP="00EA6DE0" w14:paraId="71E293D1" w14:textId="77777777">
      <w:pPr>
        <w:pStyle w:val="AmNumberTabs"/>
        <w:keepNext/>
      </w:pPr>
      <w:r w:rsidRPr="000E0711">
        <w:rPr>
          <w:rStyle w:val="HideTWBExt"/>
          <w:b w:val="0"/>
        </w:rPr>
        <w:t>&lt;Amend&gt;</w:t>
      </w:r>
      <w:r w:rsidRPr="000E0711">
        <w:t>Predlog spremembe</w:t>
      </w:r>
      <w:r w:rsidRPr="000E0711">
        <w:tab/>
      </w:r>
      <w:r w:rsidRPr="000E0711">
        <w:tab/>
      </w:r>
      <w:r w:rsidRPr="000E0711">
        <w:rPr>
          <w:rStyle w:val="HideTWBExt"/>
          <w:b w:val="0"/>
        </w:rPr>
        <w:t>&lt;NumAm&gt;</w:t>
      </w:r>
      <w:r w:rsidRPr="000E0711">
        <w:t>5</w:t>
      </w:r>
      <w:r w:rsidRPr="000E0711">
        <w:rPr>
          <w:rStyle w:val="HideTWBExt"/>
          <w:b w:val="0"/>
        </w:rPr>
        <w:t>&lt;/NumAm&gt;</w:t>
      </w:r>
    </w:p>
    <w:p w:rsidR="00251B75" w:rsidRPr="000E0711" w:rsidP="00EA6DE0" w14:paraId="1C4DB336" w14:textId="77777777">
      <w:pPr>
        <w:pStyle w:val="NormalBold12b"/>
        <w:keepNext/>
      </w:pPr>
      <w:r w:rsidRPr="000E0711">
        <w:rPr>
          <w:rStyle w:val="HideTWBExt"/>
          <w:b w:val="0"/>
        </w:rPr>
        <w:t>&lt;DocAmend&gt;</w:t>
      </w:r>
      <w:r w:rsidRPr="000E0711">
        <w:t>Predlog uredbe</w:t>
      </w:r>
      <w:r w:rsidRPr="000E0711">
        <w:rPr>
          <w:rStyle w:val="HideTWBExt"/>
          <w:b w:val="0"/>
        </w:rPr>
        <w:t>&lt;/DocAmend&gt;</w:t>
      </w:r>
    </w:p>
    <w:p w:rsidR="00251B75" w:rsidRPr="000E0711" w:rsidP="00EA6DE0" w14:paraId="6BE0E2E0" w14:textId="77777777">
      <w:pPr>
        <w:pStyle w:val="NormalBold"/>
      </w:pPr>
      <w:r w:rsidRPr="000E0711">
        <w:rPr>
          <w:rStyle w:val="HideTWBExt"/>
          <w:b w:val="0"/>
        </w:rPr>
        <w:t>&lt;Article&gt;</w:t>
      </w:r>
      <w:r w:rsidRPr="000E0711">
        <w:t>Uvodna izjava 40 b (novo)</w:t>
      </w:r>
      <w:r w:rsidRPr="000E071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9F9E160" w14:textId="77777777" w:rsidTr="003B7FC6">
        <w:tblPrEx>
          <w:tblW w:w="9752" w:type="dxa"/>
          <w:jc w:val="center"/>
          <w:tblLayout w:type="fixed"/>
          <w:tblCellMar>
            <w:left w:w="340" w:type="dxa"/>
            <w:right w:w="340" w:type="dxa"/>
          </w:tblCellMar>
          <w:tblLook w:val="04A0"/>
        </w:tblPrEx>
        <w:trPr>
          <w:jc w:val="center"/>
        </w:trPr>
        <w:tc>
          <w:tcPr>
            <w:tcW w:w="9752" w:type="dxa"/>
            <w:gridSpan w:val="2"/>
          </w:tcPr>
          <w:p w:rsidR="00251B75" w:rsidRPr="000E0711" w:rsidP="00A92590" w14:paraId="2D6C976C" w14:textId="77777777">
            <w:pPr>
              <w:keepNext/>
            </w:pPr>
          </w:p>
        </w:tc>
      </w:tr>
      <w:tr w14:paraId="1B2B40AD"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251B75" w:rsidRPr="000E0711" w:rsidP="00A92590" w14:paraId="4248033B" w14:textId="77777777">
            <w:pPr>
              <w:pStyle w:val="AmColumnHeading"/>
              <w:keepNext/>
            </w:pPr>
            <w:r w:rsidRPr="000E0711">
              <w:t>Besedilo, ki ga predlaga Komisija</w:t>
            </w:r>
          </w:p>
        </w:tc>
        <w:tc>
          <w:tcPr>
            <w:tcW w:w="4876" w:type="dxa"/>
            <w:hideMark/>
          </w:tcPr>
          <w:p w:rsidR="00251B75" w:rsidRPr="000E0711" w:rsidP="00A92590" w14:paraId="5FB0C2BA" w14:textId="77777777">
            <w:pPr>
              <w:pStyle w:val="AmColumnHeading"/>
              <w:keepNext/>
            </w:pPr>
            <w:r w:rsidRPr="000E0711">
              <w:t>Predlog spremembe</w:t>
            </w:r>
          </w:p>
        </w:tc>
      </w:tr>
      <w:tr w14:paraId="317DB88B"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251B75" w:rsidRPr="000E0711" w:rsidP="00A92590" w14:paraId="655CDDEC" w14:textId="77777777">
            <w:pPr>
              <w:pStyle w:val="Normal6a"/>
            </w:pPr>
          </w:p>
        </w:tc>
        <w:tc>
          <w:tcPr>
            <w:tcW w:w="4876" w:type="dxa"/>
            <w:hideMark/>
          </w:tcPr>
          <w:p w:rsidR="00251B75" w:rsidRPr="000E0711" w:rsidP="00A92590" w14:paraId="36BAA5F7" w14:textId="77777777">
            <w:pPr>
              <w:pStyle w:val="Normal6a"/>
            </w:pPr>
            <w:r w:rsidRPr="000E0711">
              <w:rPr>
                <w:b/>
                <w:i/>
              </w:rPr>
              <w:t>(40b)</w:t>
            </w:r>
            <w:r w:rsidRPr="000E0711">
              <w:rPr>
                <w:b/>
                <w:i/>
              </w:rPr>
              <w:tab/>
              <w:t>Posledice te uredbe za proračun Unije so bile ocenjene</w:t>
            </w:r>
            <w:r w:rsidRPr="000E0711">
              <w:rPr>
                <w:b/>
                <w:i/>
                <w:vertAlign w:val="superscript"/>
              </w:rPr>
              <w:t>+</w:t>
            </w:r>
            <w:r w:rsidRPr="000E0711">
              <w:rPr>
                <w:b/>
                <w:i/>
              </w:rPr>
              <w:t xml:space="preserve"> v skladu s členom 310(4) Pogodbe o delovanju Evropske unije. Za njegovo izvajanje bi bilo treba dodeliti zadostne finančne in človeške vire, pri čemer bi bilo treba upoštevati vpliv njegovega financiranja na druge programe ali politike Unije in zagotoviti njegovo skladnost z večletnim finančnim okvirom, sistemom virov lastnih sredstev in ustreznim medinstitucionalnim sporazumom ter proračunskimi načeli iz Uredbe (EU, Euratom) 2024/2509 Evropskega parlamenta in Sveta</w:t>
            </w:r>
            <w:r w:rsidRPr="000E0711">
              <w:rPr>
                <w:b/>
                <w:i/>
                <w:vertAlign w:val="superscript"/>
              </w:rPr>
              <w:t>[1]</w:t>
            </w:r>
            <w:r w:rsidRPr="000E0711">
              <w:rPr>
                <w:b/>
                <w:i/>
              </w:rPr>
              <w:t>.</w:t>
            </w:r>
          </w:p>
        </w:tc>
      </w:tr>
      <w:tr w14:paraId="67B638D6" w14:textId="77777777" w:rsidTr="003B7FC6">
        <w:tblPrEx>
          <w:tblW w:w="9752" w:type="dxa"/>
          <w:jc w:val="center"/>
          <w:tblLayout w:type="fixed"/>
          <w:tblCellMar>
            <w:left w:w="340" w:type="dxa"/>
            <w:right w:w="340" w:type="dxa"/>
          </w:tblCellMar>
          <w:tblLook w:val="04A0"/>
        </w:tblPrEx>
        <w:trPr>
          <w:jc w:val="center"/>
        </w:trPr>
        <w:tc>
          <w:tcPr>
            <w:tcW w:w="4876" w:type="dxa"/>
          </w:tcPr>
          <w:p w:rsidR="003B7FC6" w:rsidRPr="000E0711" w:rsidP="00A92590" w14:paraId="3F1D6EBC" w14:textId="77777777">
            <w:pPr>
              <w:pStyle w:val="Normal6a"/>
            </w:pPr>
          </w:p>
        </w:tc>
        <w:tc>
          <w:tcPr>
            <w:tcW w:w="4876" w:type="dxa"/>
          </w:tcPr>
          <w:p w:rsidR="003B7FC6" w:rsidRPr="000E0711" w:rsidP="00A92590" w14:paraId="672DEBA6" w14:textId="77777777">
            <w:pPr>
              <w:pStyle w:val="Normal6a"/>
              <w:rPr>
                <w:rStyle w:val="HideTWBExt"/>
                <w:rFonts w:ascii="Times New Roman" w:hAnsi="Times New Roman"/>
                <w:noProof w:val="0"/>
                <w:vanish w:val="0"/>
                <w:color w:val="auto"/>
                <w:sz w:val="24"/>
              </w:rPr>
            </w:pPr>
            <w:r w:rsidRPr="000E0711">
              <w:t>______________________</w:t>
            </w:r>
          </w:p>
        </w:tc>
      </w:tr>
      <w:tr w14:paraId="08F82719" w14:textId="77777777" w:rsidTr="003B7FC6">
        <w:tblPrEx>
          <w:tblW w:w="9752" w:type="dxa"/>
          <w:jc w:val="center"/>
          <w:tblLayout w:type="fixed"/>
          <w:tblCellMar>
            <w:left w:w="340" w:type="dxa"/>
            <w:right w:w="340" w:type="dxa"/>
          </w:tblCellMar>
          <w:tblLook w:val="04A0"/>
        </w:tblPrEx>
        <w:trPr>
          <w:jc w:val="center"/>
        </w:trPr>
        <w:tc>
          <w:tcPr>
            <w:tcW w:w="4876" w:type="dxa"/>
          </w:tcPr>
          <w:p w:rsidR="003B7FC6" w:rsidRPr="000E0711" w:rsidP="00A92590" w14:paraId="54AF5B68" w14:textId="77777777">
            <w:pPr>
              <w:pStyle w:val="Normal6a"/>
            </w:pPr>
          </w:p>
        </w:tc>
        <w:tc>
          <w:tcPr>
            <w:tcW w:w="4876" w:type="dxa"/>
          </w:tcPr>
          <w:p w:rsidR="003B7FC6" w:rsidRPr="000E0711" w:rsidP="003B7FC6" w14:paraId="665293AC" w14:textId="77777777">
            <w:pPr>
              <w:pStyle w:val="Normal6a"/>
            </w:pPr>
            <w:r w:rsidRPr="000E0711">
              <w:rPr>
                <w:b/>
                <w:i/>
                <w:vertAlign w:val="superscript"/>
              </w:rPr>
              <w:t>+</w:t>
            </w:r>
            <w:r w:rsidRPr="000E0711">
              <w:rPr>
                <w:b/>
                <w:i/>
              </w:rPr>
              <w:t xml:space="preserve"> Pro memoria: Proračunska ocena Odbora Evropskega parlamenta za proračun z dne 15. julija 2026 o predlogu uredbe Evropskega parlamenta in Sveta o vzpostavitvi o vzpostavitvi programa AgoraEU za obdobje 2028–2034 ter razveljavitvi uredb (EU) 2021/692 in (EU) 2021/818 (COM(2025)0550).</w:t>
            </w:r>
          </w:p>
        </w:tc>
      </w:tr>
      <w:tr w14:paraId="2C8C0E32" w14:textId="77777777" w:rsidTr="003B7FC6">
        <w:tblPrEx>
          <w:tblW w:w="9752" w:type="dxa"/>
          <w:jc w:val="center"/>
          <w:tblLayout w:type="fixed"/>
          <w:tblCellMar>
            <w:left w:w="340" w:type="dxa"/>
            <w:right w:w="340" w:type="dxa"/>
          </w:tblCellMar>
          <w:tblLook w:val="04A0"/>
        </w:tblPrEx>
        <w:trPr>
          <w:jc w:val="center"/>
        </w:trPr>
        <w:tc>
          <w:tcPr>
            <w:tcW w:w="4876" w:type="dxa"/>
          </w:tcPr>
          <w:p w:rsidR="00395F78" w:rsidRPr="000E0711" w:rsidP="00A92590" w14:paraId="330095FE" w14:textId="77777777">
            <w:pPr>
              <w:pStyle w:val="Normal6a"/>
            </w:pPr>
          </w:p>
        </w:tc>
        <w:tc>
          <w:tcPr>
            <w:tcW w:w="4876" w:type="dxa"/>
          </w:tcPr>
          <w:p w:rsidR="00395F78" w:rsidRPr="000E0711" w:rsidP="003B7FC6" w14:paraId="3886F5AF" w14:textId="77777777">
            <w:pPr>
              <w:pStyle w:val="Normal6a"/>
              <w:rPr>
                <w:b/>
                <w:bCs/>
                <w:i/>
                <w:iCs/>
                <w:vertAlign w:val="superscript"/>
              </w:rPr>
            </w:pPr>
            <w:r w:rsidRPr="000E0711">
              <w:rPr>
                <w:b/>
                <w:i/>
                <w:vertAlign w:val="superscript"/>
              </w:rPr>
              <w:t>[1]</w:t>
            </w:r>
            <w:r w:rsidRPr="000E0711">
              <w:rPr>
                <w:b/>
                <w:i/>
              </w:rPr>
              <w:t xml:space="preserve"> Uredba (EU, Euratom) 2024/2509 Evropskega parlamenta in Sveta z dne 23. septembra 2024 o finančnih pravilih, ki se uporabljajo za splošni proračun Unije (UL L, 2024/2509, 26.9.2024, ELI: http://data.europa.eu/eli/reg/2024/2509/oj).</w:t>
            </w:r>
          </w:p>
        </w:tc>
      </w:tr>
    </w:tbl>
    <w:p w:rsidR="0068168E" w:rsidRPr="000E0711" w:rsidP="0068168E" w14:paraId="140962EB" w14:textId="77777777">
      <w:pPr>
        <w:rPr>
          <w:rStyle w:val="HideTWBExt"/>
          <w:rFonts w:eastAsiaTheme="majorEastAsia"/>
        </w:rPr>
      </w:pPr>
      <w:r w:rsidRPr="000E0711">
        <w:rPr>
          <w:rStyle w:val="HideTWBExt"/>
        </w:rPr>
        <w:t>&lt;/Amend&gt;</w:t>
      </w:r>
    </w:p>
    <w:p w:rsidR="003B60FC" w:rsidRPr="000E0711" w:rsidP="00EA6DE0" w14:paraId="4724812D" w14:textId="77777777">
      <w:pPr>
        <w:pStyle w:val="AmNumberTabs"/>
        <w:keepNext/>
      </w:pPr>
      <w:r w:rsidRPr="000E0711">
        <w:rPr>
          <w:rStyle w:val="HideTWBExt"/>
          <w:b w:val="0"/>
        </w:rPr>
        <w:t>&lt;Amend&gt;</w:t>
      </w:r>
      <w:r w:rsidRPr="000E0711">
        <w:t>Predlog spremembe</w:t>
      </w:r>
      <w:r w:rsidRPr="000E0711">
        <w:tab/>
      </w:r>
      <w:r w:rsidRPr="000E0711">
        <w:tab/>
      </w:r>
      <w:r w:rsidRPr="000E0711">
        <w:rPr>
          <w:rStyle w:val="HideTWBExt"/>
          <w:b w:val="0"/>
        </w:rPr>
        <w:t>&lt;NumAm&gt;</w:t>
      </w:r>
      <w:r w:rsidRPr="000E0711">
        <w:t>6</w:t>
      </w:r>
      <w:r w:rsidRPr="000E0711">
        <w:rPr>
          <w:rStyle w:val="HideTWBExt"/>
          <w:b w:val="0"/>
        </w:rPr>
        <w:t>&lt;/NumAm&gt;</w:t>
      </w:r>
    </w:p>
    <w:p w:rsidR="003B60FC" w:rsidRPr="000E0711" w:rsidP="00EA6DE0" w14:paraId="5E7C70D7" w14:textId="77777777">
      <w:pPr>
        <w:pStyle w:val="NormalBold12b"/>
        <w:keepNext/>
      </w:pPr>
      <w:r w:rsidRPr="000E0711">
        <w:rPr>
          <w:rStyle w:val="HideTWBExt"/>
          <w:b w:val="0"/>
        </w:rPr>
        <w:t>&lt;DocAmend&gt;</w:t>
      </w:r>
      <w:r w:rsidRPr="000E0711">
        <w:t>Predlog uredbe</w:t>
      </w:r>
      <w:r w:rsidRPr="000E0711">
        <w:rPr>
          <w:rStyle w:val="HideTWBExt"/>
          <w:b w:val="0"/>
        </w:rPr>
        <w:t>&lt;/DocAmend&gt;</w:t>
      </w:r>
    </w:p>
    <w:p w:rsidR="003B60FC" w:rsidRPr="000E0711" w:rsidP="00EA6DE0" w14:paraId="6701CB9C" w14:textId="77777777">
      <w:pPr>
        <w:pStyle w:val="NormalBold"/>
      </w:pPr>
      <w:r w:rsidRPr="000E0711">
        <w:rPr>
          <w:rStyle w:val="HideTWBExt"/>
          <w:b w:val="0"/>
        </w:rPr>
        <w:t>&lt;Article&gt;</w:t>
      </w:r>
      <w:r w:rsidRPr="000E0711">
        <w:t>Člen 11 – odstavek 1</w:t>
      </w:r>
      <w:r w:rsidRPr="000E071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16ED9C8" w14:textId="77777777" w:rsidTr="003B60FC">
        <w:tblPrEx>
          <w:tblW w:w="9752" w:type="dxa"/>
          <w:jc w:val="center"/>
          <w:tblLayout w:type="fixed"/>
          <w:tblCellMar>
            <w:left w:w="340" w:type="dxa"/>
            <w:right w:w="340" w:type="dxa"/>
          </w:tblCellMar>
          <w:tblLook w:val="04A0"/>
        </w:tblPrEx>
        <w:trPr>
          <w:jc w:val="center"/>
        </w:trPr>
        <w:tc>
          <w:tcPr>
            <w:tcW w:w="9752" w:type="dxa"/>
            <w:gridSpan w:val="2"/>
          </w:tcPr>
          <w:p w:rsidR="003B60FC" w:rsidRPr="000E0711" w:rsidP="00A92590" w14:paraId="4AED01E7" w14:textId="77777777">
            <w:pPr>
              <w:keepNext/>
            </w:pPr>
          </w:p>
        </w:tc>
      </w:tr>
      <w:tr w14:paraId="446DFC7A" w14:textId="77777777" w:rsidTr="003B60FC">
        <w:tblPrEx>
          <w:tblW w:w="9752" w:type="dxa"/>
          <w:jc w:val="center"/>
          <w:tblLayout w:type="fixed"/>
          <w:tblCellMar>
            <w:left w:w="340" w:type="dxa"/>
            <w:right w:w="340" w:type="dxa"/>
          </w:tblCellMar>
          <w:tblLook w:val="04A0"/>
        </w:tblPrEx>
        <w:trPr>
          <w:jc w:val="center"/>
        </w:trPr>
        <w:tc>
          <w:tcPr>
            <w:tcW w:w="4876" w:type="dxa"/>
            <w:hideMark/>
          </w:tcPr>
          <w:p w:rsidR="003B60FC" w:rsidRPr="000E0711" w:rsidP="00A92590" w14:paraId="14A57F7D" w14:textId="77777777">
            <w:pPr>
              <w:pStyle w:val="AmColumnHeading"/>
              <w:keepNext/>
            </w:pPr>
            <w:r w:rsidRPr="000E0711">
              <w:t>Besedilo, ki ga predlaga Komisija</w:t>
            </w:r>
          </w:p>
        </w:tc>
        <w:tc>
          <w:tcPr>
            <w:tcW w:w="4876" w:type="dxa"/>
            <w:hideMark/>
          </w:tcPr>
          <w:p w:rsidR="003B60FC" w:rsidRPr="000E0711" w:rsidP="00A92590" w14:paraId="2C1889DF" w14:textId="77777777">
            <w:pPr>
              <w:pStyle w:val="AmColumnHeading"/>
              <w:keepNext/>
            </w:pPr>
            <w:r w:rsidRPr="000E0711">
              <w:t>Predlog spremembe</w:t>
            </w:r>
          </w:p>
        </w:tc>
      </w:tr>
      <w:tr w14:paraId="6DFC60BA" w14:textId="77777777" w:rsidTr="003B60FC">
        <w:tblPrEx>
          <w:tblW w:w="9752" w:type="dxa"/>
          <w:jc w:val="center"/>
          <w:tblLayout w:type="fixed"/>
          <w:tblCellMar>
            <w:left w:w="340" w:type="dxa"/>
            <w:right w:w="340" w:type="dxa"/>
          </w:tblCellMar>
          <w:tblLook w:val="04A0"/>
        </w:tblPrEx>
        <w:trPr>
          <w:jc w:val="center"/>
        </w:trPr>
        <w:tc>
          <w:tcPr>
            <w:tcW w:w="4876" w:type="dxa"/>
            <w:hideMark/>
          </w:tcPr>
          <w:p w:rsidR="003B60FC" w:rsidRPr="000E0711" w:rsidP="00A92590" w14:paraId="4A7BA8F4" w14:textId="77777777">
            <w:pPr>
              <w:pStyle w:val="Normal6a"/>
            </w:pPr>
            <w:r w:rsidRPr="000E0711">
              <w:t>1.</w:t>
            </w:r>
            <w:r w:rsidRPr="000E0711">
              <w:rPr>
                <w:b/>
                <w:i/>
              </w:rPr>
              <w:tab/>
            </w:r>
            <w:r w:rsidRPr="000E0711">
              <w:rPr>
                <w:b/>
                <w:bCs/>
                <w:i/>
                <w:iCs/>
              </w:rPr>
              <w:t>Okvirna finančna</w:t>
            </w:r>
            <w:r w:rsidRPr="000E0711">
              <w:t xml:space="preserve"> sredstva za izvajanje </w:t>
            </w:r>
            <w:r w:rsidRPr="000E0711">
              <w:rPr>
                <w:b/>
                <w:bCs/>
                <w:i/>
                <w:iCs/>
              </w:rPr>
              <w:t>programa</w:t>
            </w:r>
            <w:r w:rsidRPr="000E0711">
              <w:t xml:space="preserve"> za obdobje 2028–2034 znašajo </w:t>
            </w:r>
            <w:r w:rsidRPr="000E0711">
              <w:rPr>
                <w:b/>
                <w:bCs/>
                <w:i/>
                <w:iCs/>
              </w:rPr>
              <w:t>8 582 000 000 EUR</w:t>
            </w:r>
            <w:r w:rsidRPr="000E0711">
              <w:t xml:space="preserve"> v tekočih cenah.</w:t>
            </w:r>
          </w:p>
        </w:tc>
        <w:tc>
          <w:tcPr>
            <w:tcW w:w="4876" w:type="dxa"/>
            <w:hideMark/>
          </w:tcPr>
          <w:p w:rsidR="003B60FC" w:rsidRPr="000E0711" w:rsidP="00A92590" w14:paraId="050D6585" w14:textId="77777777">
            <w:pPr>
              <w:pStyle w:val="Normal6a"/>
            </w:pPr>
            <w:r w:rsidRPr="000E0711">
              <w:t>1.</w:t>
            </w:r>
            <w:r w:rsidRPr="000E0711">
              <w:rPr>
                <w:b/>
                <w:i/>
              </w:rPr>
              <w:tab/>
            </w:r>
            <w:r w:rsidRPr="000E0711">
              <w:rPr>
                <w:b/>
                <w:bCs/>
                <w:i/>
                <w:iCs/>
              </w:rPr>
              <w:t>Programska</w:t>
            </w:r>
            <w:r w:rsidRPr="000E0711">
              <w:t xml:space="preserve"> sredstva za izvajanje </w:t>
            </w:r>
            <w:r w:rsidRPr="000E0711">
              <w:rPr>
                <w:b/>
                <w:bCs/>
                <w:i/>
                <w:iCs/>
              </w:rPr>
              <w:t>te uredbe</w:t>
            </w:r>
            <w:r w:rsidRPr="000E0711">
              <w:t xml:space="preserve"> za obdobje 2028–2034 znašajo </w:t>
            </w:r>
            <w:r w:rsidRPr="000E0711">
              <w:rPr>
                <w:b/>
                <w:bCs/>
                <w:i/>
                <w:iCs/>
              </w:rPr>
              <w:t>10 720 330 000 EUR</w:t>
            </w:r>
            <w:r w:rsidRPr="000E0711">
              <w:t xml:space="preserve"> v tekočih cenah </w:t>
            </w:r>
            <w:r w:rsidRPr="000E0711">
              <w:rPr>
                <w:b/>
                <w:bCs/>
                <w:i/>
                <w:iCs/>
              </w:rPr>
              <w:t>(9 500 000 000 EUR v cenah iz leta 2025).</w:t>
            </w:r>
          </w:p>
        </w:tc>
      </w:tr>
    </w:tbl>
    <w:p w:rsidR="00B77427" w:rsidRPr="000E0711" w:rsidP="00B77427" w14:paraId="0617AF5E" w14:textId="77777777">
      <w:pPr>
        <w:rPr>
          <w:rStyle w:val="HideTWBExt"/>
          <w:rFonts w:eastAsiaTheme="majorEastAsia"/>
        </w:rPr>
      </w:pPr>
      <w:r w:rsidRPr="000E0711">
        <w:rPr>
          <w:rStyle w:val="HideTWBExt"/>
        </w:rPr>
        <w:t>&lt;/Amend&gt;</w:t>
      </w:r>
    </w:p>
    <w:p w:rsidR="00457488" w:rsidRPr="000E0711" w:rsidP="00457488" w14:paraId="55AF5CEC" w14:textId="77777777">
      <w:pPr>
        <w:pStyle w:val="AmNumberTabs"/>
        <w:keepNext/>
      </w:pPr>
      <w:r w:rsidRPr="000E0711">
        <w:rPr>
          <w:rStyle w:val="HideTWBExt"/>
          <w:b w:val="0"/>
        </w:rPr>
        <w:t>&lt;Amend&gt;</w:t>
      </w:r>
      <w:r w:rsidRPr="000E0711">
        <w:t>Predlog spremembe</w:t>
      </w:r>
      <w:r w:rsidRPr="000E0711">
        <w:tab/>
      </w:r>
      <w:r w:rsidRPr="000E0711">
        <w:tab/>
      </w:r>
      <w:r w:rsidRPr="000E0711">
        <w:rPr>
          <w:rStyle w:val="HideTWBExt"/>
          <w:b w:val="0"/>
        </w:rPr>
        <w:t>&lt;NumAm&gt;</w:t>
      </w:r>
      <w:r w:rsidRPr="000E0711">
        <w:t>7</w:t>
      </w:r>
      <w:r w:rsidRPr="000E0711">
        <w:rPr>
          <w:rStyle w:val="HideTWBExt"/>
          <w:b w:val="0"/>
        </w:rPr>
        <w:t>&lt;/NumAm&gt;</w:t>
      </w:r>
    </w:p>
    <w:p w:rsidR="00457488" w:rsidRPr="000E0711" w:rsidP="00457488" w14:paraId="438CB748" w14:textId="77777777">
      <w:pPr>
        <w:pStyle w:val="NormalBold12b"/>
        <w:keepNext/>
      </w:pPr>
      <w:r w:rsidRPr="000E0711">
        <w:rPr>
          <w:rStyle w:val="HideTWBExt"/>
          <w:b w:val="0"/>
        </w:rPr>
        <w:t>&lt;DocAmend&gt;</w:t>
      </w:r>
      <w:r w:rsidRPr="000E0711">
        <w:t>Predlog uredbe</w:t>
      </w:r>
      <w:r w:rsidRPr="000E0711">
        <w:rPr>
          <w:rStyle w:val="HideTWBExt"/>
          <w:b w:val="0"/>
        </w:rPr>
        <w:t>&lt;/DocAmend&gt;</w:t>
      </w:r>
    </w:p>
    <w:p w:rsidR="00457488" w:rsidRPr="000E0711" w:rsidP="00457488" w14:paraId="08600E11" w14:textId="77777777">
      <w:pPr>
        <w:pStyle w:val="NormalBold"/>
      </w:pPr>
      <w:r w:rsidRPr="000E0711">
        <w:rPr>
          <w:rStyle w:val="HideTWBExt"/>
          <w:b w:val="0"/>
        </w:rPr>
        <w:t>&lt;Article&gt;</w:t>
      </w:r>
      <w:r w:rsidRPr="000E0711">
        <w:t>Člen 13 – odstavek 1</w:t>
      </w:r>
      <w:r w:rsidRPr="000E071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146AACD" w14:textId="77777777" w:rsidTr="00460880">
        <w:tblPrEx>
          <w:tblW w:w="9752" w:type="dxa"/>
          <w:jc w:val="center"/>
          <w:tblLayout w:type="fixed"/>
          <w:tblCellMar>
            <w:left w:w="340" w:type="dxa"/>
            <w:right w:w="340" w:type="dxa"/>
          </w:tblCellMar>
          <w:tblLook w:val="04A0"/>
        </w:tblPrEx>
        <w:trPr>
          <w:jc w:val="center"/>
        </w:trPr>
        <w:tc>
          <w:tcPr>
            <w:tcW w:w="9752" w:type="dxa"/>
            <w:gridSpan w:val="2"/>
          </w:tcPr>
          <w:p w:rsidR="00457488" w:rsidRPr="000E0711" w:rsidP="00460880" w14:paraId="68084B89" w14:textId="77777777">
            <w:pPr>
              <w:keepNext/>
            </w:pPr>
          </w:p>
        </w:tc>
      </w:tr>
      <w:tr w14:paraId="1B26DA3A" w14:textId="77777777" w:rsidTr="00460880">
        <w:tblPrEx>
          <w:tblW w:w="9752" w:type="dxa"/>
          <w:jc w:val="center"/>
          <w:tblLayout w:type="fixed"/>
          <w:tblCellMar>
            <w:left w:w="340" w:type="dxa"/>
            <w:right w:w="340" w:type="dxa"/>
          </w:tblCellMar>
          <w:tblLook w:val="04A0"/>
        </w:tblPrEx>
        <w:trPr>
          <w:jc w:val="center"/>
        </w:trPr>
        <w:tc>
          <w:tcPr>
            <w:tcW w:w="4876" w:type="dxa"/>
            <w:hideMark/>
          </w:tcPr>
          <w:p w:rsidR="00457488" w:rsidRPr="000E0711" w:rsidP="00460880" w14:paraId="2F1340C2" w14:textId="77777777">
            <w:pPr>
              <w:pStyle w:val="AmColumnHeading"/>
              <w:keepNext/>
            </w:pPr>
            <w:r w:rsidRPr="000E0711">
              <w:t>Besedilo, ki ga predlaga Komisija</w:t>
            </w:r>
          </w:p>
        </w:tc>
        <w:tc>
          <w:tcPr>
            <w:tcW w:w="4876" w:type="dxa"/>
            <w:hideMark/>
          </w:tcPr>
          <w:p w:rsidR="00457488" w:rsidRPr="000E0711" w:rsidP="00460880" w14:paraId="10A8147E" w14:textId="77777777">
            <w:pPr>
              <w:pStyle w:val="AmColumnHeading"/>
              <w:keepNext/>
            </w:pPr>
            <w:r w:rsidRPr="000E0711">
              <w:t>Predlog spremembe</w:t>
            </w:r>
          </w:p>
        </w:tc>
      </w:tr>
      <w:tr w14:paraId="72498C7C" w14:textId="77777777" w:rsidTr="00460880">
        <w:tblPrEx>
          <w:tblW w:w="9752" w:type="dxa"/>
          <w:jc w:val="center"/>
          <w:tblLayout w:type="fixed"/>
          <w:tblCellMar>
            <w:left w:w="340" w:type="dxa"/>
            <w:right w:w="340" w:type="dxa"/>
          </w:tblCellMar>
          <w:tblLook w:val="04A0"/>
        </w:tblPrEx>
        <w:trPr>
          <w:jc w:val="center"/>
        </w:trPr>
        <w:tc>
          <w:tcPr>
            <w:tcW w:w="4876" w:type="dxa"/>
            <w:hideMark/>
          </w:tcPr>
          <w:p w:rsidR="00457488" w:rsidRPr="000E0711" w:rsidP="00460880" w14:paraId="3C8E9C3E" w14:textId="77777777">
            <w:pPr>
              <w:pStyle w:val="Normal6a"/>
            </w:pPr>
            <w:r w:rsidRPr="000E0711">
              <w:t>1.</w:t>
            </w:r>
            <w:r w:rsidRPr="000E0711">
              <w:tab/>
              <w:t>Program se izvaja v sinergiji z drugimi programi Unije. Ukrep, ki je prejel prispevek Unije iz drugega programa, lahko prejme tudi prispevek v okviru tega programa. Za ustrezni prispevek se uporabljajo pravila zadevnega programa Unije, lahko pa se za vse prispevke uporablja enoten sklop pravil in se sklene ena sama pravna obveznost. Če vsi prispevki Unije temeljijo na upravičenih stroških, kumulativna podpora iz proračuna Unije ne presega skupnih upravičenih stroškov ukrepa in se lahko izračuna sorazmerno v skladu z dokumenti, ki določajo pogoje za podporo.</w:t>
            </w:r>
          </w:p>
        </w:tc>
        <w:tc>
          <w:tcPr>
            <w:tcW w:w="4876" w:type="dxa"/>
            <w:hideMark/>
          </w:tcPr>
          <w:p w:rsidR="00457488" w:rsidRPr="000E0711" w:rsidP="00460880" w14:paraId="460CC0B4" w14:textId="77777777">
            <w:pPr>
              <w:pStyle w:val="Normal6a"/>
            </w:pPr>
            <w:r w:rsidRPr="000E0711">
              <w:t>1.</w:t>
            </w:r>
            <w:r w:rsidRPr="000E0711">
              <w:tab/>
              <w:t xml:space="preserve">Program se izvaja v sinergiji z drugimi programi Unije. Ukrep, ki je prejel prispevek Unije iz drugega programa, lahko prejme tudi prispevek v okviru tega programa. Za ustrezni prispevek se uporabljajo pravila zadevnega programa Unije, lahko pa se za vse prispevke uporablja enoten sklop pravil in se sklene ena sama pravna obveznost. Če se vsi prispevki Unije zagotavljajo na podlagi upravičenih stroškov, kumulativna podpora iz proračuna Unije ne presega skupnih upravičenih stroškov ukrepa in se lahko izračuna sorazmerno v skladu z dokumenti, ki določajo pogoje za podporo. </w:t>
            </w:r>
            <w:r w:rsidRPr="000E0711">
              <w:rPr>
                <w:b/>
                <w:i/>
              </w:rPr>
              <w:t>Komisija obravnava sinergije med programom in drugimi programi Unije v izjavi o smotrnosti programa iz člena 41(3)(h) Uredbe (EU, Euratom) 2024/2509 ter v ustreznih programskih dokumentih in dokumentih poročanja.</w:t>
            </w:r>
          </w:p>
        </w:tc>
      </w:tr>
    </w:tbl>
    <w:p w:rsidR="0068168E" w:rsidRPr="000E0711" w:rsidP="0068168E" w14:paraId="0A9F5BC0" w14:textId="77777777">
      <w:pPr>
        <w:rPr>
          <w:rStyle w:val="HideTWBExt"/>
          <w:rFonts w:eastAsiaTheme="majorEastAsia"/>
        </w:rPr>
      </w:pPr>
      <w:r w:rsidRPr="000E0711">
        <w:rPr>
          <w:rStyle w:val="HideTWBExt"/>
        </w:rPr>
        <w:t>&lt;/Amend&gt;</w:t>
      </w:r>
    </w:p>
    <w:p w:rsidR="00222A38" w:rsidRPr="000E0711" w:rsidP="00EA6DE0" w14:paraId="1E8F7B0A" w14:textId="77777777">
      <w:pPr>
        <w:pStyle w:val="AmNumberTabs"/>
        <w:keepNext/>
      </w:pPr>
      <w:r w:rsidRPr="000E0711">
        <w:rPr>
          <w:rStyle w:val="HideTWBExt"/>
          <w:b w:val="0"/>
        </w:rPr>
        <w:t>&lt;Amend&gt;</w:t>
      </w:r>
      <w:r w:rsidRPr="000E0711">
        <w:t>Predlog spremembe</w:t>
      </w:r>
      <w:r w:rsidRPr="000E0711">
        <w:tab/>
      </w:r>
      <w:r w:rsidRPr="000E0711">
        <w:tab/>
      </w:r>
      <w:r w:rsidRPr="000E0711">
        <w:rPr>
          <w:rStyle w:val="HideTWBExt"/>
          <w:b w:val="0"/>
        </w:rPr>
        <w:t>&lt;NumAm&gt;</w:t>
      </w:r>
      <w:r w:rsidRPr="000E0711">
        <w:t>8</w:t>
      </w:r>
      <w:r w:rsidRPr="000E0711">
        <w:rPr>
          <w:rStyle w:val="HideTWBExt"/>
          <w:b w:val="0"/>
        </w:rPr>
        <w:t>&lt;/NumAm&gt;</w:t>
      </w:r>
    </w:p>
    <w:p w:rsidR="00222A38" w:rsidRPr="000E0711" w:rsidP="00EA6DE0" w14:paraId="01700182" w14:textId="77777777">
      <w:pPr>
        <w:pStyle w:val="NormalBold12b"/>
        <w:keepNext/>
      </w:pPr>
      <w:r w:rsidRPr="000E0711">
        <w:rPr>
          <w:rStyle w:val="HideTWBExt"/>
          <w:b w:val="0"/>
        </w:rPr>
        <w:t>&lt;DocAmend&gt;</w:t>
      </w:r>
      <w:r w:rsidRPr="000E0711">
        <w:t>Predlog uredbe</w:t>
      </w:r>
      <w:r w:rsidRPr="000E0711">
        <w:rPr>
          <w:rStyle w:val="HideTWBExt"/>
          <w:b w:val="0"/>
        </w:rPr>
        <w:t>&lt;/DocAmend&gt;</w:t>
      </w:r>
    </w:p>
    <w:p w:rsidR="00222A38" w:rsidRPr="000E0711" w:rsidP="00EA6DE0" w14:paraId="40F687A8" w14:textId="77777777">
      <w:pPr>
        <w:pStyle w:val="NormalBold"/>
      </w:pPr>
      <w:r w:rsidRPr="000E0711">
        <w:rPr>
          <w:rStyle w:val="HideTWBExt"/>
          <w:b w:val="0"/>
        </w:rPr>
        <w:t>&lt;Article&gt;</w:t>
      </w:r>
      <w:r w:rsidRPr="000E0711">
        <w:t>Člen 15 – odstavek 4 a (novo)</w:t>
      </w:r>
      <w:r w:rsidRPr="000E071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8FDD692" w14:textId="77777777" w:rsidTr="00222A38">
        <w:tblPrEx>
          <w:tblW w:w="9752" w:type="dxa"/>
          <w:jc w:val="center"/>
          <w:tblLayout w:type="fixed"/>
          <w:tblCellMar>
            <w:left w:w="340" w:type="dxa"/>
            <w:right w:w="340" w:type="dxa"/>
          </w:tblCellMar>
          <w:tblLook w:val="04A0"/>
        </w:tblPrEx>
        <w:trPr>
          <w:jc w:val="center"/>
        </w:trPr>
        <w:tc>
          <w:tcPr>
            <w:tcW w:w="9752" w:type="dxa"/>
            <w:gridSpan w:val="2"/>
          </w:tcPr>
          <w:p w:rsidR="00222A38" w:rsidRPr="000E0711" w:rsidP="00A92590" w14:paraId="4CBF110C" w14:textId="77777777">
            <w:pPr>
              <w:keepNext/>
            </w:pPr>
          </w:p>
        </w:tc>
      </w:tr>
      <w:tr w14:paraId="6B954CB8"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222A38" w:rsidRPr="000E0711" w:rsidP="00A92590" w14:paraId="1D1D7762" w14:textId="77777777">
            <w:pPr>
              <w:pStyle w:val="AmColumnHeading"/>
              <w:keepNext/>
            </w:pPr>
            <w:r w:rsidRPr="000E0711">
              <w:t>Besedilo, ki ga predlaga Komisija</w:t>
            </w:r>
          </w:p>
        </w:tc>
        <w:tc>
          <w:tcPr>
            <w:tcW w:w="4876" w:type="dxa"/>
            <w:hideMark/>
          </w:tcPr>
          <w:p w:rsidR="00222A38" w:rsidRPr="000E0711" w:rsidP="00A92590" w14:paraId="0E79A400" w14:textId="77777777">
            <w:pPr>
              <w:pStyle w:val="AmColumnHeading"/>
              <w:keepNext/>
            </w:pPr>
            <w:r w:rsidRPr="000E0711">
              <w:t>Predlog spremembe</w:t>
            </w:r>
          </w:p>
        </w:tc>
      </w:tr>
      <w:tr w14:paraId="185ADF2E"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222A38" w:rsidRPr="000E0711" w:rsidP="00A92590" w14:paraId="59AD1BF0" w14:textId="77777777">
            <w:pPr>
              <w:pStyle w:val="Normal6a"/>
            </w:pPr>
          </w:p>
        </w:tc>
        <w:tc>
          <w:tcPr>
            <w:tcW w:w="4876" w:type="dxa"/>
            <w:hideMark/>
          </w:tcPr>
          <w:p w:rsidR="00222A38" w:rsidRPr="000E0711" w:rsidP="00A92590" w14:paraId="6115B202" w14:textId="77777777">
            <w:pPr>
              <w:pStyle w:val="Normal6a"/>
            </w:pPr>
            <w:r w:rsidRPr="000E0711">
              <w:rPr>
                <w:b/>
                <w:i/>
              </w:rPr>
              <w:t>4a.</w:t>
            </w:r>
            <w:r w:rsidRPr="000E0711">
              <w:rPr>
                <w:b/>
                <w:i/>
              </w:rPr>
              <w:tab/>
              <w:t>Kadar program zagotavlja financiranje finančnih instrumentov prek instrumenta InvestEU ESK, kot je določeno v odstavku 4 tega člena, se od [1. januarja 2028/datum začetka programa] z odstopanjem od prvega, drugega in četrtega pododstavka člena 212(3) Uredbe (EU, Euratom) 2024/2509 prihodki, vračila in izterjave iz teh finančnih instrumentov uporabijo za zagotavljanje podpore Unije na podlagi te uredbe. Ta sredstva so z odstopanjem od člena 21(3), točka (f), Uredbe (EU, Euratom) 2024/2509 in v skladu s členom 21(5) navedene uredbe zunanji namenski prejemki za program.</w:t>
            </w:r>
          </w:p>
        </w:tc>
      </w:tr>
    </w:tbl>
    <w:p w:rsidR="00222A38" w:rsidRPr="000E0711" w:rsidP="00F9166E" w14:paraId="7130A320" w14:textId="77777777">
      <w:pPr>
        <w:rPr>
          <w:rStyle w:val="HideTWBExt"/>
          <w:rFonts w:eastAsiaTheme="majorEastAsia"/>
        </w:rPr>
      </w:pPr>
      <w:r w:rsidRPr="000E0711">
        <w:rPr>
          <w:rStyle w:val="HideTWBExt"/>
        </w:rPr>
        <w:t>&lt;/Amend&gt;</w:t>
      </w:r>
    </w:p>
    <w:p w:rsidR="0052626E" w:rsidRPr="000E0711" w:rsidP="00EA6DE0" w14:paraId="71EF0466" w14:textId="77777777">
      <w:pPr>
        <w:pStyle w:val="AmNumberTabs"/>
        <w:keepNext/>
      </w:pPr>
      <w:r w:rsidRPr="000E0711">
        <w:rPr>
          <w:rStyle w:val="HideTWBExt"/>
          <w:b w:val="0"/>
        </w:rPr>
        <w:t>&lt;Amend&gt;</w:t>
      </w:r>
      <w:r w:rsidRPr="000E0711">
        <w:t>Predlog spremembe</w:t>
      </w:r>
      <w:r w:rsidRPr="000E0711">
        <w:tab/>
      </w:r>
      <w:r w:rsidRPr="000E0711">
        <w:tab/>
      </w:r>
      <w:r w:rsidRPr="000E0711">
        <w:rPr>
          <w:rStyle w:val="HideTWBExt"/>
          <w:b w:val="0"/>
        </w:rPr>
        <w:t>&lt;NumAm&gt;</w:t>
      </w:r>
      <w:r w:rsidRPr="000E0711">
        <w:t>9</w:t>
      </w:r>
      <w:r w:rsidRPr="000E0711">
        <w:rPr>
          <w:rStyle w:val="HideTWBExt"/>
          <w:b w:val="0"/>
        </w:rPr>
        <w:t>&lt;/NumAm&gt;</w:t>
      </w:r>
    </w:p>
    <w:p w:rsidR="0052626E" w:rsidRPr="000E0711" w:rsidP="00EA6DE0" w14:paraId="7988ADF8" w14:textId="77777777">
      <w:pPr>
        <w:pStyle w:val="NormalBold12b"/>
        <w:keepNext/>
      </w:pPr>
      <w:r w:rsidRPr="000E0711">
        <w:rPr>
          <w:rStyle w:val="HideTWBExt"/>
          <w:b w:val="0"/>
        </w:rPr>
        <w:t>&lt;DocAmend&gt;</w:t>
      </w:r>
      <w:r w:rsidRPr="000E0711">
        <w:t>Predlog uredbe</w:t>
      </w:r>
      <w:r w:rsidRPr="000E0711">
        <w:rPr>
          <w:rStyle w:val="HideTWBExt"/>
          <w:b w:val="0"/>
        </w:rPr>
        <w:t>&lt;/DocAmend&gt;</w:t>
      </w:r>
    </w:p>
    <w:p w:rsidR="0052626E" w:rsidRPr="000E0711" w:rsidP="00EA6DE0" w14:paraId="0B86F91C" w14:textId="77777777">
      <w:pPr>
        <w:pStyle w:val="NormalBold"/>
      </w:pPr>
      <w:r w:rsidRPr="000E0711">
        <w:rPr>
          <w:rStyle w:val="HideTWBExt"/>
          <w:b w:val="0"/>
        </w:rPr>
        <w:t>&lt;Article&gt;</w:t>
      </w:r>
      <w:r w:rsidRPr="000E0711">
        <w:t>Člen 15 – odstavek 6</w:t>
      </w:r>
      <w:r w:rsidRPr="000E071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C93DE49" w14:textId="77777777" w:rsidTr="0052626E">
        <w:tblPrEx>
          <w:tblW w:w="9752" w:type="dxa"/>
          <w:jc w:val="center"/>
          <w:tblLayout w:type="fixed"/>
          <w:tblCellMar>
            <w:left w:w="340" w:type="dxa"/>
            <w:right w:w="340" w:type="dxa"/>
          </w:tblCellMar>
          <w:tblLook w:val="04A0"/>
        </w:tblPrEx>
        <w:trPr>
          <w:jc w:val="center"/>
        </w:trPr>
        <w:tc>
          <w:tcPr>
            <w:tcW w:w="9752" w:type="dxa"/>
            <w:gridSpan w:val="2"/>
          </w:tcPr>
          <w:p w:rsidR="0052626E" w:rsidRPr="000E0711" w:rsidP="00A92590" w14:paraId="540F5DF2" w14:textId="77777777">
            <w:pPr>
              <w:keepNext/>
            </w:pPr>
          </w:p>
        </w:tc>
      </w:tr>
      <w:tr w14:paraId="49BDFE67" w14:textId="77777777" w:rsidTr="0052626E">
        <w:tblPrEx>
          <w:tblW w:w="9752" w:type="dxa"/>
          <w:jc w:val="center"/>
          <w:tblLayout w:type="fixed"/>
          <w:tblCellMar>
            <w:left w:w="340" w:type="dxa"/>
            <w:right w:w="340" w:type="dxa"/>
          </w:tblCellMar>
          <w:tblLook w:val="04A0"/>
        </w:tblPrEx>
        <w:trPr>
          <w:jc w:val="center"/>
        </w:trPr>
        <w:tc>
          <w:tcPr>
            <w:tcW w:w="4876" w:type="dxa"/>
            <w:hideMark/>
          </w:tcPr>
          <w:p w:rsidR="0052626E" w:rsidRPr="000E0711" w:rsidP="00A92590" w14:paraId="7FC37A65" w14:textId="77777777">
            <w:pPr>
              <w:pStyle w:val="AmColumnHeading"/>
              <w:keepNext/>
            </w:pPr>
            <w:r w:rsidRPr="000E0711">
              <w:t>Besedilo, ki ga predlaga Komisija</w:t>
            </w:r>
          </w:p>
        </w:tc>
        <w:tc>
          <w:tcPr>
            <w:tcW w:w="4876" w:type="dxa"/>
            <w:hideMark/>
          </w:tcPr>
          <w:p w:rsidR="0052626E" w:rsidRPr="000E0711" w:rsidP="00A92590" w14:paraId="093B79D8" w14:textId="77777777">
            <w:pPr>
              <w:pStyle w:val="AmColumnHeading"/>
              <w:keepNext/>
            </w:pPr>
            <w:r w:rsidRPr="000E0711">
              <w:t>Predlog spremembe</w:t>
            </w:r>
          </w:p>
        </w:tc>
      </w:tr>
      <w:tr w14:paraId="55CAB736" w14:textId="77777777" w:rsidTr="0052626E">
        <w:tblPrEx>
          <w:tblW w:w="9752" w:type="dxa"/>
          <w:jc w:val="center"/>
          <w:tblLayout w:type="fixed"/>
          <w:tblCellMar>
            <w:left w:w="340" w:type="dxa"/>
            <w:right w:w="340" w:type="dxa"/>
          </w:tblCellMar>
          <w:tblLook w:val="04A0"/>
        </w:tblPrEx>
        <w:trPr>
          <w:jc w:val="center"/>
        </w:trPr>
        <w:tc>
          <w:tcPr>
            <w:tcW w:w="4876" w:type="dxa"/>
            <w:hideMark/>
          </w:tcPr>
          <w:p w:rsidR="0052626E" w:rsidRPr="000E0711" w:rsidP="00A92590" w14:paraId="18D59255" w14:textId="77777777">
            <w:pPr>
              <w:pStyle w:val="Normal6a"/>
            </w:pPr>
            <w:r w:rsidRPr="000E0711">
              <w:t>6.</w:t>
            </w:r>
            <w:r w:rsidRPr="000E0711">
              <w:tab/>
              <w:t xml:space="preserve">Kadar se financiranje Unije zagotovi v obliki nepovratnih sredstev, se financiranje zagotovi </w:t>
            </w:r>
            <w:r w:rsidRPr="000E0711">
              <w:rPr>
                <w:b/>
                <w:bCs/>
                <w:i/>
                <w:iCs/>
              </w:rPr>
              <w:t>kot financiranje, ki ni povezano s stroški, ali po potrebi</w:t>
            </w:r>
            <w:r w:rsidRPr="000E0711">
              <w:t xml:space="preserve"> z uporabo možnosti poenostavljenega obračunavanja stroškov v skladu </w:t>
            </w:r>
            <w:r w:rsidRPr="000E0711">
              <w:rPr>
                <w:b/>
                <w:bCs/>
                <w:i/>
                <w:iCs/>
              </w:rPr>
              <w:t>z Uredbo</w:t>
            </w:r>
            <w:r w:rsidRPr="000E0711">
              <w:t xml:space="preserve"> (EU, Euratom) 2024/2509. Financiranje se lahko zagotovi v obliki povračila dejanskih upravičenih stroškov le, kadar ciljev ukrepa ni mogoče doseči drugače.</w:t>
            </w:r>
          </w:p>
        </w:tc>
        <w:tc>
          <w:tcPr>
            <w:tcW w:w="4876" w:type="dxa"/>
            <w:hideMark/>
          </w:tcPr>
          <w:p w:rsidR="0052626E" w:rsidRPr="000E0711" w:rsidP="00A92590" w14:paraId="545B8358" w14:textId="77777777">
            <w:pPr>
              <w:pStyle w:val="Normal6a"/>
            </w:pPr>
            <w:r w:rsidRPr="000E0711">
              <w:t>6.</w:t>
            </w:r>
            <w:r w:rsidRPr="000E0711">
              <w:tab/>
              <w:t xml:space="preserve">Kadar se financiranje Unije zagotovi v obliki nepovratnih sredstev, se financiranje zagotovi z uporabo možnosti poenostavljenega obračunavanja stroškov v skladu </w:t>
            </w:r>
            <w:r w:rsidRPr="000E0711">
              <w:rPr>
                <w:b/>
                <w:bCs/>
                <w:i/>
                <w:iCs/>
              </w:rPr>
              <w:t>s členom 125 Uredbe</w:t>
            </w:r>
            <w:r w:rsidRPr="000E0711">
              <w:t xml:space="preserve"> (EU, Euratom) 2024/2509. Financiranje se lahko zagotovi v obliki povračila dejanskih upravičenih stroškov le, kadar ciljev ukrepa ni mogoče doseči drugače.</w:t>
            </w:r>
          </w:p>
        </w:tc>
      </w:tr>
    </w:tbl>
    <w:p w:rsidR="0052626E" w:rsidRPr="000E0711" w:rsidP="00F9166E" w14:paraId="5CE37034" w14:textId="77777777">
      <w:r w:rsidRPr="000E0711">
        <w:rPr>
          <w:rStyle w:val="HideTWBExt"/>
        </w:rPr>
        <w:t>&lt;/Amend&gt;</w:t>
      </w:r>
    </w:p>
    <w:p w:rsidR="00864AF6" w:rsidRPr="000E0711" w:rsidP="00BF70F2" w14:paraId="1C544FB6" w14:textId="77777777">
      <w:r w:rsidRPr="000E0711">
        <w:rPr>
          <w:rStyle w:val="HideTWBExt"/>
        </w:rPr>
        <w:t>&lt;/RepeatBlock-Amend&gt;</w:t>
      </w:r>
    </w:p>
    <w:p w:rsidR="00864AF6" w:rsidRPr="00E75C03" w14:paraId="6982C445" w14:textId="77777777">
      <w:pPr>
        <w:widowControl/>
      </w:pPr>
    </w:p>
    <w:p w:rsidR="007C598C" w:rsidRPr="00E75C03" w14:paraId="58B06C06" w14:textId="77777777">
      <w:pPr>
        <w:widowControl/>
        <w:sectPr w:rsidSect="00AB298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539C0" w:rsidRPr="000E0711" w14:paraId="700C5AA4" w14:textId="77777777">
      <w:pPr>
        <w:widowControl/>
        <w:rPr>
          <w:rFonts w:ascii="Arial" w:hAnsi="Arial" w:cs="Arial"/>
          <w:b/>
        </w:rPr>
      </w:pPr>
      <w:bookmarkStart w:id="2" w:name="FootprintPageAD"/>
      <w:r w:rsidRPr="000E0711">
        <w:br w:type="page"/>
      </w:r>
    </w:p>
    <w:p w:rsidR="00864AF6" w:rsidRPr="000E0711" w:rsidP="002B2C72" w14:paraId="24FE3766" w14:textId="77777777">
      <w:pPr>
        <w:pStyle w:val="PageHeadingNotTOC"/>
      </w:pPr>
      <w:r w:rsidRPr="000E0711">
        <w:t>PRILOGA: IZJAVA O PRISPEVKIH</w:t>
      </w:r>
    </w:p>
    <w:p w:rsidR="00864AF6" w:rsidRPr="000E0711" w:rsidP="00037518" w14:paraId="47A00B29" w14:textId="77777777">
      <w:pPr>
        <w:pStyle w:val="Normal24a"/>
      </w:pPr>
      <w:r w:rsidRPr="000E0711">
        <w:rPr>
          <w:rStyle w:val="HideTWBExt"/>
        </w:rPr>
        <w:t>&lt;FootprintIntro&gt;</w:t>
      </w:r>
      <w:r w:rsidRPr="000E0711">
        <w:t>Pripravljavka proračunske ocene kot izključno pristojna izjavlja, da v svojo proračunsko oceno ni vključila prispevkov zastopnikov interesov, ki spadajo na področje uporabe Medinstitucionalnega sporazuma o obveznem registru za preglednost</w:t>
      </w:r>
      <w:r>
        <w:rPr>
          <w:rStyle w:val="FootnoteReference"/>
        </w:rPr>
        <w:footnoteReference w:id="6"/>
      </w:r>
      <w:r w:rsidRPr="000E0711">
        <w:t>, ali zastopnikov javnih organov tretjih držav, vključno z njihovimi diplomatskimi predstavništvi in veleposlaništvi, ki bi jih bilo treba navesti v tej prilogi na podlagi člena 8 Priloge I Poslovnika.</w:t>
      </w:r>
      <w:r w:rsidRPr="000E0711">
        <w:rPr>
          <w:rStyle w:val="HideTWBExt"/>
        </w:rPr>
        <w:t>&lt;/FootprintIntro&gt;</w:t>
      </w:r>
    </w:p>
    <w:bookmarkEnd w:id="2"/>
    <w:p w:rsidR="00BF70F2" w:rsidRPr="000E0711" w:rsidP="00AB298C" w14:paraId="61D90C31" w14:textId="77777777"/>
    <w:p w:rsidR="00AB298C" w:rsidRPr="000E0711" w:rsidP="00AB298C" w14:paraId="5EB5AE02" w14:textId="77777777">
      <w:pPr>
        <w:sectPr w:rsidSect="00AB298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B298C" w:rsidRPr="000E0711" w:rsidP="00AB298C" w14:paraId="7AE16661" w14:textId="77777777">
      <w:pPr>
        <w:pStyle w:val="PageHeadingNotTOC"/>
      </w:pPr>
      <w:bookmarkStart w:id="3" w:name="ProcPageAD"/>
      <w:r w:rsidRPr="000E0711">
        <w:t>POSTOPEK V ODBORU, ZAPROŠENEM ZA PRORAČUNSKO OCENO</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4783CD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0E0711" w14:paraId="34218768" w14:textId="77777777">
            <w:pPr>
              <w:autoSpaceDE w:val="0"/>
              <w:autoSpaceDN w:val="0"/>
              <w:adjustRightInd w:val="0"/>
              <w:rPr>
                <w:b/>
                <w:bCs/>
                <w:color w:val="000000"/>
                <w:sz w:val="20"/>
              </w:rPr>
            </w:pPr>
            <w:r w:rsidRPr="000E0711">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0E0711" w14:paraId="0554777A" w14:textId="77777777">
            <w:pPr>
              <w:autoSpaceDE w:val="0"/>
              <w:autoSpaceDN w:val="0"/>
              <w:adjustRightInd w:val="0"/>
              <w:rPr>
                <w:color w:val="000000"/>
                <w:sz w:val="20"/>
              </w:rPr>
            </w:pPr>
            <w:r w:rsidRPr="000E0711">
              <w:rPr>
                <w:color w:val="000000"/>
                <w:sz w:val="20"/>
              </w:rPr>
              <w:t>Vzpostavitev programa „AgoraEU“ za obdobje 2028–2034 ter razveljavitev uredb (EU) 2021/692 in (EU) 2021/818</w:t>
            </w:r>
          </w:p>
        </w:tc>
      </w:tr>
      <w:tr w14:paraId="6C9F0E02"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298C" w:rsidRPr="000E0711" w14:paraId="63C3D74E" w14:textId="77777777">
            <w:pPr>
              <w:autoSpaceDE w:val="0"/>
              <w:autoSpaceDN w:val="0"/>
              <w:adjustRightInd w:val="0"/>
              <w:rPr>
                <w:b/>
                <w:bCs/>
                <w:color w:val="000000"/>
                <w:sz w:val="20"/>
              </w:rPr>
            </w:pPr>
            <w:r w:rsidRPr="000E0711">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B298C" w:rsidRPr="000E0711" w14:paraId="6B27B030" w14:textId="77777777">
            <w:pPr>
              <w:autoSpaceDE w:val="0"/>
              <w:autoSpaceDN w:val="0"/>
              <w:adjustRightInd w:val="0"/>
              <w:rPr>
                <w:color w:val="000000"/>
                <w:sz w:val="20"/>
              </w:rPr>
            </w:pPr>
            <w:r w:rsidRPr="000E0711">
              <w:rPr>
                <w:color w:val="000000"/>
                <w:sz w:val="20"/>
              </w:rPr>
              <w:t>COM(2025)0550 – C10-0173/2025 – 2025/0550(COD)</w:t>
            </w:r>
          </w:p>
        </w:tc>
      </w:tr>
      <w:tr w14:paraId="15506FE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0E0711" w14:paraId="2CE94436" w14:textId="77777777">
            <w:pPr>
              <w:autoSpaceDE w:val="0"/>
              <w:autoSpaceDN w:val="0"/>
              <w:adjustRightInd w:val="0"/>
              <w:rPr>
                <w:b/>
                <w:bCs/>
                <w:color w:val="000000"/>
                <w:sz w:val="20"/>
              </w:rPr>
            </w:pPr>
            <w:r w:rsidRPr="000E0711">
              <w:rPr>
                <w:b/>
                <w:color w:val="000000"/>
                <w:sz w:val="20"/>
              </w:rPr>
              <w:t>Pristojni odbor</w:t>
            </w:r>
          </w:p>
          <w:p w:rsidR="00AB298C" w:rsidRPr="000E0711" w14:paraId="0BEA8B3C" w14:textId="77777777">
            <w:pPr>
              <w:autoSpaceDE w:val="0"/>
              <w:autoSpaceDN w:val="0"/>
              <w:adjustRightInd w:val="0"/>
              <w:rPr>
                <w:color w:val="000000"/>
                <w:sz w:val="20"/>
              </w:rPr>
            </w:pPr>
            <w:r w:rsidRPr="000E0711">
              <w:rPr>
                <w:color w:val="000000"/>
                <w:sz w:val="20"/>
              </w:rPr>
              <w:t>       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298C" w:rsidRPr="000E0711" w14:paraId="3FEC3871" w14:textId="77777777">
            <w:pPr>
              <w:autoSpaceDE w:val="0"/>
              <w:autoSpaceDN w:val="0"/>
              <w:adjustRightInd w:val="0"/>
              <w:rPr>
                <w:color w:val="000000"/>
                <w:sz w:val="20"/>
              </w:rPr>
            </w:pPr>
            <w:r w:rsidRPr="000E0711">
              <w:rPr>
                <w:color w:val="000000"/>
                <w:sz w:val="20"/>
              </w:rPr>
              <w:t>CULT</w:t>
            </w:r>
          </w:p>
          <w:p w:rsidR="00AB298C" w:rsidRPr="000E0711" w14:paraId="643E1101" w14:textId="77777777">
            <w:pPr>
              <w:autoSpaceDE w:val="0"/>
              <w:autoSpaceDN w:val="0"/>
              <w:adjustRightInd w:val="0"/>
              <w:rPr>
                <w:color w:val="000000"/>
                <w:sz w:val="20"/>
              </w:rPr>
            </w:pPr>
            <w:r w:rsidRPr="000E071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0E0711" w14:paraId="3C1F37EB" w14:textId="77777777">
            <w:pPr>
              <w:autoSpaceDE w:val="0"/>
              <w:autoSpaceDN w:val="0"/>
              <w:adjustRightInd w:val="0"/>
              <w:rPr>
                <w:color w:val="000000"/>
                <w:sz w:val="20"/>
              </w:rPr>
            </w:pPr>
            <w:r w:rsidRPr="000E0711">
              <w:rPr>
                <w:color w:val="000000"/>
                <w:sz w:val="20"/>
              </w:rPr>
              <w:t>LIBE</w:t>
            </w:r>
          </w:p>
          <w:p w:rsidR="00AB298C" w:rsidRPr="000E0711" w14:paraId="14B10312" w14:textId="77777777">
            <w:pPr>
              <w:autoSpaceDE w:val="0"/>
              <w:autoSpaceDN w:val="0"/>
              <w:adjustRightInd w:val="0"/>
              <w:rPr>
                <w:color w:val="000000"/>
                <w:sz w:val="20"/>
              </w:rPr>
            </w:pPr>
            <w:r w:rsidRPr="000E071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0E0711" w14:paraId="65CF951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0E0711" w14:paraId="67968A9C" w14:textId="77777777">
            <w:pPr>
              <w:autoSpaceDE w:val="0"/>
              <w:autoSpaceDN w:val="0"/>
              <w:adjustRightInd w:val="0"/>
              <w:rPr>
                <w:rFonts w:ascii="sans-serif" w:hAnsi="sans-serif" w:cs="sans-serif"/>
                <w:color w:val="000000"/>
              </w:rPr>
            </w:pPr>
          </w:p>
        </w:tc>
      </w:tr>
      <w:tr w14:paraId="00317F0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0E0711" w14:paraId="49E25DC4" w14:textId="77777777">
            <w:pPr>
              <w:autoSpaceDE w:val="0"/>
              <w:autoSpaceDN w:val="0"/>
              <w:adjustRightInd w:val="0"/>
              <w:rPr>
                <w:b/>
                <w:bCs/>
                <w:color w:val="000000"/>
                <w:sz w:val="20"/>
              </w:rPr>
            </w:pPr>
            <w:r w:rsidRPr="000E0711">
              <w:rPr>
                <w:b/>
                <w:color w:val="000000"/>
                <w:sz w:val="20"/>
              </w:rPr>
              <w:t>Odbor, zaprošen za proračunsko oceno</w:t>
            </w:r>
          </w:p>
          <w:p w:rsidR="00AB298C" w:rsidRPr="000E0711" w14:paraId="0C34086A" w14:textId="77777777">
            <w:pPr>
              <w:autoSpaceDE w:val="0"/>
              <w:autoSpaceDN w:val="0"/>
              <w:adjustRightInd w:val="0"/>
              <w:rPr>
                <w:color w:val="000000"/>
                <w:sz w:val="20"/>
              </w:rPr>
            </w:pPr>
            <w:r w:rsidRPr="000E0711">
              <w:rPr>
                <w:color w:val="000000"/>
                <w:sz w:val="20"/>
              </w:rPr>
              <w:t>       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0E0711" w14:paraId="433386AD" w14:textId="77777777">
            <w:pPr>
              <w:autoSpaceDE w:val="0"/>
              <w:autoSpaceDN w:val="0"/>
              <w:adjustRightInd w:val="0"/>
              <w:rPr>
                <w:color w:val="000000"/>
                <w:sz w:val="20"/>
              </w:rPr>
            </w:pPr>
            <w:r w:rsidRPr="000E0711">
              <w:rPr>
                <w:color w:val="000000"/>
                <w:sz w:val="20"/>
              </w:rPr>
              <w:t>BUDG</w:t>
            </w:r>
          </w:p>
          <w:p w:rsidR="00AB298C" w:rsidRPr="000E0711" w14:paraId="2AC26F38" w14:textId="77777777">
            <w:pPr>
              <w:autoSpaceDE w:val="0"/>
              <w:autoSpaceDN w:val="0"/>
              <w:adjustRightInd w:val="0"/>
              <w:rPr>
                <w:color w:val="000000"/>
                <w:sz w:val="20"/>
              </w:rPr>
            </w:pPr>
            <w:r w:rsidRPr="000E0711">
              <w:rPr>
                <w:color w:val="000000"/>
                <w:sz w:val="20"/>
              </w:rPr>
              <w:t>23.10.2025</w:t>
            </w:r>
          </w:p>
        </w:tc>
      </w:tr>
      <w:tr w14:paraId="3E46AB4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0E0711" w14:paraId="05E3E90C" w14:textId="77777777">
            <w:pPr>
              <w:autoSpaceDE w:val="0"/>
              <w:autoSpaceDN w:val="0"/>
              <w:adjustRightInd w:val="0"/>
              <w:rPr>
                <w:b/>
                <w:bCs/>
                <w:color w:val="000000"/>
                <w:sz w:val="20"/>
              </w:rPr>
            </w:pPr>
            <w:r w:rsidRPr="000E0711">
              <w:rPr>
                <w:b/>
                <w:color w:val="000000"/>
                <w:sz w:val="20"/>
              </w:rPr>
              <w:t>Pripravljavka proračunske ocene</w:t>
            </w:r>
          </w:p>
          <w:p w:rsidR="00AB298C" w:rsidRPr="000E0711" w14:paraId="1370243D" w14:textId="77777777">
            <w:pPr>
              <w:autoSpaceDE w:val="0"/>
              <w:autoSpaceDN w:val="0"/>
              <w:adjustRightInd w:val="0"/>
              <w:rPr>
                <w:color w:val="000000"/>
                <w:sz w:val="20"/>
              </w:rPr>
            </w:pPr>
            <w:r w:rsidRPr="000E0711">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0E0711" w14:paraId="502B06D2" w14:textId="77777777">
            <w:pPr>
              <w:autoSpaceDE w:val="0"/>
              <w:autoSpaceDN w:val="0"/>
              <w:adjustRightInd w:val="0"/>
              <w:rPr>
                <w:color w:val="000000"/>
                <w:sz w:val="20"/>
              </w:rPr>
            </w:pPr>
            <w:r w:rsidRPr="000E0711">
              <w:rPr>
                <w:color w:val="000000"/>
                <w:sz w:val="20"/>
              </w:rPr>
              <w:t>Sandra Gómez López</w:t>
            </w:r>
          </w:p>
          <w:p w:rsidR="00AB298C" w:rsidRPr="000E0711" w14:paraId="1DB184F7" w14:textId="77777777">
            <w:pPr>
              <w:autoSpaceDE w:val="0"/>
              <w:autoSpaceDN w:val="0"/>
              <w:adjustRightInd w:val="0"/>
              <w:rPr>
                <w:color w:val="000000"/>
                <w:sz w:val="20"/>
              </w:rPr>
            </w:pPr>
            <w:r w:rsidRPr="000E0711">
              <w:rPr>
                <w:color w:val="000000"/>
                <w:sz w:val="20"/>
              </w:rPr>
              <w:t>25.2.2026</w:t>
            </w:r>
          </w:p>
        </w:tc>
      </w:tr>
      <w:tr w14:paraId="5572909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0E0711" w14:paraId="3825C1CC" w14:textId="77777777">
            <w:pPr>
              <w:autoSpaceDE w:val="0"/>
              <w:autoSpaceDN w:val="0"/>
              <w:adjustRightInd w:val="0"/>
              <w:rPr>
                <w:b/>
                <w:bCs/>
                <w:color w:val="000000"/>
                <w:sz w:val="20"/>
              </w:rPr>
            </w:pPr>
            <w:r w:rsidRPr="000E0711">
              <w:rPr>
                <w:b/>
                <w:color w:val="000000"/>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298C" w:rsidRPr="000E0711" w14:paraId="1B888461" w14:textId="77777777">
            <w:pPr>
              <w:autoSpaceDE w:val="0"/>
              <w:autoSpaceDN w:val="0"/>
              <w:adjustRightInd w:val="0"/>
              <w:rPr>
                <w:color w:val="000000"/>
                <w:sz w:val="20"/>
              </w:rPr>
            </w:pPr>
            <w:r w:rsidRPr="000E0711">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0E0711" w14:paraId="5F4B4BD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0E0711" w14:paraId="66A93F5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0E0711" w14:paraId="05EFA3FB" w14:textId="77777777">
            <w:pPr>
              <w:autoSpaceDE w:val="0"/>
              <w:autoSpaceDN w:val="0"/>
              <w:adjustRightInd w:val="0"/>
              <w:rPr>
                <w:rFonts w:ascii="sans-serif" w:hAnsi="sans-serif" w:cs="sans-serif"/>
                <w:color w:val="000000"/>
              </w:rPr>
            </w:pPr>
          </w:p>
        </w:tc>
      </w:tr>
      <w:tr w14:paraId="6FADEA21"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298C" w:rsidRPr="000E0711" w14:paraId="272140AE" w14:textId="77777777">
            <w:pPr>
              <w:autoSpaceDE w:val="0"/>
              <w:autoSpaceDN w:val="0"/>
              <w:adjustRightInd w:val="0"/>
              <w:rPr>
                <w:b/>
                <w:bCs/>
                <w:color w:val="000000"/>
                <w:sz w:val="20"/>
              </w:rPr>
            </w:pPr>
            <w:r w:rsidRPr="000E0711">
              <w:rPr>
                <w:b/>
                <w:color w:val="000000"/>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rsidR="00AB298C" w:rsidRPr="000E0711" w14:paraId="41BB0E8E" w14:textId="77777777">
            <w:pPr>
              <w:autoSpaceDE w:val="0"/>
              <w:autoSpaceDN w:val="0"/>
              <w:adjustRightInd w:val="0"/>
              <w:rPr>
                <w:color w:val="000000"/>
                <w:sz w:val="20"/>
              </w:rPr>
            </w:pPr>
            <w:r w:rsidRPr="000E0711">
              <w:rPr>
                <w:color w:val="000000"/>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AB298C" w:rsidRPr="000E0711" w14:paraId="402A3208"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B298C" w:rsidRPr="000E0711" w14:paraId="2DCE2B9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B298C" w:rsidRPr="000E0711" w14:paraId="596AC254" w14:textId="77777777">
            <w:pPr>
              <w:autoSpaceDE w:val="0"/>
              <w:autoSpaceDN w:val="0"/>
              <w:adjustRightInd w:val="0"/>
              <w:rPr>
                <w:rFonts w:ascii="sans-serif" w:hAnsi="sans-serif" w:cs="sans-serif"/>
                <w:color w:val="000000"/>
              </w:rPr>
            </w:pPr>
          </w:p>
        </w:tc>
      </w:tr>
      <w:tr w14:paraId="612F415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0E0711" w14:paraId="7DFBD71D" w14:textId="77777777">
            <w:pPr>
              <w:autoSpaceDE w:val="0"/>
              <w:autoSpaceDN w:val="0"/>
              <w:adjustRightInd w:val="0"/>
              <w:rPr>
                <w:b/>
                <w:bCs/>
                <w:color w:val="000000"/>
                <w:sz w:val="20"/>
              </w:rPr>
            </w:pPr>
            <w:r w:rsidRPr="000E0711">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298C" w:rsidRPr="000E0711" w14:paraId="41787FBA" w14:textId="77777777">
            <w:pPr>
              <w:autoSpaceDE w:val="0"/>
              <w:autoSpaceDN w:val="0"/>
              <w:adjustRightInd w:val="0"/>
              <w:rPr>
                <w:color w:val="000000"/>
                <w:sz w:val="20"/>
              </w:rPr>
            </w:pPr>
            <w:r w:rsidRPr="000E0711">
              <w:rPr>
                <w:color w:val="000000"/>
                <w:sz w:val="20"/>
              </w:rPr>
              <w:t>+:</w:t>
            </w:r>
          </w:p>
          <w:p w:rsidR="00AB298C" w:rsidRPr="000E0711" w14:paraId="46C8D6B7" w14:textId="77777777">
            <w:pPr>
              <w:autoSpaceDE w:val="0"/>
              <w:autoSpaceDN w:val="0"/>
              <w:adjustRightInd w:val="0"/>
              <w:rPr>
                <w:color w:val="000000"/>
                <w:sz w:val="20"/>
              </w:rPr>
            </w:pPr>
            <w:r w:rsidRPr="000E0711">
              <w:rPr>
                <w:color w:val="000000"/>
                <w:sz w:val="20"/>
              </w:rPr>
              <w:t>–:</w:t>
            </w:r>
          </w:p>
          <w:p w:rsidR="00AB298C" w:rsidRPr="000E0711" w14:paraId="21E203A6" w14:textId="77777777">
            <w:pPr>
              <w:autoSpaceDE w:val="0"/>
              <w:autoSpaceDN w:val="0"/>
              <w:adjustRightInd w:val="0"/>
              <w:rPr>
                <w:color w:val="000000"/>
                <w:sz w:val="20"/>
              </w:rPr>
            </w:pPr>
            <w:r w:rsidRPr="000E071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0E0711" w14:paraId="76B2B09F" w14:textId="77777777">
            <w:pPr>
              <w:autoSpaceDE w:val="0"/>
              <w:autoSpaceDN w:val="0"/>
              <w:adjustRightInd w:val="0"/>
              <w:rPr>
                <w:color w:val="000000"/>
                <w:sz w:val="20"/>
              </w:rPr>
            </w:pPr>
            <w:r w:rsidRPr="000E0711">
              <w:rPr>
                <w:color w:val="000000"/>
                <w:sz w:val="20"/>
              </w:rPr>
              <w:t>23</w:t>
            </w:r>
          </w:p>
          <w:p w:rsidR="00AB298C" w:rsidRPr="000E0711" w14:paraId="402EC23E" w14:textId="77777777">
            <w:pPr>
              <w:autoSpaceDE w:val="0"/>
              <w:autoSpaceDN w:val="0"/>
              <w:adjustRightInd w:val="0"/>
              <w:rPr>
                <w:color w:val="000000"/>
                <w:sz w:val="20"/>
              </w:rPr>
            </w:pPr>
            <w:r w:rsidRPr="000E0711">
              <w:rPr>
                <w:color w:val="000000"/>
                <w:sz w:val="20"/>
              </w:rPr>
              <w:t>7</w:t>
            </w:r>
          </w:p>
          <w:p w:rsidR="00AB298C" w:rsidRPr="000E0711" w14:paraId="5CDE8F60" w14:textId="77777777">
            <w:pPr>
              <w:autoSpaceDE w:val="0"/>
              <w:autoSpaceDN w:val="0"/>
              <w:adjustRightInd w:val="0"/>
              <w:rPr>
                <w:color w:val="000000"/>
                <w:sz w:val="20"/>
              </w:rPr>
            </w:pPr>
            <w:r w:rsidRPr="000E0711">
              <w:rPr>
                <w:color w:val="000000"/>
                <w:sz w:val="20"/>
              </w:rPr>
              <w:t>1</w:t>
            </w:r>
          </w:p>
        </w:tc>
      </w:tr>
    </w:tbl>
    <w:p w:rsidR="00AB298C" w:rsidRPr="000E0711" w:rsidP="00AB298C" w14:paraId="6CE9D2C2" w14:textId="77777777"/>
    <w:bookmarkEnd w:id="3"/>
    <w:p w:rsidR="00AB298C" w:rsidRPr="000E0711" w:rsidP="00AB298C" w14:paraId="614752DD" w14:textId="77777777">
      <w:pPr>
        <w:sectPr w:rsidSect="00AB298C">
          <w:pgSz w:w="11894" w:h="15840"/>
          <w:pgMar w:top="1700" w:right="1417" w:bottom="1417" w:left="1417" w:header="720" w:footer="720" w:gutter="0"/>
          <w:cols w:space="720"/>
          <w:noEndnote/>
          <w:docGrid w:linePitch="326"/>
        </w:sectPr>
      </w:pPr>
    </w:p>
    <w:p w:rsidR="00AB298C" w:rsidRPr="000E0711" w:rsidP="00C36610" w14:paraId="0842C1D4" w14:textId="77777777">
      <w:pPr>
        <w:pStyle w:val="PageHeadingNotTOC"/>
      </w:pPr>
      <w:bookmarkStart w:id="4" w:name="RollCallPageAD"/>
      <w:r w:rsidRPr="000E0711">
        <w:t>POIMENSKO GLASOVANJE PRI KONČNEM GLASOVANJU V ODBORU, ZAPROŠENEM ZA PRORAČUNSKO OCENO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A52C56B"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298C" w:rsidRPr="000E0711" w:rsidP="003858C5" w14:paraId="041297D1" w14:textId="77777777">
            <w:pPr>
              <w:pStyle w:val="RollCallVotes"/>
            </w:pPr>
            <w:r w:rsidRPr="000E0711">
              <w:t>23</w:t>
            </w:r>
          </w:p>
        </w:tc>
        <w:tc>
          <w:tcPr>
            <w:tcW w:w="7371" w:type="dxa"/>
            <w:shd w:val="pct10" w:color="000000" w:fill="FFFFFF"/>
          </w:tcPr>
          <w:p w:rsidR="00AB298C" w:rsidRPr="000E0711" w:rsidP="003858C5" w14:paraId="5856F06F" w14:textId="77777777">
            <w:pPr>
              <w:pStyle w:val="RollCallSymbols14pt"/>
            </w:pPr>
            <w:r w:rsidRPr="000E0711">
              <w:t>+</w:t>
            </w:r>
          </w:p>
        </w:tc>
      </w:tr>
      <w:tr w14:paraId="265EFCE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0E0711" w:rsidP="003858C5" w14:paraId="746C4D58" w14:textId="77777777">
            <w:pPr>
              <w:pStyle w:val="RollCallTable"/>
            </w:pPr>
            <w:r w:rsidRPr="000E0711">
              <w:t>ECR</w:t>
            </w:r>
          </w:p>
        </w:tc>
        <w:tc>
          <w:tcPr>
            <w:tcW w:w="7371" w:type="dxa"/>
            <w:shd w:val="clear" w:color="auto" w:fill="FFFFFF"/>
          </w:tcPr>
          <w:p w:rsidR="00AB298C" w:rsidRPr="000E0711" w:rsidP="003858C5" w14:paraId="79E02100" w14:textId="77777777">
            <w:pPr>
              <w:pStyle w:val="RollCallTable"/>
            </w:pPr>
            <w:r w:rsidRPr="000E0711">
              <w:t>Ruggero Razza</w:t>
            </w:r>
          </w:p>
        </w:tc>
      </w:tr>
      <w:tr w14:paraId="4EC9F6B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0E0711" w:rsidP="003858C5" w14:paraId="25190628" w14:textId="77777777">
            <w:pPr>
              <w:pStyle w:val="RollCallTable"/>
            </w:pPr>
            <w:r w:rsidRPr="000E0711">
              <w:t>PPE</w:t>
            </w:r>
          </w:p>
        </w:tc>
        <w:tc>
          <w:tcPr>
            <w:tcW w:w="7371" w:type="dxa"/>
            <w:shd w:val="clear" w:color="auto" w:fill="FFFFFF"/>
          </w:tcPr>
          <w:p w:rsidR="00AB298C" w:rsidRPr="000E0711" w:rsidP="003858C5" w14:paraId="4C0DF702" w14:textId="20042D28">
            <w:pPr>
              <w:pStyle w:val="RollCallTable"/>
            </w:pPr>
            <w:r>
              <w:t>Jeorjos Avtias (Georgios Aftias)</w:t>
            </w:r>
            <w:r w:rsidRPr="000E0711" w:rsidR="00E14C1A">
              <w:t xml:space="preserve">, </w:t>
            </w:r>
            <w:r>
              <w:t>Mihalis Hadzipandela (Michalis Hadjipantela)</w:t>
            </w:r>
            <w:r w:rsidRPr="000E0711" w:rsidR="00E14C1A">
              <w:t>, Monika Hohlmeier, Kinga Kollár, Janusz Lewandowski, Danuše Nerudová, Jacek Protas, Jüri Ratas, Karlo Ressler, Hélder Sousa Silva</w:t>
            </w:r>
          </w:p>
        </w:tc>
      </w:tr>
      <w:tr w14:paraId="70EB449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0E0711" w:rsidP="003858C5" w14:paraId="3509E4E1" w14:textId="77777777">
            <w:pPr>
              <w:pStyle w:val="RollCallTable"/>
            </w:pPr>
            <w:r w:rsidRPr="000E0711">
              <w:t>Renew</w:t>
            </w:r>
          </w:p>
        </w:tc>
        <w:tc>
          <w:tcPr>
            <w:tcW w:w="7371" w:type="dxa"/>
            <w:shd w:val="clear" w:color="auto" w:fill="FFFFFF"/>
          </w:tcPr>
          <w:p w:rsidR="00AB298C" w:rsidRPr="000E0711" w:rsidP="003858C5" w14:paraId="579E59E3" w14:textId="77777777">
            <w:pPr>
              <w:pStyle w:val="RollCallTable"/>
            </w:pPr>
            <w:r w:rsidRPr="000E0711">
              <w:t>Olivier Chastel, Fabienne Keller, Lucia Yar</w:t>
            </w:r>
          </w:p>
        </w:tc>
      </w:tr>
      <w:tr w14:paraId="36036AD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0E0711" w:rsidP="003858C5" w14:paraId="0CB40B23" w14:textId="77777777">
            <w:pPr>
              <w:pStyle w:val="RollCallTable"/>
            </w:pPr>
            <w:r w:rsidRPr="000E0711">
              <w:t>S&amp;D</w:t>
            </w:r>
          </w:p>
        </w:tc>
        <w:tc>
          <w:tcPr>
            <w:tcW w:w="7371" w:type="dxa"/>
            <w:shd w:val="clear" w:color="auto" w:fill="FFFFFF"/>
          </w:tcPr>
          <w:p w:rsidR="00AB298C" w:rsidRPr="000E0711" w:rsidP="003858C5" w14:paraId="721BF7EE" w14:textId="77777777">
            <w:pPr>
              <w:pStyle w:val="RollCallTable"/>
            </w:pPr>
            <w:r w:rsidRPr="000E0711">
              <w:t>Matthias Ecke, Jean-Marc Germain, Sandra Gómez López, Giuseppe Lupo, Matjaž Nemec, Carla Tavares, Nils Ušakovs</w:t>
            </w:r>
          </w:p>
        </w:tc>
      </w:tr>
      <w:tr w14:paraId="325AA5E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0E0711" w:rsidP="003858C5" w14:paraId="3C265382" w14:textId="77777777">
            <w:pPr>
              <w:pStyle w:val="RollCallTable"/>
            </w:pPr>
            <w:r w:rsidRPr="000E0711">
              <w:t>Verts/ALE</w:t>
            </w:r>
          </w:p>
        </w:tc>
        <w:tc>
          <w:tcPr>
            <w:tcW w:w="7371" w:type="dxa"/>
            <w:shd w:val="clear" w:color="auto" w:fill="FFFFFF"/>
          </w:tcPr>
          <w:p w:rsidR="00AB298C" w:rsidRPr="000E0711" w:rsidP="003858C5" w14:paraId="255E6BCF" w14:textId="77777777">
            <w:pPr>
              <w:pStyle w:val="RollCallTable"/>
            </w:pPr>
            <w:r w:rsidRPr="000E0711">
              <w:t>Ignazio Roberto Marino, Rasmus Nordqvist</w:t>
            </w:r>
          </w:p>
        </w:tc>
      </w:tr>
    </w:tbl>
    <w:p w:rsidR="00AB298C" w:rsidRPr="000E0711" w:rsidP="00147FBF" w14:paraId="5A9BC0F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ED0960C"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298C" w:rsidRPr="000E0711" w:rsidP="003858C5" w14:paraId="2445F3EF" w14:textId="77777777">
            <w:pPr>
              <w:pStyle w:val="RollCallVotes"/>
            </w:pPr>
            <w:r w:rsidRPr="000E0711">
              <w:t>7</w:t>
            </w:r>
          </w:p>
        </w:tc>
        <w:tc>
          <w:tcPr>
            <w:tcW w:w="7371" w:type="dxa"/>
            <w:shd w:val="pct10" w:color="000000" w:fill="FFFFFF"/>
          </w:tcPr>
          <w:p w:rsidR="00AB298C" w:rsidRPr="000E0711" w:rsidP="003858C5" w14:paraId="2AABE082" w14:textId="77777777">
            <w:pPr>
              <w:pStyle w:val="RollCallSymbols14pt"/>
            </w:pPr>
            <w:r w:rsidRPr="000E0711">
              <w:t>-</w:t>
            </w:r>
          </w:p>
        </w:tc>
      </w:tr>
      <w:tr w14:paraId="314F58F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0E0711" w:rsidP="003858C5" w14:paraId="43191463" w14:textId="77777777">
            <w:pPr>
              <w:pStyle w:val="RollCallTable"/>
            </w:pPr>
            <w:r w:rsidRPr="000E0711">
              <w:t>ESN</w:t>
            </w:r>
          </w:p>
        </w:tc>
        <w:tc>
          <w:tcPr>
            <w:tcW w:w="7371" w:type="dxa"/>
            <w:shd w:val="clear" w:color="auto" w:fill="FFFFFF"/>
          </w:tcPr>
          <w:p w:rsidR="00AB298C" w:rsidRPr="000E0711" w:rsidP="003858C5" w14:paraId="3430057D" w14:textId="77777777">
            <w:pPr>
              <w:pStyle w:val="RollCallTable"/>
            </w:pPr>
            <w:r w:rsidRPr="000E0711">
              <w:t>Alexander Jungbluth</w:t>
            </w:r>
          </w:p>
        </w:tc>
      </w:tr>
      <w:tr w14:paraId="5398C6F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0E0711" w:rsidP="003858C5" w14:paraId="4C15ADD0" w14:textId="77777777">
            <w:pPr>
              <w:pStyle w:val="RollCallTable"/>
            </w:pPr>
            <w:r w:rsidRPr="000E0711">
              <w:t>NI</w:t>
            </w:r>
          </w:p>
        </w:tc>
        <w:tc>
          <w:tcPr>
            <w:tcW w:w="7371" w:type="dxa"/>
            <w:shd w:val="clear" w:color="auto" w:fill="FFFFFF"/>
          </w:tcPr>
          <w:p w:rsidR="00AB298C" w:rsidRPr="000E0711" w:rsidP="003858C5" w14:paraId="76B9DE79" w14:textId="77777777">
            <w:pPr>
              <w:pStyle w:val="RollCallTable"/>
            </w:pPr>
            <w:r w:rsidRPr="000E0711">
              <w:t>Thomas Geisel</w:t>
            </w:r>
          </w:p>
        </w:tc>
      </w:tr>
      <w:tr w14:paraId="73D5930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0E0711" w:rsidP="003858C5" w14:paraId="2715A0B6" w14:textId="77777777">
            <w:pPr>
              <w:pStyle w:val="RollCallTable"/>
            </w:pPr>
            <w:r w:rsidRPr="000E0711">
              <w:t>PfE</w:t>
            </w:r>
          </w:p>
        </w:tc>
        <w:tc>
          <w:tcPr>
            <w:tcW w:w="7371" w:type="dxa"/>
            <w:shd w:val="clear" w:color="auto" w:fill="FFFFFF"/>
          </w:tcPr>
          <w:p w:rsidR="00AB298C" w:rsidRPr="000E0711" w:rsidP="003858C5" w14:paraId="03C33BB0" w14:textId="77777777">
            <w:pPr>
              <w:pStyle w:val="RollCallTable"/>
            </w:pPr>
            <w:r w:rsidRPr="000E0711">
              <w:t>Jaroslav Bžoch, Angéline Furet, Jaroslava Pokorná Jermanová, Julien Sanchez, Auke Zijlstra</w:t>
            </w:r>
          </w:p>
        </w:tc>
      </w:tr>
    </w:tbl>
    <w:p w:rsidR="00AB298C" w:rsidRPr="000E0711" w:rsidP="00147FBF" w14:paraId="6377117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AD7312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298C" w:rsidRPr="000E0711" w:rsidP="003858C5" w14:paraId="69E607D3" w14:textId="77777777">
            <w:pPr>
              <w:pStyle w:val="RollCallVotes"/>
            </w:pPr>
            <w:r w:rsidRPr="000E0711">
              <w:t>1</w:t>
            </w:r>
          </w:p>
        </w:tc>
        <w:tc>
          <w:tcPr>
            <w:tcW w:w="7371" w:type="dxa"/>
            <w:shd w:val="pct10" w:color="000000" w:fill="FFFFFF"/>
          </w:tcPr>
          <w:p w:rsidR="00AB298C" w:rsidRPr="000E0711" w:rsidP="003858C5" w14:paraId="38C724AF" w14:textId="77777777">
            <w:pPr>
              <w:pStyle w:val="RollCallSymbols14pt"/>
            </w:pPr>
            <w:r w:rsidRPr="000E0711">
              <w:t>0</w:t>
            </w:r>
          </w:p>
        </w:tc>
      </w:tr>
      <w:tr w14:paraId="044A8B0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0E0711" w:rsidP="003858C5" w14:paraId="3C858E5E" w14:textId="77777777">
            <w:pPr>
              <w:pStyle w:val="RollCallTable"/>
            </w:pPr>
            <w:r w:rsidRPr="000E0711">
              <w:t>Renew</w:t>
            </w:r>
          </w:p>
        </w:tc>
        <w:tc>
          <w:tcPr>
            <w:tcW w:w="7371" w:type="dxa"/>
            <w:shd w:val="clear" w:color="auto" w:fill="FFFFFF"/>
          </w:tcPr>
          <w:p w:rsidR="00AB298C" w:rsidRPr="000E0711" w:rsidP="003858C5" w14:paraId="6AB386E2" w14:textId="77777777">
            <w:pPr>
              <w:pStyle w:val="RollCallTable"/>
            </w:pPr>
            <w:r w:rsidRPr="000E0711">
              <w:t>Joachim Streit</w:t>
            </w:r>
          </w:p>
        </w:tc>
      </w:tr>
    </w:tbl>
    <w:p w:rsidR="00AB298C" w:rsidRPr="000E0711" w:rsidP="00147FBF" w14:paraId="3AC48035" w14:textId="77777777">
      <w:pPr>
        <w:pStyle w:val="Normal12a"/>
      </w:pPr>
    </w:p>
    <w:p w:rsidR="00AB298C" w:rsidRPr="000E0711" w:rsidP="00B735E3" w14:paraId="1F7743FA" w14:textId="77777777">
      <w:r w:rsidRPr="000E0711">
        <w:t>Uporabljeni znaki:</w:t>
      </w:r>
    </w:p>
    <w:p w:rsidR="00AB298C" w:rsidRPr="000E0711" w:rsidP="003858C5" w14:paraId="3D7795AD" w14:textId="77777777">
      <w:pPr>
        <w:pStyle w:val="RollCallTabs"/>
      </w:pPr>
      <w:r w:rsidRPr="000E0711">
        <w:t>+</w:t>
      </w:r>
      <w:r w:rsidRPr="000E0711">
        <w:tab/>
        <w:t>:</w:t>
      </w:r>
      <w:r w:rsidRPr="000E0711">
        <w:tab/>
        <w:t>za</w:t>
      </w:r>
    </w:p>
    <w:p w:rsidR="00AB298C" w:rsidRPr="000E0711" w:rsidP="003858C5" w14:paraId="2FB5EF1B" w14:textId="77777777">
      <w:pPr>
        <w:pStyle w:val="RollCallTabs"/>
      </w:pPr>
      <w:r w:rsidRPr="000E0711">
        <w:t>-</w:t>
      </w:r>
      <w:r w:rsidRPr="000E0711">
        <w:tab/>
        <w:t>:</w:t>
      </w:r>
      <w:r w:rsidRPr="000E0711">
        <w:tab/>
        <w:t>proti</w:t>
      </w:r>
    </w:p>
    <w:p w:rsidR="00AB298C" w:rsidRPr="000E0711" w:rsidP="003858C5" w14:paraId="71A2AFCE" w14:textId="77777777">
      <w:pPr>
        <w:pStyle w:val="RollCallTabs"/>
      </w:pPr>
      <w:r w:rsidRPr="000E0711">
        <w:t>0</w:t>
      </w:r>
      <w:r w:rsidRPr="000E0711">
        <w:tab/>
        <w:t>:</w:t>
      </w:r>
      <w:r w:rsidRPr="000E0711">
        <w:tab/>
        <w:t>vzdržani</w:t>
      </w:r>
    </w:p>
    <w:p w:rsidR="00AB298C" w:rsidRPr="000E0711" w:rsidP="00207509" w14:paraId="093F593E" w14:textId="77777777"/>
    <w:bookmarkEnd w:id="4"/>
    <w:p w:rsidR="00AB298C" w:rsidRPr="000E0711" w:rsidP="00AB298C" w14:paraId="5E4F461C" w14:textId="77777777"/>
    <w:sectPr w:rsidSect="00AB298C">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0711" w:rsidRPr="000E0711" w:rsidP="000E0711" w14:paraId="1EE1FBA4" w14:textId="77777777">
    <w:pPr>
      <w:pStyle w:val="EPFooter"/>
    </w:pPr>
    <w:r w:rsidRPr="000E0711">
      <w:t>PE</w:t>
    </w:r>
    <w:r w:rsidRPr="000E0711">
      <w:rPr>
        <w:rStyle w:val="HideTWBExt"/>
      </w:rPr>
      <w:t>&lt;NoPE&gt;</w:t>
    </w:r>
    <w:r w:rsidRPr="000E0711">
      <w:t>787.038</w:t>
    </w:r>
    <w:r w:rsidRPr="000E0711">
      <w:rPr>
        <w:rStyle w:val="HideTWBExt"/>
      </w:rPr>
      <w:t>&lt;/NoPE&gt;&lt;Version&gt;</w:t>
    </w:r>
    <w:r w:rsidRPr="000E0711">
      <w:t>v03-00</w:t>
    </w:r>
    <w:r w:rsidRPr="000E0711">
      <w:rPr>
        <w:rStyle w:val="HideTWBExt"/>
      </w:rPr>
      <w:t>&lt;/Version&gt;</w:t>
    </w:r>
    <w:r w:rsidRPr="000E0711">
      <w:tab/>
    </w:r>
    <w:r w:rsidRPr="000E0711">
      <w:fldChar w:fldCharType="begin"/>
    </w:r>
    <w:r w:rsidRPr="000E0711">
      <w:instrText xml:space="preserve"> PAGE  \* MERGEFORMAT </w:instrText>
    </w:r>
    <w:r w:rsidRPr="000E0711">
      <w:fldChar w:fldCharType="separate"/>
    </w:r>
    <w:r w:rsidRPr="000E0711">
      <w:rPr>
        <w:noProof/>
      </w:rPr>
      <w:t>2</w:t>
    </w:r>
    <w:r w:rsidRPr="000E0711">
      <w:fldChar w:fldCharType="end"/>
    </w:r>
    <w:r w:rsidRPr="000E0711">
      <w:t>/</w:t>
    </w:r>
    <w:r>
      <w:fldChar w:fldCharType="begin"/>
    </w:r>
    <w:r>
      <w:instrText xml:space="preserve"> NUMPAGES  \* MERGEFORMAT </w:instrText>
    </w:r>
    <w:r>
      <w:fldChar w:fldCharType="separate"/>
    </w:r>
    <w:r w:rsidRPr="000E0711">
      <w:rPr>
        <w:noProof/>
      </w:rPr>
      <w:t>17</w:t>
    </w:r>
    <w:r w:rsidRPr="000E0711">
      <w:rPr>
        <w:noProof/>
      </w:rPr>
      <w:fldChar w:fldCharType="end"/>
    </w:r>
    <w:r w:rsidRPr="000E0711">
      <w:tab/>
    </w:r>
    <w:r w:rsidRPr="000E0711">
      <w:rPr>
        <w:rStyle w:val="HideTWBExt"/>
      </w:rPr>
      <w:t>&lt;PathFdR&gt;</w:t>
    </w:r>
    <w:r w:rsidRPr="000E0711">
      <w:t>AD\1348641SL.docx</w:t>
    </w:r>
    <w:r w:rsidRPr="000E0711">
      <w:rPr>
        <w:rStyle w:val="HideTWBExt"/>
      </w:rPr>
      <w:t>&lt;/PathFdR&gt;</w:t>
    </w:r>
  </w:p>
  <w:p w:rsidR="002E2F2E" w:rsidRPr="000E0711" w:rsidP="000E0711" w14:paraId="67B0E2C4" w14:textId="082A2677">
    <w:pPr>
      <w:pStyle w:val="EPFooter2"/>
    </w:pPr>
    <w:r w:rsidRPr="000E0711">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0711" w:rsidRPr="000E0711" w:rsidP="000E0711" w14:paraId="7FB9AD17" w14:textId="77777777">
    <w:pPr>
      <w:pStyle w:val="EPFooter"/>
    </w:pPr>
    <w:r w:rsidRPr="000E0711">
      <w:rPr>
        <w:rStyle w:val="HideTWBExt"/>
      </w:rPr>
      <w:t>&lt;PathFdR&gt;</w:t>
    </w:r>
    <w:r w:rsidRPr="000E0711">
      <w:t>AD\1348641SL.docx</w:t>
    </w:r>
    <w:r w:rsidRPr="000E0711">
      <w:rPr>
        <w:rStyle w:val="HideTWBExt"/>
      </w:rPr>
      <w:t>&lt;/PathFdR&gt;</w:t>
    </w:r>
    <w:r w:rsidRPr="000E0711">
      <w:tab/>
    </w:r>
    <w:r w:rsidRPr="000E0711">
      <w:fldChar w:fldCharType="begin"/>
    </w:r>
    <w:r w:rsidRPr="000E0711">
      <w:instrText xml:space="preserve"> PAGE  \* MERGEFORMAT </w:instrText>
    </w:r>
    <w:r w:rsidRPr="000E0711">
      <w:fldChar w:fldCharType="separate"/>
    </w:r>
    <w:r w:rsidRPr="000E0711">
      <w:rPr>
        <w:noProof/>
      </w:rPr>
      <w:t>17</w:t>
    </w:r>
    <w:r w:rsidRPr="000E0711">
      <w:fldChar w:fldCharType="end"/>
    </w:r>
    <w:r w:rsidRPr="000E0711">
      <w:t>/</w:t>
    </w:r>
    <w:r>
      <w:fldChar w:fldCharType="begin"/>
    </w:r>
    <w:r>
      <w:instrText xml:space="preserve"> NUMPAGES  \* MERGEFORMAT </w:instrText>
    </w:r>
    <w:r>
      <w:fldChar w:fldCharType="separate"/>
    </w:r>
    <w:r w:rsidRPr="000E0711">
      <w:rPr>
        <w:noProof/>
      </w:rPr>
      <w:t>17</w:t>
    </w:r>
    <w:r w:rsidRPr="000E0711">
      <w:rPr>
        <w:noProof/>
      </w:rPr>
      <w:fldChar w:fldCharType="end"/>
    </w:r>
    <w:r w:rsidRPr="000E0711">
      <w:tab/>
      <w:t>PE</w:t>
    </w:r>
    <w:r w:rsidRPr="000E0711">
      <w:rPr>
        <w:rStyle w:val="HideTWBExt"/>
      </w:rPr>
      <w:t>&lt;NoPE&gt;</w:t>
    </w:r>
    <w:r w:rsidRPr="000E0711">
      <w:t>787.038</w:t>
    </w:r>
    <w:r w:rsidRPr="000E0711">
      <w:rPr>
        <w:rStyle w:val="HideTWBExt"/>
      </w:rPr>
      <w:t>&lt;/NoPE&gt;&lt;Version&gt;</w:t>
    </w:r>
    <w:r w:rsidRPr="000E0711">
      <w:t>v03-00</w:t>
    </w:r>
    <w:r w:rsidRPr="000E0711">
      <w:rPr>
        <w:rStyle w:val="HideTWBExt"/>
      </w:rPr>
      <w:t>&lt;/Version&gt;</w:t>
    </w:r>
  </w:p>
  <w:p w:rsidR="002E2F2E" w:rsidRPr="000E0711" w:rsidP="000E0711" w14:paraId="28C73A3D" w14:textId="05A884AA">
    <w:pPr>
      <w:pStyle w:val="EPFooter2"/>
    </w:pPr>
    <w:r w:rsidRPr="000E0711">
      <w:tab/>
    </w:r>
    <w:r w:rsidRPr="000E0711">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0711" w:rsidRPr="000E0711" w:rsidP="000E0711" w14:paraId="25CBEB02" w14:textId="77777777">
    <w:pPr>
      <w:pStyle w:val="EPFooter"/>
    </w:pPr>
    <w:r w:rsidRPr="000E0711">
      <w:rPr>
        <w:rStyle w:val="HideTWBExt"/>
      </w:rPr>
      <w:t>&lt;PathFdR&gt;</w:t>
    </w:r>
    <w:r w:rsidRPr="000E0711">
      <w:t>AD\1348641SL.docx</w:t>
    </w:r>
    <w:r w:rsidRPr="000E0711">
      <w:rPr>
        <w:rStyle w:val="HideTWBExt"/>
      </w:rPr>
      <w:t>&lt;/PathFdR&gt;</w:t>
    </w:r>
    <w:r w:rsidRPr="000E0711">
      <w:tab/>
    </w:r>
    <w:r w:rsidRPr="000E0711">
      <w:tab/>
      <w:t>PE</w:t>
    </w:r>
    <w:r w:rsidRPr="000E0711">
      <w:rPr>
        <w:rStyle w:val="HideTWBExt"/>
      </w:rPr>
      <w:t>&lt;NoPE&gt;</w:t>
    </w:r>
    <w:r w:rsidRPr="000E0711">
      <w:t>787.038</w:t>
    </w:r>
    <w:r w:rsidRPr="000E0711">
      <w:rPr>
        <w:rStyle w:val="HideTWBExt"/>
      </w:rPr>
      <w:t>&lt;/NoPE&gt;&lt;Version&gt;</w:t>
    </w:r>
    <w:r w:rsidRPr="000E0711">
      <w:t>v03-00</w:t>
    </w:r>
    <w:r w:rsidRPr="000E0711">
      <w:rPr>
        <w:rStyle w:val="HideTWBExt"/>
      </w:rPr>
      <w:t>&lt;/Version&gt;</w:t>
    </w:r>
  </w:p>
  <w:p w:rsidR="002E2F2E" w:rsidRPr="000E0711" w:rsidP="000E0711" w14:paraId="2D62860D" w14:textId="3BA3FBD2">
    <w:pPr>
      <w:pStyle w:val="EPFooter2"/>
    </w:pPr>
    <w:r w:rsidRPr="000E0711">
      <w:t>SL</w:t>
    </w:r>
    <w:r w:rsidRPr="000E0711">
      <w:tab/>
    </w:r>
    <w:r w:rsidRPr="000E0711">
      <w:rPr>
        <w:b w:val="0"/>
        <w:i/>
        <w:color w:val="C0C0C0"/>
        <w:sz w:val="22"/>
      </w:rPr>
      <w:t>Združena v raznolikosti</w:t>
    </w:r>
    <w:r w:rsidRPr="000E0711">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F1EAB" w:rsidRPr="000E0711" w14:paraId="756B5E3A" w14:textId="77777777">
      <w:r w:rsidRPr="000E0711">
        <w:separator/>
      </w:r>
    </w:p>
  </w:footnote>
  <w:footnote w:type="continuationSeparator" w:id="1">
    <w:p w:rsidR="002F1EAB" w:rsidRPr="000E0711" w14:paraId="421108D4" w14:textId="77777777">
      <w:r w:rsidRPr="000E0711">
        <w:continuationSeparator/>
      </w:r>
    </w:p>
  </w:footnote>
  <w:footnote w:id="2">
    <w:p w:rsidR="00996EBB" w:rsidRPr="000E0711" w14:paraId="7DEFFD39" w14:textId="071C8B5A">
      <w:pPr>
        <w:pStyle w:val="FootnoteText"/>
      </w:pPr>
      <w:r w:rsidRPr="000E0711">
        <w:rPr>
          <w:rStyle w:val="FootnoteReference"/>
        </w:rPr>
        <w:footnoteRef/>
      </w:r>
      <w:r w:rsidRPr="000E0711">
        <w:t xml:space="preserve"> Uredba (EU, Euratom) 2024/2509 Evropskega parlamenta in Sveta z dne 23. septembra 2024 o finančnih pravilih, ki se uporabljajo za splošni proračun Unije (UL L, 2024/2509, 26.9.2024, ELI: </w:t>
      </w:r>
      <w:hyperlink r:id="rId1" w:history="1">
        <w:r w:rsidRPr="000E0711">
          <w:rPr>
            <w:rStyle w:val="Hyperlink"/>
          </w:rPr>
          <w:t>http://data.europa.eu/eli/reg/2024/2509/oj</w:t>
        </w:r>
      </w:hyperlink>
      <w:r w:rsidRPr="000E0711">
        <w:t xml:space="preserve">). </w:t>
      </w:r>
    </w:p>
  </w:footnote>
  <w:footnote w:id="3">
    <w:p w:rsidR="00996EBB" w:rsidRPr="000E0711" w14:paraId="7AD26538" w14:textId="3623411C">
      <w:pPr>
        <w:pStyle w:val="FootnoteText"/>
      </w:pPr>
      <w:r w:rsidRPr="000E0711">
        <w:rPr>
          <w:rStyle w:val="FootnoteReference"/>
        </w:rPr>
        <w:footnoteRef/>
      </w:r>
      <w:r w:rsidRPr="000E0711">
        <w:t xml:space="preserve"> Direktiva 2010/13/EU Evropskega parlamenta in Sveta z dne 10. marca 2010 o usklajevanju nekaterih zakonov in drugih predpisov držav članic o opravljanju avdiovizualnih medijskih storitev (UL L 95, 15.4.2010, str. 1, ELI: </w:t>
      </w:r>
      <w:hyperlink r:id="rId2" w:history="1">
        <w:r w:rsidRPr="000E0711">
          <w:rPr>
            <w:rStyle w:val="Hyperlink"/>
          </w:rPr>
          <w:t>http://data.europa.eu/eli/dir/2010/13/oj</w:t>
        </w:r>
      </w:hyperlink>
      <w:r w:rsidRPr="000E0711">
        <w:t xml:space="preserve">). </w:t>
      </w:r>
    </w:p>
  </w:footnote>
  <w:footnote w:id="4">
    <w:p w:rsidR="008877CB" w:rsidRPr="000E0711" w14:paraId="74821CBC" w14:textId="77777777">
      <w:pPr>
        <w:pStyle w:val="FootnoteText"/>
      </w:pPr>
      <w:r w:rsidRPr="000E0711">
        <w:rPr>
          <w:rStyle w:val="FootnoteReference"/>
        </w:rPr>
        <w:footnoteRef/>
      </w:r>
      <w:r w:rsidRPr="000E0711">
        <w:t xml:space="preserve"> COM(2025)0545.</w:t>
      </w:r>
    </w:p>
  </w:footnote>
  <w:footnote w:id="5">
    <w:p w:rsidR="00996EBB" w:rsidRPr="000E0711" w14:paraId="3E956131" w14:textId="0052A286">
      <w:pPr>
        <w:pStyle w:val="FootnoteText"/>
      </w:pPr>
      <w:r w:rsidRPr="000E0711">
        <w:rPr>
          <w:rStyle w:val="FootnoteReference"/>
        </w:rPr>
        <w:footnoteRef/>
      </w:r>
      <w:r w:rsidRPr="000E0711">
        <w:t xml:space="preserve"> Uredba (EU, Euratom) 2020/2092 Evropskega parlamenta in Sveta z dne 16. decembra 2020 o splošnem režimu pogojenosti za zaščito proračuna Unije (UL L 433 I, 22.12.2020, str. 1 ELI: </w:t>
      </w:r>
      <w:hyperlink r:id="rId3" w:history="1">
        <w:r w:rsidRPr="000E0711">
          <w:rPr>
            <w:rStyle w:val="Hyperlink"/>
          </w:rPr>
          <w:t>http://data.europa.eu/eli/reg/2020/2092/oj</w:t>
        </w:r>
      </w:hyperlink>
      <w:r w:rsidRPr="000E0711">
        <w:t xml:space="preserve">). </w:t>
      </w:r>
    </w:p>
  </w:footnote>
  <w:footnote w:id="6">
    <w:p w:rsidR="00864AF6" w:rsidRPr="000E0711" w14:paraId="03BE6940" w14:textId="73FE7783">
      <w:pPr>
        <w:pStyle w:val="FootnoteText"/>
      </w:pPr>
      <w:r w:rsidRPr="000E0711">
        <w:rPr>
          <w:rStyle w:val="FootnoteReference"/>
        </w:rPr>
        <w:footnoteRef/>
      </w:r>
      <w:r w:rsidRPr="000E0711">
        <w:t xml:space="preserve"> Medinstitucionalni sporazum z dne 20. maja 2021 med Evropskim parlamentom, Svetom Evropske unije in Evropsko komisijo o obveznem registru za preglednost (UL L 207, 11.6.2021, str. 1, ELI: </w:t>
      </w:r>
      <w:hyperlink r:id="rId4" w:tooltip="http://data.europa.eu/eli/agree_interinstit/2021/611/oj" w:history="1">
        <w:r w:rsidRPr="000E0711">
          <w:rPr>
            <w:rStyle w:val="Hyperlink"/>
          </w:rPr>
          <w:t>http://data.europa.eu/eli/agree_interinstit/2021/611/oj</w:t>
        </w:r>
      </w:hyperlink>
      <w:r w:rsidRPr="000E071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C1A" w14:paraId="4D5CC6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C1A" w14:paraId="309C8CC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C1A" w14:paraId="25EFAC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8696C71"/>
    <w:multiLevelType w:val="hybridMultilevel"/>
    <w:tmpl w:val="E48ED068"/>
    <w:lvl w:ilvl="0">
      <w:start w:val="1"/>
      <w:numFmt w:val="upperLetter"/>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EAB"/>
    <w:rsid w:val="00006F54"/>
    <w:rsid w:val="00007C5D"/>
    <w:rsid w:val="00013F29"/>
    <w:rsid w:val="000178E7"/>
    <w:rsid w:val="0003367A"/>
    <w:rsid w:val="000354F6"/>
    <w:rsid w:val="00037518"/>
    <w:rsid w:val="0004424C"/>
    <w:rsid w:val="00071CB7"/>
    <w:rsid w:val="00075948"/>
    <w:rsid w:val="00082375"/>
    <w:rsid w:val="00096BE6"/>
    <w:rsid w:val="000E0711"/>
    <w:rsid w:val="000E3DE4"/>
    <w:rsid w:val="000E3FF6"/>
    <w:rsid w:val="000E7EBF"/>
    <w:rsid w:val="00116F33"/>
    <w:rsid w:val="00124F60"/>
    <w:rsid w:val="001336B6"/>
    <w:rsid w:val="00133FB5"/>
    <w:rsid w:val="00135121"/>
    <w:rsid w:val="00140BE6"/>
    <w:rsid w:val="001449F5"/>
    <w:rsid w:val="00147F4E"/>
    <w:rsid w:val="00147FBF"/>
    <w:rsid w:val="001539C0"/>
    <w:rsid w:val="00155C94"/>
    <w:rsid w:val="001650C0"/>
    <w:rsid w:val="0016635E"/>
    <w:rsid w:val="001709A0"/>
    <w:rsid w:val="00173215"/>
    <w:rsid w:val="001746D0"/>
    <w:rsid w:val="00182746"/>
    <w:rsid w:val="00183DAD"/>
    <w:rsid w:val="00184443"/>
    <w:rsid w:val="00185722"/>
    <w:rsid w:val="00187ED3"/>
    <w:rsid w:val="00192D8D"/>
    <w:rsid w:val="001B7393"/>
    <w:rsid w:val="001D2ED9"/>
    <w:rsid w:val="001E42AF"/>
    <w:rsid w:val="001F21C1"/>
    <w:rsid w:val="00203BEF"/>
    <w:rsid w:val="0020594A"/>
    <w:rsid w:val="00207509"/>
    <w:rsid w:val="002107CB"/>
    <w:rsid w:val="00217211"/>
    <w:rsid w:val="00222624"/>
    <w:rsid w:val="00222A38"/>
    <w:rsid w:val="0022554A"/>
    <w:rsid w:val="00243643"/>
    <w:rsid w:val="00247AE6"/>
    <w:rsid w:val="00251B75"/>
    <w:rsid w:val="00257456"/>
    <w:rsid w:val="00265CB5"/>
    <w:rsid w:val="00270E86"/>
    <w:rsid w:val="0027155B"/>
    <w:rsid w:val="002915E7"/>
    <w:rsid w:val="00292801"/>
    <w:rsid w:val="002B2C72"/>
    <w:rsid w:val="002D28A7"/>
    <w:rsid w:val="002E2F2E"/>
    <w:rsid w:val="002E38B0"/>
    <w:rsid w:val="002E4AA3"/>
    <w:rsid w:val="002E6F98"/>
    <w:rsid w:val="002F1EAB"/>
    <w:rsid w:val="002F7BCF"/>
    <w:rsid w:val="00324546"/>
    <w:rsid w:val="00325BCB"/>
    <w:rsid w:val="00331944"/>
    <w:rsid w:val="00332AD9"/>
    <w:rsid w:val="003402B9"/>
    <w:rsid w:val="00347D2C"/>
    <w:rsid w:val="00350410"/>
    <w:rsid w:val="00350F3D"/>
    <w:rsid w:val="00362463"/>
    <w:rsid w:val="003647BD"/>
    <w:rsid w:val="003654AF"/>
    <w:rsid w:val="00367A50"/>
    <w:rsid w:val="0037356F"/>
    <w:rsid w:val="00373857"/>
    <w:rsid w:val="00375670"/>
    <w:rsid w:val="003855AA"/>
    <w:rsid w:val="003858C5"/>
    <w:rsid w:val="00387541"/>
    <w:rsid w:val="00390EB2"/>
    <w:rsid w:val="00391AC1"/>
    <w:rsid w:val="00395F78"/>
    <w:rsid w:val="00396A0E"/>
    <w:rsid w:val="003A6F42"/>
    <w:rsid w:val="003B60FC"/>
    <w:rsid w:val="003B78F0"/>
    <w:rsid w:val="003B7FC6"/>
    <w:rsid w:val="003C08C3"/>
    <w:rsid w:val="003C29C0"/>
    <w:rsid w:val="003E2402"/>
    <w:rsid w:val="003F620A"/>
    <w:rsid w:val="0040369E"/>
    <w:rsid w:val="0041592A"/>
    <w:rsid w:val="004234CA"/>
    <w:rsid w:val="0042795F"/>
    <w:rsid w:val="00450A7E"/>
    <w:rsid w:val="004519DE"/>
    <w:rsid w:val="004524F6"/>
    <w:rsid w:val="00457488"/>
    <w:rsid w:val="00460880"/>
    <w:rsid w:val="004667D1"/>
    <w:rsid w:val="00475333"/>
    <w:rsid w:val="00476E25"/>
    <w:rsid w:val="00485C5C"/>
    <w:rsid w:val="004A65BF"/>
    <w:rsid w:val="004C28FB"/>
    <w:rsid w:val="004C3145"/>
    <w:rsid w:val="004C3CF0"/>
    <w:rsid w:val="004C44C0"/>
    <w:rsid w:val="004C5791"/>
    <w:rsid w:val="004D09DE"/>
    <w:rsid w:val="004D1FA8"/>
    <w:rsid w:val="00521B5B"/>
    <w:rsid w:val="0052544E"/>
    <w:rsid w:val="0052626E"/>
    <w:rsid w:val="00530290"/>
    <w:rsid w:val="00537353"/>
    <w:rsid w:val="00555696"/>
    <w:rsid w:val="00566481"/>
    <w:rsid w:val="00567E5C"/>
    <w:rsid w:val="005749BB"/>
    <w:rsid w:val="00580F37"/>
    <w:rsid w:val="00593797"/>
    <w:rsid w:val="005940C3"/>
    <w:rsid w:val="00594C48"/>
    <w:rsid w:val="005B2F11"/>
    <w:rsid w:val="005C07C3"/>
    <w:rsid w:val="005C0BDF"/>
    <w:rsid w:val="005D01BC"/>
    <w:rsid w:val="005D45E5"/>
    <w:rsid w:val="005D60C6"/>
    <w:rsid w:val="005D6788"/>
    <w:rsid w:val="005D6F9A"/>
    <w:rsid w:val="005E5BBC"/>
    <w:rsid w:val="005E7294"/>
    <w:rsid w:val="005F2CA1"/>
    <w:rsid w:val="006102E7"/>
    <w:rsid w:val="006233B7"/>
    <w:rsid w:val="00624AE1"/>
    <w:rsid w:val="006352A8"/>
    <w:rsid w:val="00640C1B"/>
    <w:rsid w:val="00657AFB"/>
    <w:rsid w:val="0068168E"/>
    <w:rsid w:val="00692449"/>
    <w:rsid w:val="00697C9F"/>
    <w:rsid w:val="006B7199"/>
    <w:rsid w:val="006C3336"/>
    <w:rsid w:val="006D5BF7"/>
    <w:rsid w:val="006E2DDE"/>
    <w:rsid w:val="006E67D8"/>
    <w:rsid w:val="006F0C7B"/>
    <w:rsid w:val="006F189E"/>
    <w:rsid w:val="006F379B"/>
    <w:rsid w:val="006F54B8"/>
    <w:rsid w:val="00707AC0"/>
    <w:rsid w:val="00721237"/>
    <w:rsid w:val="0072511A"/>
    <w:rsid w:val="007350EA"/>
    <w:rsid w:val="00737F68"/>
    <w:rsid w:val="00740BED"/>
    <w:rsid w:val="00757C4C"/>
    <w:rsid w:val="007638D0"/>
    <w:rsid w:val="0077440C"/>
    <w:rsid w:val="007753D3"/>
    <w:rsid w:val="00795885"/>
    <w:rsid w:val="007B5CC7"/>
    <w:rsid w:val="007B6357"/>
    <w:rsid w:val="007C598C"/>
    <w:rsid w:val="007D10F5"/>
    <w:rsid w:val="007D5322"/>
    <w:rsid w:val="00806074"/>
    <w:rsid w:val="00825069"/>
    <w:rsid w:val="00825ECA"/>
    <w:rsid w:val="008313E7"/>
    <w:rsid w:val="0084601D"/>
    <w:rsid w:val="00852263"/>
    <w:rsid w:val="00854CAC"/>
    <w:rsid w:val="00864AF6"/>
    <w:rsid w:val="00873BF3"/>
    <w:rsid w:val="00876A88"/>
    <w:rsid w:val="00883B5D"/>
    <w:rsid w:val="00884E6D"/>
    <w:rsid w:val="008877CB"/>
    <w:rsid w:val="008A32C5"/>
    <w:rsid w:val="008A7308"/>
    <w:rsid w:val="008B4A3D"/>
    <w:rsid w:val="008C6203"/>
    <w:rsid w:val="008D61E7"/>
    <w:rsid w:val="008D7A5E"/>
    <w:rsid w:val="008E2BE3"/>
    <w:rsid w:val="008E2C5D"/>
    <w:rsid w:val="008F0606"/>
    <w:rsid w:val="008F33FC"/>
    <w:rsid w:val="008F7002"/>
    <w:rsid w:val="009226B3"/>
    <w:rsid w:val="0093672A"/>
    <w:rsid w:val="009505F8"/>
    <w:rsid w:val="00950C9F"/>
    <w:rsid w:val="009626A8"/>
    <w:rsid w:val="0096746A"/>
    <w:rsid w:val="00972442"/>
    <w:rsid w:val="00992DF1"/>
    <w:rsid w:val="0099493F"/>
    <w:rsid w:val="00996EBB"/>
    <w:rsid w:val="009A3CF4"/>
    <w:rsid w:val="009B135C"/>
    <w:rsid w:val="009D60A5"/>
    <w:rsid w:val="009E1B4E"/>
    <w:rsid w:val="009E3A1C"/>
    <w:rsid w:val="009F4D53"/>
    <w:rsid w:val="00A01EC2"/>
    <w:rsid w:val="00A1158F"/>
    <w:rsid w:val="00A16BEA"/>
    <w:rsid w:val="00A20513"/>
    <w:rsid w:val="00A27801"/>
    <w:rsid w:val="00A312B3"/>
    <w:rsid w:val="00A43A35"/>
    <w:rsid w:val="00A47E2F"/>
    <w:rsid w:val="00A51A8C"/>
    <w:rsid w:val="00A56164"/>
    <w:rsid w:val="00A600AF"/>
    <w:rsid w:val="00A600FA"/>
    <w:rsid w:val="00A72C35"/>
    <w:rsid w:val="00A87D2F"/>
    <w:rsid w:val="00A92590"/>
    <w:rsid w:val="00AA3525"/>
    <w:rsid w:val="00AB298C"/>
    <w:rsid w:val="00AB47EE"/>
    <w:rsid w:val="00AB5733"/>
    <w:rsid w:val="00AB6CBF"/>
    <w:rsid w:val="00AC5AAD"/>
    <w:rsid w:val="00AE180F"/>
    <w:rsid w:val="00AE5581"/>
    <w:rsid w:val="00AE79AF"/>
    <w:rsid w:val="00B108C1"/>
    <w:rsid w:val="00B24D7A"/>
    <w:rsid w:val="00B3084E"/>
    <w:rsid w:val="00B362F7"/>
    <w:rsid w:val="00B43C72"/>
    <w:rsid w:val="00B50F00"/>
    <w:rsid w:val="00B5456B"/>
    <w:rsid w:val="00B5574C"/>
    <w:rsid w:val="00B735E3"/>
    <w:rsid w:val="00B73818"/>
    <w:rsid w:val="00B74B53"/>
    <w:rsid w:val="00B77427"/>
    <w:rsid w:val="00B85DFF"/>
    <w:rsid w:val="00B87BB2"/>
    <w:rsid w:val="00B96E86"/>
    <w:rsid w:val="00B97057"/>
    <w:rsid w:val="00BA053B"/>
    <w:rsid w:val="00BA3446"/>
    <w:rsid w:val="00BA7635"/>
    <w:rsid w:val="00BC26E4"/>
    <w:rsid w:val="00BD1EAA"/>
    <w:rsid w:val="00BE7B62"/>
    <w:rsid w:val="00BF0AFC"/>
    <w:rsid w:val="00BF6786"/>
    <w:rsid w:val="00BF70F2"/>
    <w:rsid w:val="00C025FE"/>
    <w:rsid w:val="00C06A5B"/>
    <w:rsid w:val="00C10A8D"/>
    <w:rsid w:val="00C13EE9"/>
    <w:rsid w:val="00C234F2"/>
    <w:rsid w:val="00C23D90"/>
    <w:rsid w:val="00C3088E"/>
    <w:rsid w:val="00C36610"/>
    <w:rsid w:val="00C379E4"/>
    <w:rsid w:val="00C43792"/>
    <w:rsid w:val="00C45953"/>
    <w:rsid w:val="00C52739"/>
    <w:rsid w:val="00C62AE2"/>
    <w:rsid w:val="00C65E18"/>
    <w:rsid w:val="00C827FF"/>
    <w:rsid w:val="00C8553D"/>
    <w:rsid w:val="00C85D0F"/>
    <w:rsid w:val="00C86950"/>
    <w:rsid w:val="00C93601"/>
    <w:rsid w:val="00CA180E"/>
    <w:rsid w:val="00CC476E"/>
    <w:rsid w:val="00CD34AC"/>
    <w:rsid w:val="00CE0A89"/>
    <w:rsid w:val="00CE347F"/>
    <w:rsid w:val="00CE40C5"/>
    <w:rsid w:val="00CE6558"/>
    <w:rsid w:val="00CE7579"/>
    <w:rsid w:val="00D006EE"/>
    <w:rsid w:val="00D07C5B"/>
    <w:rsid w:val="00D318E7"/>
    <w:rsid w:val="00D34053"/>
    <w:rsid w:val="00D37833"/>
    <w:rsid w:val="00D467BF"/>
    <w:rsid w:val="00D5213C"/>
    <w:rsid w:val="00D7202C"/>
    <w:rsid w:val="00D77A32"/>
    <w:rsid w:val="00D82297"/>
    <w:rsid w:val="00D8432D"/>
    <w:rsid w:val="00D9752A"/>
    <w:rsid w:val="00DA5A88"/>
    <w:rsid w:val="00DB4824"/>
    <w:rsid w:val="00DC4F54"/>
    <w:rsid w:val="00DC7701"/>
    <w:rsid w:val="00DD2C01"/>
    <w:rsid w:val="00DE19FF"/>
    <w:rsid w:val="00E14C1A"/>
    <w:rsid w:val="00E16BDB"/>
    <w:rsid w:val="00E21739"/>
    <w:rsid w:val="00E23868"/>
    <w:rsid w:val="00E26603"/>
    <w:rsid w:val="00E333F0"/>
    <w:rsid w:val="00E40D29"/>
    <w:rsid w:val="00E42AD1"/>
    <w:rsid w:val="00E43A48"/>
    <w:rsid w:val="00E55261"/>
    <w:rsid w:val="00E62196"/>
    <w:rsid w:val="00E75C03"/>
    <w:rsid w:val="00E81BA6"/>
    <w:rsid w:val="00E856D2"/>
    <w:rsid w:val="00E929A7"/>
    <w:rsid w:val="00E93E66"/>
    <w:rsid w:val="00E95430"/>
    <w:rsid w:val="00EA35B2"/>
    <w:rsid w:val="00EA6DE0"/>
    <w:rsid w:val="00EA7ACA"/>
    <w:rsid w:val="00EA7F20"/>
    <w:rsid w:val="00EB114A"/>
    <w:rsid w:val="00EB761F"/>
    <w:rsid w:val="00ED74AF"/>
    <w:rsid w:val="00EE2AC2"/>
    <w:rsid w:val="00EF7C6C"/>
    <w:rsid w:val="00F06E70"/>
    <w:rsid w:val="00F13A32"/>
    <w:rsid w:val="00F14A2D"/>
    <w:rsid w:val="00F33D44"/>
    <w:rsid w:val="00F40D6E"/>
    <w:rsid w:val="00F63FE4"/>
    <w:rsid w:val="00F70637"/>
    <w:rsid w:val="00F9166E"/>
    <w:rsid w:val="00F94599"/>
    <w:rsid w:val="00FC228C"/>
    <w:rsid w:val="00FC42F1"/>
    <w:rsid w:val="00FC6460"/>
    <w:rsid w:val="00FC7B08"/>
    <w:rsid w:val="00FD0D14"/>
    <w:rsid w:val="00FD4BC4"/>
    <w:rsid w:val="00FE24DE"/>
    <w:rsid w:val="00FF4B50"/>
  </w:rsids>
  <w:docVars>
    <w:docVar w:name="AMACTMNU" w:val=" 2"/>
    <w:docVar w:name="AMPLURMNU" w:val=" 1"/>
    <w:docVar w:name="AUTHORMFMNU" w:val=" 2"/>
    <w:docVar w:name="CJMNU" w:val="2"/>
    <w:docVar w:name="CODEMNU" w:val=" 3"/>
    <w:docVar w:name="COM2KEY" w:val="CJ65"/>
    <w:docVar w:name="COMKEY" w:val="BUDG"/>
    <w:docVar w:name="CONTRIBUTIONMNU" w:val=" 2"/>
    <w:docVar w:name="CopyToNetwork" w:val="-1"/>
    <w:docVar w:name="CVar" w:val="3"/>
    <w:docVar w:name="DOCDT" w:val="15/04/2026"/>
    <w:docVar w:name="DOCMNU" w:val=" 1"/>
    <w:docVar w:name="FONCTIONMNU" w:val=" 1"/>
    <w:docVar w:name="iNoAmend" w:val="5"/>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010838 HideTWBExt;}{\*\cs18 \additive \v\f1\fs20\cf15 &#13;_x000a_\spriority0 \styrsid9010838 HideTWBInt;}{\s19\ql \li0\ri0\nowidctlpar\wrapdefault\aspalpha\aspnum\faauto\adjustright\rin0\lin0\itap0 \rtlch\fcs1 \af0\afs20\alang1025 \ltrch\fcs0 \b\fs24\lang2057\langfe2057\cgrid\langnp2057\langfenp2057 &#13;_x000a_\sbasedon0 \snext19 \spriority0 \styrsid9010838 NormalBold;}{\s20\ql \li0\ri0\sa120\nowidctlpar\wrapdefault\aspalpha\aspnum\faauto\adjustright\rin0\lin0\itap0 \rtlch\fcs1 \af0\afs20\alang1025 \ltrch\fcs0 &#13;_x000a_\fs24\lang2057\langfe2057\cgrid\langnp2057\langfenp2057 \sbasedon0 \snext20 \spriority0 \styrsid9010838 Normal6a;}{\s21\qc \li0\ri0\sa240\nowidctlpar\wrapdefault\aspalpha\aspnum\faauto\adjustright\rin0\lin0\itap0 \rtlch\fcs1 \af0\afs20\alang1025 &#13;_x000a_\ltrch\fcs0 \i\fs24\lang2057\langfe2057\cgrid\langnp2057\langfenp2057 \sbasedon0 \snext21 \spriority0 \styrsid9010838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9010838 AmNumberTabs;}{\s23\ql \li0\ri0\sa240\nowidctlpar\wrapdefault\aspalpha\aspnum\faauto\adjustright\rin0\lin0\itap0 \rtlch\fcs1 &#13;_x000a_\af0\afs20\alang1025 \ltrch\fcs0 \i\fs24\lang2057\langfe2057\cgrid\langnp2057\langfenp2057 \sbasedon0 \snext23 \spriority0 \styrsid9010838 AmJustText;}{&#13;_x000a_\s24\qc \li0\ri0\sb240\sa240\nowidctlpar\wrapdefault\aspalpha\aspnum\faauto\adjustright\rin0\lin0\itap0 \rtlch\fcs1 \af0\afs20\alang1025 \ltrch\fcs0 \i\fs24\lang2057\langfe2057\cgrid\langnp2057\langfenp2057 \sbasedon0 \snext24 \spriority0 \styrsid9010838 &#13;_x000a_AmCrossRef;}{\s25\qc \li0\ri0\sb240\sa240\keepn\nowidctlpar\wrapdefault\aspalpha\aspnum\faauto\adjustright\rin0\lin0\itap0 \rtlch\fcs1 \af0\afs20\alang1025 \ltrch\fcs0 \i\fs24\lang2057\langfe2057\cgrid\langnp2057\langfenp2057 &#13;_x000a_\sbasedon0 \snext23 \spriority0 \styrsid9010838 AmJustTitle;}{\s26\ql \li0\ri0\sb240\nowidctlpar\wrapdefault\aspalpha\aspnum\faauto\adjustright\rin0\lin0\itap0 \rtlch\fcs1 \af0\afs20\alang1025 \ltrch\fcs0 &#13;_x000a_\b\fs24\lang2057\langfe2057\cgrid\langnp2057\langfenp2057 \sbasedon0 \snext26 \spriority0 \styrsid9010838 NormalBold12b;}}{\*\rsidtbl \rsid24658\rsid223860\rsid735077\rsid1007922\rsid1718133\rsid2892074\rsid3565327\rsid4666813\rsid6641733\rsid7823322&#13;_x000a_\rsid9010838\rsid9636012\rsid10377208\rsid11215221\rsid11225070\rsid11549030\rsid12154954\rsid14382809\rsid14424199\rsid15204470\rsid15285974\rsid15950462\rsid16324206\rsid16662270}{\mmathPr\mmathFont34\mbrkBin0\mbrkBinSub0\msmallFrac0\mdispDef1\mlMargin0&#13;_x000a_\mrMargin0\mdefJc1\mwrapIndent1440\mintLim0\mnaryLim1}{\info{\author ATES Devrim}{\operator ATES Devrim}{\creatim\yr2026\mo7\dy6\hr11\min40}{\revtim\yr2026\mo7\dy6\hr11\min40}{\version1}{\edmins0}{\nofpages1}{\nofwords103}{\nofchars598}{\nofcharsws696}&#13;_x000a_{\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010838\newtblstyruls\nogrowautofit\usenormstyforlist\noindnmbrts\felnbrelev\nocxsptable\indrlsweleven\noafcnsttbl\afelev\utinl\hwelev\spltpgpar\notcvasp\notbrkcnstfrctbl\notvatxbx\krnprsnet\cachedcolbal &#13;_x000a_\nouicompat \fet0{\*\wgrffmtfilter 013f}\nofeaturethrottle1\ilfomacatclnup0{\*\template C:\\Users\\dates\\AppData\\Local\\Temp\\Blank1.dotx}{\*\ftnsep \ltrpar \pard\plain \ltrpar&#13;_x000a_\ql \li0\ri0\widctlpar\wrapdefault\aspalpha\aspnum\faauto\adjustright\rin0\lin0\itap0 \rtlch\fcs1 \af0\afs20\alang1025 \ltrch\fcs0 \fs24\lang2057\langfe2057\cgrid\langnp2057\langfenp2057 {\rtlch\fcs1 \af0 \ltrch\fcs0 \insrsid1007922 \chftnsep &#13;_x000a_\par }}{\*\ftnsepc \ltrpar \pard\plain \ltrpar\ql \li0\ri0\widctlpar\wrapdefault\aspalpha\aspnum\faauto\adjustright\rin0\lin0\itap0 \rtlch\fcs1 \af0\afs20\alang1025 \ltrch\fcs0 \fs24\lang2057\langfe2057\cgrid\langnp2057\langfenp2057 {\rtlch\fcs1 \af0 &#13;_x000a_\ltrch\fcs0 \insrsid1007922 \chftnsepc &#13;_x000a_\par }}{\*\aftnsep \ltrpar \pard\plain \ltrpar\ql \li0\ri0\widctlpar\wrapdefault\aspalpha\aspnum\faauto\adjustright\rin0\lin0\itap0 \rtlch\fcs1 \af0\afs20\alang1025 \ltrch\fcs0 \fs24\lang2057\langfe2057\cgrid\langnp2057\langfenp2057 {\rtlch\fcs1 \af0 &#13;_x000a_\ltrch\fcs0 \insrsid1007922 \chftnsep &#13;_x000a_\par }}{\*\aftnsepc \ltrpar \pard\plain \ltrpar\ql \li0\ri0\widctlpar\wrapdefault\aspalpha\aspnum\faauto\adjustright\rin0\lin0\itap0 \rtlch\fcs1 \af0\afs20\alang1025 \ltrch\fcs0 \fs24\lang2057\langfe2057\cgrid\langnp2057\langfenp2057 {\rtlch\fcs1 \af0 &#13;_x000a_\ltrch\fcs0 \insrsid10079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15363552 \rtlch\fcs1 &#13;_x000a_\af0\afs20\alang1025 \ltrch\fcs0 \b\fs24\lang2057\langfe2057\cgrid\langnp2057\langfenp2057 {\rtlch\fcs1 \af0 \ltrch\fcs0 \cs17\b0\v\fs20\cf9\lang1024\langfe1024\loch\af1\hich\af1\dbch\af31501\noproof\insrsid9010838\charrsid8798805 {\*\bkmkstart restart}&#13;_x000a_\hich\af1\dbch\af31501\loch\f1 &lt;Amend&gt;}{\rtlch\fcs1 \af0 \ltrch\fcs0 \insrsid9010838\charrsid8798805 Amendment\tab \tab }{\rtlch\fcs1 \af0 \ltrch\fcs0 &#13;_x000a_\cs17\b0\v\fs20\cf9\lang1024\langfe1024\loch\af1\hich\af1\dbch\af31501\noproof\insrsid9010838\charrsid8798805 \hich\af1\dbch\af31501\loch\f1 &lt;NumAm&gt;}{\rtlch\fcs1 \af0 \ltrch\fcs0 \insrsid9010838\charrsid8798805 #}{\rtlch\fcs1 \af0 \ltrch\fcs0 &#13;_x000a_\cs18\v\f1\fs20\cf15\insrsid9010838\charrsid8798805 ENMIENDA@NRAM@}{\rtlch\fcs1 \af0 \ltrch\fcs0 \insrsid9010838\charrsid8798805 #}{\rtlch\fcs1 \af0 \ltrch\fcs0 &#13;_x000a_\cs17\b0\v\fs20\cf9\lang1024\langfe1024\loch\af1\hich\af1\dbch\af31501\noproof\insrsid9010838\charrsid8798805 \hich\af1\dbch\af31501\loch\f1 &lt;/NumAm&gt;}{\rtlch\fcs1 \af0 \ltrch\fcs0 \insrsid9010838\charrsid8798805 &#13;_x000a_\par }\pard\plain \ltrpar\s26\ql \li0\ri0\sb240\keepn\nowidctlpar\wrapdefault\aspalpha\aspnum\faauto\adjustright\rin0\lin0\itap0\pararsid15363552 \rtlch\fcs1 \af0\afs20\alang1025 \ltrch\fcs0 \b\fs24\lang2057\langfe2057\cgrid\langnp2057\langfenp2057 {&#13;_x000a_\rtlch\fcs1 \af0 \ltrch\fcs0 \cs17\b0\v\fs20\cf9\lang1024\langfe1024\loch\af1\hich\af1\dbch\af31501\noproof\insrsid9010838\charrsid8798805 \hich\af1\dbch\af31501\loch\f1 &lt;DocAmend&gt;}{\rtlch\fcs1 \af0 \ltrch\fcs0 \insrsid9010838\charrsid8798805 #}{&#13;_x000a_\rtlch\fcs1 \af0 \ltrch\fcs0 \cs18\v\f1\fs20\cf15\insrsid9010838\charrsid8798805 MNU[PROPCOM][PROPCOUNC]@CHOICE@TITLEMNU}{\rtlch\fcs1 \af0 \ltrch\fcs0 \insrsid9010838\charrsid8798805 ##}{\rtlch\fcs1 \af0 \ltrch\fcs0 &#13;_x000a_\cs18\v\f1\fs20\cf15\insrsid9010838\charrsid8798805 MNU[AMACTYES][NOTAPP]@CHOICE@AMACTMNU}{\rtlch\fcs1 \af0 \ltrch\fcs0 \insrsid9010838\charrsid8798805 #}{\rtlch\fcs1 \af0 \ltrch\fcs0 &#13;_x000a_\cs17\b0\v\fs20\cf9\lang1024\langfe1024\loch\af1\hich\af1\dbch\af31501\noproof\insrsid9010838\charrsid8798805 \hich\af1\dbch\af31501\loch\f1 &lt;/DocAmend&gt;}{\rtlch\fcs1 \af0 \ltrch\fcs0 \insrsid9010838\charrsid8798805 &#13;_x000a_\par }\pard\plain \ltrpar\s19\ql \li0\ri0\nowidctlpar\wrapdefault\aspalpha\aspnum\faauto\adjustright\rin0\lin0\itap0\pararsid15363552 \rtlch\fcs1 \af0\afs20\alang1025 \ltrch\fcs0 \b\fs24\lang2057\langfe2057\cgrid\langnp2057\langfenp2057 {\rtlch\fcs1 \af0 &#13;_x000a_\ltrch\fcs0 \cs17\b0\v\fs20\cf9\lang1024\langfe1024\loch\af1\hich\af1\dbch\af31501\noproof\insrsid9010838\charrsid8798805 \hich\af1\dbch\af31501\loch\f1 &lt;Article&gt;}{\rtlch\fcs1 \af0 \ltrch\fcs0 \insrsid9010838\charrsid8798805 #}{\rtlch\fcs1 \af0 &#13;_x000a_\ltrch\fcs0 \cs18\v\f1\fs20\cf15\insrsid9010838\charrsid8798805 MNU[AMACTPARTYES][AMACTPARTNO]@CHOICE@AMACTMNU}{\rtlch\fcs1 \af0 \ltrch\fcs0 \insrsid9010838\charrsid8798805 #}{\rtlch\fcs1 \af0 \ltrch\fcs0 &#13;_x000a_\cs17\b0\v\fs20\cf9\lang1024\langfe1024\loch\af1\hich\af1\dbch\af31501\noproof\insrsid9010838\charrsid8798805 \hich\af1\dbch\af31501\loch\f1 &lt;/Article&gt;}{\rtlch\fcs1 \af0 \ltrch\fcs0 \insrsid9010838\charrsid8798805 &#13;_x000a_\par }\pard\plain \ltrpar\ql \li0\ri0\keepn\widctlpar\wrapdefault\aspalpha\aspnum\faauto\adjustright\rin0\lin0\itap0\pararsid15363552 \rtlch\fcs1 \af0\afs20\alang1025 \ltrch\fcs0 \fs24\lang2057\langfe2057\cgrid\langnp2057\langfenp2057 {\rtlch\fcs1 \af0 &#13;_x000a_\ltrch\fcs0 \cs17\v\fs20\cf9\lang1024\langfe1024\loch\af1\hich\af1\dbch\af31501\noproof\insrsid9010838\charrsid8798805 \hich\af1\dbch\af31501\loch\f1 &lt;DocAmend2&gt;&lt;OptDel&gt;}{\rtlch\fcs1 \af0 \ltrch\fcs0 \insrsid9010838\charrsid8798805 #}{\rtlch\fcs1 \af0 &#13;_x000a_\ltrch\fcs0 \cs18\v\f1\fs20\cf15\insrsid9010838\charrsid8798805 MNU[OPTNRACTYES][NOTAPP]@CHOICE@AMACTMNU}{\rtlch\fcs1 \af0 \ltrch\fcs0 \insrsid9010838\charrsid8798805 #}{\rtlch\fcs1 \af0 \ltrch\fcs0 &#13;_x000a_\cs17\v\fs20\cf9\lang1024\langfe1024\loch\af1\hich\af1\dbch\af31501\noproof\insrsid9010838\charrsid8798805 \hich\af1\dbch\af31501\loch\f1 &lt;/OptDel&gt;&lt;/DocAmend2&gt;}{\rtlch\fcs1 \af0 \ltrch\fcs0 \insrsid9010838\charrsid8798805 &#13;_x000a_\par }\pard \ltrpar\ql \li0\ri0\widctlpar\wrapdefault\aspalpha\aspnum\faauto\adjustright\rin0\lin0\itap0\pararsid15363552 {\rtlch\fcs1 \af0 \ltrch\fcs0 \cs17\v\fs20\cf9\lang1024\langfe1024\loch\af1\hich\af1\dbch\af31501\noproof\insrsid9010838\charrsid8798805 &#13;_x000a_\hich\af1\dbch\af31501\loch\f1 &lt;Article2&gt;&lt;OptDel&gt;}{\rtlch\fcs1 \af0 \ltrch\fcs0 \insrsid9010838\charrsid8798805 #}{\rtlch\fcs1 \af0 \ltrch\fcs0 \cs18\v\f1\fs20\cf15\insrsid9010838\charrsid8798805 MNU[OPTACTPARTYES][NOTAPP]@CHOICE@AMACTMNU}{\rtlch\fcs1 &#13;_x000a_\af0 \ltrch\fcs0 \insrsid9010838\charrsid8798805 #}{\rtlch\fcs1 \af0 \ltrch\fcs0 \cs17\v\fs20\cf9\lang1024\langfe1024\loch\af1\hich\af1\dbch\af31501\noproof\insrsid9010838\charrsid8798805 \hich\af1\dbch\af31501\loch\f1 &lt;/OptDel&gt;&lt;/Article2&gt;}{\rtlch\fcs1 &#13;_x000a_\af0 \ltrch\fcs0 \insrsid9010838\charrsid8798805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insrsid9010838\charrsid8798805 \cell }\pard \ltrpar\ql \li0\ri0\widctlpar\intbl\wrapdefault\aspalpha\aspnum\faauto\adjustright\rin0\lin0 {\rtlch\fcs1 \af0 \ltrch\fcs0 \insrsid9010838\charrsid8798805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2057\langfe2057\cgrid\langnp2057\langfenp2057 {&#13;_x000a_\rtlch\fcs1 \af0 \ltrch\fcs0 \insrsid9010838\charrsid8798805 #}{\rtlch\fcs1 \af0 \ltrch\fcs0 \cs18\v\f1\fs20\cf15\insrsid9010838\charrsid8798805 MNU[OPTLEFTAMACT][LEFTPROP]@CHOICE@AMACTMNU}{\rtlch\fcs1 \af0 \ltrch\fcs0 \insrsid9010838\charrsid8798805 #&#13;_x000a_\cell Amendment\cell }\pard\plain \ltrpar\ql \li0\ri0\widctlpar\intbl\wrapdefault\aspalpha\aspnum\faauto\adjustright\rin0\lin0 \rtlch\fcs1 \af0\afs20\alang1025 \ltrch\fcs0 \fs24\lang2057\langfe2057\cgrid\langnp2057\langfenp2057 {\rtlch\fcs1 \af0 &#13;_x000a_\ltrch\fcs0 \insrsid9010838\charrsid8798805 \trowd \ltrrow\ts11\trqc\trgaph340\trleft-34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536\clvertalt\clbrdrt\brdrtbl \clbrdrl\brdrtbl \clbrdrb\brdrtbl \clbrdrr\brdrtbl &#13;_x000a_\cltxlrtb\clftsWidth3\clwWidth4876\clshdrawnil\clhidemark \cellx9412\row \ltrrow}\pard\plain \ltrpar\s20\ql \li0\ri0\sa120\nowidctlpar\intbl\wrapdefault\aspalpha\aspnum\faauto\adjustright\rin0\lin0\pararsid11085200 \rtlch\fcs1 \af0\afs20\alang1025 &#13;_x000a_\ltrch\fcs0 \fs24\lang2057\langfe2057\cgrid\langnp2057\langfenp2057 {\rtlch\fcs1 \af0 \ltrch\fcs0 \insrsid9010838\charrsid8798805 #}{\rtlch\fcs1 \af0 \ltrch\fcs0 \cs18\v\f1\fs20\cf15\insrsid9010838\charrsid8798805 MNU[TEXTLEVA][TEXTLOTHER]@CHOICE@TEXTRMNU&#13;_x000a_}{\rtlch\fcs1 \af0 \ltrch\fcs0 \insrsid9010838\charrsid8798805 #\cell #}{\rtlch\fcs1 \af0 \ltrch\fcs0 \cs18\v\f1\fs20\cf15\insrsid9010838\charrsid8798805 MNU[TEXTREVA][TEXTROTHER]@CHOICE@TEXTRMNU}{\rtlch\fcs1 \af0 \ltrch\fcs0 &#13;_x000a_\insrsid9010838\charrsid8798805 #\cell }\pard\plain \ltrpar\ql \li0\ri0\widctlpar\intbl\wrapdefault\aspalpha\aspnum\faauto\adjustright\rin0\lin0 \rtlch\fcs1 \af0\afs20\alang1025 \ltrch\fcs0 \fs24\lang2057\langfe2057\cgrid\langnp2057\langfenp2057 {&#13;_x000a_\rtlch\fcs1 \af0 \ltrch\fcs0 \insrsid9010838\charrsid8798805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15363552 \rtlch\fcs1 \af0\afs20\alang1025 \ltrch\fcs0 \i\fs24\lang2057\langfe2057\cgrid\langnp2057\langfenp2057 {&#13;_x000a_\rtlch\fcs1 \af0 \ltrch\fcs0 \cs17\i0\v\fs20\cf9\lang1024\langfe1024\loch\af1\hich\af1\dbch\af31501\noproof\insrsid9010838\charrsid8798805 \hich\af1\dbch\af31501\loch\f1 &lt;OptDel&gt;}{\rtlch\fcs1 \af0 \ltrch\fcs0 \insrsid9010838\charrsid8798805 #}{&#13;_x000a_\rtlch\fcs1 \af0 \ltrch\fcs0 \cs18\v\f1\fs20\cf15\insrsid9010838\charrsid8798805 MNU[CROSSREFNO][CROSSREFYES]@CHOICE@}{\rtlch\fcs1 \af0 \ltrch\fcs0 \insrsid9010838\charrsid8798805 #}{\rtlch\fcs1 \af0 \ltrch\fcs0 &#13;_x000a_\cs17\i0\v\fs20\cf9\lang1024\langfe1024\loch\af1\hich\af1\dbch\af31501\noproof\insrsid9010838\charrsid8798805 \hich\af1\dbch\af31501\loch\f1 &lt;/OptDel&gt;}{\rtlch\fcs1 \af0 \ltrch\fcs0 \insrsid9010838\charrsid8798805 &#13;_x000a_\par }\pard\plain \ltrpar\s25\qc \li0\ri0\sb240\sa240\keepn\nowidctlpar\wrapdefault\aspalpha\aspnum\faauto\adjustright\rin0\lin0\itap0\pararsid15363552 \rtlch\fcs1 \af0\afs20\alang1025 \ltrch\fcs0 \i\fs24\lang2057\langfe2057\cgrid\langnp2057\langfenp2057 {&#13;_x000a_\rtlch\fcs1 \af0 \ltrch\fcs0 \cs17\i0\v\fs20\cf9\lang1024\langfe1024\loch\af1\hich\af1\dbch\af31501\noproof\insrsid9010838\charrsid8798805 \hich\af1\dbch\af31501\loch\f1 &lt;TitreJust&gt;}{\rtlch\fcs1 \af0 \ltrch\fcs0 \insrsid9010838\charrsid8798805 &#13;_x000a_Justification}{\rtlch\fcs1 \af0 \ltrch\fcs0 \cs17\i0\v\fs20\cf9\lang1024\langfe1024\loch\af1\hich\af1\dbch\af31501\noproof\insrsid9010838\charrsid8798805 \hich\af1\dbch\af31501\loch\f1 &lt;/TitreJust&gt;}{\rtlch\fcs1 \af0 \ltrch\fcs0 &#13;_x000a_\insrsid9010838\charrsid8798805 &#13;_x000a_\par }\pard\plain \ltrpar\s23\ql \li0\ri0\sa240\nowidctlpar\wrapdefault\aspalpha\aspnum\faauto\adjustright\rin0\lin0\itap0\pararsid15363552 \rtlch\fcs1 \af0\afs20\alang1025 \ltrch\fcs0 \i\fs24\lang2057\langfe2057\cgrid\langnp2057\langfenp2057 {\rtlch\fcs1 &#13;_x000a_\af0 \ltrch\fcs0 \cs17\i0\v\fs20\cf9\lang1024\langfe1024\loch\af1\hich\af1\dbch\af31501\noproof\insrsid9010838\charrsid8798805 \hich\af1\dbch\af31501\loch\f1 &lt;OptDelPrev&gt;}{\rtlch\fcs1 \af0 \ltrch\fcs0 \insrsid9010838\charrsid8798805 #}{\rtlch\fcs1 \af0 &#13;_x000a_\ltrch\fcs0 \cs18\v\f1\fs20\cf15\insrsid9010838\charrsid8798805 MNU[TEXTJUSTYES][TEXTJUSTNO]@CHOICE@}{\rtlch\fcs1 \af0 \ltrch\fcs0 \insrsid9010838\charrsid8798805 #}{\rtlch\fcs1 \af0 \ltrch\fcs0 &#13;_x000a_\cs17\i0\v\fs20\cf9\lang1024\langfe1024\loch\af1\hich\af1\dbch\af31501\noproof\insrsid9010838\charrsid8798805 \hich\af1\dbch\af31501\loch\f1 &lt;/OptDelPrev&gt;}{\rtlch\fcs1 \af0 \ltrch\fcs0 \insrsid9010838\charrsid8798805 &#13;_x000a_\par }\pard\plain \ltrpar\ql \li0\ri0\widctlpar\wrapdefault\aspalpha\aspnum\faauto\adjustright\rin0\lin0\itap0\pararsid15363552 \rtlch\fcs1 \af0\afs20\alang1025 \ltrch\fcs0 \fs24\lang2057\langfe2057\cgrid\langnp2057\langfenp2057 {\rtlch\fcs1 \af0 \ltrch\fcs0 &#13;_x000a_\cs17\v\fs20\cf9\lang1024\langfe1024\loch\af1\hich\af1\dbch\af31501\noproof\insrsid9010838\charrsid8798805 \hich\af1\dbch\af31501\loch\f1 &lt;/Amend&gt;}{\rtlch\fcs1 \af0 \ltrch\fcs0 \insrsid9010838\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56&#13;_x000a_7f742b0d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2\fbidi \froman\fcharset238\fprq2 Times New Roman CE;}{\f53\fbidi \froman\fcharset204\fprq2 Times New Roman Cyr;}&#13;_x000a_{\f55\fbidi \froman\fcharset161\fprq2 Times New Roman Greek;}{\f56\fbidi \froman\fcharset162\fprq2 Times New Roman Tur;}{\f57\fbidi \froman\fcharset177\fprq2 Times New Roman (Hebrew);}{\f58\fbidi \froman\fcharset178\fprq2 Times New Roman (Arabic);}&#13;_x000a_{\f59\fbidi \froman\fcharset186\fprq2 Times New Roman Baltic;}{\f60\fbidi \froman\fcharset163\fprq2 Times New Roman (Vietnamese);}{\f62\fbidi \fswiss\fcharset238\fprq2 Arial CE;}{\f63\fbidi \fswiss\fcharset204\fprq2 Arial Cyr;}&#13;_x000a_{\f65\fbidi \fswiss\fcharset161\fprq2 Arial Greek;}{\f66\fbidi \fswiss\fcharset162\fprq2 Arial Tur;}{\f67\fbidi \fswiss\fcharset177\fprq2 Arial (Hebrew);}{\f68\fbidi \fswiss\fcharset178\fprq2 Arial (Arabic);}&#13;_x000a_{\f69\fbidi \fswiss\fcharset186\fprq2 Arial Baltic;}{\f70\fbidi \fswiss\fcharset163\fprq2 Arial (Vietnamese);}{\f392\fbidi \froman\fcharset238\fprq2 Cambria Math CE;}{\f393\fbidi \froman\fcharset204\fprq2 Cambria Math Cyr;}&#13;_x000a_{\f395\fbidi \froman\fcharset161\fprq2 Cambria Math Greek;}{\f396\fbidi \froman\fcharset162\fprq2 Cambria Math Tur;}{\f399\fbidi \froman\fcharset186\fprq2 Cambria Math Baltic;}{\f400\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285722 HideTWBExt;}{&#13;_x000a_\s18\ql \li0\ri0\nowidctlpar\wrapdefault\aspalpha\aspnum\faauto\adjustright\rin0\lin0\itap0 \rtlch\fcs1 \af0\afs20\alang1025 \ltrch\fcs0 \b\fs24\lang2057\langfe2057\cgrid\langnp2057\langfenp2057 \sbasedon0 \snext18 \spriority0 \styrsid11285722 &#13;_x000a_NormalBold;}{\s19\ql \li0\ri0\sa120\nowidctlpar\wrapdefault\aspalpha\aspnum\faauto\adjustright\rin0\lin0\itap0 \rtlch\fcs1 \af0\afs20\alang1025 \ltrch\fcs0 \fs24\lang2057\langfe2057\cgrid\langnp2057\langfenp2057 &#13;_x000a_\sbasedon0 \snext19 \spriority0 \styrsid11285722 Normal6a;}{\s20\qc \li0\ri0\sa240\nowidctlpar\wrapdefault\aspalpha\aspnum\faauto\adjustright\rin0\lin0\itap0 \rtlch\fcs1 \af0\afs20\alang1025 \ltrch\fcs0 &#13;_x000a_\i\fs24\lang2057\langfe2057\cgrid\langnp2057\langfenp2057 \sbasedon0 \snext20 \spriority0 \styrsid11285722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1285722 AmNumberTabs;}{\s22\ql \li0\ri0\sa240\nowidctlpar\wrapdefault\aspalpha\aspnum\faauto\adjustright\rin0\lin0\itap0 \rtlch\fcs1 &#13;_x000a_\af0\afs20\alang1025 \ltrch\fcs0 \i\fs24\lang2057\langfe2057\cgrid\langnp2057\langfenp2057 \sbasedon0 \snext22 \spriority0 \styrsid11285722 AmJustText;}{&#13;_x000a_\s23\qc \li0\ri0\sb240\sa240\nowidctlpar\wrapdefault\aspalpha\aspnum\faauto\adjustright\rin0\lin0\itap0 \rtlch\fcs1 \af0\afs20\alang1025 \ltrch\fcs0 \i\fs24\lang2057\langfe2057\cgrid\langnp2057\langfenp2057 &#13;_x000a_\sbasedon0 \snext23 \spriority0 \styrsid11285722 AmCrossRef;}{\s24\qc \li0\ri0\sb240\sa240\keepn\nowidctlpar\wrapdefault\aspalpha\aspnum\faauto\adjustright\rin0\lin0\itap0 \rtlch\fcs1 \af0\afs20\alang1025 \ltrch\fcs0 &#13;_x000a_\i\fs24\lang2057\langfe2057\cgrid\langnp2057\langfenp2057 \sbasedon0 \snext22 \spriority0 \styrsid11285722 AmJustTitle;}{\s25\ql \li0\ri0\sb240\nowidctlpar\wrapdefault\aspalpha\aspnum\faauto\adjustright\rin0\lin0\itap0 \rtlch\fcs1 \af0\afs20\alang1025 &#13;_x000a_\ltrch\fcs0 \b\fs24\lang2057\langfe2057\cgrid\langnp2057\langfenp2057 \sbasedon0 \snext25 \spriority0 \styrsid11285722 NormalBold12b;}}{\*\rsidtbl \rsid24658\rsid223860\rsid735077\rsid1718133\rsid2892074\rsid3565327\rsid4539522\rsid4666813\rsid6641733&#13;_x000a_\rsid7823322\rsid9636012\rsid10377208\rsid11215221\rsid11225070\rsid11285722\rsid11549030\rsid12154954\rsid14382809\rsid14424199\rsid15204470\rsid15285974\rsid15950462\rsid16324206\rsid16662270}{\mmathPr\mmathFont34\mbrkBin0\mbrkBinSub0\msmallFrac0&#13;_x000a_\mdispDef1\mlMargin0\mrMargin0\mdefJc1\mwrapIndent1440\mintLim0\mnaryLim1}{\info{\author ATES Devrim}{\operator ATES Devrim}{\creatim\yr2026\mo7\dy6\hr11\min40}{\revtim\yr2026\mo7\dy6\hr11\min40}{\version1}{\edmins0}{\nofpages1}{\nofwords54}{\nofchars313}&#13;_x000a_{\nofcharsws36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285722\newtblstyruls\nogrowautofit\usenormstyforlist\noindnmbrts\felnbrelev\nocxsptable\indrlsweleven\noafcnsttbl\afelev\utinl\hwelev\spltpgpar\notcvasp\notbrkcnstfrctbl\notvatxbx\krnprsnet\cachedcolbal &#13;_x000a_\nouicompat \fet0{\*\wgrffmtfilter 013f}\nofeaturethrottle1\ilfomacatclnup0{\*\template C:\\Users\\dates\\AppData\\Local\\Temp\\Blank1.dotx}{\*\ftnsep \ltrpar \pard\plain \ltrpar&#13;_x000a_\ql \li0\ri0\widctlpar\wrapdefault\aspalpha\aspnum\faauto\adjustright\rin0\lin0\itap0 \rtlch\fcs1 \af0\afs20\alang1025 \ltrch\fcs0 \fs24\lang2057\langfe2057\cgrid\langnp2057\langfenp2057 {\rtlch\fcs1 \af0 \ltrch\fcs0 \insrsid4539522 \chftnsep &#13;_x000a_\par }}{\*\ftnsepc \ltrpar \pard\plain \ltrpar\ql \li0\ri0\widctlpar\wrapdefault\aspalpha\aspnum\faauto\adjustright\rin0\lin0\itap0 \rtlch\fcs1 \af0\afs20\alang1025 \ltrch\fcs0 \fs24\lang2057\langfe2057\cgrid\langnp2057\langfenp2057 {\rtlch\fcs1 \af0 &#13;_x000a_\ltrch\fcs0 \insrsid4539522 \chftnsepc &#13;_x000a_\par }}{\*\aftnsep \ltrpar \pard\plain \ltrpar\ql \li0\ri0\widctlpar\wrapdefault\aspalpha\aspnum\faauto\adjustright\rin0\lin0\itap0 \rtlch\fcs1 \af0\afs20\alang1025 \ltrch\fcs0 \fs24\lang2057\langfe2057\cgrid\langnp2057\langfenp2057 {\rtlch\fcs1 \af0 &#13;_x000a_\ltrch\fcs0 \insrsid4539522 \chftnsep &#13;_x000a_\par }}{\*\aftnsepc \ltrpar \pard\plain \ltrpar\ql \li0\ri0\widctlpar\wrapdefault\aspalpha\aspnum\faauto\adjustright\rin0\lin0\itap0 \rtlch\fcs1 \af0\afs20\alang1025 \ltrch\fcs0 \fs24\lang2057\langfe2057\cgrid\langnp2057\langfenp2057 {\rtlch\fcs1 \af0 &#13;_x000a_\ltrch\fcs0 \insrsid45395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11285722 {\*\bkmkstart restart}&#13;_x000a_\hich\af1\dbch\af31501\loch\f1 &lt;Amend&gt;}{\rtlch\fcs1 \af0 \ltrch\fcs0 \lang1030\langfe2057\langnp1030\insrsid11285722 [ZAMENDMENT]\tab \tab }{\rtlch\fcs1 \af0 \ltrch\fcs0 &#13;_x000a_\cs17\b0\v\fs20\cf9\lang1024\langfe1024\loch\af1\hich\af1\dbch\af31501\noproof\langnp1030\insrsid11285722 \hich\af1\dbch\af31501\loch\f1 &lt;NumAm&gt;}{\rtlch\fcs1 \af0 \ltrch\fcs0 \lang1030\langfe2057\langnp1030\insrsid11285722 [ZNRAM]}{\rtlch\fcs1 \af0 &#13;_x000a_\ltrch\fcs0 \cs17\b0\v\fs20\cf9\lang1024\langfe1024\loch\af1\hich\af1\dbch\af31501\noproof\langnp1030\insrsid11285722 \hich\af1\dbch\af31501\loch\f1 &lt;/NumAm&gt;}{\rtlch\fcs1 \af0 \ltrch\fcs0 \lang1030\langfe2057\langnp1030\insrsid11285722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11285722 \hich\af1\dbch\af31501\loch\f1 &lt;DocAmend&gt;}{\rtlch\fcs1 \af0 \ltrch\fcs0 \lang1030\langfe2057\langnp1030\insrsid11285722 &#13;_x000a_[ZPROPOSAL][ZAMACT]}{\rtlch\fcs1 \af0 \ltrch\fcs0 \cs17\b0\v\fs20\cf9\lang1024\langfe1024\loch\af1\hich\af1\dbch\af31501\noproof\langnp1030\insrsid11285722 \hich\af1\dbch\af31501\loch\f1 &lt;/DocAmend&gt;}{\rtlch\fcs1 \af0 \ltrch\fcs0 &#13;_x000a_\lang1030\langfe2057\langnp1030\insrsid11285722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11285722 \hich\af1\dbch\af31501\loch\f1 &lt;Article&gt;}{\rtlch\fcs1 \af0 \ltrch\fcs0 \lang1030\langfe2057\langnp1030\insrsid11285722 [ZAMPART]}{&#13;_x000a_\rtlch\fcs1 \af0 \ltrch\fcs0 \cs17\b0\v\fs20\cf9\lang1024\langfe1024\loch\af1\hich\af1\dbch\af31501\noproof\langnp1030\insrsid11285722 \hich\af1\dbch\af31501\loch\f1 &lt;/Article&gt;}{\rtlch\fcs1 \af0 \ltrch\fcs0 \lang1030\langfe2057\langnp1030\insrsid11285722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11285722 \hich\af1\dbch\af31501\loch\f1 &lt;DocAmend2&gt;&lt;OptDel&gt;}{\rtlch\fcs1 \af0 \ltrch\fcs0 \lang1030\langfe2057\langnp1030\insrsid11285722 [ZNRACT]}{&#13;_x000a_\rtlch\fcs1 \af0 \ltrch\fcs0 \cs17\v\fs20\cf9\lang1024\langfe1024\loch\af1\hich\af1\dbch\af31501\noproof\langnp1030\insrsid11285722 \hich\af1\dbch\af31501\loch\f1 &lt;/OptDel&gt;&lt;/DocAmend2&gt;}{\rtlch\fcs1 \af0 \ltrch\fcs0 &#13;_x000a_\lang1030\langfe2057\langnp1030\insrsid11285722 &#13;_x000a_\par }\pard \ltrpar\ql \li0\ri0\widctlpar\wrapdefault\aspalpha\aspnum\faauto\adjustright\rin0\lin0\itap0\pararsid6293919 {\rtlch\fcs1 \af0 \ltrch\fcs0 \cs17\v\fs20\cf9\lang1024\langfe1024\loch\af1\hich\af1\dbch\af31501\noproof\langnp1036\insrsid11285722 &#13;_x000a_\hich\af1\dbch\af31501\loch\f1 &lt;Article2&gt;&lt;OptDel&gt;}{\rtlch\fcs1 \af0 \ltrch\fcs0 \lang1036\langfe2057\langnp1036\insrsid11285722 [ZACTPART]}{\rtlch\fcs1 \af0 \ltrch\fcs0 &#13;_x000a_\cs17\v\fs20\cf9\lang1024\langfe1024\loch\af1\hich\af1\dbch\af31501\noproof\langnp1036\insrsid11285722 \hich\af1\dbch\af31501\loch\f1 &lt;/OptDel&gt;&lt;/Article2&gt;}{\rtlch\fcs1 \af0 \ltrch\fcs0 \lang1036\langfe2057\langnp1036\insrsid11285722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11285722 \cell }\pard \ltrpar\ql \li0\ri0\widctlpar\intbl\wrapdefault\aspalpha\aspnum\faauto\adjustright\rin0\lin0 {\rtlch\fcs1 \af0 \ltrch\fcs0 \insrsid1128572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11285722 [ZLEFT]\cell [ZRIGHT]\cell }\pard\plain \ltrpar\ql \li0\ri0\widctlpar\intbl\wrapdefault\aspalpha\aspnum\faauto\adjustright\rin0\lin0 \rtlch\fcs1 \af0\afs20\alang1025 \ltrch\fcs0 &#13;_x000a_\fs24\lang2057\langfe2057\cgrid\langnp2057\langfenp2057 {\rtlch\fcs1 \af0 \ltrch\fcs0 \insrsid1128572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11285722 [ZTEXTL]\cell [ZTEXTR]\cell }\pard\plain \ltrpar\ql \li0\ri0\widctlpar\intbl\wrapdefault\aspalpha\aspnum\faauto\adjustright\rin0\lin0 \rtlch\fcs1 \af0\afs20\alang1025 \ltrch\fcs0 &#13;_x000a_\fs24\lang2057\langfe2057\cgrid\langnp2057\langfenp2057 {\rtlch\fcs1 \af0 \ltrch\fcs0 \insrsid11285722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11285722 \hich\af1\dbch\af31501\loch\f1 &lt;OptDel&gt;}{\rtlch\fcs1 \af0 \ltrch\fcs0 \insrsid11285722 [ZCROSSREF]}{\rtlch\fcs1 \af0 \ltrch\fcs0 &#13;_x000a_\cs17\i0\v\fs20\cf9\lang1024\langfe1024\loch\af1\hich\af1\dbch\af31501\noproof\insrsid11285722 \hich\af1\dbch\af31501\loch\f1 &lt;/OptDel&gt;}{\rtlch\fcs1 \af0 \ltrch\fcs0 \insrsid11285722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11285722 \hich\af1\dbch\af31501\loch\f1 &lt;TitreJust&gt;}{\rtlch\fcs1 \af0 \ltrch\fcs0 \insrsid11285722 [ZJUSTIFICATION]}{\rtlch\fcs1 \af0 &#13;_x000a_\ltrch\fcs0 \cs17\i0\v\fs20\cf9\lang1024\langfe1024\loch\af1\hich\af1\dbch\af31501\noproof\insrsid11285722 \hich\af1\dbch\af31501\loch\f1 &lt;/TitreJust&gt;}{\rtlch\fcs1 \af0 \ltrch\fcs0 \insrsid11285722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11285722 \hich\af1\dbch\af31501\loch\f1 &lt;OptDelPrev&gt;}{\rtlch\fcs1 \af0 \ltrch\fcs0 \insrsid11285722 [ZTEXTJUST]}{\rtlch\fcs1 \af0 \ltrch\fcs0 &#13;_x000a_\cs17\i0\v\fs20\cf9\lang1024\langfe1024\loch\af1\hich\af1\dbch\af31501\noproof\insrsid11285722 \hich\af1\dbch\af31501\loch\f1 &lt;/OptDelPrev&gt;}{\rtlch\fcs1 \af0 \ltrch\fcs0 \insrsid11285722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11285722 \hich\af1\dbch\af31501\loch\f1 &lt;/Amend&gt;}{\rtlch\fcs1 \af0 \ltrch\fcs0 \insrsid11285722\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9a&#13;_x000a_31762b0d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8"/>
    <w:docVar w:name="TEXTRMNU" w:val="1"/>
    <w:docVar w:name="TITLECODMNU" w:val=" 1"/>
    <w:docVar w:name="TITLEMNU" w:val=" 1"/>
    <w:docVar w:name="TVTAMPART" w:val="Article 15 – paragraph 5"/>
    <w:docVar w:name="TXTAUTHOR" w:val="Sandra Gómez López"/>
    <w:docVar w:name="TXTLANGUE" w:val="SL"/>
    <w:docVar w:name="TXTLANGUEMIN" w:val="sl"/>
    <w:docVar w:name="TXTNRC" w:val="0173/2025"/>
    <w:docVar w:name="TXTNRCOM" w:val="(2025)0550"/>
    <w:docVar w:name="TXTNRFIRSTAM" w:val="1"/>
    <w:docVar w:name="TXTNRLASTAM" w:val="9"/>
    <w:docVar w:name="TXTNRPE" w:val="787.038"/>
    <w:docVar w:name="TXTNRPROC" w:val="2025/0550"/>
    <w:docVar w:name="TXTPEorAP" w:val="PE"/>
    <w:docVar w:name="TXTROUTE" w:val="AD\1348641SL.docx"/>
    <w:docVar w:name="TXTTITLE" w:val="Regulation of the European Parliament and of the Council establishing the 'AgoraEU' programme for the period 2028 to 2034, and repealing Regulations (EU) 2021/692 and (EU) 2021/818"/>
    <w:docVar w:name="TXTVERSION" w:val="03-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04F5BD0-90CC-4379-88EC-F832CF84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251B75"/>
    <w:rPr>
      <w:sz w:val="20"/>
    </w:rPr>
  </w:style>
  <w:style w:type="character" w:customStyle="1" w:styleId="FootnoteTextChar">
    <w:name w:val="Footnote Text Char"/>
    <w:basedOn w:val="DefaultParagraphFont"/>
    <w:link w:val="FootnoteText"/>
    <w:rsid w:val="00251B75"/>
  </w:style>
  <w:style w:type="character" w:styleId="FootnoteReference">
    <w:name w:val="footnote reference"/>
    <w:basedOn w:val="DefaultParagraphFont"/>
    <w:uiPriority w:val="99"/>
    <w:rsid w:val="00251B75"/>
    <w:rPr>
      <w:vertAlign w:val="superscript"/>
    </w:rPr>
  </w:style>
  <w:style w:type="character" w:styleId="Hyperlink">
    <w:name w:val="Hyperlink"/>
    <w:basedOn w:val="DefaultParagraphFont"/>
    <w:rsid w:val="00251B75"/>
    <w:rPr>
      <w:color w:val="0563C1" w:themeColor="hyperlink"/>
      <w:u w:val="single"/>
    </w:rPr>
  </w:style>
  <w:style w:type="character" w:customStyle="1" w:styleId="UnresolvedMention">
    <w:name w:val="Unresolved Mention"/>
    <w:basedOn w:val="DefaultParagraphFont"/>
    <w:uiPriority w:val="99"/>
    <w:semiHidden/>
    <w:unhideWhenUsed/>
    <w:rsid w:val="00251B75"/>
    <w:rPr>
      <w:color w:val="605E5C"/>
      <w:shd w:val="clear" w:color="auto" w:fill="E1DFDD"/>
    </w:rPr>
  </w:style>
  <w:style w:type="paragraph" w:styleId="Footer">
    <w:name w:val="footer"/>
    <w:basedOn w:val="Normal"/>
    <w:link w:val="FooterChar"/>
    <w:semiHidden/>
    <w:rsid w:val="00DB4824"/>
    <w:pPr>
      <w:tabs>
        <w:tab w:val="center" w:pos="4513"/>
        <w:tab w:val="right" w:pos="9026"/>
      </w:tabs>
    </w:pPr>
  </w:style>
  <w:style w:type="character" w:customStyle="1" w:styleId="FooterChar">
    <w:name w:val="Footer Char"/>
    <w:basedOn w:val="DefaultParagraphFont"/>
    <w:link w:val="Footer"/>
    <w:semiHidden/>
    <w:rsid w:val="00DB4824"/>
    <w:rPr>
      <w:sz w:val="24"/>
    </w:rPr>
  </w:style>
  <w:style w:type="character" w:styleId="CommentReference">
    <w:name w:val="annotation reference"/>
    <w:basedOn w:val="DefaultParagraphFont"/>
    <w:rsid w:val="00155C94"/>
    <w:rPr>
      <w:sz w:val="16"/>
      <w:szCs w:val="16"/>
    </w:rPr>
  </w:style>
  <w:style w:type="paragraph" w:styleId="CommentText">
    <w:name w:val="annotation text"/>
    <w:basedOn w:val="Normal"/>
    <w:link w:val="CommentTextChar"/>
    <w:rsid w:val="00155C94"/>
    <w:rPr>
      <w:sz w:val="20"/>
    </w:rPr>
  </w:style>
  <w:style w:type="character" w:customStyle="1" w:styleId="CommentTextChar">
    <w:name w:val="Comment Text Char"/>
    <w:basedOn w:val="DefaultParagraphFont"/>
    <w:link w:val="CommentText"/>
    <w:rsid w:val="00155C94"/>
  </w:style>
  <w:style w:type="paragraph" w:styleId="CommentSubject">
    <w:name w:val="annotation subject"/>
    <w:basedOn w:val="CommentText"/>
    <w:next w:val="CommentText"/>
    <w:link w:val="CommentSubjectChar"/>
    <w:semiHidden/>
    <w:unhideWhenUsed/>
    <w:rsid w:val="00155C94"/>
    <w:rPr>
      <w:b/>
      <w:bCs/>
    </w:rPr>
  </w:style>
  <w:style w:type="character" w:customStyle="1" w:styleId="CommentSubjectChar">
    <w:name w:val="Comment Subject Char"/>
    <w:basedOn w:val="CommentTextChar"/>
    <w:link w:val="CommentSubject"/>
    <w:semiHidden/>
    <w:rsid w:val="00155C94"/>
    <w:rPr>
      <w:b/>
      <w:bCs/>
    </w:rPr>
  </w:style>
  <w:style w:type="paragraph" w:styleId="Revision">
    <w:name w:val="Revision"/>
    <w:hidden/>
    <w:uiPriority w:val="99"/>
    <w:semiHidden/>
    <w:rsid w:val="00395F78"/>
    <w:rPr>
      <w:sz w:val="24"/>
    </w:rPr>
  </w:style>
  <w:style w:type="paragraph" w:customStyle="1" w:styleId="RollCallSymbols14pt">
    <w:name w:val="RollCallSymbols14pt"/>
    <w:basedOn w:val="Normal"/>
    <w:rsid w:val="00AB29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B298C"/>
    <w:pPr>
      <w:tabs>
        <w:tab w:val="center" w:pos="284"/>
        <w:tab w:val="left" w:pos="426"/>
      </w:tabs>
    </w:pPr>
    <w:rPr>
      <w:snapToGrid w:val="0"/>
      <w:lang w:eastAsia="en-US"/>
    </w:rPr>
  </w:style>
  <w:style w:type="paragraph" w:customStyle="1" w:styleId="RollCallVotes">
    <w:name w:val="RollCallVotes"/>
    <w:basedOn w:val="Normal"/>
    <w:rsid w:val="00AB298C"/>
    <w:pPr>
      <w:spacing w:before="120" w:after="120"/>
      <w:jc w:val="center"/>
    </w:pPr>
    <w:rPr>
      <w:b/>
      <w:bCs/>
      <w:snapToGrid w:val="0"/>
      <w:sz w:val="16"/>
      <w:lang w:eastAsia="en-US"/>
    </w:rPr>
  </w:style>
  <w:style w:type="paragraph" w:customStyle="1" w:styleId="RollCallTable">
    <w:name w:val="RollCallTable"/>
    <w:basedOn w:val="Normal"/>
    <w:rsid w:val="00AB298C"/>
    <w:pPr>
      <w:spacing w:before="120" w:after="120"/>
    </w:pPr>
    <w:rPr>
      <w:snapToGrid w:val="0"/>
      <w:sz w:val="16"/>
      <w:lang w:eastAsia="en-US"/>
    </w:rPr>
  </w:style>
  <w:style w:type="character" w:styleId="FollowedHyperlink">
    <w:name w:val="FollowedHyperlink"/>
    <w:basedOn w:val="DefaultParagraphFont"/>
    <w:rsid w:val="002059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dir/2010/13/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80BDA-AD9A-4E4A-9FF4-C8C7D6497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3843</Words>
  <Characters>23674</Characters>
  <Application>Microsoft Office Word</Application>
  <DocSecurity>0</DocSecurity>
  <Lines>591</Lines>
  <Paragraphs>206</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2026-07-20T12:01:00Z</cp:lastPrinted>
  <dcterms:created xsi:type="dcterms:W3CDTF">2026-08-27T08:44:00Z</dcterms:created>
  <dcterms:modified xsi:type="dcterms:W3CDTF">2026-08-27T08:44:00Z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1348641</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OK(HDG) - 2026/08/27 10:43</vt:lpwstr>
  </property>
  <property fmtid="{D5CDD505-2E9C-101B-9397-08002B2CF9AE}" pid="9" name="Created with">
    <vt:lpwstr>10.2.1 Build [20260301]</vt:lpwstr>
  </property>
  <property fmtid="{D5CDD505-2E9C-101B-9397-08002B2CF9AE}" pid="10" name="FooterPath">
    <vt:lpwstr>AD\1348641SL.docx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787.038</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- 2026/07/22 17:06</vt:lpwstr>
  </property>
</Properties>
</file>