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FB051E9" w14:textId="77777777">
        <w:tblPrEx>
          <w:tblW w:w="9072" w:type="dxa"/>
          <w:tblCellMar>
            <w:left w:w="0" w:type="dxa"/>
            <w:right w:w="0" w:type="dxa"/>
          </w:tblCellMar>
          <w:tblLook w:val="01E0"/>
        </w:tblPrEx>
        <w:trPr>
          <w:trHeight w:hRule="exact" w:val="1418"/>
        </w:trPr>
        <w:tc>
          <w:tcPr>
            <w:tcW w:w="6804" w:type="dxa"/>
            <w:shd w:val="clear" w:color="auto" w:fill="auto"/>
            <w:vAlign w:val="center"/>
          </w:tcPr>
          <w:p w:rsidR="00854CAC" w:rsidRPr="00AC7AC2" w14:paraId="7C6D71E0" w14:textId="77777777">
            <w:pPr>
              <w:pStyle w:val="EPName"/>
            </w:pPr>
            <w:r w:rsidRPr="00AC7AC2">
              <w:t>Parlaimint na hEorpa</w:t>
            </w:r>
          </w:p>
          <w:p w:rsidR="00854CAC" w:rsidRPr="00AC7AC2" w14:paraId="0DB6A0C1" w14:textId="77777777">
            <w:pPr>
              <w:pStyle w:val="EPTerm"/>
            </w:pPr>
            <w:r w:rsidRPr="00AC7AC2">
              <w:t>2024- 2029</w:t>
            </w:r>
          </w:p>
        </w:tc>
        <w:tc>
          <w:tcPr>
            <w:tcW w:w="2268" w:type="dxa"/>
            <w:shd w:val="clear" w:color="auto" w:fill="auto"/>
          </w:tcPr>
          <w:p w:rsidR="00854CAC" w:rsidRPr="00AC7AC2" w14:paraId="3241C1B0" w14:textId="77777777">
            <w:pPr>
              <w:pStyle w:val="EPLogo"/>
            </w:pPr>
            <w:r w:rsidRPr="00AC7AC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1301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AC7AC2" w:rsidP="001746D0" w14:paraId="4A430A5F" w14:textId="77777777">
      <w:pPr>
        <w:pStyle w:val="LineTop"/>
      </w:pPr>
    </w:p>
    <w:p w:rsidR="001746D0" w:rsidRPr="00AC7AC2" w:rsidP="001746D0" w14:paraId="08F1B73B" w14:textId="77777777">
      <w:pPr>
        <w:pStyle w:val="EPBody"/>
      </w:pPr>
      <w:r w:rsidRPr="00AC7AC2">
        <w:rPr>
          <w:rStyle w:val="HideTWBExt"/>
          <w:i w:val="0"/>
          <w:szCs w:val="20"/>
        </w:rPr>
        <w:t>&lt;</w:t>
      </w:r>
      <w:r w:rsidRPr="00AC7AC2">
        <w:rPr>
          <w:rStyle w:val="HideTWBExt"/>
          <w:i w:val="0"/>
          <w:szCs w:val="20"/>
        </w:rPr>
        <w:t>Commission</w:t>
      </w:r>
      <w:r w:rsidRPr="00AC7AC2">
        <w:rPr>
          <w:rStyle w:val="HideTWBExt"/>
          <w:i w:val="0"/>
          <w:szCs w:val="20"/>
        </w:rPr>
        <w:t>&gt;</w:t>
      </w:r>
      <w:r w:rsidRPr="00AC7AC2">
        <w:rPr>
          <w:rStyle w:val="HideTWBInt"/>
          <w:rFonts w:cs="Times New Roman"/>
          <w:i w:val="0"/>
          <w:szCs w:val="20"/>
        </w:rPr>
        <w:t>{BUDG}</w:t>
      </w:r>
      <w:r w:rsidRPr="00AC7AC2">
        <w:t>an Coiste um Buiséid</w:t>
      </w:r>
      <w:r w:rsidRPr="00AC7AC2">
        <w:rPr>
          <w:rStyle w:val="HideTWBExt"/>
          <w:i w:val="0"/>
          <w:szCs w:val="20"/>
        </w:rPr>
        <w:t>&lt;/</w:t>
      </w:r>
      <w:r w:rsidRPr="00AC7AC2">
        <w:rPr>
          <w:rStyle w:val="HideTWBExt"/>
          <w:i w:val="0"/>
          <w:szCs w:val="20"/>
        </w:rPr>
        <w:t>Commission</w:t>
      </w:r>
      <w:r w:rsidRPr="00AC7AC2">
        <w:rPr>
          <w:rStyle w:val="HideTWBExt"/>
          <w:i w:val="0"/>
          <w:szCs w:val="20"/>
        </w:rPr>
        <w:t>&gt;</w:t>
      </w:r>
    </w:p>
    <w:p w:rsidR="001746D0" w:rsidRPr="00AC7AC2" w:rsidP="001746D0" w14:paraId="3C0F084F" w14:textId="77777777">
      <w:pPr>
        <w:pStyle w:val="LineBottom"/>
      </w:pPr>
    </w:p>
    <w:p w:rsidR="002E2F2E" w:rsidRPr="00AC7AC2" w14:paraId="27BE892E" w14:textId="77777777">
      <w:pPr>
        <w:pStyle w:val="CoverReference"/>
      </w:pPr>
      <w:r w:rsidRPr="00AC7AC2">
        <w:rPr>
          <w:rStyle w:val="HideTWBExt"/>
          <w:b w:val="0"/>
        </w:rPr>
        <w:t>&lt;RefProc&gt;</w:t>
      </w:r>
      <w:r w:rsidRPr="00AC7AC2">
        <w:t>2025/0542</w:t>
      </w:r>
      <w:r w:rsidRPr="00AC7AC2">
        <w:rPr>
          <w:rStyle w:val="HideTWBExt"/>
          <w:b w:val="0"/>
        </w:rPr>
        <w:t>&lt;/</w:t>
      </w:r>
      <w:r w:rsidRPr="00AC7AC2">
        <w:rPr>
          <w:rStyle w:val="HideTWBExt"/>
          <w:b w:val="0"/>
        </w:rPr>
        <w:t>RefProc</w:t>
      </w:r>
      <w:r w:rsidRPr="00AC7AC2">
        <w:rPr>
          <w:rStyle w:val="HideTWBExt"/>
          <w:b w:val="0"/>
        </w:rPr>
        <w:t>&gt;&lt;RefTypeProc&gt;</w:t>
      </w:r>
      <w:r w:rsidRPr="00AC7AC2">
        <w:t>(COD)</w:t>
      </w:r>
      <w:r w:rsidRPr="00AC7AC2">
        <w:rPr>
          <w:rStyle w:val="HideTWBExt"/>
          <w:b w:val="0"/>
        </w:rPr>
        <w:t>&lt;/</w:t>
      </w:r>
      <w:r w:rsidRPr="00AC7AC2">
        <w:rPr>
          <w:rStyle w:val="HideTWBExt"/>
          <w:b w:val="0"/>
        </w:rPr>
        <w:t>RefTypeProc</w:t>
      </w:r>
      <w:r w:rsidRPr="00AC7AC2">
        <w:rPr>
          <w:rStyle w:val="HideTWBExt"/>
          <w:b w:val="0"/>
        </w:rPr>
        <w:t>&gt;</w:t>
      </w:r>
    </w:p>
    <w:p w:rsidR="002E2F2E" w:rsidRPr="00AC7AC2" w14:paraId="53A17251" w14:textId="77777777">
      <w:pPr>
        <w:pStyle w:val="CoverDate"/>
      </w:pPr>
      <w:r w:rsidRPr="00AC7AC2">
        <w:rPr>
          <w:rStyle w:val="HideTWBExt"/>
        </w:rPr>
        <w:t>&lt;Date&gt;</w:t>
      </w:r>
      <w:r w:rsidRPr="00AC7AC2">
        <w:rPr>
          <w:rStyle w:val="HideTWBInt"/>
        </w:rPr>
        <w:t>{16/07/2026}</w:t>
      </w:r>
      <w:r w:rsidRPr="00AC7AC2">
        <w:t>16.7.2026</w:t>
      </w:r>
      <w:r w:rsidRPr="00AC7AC2">
        <w:rPr>
          <w:rStyle w:val="HideTWBExt"/>
        </w:rPr>
        <w:t>&lt;/</w:t>
      </w:r>
      <w:r w:rsidRPr="00AC7AC2">
        <w:rPr>
          <w:rStyle w:val="HideTWBExt"/>
        </w:rPr>
        <w:t>Date</w:t>
      </w:r>
      <w:r w:rsidRPr="00AC7AC2">
        <w:rPr>
          <w:rStyle w:val="HideTWBExt"/>
        </w:rPr>
        <w:t>&gt;</w:t>
      </w:r>
    </w:p>
    <w:p w:rsidR="002E2F2E" w:rsidRPr="00AC7AC2" w14:paraId="73AB67A3" w14:textId="77777777">
      <w:pPr>
        <w:pStyle w:val="CoverDocType24a"/>
      </w:pPr>
      <w:r w:rsidRPr="00AC7AC2">
        <w:rPr>
          <w:rStyle w:val="HideTWBExt"/>
          <w:b w:val="0"/>
        </w:rPr>
        <w:t>&lt;TitreType&gt;</w:t>
      </w:r>
      <w:r w:rsidRPr="00AC7AC2">
        <w:t>MEASÚNÚ BUISÉADACH</w:t>
      </w:r>
      <w:r w:rsidRPr="00AC7AC2">
        <w:rPr>
          <w:rStyle w:val="HideTWBExt"/>
          <w:b w:val="0"/>
        </w:rPr>
        <w:t>&lt;/</w:t>
      </w:r>
      <w:r w:rsidRPr="00AC7AC2">
        <w:rPr>
          <w:rStyle w:val="HideTWBExt"/>
          <w:b w:val="0"/>
        </w:rPr>
        <w:t>TitreType</w:t>
      </w:r>
      <w:r w:rsidRPr="00AC7AC2">
        <w:rPr>
          <w:rStyle w:val="HideTWBExt"/>
          <w:b w:val="0"/>
        </w:rPr>
        <w:t>&gt;</w:t>
      </w:r>
    </w:p>
    <w:p w:rsidR="002E2F2E" w:rsidRPr="00AC7AC2" w14:paraId="11B3CCBB" w14:textId="77777777">
      <w:pPr>
        <w:pStyle w:val="CoverNormal24a"/>
      </w:pPr>
      <w:r w:rsidRPr="00AC7AC2">
        <w:rPr>
          <w:rStyle w:val="HideTWBExt"/>
        </w:rPr>
        <w:t>&lt;CommissionResp&gt;</w:t>
      </w:r>
      <w:r w:rsidRPr="00AC7AC2">
        <w:t>ón gCoiste um Buiséid</w:t>
      </w:r>
      <w:r w:rsidRPr="00AC7AC2">
        <w:rPr>
          <w:rStyle w:val="HideTWBExt"/>
        </w:rPr>
        <w:t>&lt;/</w:t>
      </w:r>
      <w:r w:rsidRPr="00AC7AC2">
        <w:rPr>
          <w:rStyle w:val="HideTWBExt"/>
        </w:rPr>
        <w:t>CommissionResp</w:t>
      </w:r>
      <w:r w:rsidRPr="00AC7AC2">
        <w:rPr>
          <w:rStyle w:val="HideTWBExt"/>
        </w:rPr>
        <w:t>&gt;</w:t>
      </w:r>
    </w:p>
    <w:p w:rsidR="002E2F2E" w:rsidRPr="00AC7AC2" w14:paraId="39C1E6CB" w14:textId="77777777">
      <w:pPr>
        <w:pStyle w:val="CoverNormal24a"/>
      </w:pPr>
      <w:r w:rsidRPr="00AC7AC2">
        <w:rPr>
          <w:rStyle w:val="HideTWBExt"/>
        </w:rPr>
        <w:t>&lt;CommissionInt&gt;</w:t>
      </w:r>
      <w:r w:rsidRPr="00AC7AC2">
        <w:t xml:space="preserve">chuig an gCoiste um </w:t>
      </w:r>
      <w:r w:rsidRPr="00AC7AC2">
        <w:t>Shaoirsí</w:t>
      </w:r>
      <w:r w:rsidRPr="00AC7AC2">
        <w:t xml:space="preserve"> Sibhialta, um Cheartas agus um </w:t>
      </w:r>
      <w:r w:rsidRPr="00AC7AC2">
        <w:t>Ghnóthaí</w:t>
      </w:r>
      <w:r w:rsidRPr="00AC7AC2">
        <w:t xml:space="preserve"> Baile</w:t>
      </w:r>
      <w:r w:rsidRPr="00AC7AC2">
        <w:rPr>
          <w:rStyle w:val="HideTWBExt"/>
        </w:rPr>
        <w:t>&lt;/</w:t>
      </w:r>
      <w:r w:rsidRPr="00AC7AC2">
        <w:rPr>
          <w:rStyle w:val="HideTWBExt"/>
        </w:rPr>
        <w:t>CommissionInt</w:t>
      </w:r>
      <w:r w:rsidRPr="00AC7AC2">
        <w:rPr>
          <w:rStyle w:val="HideTWBExt"/>
        </w:rPr>
        <w:t>&gt;</w:t>
      </w:r>
    </w:p>
    <w:p w:rsidR="002E2F2E" w:rsidRPr="00AC7AC2" w14:paraId="5EBFD0D0" w14:textId="77777777">
      <w:pPr>
        <w:pStyle w:val="CoverNormal"/>
      </w:pPr>
      <w:r w:rsidRPr="00AC7AC2">
        <w:rPr>
          <w:rStyle w:val="HideTWBExt"/>
        </w:rPr>
        <w:t>&lt;Titre&gt;</w:t>
      </w:r>
      <w:r w:rsidRPr="00AC7AC2">
        <w:t>ar an togra le haghaidh rialachán ó Pharlaimint na hEorpa agus ón gComhairle lena mbunaítear an tacaíocht ón Aontas don tslándáil inmheánach le haghaidh na tréimhse ó 2028 go 2034</w:t>
      </w:r>
      <w:r w:rsidRPr="00AC7AC2">
        <w:rPr>
          <w:rStyle w:val="HideTWBExt"/>
        </w:rPr>
        <w:t>&lt;/</w:t>
      </w:r>
      <w:r w:rsidRPr="00AC7AC2">
        <w:rPr>
          <w:rStyle w:val="HideTWBExt"/>
        </w:rPr>
        <w:t>Titre</w:t>
      </w:r>
      <w:r w:rsidRPr="00AC7AC2">
        <w:rPr>
          <w:rStyle w:val="HideTWBExt"/>
        </w:rPr>
        <w:t>&gt;</w:t>
      </w:r>
    </w:p>
    <w:p w:rsidR="002E2F2E" w:rsidRPr="00AC7AC2" w14:paraId="7FBA97F2" w14:textId="77777777">
      <w:pPr>
        <w:pStyle w:val="CoverNormal24a"/>
      </w:pPr>
      <w:r w:rsidRPr="00AC7AC2">
        <w:rPr>
          <w:rStyle w:val="HideTWBExt"/>
        </w:rPr>
        <w:t>&lt;DocRef&gt;</w:t>
      </w:r>
      <w:r w:rsidRPr="00AC7AC2">
        <w:t>(COM(2025)0542 – C10</w:t>
      </w:r>
      <w:r w:rsidRPr="00AC7AC2">
        <w:noBreakHyphen/>
        <w:t>0178/2025 – 2025/0542(COD))</w:t>
      </w:r>
      <w:r w:rsidRPr="00AC7AC2">
        <w:rPr>
          <w:rStyle w:val="HideTWBExt"/>
        </w:rPr>
        <w:t>&lt;/</w:t>
      </w:r>
      <w:r w:rsidRPr="00AC7AC2">
        <w:rPr>
          <w:rStyle w:val="HideTWBExt"/>
        </w:rPr>
        <w:t>DocRef</w:t>
      </w:r>
      <w:r w:rsidRPr="00AC7AC2">
        <w:rPr>
          <w:rStyle w:val="HideTWBExt"/>
        </w:rPr>
        <w:t>&gt;</w:t>
      </w:r>
    </w:p>
    <w:p w:rsidR="00A72C35" w:rsidRPr="00AC7AC2" w:rsidP="00FC42F1" w14:paraId="34641DB2" w14:textId="77777777">
      <w:pPr>
        <w:pStyle w:val="CoverNormal24a"/>
        <w:rPr>
          <w:rStyle w:val="HideTWBExt"/>
        </w:rPr>
      </w:pPr>
      <w:r w:rsidRPr="00AC7AC2">
        <w:t xml:space="preserve">Rapóirtéir don mheasúnú buiséadach: </w:t>
      </w:r>
      <w:r w:rsidRPr="00AC7AC2">
        <w:rPr>
          <w:rStyle w:val="HideTWBExt"/>
        </w:rPr>
        <w:t>&lt;Depute&gt;</w:t>
      </w:r>
      <w:r w:rsidRPr="00AC7AC2">
        <w:t>Andrzej</w:t>
      </w:r>
      <w:r w:rsidRPr="00AC7AC2">
        <w:t xml:space="preserve"> </w:t>
      </w:r>
      <w:r w:rsidRPr="00AC7AC2">
        <w:t>Halicki</w:t>
      </w:r>
      <w:r w:rsidRPr="00AC7AC2">
        <w:rPr>
          <w:rStyle w:val="HideTWBExt"/>
        </w:rPr>
        <w:t>&lt;/Depute&gt;</w:t>
      </w:r>
    </w:p>
    <w:p w:rsidR="002E2F2E" w:rsidRPr="00AC7AC2" w:rsidP="00E856D2" w14:paraId="7FD3F606" w14:textId="77777777">
      <w:pPr>
        <w:widowControl/>
        <w:tabs>
          <w:tab w:val="center" w:pos="4677"/>
        </w:tabs>
      </w:pPr>
      <w:r w:rsidRPr="00AC7AC2">
        <w:br w:type="page"/>
      </w:r>
      <w:r w:rsidRPr="00AC7AC2">
        <w:t>PA_LegEvaluation</w:t>
      </w:r>
    </w:p>
    <w:p w:rsidR="002E2F2E" w:rsidRPr="00AC7AC2" w:rsidP="00757C4C" w14:paraId="01924583" w14:textId="77777777">
      <w:pPr>
        <w:pStyle w:val="PageHeadingNotTOC"/>
      </w:pPr>
      <w:r w:rsidRPr="00AC7AC2">
        <w:br w:type="page"/>
      </w:r>
      <w:r w:rsidRPr="00AC7AC2">
        <w:t>MEASÚNÚ BUISÉADACH</w:t>
      </w:r>
    </w:p>
    <w:p w:rsidR="00757C4C" w:rsidRPr="00AC7AC2" w:rsidP="00757C4C" w14:paraId="6381537B" w14:textId="77777777">
      <w:pPr>
        <w:pStyle w:val="NormalBold"/>
      </w:pPr>
      <w:r w:rsidRPr="00AC7AC2">
        <w:t xml:space="preserve">chuig an gCoiste um </w:t>
      </w:r>
      <w:r w:rsidRPr="00AC7AC2">
        <w:t>Shaoirsí</w:t>
      </w:r>
      <w:r w:rsidRPr="00AC7AC2">
        <w:t xml:space="preserve"> Sibhialta, um Cheartas agus um </w:t>
      </w:r>
      <w:r w:rsidRPr="00AC7AC2">
        <w:t>Ghnóthaí</w:t>
      </w:r>
      <w:r w:rsidRPr="00AC7AC2">
        <w:t xml:space="preserve"> Baile ar an togra le haghaidh rialachán ó Pharlaimint na hEorpa agus ón gComhairle lena mbunaítear an tacaíocht ón Aontas don tslándáil inmheánach le haghaidh na tréimhse ó 2028 go 2034</w:t>
      </w:r>
    </w:p>
    <w:p w:rsidR="00006F54" w:rsidRPr="00AC7AC2" w:rsidP="00006F54" w14:paraId="736C8BEB" w14:textId="77777777">
      <w:pPr>
        <w:pStyle w:val="NormalBold"/>
      </w:pPr>
      <w:r w:rsidRPr="00AC7AC2">
        <w:t>(COM(2025)0542 – C10</w:t>
      </w:r>
      <w:r w:rsidRPr="00AC7AC2">
        <w:noBreakHyphen/>
        <w:t>0178/2025 – 2025/0542(COD))</w:t>
      </w:r>
    </w:p>
    <w:p w:rsidR="00AE79AF" w:rsidRPr="00AC7AC2" w:rsidP="00006F54" w14:paraId="2640B3CE" w14:textId="77777777">
      <w:pPr>
        <w:pStyle w:val="Normal12a"/>
        <w:spacing w:before="480"/>
      </w:pPr>
      <w:r w:rsidRPr="00AC7AC2">
        <w:rPr>
          <w:rStyle w:val="HideTWBExt"/>
        </w:rPr>
        <w:t>&lt;Intro&gt;</w:t>
      </w:r>
      <w:r w:rsidRPr="00AC7AC2">
        <w:t>Tá measúnú buiséadach ar an togra déanta ag an gCoiste um Buiséid, de bhun Riail 58, inar thángthas ar an tátal seo a leanas:</w:t>
      </w:r>
      <w:r w:rsidRPr="00AC7AC2">
        <w:rPr>
          <w:rStyle w:val="HideTWBExt"/>
        </w:rPr>
        <w:t>&lt;/</w:t>
      </w:r>
      <w:r w:rsidRPr="00AC7AC2">
        <w:rPr>
          <w:rStyle w:val="HideTWBExt"/>
        </w:rPr>
        <w:t>Intro</w:t>
      </w:r>
      <w:r w:rsidRPr="00AC7AC2">
        <w:rPr>
          <w:rStyle w:val="HideTWBExt"/>
        </w:rPr>
        <w:t>&gt;</w:t>
      </w:r>
    </w:p>
    <w:p w:rsidR="00D27085" w:rsidRPr="00AC7AC2" w:rsidP="00D27085" w14:paraId="1B3E9C03" w14:textId="77777777">
      <w:pPr>
        <w:spacing w:before="480" w:after="120" w:line="360" w:lineRule="auto"/>
      </w:pPr>
      <w:r w:rsidRPr="00AC7AC2">
        <w:rPr>
          <w:i/>
        </w:rPr>
        <w:t>Tá an Coiste um Buiséid</w:t>
      </w:r>
      <w:r w:rsidRPr="00AC7AC2">
        <w:t>,</w:t>
      </w:r>
    </w:p>
    <w:p w:rsidR="004D03B2" w:rsidRPr="00AC7AC2" w:rsidP="004D03B2" w14:paraId="4BF3DF14" w14:textId="77777777">
      <w:pPr>
        <w:pStyle w:val="NormalHanging12a"/>
      </w:pPr>
      <w:r w:rsidRPr="00AC7AC2">
        <w:t>A.</w:t>
      </w:r>
      <w:r w:rsidRPr="00AC7AC2">
        <w:tab/>
      </w:r>
      <w:r w:rsidRPr="00AC7AC2">
        <w:t xml:space="preserve">de bhrí go bhfuil sé mar aidhm leis an togra ardleibhéal slándála a áirithiú san Aontas, go háirithe trí choireacht thromchúiseach agus eagraithe a chosc agus a chomhrac, ar líne agus as líne araon, trí chomhar oibríochtúil i bhforfheidhmiú an dlí a threisiú agus trí mhalartú faisnéise i measc gníomhaithe ábhartha a éascú, chomh maith; de bhrí go dtugtar isteach leis an togra cuspóir nua maidir le feabhas a chur ar athléimneacht eintiteas criticiúil i gcoinne gníomhartha naimhdeacha agus teagmhais, rioscaí </w:t>
      </w:r>
      <w:r w:rsidRPr="00AC7AC2">
        <w:t>agus géarchéimeanna a bhaineann leis an tslándáil a bhainistiú, a eascraíonn as bagairtí traidisiúnta agus hibrideacha ar shlándáil inmheánach an Aontais;</w:t>
      </w:r>
    </w:p>
    <w:p w:rsidR="00C47D32" w:rsidRPr="00AC7AC2" w:rsidP="00C47D32" w14:paraId="65C1E0C0" w14:textId="77777777">
      <w:pPr>
        <w:pStyle w:val="NormalHanging12a"/>
      </w:pPr>
      <w:r w:rsidRPr="00AC7AC2">
        <w:t>B.</w:t>
      </w:r>
      <w:r w:rsidRPr="00AC7AC2">
        <w:tab/>
        <w:t xml:space="preserve">de bhrí go dtógfadh an cistiú don togra ón rialachán atá beartaithe lena mbunaítear an Ciste Eorpach um chomhtháthú eacnamaíoch, sóisialta agus </w:t>
      </w:r>
      <w:r w:rsidRPr="00AC7AC2">
        <w:t>críochach</w:t>
      </w:r>
      <w:r w:rsidRPr="00AC7AC2">
        <w:t xml:space="preserve">, um thalmhaíocht agus ceantair thuaithe, um iascach agus gnóthaí </w:t>
      </w:r>
      <w:r w:rsidRPr="00AC7AC2">
        <w:t>muirí</w:t>
      </w:r>
      <w:r w:rsidRPr="00AC7AC2">
        <w:t>, um rathúnas agus um slándáil le haghaidh na tréimhse 2028-2034 (‘Rialachán CNR’); de bhrí go dtiocfadh an togra faoin gcreat cistiúcháin céanna leis an dá Rialachán Gnóthaí Baile eile atá beartaithe</w:t>
      </w:r>
      <w:r>
        <w:rPr>
          <w:rStyle w:val="FootnoteReference"/>
        </w:rPr>
        <w:footnoteReference w:id="2"/>
      </w:r>
      <w:r w:rsidRPr="00AC7AC2">
        <w:rPr>
          <w:vertAlign w:val="superscript"/>
        </w:rPr>
        <w:t>,</w:t>
      </w:r>
      <w:r>
        <w:rPr>
          <w:rStyle w:val="FootnoteReference"/>
        </w:rPr>
        <w:footnoteReference w:id="3"/>
      </w:r>
      <w:r w:rsidRPr="00AC7AC2">
        <w:t>;</w:t>
      </w:r>
    </w:p>
    <w:p w:rsidR="00C47D32" w:rsidRPr="00AC7AC2" w:rsidP="00F07392" w14:paraId="59D80176" w14:textId="77777777">
      <w:pPr>
        <w:pStyle w:val="NormalHanging12a"/>
      </w:pPr>
      <w:r w:rsidRPr="00AC7AC2">
        <w:t>C.</w:t>
      </w:r>
      <w:r w:rsidRPr="00AC7AC2">
        <w:tab/>
        <w:t xml:space="preserve">de bhrí go léiríonn imeachtaí geopholaitiúla a tharla le déanaí gur léir gur gá dlús a chur le </w:t>
      </w:r>
      <w:r w:rsidRPr="00AC7AC2">
        <w:t>hinfheistíochtaí</w:t>
      </w:r>
      <w:r w:rsidRPr="00AC7AC2">
        <w:t xml:space="preserve"> sa chomhrac i gcoinne na sceimhlitheoireachta, na mbagairtí hibrideacha agus an </w:t>
      </w:r>
      <w:r w:rsidRPr="00AC7AC2">
        <w:t>radacaithe</w:t>
      </w:r>
      <w:r w:rsidRPr="00AC7AC2">
        <w:t xml:space="preserve"> agus feabhas a chur ar an gcomhar idir gníomhaireachtaí </w:t>
      </w:r>
      <w:r w:rsidRPr="00AC7AC2">
        <w:t>forfheidhmithe</w:t>
      </w:r>
      <w:r w:rsidRPr="00AC7AC2">
        <w:t xml:space="preserve"> dlí, chun freagairt níos comhordaithe ar </w:t>
      </w:r>
      <w:r w:rsidRPr="00AC7AC2">
        <w:t>bhagairtí</w:t>
      </w:r>
      <w:r w:rsidRPr="00AC7AC2">
        <w:t xml:space="preserve"> leanúnacha ar shlándáil inmheánach an Aontais a áirithiú;</w:t>
      </w:r>
    </w:p>
    <w:p w:rsidR="00C47D32" w:rsidRPr="00AC7AC2" w:rsidP="00C47D32" w14:paraId="4EBCF24B" w14:textId="77777777">
      <w:pPr>
        <w:pStyle w:val="NormalHanging12a"/>
      </w:pPr>
      <w:r w:rsidRPr="00AC7AC2">
        <w:t>D.</w:t>
      </w:r>
      <w:r w:rsidRPr="00AC7AC2">
        <w:tab/>
        <w:t xml:space="preserve">de bhrí go bhfuil an togra chun méadú suntasach a chur ar an leithdháileadh don chlár i gcomhréir le hábhair imní agus ionchais </w:t>
      </w:r>
      <w:r w:rsidRPr="00AC7AC2">
        <w:t>dhlisteanacha</w:t>
      </w:r>
      <w:r w:rsidRPr="00AC7AC2">
        <w:t xml:space="preserve"> shaoránaigh an Aontais maidir le slándáil fheabhsaithe;</w:t>
      </w:r>
    </w:p>
    <w:p w:rsidR="004D03B2" w:rsidRPr="00AC7AC2" w:rsidP="004D03B2" w14:paraId="41A80CB3" w14:textId="77777777">
      <w:pPr>
        <w:pStyle w:val="NormalHanging12a"/>
      </w:pPr>
      <w:r w:rsidRPr="00AC7AC2">
        <w:t>E.</w:t>
      </w:r>
      <w:r w:rsidRPr="00AC7AC2">
        <w:tab/>
        <w:t xml:space="preserve">de bhrí, i gcomhréir leis an Rialachán CNR atá beartaithe, gurb ionann an t-imchlúdach airgeadais do na trí Rialachán um </w:t>
      </w:r>
      <w:r w:rsidRPr="00AC7AC2">
        <w:t>Ghnóthaí</w:t>
      </w:r>
      <w:r w:rsidRPr="00AC7AC2">
        <w:t xml:space="preserve"> Baile atá beartaithe agus íosmhéid imfhálaithe; de bhrí go bhféadfaidh na Ballstáit cuid de na méideanna </w:t>
      </w:r>
      <w:r w:rsidRPr="00AC7AC2">
        <w:t>táscacha</w:t>
      </w:r>
      <w:r w:rsidRPr="00AC7AC2">
        <w:t xml:space="preserve"> a leagtar amach i ngach ceann de na trí Rialachán atá beartaithe a </w:t>
      </w:r>
      <w:r w:rsidRPr="00AC7AC2">
        <w:t>ath</w:t>
      </w:r>
      <w:r w:rsidRPr="00AC7AC2">
        <w:t>-leithdháileadh chun a gcuspóirí a chur chun feidhme, ar choinníoll go dtugtar aghaidh ar na cuspóirí uile ar bhealach comhréireach;</w:t>
      </w:r>
    </w:p>
    <w:p w:rsidR="004D03B2" w:rsidRPr="00AC7AC2" w:rsidP="004D03B2" w14:paraId="66FC069E" w14:textId="77777777">
      <w:pPr>
        <w:pStyle w:val="NormalHanging12a"/>
      </w:pPr>
      <w:r w:rsidRPr="00AC7AC2">
        <w:t>F.</w:t>
      </w:r>
      <w:r w:rsidRPr="00AC7AC2">
        <w:tab/>
        <w:t xml:space="preserve">de bhrí nach bhforáiltear le Rialachán CNR atá beartaithe ach do dhá líne bhuiséid lena gcumasctar na trí Rialachán um </w:t>
      </w:r>
      <w:r w:rsidRPr="00AC7AC2">
        <w:t>Ghnóthaí</w:t>
      </w:r>
      <w:r w:rsidRPr="00AC7AC2">
        <w:t xml:space="preserve"> Baile, ceann amháin le haghaidh caiteachas oibríochtúil faoi na pleananna comhpháirtíochta náisiúnta agus réigiúnaí agus ceann amháin faoi </w:t>
      </w:r>
      <w:r w:rsidRPr="00AC7AC2">
        <w:t>Shaoráid</w:t>
      </w:r>
      <w:r w:rsidRPr="00AC7AC2">
        <w:t xml:space="preserve"> AE, i gcomparáid leis an </w:t>
      </w:r>
      <w:r w:rsidRPr="00AC7AC2">
        <w:t>gclárthréimhse</w:t>
      </w:r>
      <w:r w:rsidRPr="00AC7AC2">
        <w:t xml:space="preserve"> 2021-2027 ina raibh línte buiséid iomadúla ag an gCiste Slándála Inmheánaí;</w:t>
      </w:r>
    </w:p>
    <w:p w:rsidR="004D03B2" w:rsidRPr="00AC7AC2" w:rsidP="004D03B2" w14:paraId="6D96C233" w14:textId="77777777">
      <w:pPr>
        <w:pStyle w:val="NormalHanging12a"/>
      </w:pPr>
      <w:r w:rsidRPr="00AC7AC2">
        <w:t>1.</w:t>
      </w:r>
      <w:r w:rsidRPr="00AC7AC2">
        <w:tab/>
        <w:t>á mheas gur cheart imchlúdach an chláir a mhéadú ó EUR 6 843 331 500 i bpraghsanna reatha (EUR 6.1 billiún i bpraghsanna tairiseacha) go EUR 7 607 623 000 i bpraghsanna reatha agus EUR 6 800 000 000 i bpraghsanna 2025 chun a chuspóirí a chomhlíonadh agus chun a chur ar chumas na mBallstát déileáil go héifeachtach leis na bagairtí méadaitheacha ar shlándáil inmheánach an Aontais;</w:t>
      </w:r>
    </w:p>
    <w:p w:rsidR="00C47D32" w:rsidRPr="00AC7AC2" w:rsidP="00C47D32" w14:paraId="4BA50075" w14:textId="77777777">
      <w:pPr>
        <w:pStyle w:val="NormalHanging12a"/>
        <w:rPr>
          <w:bCs/>
          <w:iCs/>
        </w:rPr>
      </w:pPr>
      <w:r w:rsidRPr="00AC7AC2">
        <w:t>2.</w:t>
      </w:r>
      <w:r w:rsidRPr="00AC7AC2">
        <w:tab/>
        <w:t xml:space="preserve">á mheas nach mór acmhainní leordhóthanacha, lena n-áirítear acmhainní daonna, teicniúla agus TF, a bheith ar fáil ón tús agus le linn </w:t>
      </w:r>
      <w:r w:rsidRPr="00AC7AC2">
        <w:t>chlárthréimhse</w:t>
      </w:r>
      <w:r w:rsidRPr="00AC7AC2">
        <w:t xml:space="preserve"> iomlán CAI 2028-2034 chun cur chun feidhme éifeachtach na tacaíochta ón Aontas don tslándáil inmheánach a áirithiú; á chur i bhfáth a thábhachtaí atá sé a áirithiú go n-úsáidfear acmhainní an Aontais go héifeachtúil agus go comhréireach, agus </w:t>
      </w:r>
      <w:r w:rsidRPr="00AC7AC2">
        <w:t>rómhaorlathas</w:t>
      </w:r>
      <w:r w:rsidRPr="00AC7AC2">
        <w:t xml:space="preserve"> nach bhfuil gá leis á chosc;</w:t>
      </w:r>
    </w:p>
    <w:p w:rsidR="00C47D32" w:rsidRPr="00AC7AC2" w:rsidP="00C47D32" w14:paraId="140F71EE" w14:textId="77777777">
      <w:pPr>
        <w:pStyle w:val="NormalHanging12a"/>
        <w:rPr>
          <w:bCs/>
          <w:iCs/>
        </w:rPr>
      </w:pPr>
      <w:r w:rsidRPr="00AC7AC2">
        <w:t>3.</w:t>
      </w:r>
      <w:r w:rsidRPr="00AC7AC2">
        <w:tab/>
        <w:t xml:space="preserve">á chur i bhfáth go bhfuil gá le cistiú </w:t>
      </w:r>
      <w:r w:rsidRPr="00AC7AC2">
        <w:t>leormhaith</w:t>
      </w:r>
      <w:r w:rsidRPr="00AC7AC2">
        <w:t xml:space="preserve"> agus intuartha ón Aontas chun an choireacht eagraithe a chomhrac, lena n-áirítear gáinneáil ar dhrugaí, gáinneáil ar dhaoine agus sreafaí aindleathacha airgeadais; á iarraidh go dtabharfaí tacaíocht leordhóthanach faoin gcéad CAI eile do </w:t>
      </w:r>
      <w:r w:rsidRPr="00AC7AC2">
        <w:t>Europol</w:t>
      </w:r>
      <w:r w:rsidRPr="00AC7AC2">
        <w:t xml:space="preserve">, </w:t>
      </w:r>
      <w:r w:rsidRPr="00AC7AC2">
        <w:t>Eurojust</w:t>
      </w:r>
      <w:r w:rsidRPr="00AC7AC2">
        <w:t xml:space="preserve">, Gníomhaireacht Drugaí an Aontais Eorpaigh, Gníomhaireacht an Aontais Eorpaigh um Oiliúint i </w:t>
      </w:r>
      <w:r w:rsidRPr="00AC7AC2">
        <w:t>bhForfheidhmiú</w:t>
      </w:r>
      <w:r w:rsidRPr="00AC7AC2">
        <w:t xml:space="preserve"> an Dlí, an Oifig Eorpach Frith-Chalaoise, Údarás an Aontais Eorpaigh um Chomhrac an Sciúrtha Airg</w:t>
      </w:r>
      <w:r w:rsidRPr="00AC7AC2">
        <w:t xml:space="preserve">id agus Mhaoiniú na Sceimhlitheoireachta agus Oifig an Ionchúisitheora Phoiblí Eorpaigh, i gcomhréir lena sainorduithe, chun comhar oibríochtúil agus acmhainneacht </w:t>
      </w:r>
      <w:r w:rsidRPr="00AC7AC2">
        <w:t>forfheidhmithe</w:t>
      </w:r>
      <w:r w:rsidRPr="00AC7AC2">
        <w:t xml:space="preserve"> a neartú;</w:t>
      </w:r>
    </w:p>
    <w:p w:rsidR="00C47D32" w:rsidRPr="00AC7AC2" w:rsidP="00C47D32" w14:paraId="2F9280BE" w14:textId="77777777">
      <w:pPr>
        <w:pStyle w:val="NormalHanging12a"/>
        <w:rPr>
          <w:bCs/>
          <w:iCs/>
        </w:rPr>
      </w:pPr>
      <w:r w:rsidRPr="00AC7AC2">
        <w:t>4.</w:t>
      </w:r>
      <w:r w:rsidRPr="00AC7AC2">
        <w:tab/>
        <w:t>á chur in iúl gur saoth léi nach ann do mhiondealú ar an mbuiséad le haghaidh tacaíocht ón Aontas don tslándáil inmheánach; ag tabhairt dá haire go dtabharfadh sé sin saoirse mhór don Choimisiún chun tosaíochtaí caiteachais a athrú agus cinntí a dhéanamh ina dtaobh le linn cur chun feidhme; á chur i bhfáth nár cheart go rachadh simpliú agus solúbthacht chun dochair don trédhearcacht agus d’</w:t>
      </w:r>
      <w:r w:rsidRPr="00AC7AC2">
        <w:t>fhormhaoirseacht</w:t>
      </w:r>
      <w:r w:rsidRPr="00AC7AC2">
        <w:t xml:space="preserve"> ag an údarás buiséadach; á mholadh, dá bhrí sin, go n-áireofaí sa </w:t>
      </w:r>
      <w:r w:rsidRPr="00AC7AC2">
        <w:t>bhunghníomh</w:t>
      </w:r>
      <w:r w:rsidRPr="00AC7AC2">
        <w:t xml:space="preserve"> fo-imchlúdaigh le hagha</w:t>
      </w:r>
      <w:r w:rsidRPr="00AC7AC2">
        <w:t>idh na gcuspóirí sonracha uile;</w:t>
      </w:r>
    </w:p>
    <w:p w:rsidR="004D148E" w:rsidRPr="00AC7AC2" w:rsidP="004D148E" w14:paraId="2261C53A" w14:textId="77777777">
      <w:pPr>
        <w:pStyle w:val="NormalHanging12a"/>
        <w:rPr>
          <w:bCs/>
          <w:iCs/>
        </w:rPr>
      </w:pPr>
      <w:bookmarkStart w:id="0" w:name="_Hlk225507797"/>
      <w:r w:rsidRPr="00AC7AC2">
        <w:t>5.</w:t>
      </w:r>
      <w:r w:rsidRPr="00AC7AC2">
        <w:tab/>
        <w:t xml:space="preserve">á mheas go bhfuil gá le méid áirithe solúbthachta i leithdháileadh an </w:t>
      </w:r>
      <w:r w:rsidRPr="00AC7AC2">
        <w:t>chistithe</w:t>
      </w:r>
      <w:r w:rsidRPr="00AC7AC2">
        <w:t xml:space="preserve"> idir cuspóirí gnóthaí baile; á chur i bhfios go láidir, áfach, nach mór an tsolúbthacht sin a </w:t>
      </w:r>
      <w:r w:rsidRPr="00AC7AC2">
        <w:t>theorannú</w:t>
      </w:r>
      <w:r w:rsidRPr="00AC7AC2">
        <w:t xml:space="preserve"> chun intuarthacht </w:t>
      </w:r>
      <w:r w:rsidRPr="00AC7AC2">
        <w:rPr>
          <w:i/>
          <w:iCs/>
        </w:rPr>
        <w:t>ex</w:t>
      </w:r>
      <w:r w:rsidRPr="00AC7AC2">
        <w:rPr>
          <w:i/>
          <w:iCs/>
        </w:rPr>
        <w:t xml:space="preserve"> </w:t>
      </w:r>
      <w:r w:rsidRPr="00AC7AC2">
        <w:rPr>
          <w:i/>
          <w:iCs/>
        </w:rPr>
        <w:t>ante</w:t>
      </w:r>
      <w:r w:rsidRPr="00AC7AC2">
        <w:t xml:space="preserve"> leordhóthanach a áirithiú maidir leis an leibhéal iarbhír cistiúcháin arna leithdháileadh ar gach cuspóir, rud a chuirfidh ar chumas tairbhithe na cistí a chur chun feidhme go cuí; á mheas, maidir leis an tsolúbthacht mhéadaithe dá bhforáiltear i Rialachán CNR atá beartaithe, lena gceadaítear do na B</w:t>
      </w:r>
      <w:r w:rsidRPr="00AC7AC2">
        <w:t xml:space="preserve">allstáit méideanna a </w:t>
      </w:r>
      <w:r w:rsidRPr="00AC7AC2">
        <w:t>ath</w:t>
      </w:r>
      <w:r w:rsidRPr="00AC7AC2">
        <w:t xml:space="preserve">-leithdháileadh, agus a bpleananna tosaigh á gcur isteach acu nó le linn a gcur chun feidhme, idir na trí imchlúdach Gnóthaí Baile gan gá le bonn cirt a thabhairt, go mbeadh an baol ann nach mbeadh </w:t>
      </w:r>
      <w:r w:rsidRPr="00AC7AC2">
        <w:t>ath-leithdháiltí</w:t>
      </w:r>
      <w:r w:rsidRPr="00AC7AC2">
        <w:t xml:space="preserve"> bunaithe ar chritéir oibiachtúla; á chur i bhfáth, ina leith sin, gur gá cistiú cobhsaí, leordhóthanach a áirithiú do thacaíocht an Aontais don tslándáil inmheánach, agus sainchumais slándála náisiúnta na mBallstát agus prionsabal na coimhdeachta á n-urramú ina n-iomláine,</w:t>
      </w:r>
      <w:r w:rsidRPr="00AC7AC2">
        <w:t xml:space="preserve"> chun gur féidir cuspóirí an chláir a shaothrú agus ionchais na saoránach a bhaint amach;</w:t>
      </w:r>
    </w:p>
    <w:bookmarkEnd w:id="0"/>
    <w:p w:rsidR="004D03B2" w:rsidRPr="00AC7AC2" w:rsidP="004D03B2" w14:paraId="1BD8117F" w14:textId="77777777">
      <w:pPr>
        <w:pStyle w:val="NormalHanging12a"/>
        <w:rPr>
          <w:rStyle w:val="Hyperlink"/>
          <w:color w:val="auto"/>
        </w:rPr>
      </w:pPr>
      <w:r w:rsidRPr="00AC7AC2">
        <w:t>6.</w:t>
      </w:r>
      <w:r w:rsidRPr="00AC7AC2">
        <w:tab/>
        <w:t xml:space="preserve">á chur in iúl gur cúis buartha di nach bhfuil critéir </w:t>
      </w:r>
      <w:r w:rsidRPr="00AC7AC2">
        <w:t>shoiléire</w:t>
      </w:r>
      <w:r w:rsidRPr="00AC7AC2">
        <w:t xml:space="preserve"> ann maidir leis an méid a mheasfadh an Coimisiún a bheith ina leibhéal </w:t>
      </w:r>
      <w:r w:rsidRPr="00AC7AC2">
        <w:t>leormhaithe</w:t>
      </w:r>
      <w:r w:rsidRPr="00AC7AC2">
        <w:t xml:space="preserve"> nó leordhóthanacha d’acmhainní a bheadh le leithdháileadh ar an imirce, ar bhainistiú teorainneacha agus ar an tslándáil inmheánach chun na cuspóirí uile i réimse na nGnóthaí Baile a bhaint amach, mar a thug Cúirt Iniúchóirí na hEorpa chun suntais i </w:t>
      </w:r>
      <w:r w:rsidRPr="00AC7AC2">
        <w:t>dTuairim</w:t>
      </w:r>
      <w:r w:rsidRPr="00AC7AC2">
        <w:t xml:space="preserve"> 09/2026 uaithi</w:t>
      </w:r>
      <w:r w:rsidRPr="00AC7AC2">
        <w:rPr>
          <w:rStyle w:val="Hyperlink"/>
          <w:color w:val="auto"/>
          <w:u w:val="none"/>
        </w:rPr>
        <w:t>;</w:t>
      </w:r>
    </w:p>
    <w:p w:rsidR="004D148E" w:rsidRPr="00AC7AC2" w:rsidP="004D148E" w14:paraId="4B23FD4B" w14:textId="77777777">
      <w:pPr>
        <w:pStyle w:val="NormalHanging12a"/>
      </w:pPr>
      <w:r w:rsidRPr="00AC7AC2">
        <w:t>7.</w:t>
      </w:r>
      <w:r w:rsidRPr="00AC7AC2">
        <w:tab/>
        <w:t xml:space="preserve">á mheabhrú go mbunófar an cistiú breise foriomlán a </w:t>
      </w:r>
      <w:r w:rsidRPr="00AC7AC2">
        <w:t>leithdháilfear</w:t>
      </w:r>
      <w:r w:rsidRPr="00AC7AC2">
        <w:t xml:space="preserve"> ar ghníomhaíochtaí Gnóthaí Baile trí </w:t>
      </w:r>
      <w:r w:rsidRPr="00AC7AC2">
        <w:t>Shaoráid</w:t>
      </w:r>
      <w:r w:rsidRPr="00AC7AC2">
        <w:t xml:space="preserve"> AE, lena n-áirítear ar thacaíocht an Aontais don tslándáil inmheánach, faoi chuimsiú an nós imeachta bhuiséadaigh bhliantúil agus </w:t>
      </w:r>
      <w:r w:rsidRPr="00AC7AC2">
        <w:t>lánurraim</w:t>
      </w:r>
      <w:r w:rsidRPr="00AC7AC2">
        <w:t xml:space="preserve"> á tabhairt do </w:t>
      </w:r>
      <w:r w:rsidRPr="00AC7AC2">
        <w:t>shainphribhléidí</w:t>
      </w:r>
      <w:r w:rsidRPr="00AC7AC2">
        <w:t xml:space="preserve"> an údaráis bhuiséadaigh; á chur in iúl gur cúis </w:t>
      </w:r>
      <w:r w:rsidRPr="00AC7AC2">
        <w:t>bhuartha</w:t>
      </w:r>
      <w:r w:rsidRPr="00AC7AC2">
        <w:t xml:space="preserve"> di, áfach, gurb é an Coimisiún amháin a chinneann leithdháileadh an </w:t>
      </w:r>
      <w:r w:rsidRPr="00AC7AC2">
        <w:t>chistithe</w:t>
      </w:r>
      <w:r w:rsidRPr="00AC7AC2">
        <w:t xml:space="preserve"> ó </w:t>
      </w:r>
      <w:r w:rsidRPr="00AC7AC2">
        <w:t>Shaoráid</w:t>
      </w:r>
      <w:r w:rsidRPr="00AC7AC2">
        <w:t xml:space="preserve"> AE ina dhiaidh sin idir na trí chiste Gnóthaí Baile agus ar fud na mBallstát trín</w:t>
      </w:r>
      <w:r w:rsidRPr="00AC7AC2">
        <w:t xml:space="preserve">a chláir oibre; á mheas go gcuireann sé sin teorainn éifeachtach le ról na Parlaiminte maidir le figiúr comhiomlán a fhormheas gan aon tionchar a bheith aige ar thosaíochtaí caiteachais iarbhír; á iarraidh go mbeadh critéir </w:t>
      </w:r>
      <w:r w:rsidRPr="00AC7AC2">
        <w:t>shoiléire</w:t>
      </w:r>
      <w:r w:rsidRPr="00AC7AC2">
        <w:t xml:space="preserve"> leithdháilte, trédhearcacht fheabhsaithe agus rannpháirtíocht pharlaiminteach ann le linn an phróisis cinnteoireachta ina iomláine;</w:t>
      </w:r>
    </w:p>
    <w:p w:rsidR="004D03B2" w:rsidRPr="00AC7AC2" w:rsidP="004D03B2" w14:paraId="3EB8FD03" w14:textId="77777777">
      <w:pPr>
        <w:pStyle w:val="NormalHanging12a"/>
      </w:pPr>
      <w:r w:rsidRPr="00AC7AC2">
        <w:t>8.</w:t>
      </w:r>
      <w:r w:rsidRPr="00AC7AC2">
        <w:tab/>
        <w:t xml:space="preserve">á chur in iúl gur saoth léi nach bhfuil ainmníocht bhuiséadach </w:t>
      </w:r>
      <w:r w:rsidRPr="00AC7AC2">
        <w:t>tháscach</w:t>
      </w:r>
      <w:r w:rsidRPr="00AC7AC2">
        <w:t xml:space="preserve"> sách mionsonraithe ann, de réir mar a mholtar sa Ráiteas Reachtach Airgeadais agus Digiteach (LFDS); á mheas go gcuirfidh sé sin bac ar chumas an údaráis bhuiséadaigh tosaíochtaí beartais a stiúradh go beacht sa nós imeachta buiséadach bliantúil; á chur in iúl gur cúis </w:t>
      </w:r>
      <w:r w:rsidRPr="00AC7AC2">
        <w:t>bhuartha</w:t>
      </w:r>
      <w:r w:rsidRPr="00AC7AC2">
        <w:t xml:space="preserve"> di go méadódh </w:t>
      </w:r>
      <w:r w:rsidRPr="00AC7AC2">
        <w:t>ollstruchtúr</w:t>
      </w:r>
      <w:r w:rsidRPr="00AC7AC2">
        <w:t xml:space="preserve"> buiséadach ró-chomhiomlánaithe </w:t>
      </w:r>
      <w:r w:rsidRPr="00AC7AC2">
        <w:t>lánrogha</w:t>
      </w:r>
      <w:r w:rsidRPr="00AC7AC2">
        <w:t xml:space="preserve"> an Choimisiúin maidir le hacmhainní a aistriú agus a </w:t>
      </w:r>
      <w:r w:rsidRPr="00AC7AC2">
        <w:t>ath</w:t>
      </w:r>
      <w:r w:rsidRPr="00AC7AC2">
        <w:t>-leithdháileadh gan cinneadh ón údará</w:t>
      </w:r>
      <w:r w:rsidRPr="00AC7AC2">
        <w:t xml:space="preserve">s buiséadach, agus go gcuirfeadh sé teorainn mhór le </w:t>
      </w:r>
      <w:r w:rsidRPr="00AC7AC2">
        <w:t>formhaoirseacht</w:t>
      </w:r>
      <w:r w:rsidRPr="00AC7AC2">
        <w:t xml:space="preserve"> pharlaiminteach; á mholadh, dá bhrí sin, go mbeadh ainmníocht níos mionsonraithe ann lena léireofar go cuí tacaíocht an Aontais do chuspóirí agus do struchtúr na slándála inmheánaí agus lena bhfeabhsófar trédhearcacht, cuntasacht agus rialú parlaiminteach;</w:t>
      </w:r>
    </w:p>
    <w:p w:rsidR="004D148E" w:rsidRPr="00AC7AC2" w:rsidP="004D148E" w14:paraId="59CF42F7" w14:textId="77777777">
      <w:pPr>
        <w:pStyle w:val="NormalHanging12a"/>
      </w:pPr>
      <w:r w:rsidRPr="00AC7AC2">
        <w:t>9.</w:t>
      </w:r>
      <w:r w:rsidRPr="00AC7AC2">
        <w:tab/>
        <w:t xml:space="preserve">á mheabhrú nach mór an ainmníocht bhuiséadach a bhunú i </w:t>
      </w:r>
      <w:r w:rsidRPr="00AC7AC2">
        <w:t>gcomhréir le hAirteagal 47(2) den Rialachán Airgeadais</w:t>
      </w:r>
      <w:r>
        <w:rPr>
          <w:rStyle w:val="FootnoteReference"/>
        </w:rPr>
        <w:footnoteReference w:id="4"/>
      </w:r>
      <w:r w:rsidRPr="00AC7AC2">
        <w:t xml:space="preserve">, lena bhforáiltear nach mór gach teideal a bheith comhfhreagrach do réimse beartais agus go mbeadh gach caibidil comhfhreagrach, mar riail, do chlár nó do ghníomhaíocht, i gcomhréir le prionsabail na sonraíochta, na bainistíochta fónta airgeadais agus na </w:t>
      </w:r>
      <w:r w:rsidRPr="00AC7AC2">
        <w:t>trédhearcachta</w:t>
      </w:r>
      <w:r w:rsidRPr="00AC7AC2">
        <w:t xml:space="preserve">; á mholadh go leasódh an Coiste um </w:t>
      </w:r>
      <w:r w:rsidRPr="00AC7AC2">
        <w:t>Shaoirsí</w:t>
      </w:r>
      <w:r w:rsidRPr="00AC7AC2">
        <w:t xml:space="preserve"> Sibhialta, um Cheartas agus um </w:t>
      </w:r>
      <w:r w:rsidRPr="00AC7AC2">
        <w:t>Ghnóthaí</w:t>
      </w:r>
      <w:r w:rsidRPr="00AC7AC2">
        <w:t xml:space="preserve"> Baile an togra chun iarscríbhinn a chur san áireamh lena saineofar ainmníocht an chláir; á áitiú gur dlúthchuid de sheasamh caibidlíochta na Parlaiminte í an</w:t>
      </w:r>
      <w:r w:rsidRPr="00AC7AC2">
        <w:t xml:space="preserve"> ainmníocht bhuiséadach agus nach mór í a phlé le linn caibidlíocht idirinstitiúideach; á mheas, ina leith sin, nach mór ráiteas reachtach athbhreithnithe airgeadais agus digiteach a bheith mar chuid den chomhaontú polaitiúil críochnaitheach; </w:t>
      </w:r>
    </w:p>
    <w:p w:rsidR="004D148E" w:rsidRPr="00AC7AC2" w:rsidP="004D148E" w14:paraId="7F48E6A0" w14:textId="77777777">
      <w:pPr>
        <w:pStyle w:val="NormalHanging12a"/>
      </w:pPr>
      <w:r w:rsidRPr="00AC7AC2">
        <w:t>10.</w:t>
      </w:r>
      <w:r w:rsidRPr="00AC7AC2">
        <w:tab/>
        <w:t xml:space="preserve">á áitiú gur coinníoll riachtanach í reachtaíocht atá sách mionsonraithe agus fónta, lena mbaineann leibhéal iomchuí rialachais, le haghaidh cinnteoireacht bhuiséadach chuí agus </w:t>
      </w:r>
      <w:r w:rsidRPr="00AC7AC2">
        <w:t>formhaoirseacht</w:t>
      </w:r>
      <w:r w:rsidRPr="00AC7AC2">
        <w:t xml:space="preserve"> pharlaiminteach </w:t>
      </w:r>
      <w:r w:rsidRPr="00AC7AC2">
        <w:t>leormhaith</w:t>
      </w:r>
      <w:r w:rsidRPr="00AC7AC2">
        <w:t xml:space="preserve"> le linn chur chun feidhme an bhuiséid; á mholadh go dtabharfaí isteach forálacha chun go neartófaí an rialú maidir leis an gcaoi a ndéantar an buiséad a shlógadh agus a chaitheamh; á mheas nach féidir an ‘meicníocht stiúrtha’, mar a thugtar air, a chur in ionad chumhachtaí reachtacha agus b</w:t>
      </w:r>
      <w:r w:rsidRPr="00AC7AC2">
        <w:t>uiséadacha na Parlaiminte ar bhealach ar bith, agus nach féidir í a shamhlú gan struchtúr fónta rialachais lena n-áirithítear feidhmiú éifeachtach na gcumhachtaí sin;</w:t>
      </w:r>
    </w:p>
    <w:p w:rsidR="004D148E" w:rsidRPr="00AC7AC2" w:rsidP="004D148E" w14:paraId="2AC493B8" w14:textId="77777777">
      <w:pPr>
        <w:pStyle w:val="NormalHanging12a"/>
      </w:pPr>
      <w:r w:rsidRPr="00AC7AC2">
        <w:t>11.</w:t>
      </w:r>
      <w:r w:rsidRPr="00AC7AC2">
        <w:tab/>
        <w:t xml:space="preserve">á chreidiúint nach mór na roghanna substainteacha beartais uile a chinneadh i reachtaíocht ábhartha an </w:t>
      </w:r>
      <w:r w:rsidRPr="00AC7AC2">
        <w:t>bhunghnímh</w:t>
      </w:r>
      <w:r w:rsidRPr="00AC7AC2">
        <w:t xml:space="preserve">, agus </w:t>
      </w:r>
      <w:r w:rsidRPr="00AC7AC2">
        <w:t>lánurraim</w:t>
      </w:r>
      <w:r w:rsidRPr="00AC7AC2">
        <w:t xml:space="preserve"> á tabhairt do </w:t>
      </w:r>
      <w:r w:rsidRPr="00AC7AC2">
        <w:t>shainphribhléidí</w:t>
      </w:r>
      <w:r w:rsidRPr="00AC7AC2">
        <w:t xml:space="preserve"> na Parlaiminte mar </w:t>
      </w:r>
      <w:r w:rsidRPr="00AC7AC2">
        <w:t>chomhreachtóir</w:t>
      </w:r>
      <w:r w:rsidRPr="00AC7AC2">
        <w:t xml:space="preserve"> agus mar bhrainse amháin d’údarás buiséadach an Aontais;</w:t>
      </w:r>
    </w:p>
    <w:p w:rsidR="004D148E" w:rsidRPr="00AC7AC2" w:rsidP="004D148E" w14:paraId="5263BC9B" w14:textId="77777777">
      <w:pPr>
        <w:pStyle w:val="NormalHanging12a"/>
      </w:pPr>
      <w:r w:rsidRPr="00AC7AC2">
        <w:t>12.</w:t>
      </w:r>
      <w:r w:rsidRPr="00AC7AC2">
        <w:tab/>
        <w:t>ag cur sonrú sa chomhlántacht atá molta idir an clár agus cistí eile Gnóthaí Baile, chomh maith le cláir eile amhail an Eoraip Dhomhanda; á chur i bhfáth nár cheart go rachadh comhlántacht fheabhsaithe idir ionstraimí chun dochair d’</w:t>
      </w:r>
      <w:r w:rsidRPr="00AC7AC2">
        <w:t>inrianaitheacht</w:t>
      </w:r>
      <w:r w:rsidRPr="00AC7AC2">
        <w:t xml:space="preserve"> caiteachais ná do </w:t>
      </w:r>
      <w:r w:rsidRPr="00AC7AC2">
        <w:t>shainchumais</w:t>
      </w:r>
      <w:r w:rsidRPr="00AC7AC2">
        <w:t xml:space="preserve"> an údaráis bhuiséadaigh; á chur i bhfios go láidir nach mór rannchuidiú thacaíocht an Aontais don tslándáil inmheánach le hoibríochtaí arna maoiniú go comhpháirteach le </w:t>
      </w:r>
      <w:r w:rsidRPr="00AC7AC2">
        <w:t>hionstraimí</w:t>
      </w:r>
      <w:r w:rsidRPr="00AC7AC2">
        <w:t xml:space="preserve"> eile a bheith inaitheanta go sainráite ag gach céi</w:t>
      </w:r>
      <w:r w:rsidRPr="00AC7AC2">
        <w:t xml:space="preserve">m den timthriall buiséadach; á chur i bhfáth, ina leith sin, nach mór aon ranníocaíocht dá leithéid a léiriú go cuí i ráiteas feidhmíochta an chláir maidir le tacaíocht an Aontais don tslándáil inmheánach; á áitiú go gcoinneodh an t-údarás buiséadach smacht iomlán ar an gcaoi a ndéantar acmhainní a chomhcheangal ar fud na n-ionstraimí agus ar rannchuidiú éifeachtach gach cláir le tosaíochtaí an Aontais, go sonrach trí ainmníocht bhuiséadach mhionsonraithe; á chur i bhfáth nár cheart castacht dhíréireach do </w:t>
      </w:r>
      <w:r w:rsidRPr="00AC7AC2">
        <w:t xml:space="preserve">na tairbhithe a bheith mar thoradh ar chomhlántacht fheabhsaithe idir cláir; á iarraidh go mbeadh cistiú ón Aontas níos soiléire, níos inrochtana agus níos </w:t>
      </w:r>
      <w:r w:rsidRPr="00AC7AC2">
        <w:t>comhleanúnaí</w:t>
      </w:r>
      <w:r w:rsidRPr="00AC7AC2">
        <w:t xml:space="preserve"> chun glacadh a éascú agus chun tionchar na n-infheistíochtaí a uasmhéadú;</w:t>
      </w:r>
    </w:p>
    <w:p w:rsidR="004D148E" w:rsidRPr="00AC7AC2" w:rsidP="004D148E" w14:paraId="57475A14" w14:textId="77777777">
      <w:pPr>
        <w:pStyle w:val="NormalHanging12a"/>
      </w:pPr>
      <w:r w:rsidRPr="00AC7AC2">
        <w:t>13.</w:t>
      </w:r>
      <w:r w:rsidRPr="00AC7AC2">
        <w:tab/>
      </w:r>
      <w:bookmarkStart w:id="1" w:name="_Hlk231311103"/>
      <w:r w:rsidRPr="00AC7AC2">
        <w:t xml:space="preserve">ag meabhrú an togra le haghaidh rialachán maidir le creat rianaithe caiteachais agus feidhmíochta buiséid agus rialacha cothrománacha eile a bhunú do chláir agus do ghníomhaíochtaí an Aontais (an ‘rialachán feidhmíochta’), lena mbunaítear liosta cuíchóirithe aonair le haghaidh táscairí feidhmíochta agus forálacha faireacháin agus meastóireachta, a bhfuil cuid acu ábhartha do thacaíocht an Aontais don tslándáil inmheánach; á chur i bhfios go láidir gur gá aon athrú ar an </w:t>
      </w:r>
      <w:r w:rsidRPr="00AC7AC2">
        <w:t>ollstruchtúr</w:t>
      </w:r>
      <w:r w:rsidRPr="00AC7AC2">
        <w:t>, ar chuspóirí agus ar g</w:t>
      </w:r>
      <w:r w:rsidRPr="00AC7AC2">
        <w:t xml:space="preserve">hníomhaíochtaí incháilithe faoin gclár a léiriú go hiomchuí in Iarscríbhinn I den rialachán feidhmíochta, mar chuid den phróiseas chun an rialachán sin a leasú agus a </w:t>
      </w:r>
      <w:r w:rsidRPr="00AC7AC2">
        <w:t>chaibidliú</w:t>
      </w:r>
      <w:r w:rsidRPr="00AC7AC2">
        <w:t>; á chur i bhfios, cé gur féidir le reachtaíocht earnála an rialachán feidhmíochta a fhorlíonadh, i gcás meastóireachtaí ar chláir mar shampla, gur cheart go leanfadh sé de bheith comhsheasmhach le forálacha an rialacháin sin</w:t>
      </w:r>
      <w:bookmarkEnd w:id="1"/>
      <w:r w:rsidRPr="00AC7AC2">
        <w:t>;</w:t>
      </w:r>
    </w:p>
    <w:p w:rsidR="004D148E" w:rsidRPr="00AC7AC2" w:rsidP="004D148E" w14:paraId="67578DF3" w14:textId="77777777">
      <w:pPr>
        <w:pStyle w:val="NormalHanging12a"/>
      </w:pPr>
      <w:r w:rsidRPr="00AC7AC2">
        <w:t>14.</w:t>
      </w:r>
      <w:r w:rsidRPr="00AC7AC2">
        <w:tab/>
        <w:t>á chur i bhfáth, thairis sin, nach mór creataí láidre rialaithe agus iniúchóireachta a bhunú chun leasanna airgeadais an Aontais a chosaint, go háirithe ar chalaois, i measc na gcistí, na gclár agus na n-ionstraimí airgeadais go léir den CAI a bheidh ann sa todhchaí.</w:t>
      </w:r>
    </w:p>
    <w:p w:rsidR="00C8553D" w:rsidRPr="00AC7AC2" w:rsidP="00367DCD" w14:paraId="24ED9791" w14:textId="77777777">
      <w:pPr>
        <w:pStyle w:val="NormalHanging12a"/>
        <w:sectPr w:rsidSect="004C3FC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pPr>
      <w:r w:rsidRPr="00AC7AC2">
        <w:t>15.</w:t>
      </w:r>
      <w:r w:rsidRPr="00AC7AC2">
        <w:tab/>
        <w:t xml:space="preserve">á iarraidh ar an gcoiste ceannais a leasuithe a chomhordú ionas go mbeidh siad go hiomlán comhsheasmhach leis na </w:t>
      </w:r>
      <w:r w:rsidRPr="00AC7AC2">
        <w:t>leasuithe a glacadh ar Rialachán CNR atá beartaithe; á athdhearbhú, ina leith, gur gá creat cur chun feidhme cothrománach agus rialacha maidir le beartais a áirítear faoi Rialachán CNR atá beartaithe a choinneáil ar bun chun comhleanúnachas a áirithiú agus ilroinnt a sheachaint.</w:t>
      </w:r>
    </w:p>
    <w:p w:rsidR="00FE24DE" w:rsidRPr="00AC7AC2" w:rsidP="00FE24DE" w14:paraId="49DC6BEB" w14:textId="77777777">
      <w:pPr>
        <w:pStyle w:val="PageHeadingNotTOC"/>
      </w:pPr>
      <w:r w:rsidRPr="00AC7AC2">
        <w:t>LEASUITHE</w:t>
      </w:r>
    </w:p>
    <w:p w:rsidR="00BF0AFC" w:rsidRPr="00AC7AC2" w:rsidP="00825069" w14:paraId="2824F2D6" w14:textId="77777777">
      <w:pPr>
        <w:pStyle w:val="Normal12a"/>
      </w:pPr>
      <w:r w:rsidRPr="00AC7AC2">
        <w:t>Mar chuid dá mheasúnú buiséadach, cuireann an Coiste um Buiséid na leasuithe seo a leanas ar an togra i láthair freisin:</w:t>
      </w:r>
    </w:p>
    <w:p w:rsidR="00237DE4" w:rsidRPr="00AC7AC2" w14:paraId="2C84B4C4" w14:textId="77777777">
      <w:pPr>
        <w:pStyle w:val="AmNumberTabs"/>
        <w:keepNext/>
      </w:pPr>
      <w:r w:rsidRPr="00AC7AC2">
        <w:rPr>
          <w:rStyle w:val="HideTWBExt"/>
          <w:b w:val="0"/>
        </w:rPr>
        <w:t>&lt;RepeatBlock-Amend&gt;</w:t>
      </w:r>
      <w:bookmarkStart w:id="2" w:name="restart"/>
      <w:r w:rsidRPr="00AC7AC2">
        <w:rPr>
          <w:rStyle w:val="HideTWBExt"/>
          <w:b w:val="0"/>
        </w:rPr>
        <w:t>&lt;Amend&gt;</w:t>
      </w:r>
      <w:r w:rsidRPr="00AC7AC2">
        <w:t>Leasú</w:t>
      </w:r>
      <w:r w:rsidRPr="00AC7AC2">
        <w:tab/>
      </w:r>
      <w:r w:rsidRPr="00AC7AC2">
        <w:tab/>
      </w:r>
      <w:r w:rsidRPr="00AC7AC2">
        <w:rPr>
          <w:rStyle w:val="HideTWBExt"/>
          <w:b w:val="0"/>
        </w:rPr>
        <w:t>&lt;NumAm&gt;</w:t>
      </w:r>
      <w:r w:rsidRPr="00AC7AC2">
        <w:t>1</w:t>
      </w:r>
      <w:r w:rsidRPr="00AC7AC2">
        <w:rPr>
          <w:rStyle w:val="HideTWBExt"/>
          <w:b w:val="0"/>
        </w:rPr>
        <w:t>&lt;/</w:t>
      </w:r>
      <w:r w:rsidRPr="00AC7AC2">
        <w:rPr>
          <w:rStyle w:val="HideTWBExt"/>
          <w:b w:val="0"/>
        </w:rPr>
        <w:t>NumAm</w:t>
      </w:r>
      <w:r w:rsidRPr="00AC7AC2">
        <w:rPr>
          <w:rStyle w:val="HideTWBExt"/>
          <w:b w:val="0"/>
        </w:rPr>
        <w:t>&gt;</w:t>
      </w:r>
    </w:p>
    <w:p w:rsidR="00237DE4" w:rsidRPr="00AC7AC2" w14:paraId="7A177F71" w14:textId="77777777">
      <w:pPr>
        <w:pStyle w:val="NormalBold12b"/>
        <w:keepNext/>
      </w:pPr>
      <w:r w:rsidRPr="00AC7AC2">
        <w:rPr>
          <w:rStyle w:val="HideTWBExt"/>
          <w:b w:val="0"/>
        </w:rPr>
        <w:t>&lt;DocAmend&gt;</w:t>
      </w:r>
      <w:r w:rsidRPr="00AC7AC2">
        <w:t>Togra le haghaidh rialacháin</w:t>
      </w:r>
      <w:r w:rsidRPr="00AC7AC2">
        <w:rPr>
          <w:rStyle w:val="HideTWBExt"/>
          <w:b w:val="0"/>
        </w:rPr>
        <w:t>&lt;/</w:t>
      </w:r>
      <w:r w:rsidRPr="00AC7AC2">
        <w:rPr>
          <w:rStyle w:val="HideTWBExt"/>
          <w:b w:val="0"/>
        </w:rPr>
        <w:t>DocAmend</w:t>
      </w:r>
      <w:r w:rsidRPr="00AC7AC2">
        <w:rPr>
          <w:rStyle w:val="HideTWBExt"/>
          <w:b w:val="0"/>
        </w:rPr>
        <w:t>&gt;</w:t>
      </w:r>
    </w:p>
    <w:p w:rsidR="00237DE4" w:rsidRPr="00AC7AC2" w14:paraId="728113C0" w14:textId="77777777">
      <w:pPr>
        <w:pStyle w:val="NormalBold"/>
      </w:pPr>
      <w:r w:rsidRPr="00AC7AC2">
        <w:rPr>
          <w:rStyle w:val="HideTWBExt"/>
          <w:b w:val="0"/>
        </w:rPr>
        <w:t>&lt;Article&gt;</w:t>
      </w:r>
      <w:r w:rsidRPr="00AC7AC2">
        <w:t>Aithris 12 a (nua)</w:t>
      </w:r>
      <w:r w:rsidRPr="00AC7AC2">
        <w:rPr>
          <w:rStyle w:val="HideTWBExt"/>
          <w:b w:val="0"/>
        </w:rPr>
        <w:t>&lt;/</w:t>
      </w:r>
      <w:r w:rsidRPr="00AC7AC2">
        <w:rPr>
          <w:rStyle w:val="HideTWBExt"/>
          <w:b w:val="0"/>
        </w:rPr>
        <w:t>Article</w:t>
      </w:r>
      <w:r w:rsidRPr="00AC7AC2">
        <w:rPr>
          <w:rStyle w:val="HideTWBExt"/>
          <w:b w:val="0"/>
        </w:rPr>
        <w:t>&gt;</w:t>
      </w:r>
    </w:p>
    <w:tbl>
      <w:tblPr>
        <w:tblW w:w="9752" w:type="dxa"/>
        <w:jc w:val="center"/>
        <w:tblLayout w:type="fixed"/>
        <w:tblCellMar>
          <w:left w:w="340" w:type="dxa"/>
          <w:right w:w="340" w:type="dxa"/>
        </w:tblCellMar>
        <w:tblLook w:val="04A0"/>
      </w:tblPr>
      <w:tblGrid>
        <w:gridCol w:w="4876"/>
        <w:gridCol w:w="4876"/>
      </w:tblGrid>
      <w:tr w14:paraId="08A804AC" w14:textId="77777777" w:rsidTr="00AB1DA6">
        <w:tblPrEx>
          <w:tblW w:w="9752" w:type="dxa"/>
          <w:jc w:val="center"/>
          <w:tblLayout w:type="fixed"/>
          <w:tblCellMar>
            <w:left w:w="340" w:type="dxa"/>
            <w:right w:w="340" w:type="dxa"/>
          </w:tblCellMar>
          <w:tblLook w:val="04A0"/>
        </w:tblPrEx>
        <w:trPr>
          <w:jc w:val="center"/>
        </w:trPr>
        <w:tc>
          <w:tcPr>
            <w:tcW w:w="9752" w:type="dxa"/>
            <w:gridSpan w:val="2"/>
          </w:tcPr>
          <w:p w:rsidR="00237DE4" w:rsidRPr="00AC7AC2" w14:paraId="5CDF96C6" w14:textId="77777777">
            <w:pPr>
              <w:keepNext/>
            </w:pPr>
          </w:p>
        </w:tc>
      </w:tr>
      <w:tr w14:paraId="4359F8E2" w14:textId="77777777" w:rsidTr="00AB1DA6">
        <w:tblPrEx>
          <w:tblW w:w="9752" w:type="dxa"/>
          <w:jc w:val="center"/>
          <w:tblLayout w:type="fixed"/>
          <w:tblCellMar>
            <w:left w:w="340" w:type="dxa"/>
            <w:right w:w="340" w:type="dxa"/>
          </w:tblCellMar>
          <w:tblLook w:val="04A0"/>
        </w:tblPrEx>
        <w:trPr>
          <w:jc w:val="center"/>
        </w:trPr>
        <w:tc>
          <w:tcPr>
            <w:tcW w:w="4876" w:type="dxa"/>
            <w:hideMark/>
          </w:tcPr>
          <w:p w:rsidR="00237DE4" w:rsidRPr="00AC7AC2" w14:paraId="30C7ECB0" w14:textId="77777777">
            <w:pPr>
              <w:pStyle w:val="AmColumnHeading"/>
              <w:keepNext/>
            </w:pPr>
            <w:r w:rsidRPr="00AC7AC2">
              <w:t>Téacs arna mholadh ag an gCoimisiún</w:t>
            </w:r>
          </w:p>
        </w:tc>
        <w:tc>
          <w:tcPr>
            <w:tcW w:w="4876" w:type="dxa"/>
            <w:hideMark/>
          </w:tcPr>
          <w:p w:rsidR="00237DE4" w:rsidRPr="00AC7AC2" w14:paraId="00CFEA3E" w14:textId="77777777">
            <w:pPr>
              <w:pStyle w:val="AmColumnHeading"/>
              <w:keepNext/>
            </w:pPr>
            <w:r w:rsidRPr="00AC7AC2">
              <w:t>Leasú</w:t>
            </w:r>
          </w:p>
        </w:tc>
      </w:tr>
      <w:tr w14:paraId="3F5544A0" w14:textId="77777777" w:rsidTr="00AB1DA6">
        <w:tblPrEx>
          <w:tblW w:w="9752" w:type="dxa"/>
          <w:jc w:val="center"/>
          <w:tblLayout w:type="fixed"/>
          <w:tblCellMar>
            <w:left w:w="340" w:type="dxa"/>
            <w:right w:w="340" w:type="dxa"/>
          </w:tblCellMar>
          <w:tblLook w:val="04A0"/>
        </w:tblPrEx>
        <w:trPr>
          <w:jc w:val="center"/>
        </w:trPr>
        <w:tc>
          <w:tcPr>
            <w:tcW w:w="4876" w:type="dxa"/>
            <w:hideMark/>
          </w:tcPr>
          <w:p w:rsidR="00237DE4" w:rsidRPr="00AC7AC2" w14:paraId="6DADBDF5" w14:textId="77777777">
            <w:pPr>
              <w:pStyle w:val="Normal6a"/>
            </w:pPr>
          </w:p>
        </w:tc>
        <w:tc>
          <w:tcPr>
            <w:tcW w:w="4876" w:type="dxa"/>
            <w:hideMark/>
          </w:tcPr>
          <w:p w:rsidR="00237DE4" w:rsidRPr="00AC7AC2" w14:paraId="3D5D4CBA" w14:textId="77777777">
            <w:pPr>
              <w:pStyle w:val="Normal6a"/>
              <w:rPr>
                <w:b/>
                <w:i/>
              </w:rPr>
            </w:pPr>
            <w:r w:rsidRPr="00AC7AC2">
              <w:rPr>
                <w:b/>
                <w:i/>
              </w:rPr>
              <w:t>(12a)</w:t>
            </w:r>
            <w:r w:rsidRPr="00AC7AC2">
              <w:rPr>
                <w:b/>
                <w:i/>
              </w:rPr>
              <w:tab/>
              <w:t xml:space="preserve">Níor cheart </w:t>
            </w:r>
            <w:r w:rsidRPr="00AC7AC2">
              <w:rPr>
                <w:b/>
                <w:i/>
              </w:rPr>
              <w:t>inrianaitheacht</w:t>
            </w:r>
            <w:r w:rsidRPr="00AC7AC2">
              <w:rPr>
                <w:b/>
                <w:i/>
              </w:rPr>
              <w:t xml:space="preserve"> caiteachais ná </w:t>
            </w:r>
            <w:r w:rsidRPr="00AC7AC2">
              <w:rPr>
                <w:b/>
                <w:i/>
              </w:rPr>
              <w:t>sainphribhléidí</w:t>
            </w:r>
            <w:r w:rsidRPr="00AC7AC2">
              <w:rPr>
                <w:b/>
                <w:i/>
              </w:rPr>
              <w:t xml:space="preserve"> an údaráis bhuiséadaigh a bheith thíos leis an gcomhlántacht idir tacaíocht an Aontais don </w:t>
            </w:r>
            <w:r w:rsidRPr="00AC7AC2">
              <w:rPr>
                <w:b/>
                <w:i/>
              </w:rPr>
              <w:t>tslándáil inmheánach agus ionstraimí eile de chuid an Aontais. Ba cheart rannchuidiú an chláir le gníomhaíochtaí arna gcistiú go comhpháirteach a bheith in-sainaitheanta go sainráite ag gach céim den timthriall buiséadach agus ba cheart é a léiriú go cuí sa Ráiteas ar Fheidhmíocht an Chláir.</w:t>
            </w:r>
          </w:p>
        </w:tc>
      </w:tr>
    </w:tbl>
    <w:p w:rsidR="00237DE4" w:rsidRPr="00AC7AC2" w14:paraId="45368BC9" w14:textId="77777777">
      <w:r w:rsidRPr="00AC7AC2">
        <w:rPr>
          <w:rStyle w:val="HideTWBExt"/>
        </w:rPr>
        <w:t>&lt;/Amend&gt;</w:t>
      </w:r>
    </w:p>
    <w:p w:rsidR="00AB1DA6" w:rsidRPr="00AC7AC2" w14:paraId="589D79CE" w14:textId="77777777">
      <w:pPr>
        <w:pStyle w:val="AmNumberTabs"/>
        <w:keepNext/>
      </w:pPr>
      <w:r w:rsidRPr="00AC7AC2">
        <w:rPr>
          <w:rStyle w:val="HideTWBExt"/>
          <w:b w:val="0"/>
        </w:rPr>
        <w:t>&lt;Amend&gt;</w:t>
      </w:r>
      <w:r w:rsidRPr="00AC7AC2">
        <w:t>Leasú</w:t>
      </w:r>
      <w:r w:rsidRPr="00AC7AC2">
        <w:tab/>
      </w:r>
      <w:r w:rsidRPr="00AC7AC2">
        <w:tab/>
      </w:r>
      <w:r w:rsidRPr="00AC7AC2">
        <w:rPr>
          <w:rStyle w:val="HideTWBExt"/>
          <w:b w:val="0"/>
        </w:rPr>
        <w:t>&lt;NumAm&gt;</w:t>
      </w:r>
      <w:r w:rsidRPr="00AC7AC2">
        <w:t>2</w:t>
      </w:r>
      <w:r w:rsidRPr="00AC7AC2">
        <w:rPr>
          <w:rStyle w:val="HideTWBExt"/>
          <w:b w:val="0"/>
        </w:rPr>
        <w:t>&lt;/</w:t>
      </w:r>
      <w:r w:rsidRPr="00AC7AC2">
        <w:rPr>
          <w:rStyle w:val="HideTWBExt"/>
          <w:b w:val="0"/>
        </w:rPr>
        <w:t>NumAm</w:t>
      </w:r>
      <w:r w:rsidRPr="00AC7AC2">
        <w:rPr>
          <w:rStyle w:val="HideTWBExt"/>
          <w:b w:val="0"/>
        </w:rPr>
        <w:t>&gt;</w:t>
      </w:r>
    </w:p>
    <w:p w:rsidR="00AB1DA6" w:rsidRPr="00AC7AC2" w14:paraId="2C56C13C" w14:textId="77777777">
      <w:pPr>
        <w:pStyle w:val="NormalBold12b"/>
        <w:keepNext/>
      </w:pPr>
      <w:r w:rsidRPr="00AC7AC2">
        <w:rPr>
          <w:rStyle w:val="HideTWBExt"/>
          <w:b w:val="0"/>
        </w:rPr>
        <w:t>&lt;DocAmend&gt;</w:t>
      </w:r>
      <w:r w:rsidRPr="00AC7AC2">
        <w:t>Togra le haghaidh rialacháin</w:t>
      </w:r>
      <w:r w:rsidRPr="00AC7AC2">
        <w:rPr>
          <w:rStyle w:val="HideTWBExt"/>
          <w:b w:val="0"/>
        </w:rPr>
        <w:t>&lt;/</w:t>
      </w:r>
      <w:r w:rsidRPr="00AC7AC2">
        <w:rPr>
          <w:rStyle w:val="HideTWBExt"/>
          <w:b w:val="0"/>
        </w:rPr>
        <w:t>DocAmend</w:t>
      </w:r>
      <w:r w:rsidRPr="00AC7AC2">
        <w:rPr>
          <w:rStyle w:val="HideTWBExt"/>
          <w:b w:val="0"/>
        </w:rPr>
        <w:t>&gt;</w:t>
      </w:r>
    </w:p>
    <w:p w:rsidR="00AB1DA6" w:rsidRPr="00AC7AC2" w14:paraId="173FD5C5" w14:textId="77777777">
      <w:pPr>
        <w:pStyle w:val="NormalBold"/>
      </w:pPr>
      <w:r w:rsidRPr="00AC7AC2">
        <w:rPr>
          <w:rStyle w:val="HideTWBExt"/>
          <w:b w:val="0"/>
        </w:rPr>
        <w:t>&lt;Article&gt;</w:t>
      </w:r>
      <w:r w:rsidRPr="00AC7AC2">
        <w:t>Aithris 18 a (nua)</w:t>
      </w:r>
      <w:r w:rsidRPr="00AC7AC2">
        <w:rPr>
          <w:rStyle w:val="HideTWBExt"/>
          <w:b w:val="0"/>
        </w:rPr>
        <w:t>&lt;/</w:t>
      </w:r>
      <w:r w:rsidRPr="00AC7AC2">
        <w:rPr>
          <w:rStyle w:val="HideTWBExt"/>
          <w:b w:val="0"/>
        </w:rPr>
        <w:t>Article</w:t>
      </w:r>
      <w:r w:rsidRPr="00AC7AC2">
        <w:rPr>
          <w:rStyle w:val="HideTWBExt"/>
          <w:b w:val="0"/>
        </w:rPr>
        <w:t>&gt;</w:t>
      </w:r>
    </w:p>
    <w:tbl>
      <w:tblPr>
        <w:tblW w:w="9752" w:type="dxa"/>
        <w:jc w:val="center"/>
        <w:tblLayout w:type="fixed"/>
        <w:tblCellMar>
          <w:left w:w="340" w:type="dxa"/>
          <w:right w:w="340" w:type="dxa"/>
        </w:tblCellMar>
        <w:tblLook w:val="04A0"/>
      </w:tblPr>
      <w:tblGrid>
        <w:gridCol w:w="4876"/>
        <w:gridCol w:w="4876"/>
      </w:tblGrid>
      <w:tr w14:paraId="09F28CE8" w14:textId="77777777" w:rsidTr="00AB1DA6">
        <w:tblPrEx>
          <w:tblW w:w="9752" w:type="dxa"/>
          <w:jc w:val="center"/>
          <w:tblLayout w:type="fixed"/>
          <w:tblCellMar>
            <w:left w:w="340" w:type="dxa"/>
            <w:right w:w="340" w:type="dxa"/>
          </w:tblCellMar>
          <w:tblLook w:val="04A0"/>
        </w:tblPrEx>
        <w:trPr>
          <w:jc w:val="center"/>
        </w:trPr>
        <w:tc>
          <w:tcPr>
            <w:tcW w:w="9752" w:type="dxa"/>
            <w:gridSpan w:val="2"/>
          </w:tcPr>
          <w:p w:rsidR="00AB1DA6" w:rsidRPr="00AC7AC2" w14:paraId="06F8982C" w14:textId="77777777">
            <w:pPr>
              <w:keepNext/>
            </w:pPr>
          </w:p>
        </w:tc>
      </w:tr>
      <w:tr w14:paraId="006F7675" w14:textId="77777777" w:rsidTr="00AB1DA6">
        <w:tblPrEx>
          <w:tblW w:w="9752" w:type="dxa"/>
          <w:jc w:val="center"/>
          <w:tblLayout w:type="fixed"/>
          <w:tblCellMar>
            <w:left w:w="340" w:type="dxa"/>
            <w:right w:w="340" w:type="dxa"/>
          </w:tblCellMar>
          <w:tblLook w:val="04A0"/>
        </w:tblPrEx>
        <w:trPr>
          <w:jc w:val="center"/>
        </w:trPr>
        <w:tc>
          <w:tcPr>
            <w:tcW w:w="4876" w:type="dxa"/>
            <w:hideMark/>
          </w:tcPr>
          <w:p w:rsidR="00AB1DA6" w:rsidRPr="00AC7AC2" w14:paraId="3914473F" w14:textId="77777777">
            <w:pPr>
              <w:pStyle w:val="AmColumnHeading"/>
              <w:keepNext/>
            </w:pPr>
            <w:r w:rsidRPr="00AC7AC2">
              <w:t>Téacs arna mholadh ag an gCoimisiún</w:t>
            </w:r>
          </w:p>
        </w:tc>
        <w:tc>
          <w:tcPr>
            <w:tcW w:w="4876" w:type="dxa"/>
            <w:hideMark/>
          </w:tcPr>
          <w:p w:rsidR="00AB1DA6" w:rsidRPr="00AC7AC2" w14:paraId="59FE00BF" w14:textId="77777777">
            <w:pPr>
              <w:pStyle w:val="AmColumnHeading"/>
              <w:keepNext/>
            </w:pPr>
            <w:r w:rsidRPr="00AC7AC2">
              <w:t>Leasú</w:t>
            </w:r>
          </w:p>
        </w:tc>
      </w:tr>
      <w:tr w14:paraId="17D65DB3" w14:textId="77777777" w:rsidTr="00AB1DA6">
        <w:tblPrEx>
          <w:tblW w:w="9752" w:type="dxa"/>
          <w:jc w:val="center"/>
          <w:tblLayout w:type="fixed"/>
          <w:tblCellMar>
            <w:left w:w="340" w:type="dxa"/>
            <w:right w:w="340" w:type="dxa"/>
          </w:tblCellMar>
          <w:tblLook w:val="04A0"/>
        </w:tblPrEx>
        <w:trPr>
          <w:jc w:val="center"/>
        </w:trPr>
        <w:tc>
          <w:tcPr>
            <w:tcW w:w="4876" w:type="dxa"/>
            <w:hideMark/>
          </w:tcPr>
          <w:p w:rsidR="00AB1DA6" w:rsidRPr="00AC7AC2" w14:paraId="4F201C87" w14:textId="77777777">
            <w:pPr>
              <w:pStyle w:val="Normal6a"/>
            </w:pPr>
          </w:p>
        </w:tc>
        <w:tc>
          <w:tcPr>
            <w:tcW w:w="4876" w:type="dxa"/>
            <w:hideMark/>
          </w:tcPr>
          <w:p w:rsidR="00AB1DA6" w:rsidRPr="00AC7AC2" w14:paraId="1DF33F76" w14:textId="77777777">
            <w:pPr>
              <w:pStyle w:val="Normal6a"/>
            </w:pPr>
            <w:r w:rsidRPr="00AC7AC2">
              <w:rPr>
                <w:b/>
                <w:i/>
              </w:rPr>
              <w:t>(18a)</w:t>
            </w:r>
            <w:r w:rsidRPr="00AC7AC2">
              <w:rPr>
                <w:b/>
                <w:i/>
              </w:rPr>
              <w:tab/>
              <w:t xml:space="preserve">I gcomhréir le Rialachán (AE, </w:t>
            </w:r>
            <w:r w:rsidRPr="00AC7AC2">
              <w:rPr>
                <w:b/>
                <w:i/>
              </w:rPr>
              <w:t xml:space="preserve">Euratom) 2024/2509 (‘an Rialachán Airgeadais’), le cur chun feidhme an Chláir ba cheart </w:t>
            </w:r>
            <w:r w:rsidRPr="00AC7AC2">
              <w:rPr>
                <w:b/>
                <w:i/>
              </w:rPr>
              <w:t>lánurraim</w:t>
            </w:r>
            <w:r w:rsidRPr="00AC7AC2">
              <w:rPr>
                <w:b/>
                <w:i/>
              </w:rPr>
              <w:t xml:space="preserve"> a thabhairt do na luachanna a chumhdaítear in Airteagal 2 den Chonradh ar an Aontas Eorpach agus do na cearta a aithnítear i gCairt um Chearta Bunúsacha an Aontais Eorpaigh.</w:t>
            </w:r>
          </w:p>
        </w:tc>
      </w:tr>
    </w:tbl>
    <w:p w:rsidR="00AB1DA6" w:rsidRPr="00AC7AC2" w14:paraId="15D5489D" w14:textId="77777777">
      <w:r w:rsidRPr="00AC7AC2">
        <w:rPr>
          <w:rStyle w:val="HideTWBExt"/>
        </w:rPr>
        <w:t>&lt;/Amend&gt;</w:t>
      </w:r>
    </w:p>
    <w:p w:rsidR="00AB1DA6" w:rsidRPr="00AC7AC2" w14:paraId="324F656F" w14:textId="77777777">
      <w:pPr>
        <w:pStyle w:val="AmNumberTabs"/>
        <w:keepNext/>
      </w:pPr>
      <w:r w:rsidRPr="00AC7AC2">
        <w:rPr>
          <w:rStyle w:val="HideTWBExt"/>
          <w:b w:val="0"/>
        </w:rPr>
        <w:t>&lt;Amend&gt;</w:t>
      </w:r>
      <w:r w:rsidRPr="00AC7AC2">
        <w:t>Leasú</w:t>
      </w:r>
      <w:r w:rsidRPr="00AC7AC2">
        <w:tab/>
      </w:r>
      <w:r w:rsidRPr="00AC7AC2">
        <w:tab/>
      </w:r>
      <w:r w:rsidRPr="00AC7AC2">
        <w:rPr>
          <w:rStyle w:val="HideTWBExt"/>
          <w:b w:val="0"/>
        </w:rPr>
        <w:t>&lt;NumAm&gt;</w:t>
      </w:r>
      <w:r w:rsidRPr="00AC7AC2">
        <w:t>3</w:t>
      </w:r>
      <w:r w:rsidRPr="00AC7AC2">
        <w:rPr>
          <w:rStyle w:val="HideTWBExt"/>
          <w:b w:val="0"/>
        </w:rPr>
        <w:t>&lt;/</w:t>
      </w:r>
      <w:r w:rsidRPr="00AC7AC2">
        <w:rPr>
          <w:rStyle w:val="HideTWBExt"/>
          <w:b w:val="0"/>
        </w:rPr>
        <w:t>NumAm</w:t>
      </w:r>
      <w:r w:rsidRPr="00AC7AC2">
        <w:rPr>
          <w:rStyle w:val="HideTWBExt"/>
          <w:b w:val="0"/>
        </w:rPr>
        <w:t>&gt;</w:t>
      </w:r>
    </w:p>
    <w:p w:rsidR="00AB1DA6" w:rsidRPr="00AC7AC2" w14:paraId="2AF32838" w14:textId="77777777">
      <w:pPr>
        <w:pStyle w:val="NormalBold12b"/>
        <w:keepNext/>
      </w:pPr>
      <w:r w:rsidRPr="00AC7AC2">
        <w:rPr>
          <w:rStyle w:val="HideTWBExt"/>
          <w:b w:val="0"/>
        </w:rPr>
        <w:t>&lt;DocAmend&gt;</w:t>
      </w:r>
      <w:r w:rsidRPr="00AC7AC2">
        <w:t>Togra le haghaidh rialacháin</w:t>
      </w:r>
      <w:r w:rsidRPr="00AC7AC2">
        <w:rPr>
          <w:rStyle w:val="HideTWBExt"/>
          <w:b w:val="0"/>
        </w:rPr>
        <w:t>&lt;/</w:t>
      </w:r>
      <w:r w:rsidRPr="00AC7AC2">
        <w:rPr>
          <w:rStyle w:val="HideTWBExt"/>
          <w:b w:val="0"/>
        </w:rPr>
        <w:t>DocAmend</w:t>
      </w:r>
      <w:r w:rsidRPr="00AC7AC2">
        <w:rPr>
          <w:rStyle w:val="HideTWBExt"/>
          <w:b w:val="0"/>
        </w:rPr>
        <w:t>&gt;</w:t>
      </w:r>
    </w:p>
    <w:p w:rsidR="00AB1DA6" w:rsidRPr="00AC7AC2" w14:paraId="4D5ABE77" w14:textId="77777777">
      <w:pPr>
        <w:pStyle w:val="NormalBold"/>
      </w:pPr>
      <w:r w:rsidRPr="00AC7AC2">
        <w:rPr>
          <w:rStyle w:val="HideTWBExt"/>
          <w:b w:val="0"/>
        </w:rPr>
        <w:t>&lt;Article&gt;</w:t>
      </w:r>
      <w:r w:rsidRPr="00AC7AC2">
        <w:t>Aithris 18 b (nua)</w:t>
      </w:r>
      <w:r w:rsidRPr="00AC7AC2">
        <w:rPr>
          <w:rStyle w:val="HideTWBExt"/>
          <w:b w:val="0"/>
        </w:rPr>
        <w:t>&lt;/</w:t>
      </w:r>
      <w:r w:rsidRPr="00AC7AC2">
        <w:rPr>
          <w:rStyle w:val="HideTWBExt"/>
          <w:b w:val="0"/>
        </w:rPr>
        <w:t>Article</w:t>
      </w:r>
      <w:r w:rsidRPr="00AC7AC2">
        <w:rPr>
          <w:rStyle w:val="HideTWBExt"/>
          <w:b w:val="0"/>
        </w:rPr>
        <w:t>&gt;</w:t>
      </w:r>
    </w:p>
    <w:tbl>
      <w:tblPr>
        <w:tblW w:w="9752" w:type="dxa"/>
        <w:jc w:val="center"/>
        <w:tblLayout w:type="fixed"/>
        <w:tblCellMar>
          <w:left w:w="340" w:type="dxa"/>
          <w:right w:w="340" w:type="dxa"/>
        </w:tblCellMar>
        <w:tblLook w:val="04A0"/>
      </w:tblPr>
      <w:tblGrid>
        <w:gridCol w:w="4876"/>
        <w:gridCol w:w="4876"/>
      </w:tblGrid>
      <w:tr w14:paraId="0027400B" w14:textId="77777777" w:rsidTr="00AB1DA6">
        <w:tblPrEx>
          <w:tblW w:w="9752" w:type="dxa"/>
          <w:jc w:val="center"/>
          <w:tblLayout w:type="fixed"/>
          <w:tblCellMar>
            <w:left w:w="340" w:type="dxa"/>
            <w:right w:w="340" w:type="dxa"/>
          </w:tblCellMar>
          <w:tblLook w:val="04A0"/>
        </w:tblPrEx>
        <w:trPr>
          <w:jc w:val="center"/>
        </w:trPr>
        <w:tc>
          <w:tcPr>
            <w:tcW w:w="9752" w:type="dxa"/>
            <w:gridSpan w:val="2"/>
          </w:tcPr>
          <w:p w:rsidR="00AB1DA6" w:rsidRPr="00AC7AC2" w14:paraId="2D49B811" w14:textId="77777777">
            <w:pPr>
              <w:keepNext/>
            </w:pPr>
          </w:p>
        </w:tc>
      </w:tr>
      <w:tr w14:paraId="25BD158B" w14:textId="77777777" w:rsidTr="00AB1DA6">
        <w:tblPrEx>
          <w:tblW w:w="9752" w:type="dxa"/>
          <w:jc w:val="center"/>
          <w:tblLayout w:type="fixed"/>
          <w:tblCellMar>
            <w:left w:w="340" w:type="dxa"/>
            <w:right w:w="340" w:type="dxa"/>
          </w:tblCellMar>
          <w:tblLook w:val="04A0"/>
        </w:tblPrEx>
        <w:trPr>
          <w:jc w:val="center"/>
        </w:trPr>
        <w:tc>
          <w:tcPr>
            <w:tcW w:w="4876" w:type="dxa"/>
            <w:hideMark/>
          </w:tcPr>
          <w:p w:rsidR="00AB1DA6" w:rsidRPr="00AC7AC2" w14:paraId="7CD08DA1" w14:textId="77777777">
            <w:pPr>
              <w:pStyle w:val="AmColumnHeading"/>
              <w:keepNext/>
            </w:pPr>
            <w:r w:rsidRPr="00AC7AC2">
              <w:t>Téacs arna mholadh ag an gCoimisiún</w:t>
            </w:r>
          </w:p>
        </w:tc>
        <w:tc>
          <w:tcPr>
            <w:tcW w:w="4876" w:type="dxa"/>
            <w:hideMark/>
          </w:tcPr>
          <w:p w:rsidR="00AB1DA6" w:rsidRPr="00AC7AC2" w14:paraId="67D65D10" w14:textId="77777777">
            <w:pPr>
              <w:pStyle w:val="AmColumnHeading"/>
              <w:keepNext/>
            </w:pPr>
            <w:r w:rsidRPr="00AC7AC2">
              <w:t>Leasú</w:t>
            </w:r>
          </w:p>
        </w:tc>
      </w:tr>
      <w:tr w14:paraId="6E8BC1BC" w14:textId="77777777" w:rsidTr="00AB1DA6">
        <w:tblPrEx>
          <w:tblW w:w="9752" w:type="dxa"/>
          <w:jc w:val="center"/>
          <w:tblLayout w:type="fixed"/>
          <w:tblCellMar>
            <w:left w:w="340" w:type="dxa"/>
            <w:right w:w="340" w:type="dxa"/>
          </w:tblCellMar>
          <w:tblLook w:val="04A0"/>
        </w:tblPrEx>
        <w:trPr>
          <w:jc w:val="center"/>
        </w:trPr>
        <w:tc>
          <w:tcPr>
            <w:tcW w:w="4876" w:type="dxa"/>
            <w:hideMark/>
          </w:tcPr>
          <w:p w:rsidR="00AB1DA6" w:rsidRPr="00AC7AC2" w14:paraId="61F02A18" w14:textId="77777777">
            <w:pPr>
              <w:pStyle w:val="Normal6a"/>
            </w:pPr>
          </w:p>
        </w:tc>
        <w:tc>
          <w:tcPr>
            <w:tcW w:w="4876" w:type="dxa"/>
            <w:hideMark/>
          </w:tcPr>
          <w:p w:rsidR="00AB1DA6" w:rsidRPr="00AC7AC2" w14:paraId="558BC830" w14:textId="77777777">
            <w:pPr>
              <w:pStyle w:val="Normal6a"/>
            </w:pPr>
            <w:r w:rsidRPr="00AC7AC2">
              <w:rPr>
                <w:b/>
                <w:i/>
              </w:rPr>
              <w:t>(18b)</w:t>
            </w:r>
            <w:r w:rsidRPr="00AC7AC2">
              <w:rPr>
                <w:b/>
                <w:i/>
              </w:rPr>
              <w:tab/>
              <w:t xml:space="preserve">Tá feidhm ag Rialachán (AE, Euratom) 2020/2092 maidir </w:t>
            </w:r>
            <w:r w:rsidRPr="00AC7AC2">
              <w:rPr>
                <w:b/>
                <w:i/>
              </w:rPr>
              <w:t xml:space="preserve">leis an gClár seo. Bunaítear leis, córas ginearálta </w:t>
            </w:r>
            <w:r w:rsidRPr="00AC7AC2">
              <w:rPr>
                <w:b/>
                <w:i/>
              </w:rPr>
              <w:t>coinníollachta</w:t>
            </w:r>
            <w:r w:rsidRPr="00AC7AC2">
              <w:rPr>
                <w:b/>
                <w:i/>
              </w:rPr>
              <w:t xml:space="preserve"> chun buiséad an Aontais a chosaint i gcás sáraithe ar phrionsabail an smachta reachta sna Ballstáit.</w:t>
            </w:r>
          </w:p>
        </w:tc>
      </w:tr>
    </w:tbl>
    <w:p w:rsidR="00AB1DA6" w:rsidRPr="00AC7AC2" w14:paraId="02944382" w14:textId="77777777">
      <w:r w:rsidRPr="00AC7AC2">
        <w:rPr>
          <w:rStyle w:val="HideTWBExt"/>
        </w:rPr>
        <w:t>&lt;/Amend&gt;</w:t>
      </w:r>
    </w:p>
    <w:p w:rsidR="00873BF3" w:rsidRPr="00AC7AC2" w:rsidP="00873BF3" w14:paraId="0CEE8F99" w14:textId="77777777">
      <w:pPr>
        <w:pStyle w:val="AmNumberTabs"/>
        <w:keepNext/>
      </w:pPr>
      <w:r w:rsidRPr="00AC7AC2">
        <w:rPr>
          <w:rStyle w:val="HideTWBExt"/>
          <w:b w:val="0"/>
        </w:rPr>
        <w:t>&lt;Amend&gt;</w:t>
      </w:r>
      <w:r w:rsidRPr="00AC7AC2">
        <w:t>Leasú</w:t>
      </w:r>
      <w:r w:rsidRPr="00AC7AC2">
        <w:tab/>
      </w:r>
      <w:r w:rsidRPr="00AC7AC2">
        <w:tab/>
      </w:r>
      <w:r w:rsidRPr="00AC7AC2">
        <w:rPr>
          <w:rStyle w:val="HideTWBExt"/>
          <w:b w:val="0"/>
        </w:rPr>
        <w:t>&lt;NumAm&gt;</w:t>
      </w:r>
      <w:r w:rsidRPr="00AC7AC2">
        <w:t>4</w:t>
      </w:r>
      <w:r w:rsidRPr="00AC7AC2">
        <w:rPr>
          <w:rStyle w:val="HideTWBExt"/>
          <w:b w:val="0"/>
        </w:rPr>
        <w:t>&lt;/</w:t>
      </w:r>
      <w:r w:rsidRPr="00AC7AC2">
        <w:rPr>
          <w:rStyle w:val="HideTWBExt"/>
          <w:b w:val="0"/>
        </w:rPr>
        <w:t>NumAm</w:t>
      </w:r>
      <w:r w:rsidRPr="00AC7AC2">
        <w:rPr>
          <w:rStyle w:val="HideTWBExt"/>
          <w:b w:val="0"/>
        </w:rPr>
        <w:t>&gt;</w:t>
      </w:r>
    </w:p>
    <w:p w:rsidR="00873BF3" w:rsidRPr="00AC7AC2" w:rsidP="00873BF3" w14:paraId="37078AFF" w14:textId="77777777">
      <w:pPr>
        <w:pStyle w:val="NormalBold12b"/>
        <w:keepNext/>
      </w:pPr>
      <w:r w:rsidRPr="00AC7AC2">
        <w:rPr>
          <w:rStyle w:val="HideTWBExt"/>
          <w:b w:val="0"/>
        </w:rPr>
        <w:t>&lt;DocAmend&gt;</w:t>
      </w:r>
      <w:r w:rsidRPr="00AC7AC2">
        <w:t xml:space="preserve">Togra le haghaidh </w:t>
      </w:r>
      <w:r w:rsidRPr="00AC7AC2">
        <w:t>rialacháin</w:t>
      </w:r>
      <w:r w:rsidRPr="00AC7AC2">
        <w:rPr>
          <w:rStyle w:val="HideTWBExt"/>
          <w:b w:val="0"/>
        </w:rPr>
        <w:t>&lt;/</w:t>
      </w:r>
      <w:r w:rsidRPr="00AC7AC2">
        <w:rPr>
          <w:rStyle w:val="HideTWBExt"/>
          <w:b w:val="0"/>
        </w:rPr>
        <w:t>DocAmend</w:t>
      </w:r>
      <w:r w:rsidRPr="00AC7AC2">
        <w:rPr>
          <w:rStyle w:val="HideTWBExt"/>
          <w:b w:val="0"/>
        </w:rPr>
        <w:t>&gt;</w:t>
      </w:r>
    </w:p>
    <w:p w:rsidR="00873BF3" w:rsidRPr="00AC7AC2" w:rsidP="00873BF3" w14:paraId="376C1BC4" w14:textId="77777777">
      <w:pPr>
        <w:pStyle w:val="NormalBold"/>
      </w:pPr>
      <w:r w:rsidRPr="00AC7AC2">
        <w:rPr>
          <w:rStyle w:val="HideTWBExt"/>
          <w:b w:val="0"/>
        </w:rPr>
        <w:t>&lt;Article&gt;</w:t>
      </w:r>
      <w:r w:rsidRPr="00AC7AC2">
        <w:t>Aithris 20 a (nua)</w:t>
      </w:r>
      <w:r w:rsidRPr="00AC7AC2">
        <w:rPr>
          <w:rStyle w:val="HideTWBExt"/>
          <w:b w:val="0"/>
        </w:rPr>
        <w:t>&lt;/</w:t>
      </w:r>
      <w:r w:rsidRPr="00AC7AC2">
        <w:rPr>
          <w:rStyle w:val="HideTWBExt"/>
          <w:b w:val="0"/>
        </w:rPr>
        <w:t>Article</w:t>
      </w:r>
      <w:r w:rsidRPr="00AC7AC2">
        <w:rPr>
          <w:rStyle w:val="HideTWBExt"/>
          <w:b w:val="0"/>
        </w:rPr>
        <w:t>&gt;</w:t>
      </w:r>
    </w:p>
    <w:tbl>
      <w:tblPr>
        <w:tblW w:w="9752" w:type="dxa"/>
        <w:jc w:val="center"/>
        <w:tblLayout w:type="fixed"/>
        <w:tblCellMar>
          <w:left w:w="340" w:type="dxa"/>
          <w:right w:w="340" w:type="dxa"/>
        </w:tblCellMar>
        <w:tblLook w:val="04A0"/>
      </w:tblPr>
      <w:tblGrid>
        <w:gridCol w:w="4876"/>
        <w:gridCol w:w="4876"/>
      </w:tblGrid>
      <w:tr w14:paraId="32F10A9B" w14:textId="77777777" w:rsidTr="00EE1FA3">
        <w:tblPrEx>
          <w:tblW w:w="9752" w:type="dxa"/>
          <w:jc w:val="center"/>
          <w:tblLayout w:type="fixed"/>
          <w:tblCellMar>
            <w:left w:w="340" w:type="dxa"/>
            <w:right w:w="340" w:type="dxa"/>
          </w:tblCellMar>
          <w:tblLook w:val="04A0"/>
        </w:tblPrEx>
        <w:trPr>
          <w:jc w:val="center"/>
        </w:trPr>
        <w:tc>
          <w:tcPr>
            <w:tcW w:w="9752" w:type="dxa"/>
            <w:gridSpan w:val="2"/>
          </w:tcPr>
          <w:p w:rsidR="00873BF3" w:rsidRPr="00AC7AC2" w14:paraId="4971EF2A" w14:textId="77777777">
            <w:pPr>
              <w:keepNext/>
            </w:pPr>
          </w:p>
        </w:tc>
      </w:tr>
      <w:tr w14:paraId="6DF1FE2B" w14:textId="77777777" w:rsidTr="00EE1FA3">
        <w:tblPrEx>
          <w:tblW w:w="9752" w:type="dxa"/>
          <w:jc w:val="center"/>
          <w:tblLayout w:type="fixed"/>
          <w:tblCellMar>
            <w:left w:w="340" w:type="dxa"/>
            <w:right w:w="340" w:type="dxa"/>
          </w:tblCellMar>
          <w:tblLook w:val="04A0"/>
        </w:tblPrEx>
        <w:trPr>
          <w:jc w:val="center"/>
        </w:trPr>
        <w:tc>
          <w:tcPr>
            <w:tcW w:w="4876" w:type="dxa"/>
            <w:hideMark/>
          </w:tcPr>
          <w:p w:rsidR="00873BF3" w:rsidRPr="00AC7AC2" w14:paraId="6430A8CF" w14:textId="77777777">
            <w:pPr>
              <w:pStyle w:val="AmColumnHeading"/>
              <w:keepNext/>
            </w:pPr>
            <w:r w:rsidRPr="00AC7AC2">
              <w:t>Téacs arna mholadh ag an gCoimisiún</w:t>
            </w:r>
          </w:p>
        </w:tc>
        <w:tc>
          <w:tcPr>
            <w:tcW w:w="4876" w:type="dxa"/>
            <w:hideMark/>
          </w:tcPr>
          <w:p w:rsidR="00873BF3" w:rsidRPr="00AC7AC2" w14:paraId="39C8F87F" w14:textId="77777777">
            <w:pPr>
              <w:pStyle w:val="AmColumnHeading"/>
              <w:keepNext/>
            </w:pPr>
            <w:r w:rsidRPr="00AC7AC2">
              <w:t>Leasú</w:t>
            </w:r>
          </w:p>
        </w:tc>
      </w:tr>
      <w:tr w14:paraId="00F7B8A9" w14:textId="77777777" w:rsidTr="00EE1FA3">
        <w:tblPrEx>
          <w:tblW w:w="9752" w:type="dxa"/>
          <w:jc w:val="center"/>
          <w:tblLayout w:type="fixed"/>
          <w:tblCellMar>
            <w:left w:w="340" w:type="dxa"/>
            <w:right w:w="340" w:type="dxa"/>
          </w:tblCellMar>
          <w:tblLook w:val="04A0"/>
        </w:tblPrEx>
        <w:trPr>
          <w:jc w:val="center"/>
        </w:trPr>
        <w:tc>
          <w:tcPr>
            <w:tcW w:w="4876" w:type="dxa"/>
            <w:hideMark/>
          </w:tcPr>
          <w:p w:rsidR="00873BF3" w:rsidRPr="00AC7AC2" w14:paraId="77B0B63F" w14:textId="77777777">
            <w:pPr>
              <w:pStyle w:val="Normal6a"/>
            </w:pPr>
          </w:p>
        </w:tc>
        <w:tc>
          <w:tcPr>
            <w:tcW w:w="4876" w:type="dxa"/>
            <w:hideMark/>
          </w:tcPr>
          <w:p w:rsidR="00873BF3" w:rsidRPr="00AC7AC2" w14:paraId="514C8E30" w14:textId="77777777">
            <w:pPr>
              <w:pStyle w:val="Normal6a"/>
            </w:pPr>
            <w:r w:rsidRPr="00AC7AC2">
              <w:rPr>
                <w:b/>
                <w:i/>
              </w:rPr>
              <w:t>(20a)</w:t>
            </w:r>
            <w:r w:rsidRPr="00AC7AC2">
              <w:rPr>
                <w:b/>
                <w:i/>
              </w:rPr>
              <w:tab/>
              <w:t>Tá sé ríthábhachtach gur cheart go mbeadh forálacha an Rialacháin seo, chomh maith lena shocruithe rialachais fabhrach do chinnteoireacht chuí an údaráis bhuiséadaigh agus d’</w:t>
            </w:r>
            <w:r w:rsidRPr="00AC7AC2">
              <w:rPr>
                <w:b/>
                <w:i/>
              </w:rPr>
              <w:t>fhormhaoirseacht</w:t>
            </w:r>
            <w:r w:rsidRPr="00AC7AC2">
              <w:rPr>
                <w:b/>
                <w:i/>
              </w:rPr>
              <w:t xml:space="preserve"> pharlaiminteach iomchuí. Go háirithe, i gcomhréir le hAirteagal 47(2) den Rialachán Airgeadais, ba cheart aon sonraíocht maidir le </w:t>
            </w:r>
            <w:r w:rsidRPr="00AC7AC2">
              <w:rPr>
                <w:b/>
                <w:i/>
              </w:rPr>
              <w:t>hollstruchtúr</w:t>
            </w:r>
            <w:r w:rsidRPr="00AC7AC2">
              <w:rPr>
                <w:b/>
                <w:i/>
              </w:rPr>
              <w:t xml:space="preserve"> inmheánach thacaíocht an Aontais don tslándáil inmheánach a léiriú go cuí in ainmníocht an bhuiséid trí línte buiséid comhfhreagracha a thabhairt isteach.</w:t>
            </w:r>
          </w:p>
        </w:tc>
      </w:tr>
    </w:tbl>
    <w:bookmarkEnd w:id="2"/>
    <w:p w:rsidR="00237DE4" w:rsidRPr="00AC7AC2" w:rsidP="00237DE4" w14:paraId="3A73CA1E" w14:textId="77777777">
      <w:pPr>
        <w:rPr>
          <w:rStyle w:val="HideTWBExt"/>
        </w:rPr>
      </w:pPr>
      <w:r w:rsidRPr="00AC7AC2">
        <w:rPr>
          <w:rStyle w:val="HideTWBExt"/>
        </w:rPr>
        <w:t>&lt;/Amend&gt;</w:t>
      </w:r>
    </w:p>
    <w:p w:rsidR="00D27085" w:rsidRPr="00AC7AC2" w:rsidP="00D27085" w14:paraId="071DA683" w14:textId="77777777">
      <w:pPr>
        <w:pStyle w:val="AmNumberTabs"/>
        <w:keepNext/>
      </w:pPr>
      <w:r w:rsidRPr="00AC7AC2">
        <w:rPr>
          <w:rStyle w:val="HideTWBExt"/>
          <w:b w:val="0"/>
        </w:rPr>
        <w:t>&lt;Amend&gt;</w:t>
      </w:r>
      <w:r w:rsidRPr="00AC7AC2">
        <w:t>Leasú</w:t>
      </w:r>
      <w:r w:rsidRPr="00AC7AC2">
        <w:tab/>
      </w:r>
      <w:r w:rsidRPr="00AC7AC2">
        <w:tab/>
      </w:r>
      <w:r w:rsidRPr="00AC7AC2">
        <w:rPr>
          <w:rStyle w:val="HideTWBExt"/>
          <w:b w:val="0"/>
        </w:rPr>
        <w:t>&lt;NumAm&gt;</w:t>
      </w:r>
      <w:r w:rsidRPr="00AC7AC2">
        <w:t>5</w:t>
      </w:r>
      <w:r w:rsidRPr="00AC7AC2">
        <w:rPr>
          <w:rStyle w:val="HideTWBExt"/>
          <w:b w:val="0"/>
        </w:rPr>
        <w:t>&lt;/</w:t>
      </w:r>
      <w:r w:rsidRPr="00AC7AC2">
        <w:rPr>
          <w:rStyle w:val="HideTWBExt"/>
          <w:b w:val="0"/>
        </w:rPr>
        <w:t>NumAm</w:t>
      </w:r>
      <w:r w:rsidRPr="00AC7AC2">
        <w:rPr>
          <w:rStyle w:val="HideTWBExt"/>
          <w:b w:val="0"/>
        </w:rPr>
        <w:t>&gt;</w:t>
      </w:r>
    </w:p>
    <w:p w:rsidR="00EE1FA3" w:rsidRPr="00AC7AC2" w:rsidP="00EE1FA3" w14:paraId="1789A4B8" w14:textId="77777777">
      <w:pPr>
        <w:pStyle w:val="NormalBold12b"/>
        <w:keepNext/>
      </w:pPr>
      <w:r w:rsidRPr="00AC7AC2">
        <w:rPr>
          <w:rStyle w:val="HideTWBExt"/>
          <w:b w:val="0"/>
        </w:rPr>
        <w:t>&lt;DocAmend&gt;</w:t>
      </w:r>
      <w:r w:rsidRPr="00AC7AC2">
        <w:t>Togra le haghaidh rialacháin</w:t>
      </w:r>
      <w:r w:rsidRPr="00AC7AC2">
        <w:rPr>
          <w:rStyle w:val="HideTWBExt"/>
          <w:b w:val="0"/>
        </w:rPr>
        <w:t>&lt;/</w:t>
      </w:r>
      <w:r w:rsidRPr="00AC7AC2">
        <w:rPr>
          <w:rStyle w:val="HideTWBExt"/>
          <w:b w:val="0"/>
        </w:rPr>
        <w:t>DocAmend</w:t>
      </w:r>
      <w:r w:rsidRPr="00AC7AC2">
        <w:rPr>
          <w:rStyle w:val="HideTWBExt"/>
          <w:b w:val="0"/>
        </w:rPr>
        <w:t>&gt;</w:t>
      </w:r>
    </w:p>
    <w:p w:rsidR="00EE1FA3" w:rsidRPr="00AC7AC2" w:rsidP="00EE1FA3" w14:paraId="1680D201" w14:textId="77777777">
      <w:pPr>
        <w:pStyle w:val="NormalBold"/>
      </w:pPr>
      <w:r w:rsidRPr="00AC7AC2">
        <w:rPr>
          <w:rStyle w:val="HideTWBExt"/>
          <w:b w:val="0"/>
        </w:rPr>
        <w:t>&lt;Article&gt;</w:t>
      </w:r>
      <w:r w:rsidRPr="00AC7AC2">
        <w:t>Aithris 20 b (nua)</w:t>
      </w:r>
      <w:r w:rsidRPr="00AC7AC2">
        <w:rPr>
          <w:rStyle w:val="HideTWBExt"/>
          <w:b w:val="0"/>
        </w:rPr>
        <w:t>&lt;/</w:t>
      </w:r>
      <w:r w:rsidRPr="00AC7AC2">
        <w:rPr>
          <w:rStyle w:val="HideTWBExt"/>
          <w:b w:val="0"/>
        </w:rPr>
        <w:t>Article</w:t>
      </w:r>
      <w:r w:rsidRPr="00AC7AC2">
        <w:rPr>
          <w:rStyle w:val="HideTWBExt"/>
          <w:b w:val="0"/>
        </w:rPr>
        <w:t>&gt;</w:t>
      </w:r>
    </w:p>
    <w:tbl>
      <w:tblPr>
        <w:tblW w:w="9752" w:type="dxa"/>
        <w:jc w:val="center"/>
        <w:tblLayout w:type="fixed"/>
        <w:tblCellMar>
          <w:left w:w="340" w:type="dxa"/>
          <w:right w:w="340" w:type="dxa"/>
        </w:tblCellMar>
        <w:tblLook w:val="04A0"/>
      </w:tblPr>
      <w:tblGrid>
        <w:gridCol w:w="4876"/>
        <w:gridCol w:w="4876"/>
      </w:tblGrid>
      <w:tr w14:paraId="4ED49764" w14:textId="77777777" w:rsidTr="00EE1FA3">
        <w:tblPrEx>
          <w:tblW w:w="9752" w:type="dxa"/>
          <w:jc w:val="center"/>
          <w:tblLayout w:type="fixed"/>
          <w:tblCellMar>
            <w:left w:w="340" w:type="dxa"/>
            <w:right w:w="340" w:type="dxa"/>
          </w:tblCellMar>
          <w:tblLook w:val="04A0"/>
        </w:tblPrEx>
        <w:trPr>
          <w:jc w:val="center"/>
        </w:trPr>
        <w:tc>
          <w:tcPr>
            <w:tcW w:w="9752" w:type="dxa"/>
            <w:gridSpan w:val="2"/>
          </w:tcPr>
          <w:p w:rsidR="00EE1FA3" w:rsidRPr="00AC7AC2" w14:paraId="67053BD0" w14:textId="77777777">
            <w:pPr>
              <w:keepNext/>
            </w:pPr>
          </w:p>
        </w:tc>
      </w:tr>
      <w:tr w14:paraId="245F484E" w14:textId="77777777" w:rsidTr="00EE1FA3">
        <w:tblPrEx>
          <w:tblW w:w="9752" w:type="dxa"/>
          <w:jc w:val="center"/>
          <w:tblLayout w:type="fixed"/>
          <w:tblCellMar>
            <w:left w:w="340" w:type="dxa"/>
            <w:right w:w="340" w:type="dxa"/>
          </w:tblCellMar>
          <w:tblLook w:val="04A0"/>
        </w:tblPrEx>
        <w:trPr>
          <w:jc w:val="center"/>
        </w:trPr>
        <w:tc>
          <w:tcPr>
            <w:tcW w:w="4876" w:type="dxa"/>
            <w:hideMark/>
          </w:tcPr>
          <w:p w:rsidR="00EE1FA3" w:rsidRPr="00AC7AC2" w14:paraId="4CC0C8B2" w14:textId="77777777">
            <w:pPr>
              <w:pStyle w:val="AmColumnHeading"/>
              <w:keepNext/>
            </w:pPr>
            <w:r w:rsidRPr="00AC7AC2">
              <w:t xml:space="preserve">Téacs arna mholadh ag an </w:t>
            </w:r>
            <w:r w:rsidRPr="00AC7AC2">
              <w:t>gCoimisiún</w:t>
            </w:r>
          </w:p>
        </w:tc>
        <w:tc>
          <w:tcPr>
            <w:tcW w:w="4876" w:type="dxa"/>
            <w:hideMark/>
          </w:tcPr>
          <w:p w:rsidR="00EE1FA3" w:rsidRPr="00AC7AC2" w14:paraId="1AE027B0" w14:textId="77777777">
            <w:pPr>
              <w:pStyle w:val="AmColumnHeading"/>
              <w:keepNext/>
            </w:pPr>
            <w:r w:rsidRPr="00AC7AC2">
              <w:t>Leasú</w:t>
            </w:r>
          </w:p>
        </w:tc>
      </w:tr>
      <w:tr w14:paraId="11839E84" w14:textId="77777777" w:rsidTr="00EE1FA3">
        <w:tblPrEx>
          <w:tblW w:w="9752" w:type="dxa"/>
          <w:jc w:val="center"/>
          <w:tblLayout w:type="fixed"/>
          <w:tblCellMar>
            <w:left w:w="340" w:type="dxa"/>
            <w:right w:w="340" w:type="dxa"/>
          </w:tblCellMar>
          <w:tblLook w:val="04A0"/>
        </w:tblPrEx>
        <w:trPr>
          <w:jc w:val="center"/>
        </w:trPr>
        <w:tc>
          <w:tcPr>
            <w:tcW w:w="4876" w:type="dxa"/>
            <w:hideMark/>
          </w:tcPr>
          <w:p w:rsidR="00EE1FA3" w:rsidRPr="00AC7AC2" w14:paraId="7665A91B" w14:textId="77777777">
            <w:pPr>
              <w:pStyle w:val="Normal6a"/>
            </w:pPr>
          </w:p>
        </w:tc>
        <w:tc>
          <w:tcPr>
            <w:tcW w:w="4876" w:type="dxa"/>
            <w:hideMark/>
          </w:tcPr>
          <w:p w:rsidR="00EE1FA3" w:rsidRPr="00AC7AC2" w:rsidP="00EE1FA3" w14:paraId="351569AB" w14:textId="77777777">
            <w:pPr>
              <w:pStyle w:val="Normal6a"/>
            </w:pPr>
            <w:r w:rsidRPr="00AC7AC2">
              <w:rPr>
                <w:b/>
                <w:i/>
              </w:rPr>
              <w:t>(20b)</w:t>
            </w:r>
            <w:r w:rsidRPr="00AC7AC2">
              <w:rPr>
                <w:b/>
                <w:i/>
              </w:rPr>
              <w:tab/>
              <w:t>Rinneadh measúnú ar impleachtaí an Rialacháin seo ar bhuiséad an Aontais</w:t>
            </w:r>
            <w:r w:rsidRPr="00AC7AC2">
              <w:rPr>
                <w:b/>
                <w:i/>
                <w:vertAlign w:val="superscript"/>
              </w:rPr>
              <w:t>+</w:t>
            </w:r>
            <w:r w:rsidRPr="00AC7AC2">
              <w:rPr>
                <w:b/>
                <w:i/>
              </w:rPr>
              <w:t xml:space="preserve"> i gcomhréir le hAirteagal 310(4) den Chonradh ar Fheidhmiú an Aontais Eorpaigh. Ba cheart acmhainní leordhóthanacha airgeadais agus daonna a leithdháileadh chun é a chur chun feidhme, agus tionchar a mhaoinithe ar chláir nó beartais eile de chuid an Aontais á chur san áireamh agus a chomhoiriúnacht leis an gcreat airgeadais ilbhliantúil, leis an gcóras acmhainní dílse agus leis an gcomhaontú idirinstitiúideach comhfhreagrach, chomh m</w:t>
            </w:r>
            <w:r w:rsidRPr="00AC7AC2">
              <w:rPr>
                <w:b/>
                <w:i/>
              </w:rPr>
              <w:t>aith leis na prionsabail bhuiséadacha a leagtar síos i Rialachán (AE, Euratom) 2024/2509 ó Pharlaimint na hEorpa agus ón gComhairle á háirithiú</w:t>
            </w:r>
            <w:r w:rsidRPr="00AC7AC2">
              <w:rPr>
                <w:b/>
                <w:i/>
                <w:vertAlign w:val="superscript"/>
              </w:rPr>
              <w:t>1]</w:t>
            </w:r>
            <w:r w:rsidRPr="00AC7AC2">
              <w:rPr>
                <w:b/>
                <w:i/>
              </w:rPr>
              <w:t>.</w:t>
            </w:r>
          </w:p>
        </w:tc>
      </w:tr>
      <w:tr w14:paraId="7AE7A530" w14:textId="77777777" w:rsidTr="00EE1FA3">
        <w:tblPrEx>
          <w:tblW w:w="9752" w:type="dxa"/>
          <w:jc w:val="center"/>
          <w:tblLayout w:type="fixed"/>
          <w:tblCellMar>
            <w:left w:w="340" w:type="dxa"/>
            <w:right w:w="340" w:type="dxa"/>
          </w:tblCellMar>
          <w:tblLook w:val="04A0"/>
        </w:tblPrEx>
        <w:trPr>
          <w:jc w:val="center"/>
        </w:trPr>
        <w:tc>
          <w:tcPr>
            <w:tcW w:w="4876" w:type="dxa"/>
          </w:tcPr>
          <w:p w:rsidR="005C15CA" w:rsidRPr="00AC7AC2" w14:paraId="0164D5D2" w14:textId="77777777">
            <w:pPr>
              <w:pStyle w:val="Normal6a"/>
            </w:pPr>
          </w:p>
        </w:tc>
        <w:tc>
          <w:tcPr>
            <w:tcW w:w="4876" w:type="dxa"/>
          </w:tcPr>
          <w:p w:rsidR="005C15CA" w:rsidRPr="00AC7AC2" w14:paraId="146B7EAE" w14:textId="77777777">
            <w:pPr>
              <w:pStyle w:val="Normal6a"/>
              <w:rPr>
                <w:b/>
                <w:i/>
              </w:rPr>
            </w:pPr>
            <w:r w:rsidRPr="00AC7AC2">
              <w:rPr>
                <w:b/>
                <w:i/>
              </w:rPr>
              <w:t>____________________</w:t>
            </w:r>
          </w:p>
        </w:tc>
      </w:tr>
      <w:tr w14:paraId="2D63BB5E" w14:textId="77777777" w:rsidTr="00616087">
        <w:tblPrEx>
          <w:tblW w:w="9752" w:type="dxa"/>
          <w:jc w:val="center"/>
          <w:tblLayout w:type="fixed"/>
          <w:tblCellMar>
            <w:left w:w="340" w:type="dxa"/>
            <w:right w:w="340" w:type="dxa"/>
          </w:tblCellMar>
          <w:tblLook w:val="04A0"/>
        </w:tblPrEx>
        <w:trPr>
          <w:trHeight w:val="2448"/>
          <w:jc w:val="center"/>
        </w:trPr>
        <w:tc>
          <w:tcPr>
            <w:tcW w:w="4876" w:type="dxa"/>
          </w:tcPr>
          <w:p w:rsidR="00B21097" w:rsidRPr="00AC7AC2" w14:paraId="23B90ED3" w14:textId="77777777">
            <w:pPr>
              <w:pStyle w:val="Normal6a"/>
            </w:pPr>
          </w:p>
        </w:tc>
        <w:tc>
          <w:tcPr>
            <w:tcW w:w="4876" w:type="dxa"/>
          </w:tcPr>
          <w:p w:rsidR="00B21097" w:rsidRPr="00AC7AC2" w:rsidP="004D03B2" w14:paraId="0D7A7193" w14:textId="77777777">
            <w:pPr>
              <w:pStyle w:val="Normal6"/>
              <w:ind w:left="-118"/>
              <w:rPr>
                <w:b/>
                <w:i/>
              </w:rPr>
            </w:pPr>
            <w:r w:rsidRPr="00AC7AC2">
              <w:rPr>
                <w:b/>
                <w:i/>
                <w:vertAlign w:val="superscript"/>
              </w:rPr>
              <w:t xml:space="preserve">+ </w:t>
            </w:r>
            <w:r w:rsidRPr="00AC7AC2">
              <w:rPr>
                <w:b/>
                <w:i/>
              </w:rPr>
              <w:t>Pro</w:t>
            </w:r>
            <w:r w:rsidRPr="00AC7AC2">
              <w:rPr>
                <w:b/>
                <w:i/>
              </w:rPr>
              <w:t xml:space="preserve"> </w:t>
            </w:r>
            <w:r w:rsidRPr="00AC7AC2">
              <w:rPr>
                <w:b/>
                <w:i/>
              </w:rPr>
              <w:t>memoria</w:t>
            </w:r>
            <w:r w:rsidRPr="00AC7AC2">
              <w:rPr>
                <w:b/>
                <w:i/>
              </w:rPr>
              <w:t xml:space="preserve">: Measúnú buiséadach ón gCoiste um </w:t>
            </w:r>
            <w:r w:rsidRPr="00AC7AC2">
              <w:rPr>
                <w:b/>
                <w:i/>
              </w:rPr>
              <w:t>Buiséid de chuid Pharlaimint na hEorpa an 15 Iúil 2026 ar an togra le haghaidh Rialachán ó Pharlaimint na hEorpa agus ón gComhairle lena mbunaítear an tacaíocht ón Aontas don tslándáil inmheánach le haghaidh na tréimhse ó 2028 go 2034 (COM((2025)0542).</w:t>
            </w:r>
          </w:p>
        </w:tc>
      </w:tr>
      <w:tr w14:paraId="50F29922" w14:textId="77777777" w:rsidTr="00EE1FA3">
        <w:tblPrEx>
          <w:tblW w:w="9752" w:type="dxa"/>
          <w:jc w:val="center"/>
          <w:tblLayout w:type="fixed"/>
          <w:tblCellMar>
            <w:left w:w="340" w:type="dxa"/>
            <w:right w:w="340" w:type="dxa"/>
          </w:tblCellMar>
          <w:tblLook w:val="04A0"/>
        </w:tblPrEx>
        <w:trPr>
          <w:jc w:val="center"/>
        </w:trPr>
        <w:tc>
          <w:tcPr>
            <w:tcW w:w="4876" w:type="dxa"/>
          </w:tcPr>
          <w:p w:rsidR="005C15CA" w:rsidRPr="00AC7AC2" w14:paraId="6617CA01" w14:textId="77777777">
            <w:pPr>
              <w:pStyle w:val="Normal6a"/>
            </w:pPr>
          </w:p>
        </w:tc>
        <w:tc>
          <w:tcPr>
            <w:tcW w:w="4876" w:type="dxa"/>
          </w:tcPr>
          <w:p w:rsidR="005C15CA" w:rsidRPr="00AC7AC2" w14:paraId="39AD85CB" w14:textId="77777777">
            <w:pPr>
              <w:pStyle w:val="Normal6a"/>
              <w:rPr>
                <w:b/>
                <w:i/>
              </w:rPr>
            </w:pPr>
            <w:r w:rsidRPr="00AC7AC2">
              <w:rPr>
                <w:b/>
                <w:i/>
                <w:vertAlign w:val="superscript"/>
              </w:rPr>
              <w:t>[1]</w:t>
            </w:r>
            <w:r w:rsidRPr="00AC7AC2">
              <w:rPr>
                <w:b/>
                <w:i/>
              </w:rPr>
              <w:t xml:space="preserve"> Rialachán (AE, Euratom) 2024/2509 ó Pharlaimint na hEorpa agus ón gComhairle an 23 Meán Fómhair 2024 maidir leis na rialacha airgeadais is infheidhme maidir le buiséad ginearálta an Aontais (IO L, 2024/2509, 26.9.2024, ELI: http://data.europa.eu/eli/reg/2024/2509/oj).</w:t>
            </w:r>
          </w:p>
        </w:tc>
      </w:tr>
    </w:tbl>
    <w:p w:rsidR="00237DE4" w:rsidRPr="00AC7AC2" w:rsidP="00237DE4" w14:paraId="05E985C5" w14:textId="77777777">
      <w:pPr>
        <w:rPr>
          <w:rStyle w:val="HideTWBExt"/>
        </w:rPr>
      </w:pPr>
      <w:r w:rsidRPr="00AC7AC2">
        <w:rPr>
          <w:rStyle w:val="HideTWBExt"/>
        </w:rPr>
        <w:t>&lt;/Amend&gt;</w:t>
      </w:r>
    </w:p>
    <w:p w:rsidR="00D27085" w:rsidRPr="00AC7AC2" w:rsidP="00D27085" w14:paraId="6ABD96ED" w14:textId="77777777">
      <w:pPr>
        <w:pStyle w:val="AmNumberTabs"/>
        <w:keepNext/>
      </w:pPr>
      <w:r w:rsidRPr="00AC7AC2">
        <w:rPr>
          <w:rStyle w:val="HideTWBExt"/>
          <w:b w:val="0"/>
        </w:rPr>
        <w:t>&lt;Amend&gt;</w:t>
      </w:r>
      <w:r w:rsidRPr="00AC7AC2">
        <w:t>Leasú</w:t>
      </w:r>
      <w:r w:rsidRPr="00AC7AC2">
        <w:tab/>
      </w:r>
      <w:r w:rsidRPr="00AC7AC2">
        <w:tab/>
      </w:r>
      <w:r w:rsidRPr="00AC7AC2">
        <w:rPr>
          <w:rStyle w:val="HideTWBExt"/>
          <w:b w:val="0"/>
        </w:rPr>
        <w:t>&lt;NumAm&gt;</w:t>
      </w:r>
      <w:r w:rsidRPr="00AC7AC2">
        <w:t>6</w:t>
      </w:r>
      <w:r w:rsidRPr="00AC7AC2">
        <w:rPr>
          <w:rStyle w:val="HideTWBExt"/>
          <w:b w:val="0"/>
        </w:rPr>
        <w:t>&lt;/</w:t>
      </w:r>
      <w:r w:rsidRPr="00AC7AC2">
        <w:rPr>
          <w:rStyle w:val="HideTWBExt"/>
          <w:b w:val="0"/>
        </w:rPr>
        <w:t>NumAm</w:t>
      </w:r>
      <w:r w:rsidRPr="00AC7AC2">
        <w:rPr>
          <w:rStyle w:val="HideTWBExt"/>
          <w:b w:val="0"/>
        </w:rPr>
        <w:t>&gt;</w:t>
      </w:r>
    </w:p>
    <w:p w:rsidR="00EE1FA3" w:rsidRPr="00AC7AC2" w:rsidP="00EE1FA3" w14:paraId="0654036D" w14:textId="77777777">
      <w:pPr>
        <w:pStyle w:val="NormalBold12b"/>
        <w:keepNext/>
      </w:pPr>
      <w:r w:rsidRPr="00AC7AC2">
        <w:rPr>
          <w:rStyle w:val="HideTWBExt"/>
          <w:b w:val="0"/>
        </w:rPr>
        <w:t>&lt;DocAmend&gt;</w:t>
      </w:r>
      <w:r w:rsidRPr="00AC7AC2">
        <w:t>Togra le haghaidh rialacháin</w:t>
      </w:r>
      <w:r w:rsidRPr="00AC7AC2">
        <w:rPr>
          <w:rStyle w:val="HideTWBExt"/>
          <w:b w:val="0"/>
        </w:rPr>
        <w:t>&lt;/</w:t>
      </w:r>
      <w:r w:rsidRPr="00AC7AC2">
        <w:rPr>
          <w:rStyle w:val="HideTWBExt"/>
          <w:b w:val="0"/>
        </w:rPr>
        <w:t>DocAmend</w:t>
      </w:r>
      <w:r w:rsidRPr="00AC7AC2">
        <w:rPr>
          <w:rStyle w:val="HideTWBExt"/>
          <w:b w:val="0"/>
        </w:rPr>
        <w:t>&gt;</w:t>
      </w:r>
    </w:p>
    <w:p w:rsidR="00EE1FA3" w:rsidRPr="00AC7AC2" w:rsidP="00EE1FA3" w14:paraId="601433B4" w14:textId="77777777">
      <w:pPr>
        <w:pStyle w:val="NormalBold"/>
      </w:pPr>
      <w:r w:rsidRPr="00AC7AC2">
        <w:rPr>
          <w:rStyle w:val="HideTWBExt"/>
          <w:b w:val="0"/>
        </w:rPr>
        <w:t>&lt;Article&gt;</w:t>
      </w:r>
      <w:r w:rsidRPr="00AC7AC2">
        <w:t>Airteagal 4 – mír 1</w:t>
      </w:r>
      <w:r w:rsidRPr="00AC7AC2">
        <w:rPr>
          <w:rStyle w:val="HideTWBExt"/>
          <w:b w:val="0"/>
        </w:rPr>
        <w:t>&lt;/</w:t>
      </w:r>
      <w:r w:rsidRPr="00AC7AC2">
        <w:rPr>
          <w:rStyle w:val="HideTWBExt"/>
          <w:b w:val="0"/>
        </w:rPr>
        <w:t>Article</w:t>
      </w:r>
      <w:r w:rsidRPr="00AC7AC2">
        <w:rPr>
          <w:rStyle w:val="HideTWBExt"/>
          <w:b w:val="0"/>
        </w:rPr>
        <w:t>&gt;</w:t>
      </w:r>
    </w:p>
    <w:tbl>
      <w:tblPr>
        <w:tblW w:w="9752" w:type="dxa"/>
        <w:jc w:val="center"/>
        <w:tblLayout w:type="fixed"/>
        <w:tblCellMar>
          <w:left w:w="340" w:type="dxa"/>
          <w:right w:w="340" w:type="dxa"/>
        </w:tblCellMar>
        <w:tblLook w:val="04A0"/>
      </w:tblPr>
      <w:tblGrid>
        <w:gridCol w:w="4876"/>
        <w:gridCol w:w="4876"/>
      </w:tblGrid>
      <w:tr w14:paraId="4A8D2225" w14:textId="77777777" w:rsidTr="00EE1FA3">
        <w:tblPrEx>
          <w:tblW w:w="9752" w:type="dxa"/>
          <w:jc w:val="center"/>
          <w:tblLayout w:type="fixed"/>
          <w:tblCellMar>
            <w:left w:w="340" w:type="dxa"/>
            <w:right w:w="340" w:type="dxa"/>
          </w:tblCellMar>
          <w:tblLook w:val="04A0"/>
        </w:tblPrEx>
        <w:trPr>
          <w:jc w:val="center"/>
        </w:trPr>
        <w:tc>
          <w:tcPr>
            <w:tcW w:w="9752" w:type="dxa"/>
            <w:gridSpan w:val="2"/>
          </w:tcPr>
          <w:p w:rsidR="00EE1FA3" w:rsidRPr="00AC7AC2" w14:paraId="021068B2" w14:textId="77777777">
            <w:pPr>
              <w:keepNext/>
            </w:pPr>
          </w:p>
        </w:tc>
      </w:tr>
      <w:tr w14:paraId="53908C61" w14:textId="77777777" w:rsidTr="00EE1FA3">
        <w:tblPrEx>
          <w:tblW w:w="9752" w:type="dxa"/>
          <w:jc w:val="center"/>
          <w:tblLayout w:type="fixed"/>
          <w:tblCellMar>
            <w:left w:w="340" w:type="dxa"/>
            <w:right w:w="340" w:type="dxa"/>
          </w:tblCellMar>
          <w:tblLook w:val="04A0"/>
        </w:tblPrEx>
        <w:trPr>
          <w:jc w:val="center"/>
        </w:trPr>
        <w:tc>
          <w:tcPr>
            <w:tcW w:w="4876" w:type="dxa"/>
            <w:hideMark/>
          </w:tcPr>
          <w:p w:rsidR="00EE1FA3" w:rsidRPr="00AC7AC2" w14:paraId="2363C91A" w14:textId="77777777">
            <w:pPr>
              <w:pStyle w:val="AmColumnHeading"/>
              <w:keepNext/>
            </w:pPr>
            <w:r w:rsidRPr="00AC7AC2">
              <w:t>Téacs arna mholadh ag an gCoimisiún</w:t>
            </w:r>
          </w:p>
        </w:tc>
        <w:tc>
          <w:tcPr>
            <w:tcW w:w="4876" w:type="dxa"/>
            <w:hideMark/>
          </w:tcPr>
          <w:p w:rsidR="00EE1FA3" w:rsidRPr="00AC7AC2" w14:paraId="4626A4E4" w14:textId="77777777">
            <w:pPr>
              <w:pStyle w:val="AmColumnHeading"/>
              <w:keepNext/>
            </w:pPr>
            <w:r w:rsidRPr="00AC7AC2">
              <w:t>Leasú</w:t>
            </w:r>
          </w:p>
        </w:tc>
      </w:tr>
      <w:tr w14:paraId="3AA6A6A9" w14:textId="77777777" w:rsidTr="00EE1FA3">
        <w:tblPrEx>
          <w:tblW w:w="9752" w:type="dxa"/>
          <w:jc w:val="center"/>
          <w:tblLayout w:type="fixed"/>
          <w:tblCellMar>
            <w:left w:w="340" w:type="dxa"/>
            <w:right w:w="340" w:type="dxa"/>
          </w:tblCellMar>
          <w:tblLook w:val="04A0"/>
        </w:tblPrEx>
        <w:trPr>
          <w:jc w:val="center"/>
        </w:trPr>
        <w:tc>
          <w:tcPr>
            <w:tcW w:w="4876" w:type="dxa"/>
            <w:hideMark/>
          </w:tcPr>
          <w:p w:rsidR="00416DED" w:rsidRPr="00AC7AC2" w:rsidP="00416DED" w14:paraId="6B663F00" w14:textId="77777777">
            <w:pPr>
              <w:pStyle w:val="Normal6a"/>
              <w:rPr>
                <w:b/>
                <w:bCs/>
                <w:i/>
                <w:iCs/>
              </w:rPr>
            </w:pPr>
            <w:r w:rsidRPr="00AC7AC2">
              <w:t xml:space="preserve">Tá an t-imchlúdach </w:t>
            </w:r>
            <w:r w:rsidRPr="00AC7AC2">
              <w:rPr>
                <w:b/>
                <w:bCs/>
                <w:i/>
                <w:iCs/>
              </w:rPr>
              <w:t>airgeadais táscach</w:t>
            </w:r>
            <w:r w:rsidRPr="00AC7AC2">
              <w:rPr>
                <w:b/>
                <w:bCs/>
              </w:rPr>
              <w:t xml:space="preserve"> </w:t>
            </w:r>
            <w:r w:rsidRPr="00AC7AC2">
              <w:t xml:space="preserve">do chur chun feidhme na gcuspóirí a leagtar amach in Airteagal 3 le haghaidh na tréimhse 2028 go 2034 socraithe ag </w:t>
            </w:r>
            <w:r w:rsidRPr="00AC7AC2">
              <w:rPr>
                <w:b/>
                <w:i/>
              </w:rPr>
              <w:t xml:space="preserve">EUR 6 843 331 500 </w:t>
            </w:r>
            <w:r w:rsidRPr="00AC7AC2">
              <w:t>i bpraghsanna reatha.</w:t>
            </w:r>
          </w:p>
          <w:p w:rsidR="00EE1FA3" w:rsidRPr="00AC7AC2" w14:paraId="4C8BD411" w14:textId="77777777">
            <w:pPr>
              <w:pStyle w:val="Normal6a"/>
            </w:pPr>
          </w:p>
        </w:tc>
        <w:tc>
          <w:tcPr>
            <w:tcW w:w="4876" w:type="dxa"/>
            <w:hideMark/>
          </w:tcPr>
          <w:p w:rsidR="00EE1FA3" w:rsidRPr="00AC7AC2" w14:paraId="2B536DC3" w14:textId="77777777">
            <w:pPr>
              <w:pStyle w:val="Normal6a"/>
            </w:pPr>
            <w:r w:rsidRPr="00AC7AC2">
              <w:t xml:space="preserve">Tá imchlúdach an </w:t>
            </w:r>
            <w:r w:rsidRPr="00AC7AC2">
              <w:rPr>
                <w:b/>
                <w:bCs/>
                <w:i/>
                <w:iCs/>
              </w:rPr>
              <w:t>chláir</w:t>
            </w:r>
            <w:r w:rsidRPr="00AC7AC2">
              <w:t xml:space="preserve"> le haghaidh chur chun feidhme na gcuspóirí a leagtar amach in Airteagal 3 don tréimhse ó 2028 go 2034 socraithe ag </w:t>
            </w:r>
            <w:r w:rsidRPr="00AC7AC2">
              <w:rPr>
                <w:b/>
                <w:bCs/>
                <w:i/>
                <w:iCs/>
              </w:rPr>
              <w:t>EUR 7 607 623 000</w:t>
            </w:r>
            <w:r w:rsidRPr="00AC7AC2">
              <w:rPr>
                <w:b/>
                <w:bCs/>
              </w:rPr>
              <w:t xml:space="preserve"> </w:t>
            </w:r>
            <w:r w:rsidRPr="00AC7AC2">
              <w:t xml:space="preserve">i bpraghsanna reatha </w:t>
            </w:r>
            <w:r w:rsidRPr="00AC7AC2">
              <w:rPr>
                <w:b/>
                <w:bCs/>
                <w:i/>
                <w:iCs/>
              </w:rPr>
              <w:t>agus EUR 6 800 000 000 i bpraghsanna 2025.</w:t>
            </w:r>
          </w:p>
        </w:tc>
      </w:tr>
    </w:tbl>
    <w:p w:rsidR="00237DE4" w:rsidRPr="00AC7AC2" w:rsidP="00EC3E24" w14:paraId="26546C8D" w14:textId="77777777">
      <w:pPr>
        <w:rPr>
          <w:rStyle w:val="HideTWBExt"/>
        </w:rPr>
      </w:pPr>
      <w:r w:rsidRPr="00AC7AC2">
        <w:rPr>
          <w:rStyle w:val="HideTWBExt"/>
        </w:rPr>
        <w:t>&lt;/Amend&gt;</w:t>
      </w:r>
    </w:p>
    <w:p w:rsidR="00AE5581" w:rsidRPr="00AC7AC2" w:rsidP="00EC3E24" w14:paraId="0FD517D2" w14:textId="77777777">
      <w:r w:rsidRPr="00AC7AC2">
        <w:rPr>
          <w:rStyle w:val="HideTWBExt"/>
        </w:rPr>
        <w:t>&lt;/RepeatBlock-Amend&gt;</w:t>
      </w:r>
    </w:p>
    <w:p w:rsidR="006076D5" w:rsidRPr="00AC7AC2" w14:paraId="7CFF8869" w14:textId="77777777">
      <w:pPr>
        <w:widowControl/>
        <w:sectPr w:rsidSect="00ED7E3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076D5" w:rsidRPr="00AC7AC2" w14:paraId="72211C07" w14:textId="77777777">
      <w:pPr>
        <w:widowControl/>
      </w:pPr>
    </w:p>
    <w:p w:rsidR="006076D5" w:rsidRPr="00AC7AC2" w14:paraId="7B3D2A5B" w14:textId="77777777">
      <w:pPr>
        <w:pStyle w:val="PageHeadingNotTOC"/>
      </w:pPr>
      <w:bookmarkStart w:id="3" w:name="FootprintPageAD"/>
      <w:r w:rsidRPr="00AC7AC2">
        <w:t>IARSCRÍBHINN: DEARBHÚ IONCHUIR</w:t>
      </w:r>
    </w:p>
    <w:p w:rsidR="006076D5" w:rsidRPr="00AC7AC2" w14:paraId="748EE1F6" w14:textId="77777777">
      <w:pPr>
        <w:pStyle w:val="Normal24a"/>
      </w:pPr>
      <w:r w:rsidRPr="00AC7AC2">
        <w:rPr>
          <w:rStyle w:val="HideTWBExt"/>
        </w:rPr>
        <w:t>&lt;FootprintIntro&gt;</w:t>
      </w:r>
      <w:r w:rsidRPr="00AC7AC2">
        <w:t xml:space="preserve">Dearbhaíonn an </w:t>
      </w:r>
      <w:r w:rsidRPr="00AC7AC2">
        <w:t>rapóirtéir</w:t>
      </w:r>
      <w:r w:rsidRPr="00AC7AC2">
        <w:t xml:space="preserve"> don mheasúnú buiséadach, faoina fhreagracht eisiach, nár chuir sé san áireamh ina mheasúnú buiséadach aon ionchur ó ionadaithe leasa a thagann faoi raon feidhme an Chomhaontaithe </w:t>
      </w:r>
      <w:r w:rsidRPr="00AC7AC2">
        <w:t>Idirinstitiúidigh</w:t>
      </w:r>
      <w:r w:rsidRPr="00AC7AC2">
        <w:t xml:space="preserve"> maidir le clár </w:t>
      </w:r>
      <w:r w:rsidRPr="00AC7AC2">
        <w:t>trédhearcachta</w:t>
      </w:r>
      <w:r w:rsidRPr="00AC7AC2">
        <w:t xml:space="preserve"> </w:t>
      </w:r>
      <w:r w:rsidRPr="00AC7AC2">
        <w:t>sainordaitheach</w:t>
      </w:r>
      <w:r>
        <w:rPr>
          <w:rStyle w:val="FootnoteReference"/>
        </w:rPr>
        <w:footnoteReference w:id="5"/>
      </w:r>
      <w:r w:rsidRPr="00AC7AC2">
        <w:t>, ná ó ionadaithe údarás poiblí tríú tíortha, lena n-áirítear a misin taidhleoireachta agus a n-</w:t>
      </w:r>
      <w:r w:rsidRPr="00AC7AC2">
        <w:t>ambasáidí</w:t>
      </w:r>
      <w:r w:rsidRPr="00AC7AC2">
        <w:t>, atá le liostú san Iarscríbhinn seo de bhun Airteagal 8 d’Iarscríbhinn I a ghabhann leis na Rialacha Nós Imeachta.</w:t>
      </w:r>
      <w:r w:rsidRPr="00AC7AC2">
        <w:rPr>
          <w:rStyle w:val="HideTWBExt"/>
        </w:rPr>
        <w:t>&lt;/</w:t>
      </w:r>
      <w:r w:rsidRPr="00AC7AC2">
        <w:rPr>
          <w:rStyle w:val="HideTWBExt"/>
        </w:rPr>
        <w:t>FootprintIntro</w:t>
      </w:r>
      <w:r w:rsidRPr="00AC7AC2">
        <w:rPr>
          <w:rStyle w:val="HideTWBExt"/>
        </w:rPr>
        <w:t>&gt;</w:t>
      </w:r>
    </w:p>
    <w:bookmarkEnd w:id="3"/>
    <w:p w:rsidR="00EC3E24" w:rsidRPr="00AC7AC2" w:rsidP="00ED7E33" w14:paraId="287F92C7" w14:textId="77777777"/>
    <w:p w:rsidR="00ED7E33" w:rsidRPr="00AC7AC2" w:rsidP="00ED7E33" w14:paraId="412EB23C" w14:textId="77777777">
      <w:pPr>
        <w:sectPr w:rsidSect="00ED7E3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D7E33" w:rsidRPr="00AC7AC2" w:rsidP="00ED7E33" w14:paraId="37788EC0" w14:textId="77777777">
      <w:pPr>
        <w:pStyle w:val="PageHeadingNotTOC"/>
      </w:pPr>
      <w:bookmarkStart w:id="4" w:name="ProcPageAD"/>
      <w:r w:rsidRPr="00AC7AC2">
        <w:t>NÓS IMEACHTA - COISTE AR IARRADH MEASÚNÚ BUISÉADACH AIR</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4F52EF44"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D7E33" w:rsidRPr="00AC7AC2" w14:paraId="27092542" w14:textId="77777777">
            <w:pPr>
              <w:autoSpaceDE w:val="0"/>
              <w:autoSpaceDN w:val="0"/>
              <w:adjustRightInd w:val="0"/>
              <w:rPr>
                <w:b/>
                <w:bCs/>
                <w:sz w:val="20"/>
              </w:rPr>
            </w:pPr>
            <w:r w:rsidRPr="00AC7AC2">
              <w:rPr>
                <w:b/>
                <w:sz w:val="20"/>
              </w:rPr>
              <w:t>Teideal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D7E33" w:rsidRPr="00AC7AC2" w14:paraId="24E70FB9" w14:textId="77777777">
            <w:pPr>
              <w:autoSpaceDE w:val="0"/>
              <w:autoSpaceDN w:val="0"/>
              <w:adjustRightInd w:val="0"/>
              <w:rPr>
                <w:sz w:val="20"/>
              </w:rPr>
            </w:pPr>
            <w:r w:rsidRPr="00AC7AC2">
              <w:rPr>
                <w:sz w:val="20"/>
              </w:rPr>
              <w:t>Tacaíocht ón Aontas don tslándáil inmheánach a bhunú le haghaidh na tréimhse ó 2028 go 2034</w:t>
            </w:r>
          </w:p>
        </w:tc>
      </w:tr>
      <w:tr w14:paraId="60CA7C31"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D7E33" w:rsidRPr="00AC7AC2" w14:paraId="3BB1F359" w14:textId="77777777">
            <w:pPr>
              <w:autoSpaceDE w:val="0"/>
              <w:autoSpaceDN w:val="0"/>
              <w:adjustRightInd w:val="0"/>
              <w:rPr>
                <w:b/>
                <w:bCs/>
                <w:sz w:val="20"/>
              </w:rPr>
            </w:pPr>
            <w:r w:rsidRPr="00AC7AC2">
              <w:rPr>
                <w:b/>
                <w:sz w:val="20"/>
              </w:rPr>
              <w:t>Tagairtí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D7E33" w:rsidRPr="00AC7AC2" w14:paraId="34D16989" w14:textId="77777777">
            <w:pPr>
              <w:autoSpaceDE w:val="0"/>
              <w:autoSpaceDN w:val="0"/>
              <w:adjustRightInd w:val="0"/>
              <w:rPr>
                <w:sz w:val="20"/>
              </w:rPr>
            </w:pPr>
            <w:r w:rsidRPr="00AC7AC2">
              <w:rPr>
                <w:sz w:val="20"/>
              </w:rPr>
              <w:t>COM(2025)0542 – C10-0178/2025 – 2025/0542(COD)</w:t>
            </w:r>
          </w:p>
        </w:tc>
      </w:tr>
      <w:tr w14:paraId="2EB56E35"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D7E33" w:rsidRPr="00AC7AC2" w14:paraId="530B5252" w14:textId="77777777">
            <w:pPr>
              <w:autoSpaceDE w:val="0"/>
              <w:autoSpaceDN w:val="0"/>
              <w:adjustRightInd w:val="0"/>
              <w:rPr>
                <w:b/>
                <w:bCs/>
                <w:sz w:val="20"/>
              </w:rPr>
            </w:pPr>
            <w:r w:rsidRPr="00AC7AC2">
              <w:rPr>
                <w:b/>
                <w:sz w:val="20"/>
              </w:rPr>
              <w:t xml:space="preserve">An </w:t>
            </w:r>
            <w:r w:rsidRPr="00AC7AC2">
              <w:rPr>
                <w:b/>
                <w:sz w:val="20"/>
              </w:rPr>
              <w:t>Coiste Freagrach/Na coistí freagracha</w:t>
            </w:r>
          </w:p>
          <w:p w:rsidR="00ED7E33" w:rsidRPr="00AC7AC2" w14:paraId="7461EA8E" w14:textId="77777777">
            <w:pPr>
              <w:autoSpaceDE w:val="0"/>
              <w:autoSpaceDN w:val="0"/>
              <w:adjustRightInd w:val="0"/>
              <w:rPr>
                <w:sz w:val="20"/>
              </w:rPr>
            </w:pPr>
            <w:r w:rsidRPr="00AC7AC2">
              <w:rPr>
                <w:sz w:val="20"/>
              </w:rPr>
              <w:t>       Dáta a fógraíodh sa suí iomlánach</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D7E33" w:rsidRPr="00AC7AC2" w14:paraId="6B703076" w14:textId="77777777">
            <w:pPr>
              <w:autoSpaceDE w:val="0"/>
              <w:autoSpaceDN w:val="0"/>
              <w:adjustRightInd w:val="0"/>
              <w:rPr>
                <w:sz w:val="20"/>
              </w:rPr>
            </w:pPr>
            <w:r w:rsidRPr="00AC7AC2">
              <w:rPr>
                <w:sz w:val="20"/>
              </w:rPr>
              <w:t>LIBE</w:t>
            </w:r>
          </w:p>
          <w:p w:rsidR="00ED7E33" w:rsidRPr="00AC7AC2" w14:paraId="4A0007D7" w14:textId="77777777">
            <w:pPr>
              <w:autoSpaceDE w:val="0"/>
              <w:autoSpaceDN w:val="0"/>
              <w:adjustRightInd w:val="0"/>
              <w:rPr>
                <w:sz w:val="20"/>
              </w:rPr>
            </w:pPr>
            <w:r w:rsidRPr="00AC7AC2">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D7E33" w:rsidRPr="00AC7AC2" w14:paraId="7E39AF60"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D7E33" w:rsidRPr="00AC7AC2" w14:paraId="0609E1C7"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D7E33" w:rsidRPr="00AC7AC2" w14:paraId="442731FC" w14:textId="77777777">
            <w:pPr>
              <w:autoSpaceDE w:val="0"/>
              <w:autoSpaceDN w:val="0"/>
              <w:adjustRightInd w:val="0"/>
              <w:rPr>
                <w:rFonts w:ascii="sans-serif" w:hAnsi="sans-serif" w:cs="sans-serif"/>
              </w:rPr>
            </w:pPr>
          </w:p>
        </w:tc>
      </w:tr>
      <w:tr w14:paraId="35D1472D"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D7E33" w:rsidRPr="00AC7AC2" w14:paraId="0151C30C" w14:textId="77777777">
            <w:pPr>
              <w:autoSpaceDE w:val="0"/>
              <w:autoSpaceDN w:val="0"/>
              <w:adjustRightInd w:val="0"/>
              <w:rPr>
                <w:b/>
                <w:bCs/>
                <w:sz w:val="20"/>
              </w:rPr>
            </w:pPr>
            <w:r w:rsidRPr="00AC7AC2">
              <w:rPr>
                <w:b/>
                <w:sz w:val="20"/>
              </w:rPr>
              <w:t>Measúnú buiséadach ó</w:t>
            </w:r>
          </w:p>
          <w:p w:rsidR="00ED7E33" w:rsidRPr="00AC7AC2" w14:paraId="38B44407" w14:textId="77777777">
            <w:pPr>
              <w:autoSpaceDE w:val="0"/>
              <w:autoSpaceDN w:val="0"/>
              <w:adjustRightInd w:val="0"/>
              <w:rPr>
                <w:sz w:val="20"/>
              </w:rPr>
            </w:pPr>
            <w:r w:rsidRPr="00AC7AC2">
              <w:rPr>
                <w:sz w:val="20"/>
              </w:rPr>
              <w:t>       Dáta a fógraíodh sa suí iomlánach</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D7E33" w:rsidRPr="00AC7AC2" w14:paraId="76A2A1DF" w14:textId="77777777">
            <w:pPr>
              <w:autoSpaceDE w:val="0"/>
              <w:autoSpaceDN w:val="0"/>
              <w:adjustRightInd w:val="0"/>
              <w:rPr>
                <w:sz w:val="20"/>
              </w:rPr>
            </w:pPr>
            <w:r w:rsidRPr="00AC7AC2">
              <w:rPr>
                <w:sz w:val="20"/>
              </w:rPr>
              <w:t>BUDG</w:t>
            </w:r>
          </w:p>
          <w:p w:rsidR="00ED7E33" w:rsidRPr="00AC7AC2" w14:paraId="5828F1CE" w14:textId="77777777">
            <w:pPr>
              <w:autoSpaceDE w:val="0"/>
              <w:autoSpaceDN w:val="0"/>
              <w:adjustRightInd w:val="0"/>
              <w:rPr>
                <w:sz w:val="20"/>
              </w:rPr>
            </w:pPr>
            <w:r w:rsidRPr="00AC7AC2">
              <w:rPr>
                <w:sz w:val="20"/>
              </w:rPr>
              <w:t>23.10.2025</w:t>
            </w:r>
          </w:p>
        </w:tc>
      </w:tr>
      <w:tr w14:paraId="4FD7BC4B"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D7E33" w:rsidRPr="00AC7AC2" w14:paraId="38A44CEF" w14:textId="77777777">
            <w:pPr>
              <w:autoSpaceDE w:val="0"/>
              <w:autoSpaceDN w:val="0"/>
              <w:adjustRightInd w:val="0"/>
              <w:rPr>
                <w:b/>
                <w:bCs/>
                <w:sz w:val="20"/>
              </w:rPr>
            </w:pPr>
            <w:r w:rsidRPr="00AC7AC2">
              <w:rPr>
                <w:b/>
                <w:sz w:val="20"/>
              </w:rPr>
              <w:t>Rapóirtéir don mheasúnú buiséadach</w:t>
            </w:r>
          </w:p>
          <w:p w:rsidR="00ED7E33" w:rsidRPr="00AC7AC2" w14:paraId="12284086" w14:textId="77777777">
            <w:pPr>
              <w:autoSpaceDE w:val="0"/>
              <w:autoSpaceDN w:val="0"/>
              <w:adjustRightInd w:val="0"/>
              <w:rPr>
                <w:sz w:val="20"/>
              </w:rPr>
            </w:pPr>
            <w:r w:rsidRPr="00AC7AC2">
              <w:rPr>
                <w:sz w:val="20"/>
              </w:rPr>
              <w:t>       Dáta an cheapacháin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D7E33" w:rsidRPr="00AC7AC2" w14:paraId="2D400409" w14:textId="77777777">
            <w:pPr>
              <w:autoSpaceDE w:val="0"/>
              <w:autoSpaceDN w:val="0"/>
              <w:adjustRightInd w:val="0"/>
              <w:rPr>
                <w:sz w:val="20"/>
              </w:rPr>
            </w:pPr>
            <w:r w:rsidRPr="00AC7AC2">
              <w:rPr>
                <w:sz w:val="20"/>
              </w:rPr>
              <w:t>Andrzej</w:t>
            </w:r>
            <w:r w:rsidRPr="00AC7AC2">
              <w:rPr>
                <w:sz w:val="20"/>
              </w:rPr>
              <w:t xml:space="preserve"> </w:t>
            </w:r>
            <w:r w:rsidRPr="00AC7AC2">
              <w:rPr>
                <w:sz w:val="20"/>
              </w:rPr>
              <w:t>Halicki</w:t>
            </w:r>
          </w:p>
          <w:p w:rsidR="00ED7E33" w:rsidRPr="00AC7AC2" w14:paraId="0BE79F52" w14:textId="77777777">
            <w:pPr>
              <w:autoSpaceDE w:val="0"/>
              <w:autoSpaceDN w:val="0"/>
              <w:adjustRightInd w:val="0"/>
              <w:rPr>
                <w:sz w:val="20"/>
              </w:rPr>
            </w:pPr>
            <w:r w:rsidRPr="00AC7AC2">
              <w:rPr>
                <w:sz w:val="20"/>
              </w:rPr>
              <w:t>21.1.2026</w:t>
            </w:r>
          </w:p>
        </w:tc>
      </w:tr>
      <w:tr w14:paraId="5C2A0671"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D7E33" w:rsidRPr="00AC7AC2" w14:paraId="225F693B" w14:textId="77777777">
            <w:pPr>
              <w:autoSpaceDE w:val="0"/>
              <w:autoSpaceDN w:val="0"/>
              <w:adjustRightInd w:val="0"/>
              <w:rPr>
                <w:b/>
                <w:bCs/>
                <w:sz w:val="20"/>
              </w:rPr>
            </w:pPr>
            <w:r w:rsidRPr="00AC7AC2">
              <w:rPr>
                <w:b/>
                <w:sz w:val="20"/>
              </w:rPr>
              <w:t>Pléite sa choiste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D7E33" w:rsidRPr="00AC7AC2" w14:paraId="4154CA0F" w14:textId="77777777">
            <w:pPr>
              <w:autoSpaceDE w:val="0"/>
              <w:autoSpaceDN w:val="0"/>
              <w:adjustRightInd w:val="0"/>
              <w:rPr>
                <w:sz w:val="20"/>
              </w:rPr>
            </w:pPr>
            <w:r w:rsidRPr="00AC7AC2">
              <w:rPr>
                <w:sz w:val="20"/>
              </w:rPr>
              <w:t>6.5.2026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D7E33" w:rsidRPr="00AC7AC2" w14:paraId="6CD8822E"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D7E33" w:rsidRPr="00AC7AC2" w14:paraId="49070BA8"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D7E33" w:rsidRPr="00AC7AC2" w14:paraId="2E570A11" w14:textId="77777777">
            <w:pPr>
              <w:autoSpaceDE w:val="0"/>
              <w:autoSpaceDN w:val="0"/>
              <w:adjustRightInd w:val="0"/>
              <w:rPr>
                <w:rFonts w:ascii="sans-serif" w:hAnsi="sans-serif" w:cs="sans-serif"/>
              </w:rPr>
            </w:pPr>
          </w:p>
        </w:tc>
      </w:tr>
      <w:tr w14:paraId="13D70D23"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D7E33" w:rsidRPr="00AC7AC2" w14:paraId="5345F5D7" w14:textId="77777777">
            <w:pPr>
              <w:autoSpaceDE w:val="0"/>
              <w:autoSpaceDN w:val="0"/>
              <w:adjustRightInd w:val="0"/>
              <w:rPr>
                <w:b/>
                <w:bCs/>
                <w:sz w:val="20"/>
              </w:rPr>
            </w:pPr>
            <w:r w:rsidRPr="00AC7AC2">
              <w:rPr>
                <w:b/>
                <w:sz w:val="20"/>
              </w:rPr>
              <w:t>Dáta an ghlactha</w:t>
            </w:r>
          </w:p>
        </w:tc>
        <w:tc>
          <w:tcPr>
            <w:tcW w:w="1530" w:type="dxa"/>
            <w:tcBorders>
              <w:top w:val="nil"/>
              <w:left w:val="nil"/>
              <w:bottom w:val="single" w:sz="8" w:space="0" w:color="000000"/>
              <w:right w:val="nil"/>
            </w:tcBorders>
            <w:tcMar>
              <w:top w:w="79" w:type="dxa"/>
              <w:left w:w="79" w:type="dxa"/>
              <w:bottom w:w="79" w:type="dxa"/>
              <w:right w:w="79" w:type="dxa"/>
            </w:tcMar>
          </w:tcPr>
          <w:p w:rsidR="00ED7E33" w:rsidRPr="00AC7AC2" w14:paraId="3DF51C50" w14:textId="77777777">
            <w:pPr>
              <w:autoSpaceDE w:val="0"/>
              <w:autoSpaceDN w:val="0"/>
              <w:adjustRightInd w:val="0"/>
              <w:rPr>
                <w:sz w:val="20"/>
              </w:rPr>
            </w:pPr>
            <w:r w:rsidRPr="00AC7AC2">
              <w:rPr>
                <w:sz w:val="20"/>
              </w:rPr>
              <w:t>15.7.2026</w:t>
            </w:r>
          </w:p>
        </w:tc>
        <w:tc>
          <w:tcPr>
            <w:tcW w:w="1474" w:type="dxa"/>
            <w:tcBorders>
              <w:top w:val="nil"/>
              <w:left w:val="nil"/>
              <w:bottom w:val="single" w:sz="8" w:space="0" w:color="000000"/>
              <w:right w:val="nil"/>
            </w:tcBorders>
            <w:tcMar>
              <w:top w:w="79" w:type="dxa"/>
              <w:left w:w="79" w:type="dxa"/>
              <w:bottom w:w="79" w:type="dxa"/>
              <w:right w:w="79" w:type="dxa"/>
            </w:tcMar>
          </w:tcPr>
          <w:p w:rsidR="00ED7E33" w:rsidRPr="00AC7AC2" w14:paraId="7F4BEF6B"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ED7E33" w:rsidRPr="00AC7AC2" w14:paraId="1F2CCB38"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ED7E33" w:rsidRPr="00AC7AC2" w14:paraId="147CD3D3" w14:textId="77777777">
            <w:pPr>
              <w:autoSpaceDE w:val="0"/>
              <w:autoSpaceDN w:val="0"/>
              <w:adjustRightInd w:val="0"/>
              <w:rPr>
                <w:rFonts w:ascii="sans-serif" w:hAnsi="sans-serif" w:cs="sans-serif"/>
              </w:rPr>
            </w:pPr>
          </w:p>
        </w:tc>
      </w:tr>
      <w:tr w14:paraId="5566969A"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D7E33" w:rsidRPr="00AC7AC2" w14:paraId="3C1FB621" w14:textId="77777777">
            <w:pPr>
              <w:autoSpaceDE w:val="0"/>
              <w:autoSpaceDN w:val="0"/>
              <w:adjustRightInd w:val="0"/>
              <w:rPr>
                <w:b/>
                <w:bCs/>
                <w:sz w:val="20"/>
              </w:rPr>
            </w:pPr>
            <w:r w:rsidRPr="00AC7AC2">
              <w:rPr>
                <w:b/>
                <w:sz w:val="20"/>
              </w:rPr>
              <w:t xml:space="preserve">Toradh na vótála </w:t>
            </w:r>
            <w:r w:rsidRPr="00AC7AC2">
              <w:rPr>
                <w:b/>
                <w:sz w:val="20"/>
              </w:rPr>
              <w:t>críochnaithí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D7E33" w:rsidRPr="00AC7AC2" w14:paraId="279AF598" w14:textId="77777777">
            <w:pPr>
              <w:autoSpaceDE w:val="0"/>
              <w:autoSpaceDN w:val="0"/>
              <w:adjustRightInd w:val="0"/>
              <w:rPr>
                <w:sz w:val="20"/>
              </w:rPr>
            </w:pPr>
            <w:r w:rsidRPr="00AC7AC2">
              <w:rPr>
                <w:sz w:val="20"/>
              </w:rPr>
              <w:t>+:</w:t>
            </w:r>
          </w:p>
          <w:p w:rsidR="00ED7E33" w:rsidRPr="00AC7AC2" w14:paraId="7ECC8761" w14:textId="77777777">
            <w:pPr>
              <w:autoSpaceDE w:val="0"/>
              <w:autoSpaceDN w:val="0"/>
              <w:adjustRightInd w:val="0"/>
              <w:rPr>
                <w:sz w:val="20"/>
              </w:rPr>
            </w:pPr>
            <w:r w:rsidRPr="00AC7AC2">
              <w:rPr>
                <w:sz w:val="20"/>
              </w:rPr>
              <w:t>–:</w:t>
            </w:r>
          </w:p>
          <w:p w:rsidR="00ED7E33" w:rsidRPr="00AC7AC2" w14:paraId="0772992A" w14:textId="77777777">
            <w:pPr>
              <w:autoSpaceDE w:val="0"/>
              <w:autoSpaceDN w:val="0"/>
              <w:adjustRightInd w:val="0"/>
              <w:rPr>
                <w:sz w:val="20"/>
              </w:rPr>
            </w:pPr>
            <w:r w:rsidRPr="00AC7AC2">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D7E33" w:rsidRPr="00AC7AC2" w14:paraId="526A9CB9" w14:textId="77777777">
            <w:pPr>
              <w:autoSpaceDE w:val="0"/>
              <w:autoSpaceDN w:val="0"/>
              <w:adjustRightInd w:val="0"/>
              <w:rPr>
                <w:sz w:val="20"/>
              </w:rPr>
            </w:pPr>
            <w:r w:rsidRPr="00AC7AC2">
              <w:rPr>
                <w:sz w:val="20"/>
              </w:rPr>
              <w:t>27</w:t>
            </w:r>
          </w:p>
          <w:p w:rsidR="00ED7E33" w:rsidRPr="00AC7AC2" w14:paraId="5F0B5573" w14:textId="77777777">
            <w:pPr>
              <w:autoSpaceDE w:val="0"/>
              <w:autoSpaceDN w:val="0"/>
              <w:adjustRightInd w:val="0"/>
              <w:rPr>
                <w:sz w:val="20"/>
              </w:rPr>
            </w:pPr>
            <w:r w:rsidRPr="00AC7AC2">
              <w:rPr>
                <w:sz w:val="20"/>
              </w:rPr>
              <w:t>1</w:t>
            </w:r>
          </w:p>
          <w:p w:rsidR="00ED7E33" w:rsidRPr="00AC7AC2" w14:paraId="50D9FA5D" w14:textId="77777777">
            <w:pPr>
              <w:autoSpaceDE w:val="0"/>
              <w:autoSpaceDN w:val="0"/>
              <w:adjustRightInd w:val="0"/>
              <w:rPr>
                <w:sz w:val="20"/>
              </w:rPr>
            </w:pPr>
            <w:r w:rsidRPr="00AC7AC2">
              <w:rPr>
                <w:sz w:val="20"/>
              </w:rPr>
              <w:t>3</w:t>
            </w:r>
          </w:p>
        </w:tc>
      </w:tr>
    </w:tbl>
    <w:p w:rsidR="00ED7E33" w:rsidRPr="00AC7AC2" w:rsidP="00ED7E33" w14:paraId="5BAC8376" w14:textId="77777777"/>
    <w:bookmarkEnd w:id="4"/>
    <w:p w:rsidR="00ED7E33" w:rsidRPr="00AC7AC2" w:rsidP="00ED7E33" w14:paraId="043C26D4" w14:textId="77777777">
      <w:pPr>
        <w:sectPr w:rsidSect="00ED7E33">
          <w:pgSz w:w="11894" w:h="15840"/>
          <w:pgMar w:top="1700" w:right="1417" w:bottom="1417" w:left="1417" w:header="720" w:footer="720" w:gutter="0"/>
          <w:cols w:space="720"/>
          <w:noEndnote/>
          <w:docGrid w:linePitch="326"/>
        </w:sectPr>
      </w:pPr>
    </w:p>
    <w:p w:rsidR="00ED7E33" w:rsidRPr="00AC7AC2" w14:paraId="12AA4825" w14:textId="77777777">
      <w:pPr>
        <w:pStyle w:val="PageHeadingNotTOC"/>
      </w:pPr>
      <w:bookmarkStart w:id="5" w:name="RollCallPageAD"/>
      <w:r w:rsidRPr="00AC7AC2">
        <w:t>VÓTÁIL CHRÍOCHNAITHEACH LE GLAOCH ROLLA</w:t>
      </w:r>
      <w:r w:rsidRPr="00AC7AC2">
        <w:br/>
        <w:t>SA CHOISTE AR IARRADH MEASÚNÚ BUISÉADACH AIR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4FBF087" w14:textId="77777777">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D7E33" w:rsidRPr="00AC7AC2" w14:paraId="299E5E9A" w14:textId="77777777">
            <w:pPr>
              <w:pStyle w:val="RollCallVotes"/>
            </w:pPr>
            <w:r w:rsidRPr="00AC7AC2">
              <w:t>27</w:t>
            </w:r>
          </w:p>
        </w:tc>
        <w:tc>
          <w:tcPr>
            <w:tcW w:w="7371" w:type="dxa"/>
            <w:shd w:val="pct10" w:color="000000" w:fill="FFFFFF"/>
          </w:tcPr>
          <w:p w:rsidR="00ED7E33" w:rsidRPr="00AC7AC2" w14:paraId="3BA00566" w14:textId="77777777">
            <w:pPr>
              <w:pStyle w:val="RollCallSymbols14pt"/>
            </w:pPr>
            <w:r w:rsidRPr="00AC7AC2">
              <w:t>+</w:t>
            </w:r>
          </w:p>
        </w:tc>
      </w:tr>
      <w:tr w14:paraId="72F8CDF2" w14:textId="77777777">
        <w:tblPrEx>
          <w:tblW w:w="0" w:type="auto"/>
          <w:tblInd w:w="145" w:type="dxa"/>
          <w:tblLayout w:type="fixed"/>
          <w:tblCellMar>
            <w:left w:w="145" w:type="dxa"/>
            <w:right w:w="145" w:type="dxa"/>
          </w:tblCellMar>
          <w:tblLook w:val="0000"/>
        </w:tblPrEx>
        <w:trPr>
          <w:cantSplit/>
        </w:trPr>
        <w:tc>
          <w:tcPr>
            <w:tcW w:w="1701" w:type="dxa"/>
            <w:shd w:val="clear" w:color="auto" w:fill="FFFFFF"/>
          </w:tcPr>
          <w:p w:rsidR="00ED7E33" w:rsidRPr="00AC7AC2" w14:paraId="50470FAF" w14:textId="02FF76CC">
            <w:pPr>
              <w:pStyle w:val="RollCallTable"/>
            </w:pPr>
            <w:r w:rsidRPr="00AC7AC2">
              <w:t>ECR</w:t>
            </w:r>
          </w:p>
        </w:tc>
        <w:tc>
          <w:tcPr>
            <w:tcW w:w="7371" w:type="dxa"/>
            <w:shd w:val="clear" w:color="auto" w:fill="FFFFFF"/>
          </w:tcPr>
          <w:p w:rsidR="00ED7E33" w:rsidRPr="00AC7AC2" w14:paraId="51317F98" w14:textId="77777777">
            <w:pPr>
              <w:pStyle w:val="RollCallTable"/>
            </w:pPr>
            <w:r w:rsidRPr="00AC7AC2">
              <w:t>Ruggero</w:t>
            </w:r>
            <w:r w:rsidRPr="00AC7AC2">
              <w:t xml:space="preserve"> </w:t>
            </w:r>
            <w:r w:rsidRPr="00AC7AC2">
              <w:t>Razza</w:t>
            </w:r>
          </w:p>
        </w:tc>
      </w:tr>
      <w:tr w14:paraId="6DF0E266" w14:textId="77777777">
        <w:tblPrEx>
          <w:tblW w:w="0" w:type="auto"/>
          <w:tblInd w:w="145" w:type="dxa"/>
          <w:tblLayout w:type="fixed"/>
          <w:tblCellMar>
            <w:left w:w="145" w:type="dxa"/>
            <w:right w:w="145" w:type="dxa"/>
          </w:tblCellMar>
          <w:tblLook w:val="0000"/>
        </w:tblPrEx>
        <w:trPr>
          <w:cantSplit/>
        </w:trPr>
        <w:tc>
          <w:tcPr>
            <w:tcW w:w="1701" w:type="dxa"/>
            <w:shd w:val="clear" w:color="auto" w:fill="FFFFFF"/>
          </w:tcPr>
          <w:p w:rsidR="00ED7E33" w:rsidRPr="00AC7AC2" w14:paraId="4E01B40D" w14:textId="1E1BC9C9">
            <w:pPr>
              <w:pStyle w:val="RollCallTable"/>
            </w:pPr>
            <w:r w:rsidRPr="00AC7AC2">
              <w:t>NI</w:t>
            </w:r>
          </w:p>
        </w:tc>
        <w:tc>
          <w:tcPr>
            <w:tcW w:w="7371" w:type="dxa"/>
            <w:shd w:val="clear" w:color="auto" w:fill="FFFFFF"/>
          </w:tcPr>
          <w:p w:rsidR="00ED7E33" w:rsidRPr="00AC7AC2" w14:paraId="3265295F" w14:textId="77777777">
            <w:pPr>
              <w:pStyle w:val="RollCallTable"/>
            </w:pPr>
            <w:r w:rsidRPr="00AC7AC2">
              <w:t xml:space="preserve">Thomas </w:t>
            </w:r>
            <w:r w:rsidRPr="00AC7AC2">
              <w:t>Geisel</w:t>
            </w:r>
          </w:p>
        </w:tc>
      </w:tr>
      <w:tr w14:paraId="592D00B5" w14:textId="77777777">
        <w:tblPrEx>
          <w:tblW w:w="0" w:type="auto"/>
          <w:tblInd w:w="145" w:type="dxa"/>
          <w:tblLayout w:type="fixed"/>
          <w:tblCellMar>
            <w:left w:w="145" w:type="dxa"/>
            <w:right w:w="145" w:type="dxa"/>
          </w:tblCellMar>
          <w:tblLook w:val="0000"/>
        </w:tblPrEx>
        <w:trPr>
          <w:cantSplit/>
        </w:trPr>
        <w:tc>
          <w:tcPr>
            <w:tcW w:w="1701" w:type="dxa"/>
            <w:shd w:val="clear" w:color="auto" w:fill="FFFFFF"/>
          </w:tcPr>
          <w:p w:rsidR="00ED7E33" w:rsidRPr="00AC7AC2" w14:paraId="4D2A486F" w14:textId="75642A75">
            <w:pPr>
              <w:pStyle w:val="RollCallTable"/>
            </w:pPr>
            <w:r w:rsidRPr="00AC7AC2">
              <w:t>PPE</w:t>
            </w:r>
          </w:p>
        </w:tc>
        <w:tc>
          <w:tcPr>
            <w:tcW w:w="7371" w:type="dxa"/>
            <w:shd w:val="clear" w:color="auto" w:fill="FFFFFF"/>
          </w:tcPr>
          <w:p w:rsidR="00ED7E33" w:rsidRPr="00AC7AC2" w14:paraId="6A299B05" w14:textId="77777777">
            <w:pPr>
              <w:pStyle w:val="RollCallTable"/>
            </w:pPr>
            <w:r w:rsidRPr="00AC7AC2">
              <w:t>Georgios</w:t>
            </w:r>
            <w:r w:rsidRPr="00AC7AC2">
              <w:t xml:space="preserve"> </w:t>
            </w:r>
            <w:r w:rsidRPr="00AC7AC2">
              <w:t>Aftias</w:t>
            </w:r>
            <w:r w:rsidRPr="00AC7AC2">
              <w:t xml:space="preserve">, </w:t>
            </w:r>
            <w:r w:rsidRPr="00AC7AC2">
              <w:t>Michalis</w:t>
            </w:r>
            <w:r w:rsidRPr="00AC7AC2">
              <w:t xml:space="preserve"> </w:t>
            </w:r>
            <w:r w:rsidRPr="00AC7AC2">
              <w:t>Hadjipantela</w:t>
            </w:r>
            <w:r w:rsidRPr="00AC7AC2">
              <w:t xml:space="preserve">, </w:t>
            </w:r>
            <w:r w:rsidRPr="00AC7AC2">
              <w:t>Monika</w:t>
            </w:r>
            <w:r w:rsidRPr="00AC7AC2">
              <w:t xml:space="preserve"> </w:t>
            </w:r>
            <w:r w:rsidRPr="00AC7AC2">
              <w:t>Hohlmeier</w:t>
            </w:r>
            <w:r w:rsidRPr="00AC7AC2">
              <w:t xml:space="preserve">, </w:t>
            </w:r>
            <w:r w:rsidRPr="00AC7AC2">
              <w:t>Kinga</w:t>
            </w:r>
            <w:r w:rsidRPr="00AC7AC2">
              <w:t xml:space="preserve"> </w:t>
            </w:r>
            <w:r w:rsidRPr="00AC7AC2">
              <w:t>Kollár</w:t>
            </w:r>
            <w:r w:rsidRPr="00AC7AC2">
              <w:t xml:space="preserve">, </w:t>
            </w:r>
            <w:r w:rsidRPr="00AC7AC2">
              <w:t>Janusz</w:t>
            </w:r>
            <w:r w:rsidRPr="00AC7AC2">
              <w:t xml:space="preserve"> </w:t>
            </w:r>
            <w:r w:rsidRPr="00AC7AC2">
              <w:t>Lewandowski</w:t>
            </w:r>
            <w:r w:rsidRPr="00AC7AC2">
              <w:t xml:space="preserve">, </w:t>
            </w:r>
            <w:r w:rsidRPr="00AC7AC2">
              <w:t>Danuše</w:t>
            </w:r>
            <w:r w:rsidRPr="00AC7AC2">
              <w:t xml:space="preserve"> </w:t>
            </w:r>
            <w:r w:rsidRPr="00AC7AC2">
              <w:t>Nerudová</w:t>
            </w:r>
            <w:r w:rsidRPr="00AC7AC2">
              <w:t xml:space="preserve">, </w:t>
            </w:r>
            <w:r w:rsidRPr="00AC7AC2">
              <w:t>Jacek</w:t>
            </w:r>
            <w:r w:rsidRPr="00AC7AC2">
              <w:t xml:space="preserve"> </w:t>
            </w:r>
            <w:r w:rsidRPr="00AC7AC2">
              <w:t>Protas</w:t>
            </w:r>
            <w:r w:rsidRPr="00AC7AC2">
              <w:t xml:space="preserve">, </w:t>
            </w:r>
            <w:r w:rsidRPr="00AC7AC2">
              <w:t>Jüri</w:t>
            </w:r>
            <w:r w:rsidRPr="00AC7AC2">
              <w:t xml:space="preserve"> </w:t>
            </w:r>
            <w:r w:rsidRPr="00AC7AC2">
              <w:t>Ratas</w:t>
            </w:r>
            <w:r w:rsidRPr="00AC7AC2">
              <w:t xml:space="preserve">, </w:t>
            </w:r>
            <w:r w:rsidRPr="00AC7AC2">
              <w:t>Karlo</w:t>
            </w:r>
            <w:r w:rsidRPr="00AC7AC2">
              <w:t xml:space="preserve"> </w:t>
            </w:r>
            <w:r w:rsidRPr="00AC7AC2">
              <w:t>Ressler</w:t>
            </w:r>
            <w:r w:rsidRPr="00AC7AC2">
              <w:t xml:space="preserve">, </w:t>
            </w:r>
            <w:r w:rsidRPr="00AC7AC2">
              <w:t>Hélder</w:t>
            </w:r>
            <w:r w:rsidRPr="00AC7AC2">
              <w:t xml:space="preserve"> </w:t>
            </w:r>
            <w:r w:rsidRPr="00AC7AC2">
              <w:t>Sousa</w:t>
            </w:r>
            <w:r w:rsidRPr="00AC7AC2">
              <w:t xml:space="preserve"> </w:t>
            </w:r>
            <w:r w:rsidRPr="00AC7AC2">
              <w:t>Silva</w:t>
            </w:r>
          </w:p>
        </w:tc>
      </w:tr>
      <w:tr w14:paraId="6EF997F8" w14:textId="77777777">
        <w:tblPrEx>
          <w:tblW w:w="0" w:type="auto"/>
          <w:tblInd w:w="145" w:type="dxa"/>
          <w:tblLayout w:type="fixed"/>
          <w:tblCellMar>
            <w:left w:w="145" w:type="dxa"/>
            <w:right w:w="145" w:type="dxa"/>
          </w:tblCellMar>
          <w:tblLook w:val="0000"/>
        </w:tblPrEx>
        <w:trPr>
          <w:cantSplit/>
        </w:trPr>
        <w:tc>
          <w:tcPr>
            <w:tcW w:w="1701" w:type="dxa"/>
            <w:shd w:val="clear" w:color="auto" w:fill="FFFFFF"/>
          </w:tcPr>
          <w:p w:rsidR="00ED7E33" w:rsidRPr="00AC7AC2" w14:paraId="2E80FD31" w14:textId="62893D29">
            <w:pPr>
              <w:pStyle w:val="RollCallTable"/>
            </w:pPr>
            <w:r w:rsidRPr="00AC7AC2">
              <w:t>PfE</w:t>
            </w:r>
          </w:p>
        </w:tc>
        <w:tc>
          <w:tcPr>
            <w:tcW w:w="7371" w:type="dxa"/>
            <w:shd w:val="clear" w:color="auto" w:fill="FFFFFF"/>
          </w:tcPr>
          <w:p w:rsidR="00ED7E33" w:rsidRPr="00AC7AC2" w14:paraId="257E07AF" w14:textId="77777777">
            <w:pPr>
              <w:pStyle w:val="RollCallTable"/>
            </w:pPr>
            <w:r w:rsidRPr="00AC7AC2">
              <w:t>Jaroslav</w:t>
            </w:r>
            <w:r w:rsidRPr="00AC7AC2">
              <w:t xml:space="preserve"> </w:t>
            </w:r>
            <w:r w:rsidRPr="00AC7AC2">
              <w:t>Bžoch</w:t>
            </w:r>
            <w:r w:rsidRPr="00AC7AC2">
              <w:t xml:space="preserve">, </w:t>
            </w:r>
            <w:r w:rsidRPr="00AC7AC2">
              <w:t>Jaroslava</w:t>
            </w:r>
            <w:r w:rsidRPr="00AC7AC2">
              <w:t xml:space="preserve"> </w:t>
            </w:r>
            <w:r w:rsidRPr="00AC7AC2">
              <w:t>Pokorná</w:t>
            </w:r>
            <w:r w:rsidRPr="00AC7AC2">
              <w:t xml:space="preserve"> </w:t>
            </w:r>
            <w:r w:rsidRPr="00AC7AC2">
              <w:t>Jermanová</w:t>
            </w:r>
          </w:p>
        </w:tc>
      </w:tr>
      <w:tr w14:paraId="728B324E" w14:textId="77777777">
        <w:tblPrEx>
          <w:tblW w:w="0" w:type="auto"/>
          <w:tblInd w:w="145" w:type="dxa"/>
          <w:tblLayout w:type="fixed"/>
          <w:tblCellMar>
            <w:left w:w="145" w:type="dxa"/>
            <w:right w:w="145" w:type="dxa"/>
          </w:tblCellMar>
          <w:tblLook w:val="0000"/>
        </w:tblPrEx>
        <w:trPr>
          <w:cantSplit/>
        </w:trPr>
        <w:tc>
          <w:tcPr>
            <w:tcW w:w="1701" w:type="dxa"/>
            <w:shd w:val="clear" w:color="auto" w:fill="FFFFFF"/>
          </w:tcPr>
          <w:p w:rsidR="00ED7E33" w:rsidRPr="00AC7AC2" w14:paraId="7847E54C" w14:textId="1EB64BE9">
            <w:pPr>
              <w:pStyle w:val="RollCallTable"/>
            </w:pPr>
            <w:r w:rsidRPr="00AC7AC2">
              <w:t>Renew</w:t>
            </w:r>
          </w:p>
        </w:tc>
        <w:tc>
          <w:tcPr>
            <w:tcW w:w="7371" w:type="dxa"/>
            <w:shd w:val="clear" w:color="auto" w:fill="FFFFFF"/>
          </w:tcPr>
          <w:p w:rsidR="00ED7E33" w:rsidRPr="00AC7AC2" w14:paraId="79349D80" w14:textId="77777777">
            <w:pPr>
              <w:pStyle w:val="RollCallTable"/>
            </w:pPr>
            <w:r w:rsidRPr="00AC7AC2">
              <w:t>Olivier</w:t>
            </w:r>
            <w:r w:rsidRPr="00AC7AC2">
              <w:t xml:space="preserve"> </w:t>
            </w:r>
            <w:r w:rsidRPr="00AC7AC2">
              <w:t>Chastel</w:t>
            </w:r>
            <w:r w:rsidRPr="00AC7AC2">
              <w:t xml:space="preserve">, </w:t>
            </w:r>
            <w:r w:rsidRPr="00AC7AC2">
              <w:t>Fabienne</w:t>
            </w:r>
            <w:r w:rsidRPr="00AC7AC2">
              <w:t xml:space="preserve"> Keller, </w:t>
            </w:r>
            <w:r w:rsidRPr="00AC7AC2">
              <w:t>Joachim</w:t>
            </w:r>
            <w:r w:rsidRPr="00AC7AC2">
              <w:t xml:space="preserve"> </w:t>
            </w:r>
            <w:r w:rsidRPr="00AC7AC2">
              <w:t>Streit</w:t>
            </w:r>
            <w:r w:rsidRPr="00AC7AC2">
              <w:t xml:space="preserve">, </w:t>
            </w:r>
            <w:r w:rsidRPr="00AC7AC2">
              <w:t>Lucia</w:t>
            </w:r>
            <w:r w:rsidRPr="00AC7AC2">
              <w:t xml:space="preserve"> </w:t>
            </w:r>
            <w:r w:rsidRPr="00AC7AC2">
              <w:t>Yar</w:t>
            </w:r>
          </w:p>
        </w:tc>
      </w:tr>
      <w:tr w14:paraId="3098AD47" w14:textId="77777777">
        <w:tblPrEx>
          <w:tblW w:w="0" w:type="auto"/>
          <w:tblInd w:w="145" w:type="dxa"/>
          <w:tblLayout w:type="fixed"/>
          <w:tblCellMar>
            <w:left w:w="145" w:type="dxa"/>
            <w:right w:w="145" w:type="dxa"/>
          </w:tblCellMar>
          <w:tblLook w:val="0000"/>
        </w:tblPrEx>
        <w:trPr>
          <w:cantSplit/>
        </w:trPr>
        <w:tc>
          <w:tcPr>
            <w:tcW w:w="1701" w:type="dxa"/>
            <w:shd w:val="clear" w:color="auto" w:fill="FFFFFF"/>
          </w:tcPr>
          <w:p w:rsidR="00ED7E33" w:rsidRPr="00AC7AC2" w14:paraId="6115CF72" w14:textId="76959D11">
            <w:pPr>
              <w:pStyle w:val="RollCallTable"/>
            </w:pPr>
            <w:r w:rsidRPr="00AC7AC2">
              <w:t>S&amp;D</w:t>
            </w:r>
          </w:p>
        </w:tc>
        <w:tc>
          <w:tcPr>
            <w:tcW w:w="7371" w:type="dxa"/>
            <w:shd w:val="clear" w:color="auto" w:fill="FFFFFF"/>
          </w:tcPr>
          <w:p w:rsidR="00ED7E33" w:rsidRPr="00AC7AC2" w14:paraId="1CC44506" w14:textId="77777777">
            <w:pPr>
              <w:pStyle w:val="RollCallTable"/>
            </w:pPr>
            <w:r w:rsidRPr="00AC7AC2">
              <w:t xml:space="preserve">Matthias </w:t>
            </w:r>
            <w:r w:rsidRPr="00AC7AC2">
              <w:t>Ecke</w:t>
            </w:r>
            <w:r w:rsidRPr="00AC7AC2">
              <w:t xml:space="preserve">, </w:t>
            </w:r>
            <w:r w:rsidRPr="00AC7AC2">
              <w:t>Jean</w:t>
            </w:r>
            <w:r w:rsidRPr="00AC7AC2">
              <w:t xml:space="preserve">-Marc </w:t>
            </w:r>
            <w:r w:rsidRPr="00AC7AC2">
              <w:t>Germain</w:t>
            </w:r>
            <w:r w:rsidRPr="00AC7AC2">
              <w:t xml:space="preserve">, Sandra </w:t>
            </w:r>
            <w:r w:rsidRPr="00AC7AC2">
              <w:t>Gómez</w:t>
            </w:r>
            <w:r w:rsidRPr="00AC7AC2">
              <w:t xml:space="preserve"> </w:t>
            </w:r>
            <w:r w:rsidRPr="00AC7AC2">
              <w:t>López</w:t>
            </w:r>
            <w:r w:rsidRPr="00AC7AC2">
              <w:t xml:space="preserve">, </w:t>
            </w:r>
            <w:r w:rsidRPr="00AC7AC2">
              <w:t>Giuseppe</w:t>
            </w:r>
            <w:r w:rsidRPr="00AC7AC2">
              <w:t xml:space="preserve"> </w:t>
            </w:r>
            <w:r w:rsidRPr="00AC7AC2">
              <w:t>Lupo</w:t>
            </w:r>
            <w:r w:rsidRPr="00AC7AC2">
              <w:t xml:space="preserve">, </w:t>
            </w:r>
            <w:r w:rsidRPr="00AC7AC2">
              <w:t>Matjaž</w:t>
            </w:r>
            <w:r w:rsidRPr="00AC7AC2">
              <w:t xml:space="preserve"> </w:t>
            </w:r>
            <w:r w:rsidRPr="00AC7AC2">
              <w:t>Nemec</w:t>
            </w:r>
            <w:r w:rsidRPr="00AC7AC2">
              <w:t xml:space="preserve">, </w:t>
            </w:r>
            <w:r w:rsidRPr="00AC7AC2">
              <w:t>Carla</w:t>
            </w:r>
            <w:r w:rsidRPr="00AC7AC2">
              <w:t xml:space="preserve"> </w:t>
            </w:r>
            <w:r w:rsidRPr="00AC7AC2">
              <w:t>Tavares</w:t>
            </w:r>
            <w:r w:rsidRPr="00AC7AC2">
              <w:t xml:space="preserve">, </w:t>
            </w:r>
            <w:r w:rsidRPr="00AC7AC2">
              <w:t>Nils</w:t>
            </w:r>
            <w:r w:rsidRPr="00AC7AC2">
              <w:t xml:space="preserve"> </w:t>
            </w:r>
            <w:r w:rsidRPr="00AC7AC2">
              <w:t>Ušakovs</w:t>
            </w:r>
          </w:p>
        </w:tc>
      </w:tr>
      <w:tr w14:paraId="0A62C7FB" w14:textId="77777777">
        <w:tblPrEx>
          <w:tblW w:w="0" w:type="auto"/>
          <w:tblInd w:w="145" w:type="dxa"/>
          <w:tblLayout w:type="fixed"/>
          <w:tblCellMar>
            <w:left w:w="145" w:type="dxa"/>
            <w:right w:w="145" w:type="dxa"/>
          </w:tblCellMar>
          <w:tblLook w:val="0000"/>
        </w:tblPrEx>
        <w:trPr>
          <w:cantSplit/>
        </w:trPr>
        <w:tc>
          <w:tcPr>
            <w:tcW w:w="1701" w:type="dxa"/>
            <w:shd w:val="clear" w:color="auto" w:fill="FFFFFF"/>
          </w:tcPr>
          <w:p w:rsidR="00ED7E33" w:rsidRPr="00AC7AC2" w14:paraId="6C3C5C2D" w14:textId="1A9F1DDB">
            <w:pPr>
              <w:pStyle w:val="RollCallTable"/>
            </w:pPr>
            <w:r w:rsidRPr="00AC7AC2">
              <w:t>Verts</w:t>
            </w:r>
            <w:r w:rsidRPr="00AC7AC2">
              <w:t>/ALE</w:t>
            </w:r>
          </w:p>
        </w:tc>
        <w:tc>
          <w:tcPr>
            <w:tcW w:w="7371" w:type="dxa"/>
            <w:shd w:val="clear" w:color="auto" w:fill="FFFFFF"/>
          </w:tcPr>
          <w:p w:rsidR="00ED7E33" w:rsidRPr="00AC7AC2" w14:paraId="62A90CF4" w14:textId="77777777">
            <w:pPr>
              <w:pStyle w:val="RollCallTable"/>
            </w:pPr>
            <w:r w:rsidRPr="00AC7AC2">
              <w:t>Ignazio</w:t>
            </w:r>
            <w:r w:rsidRPr="00AC7AC2">
              <w:t xml:space="preserve"> </w:t>
            </w:r>
            <w:r w:rsidRPr="00AC7AC2">
              <w:t>Roberto</w:t>
            </w:r>
            <w:r w:rsidRPr="00AC7AC2">
              <w:t xml:space="preserve"> </w:t>
            </w:r>
            <w:r w:rsidRPr="00AC7AC2">
              <w:t>Marino</w:t>
            </w:r>
            <w:r w:rsidRPr="00AC7AC2">
              <w:t xml:space="preserve">, </w:t>
            </w:r>
            <w:r w:rsidRPr="00AC7AC2">
              <w:t>Rasmus</w:t>
            </w:r>
            <w:r w:rsidRPr="00AC7AC2">
              <w:t xml:space="preserve"> </w:t>
            </w:r>
            <w:r w:rsidRPr="00AC7AC2">
              <w:t>Nordqvist</w:t>
            </w:r>
          </w:p>
        </w:tc>
      </w:tr>
    </w:tbl>
    <w:p w:rsidR="00ED7E33" w:rsidRPr="00AC7AC2" w14:paraId="0A9EABC6"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244A97E" w14:textId="77777777">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D7E33" w:rsidRPr="00AC7AC2" w14:paraId="04307844" w14:textId="77777777">
            <w:pPr>
              <w:pStyle w:val="RollCallVotes"/>
            </w:pPr>
            <w:r w:rsidRPr="00AC7AC2">
              <w:t>1</w:t>
            </w:r>
          </w:p>
        </w:tc>
        <w:tc>
          <w:tcPr>
            <w:tcW w:w="7371" w:type="dxa"/>
            <w:shd w:val="pct10" w:color="000000" w:fill="FFFFFF"/>
          </w:tcPr>
          <w:p w:rsidR="00ED7E33" w:rsidRPr="00AC7AC2" w14:paraId="5282780F" w14:textId="77777777">
            <w:pPr>
              <w:pStyle w:val="RollCallSymbols14pt"/>
            </w:pPr>
            <w:r w:rsidRPr="00AC7AC2">
              <w:t>-</w:t>
            </w:r>
          </w:p>
        </w:tc>
      </w:tr>
      <w:tr w14:paraId="7D09ACB2" w14:textId="77777777">
        <w:tblPrEx>
          <w:tblW w:w="0" w:type="auto"/>
          <w:tblInd w:w="145" w:type="dxa"/>
          <w:tblLayout w:type="fixed"/>
          <w:tblCellMar>
            <w:left w:w="145" w:type="dxa"/>
            <w:right w:w="145" w:type="dxa"/>
          </w:tblCellMar>
          <w:tblLook w:val="0000"/>
        </w:tblPrEx>
        <w:trPr>
          <w:cantSplit/>
        </w:trPr>
        <w:tc>
          <w:tcPr>
            <w:tcW w:w="1701" w:type="dxa"/>
            <w:shd w:val="clear" w:color="auto" w:fill="FFFFFF"/>
          </w:tcPr>
          <w:p w:rsidR="00ED7E33" w:rsidRPr="00AC7AC2" w14:paraId="4F274301" w14:textId="15290805">
            <w:pPr>
              <w:pStyle w:val="RollCallTable"/>
            </w:pPr>
            <w:r w:rsidRPr="00AC7AC2">
              <w:t>ES</w:t>
            </w:r>
            <w:r w:rsidRPr="00AC7AC2">
              <w:t>N</w:t>
            </w:r>
          </w:p>
        </w:tc>
        <w:tc>
          <w:tcPr>
            <w:tcW w:w="7371" w:type="dxa"/>
            <w:shd w:val="clear" w:color="auto" w:fill="FFFFFF"/>
          </w:tcPr>
          <w:p w:rsidR="00ED7E33" w:rsidRPr="00AC7AC2" w14:paraId="30425D7F" w14:textId="77777777">
            <w:pPr>
              <w:pStyle w:val="RollCallTable"/>
            </w:pPr>
            <w:r w:rsidRPr="00AC7AC2">
              <w:t xml:space="preserve">Alexander </w:t>
            </w:r>
            <w:r w:rsidRPr="00AC7AC2">
              <w:t>Jungbluth</w:t>
            </w:r>
          </w:p>
        </w:tc>
      </w:tr>
    </w:tbl>
    <w:p w:rsidR="00ED7E33" w:rsidRPr="00AC7AC2" w14:paraId="77332784"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C001E0C" w14:textId="77777777">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D7E33" w:rsidRPr="00AC7AC2" w14:paraId="007FE0BA" w14:textId="77777777">
            <w:pPr>
              <w:pStyle w:val="RollCallVotes"/>
            </w:pPr>
            <w:r w:rsidRPr="00AC7AC2">
              <w:t>3</w:t>
            </w:r>
          </w:p>
        </w:tc>
        <w:tc>
          <w:tcPr>
            <w:tcW w:w="7371" w:type="dxa"/>
            <w:shd w:val="pct10" w:color="000000" w:fill="FFFFFF"/>
          </w:tcPr>
          <w:p w:rsidR="00ED7E33" w:rsidRPr="00AC7AC2" w14:paraId="44DCF718" w14:textId="77777777">
            <w:pPr>
              <w:pStyle w:val="RollCallSymbols14pt"/>
            </w:pPr>
            <w:r w:rsidRPr="00AC7AC2">
              <w:t>0</w:t>
            </w:r>
          </w:p>
        </w:tc>
      </w:tr>
      <w:tr w14:paraId="140346B2" w14:textId="77777777">
        <w:tblPrEx>
          <w:tblW w:w="0" w:type="auto"/>
          <w:tblInd w:w="145" w:type="dxa"/>
          <w:tblLayout w:type="fixed"/>
          <w:tblCellMar>
            <w:left w:w="145" w:type="dxa"/>
            <w:right w:w="145" w:type="dxa"/>
          </w:tblCellMar>
          <w:tblLook w:val="0000"/>
        </w:tblPrEx>
        <w:trPr>
          <w:cantSplit/>
        </w:trPr>
        <w:tc>
          <w:tcPr>
            <w:tcW w:w="1701" w:type="dxa"/>
            <w:shd w:val="clear" w:color="auto" w:fill="FFFFFF"/>
          </w:tcPr>
          <w:p w:rsidR="00ED7E33" w:rsidRPr="00AC7AC2" w14:paraId="5B8D9EDB" w14:textId="514B39F7">
            <w:pPr>
              <w:pStyle w:val="RollCallTable"/>
            </w:pPr>
            <w:r w:rsidRPr="00AC7AC2">
              <w:t>PfE</w:t>
            </w:r>
          </w:p>
        </w:tc>
        <w:tc>
          <w:tcPr>
            <w:tcW w:w="7371" w:type="dxa"/>
            <w:shd w:val="clear" w:color="auto" w:fill="FFFFFF"/>
          </w:tcPr>
          <w:p w:rsidR="00ED7E33" w:rsidRPr="00AC7AC2" w14:paraId="631411FF" w14:textId="77777777">
            <w:pPr>
              <w:pStyle w:val="RollCallTable"/>
            </w:pPr>
            <w:r w:rsidRPr="00AC7AC2">
              <w:t>Angéline</w:t>
            </w:r>
            <w:r w:rsidRPr="00AC7AC2">
              <w:t xml:space="preserve"> </w:t>
            </w:r>
            <w:r w:rsidRPr="00AC7AC2">
              <w:t>Furet</w:t>
            </w:r>
            <w:r w:rsidRPr="00AC7AC2">
              <w:t xml:space="preserve">, </w:t>
            </w:r>
            <w:r w:rsidRPr="00AC7AC2">
              <w:t>Julien</w:t>
            </w:r>
            <w:r w:rsidRPr="00AC7AC2">
              <w:t xml:space="preserve"> </w:t>
            </w:r>
            <w:r w:rsidRPr="00AC7AC2">
              <w:t>Sanchez</w:t>
            </w:r>
            <w:r w:rsidRPr="00AC7AC2">
              <w:t xml:space="preserve">, </w:t>
            </w:r>
            <w:r w:rsidRPr="00AC7AC2">
              <w:t>Auke</w:t>
            </w:r>
            <w:r w:rsidRPr="00AC7AC2">
              <w:t xml:space="preserve"> </w:t>
            </w:r>
            <w:r w:rsidRPr="00AC7AC2">
              <w:t>Zijlstra</w:t>
            </w:r>
          </w:p>
        </w:tc>
      </w:tr>
    </w:tbl>
    <w:p w:rsidR="00ED7E33" w:rsidRPr="00AC7AC2" w14:paraId="5CBBD315" w14:textId="77777777">
      <w:pPr>
        <w:pStyle w:val="Normal12a"/>
      </w:pPr>
    </w:p>
    <w:p w:rsidR="00ED7E33" w:rsidRPr="00AC7AC2" w14:paraId="2C9DC437" w14:textId="77777777">
      <w:r w:rsidRPr="00AC7AC2">
        <w:t>Eochair do na siombailí a úsáidtear:</w:t>
      </w:r>
    </w:p>
    <w:p w:rsidR="00ED7E33" w:rsidRPr="00AC7AC2" w14:paraId="3B7D47EC" w14:textId="77777777">
      <w:pPr>
        <w:pStyle w:val="RollCallTabs"/>
      </w:pPr>
      <w:r w:rsidRPr="00AC7AC2">
        <w:t>+</w:t>
      </w:r>
      <w:r w:rsidRPr="00AC7AC2">
        <w:tab/>
        <w:t>:</w:t>
      </w:r>
      <w:r w:rsidRPr="00AC7AC2">
        <w:tab/>
        <w:t>i bhfabhar</w:t>
      </w:r>
    </w:p>
    <w:p w:rsidR="00ED7E33" w:rsidRPr="00AC7AC2" w14:paraId="503D0FAF" w14:textId="77777777">
      <w:pPr>
        <w:pStyle w:val="RollCallTabs"/>
      </w:pPr>
      <w:r w:rsidRPr="00AC7AC2">
        <w:t>-</w:t>
      </w:r>
      <w:r w:rsidRPr="00AC7AC2">
        <w:tab/>
        <w:t>:</w:t>
      </w:r>
      <w:r w:rsidRPr="00AC7AC2">
        <w:tab/>
        <w:t>i gcoinne</w:t>
      </w:r>
    </w:p>
    <w:p w:rsidR="00ED7E33" w:rsidRPr="00AC7AC2" w14:paraId="518F9C71" w14:textId="77777777">
      <w:pPr>
        <w:pStyle w:val="RollCallTabs"/>
      </w:pPr>
      <w:r w:rsidRPr="00AC7AC2">
        <w:t>0</w:t>
      </w:r>
      <w:r w:rsidRPr="00AC7AC2">
        <w:tab/>
        <w:t>:</w:t>
      </w:r>
      <w:r w:rsidRPr="00AC7AC2">
        <w:tab/>
      </w:r>
      <w:r w:rsidRPr="00AC7AC2">
        <w:t>staonadh</w:t>
      </w:r>
    </w:p>
    <w:p w:rsidR="00ED7E33" w:rsidRPr="00AC7AC2" w14:paraId="0D717C29" w14:textId="77777777"/>
    <w:bookmarkEnd w:id="5"/>
    <w:p w:rsidR="00ED7E33" w:rsidRPr="00AC7AC2" w:rsidP="00ED7E33" w14:paraId="55B4F3F4" w14:textId="77777777"/>
    <w:sectPr w:rsidSect="00ED7E33">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FCB" w:rsidRPr="004C3FCB" w:rsidP="004C3FCB" w14:paraId="7BA89FA1" w14:textId="77777777">
    <w:pPr>
      <w:pStyle w:val="EPFooter"/>
    </w:pPr>
    <w:r w:rsidRPr="004C3FCB">
      <w:t>PE</w:t>
    </w:r>
    <w:r w:rsidRPr="00AC7AC2">
      <w:rPr>
        <w:rStyle w:val="HideTWBExt"/>
      </w:rPr>
      <w:t>&lt;</w:t>
    </w:r>
    <w:r w:rsidRPr="00AC7AC2">
      <w:rPr>
        <w:rStyle w:val="HideTWBExt"/>
      </w:rPr>
      <w:t>NoPE</w:t>
    </w:r>
    <w:r w:rsidRPr="00AC7AC2">
      <w:rPr>
        <w:rStyle w:val="HideTWBExt"/>
      </w:rPr>
      <w:t>&gt;</w:t>
    </w:r>
    <w:r w:rsidRPr="004C3FCB">
      <w:t>787.049</w:t>
    </w:r>
    <w:r w:rsidRPr="00AC7AC2">
      <w:rPr>
        <w:rStyle w:val="HideTWBExt"/>
      </w:rPr>
      <w:t>&lt;/</w:t>
    </w:r>
    <w:r w:rsidRPr="00AC7AC2">
      <w:rPr>
        <w:rStyle w:val="HideTWBExt"/>
      </w:rPr>
      <w:t>NoPE</w:t>
    </w:r>
    <w:r w:rsidRPr="00AC7AC2">
      <w:rPr>
        <w:rStyle w:val="HideTWBExt"/>
      </w:rPr>
      <w:t>&gt;&lt;Version&gt;</w:t>
    </w:r>
    <w:r w:rsidRPr="004C3FCB">
      <w:t>v02-00</w:t>
    </w:r>
    <w:r w:rsidRPr="00AC7AC2">
      <w:rPr>
        <w:rStyle w:val="HideTWBExt"/>
      </w:rPr>
      <w:t>&lt;/</w:t>
    </w:r>
    <w:r w:rsidRPr="00AC7AC2">
      <w:rPr>
        <w:rStyle w:val="HideTWBExt"/>
      </w:rPr>
      <w:t>Version</w:t>
    </w:r>
    <w:r w:rsidRPr="00AC7AC2">
      <w:rPr>
        <w:rStyle w:val="HideTWBExt"/>
      </w:rPr>
      <w:t>&gt;</w:t>
    </w:r>
    <w:r w:rsidRPr="004C3FCB">
      <w:tab/>
    </w:r>
    <w:r w:rsidRPr="004C3FCB">
      <w:fldChar w:fldCharType="begin"/>
    </w:r>
    <w:r w:rsidRPr="004C3FCB">
      <w:instrText xml:space="preserve"> PAGE  \* MERGEFORMAT </w:instrText>
    </w:r>
    <w:r w:rsidRPr="004C3FCB">
      <w:fldChar w:fldCharType="separate"/>
    </w:r>
    <w:r w:rsidRPr="004C3FCB">
      <w:rPr>
        <w:noProof/>
      </w:rPr>
      <w:t>2</w:t>
    </w:r>
    <w:r w:rsidRPr="004C3FCB">
      <w:fldChar w:fldCharType="end"/>
    </w:r>
    <w:r w:rsidRPr="004C3FCB">
      <w:t>/</w:t>
    </w:r>
    <w:r w:rsidRPr="004C3FCB">
      <w:fldChar w:fldCharType="begin"/>
    </w:r>
    <w:r w:rsidRPr="004C3FCB">
      <w:instrText xml:space="preserve"> NUMPAGES  \* MERGEFORMAT </w:instrText>
    </w:r>
    <w:r w:rsidRPr="004C3FCB">
      <w:fldChar w:fldCharType="separate"/>
    </w:r>
    <w:r w:rsidRPr="004C3FCB">
      <w:rPr>
        <w:noProof/>
      </w:rPr>
      <w:t>15</w:t>
    </w:r>
    <w:r w:rsidRPr="004C3FCB">
      <w:fldChar w:fldCharType="end"/>
    </w:r>
    <w:r w:rsidRPr="004C3FCB">
      <w:tab/>
    </w:r>
    <w:r w:rsidRPr="00AC7AC2">
      <w:rPr>
        <w:rStyle w:val="HideTWBExt"/>
      </w:rPr>
      <w:t>&lt;PathFdR&gt;</w:t>
    </w:r>
    <w:r w:rsidRPr="004C3FCB">
      <w:t>AD\1348224GA.docx</w:t>
    </w:r>
    <w:r w:rsidRPr="00AC7AC2">
      <w:rPr>
        <w:rStyle w:val="HideTWBExt"/>
      </w:rPr>
      <w:t>&lt;/</w:t>
    </w:r>
    <w:r w:rsidRPr="00AC7AC2">
      <w:rPr>
        <w:rStyle w:val="HideTWBExt"/>
      </w:rPr>
      <w:t>PathFdR</w:t>
    </w:r>
    <w:r w:rsidRPr="00AC7AC2">
      <w:rPr>
        <w:rStyle w:val="HideTWBExt"/>
      </w:rPr>
      <w:t>&gt;</w:t>
    </w:r>
  </w:p>
  <w:p w:rsidR="002E2F2E" w:rsidRPr="004C3FCB" w:rsidP="004C3FCB" w14:paraId="2D827E53" w14:textId="3429058B">
    <w:pPr>
      <w:pStyle w:val="EPFooter2"/>
    </w:pPr>
    <w:r w:rsidRPr="004C3FCB">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FCB" w:rsidRPr="004C3FCB" w:rsidP="004C3FCB" w14:paraId="378CB8E3" w14:textId="77777777">
    <w:pPr>
      <w:pStyle w:val="EPFooter"/>
    </w:pPr>
    <w:r w:rsidRPr="00AC7AC2">
      <w:rPr>
        <w:rStyle w:val="HideTWBExt"/>
      </w:rPr>
      <w:t>&lt;PathFdR&gt;</w:t>
    </w:r>
    <w:r w:rsidRPr="004C3FCB">
      <w:t>AD\1348224GA.docx</w:t>
    </w:r>
    <w:r w:rsidRPr="00AC7AC2">
      <w:rPr>
        <w:rStyle w:val="HideTWBExt"/>
      </w:rPr>
      <w:t>&lt;/</w:t>
    </w:r>
    <w:r w:rsidRPr="00AC7AC2">
      <w:rPr>
        <w:rStyle w:val="HideTWBExt"/>
      </w:rPr>
      <w:t>PathFdR</w:t>
    </w:r>
    <w:r w:rsidRPr="00AC7AC2">
      <w:rPr>
        <w:rStyle w:val="HideTWBExt"/>
      </w:rPr>
      <w:t>&gt;</w:t>
    </w:r>
    <w:r w:rsidRPr="004C3FCB">
      <w:tab/>
    </w:r>
    <w:r w:rsidRPr="004C3FCB">
      <w:fldChar w:fldCharType="begin"/>
    </w:r>
    <w:r w:rsidRPr="004C3FCB">
      <w:instrText xml:space="preserve"> PAGE  \* MERGEFORMAT </w:instrText>
    </w:r>
    <w:r w:rsidRPr="004C3FCB">
      <w:fldChar w:fldCharType="separate"/>
    </w:r>
    <w:r w:rsidRPr="004C3FCB">
      <w:rPr>
        <w:noProof/>
      </w:rPr>
      <w:t>15</w:t>
    </w:r>
    <w:r w:rsidRPr="004C3FCB">
      <w:fldChar w:fldCharType="end"/>
    </w:r>
    <w:r w:rsidRPr="004C3FCB">
      <w:t>/</w:t>
    </w:r>
    <w:r w:rsidRPr="004C3FCB">
      <w:fldChar w:fldCharType="begin"/>
    </w:r>
    <w:r w:rsidRPr="004C3FCB">
      <w:instrText xml:space="preserve"> NUMPAGES  \* MERGEFORMAT </w:instrText>
    </w:r>
    <w:r w:rsidRPr="004C3FCB">
      <w:fldChar w:fldCharType="separate"/>
    </w:r>
    <w:r w:rsidRPr="004C3FCB">
      <w:rPr>
        <w:noProof/>
      </w:rPr>
      <w:t>15</w:t>
    </w:r>
    <w:r w:rsidRPr="004C3FCB">
      <w:fldChar w:fldCharType="end"/>
    </w:r>
    <w:r w:rsidRPr="004C3FCB">
      <w:tab/>
      <w:t>PE</w:t>
    </w:r>
    <w:r w:rsidRPr="00AC7AC2">
      <w:rPr>
        <w:rStyle w:val="HideTWBExt"/>
      </w:rPr>
      <w:t>&lt;</w:t>
    </w:r>
    <w:r w:rsidRPr="00AC7AC2">
      <w:rPr>
        <w:rStyle w:val="HideTWBExt"/>
      </w:rPr>
      <w:t>NoPE</w:t>
    </w:r>
    <w:r w:rsidRPr="00AC7AC2">
      <w:rPr>
        <w:rStyle w:val="HideTWBExt"/>
      </w:rPr>
      <w:t>&gt;</w:t>
    </w:r>
    <w:r w:rsidRPr="004C3FCB">
      <w:t>787.049</w:t>
    </w:r>
    <w:r w:rsidRPr="00AC7AC2">
      <w:rPr>
        <w:rStyle w:val="HideTWBExt"/>
      </w:rPr>
      <w:t>&lt;/</w:t>
    </w:r>
    <w:r w:rsidRPr="00AC7AC2">
      <w:rPr>
        <w:rStyle w:val="HideTWBExt"/>
      </w:rPr>
      <w:t>NoPE</w:t>
    </w:r>
    <w:r w:rsidRPr="00AC7AC2">
      <w:rPr>
        <w:rStyle w:val="HideTWBExt"/>
      </w:rPr>
      <w:t>&gt;&lt;Version&gt;</w:t>
    </w:r>
    <w:r w:rsidRPr="004C3FCB">
      <w:t>v02-00</w:t>
    </w:r>
    <w:r w:rsidRPr="00AC7AC2">
      <w:rPr>
        <w:rStyle w:val="HideTWBExt"/>
      </w:rPr>
      <w:t>&lt;/</w:t>
    </w:r>
    <w:r w:rsidRPr="00AC7AC2">
      <w:rPr>
        <w:rStyle w:val="HideTWBExt"/>
      </w:rPr>
      <w:t>Version</w:t>
    </w:r>
    <w:r w:rsidRPr="00AC7AC2">
      <w:rPr>
        <w:rStyle w:val="HideTWBExt"/>
      </w:rPr>
      <w:t>&gt;</w:t>
    </w:r>
  </w:p>
  <w:p w:rsidR="002E2F2E" w:rsidRPr="004C3FCB" w:rsidP="004C3FCB" w14:paraId="6A508B47" w14:textId="64EAAC68">
    <w:pPr>
      <w:pStyle w:val="EPFooter2"/>
    </w:pPr>
    <w:r w:rsidRPr="004C3FCB">
      <w:tab/>
    </w:r>
    <w:r w:rsidRPr="004C3FCB">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FCB" w:rsidRPr="004C3FCB" w:rsidP="004C3FCB" w14:paraId="3A0C7C7E" w14:textId="77777777">
    <w:pPr>
      <w:pStyle w:val="EPFooter"/>
    </w:pPr>
    <w:r w:rsidRPr="00AC7AC2">
      <w:rPr>
        <w:rStyle w:val="HideTWBExt"/>
      </w:rPr>
      <w:t>&lt;PathFdR&gt;</w:t>
    </w:r>
    <w:r w:rsidRPr="004C3FCB">
      <w:t>AD\1348224GA.docx</w:t>
    </w:r>
    <w:r w:rsidRPr="00AC7AC2">
      <w:rPr>
        <w:rStyle w:val="HideTWBExt"/>
      </w:rPr>
      <w:t>&lt;/</w:t>
    </w:r>
    <w:r w:rsidRPr="00AC7AC2">
      <w:rPr>
        <w:rStyle w:val="HideTWBExt"/>
      </w:rPr>
      <w:t>PathFdR</w:t>
    </w:r>
    <w:r w:rsidRPr="00AC7AC2">
      <w:rPr>
        <w:rStyle w:val="HideTWBExt"/>
      </w:rPr>
      <w:t>&gt;</w:t>
    </w:r>
    <w:r w:rsidRPr="004C3FCB">
      <w:tab/>
    </w:r>
    <w:r w:rsidRPr="004C3FCB">
      <w:tab/>
      <w:t>PE</w:t>
    </w:r>
    <w:r w:rsidRPr="00AC7AC2">
      <w:rPr>
        <w:rStyle w:val="HideTWBExt"/>
      </w:rPr>
      <w:t>&lt;</w:t>
    </w:r>
    <w:r w:rsidRPr="00AC7AC2">
      <w:rPr>
        <w:rStyle w:val="HideTWBExt"/>
      </w:rPr>
      <w:t>NoPE</w:t>
    </w:r>
    <w:r w:rsidRPr="00AC7AC2">
      <w:rPr>
        <w:rStyle w:val="HideTWBExt"/>
      </w:rPr>
      <w:t>&gt;</w:t>
    </w:r>
    <w:r w:rsidRPr="004C3FCB">
      <w:t>787.049</w:t>
    </w:r>
    <w:r w:rsidRPr="00AC7AC2">
      <w:rPr>
        <w:rStyle w:val="HideTWBExt"/>
      </w:rPr>
      <w:t>&lt;/</w:t>
    </w:r>
    <w:r w:rsidRPr="00AC7AC2">
      <w:rPr>
        <w:rStyle w:val="HideTWBExt"/>
      </w:rPr>
      <w:t>NoPE</w:t>
    </w:r>
    <w:r w:rsidRPr="00AC7AC2">
      <w:rPr>
        <w:rStyle w:val="HideTWBExt"/>
      </w:rPr>
      <w:t>&gt;&lt;Version&gt;</w:t>
    </w:r>
    <w:r w:rsidRPr="004C3FCB">
      <w:t>v02-00</w:t>
    </w:r>
    <w:r w:rsidRPr="00AC7AC2">
      <w:rPr>
        <w:rStyle w:val="HideTWBExt"/>
      </w:rPr>
      <w:t>&lt;/</w:t>
    </w:r>
    <w:r w:rsidRPr="00AC7AC2">
      <w:rPr>
        <w:rStyle w:val="HideTWBExt"/>
      </w:rPr>
      <w:t>Version</w:t>
    </w:r>
    <w:r w:rsidRPr="00AC7AC2">
      <w:rPr>
        <w:rStyle w:val="HideTWBExt"/>
      </w:rPr>
      <w:t>&gt;</w:t>
    </w:r>
  </w:p>
  <w:p w:rsidR="002E2F2E" w:rsidRPr="004C3FCB" w:rsidP="004C3FCB" w14:paraId="10F6E9E7" w14:textId="611BB8F4">
    <w:pPr>
      <w:pStyle w:val="EPFooter2"/>
    </w:pPr>
    <w:r w:rsidRPr="004C3FCB">
      <w:t>GA</w:t>
    </w:r>
    <w:r w:rsidRPr="004C3FCB">
      <w:tab/>
    </w:r>
    <w:r w:rsidRPr="004C3FCB">
      <w:rPr>
        <w:b w:val="0"/>
        <w:i/>
        <w:color w:val="C0C0C0"/>
        <w:sz w:val="22"/>
      </w:rPr>
      <w:t>Aontaithe san éagsúlacht</w:t>
    </w:r>
    <w:r w:rsidRPr="004C3FCB">
      <w:tab/>
      <w:t>GA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96FBC" w:rsidRPr="004C3FCB" w14:paraId="66F3F601" w14:textId="77777777">
      <w:r w:rsidRPr="004C3FCB">
        <w:separator/>
      </w:r>
    </w:p>
  </w:footnote>
  <w:footnote w:type="continuationSeparator" w:id="1">
    <w:p w:rsidR="00496FBC" w:rsidRPr="004C3FCB" w14:paraId="5E41A5A6" w14:textId="77777777">
      <w:r w:rsidRPr="004C3FCB">
        <w:continuationSeparator/>
      </w:r>
    </w:p>
  </w:footnote>
  <w:footnote w:id="2">
    <w:p w:rsidR="00F07392" w:rsidRPr="004C3FCB" w14:paraId="47C6AAA2" w14:textId="77777777">
      <w:pPr>
        <w:pStyle w:val="FootnoteText"/>
      </w:pPr>
      <w:r w:rsidRPr="004C3FCB">
        <w:rPr>
          <w:rStyle w:val="FootnoteReference"/>
        </w:rPr>
        <w:footnoteRef/>
      </w:r>
      <w:r w:rsidRPr="004C3FCB">
        <w:t xml:space="preserve"> COM(2025)0541.</w:t>
      </w:r>
    </w:p>
  </w:footnote>
  <w:footnote w:id="3">
    <w:p w:rsidR="00F07392" w:rsidRPr="004C3FCB" w14:paraId="2B8CD701" w14:textId="77777777">
      <w:pPr>
        <w:pStyle w:val="FootnoteText"/>
      </w:pPr>
      <w:r w:rsidRPr="004C3FCB">
        <w:rPr>
          <w:rStyle w:val="FootnoteReference"/>
        </w:rPr>
        <w:footnoteRef/>
      </w:r>
      <w:r w:rsidRPr="004C3FCB">
        <w:t xml:space="preserve"> </w:t>
      </w:r>
      <w:r w:rsidRPr="004C3FCB">
        <w:t>COM(2025)0540.</w:t>
      </w:r>
    </w:p>
  </w:footnote>
  <w:footnote w:id="4">
    <w:p w:rsidR="003D7537" w:rsidRPr="004C3FCB" w14:paraId="55210626" w14:textId="4C83A416">
      <w:pPr>
        <w:pStyle w:val="FootnoteText"/>
      </w:pPr>
      <w:r w:rsidRPr="004C3FCB">
        <w:rPr>
          <w:rStyle w:val="FootnoteReference"/>
        </w:rPr>
        <w:footnoteRef/>
      </w:r>
      <w:r w:rsidRPr="004C3FCB">
        <w:t xml:space="preserve"> </w:t>
      </w:r>
      <w:r w:rsidRPr="004C3FCB">
        <w:t>Rialachán (AE, Euratom) 2024/2509 ó Pharlaimint na hEorpa agus ón gComhairle an 23 Meán Fómhair 2024 maidir leis na rialacha airgeadais is infheidhme maidir le buiséad ginearálta an Aontais (IO L, 2024/2509, ELI: </w:t>
      </w:r>
      <w:hyperlink r:id="rId1" w:tgtFrame="_blank" w:tooltip="Tabharfaidh seo rochtain ar an doiciméad seo trí URI an ELI a ghabhann leis." w:history="1">
        <w:r w:rsidRPr="004C3FCB">
          <w:rPr>
            <w:rStyle w:val="Hyperlink"/>
          </w:rPr>
          <w:t>http://data.europa.eu/eli/reg/2024/2509/oj</w:t>
        </w:r>
      </w:hyperlink>
      <w:r w:rsidRPr="004C3FCB">
        <w:t>).</w:t>
      </w:r>
    </w:p>
  </w:footnote>
  <w:footnote w:id="5">
    <w:p w:rsidR="006076D5" w:rsidRPr="004C3FCB" w14:paraId="6EF5AFE7" w14:textId="7351650F">
      <w:pPr>
        <w:pStyle w:val="FootnoteText"/>
      </w:pPr>
      <w:r w:rsidRPr="004C3FCB">
        <w:rPr>
          <w:rStyle w:val="FootnoteReference"/>
        </w:rPr>
        <w:footnoteRef/>
      </w:r>
      <w:r w:rsidRPr="004C3FCB">
        <w:t xml:space="preserve"> </w:t>
      </w:r>
      <w:r w:rsidRPr="004C3FCB">
        <w:t xml:space="preserve">Comhaontú Idirinstitiúideach an 20 Bealtaine 2021 idir Parlaimint na hEorpa, Comhairle an Aontais Eorpaigh agus an Coimisiún Eorpach maidir le clár </w:t>
      </w:r>
      <w:r w:rsidRPr="004C3FCB">
        <w:t>trédhearcachta</w:t>
      </w:r>
      <w:r w:rsidRPr="004C3FCB">
        <w:t xml:space="preserve"> </w:t>
      </w:r>
      <w:r w:rsidRPr="004C3FCB">
        <w:t>sainordaitheach</w:t>
      </w:r>
      <w:r w:rsidRPr="004C3FCB">
        <w:t xml:space="preserve"> (IO L 207, 11.6.2021, lch. 1, ELI: </w:t>
      </w:r>
      <w:hyperlink r:id="rId2" w:tooltip="https://eur-lex.europa.eu/legal-content/GA/TXT/HTML/?uri=CELEX:32021Q0611(01)" w:history="1">
        <w:r w:rsidRPr="004C3FCB">
          <w:rPr>
            <w:rStyle w:val="Hyperlink"/>
          </w:rPr>
          <w:t>http://data.europa.eu/eli/agree_interinstit/2021/611/oj</w:t>
        </w:r>
      </w:hyperlink>
      <w:r w:rsidRPr="004C3FC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AC2" w14:paraId="009E662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AC2" w14:paraId="32622EF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AC2" w14:paraId="5F0F152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2F13283C"/>
    <w:multiLevelType w:val="hybridMultilevel"/>
    <w:tmpl w:val="247AB412"/>
    <w:lvl w:ilvl="0">
      <w:start w:val="1"/>
      <w:numFmt w:val="decimal"/>
      <w:lvlText w:val="%1."/>
      <w:lvlJc w:val="left"/>
      <w:pPr>
        <w:ind w:left="1080" w:hanging="72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38"/>
    <w:rsid w:val="00006F54"/>
    <w:rsid w:val="00007C5D"/>
    <w:rsid w:val="00024297"/>
    <w:rsid w:val="00026664"/>
    <w:rsid w:val="0003367A"/>
    <w:rsid w:val="00051425"/>
    <w:rsid w:val="000556B2"/>
    <w:rsid w:val="00064922"/>
    <w:rsid w:val="000E7EBF"/>
    <w:rsid w:val="001140D2"/>
    <w:rsid w:val="00124F60"/>
    <w:rsid w:val="00135121"/>
    <w:rsid w:val="00140BE6"/>
    <w:rsid w:val="001449F5"/>
    <w:rsid w:val="00147F4E"/>
    <w:rsid w:val="00165395"/>
    <w:rsid w:val="0016635E"/>
    <w:rsid w:val="00173215"/>
    <w:rsid w:val="001746D0"/>
    <w:rsid w:val="0018311C"/>
    <w:rsid w:val="001B7393"/>
    <w:rsid w:val="001D2ED9"/>
    <w:rsid w:val="001E42AF"/>
    <w:rsid w:val="001F21C1"/>
    <w:rsid w:val="0021766C"/>
    <w:rsid w:val="00217676"/>
    <w:rsid w:val="00237099"/>
    <w:rsid w:val="00237DE4"/>
    <w:rsid w:val="00284638"/>
    <w:rsid w:val="002D28A7"/>
    <w:rsid w:val="002E2F2E"/>
    <w:rsid w:val="002E4AA3"/>
    <w:rsid w:val="002E66F7"/>
    <w:rsid w:val="002E6F98"/>
    <w:rsid w:val="00325BCB"/>
    <w:rsid w:val="00331944"/>
    <w:rsid w:val="00332AD9"/>
    <w:rsid w:val="003402B9"/>
    <w:rsid w:val="00342680"/>
    <w:rsid w:val="00345CAF"/>
    <w:rsid w:val="00347D2C"/>
    <w:rsid w:val="00362463"/>
    <w:rsid w:val="00367A50"/>
    <w:rsid w:val="00367DCD"/>
    <w:rsid w:val="0037321F"/>
    <w:rsid w:val="0037356F"/>
    <w:rsid w:val="00374D5A"/>
    <w:rsid w:val="003762F8"/>
    <w:rsid w:val="0038187B"/>
    <w:rsid w:val="00390EB2"/>
    <w:rsid w:val="00391AC1"/>
    <w:rsid w:val="00396A0E"/>
    <w:rsid w:val="003C4213"/>
    <w:rsid w:val="003D347E"/>
    <w:rsid w:val="003D7537"/>
    <w:rsid w:val="003E0210"/>
    <w:rsid w:val="003E2402"/>
    <w:rsid w:val="00412D5C"/>
    <w:rsid w:val="00416DED"/>
    <w:rsid w:val="00423D34"/>
    <w:rsid w:val="00434CA3"/>
    <w:rsid w:val="00443F75"/>
    <w:rsid w:val="00450A7E"/>
    <w:rsid w:val="004667D1"/>
    <w:rsid w:val="00483008"/>
    <w:rsid w:val="00485C5C"/>
    <w:rsid w:val="00496FBC"/>
    <w:rsid w:val="004A034E"/>
    <w:rsid w:val="004C28FB"/>
    <w:rsid w:val="004C3FCB"/>
    <w:rsid w:val="004C44C0"/>
    <w:rsid w:val="004C5404"/>
    <w:rsid w:val="004D03B2"/>
    <w:rsid w:val="004D148E"/>
    <w:rsid w:val="004D6A03"/>
    <w:rsid w:val="004F02F8"/>
    <w:rsid w:val="005178DF"/>
    <w:rsid w:val="0052544E"/>
    <w:rsid w:val="00545001"/>
    <w:rsid w:val="00561BF2"/>
    <w:rsid w:val="00581E2E"/>
    <w:rsid w:val="005940C3"/>
    <w:rsid w:val="00594C48"/>
    <w:rsid w:val="005B1AD2"/>
    <w:rsid w:val="005B2F11"/>
    <w:rsid w:val="005C0BDF"/>
    <w:rsid w:val="005C15CA"/>
    <w:rsid w:val="005D60C6"/>
    <w:rsid w:val="005D6788"/>
    <w:rsid w:val="005E7F84"/>
    <w:rsid w:val="006076D5"/>
    <w:rsid w:val="006102E7"/>
    <w:rsid w:val="00640C1B"/>
    <w:rsid w:val="00643A44"/>
    <w:rsid w:val="00657AFB"/>
    <w:rsid w:val="006A2407"/>
    <w:rsid w:val="006B658E"/>
    <w:rsid w:val="006C28C3"/>
    <w:rsid w:val="006D5BF7"/>
    <w:rsid w:val="006D6096"/>
    <w:rsid w:val="006E2112"/>
    <w:rsid w:val="006E2CD8"/>
    <w:rsid w:val="006E7F6E"/>
    <w:rsid w:val="00744E9E"/>
    <w:rsid w:val="007546E4"/>
    <w:rsid w:val="00757C4C"/>
    <w:rsid w:val="007638D0"/>
    <w:rsid w:val="00776BA9"/>
    <w:rsid w:val="00787E00"/>
    <w:rsid w:val="0079483C"/>
    <w:rsid w:val="007B5CC7"/>
    <w:rsid w:val="007C33F4"/>
    <w:rsid w:val="007C7B09"/>
    <w:rsid w:val="007F2E90"/>
    <w:rsid w:val="007F5721"/>
    <w:rsid w:val="00810388"/>
    <w:rsid w:val="00825069"/>
    <w:rsid w:val="008313E7"/>
    <w:rsid w:val="00851BA7"/>
    <w:rsid w:val="00852263"/>
    <w:rsid w:val="00854CAC"/>
    <w:rsid w:val="008660B4"/>
    <w:rsid w:val="00873BF3"/>
    <w:rsid w:val="008A32C5"/>
    <w:rsid w:val="008C6203"/>
    <w:rsid w:val="008D61E7"/>
    <w:rsid w:val="008E2BE3"/>
    <w:rsid w:val="008E35AA"/>
    <w:rsid w:val="008F33FC"/>
    <w:rsid w:val="008F7002"/>
    <w:rsid w:val="00926265"/>
    <w:rsid w:val="00941DD7"/>
    <w:rsid w:val="00952CC3"/>
    <w:rsid w:val="009626A8"/>
    <w:rsid w:val="00965212"/>
    <w:rsid w:val="00974826"/>
    <w:rsid w:val="00985A1F"/>
    <w:rsid w:val="0099493F"/>
    <w:rsid w:val="009B0B90"/>
    <w:rsid w:val="009D31FC"/>
    <w:rsid w:val="009E4287"/>
    <w:rsid w:val="00A1636A"/>
    <w:rsid w:val="00A16BEA"/>
    <w:rsid w:val="00A2745A"/>
    <w:rsid w:val="00A312B3"/>
    <w:rsid w:val="00A42932"/>
    <w:rsid w:val="00A459BE"/>
    <w:rsid w:val="00A47E2F"/>
    <w:rsid w:val="00A56164"/>
    <w:rsid w:val="00A72C35"/>
    <w:rsid w:val="00A77320"/>
    <w:rsid w:val="00A972E6"/>
    <w:rsid w:val="00AB1DA6"/>
    <w:rsid w:val="00AB5733"/>
    <w:rsid w:val="00AB76F4"/>
    <w:rsid w:val="00AC5AAD"/>
    <w:rsid w:val="00AC734F"/>
    <w:rsid w:val="00AC7AC2"/>
    <w:rsid w:val="00AD0CDE"/>
    <w:rsid w:val="00AE180F"/>
    <w:rsid w:val="00AE5581"/>
    <w:rsid w:val="00AE79AF"/>
    <w:rsid w:val="00B21097"/>
    <w:rsid w:val="00B362F7"/>
    <w:rsid w:val="00B47E37"/>
    <w:rsid w:val="00B5456B"/>
    <w:rsid w:val="00B66A91"/>
    <w:rsid w:val="00B74B53"/>
    <w:rsid w:val="00B80CB8"/>
    <w:rsid w:val="00B87BB2"/>
    <w:rsid w:val="00BA3753"/>
    <w:rsid w:val="00BB7F4B"/>
    <w:rsid w:val="00BC0A87"/>
    <w:rsid w:val="00BC26E4"/>
    <w:rsid w:val="00BC31D4"/>
    <w:rsid w:val="00BD1EAA"/>
    <w:rsid w:val="00BF0AFC"/>
    <w:rsid w:val="00BF6786"/>
    <w:rsid w:val="00C145D5"/>
    <w:rsid w:val="00C3464B"/>
    <w:rsid w:val="00C47D32"/>
    <w:rsid w:val="00C52739"/>
    <w:rsid w:val="00C6260A"/>
    <w:rsid w:val="00C631B0"/>
    <w:rsid w:val="00C73915"/>
    <w:rsid w:val="00C827FF"/>
    <w:rsid w:val="00C8553D"/>
    <w:rsid w:val="00C85960"/>
    <w:rsid w:val="00CA4C4E"/>
    <w:rsid w:val="00CD34AC"/>
    <w:rsid w:val="00CE6558"/>
    <w:rsid w:val="00D006EE"/>
    <w:rsid w:val="00D0313F"/>
    <w:rsid w:val="00D20472"/>
    <w:rsid w:val="00D231C3"/>
    <w:rsid w:val="00D247DF"/>
    <w:rsid w:val="00D27085"/>
    <w:rsid w:val="00D318E7"/>
    <w:rsid w:val="00D41CF1"/>
    <w:rsid w:val="00D531A6"/>
    <w:rsid w:val="00D53535"/>
    <w:rsid w:val="00D67C2E"/>
    <w:rsid w:val="00D7044F"/>
    <w:rsid w:val="00D7202C"/>
    <w:rsid w:val="00D73AC9"/>
    <w:rsid w:val="00D8432D"/>
    <w:rsid w:val="00D90F9F"/>
    <w:rsid w:val="00DC4F54"/>
    <w:rsid w:val="00DD1780"/>
    <w:rsid w:val="00DE19FF"/>
    <w:rsid w:val="00DF449D"/>
    <w:rsid w:val="00E23EA5"/>
    <w:rsid w:val="00E372F6"/>
    <w:rsid w:val="00E6198D"/>
    <w:rsid w:val="00E81BA6"/>
    <w:rsid w:val="00E856D2"/>
    <w:rsid w:val="00E87F92"/>
    <w:rsid w:val="00E929A7"/>
    <w:rsid w:val="00E93690"/>
    <w:rsid w:val="00E94C85"/>
    <w:rsid w:val="00E967C1"/>
    <w:rsid w:val="00EB65CC"/>
    <w:rsid w:val="00EB761F"/>
    <w:rsid w:val="00EC3E24"/>
    <w:rsid w:val="00ED7C9E"/>
    <w:rsid w:val="00ED7E33"/>
    <w:rsid w:val="00EE1FA3"/>
    <w:rsid w:val="00EE40A0"/>
    <w:rsid w:val="00EF77AF"/>
    <w:rsid w:val="00F07392"/>
    <w:rsid w:val="00F155E1"/>
    <w:rsid w:val="00F15819"/>
    <w:rsid w:val="00F332FC"/>
    <w:rsid w:val="00F40D6E"/>
    <w:rsid w:val="00F94509"/>
    <w:rsid w:val="00FB5991"/>
    <w:rsid w:val="00FC228C"/>
    <w:rsid w:val="00FC42F1"/>
    <w:rsid w:val="00FC6460"/>
    <w:rsid w:val="00FD0D14"/>
    <w:rsid w:val="00FD4379"/>
    <w:rsid w:val="00FD4BC4"/>
    <w:rsid w:val="00FD549E"/>
    <w:rsid w:val="00FE24DE"/>
    <w:rsid w:val="00FF49C4"/>
    <w:rsid w:val="00FF4B50"/>
    <w:rsid w:val="00FF654E"/>
  </w:rsids>
  <w:docVars>
    <w:docVar w:name="AMACTMNU" w:val=" 2"/>
    <w:docVar w:name="AMPLURMNU" w:val=" 1"/>
    <w:docVar w:name="AUTHORMFMNU" w:val=" 1"/>
    <w:docVar w:name="CJMNU" w:val="1"/>
    <w:docVar w:name="CODEMNU" w:val=" 3"/>
    <w:docVar w:name="COM2KEY" w:val="BUDG"/>
    <w:docVar w:name="COMKEY" w:val="BUDG"/>
    <w:docVar w:name="CONTRIBUTIONMNU" w:val=" 2"/>
    <w:docVar w:name="CopyToNetwork" w:val="-1"/>
    <w:docVar w:name="CVar" w:val="3"/>
    <w:docVar w:name="DOCDT" w:val="15/04/2026"/>
    <w:docVar w:name="DOCMNU" w:val=" 1"/>
    <w:docVar w:name="FONCTIONMNU" w:val=" 1"/>
    <w:docVar w:name="iNoAmend" w:val="3"/>
    <w:docVar w:name="LastEditedSection" w:val=" 1"/>
    <w:docVar w:name="ORLANGKEY" w:val="EN"/>
    <w:docVar w:name="ORLANGMNU" w:val=" 1"/>
    <w:docVar w:name="PROPOSALCOD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391\fbidi \froman\fcharset238\fprq2 Cambria Math CE;}{\f392\fbidi \froman\fcharset204\fprq2 Cambria Math Cyr;}&#13;_x000a_{\f394\fbidi \froman\fcharset161\fprq2 Cambria Math Greek;}{\f395\fbidi \froman\fcharset162\fprq2 Cambria Math Tur;}{\f398\fbidi \froman\fcharset186\fprq2 Cambria Math Baltic;}{\f39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027074 HideTWBExt;}{\*\cs18 \additive \v\f1\fs20\cf15 &#13;_x000a_\spriority0 \styrsid4027074 HideTWBInt;}{\s19\ql \li0\ri0\nowidctlpar\wrapdefault\aspalpha\aspnum\faauto\adjustright\rin0\lin0\itap0 \rtlch\fcs1 \af0\afs20\alang1025 \ltrch\fcs0 \b\fs24\lang2057\langfe2057\cgrid\langnp2057\langfenp2057 &#13;_x000a_\sbasedon0 \snext19 \spriority0 \styrsid4027074 NormalBold;}{\s20\ql \li0\ri0\sa120\nowidctlpar\wrapdefault\aspalpha\aspnum\faauto\adjustright\rin0\lin0\itap0 \rtlch\fcs1 \af0\afs20\alang1025 \ltrch\fcs0 &#13;_x000a_\fs24\lang2057\langfe2057\cgrid\langnp2057\langfenp2057 \sbasedon0 \snext20 \spriority0 \styrsid4027074 Normal6a;}{\s21\qc \li0\ri0\sa240\nowidctlpar\wrapdefault\aspalpha\aspnum\faauto\adjustright\rin0\lin0\itap0 \rtlch\fcs1 \af0\afs20\alang1025 &#13;_x000a_\ltrch\fcs0 \i\fs24\lang2057\langfe2057\cgrid\langnp2057\langfenp2057 \sbasedon0 \snext21 \spriority0 \styrsid402707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4027074 AmNumberTabs;}{\s23\ql \li0\ri0\sa240\nowidctlpar\wrapdefault\aspalpha\aspnum\faauto\adjustright\rin0\lin0\itap0 \rtlch\fcs1 &#13;_x000a_\af0\afs20\alang1025 \ltrch\fcs0 \i\fs24\lang2057\langfe2057\cgrid\langnp2057\langfenp2057 \sbasedon0 \snext23 \spriority0 \styrsid4027074 AmJustText;}{&#13;_x000a_\s24\qc \li0\ri0\sb240\sa240\nowidctlpar\wrapdefault\aspalpha\aspnum\faauto\adjustright\rin0\lin0\itap0 \rtlch\fcs1 \af0\afs20\alang1025 \ltrch\fcs0 \i\fs24\lang2057\langfe2057\cgrid\langnp2057\langfenp2057 \sbasedon0 \snext24 \spriority0 \styrsid4027074 &#13;_x000a_AmCrossRef;}{\s25\qc \li0\ri0\sb240\sa240\keepn\nowidctlpar\wrapdefault\aspalpha\aspnum\faauto\adjustright\rin0\lin0\itap0 \rtlch\fcs1 \af0\afs20\alang1025 \ltrch\fcs0 \i\fs24\lang2057\langfe2057\cgrid\langnp2057\langfenp2057 &#13;_x000a_\sbasedon0 \snext23 \spriority0 \styrsid4027074 AmJustTitle;}{\s26\ql \li0\ri0\sb240\nowidctlpar\wrapdefault\aspalpha\aspnum\faauto\adjustright\rin0\lin0\itap0 \rtlch\fcs1 \af0\afs20\alang1025 \ltrch\fcs0 &#13;_x000a_\b\fs24\lang2057\langfe2057\cgrid\langnp2057\langfenp2057 \sbasedon0 \snext26 \spriority0 \styrsid4027074 NormalBold12b;}}{\*\rsidtbl \rsid24658\rsid223860\rsid735077\rsid1718133\rsid2892074\rsid3565327\rsid4027074\rsid4666813\rsid6641733\rsid6974997&#13;_x000a_\rsid7823322\rsid9636012\rsid10377208\rsid11215221\rsid11549030\rsid12154954\rsid12323463\rsid14382809\rsid14424199\rsid15204470\rsid15285974\rsid15950462\rsid16324206\rsid16662270}{\mmathPr\mmathFont34\mbrkBin0\mbrkBinSub0\msmallFrac0\mdispDef1\mlMargin0&#13;_x000a_\mrMargin0\mdefJc1\mwrapIndent1440\mintLim0\mnaryLim1}{\info{\author FONSECA DOS SANTOS Ines}{\operator FONSECA DOS SANTOS Ines}{\creatim\yr2026\mo7\dy15\hr14\min54}{\revtim\yr2026\mo7\dy15\hr14\min54}{\version1}{\edmins0}{\nofpages1}{\nofwords105}&#13;_x000a_{\nofchars596}{\nofcharsws69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027074\newtblstyruls\nogrowautofit\usenormstyforlist\noindnmbrts\felnbrelev\nocxsptable\indrlsweleven\noafcnsttbl\afelev\utinl\hwelev\spltpgpar\notcvasp\notbrkcnstfrctbl\notvatxbx\krnprsnet\cachedcolbal &#13;_x000a_\nouicompat \fet0{\*\wgrffmtfilter 013f}\nofeaturethrottle1\ilfomacatclnup0{\*\template C:\\Users\\IFONSE~1\\AppData\\Local\\Temp\\Blank1.dotx}{\*\ftnsep \ltrpar \pard\plain \ltrpar&#13;_x000a_\ql \li0\ri0\widctlpar\wrapdefault\aspalpha\aspnum\faauto\adjustright\rin0\lin0\itap0 \rtlch\fcs1 \af0\afs20\alang1025 \ltrch\fcs0 \fs24\lang2057\langfe2057\cgrid\langnp2057\langfenp2057 {\rtlch\fcs1 \af0 \ltrch\fcs0 \insrsid6974997 \chftnsep &#13;_x000a_\par }}{\*\ftnsepc \ltrpar \pard\plain \ltrpar\ql \li0\ri0\widctlpar\wrapdefault\aspalpha\aspnum\faauto\adjustright\rin0\lin0\itap0 \rtlch\fcs1 \af0\afs20\alang1025 \ltrch\fcs0 \fs24\lang2057\langfe2057\cgrid\langnp2057\langfenp2057 {\rtlch\fcs1 \af0 &#13;_x000a_\ltrch\fcs0 \insrsid6974997 \chftnsepc &#13;_x000a_\par }}{\*\aftnsep \ltrpar \pard\plain \ltrpar\ql \li0\ri0\widctlpar\wrapdefault\aspalpha\aspnum\faauto\adjustright\rin0\lin0\itap0 \rtlch\fcs1 \af0\afs20\alang1025 \ltrch\fcs0 \fs24\lang2057\langfe2057\cgrid\langnp2057\langfenp2057 {\rtlch\fcs1 \af0 &#13;_x000a_\ltrch\fcs0 \insrsid6974997 \chftnsep &#13;_x000a_\par }}{\*\aftnsepc \ltrpar \pard\plain \ltrpar\ql \li0\ri0\widctlpar\wrapdefault\aspalpha\aspnum\faauto\adjustright\rin0\lin0\itap0 \rtlch\fcs1 \af0\afs20\alang1025 \ltrch\fcs0 \fs24\lang2057\langfe2057\cgrid\langnp2057\langfenp2057 {\rtlch\fcs1 \af0 &#13;_x000a_\ltrch\fcs0 \insrsid697499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502307 \rtlch\fcs1 &#13;_x000a_\af0\afs20\alang1025 \ltrch\fcs0 \b\fs24\lang2057\langfe2057\cgrid\langnp2057\langfenp2057 {\rtlch\fcs1 \af0 \ltrch\fcs0 \cs17\b0\v\fs20\cf9\lang1024\langfe1024\loch\af1\hich\af1\dbch\af31501\noproof\insrsid4027074\charrsid2639416 {\*\bkmkstart restart}&#13;_x000a_\hich\af1\dbch\af31501\loch\f1 &lt;Amend&gt;}{\rtlch\fcs1 \af0 \ltrch\fcs0 \insrsid4027074\charrsid2639416 Amendment\tab \tab }{\rtlch\fcs1 \af0 \ltrch\fcs0 &#13;_x000a_\cs17\b0\v\fs20\cf9\lang1024\langfe1024\loch\af1\hich\af1\dbch\af31501\noproof\insrsid4027074\charrsid2639416 \hich\af1\dbch\af31501\loch\f1 &lt;NumAm&gt;}{\rtlch\fcs1 \af0 \ltrch\fcs0 \insrsid4027074\charrsid2639416 #}{\rtlch\fcs1 \af0 \ltrch\fcs0 &#13;_x000a_\cs18\v\f1\fs20\cf15\insrsid4027074\charrsid2639416 ENMIENDA@NRAM@}{\rtlch\fcs1 \af0 \ltrch\fcs0 \insrsid4027074\charrsid2639416 #}{\rtlch\fcs1 \af0 \ltrch\fcs0 &#13;_x000a_\cs17\b0\v\fs20\cf9\lang1024\langfe1024\loch\af1\hich\af1\dbch\af31501\noproof\insrsid4027074\charrsid2639416 \hich\af1\dbch\af31501\loch\f1 &lt;/NumAm&gt;}{\rtlch\fcs1 \af0 \ltrch\fcs0 \insrsid4027074\charrsid2639416 &#13;_x000a_\par }\pard\plain \ltrpar\s26\ql \li0\ri0\sb240\keepn\nowidctlpar\wrapdefault\aspalpha\aspnum\faauto\adjustright\rin0\lin0\itap0\pararsid2502307 \rtlch\fcs1 \af0\afs20\alang1025 \ltrch\fcs0 \b\fs24\lang2057\langfe2057\cgrid\langnp2057\langfenp2057 {&#13;_x000a_\rtlch\fcs1 \af0 \ltrch\fcs0 \cs17\b0\v\fs20\cf9\lang1024\langfe1024\loch\af1\hich\af1\dbch\af31501\noproof\insrsid4027074\charrsid2639416 \hich\af1\dbch\af31501\loch\f1 &lt;DocAmend&gt;}{\rtlch\fcs1 \af0 \ltrch\fcs0 \insrsid4027074\charrsid2639416 #}{&#13;_x000a_\rtlch\fcs1 \af0 \ltrch\fcs0 \cs18\v\f1\fs20\cf15\insrsid4027074\charrsid2639416 MNU[PROPCOM][PROPCOUNC]@CHOICE@TITLEMNU}{\rtlch\fcs1 \af0 \ltrch\fcs0 \insrsid4027074\charrsid2639416 ##}{\rtlch\fcs1 \af0 \ltrch\fcs0 &#13;_x000a_\cs18\v\f1\fs20\cf15\insrsid4027074\charrsid2639416 MNU[AMACTYES][NOTAPP]@CHOICE@AMACTMNU}{\rtlch\fcs1 \af0 \ltrch\fcs0 \insrsid4027074\charrsid2639416 #}{\rtlch\fcs1 \af0 \ltrch\fcs0 &#13;_x000a_\cs17\b0\v\fs20\cf9\lang1024\langfe1024\loch\af1\hich\af1\dbch\af31501\noproof\insrsid4027074\charrsid2639416 \hich\af1\dbch\af31501\loch\f1 &lt;/DocAmend&gt;}{\rtlch\fcs1 \af0 \ltrch\fcs0 \insrsid4027074\charrsid2639416 &#13;_x000a_\par }\pard\plain \ltrpar\s19\ql \li0\ri0\nowidctlpar\wrapdefault\aspalpha\aspnum\faauto\adjustright\rin0\lin0\itap0\pararsid2502307 \rtlch\fcs1 \af0\afs20\alang1025 \ltrch\fcs0 \b\fs24\lang2057\langfe2057\cgrid\langnp2057\langfenp2057 {\rtlch\fcs1 \af0 &#13;_x000a_\ltrch\fcs0 \cs17\b0\v\fs20\cf9\lang1024\langfe1024\loch\af1\hich\af1\dbch\af31501\noproof\insrsid4027074\charrsid2639416 \hich\af1\dbch\af31501\loch\f1 &lt;Article&gt;}{\rtlch\fcs1 \af0 \ltrch\fcs0 \insrsid4027074\charrsid2639416 #}{\rtlch\fcs1 \af0 &#13;_x000a_\ltrch\fcs0 \cs18\v\f1\fs20\cf15\insrsid4027074\charrsid2639416 MNU[AMACTPARTYES][AMACTPARTNO]@CHOICE@AMACTMNU}{\rtlch\fcs1 \af0 \ltrch\fcs0 \insrsid4027074\charrsid2639416 #}{\rtlch\fcs1 \af0 \ltrch\fcs0 &#13;_x000a_\cs17\b0\v\fs20\cf9\lang1024\langfe1024\loch\af1\hich\af1\dbch\af31501\noproof\insrsid4027074\charrsid2639416 \hich\af1\dbch\af31501\loch\f1 &lt;/Article&gt;}{\rtlch\fcs1 \af0 \ltrch\fcs0 \insrsid4027074\charrsid2639416 &#13;_x000a_\par }\pard\plain \ltrpar\ql \li0\ri0\keepn\widctlpar\wrapdefault\aspalpha\aspnum\faauto\adjustright\rin0\lin0\itap0\pararsid2502307 \rtlch\fcs1 \af0\afs20\alang1025 \ltrch\fcs0 \fs24\lang2057\langfe2057\cgrid\langnp2057\langfenp2057 {\rtlch\fcs1 \af0 &#13;_x000a_\ltrch\fcs0 \cs17\v\fs20\cf9\lang1024\langfe1024\loch\af1\hich\af1\dbch\af31501\noproof\insrsid4027074\charrsid2639416 \hich\af1\dbch\af31501\loch\f1 &lt;DocAmend2&gt;&lt;OptDel&gt;}{\rtlch\fcs1 \af0 \ltrch\fcs0 \insrsid4027074\charrsid2639416 #}{\rtlch\fcs1 \af0 &#13;_x000a_\ltrch\fcs0 \cs18\v\f1\fs20\cf15\insrsid4027074\charrsid2639416 MNU[OPTNRACTYES][NOTAPP]@CHOICE@AMACTMNU}{\rtlch\fcs1 \af0 \ltrch\fcs0 \insrsid4027074\charrsid2639416 #}{\rtlch\fcs1 \af0 \ltrch\fcs0 &#13;_x000a_\cs17\v\fs20\cf9\lang1024\langfe1024\loch\af1\hich\af1\dbch\af31501\noproof\insrsid4027074\charrsid2639416 \hich\af1\dbch\af31501\loch\f1 &lt;/OptDel&gt;&lt;/DocAmend2&gt;}{\rtlch\fcs1 \af0 \ltrch\fcs0 \insrsid4027074\charrsid2639416 &#13;_x000a_\par }\pard \ltrpar\ql \li0\ri0\widctlpar\wrapdefault\aspalpha\aspnum\faauto\adjustright\rin0\lin0\itap0\pararsid2502307 {\rtlch\fcs1 \af0 \ltrch\fcs0 \cs17\v\fs20\cf9\lang1024\langfe1024\loch\af1\hich\af1\dbch\af31501\noproof\insrsid4027074\charrsid2639416 &#13;_x000a_\hich\af1\dbch\af31501\loch\f1 &lt;Article2&gt;&lt;OptDel&gt;}{\rtlch\fcs1 \af0 \ltrch\fcs0 \insrsid4027074\charrsid2639416 #}{\rtlch\fcs1 \af0 \ltrch\fcs0 \cs18\v\f1\fs20\cf15\insrsid4027074\charrsid2639416 MNU[OPTACTPARTYES][NOTAPP]@CHOICE@AMACTMNU}{\rtlch\fcs1 &#13;_x000a_\af0 \ltrch\fcs0 \insrsid4027074\charrsid2639416 #}{\rtlch\fcs1 \af0 \ltrch\fcs0 \cs17\v\fs20\cf9\lang1024\langfe1024\loch\af1\hich\af1\dbch\af31501\noproof\insrsid4027074\charrsid2639416 \hich\af1\dbch\af31501\loch\f1 &lt;/OptDel&gt;&lt;/Article2&gt;}{\rtlch\fcs1 &#13;_x000a_\af0 \ltrch\fcs0 \insrsid4027074\charrsid2639416 &#13;_x000a_\par \ltrrow}\trowd \ltrrow\ts11\trqc\trgaph340\trleft-340\trftsWidth3\trftsWidthB3\trpaddl340\trpaddr340\trpaddfl3\trpaddft3\trpaddfb3\trpaddfr3\tblrsid11085200\tbllkhdrrows\tbllkhdrcols\tbllknocolband\tblind0\tblindtype3 \clvertalt\clbrdrt\brdrtbl \clbrdrl&#13;_x000a_\brdrtbl \clbrdrb\brdrtbl \clbrdrr\brdrtbl \cltxlrtb\clftsWidth3\clwWidth9752\clshdrawnil \cellx9412\pard \ltrpar\ql \li0\ri0\keepn\widctlpar\intbl\wrapdefault\aspalpha\aspnum\faauto\adjustright\rin0\lin0\pararsid11085200 {\rtlch\fcs1 \af0 \ltrch\fcs0 &#13;_x000a_\insrsid4027074\charrsid2639416 \cell }\pard \ltrpar\ql \li0\ri0\widctlpar\intbl\wrapdefault\aspalpha\aspnum\faauto\adjustright\rin0\lin0 {\rtlch\fcs1 \af0 \ltrch\fcs0 \insrsid4027074\charrsid2639416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9752\clshdrawnil \cellx9412\row \ltrrow}\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13;_x000a_\pard\plain \ltrpar\s21\qc \li0\ri0\sa240\keepn\nowidctlpar\intbl\wrapdefault\aspalpha\aspnum\faauto\adjustright\rin0\lin0\pararsid11085200 \rtlch\fcs1 \af0\afs20\alang1025 \ltrch\fcs0 \i\fs24\lang2057\langfe2057\cgrid\langnp2057\langfenp2057 {&#13;_x000a_\rtlch\fcs1 \af0 \ltrch\fcs0 \insrsid4027074\charrsid2639416 #}{\rtlch\fcs1 \af0 \ltrch\fcs0 \cs18\v\f1\fs20\cf15\insrsid4027074\charrsid2639416 MNU[OPTLEFTAMACT][LEFTPROP]@CHOICE@AMACTMNU}{\rtlch\fcs1 \af0 \ltrch\fcs0 \insrsid4027074\charrsid2639416 #&#13;_x000a_\cell Amendment\cell }\pard\plain \ltrpar\ql \li0\ri0\widctlpar\intbl\wrapdefault\aspalpha\aspnum\faauto\adjustright\rin0\lin0 \rtlch\fcs1 \af0\afs20\alang1025 \ltrch\fcs0 \fs24\lang2057\langfe2057\cgrid\langnp2057\langfenp2057 {\rtlch\fcs1 \af0 &#13;_x000a_\ltrch\fcs0 \insrsid4027074\charrsid2639416 \trowd \ltrrow\ts11\trqc\trgaph340\trleft-340\trftsWidth3\trftsWidthB3\trpaddl340\trpaddr340\trpaddfl3\trpaddft3\trpaddfb3\trpaddfr3\tblrsid11085200\tbllkhdrrows\tbllkhdrcols\tbllknocolband\tblind0\tblindtype3 &#13;_x000a_\clvertalt\clbrdrt\brdrtbl \clbrdrl\brdrtbl \clbrdrb\brdrtbl \clbrdrr\brdrtbl \cltxlrtb\clftsWidth3\clwWidth4876\clshdrawnil\clhidemark \cellx4536\clvertalt\clbrdrt\brdrtbl \clbrdrl\brdrtbl \clbrdrb\brdrtbl \clbrdrr\brdrtbl &#13;_x000a_\cltxlrtb\clftsWidth3\clwWidth4876\clshdrawnil\clhidemark \cellx9412\row \ltrrow}\pard\plain \ltrpar\s20\ql \li0\ri0\sa120\nowidctlpar\intbl\wrapdefault\aspalpha\aspnum\faauto\adjustright\rin0\lin0\pararsid11085200 \rtlch\fcs1 \af0\afs20\alang1025 &#13;_x000a_\ltrch\fcs0 \fs24\lang2057\langfe2057\cgrid\langnp2057\langfenp2057 {\rtlch\fcs1 \af0 \ltrch\fcs0 \insrsid4027074\charrsid2639416 #}{\rtlch\fcs1 \af0 \ltrch\fcs0 \cs18\v\f1\fs20\cf15\insrsid4027074\charrsid2639416 MNU[TEXTLEVA][TEXTLOTHER]@CHOICE@TEXTRMNU&#13;_x000a_}{\rtlch\fcs1 \af0 \ltrch\fcs0 \insrsid4027074\charrsid2639416 #\cell #}{\rtlch\fcs1 \af0 \ltrch\fcs0 \cs18\v\f1\fs20\cf15\insrsid4027074\charrsid2639416 MNU[TEXTREVA][TEXTROTHER]@CHOICE@TEXTRMNU}{\rtlch\fcs1 \af0 \ltrch\fcs0 &#13;_x000a_\insrsid4027074\charrsid2639416 #\cell }\pard\plain \ltrpar\ql \li0\ri0\widctlpar\intbl\wrapdefault\aspalpha\aspnum\faauto\adjustright\rin0\lin0 \rtlch\fcs1 \af0\afs20\alang1025 \ltrch\fcs0 \fs24\lang2057\langfe2057\cgrid\langnp2057\langfenp2057 {&#13;_x000a_\rtlch\fcs1 \af0 \ltrch\fcs0 \insrsid4027074\charrsid2639416 \trowd \lastrow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13;_x000a_}\pard\plain \ltrpar\s24\qc \li0\ri0\sb240\sa240\nowidctlpar\wrapdefault\aspalpha\aspnum\faauto\adjustright\rin0\lin0\itap0\pararsid2502307 \rtlch\fcs1 \af0\afs20\alang1025 \ltrch\fcs0 \i\fs24\lang2057\langfe2057\cgrid\langnp2057\langfenp2057 {&#13;_x000a_\rtlch\fcs1 \af0 \ltrch\fcs0 \cs17\i0\v\fs20\cf9\lang1024\langfe1024\loch\af1\hich\af1\dbch\af31501\noproof\insrsid4027074\charrsid2639416 \hich\af1\dbch\af31501\loch\f1 &lt;OptDel&gt;}{\rtlch\fcs1 \af0 \ltrch\fcs0 \insrsid4027074\charrsid2639416 #}{&#13;_x000a_\rtlch\fcs1 \af0 \ltrch\fcs0 \cs18\v\f1\fs20\cf15\insrsid4027074\charrsid2639416 MNU[CROSSREFNO][CROSSREFYES]@CHOICE@}{\rtlch\fcs1 \af0 \ltrch\fcs0 \insrsid4027074\charrsid2639416 #}{\rtlch\fcs1 \af0 \ltrch\fcs0 &#13;_x000a_\cs17\i0\v\fs20\cf9\lang1024\langfe1024\loch\af1\hich\af1\dbch\af31501\noproof\insrsid4027074\charrsid2639416 \hich\af1\dbch\af31501\loch\f1 &lt;/OptDel&gt;}{\rtlch\fcs1 \af0 \ltrch\fcs0 \insrsid4027074\charrsid2639416 &#13;_x000a_\par }\pard\plain \ltrpar\s25\qc \li0\ri0\sb240\sa240\keepn\nowidctlpar\wrapdefault\aspalpha\aspnum\faauto\adjustright\rin0\lin0\itap0\pararsid2502307 \rtlch\fcs1 \af0\afs20\alang1025 \ltrch\fcs0 \i\fs24\lang2057\langfe2057\cgrid\langnp2057\langfenp2057 {&#13;_x000a_\rtlch\fcs1 \af0 \ltrch\fcs0 \cs17\i0\v\fs20\cf9\lang1024\langfe1024\loch\af1\hich\af1\dbch\af31501\noproof\insrsid4027074\charrsid2639416 \hich\af1\dbch\af31501\loch\f1 &lt;TitreJust&gt;}{\rtlch\fcs1 \af0 \ltrch\fcs0 \insrsid4027074\charrsid2639416 &#13;_x000a_Justification}{\rtlch\fcs1 \af0 \ltrch\fcs0 \cs17\i0\v\fs20\cf9\lang1024\langfe1024\loch\af1\hich\af1\dbch\af31501\noproof\insrsid4027074\charrsid2639416 \hich\af1\dbch\af31501\loch\f1 &lt;/TitreJust&gt;}{\rtlch\fcs1 \af0 \ltrch\fcs0 &#13;_x000a_\insrsid4027074\charrsid2639416 &#13;_x000a_\par }\pard\plain \ltrpar\s23\ql \li0\ri0\sa240\nowidctlpar\wrapdefault\aspalpha\aspnum\faauto\adjustright\rin0\lin0\itap0\pararsid2502307 \rtlch\fcs1 \af0\afs20\alang1025 \ltrch\fcs0 \i\fs24\lang2057\langfe2057\cgrid\langnp2057\langfenp2057 {\rtlch\fcs1 \af0 &#13;_x000a_\ltrch\fcs0 \cs17\i0\v\fs20\cf9\lang1024\langfe1024\loch\af1\hich\af1\dbch\af31501\noproof\insrsid4027074\charrsid2639416 \hich\af1\dbch\af31501\loch\f1 &lt;OptDelPrev&gt;}{\rtlch\fcs1 \af0 \ltrch\fcs0 \insrsid4027074\charrsid2639416 #}{\rtlch\fcs1 \af0 &#13;_x000a_\ltrch\fcs0 \cs18\v\f1\fs20\cf15\insrsid4027074\charrsid2639416 MNU[TEXTJUSTYES][TEXTJUSTNO]@CHOICE@}{\rtlch\fcs1 \af0 \ltrch\fcs0 \insrsid4027074\charrsid2639416 #}{\rtlch\fcs1 \af0 \ltrch\fcs0 &#13;_x000a_\cs17\i0\v\fs20\cf9\lang1024\langfe1024\loch\af1\hich\af1\dbch\af31501\noproof\insrsid4027074\charrsid2639416 \hich\af1\dbch\af31501\loch\f1 &lt;/OptDelPrev&gt;}{\rtlch\fcs1 \af0 \ltrch\fcs0 \insrsid4027074\charrsid2639416 &#13;_x000a_\par }\pard\plain \ltrpar\ql \li0\ri0\widctlpar\wrapdefault\aspalpha\aspnum\faauto\adjustright\rin0\lin0\itap0\pararsid2502307 \rtlch\fcs1 \af0\afs20\alang1025 \ltrch\fcs0 \fs24\lang2057\langfe2057\cgrid\langnp2057\langfenp2057 {\rtlch\fcs1 \af0 \ltrch\fcs0 &#13;_x000a_\cs17\v\fs20\cf9\lang1024\langfe1024\loch\af1\hich\af1\dbch\af31501\noproof\insrsid4027074\charrsid2639416 \hich\af1\dbch\af31501\loch\f1 &lt;/Amend&gt;}{\rtlch\fcs1 \af0 \ltrch\fcs0 \insrsid4027074\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d9&#13;_x000a_c223591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2\fbidi \froman\fcharset238\fprq2 Times New Roman CE;}{\f53\fbidi \froman\fcharset204\fprq2 Times New Roman Cyr;}&#13;_x000a_{\f55\fbidi \froman\fcharset161\fprq2 Times New Roman Greek;}{\f56\fbidi \froman\fcharset162\fprq2 Times New Roman Tur;}{\f57\fbidi \froman\fcharset177\fprq2 Times New Roman (Hebrew);}{\f58\fbidi \froman\fcharset178\fprq2 Times New Roman (Arabic);}&#13;_x000a_{\f59\fbidi \froman\fcharset186\fprq2 Times New Roman Baltic;}{\f60\fbidi \froman\fcharset163\fprq2 Times New Roman (Vietnamese);}{\f62\fbidi \fswiss\fcharset238\fprq2 Arial CE;}{\f63\fbidi \fswiss\fcharset204\fprq2 Arial Cyr;}&#13;_x000a_{\f65\fbidi \fswiss\fcharset161\fprq2 Arial Greek;}{\f66\fbidi \fswiss\fcharset162\fprq2 Arial Tur;}{\f67\fbidi \fswiss\fcharset177\fprq2 Arial (Hebrew);}{\f68\fbidi \fswiss\fcharset178\fprq2 Arial (Arabic);}&#13;_x000a_{\f69\fbidi \fswiss\fcharset186\fprq2 Arial Baltic;}{\f70\fbidi \fswiss\fcharset163\fprq2 Arial (Vietnamese);}{\f392\fbidi \froman\fcharset238\fprq2 Cambria Math CE;}{\f393\fbidi \froman\fcharset204\fprq2 Cambria Math Cyr;}&#13;_x000a_{\f395\fbidi \froman\fcharset161\fprq2 Cambria Math Greek;}{\f396\fbidi \froman\fcharset162\fprq2 Cambria Math Tur;}{\f399\fbidi \froman\fcharset186\fprq2 Cambria Math Baltic;}{\f400\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2913305 HideTWBExt;}{&#13;_x000a_\s18\ql \li0\ri0\nowidctlpar\wrapdefault\aspalpha\aspnum\faauto\adjustright\rin0\lin0\itap0 \rtlch\fcs1 \af0\afs20\alang1025 \ltrch\fcs0 \b\fs24\lang2057\langfe2057\cgrid\langnp2057\langfenp2057 \sbasedon0 \snext18 \spriority0 \styrsid12913305 &#13;_x000a_NormalBold;}{\s19\ql \li0\ri0\sa120\nowidctlpar\wrapdefault\aspalpha\aspnum\faauto\adjustright\rin0\lin0\itap0 \rtlch\fcs1 \af0\afs20\alang1025 \ltrch\fcs0 \fs24\lang2057\langfe2057\cgrid\langnp2057\langfenp2057 &#13;_x000a_\sbasedon0 \snext19 \spriority0 \styrsid12913305 Normal6a;}{\s20\qc \li0\ri0\sa240\nowidctlpar\wrapdefault\aspalpha\aspnum\faauto\adjustright\rin0\lin0\itap0 \rtlch\fcs1 \af0\afs20\alang1025 \ltrch\fcs0 &#13;_x000a_\i\fs24\lang2057\langfe2057\cgrid\langnp2057\langfenp2057 \sbasedon0 \snext20 \spriority0 \styrsid12913305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12913305 AmNumberTabs;}{\s22\ql \li0\ri0\sa240\nowidctlpar\wrapdefault\aspalpha\aspnum\faauto\adjustright\rin0\lin0\itap0 \rtlch\fcs1 &#13;_x000a_\af0\afs20\alang1025 \ltrch\fcs0 \i\fs24\lang2057\langfe2057\cgrid\langnp2057\langfenp2057 \sbasedon0 \snext22 \spriority0 \styrsid12913305 AmJustText;}{&#13;_x000a_\s23\qc \li0\ri0\sb240\sa240\nowidctlpar\wrapdefault\aspalpha\aspnum\faauto\adjustright\rin0\lin0\itap0 \rtlch\fcs1 \af0\afs20\alang1025 \ltrch\fcs0 \i\fs24\lang2057\langfe2057\cgrid\langnp2057\langfenp2057 &#13;_x000a_\sbasedon0 \snext23 \spriority0 \styrsid12913305 AmCrossRef;}{\s24\qc \li0\ri0\sb240\sa240\keepn\nowidctlpar\wrapdefault\aspalpha\aspnum\faauto\adjustright\rin0\lin0\itap0 \rtlch\fcs1 \af0\afs20\alang1025 \ltrch\fcs0 &#13;_x000a_\i\fs24\lang2057\langfe2057\cgrid\langnp2057\langfenp2057 \sbasedon0 \snext22 \spriority0 \styrsid12913305 AmJustTitle;}{\s25\ql \li0\ri0\sb240\nowidctlpar\wrapdefault\aspalpha\aspnum\faauto\adjustright\rin0\lin0\itap0 \rtlch\fcs1 \af0\afs20\alang1025 &#13;_x000a_\ltrch\fcs0 \b\fs24\lang2057\langfe2057\cgrid\langnp2057\langfenp2057 \sbasedon0 \snext25 \spriority0 \styrsid12913305 NormalBold12b;}}{\*\rsidtbl \rsid24658\rsid223860\rsid735077\rsid1718133\rsid2892074\rsid3565327\rsid4666813\rsid6641733\rsid7823322&#13;_x000a_\rsid9636012\rsid10377208\rsid11215221\rsid11549030\rsid12154954\rsid12323463\rsid12913305\rsid13451078\rsid14382809\rsid14424199\rsid15204470\rsid15285974\rsid15950462\rsid16324206\rsid16662270}{\mmathPr\mmathFont34\mbrkBin0\mbrkBinSub0\msmallFrac0&#13;_x000a_\mdispDef1\mlMargin0\mrMargin0\mdefJc1\mwrapIndent1440\mintLim0\mnaryLim1}{\info{\author FONSECA DOS SANTOS Ines}{\operator FONSECA DOS SANTOS Ines}{\creatim\yr2026\mo7\dy15\hr14\min55}{\revtim\yr2026\mo7\dy15\hr14\min55}{\version1}{\edmins0}{\nofpages1}&#13;_x000a_{\nofwords55}{\nofchars312}{\nofcharsws36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2913305\newtblstyruls\nogrowautofit\usenormstyforlist\noindnmbrts\felnbrelev\nocxsptable\indrlsweleven\noafcnsttbl\afelev\utinl\hwelev\spltpgpar\notcvasp\notbrkcnstfrctbl\notvatxbx\krnprsnet\cachedcolbal &#13;_x000a_\nouicompat \fet0{\*\wgrffmtfilter 013f}\nofeaturethrottle1\ilfomacatclnup0{\*\template C:\\Users\\IFONSE~1\\AppData\\Local\\Temp\\Blank1.dotx}{\*\ftnsep \ltrpar \pard\plain \ltrpar&#13;_x000a_\ql \li0\ri0\widctlpar\wrapdefault\aspalpha\aspnum\faauto\adjustright\rin0\lin0\itap0 \rtlch\fcs1 \af0\afs20\alang1025 \ltrch\fcs0 \fs24\lang2057\langfe2057\cgrid\langnp2057\langfenp2057 {\rtlch\fcs1 \af0 \ltrch\fcs0 \insrsid13451078 \chftnsep &#13;_x000a_\par }}{\*\ftnsepc \ltrpar \pard\plain \ltrpar\ql \li0\ri0\widctlpar\wrapdefault\aspalpha\aspnum\faauto\adjustright\rin0\lin0\itap0 \rtlch\fcs1 \af0\afs20\alang1025 \ltrch\fcs0 \fs24\lang2057\langfe2057\cgrid\langnp2057\langfenp2057 {\rtlch\fcs1 \af0 &#13;_x000a_\ltrch\fcs0 \insrsid13451078 \chftnsepc &#13;_x000a_\par }}{\*\aftnsep \ltrpar \pard\plain \ltrpar\ql \li0\ri0\widctlpar\wrapdefault\aspalpha\aspnum\faauto\adjustright\rin0\lin0\itap0 \rtlch\fcs1 \af0\afs20\alang1025 \ltrch\fcs0 \fs24\lang2057\langfe2057\cgrid\langnp2057\langfenp2057 {\rtlch\fcs1 \af0 &#13;_x000a_\ltrch\fcs0 \insrsid13451078 \chftnsep &#13;_x000a_\par }}{\*\aftnsepc \ltrpar \pard\plain \ltrpar\ql \li0\ri0\widctlpar\wrapdefault\aspalpha\aspnum\faauto\adjustright\rin0\lin0\itap0 \rtlch\fcs1 \af0\afs20\alang1025 \ltrch\fcs0 \fs24\lang2057\langfe2057\cgrid\langnp2057\langfenp2057 {\rtlch\fcs1 \af0 &#13;_x000a_\ltrch\fcs0 \insrsid1345107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6293919 \rtlch\fcs1 &#13;_x000a_\af0\afs20\alang1025 \ltrch\fcs0 \b\fs24\lang2057\langfe2057\cgrid\langnp2057\langfenp2057 {\rtlch\fcs1 \af0 \ltrch\fcs0 \cs17\b0\v\fs20\cf9\lang1024\langfe1024\loch\af1\hich\af1\dbch\af31501\noproof\langnp1030\insrsid12913305 {\*\bkmkstart restart}&#13;_x000a_\hich\af1\dbch\af31501\loch\f1 &lt;Amend&gt;}{\rtlch\fcs1 \af0 \ltrch\fcs0 \lang1030\langfe2057\langnp1030\insrsid12913305 [ZAMENDMENT]\tab \tab }{\rtlch\fcs1 \af0 \ltrch\fcs0 &#13;_x000a_\cs17\b0\v\fs20\cf9\lang1024\langfe1024\loch\af1\hich\af1\dbch\af31501\noproof\langnp1030\insrsid12913305 \hich\af1\dbch\af31501\loch\f1 &lt;NumAm&gt;}{\rtlch\fcs1 \af0 \ltrch\fcs0 \lang1030\langfe2057\langnp1030\insrsid12913305 [ZNRAM]}{\rtlch\fcs1 \af0 &#13;_x000a_\ltrch\fcs0 \cs17\b0\v\fs20\cf9\lang1024\langfe1024\loch\af1\hich\af1\dbch\af31501\noproof\langnp1030\insrsid12913305 \hich\af1\dbch\af31501\loch\f1 &lt;/NumAm&gt;}{\rtlch\fcs1 \af0 \ltrch\fcs0 \lang1030\langfe2057\langnp1030\insrsid12913305 &#13;_x000a_\par }\pard\plain \ltrpar\s25\ql \li0\ri0\sb240\keepn\nowidctlpar\wrapdefault\aspalpha\aspnum\faauto\adjustright\rin0\lin0\itap0\pararsid6293919 \rtlch\fcs1 \af0\afs20\alang1025 \ltrch\fcs0 \b\fs24\lang2057\langfe2057\cgrid\langnp2057\langfenp2057 {&#13;_x000a_\rtlch\fcs1 \af0 \ltrch\fcs0 \cs17\b0\v\fs20\cf9\lang1024\langfe1024\loch\af1\hich\af1\dbch\af31501\noproof\langnp1030\insrsid12913305 \hich\af1\dbch\af31501\loch\f1 &lt;DocAmend&gt;}{\rtlch\fcs1 \af0 \ltrch\fcs0 \lang1030\langfe2057\langnp1030\insrsid12913305 &#13;_x000a_[ZPROPOSAL][ZAMACT]}{\rtlch\fcs1 \af0 \ltrch\fcs0 \cs17\b0\v\fs20\cf9\lang1024\langfe1024\loch\af1\hich\af1\dbch\af31501\noproof\langnp1030\insrsid12913305 \hich\af1\dbch\af31501\loch\f1 &lt;/DocAmend&gt;}{\rtlch\fcs1 \af0 \ltrch\fcs0 &#13;_x000a_\lang1030\langfe2057\langnp1030\insrsid12913305 &#13;_x000a_\par }\pard\plain \ltrpar\s18\ql \li0\ri0\nowidctlpar\wrapdefault\aspalpha\aspnum\faauto\adjustright\rin0\lin0\itap0\pararsid6293919 \rtlch\fcs1 \af0\afs20\alang1025 \ltrch\fcs0 \b\fs24\lang2057\langfe2057\cgrid\langnp2057\langfenp2057 {\rtlch\fcs1 \af0 &#13;_x000a_\ltrch\fcs0 \cs17\b0\v\fs20\cf9\lang1024\langfe1024\loch\af1\hich\af1\dbch\af31501\noproof\langnp1030\insrsid12913305 \hich\af1\dbch\af31501\loch\f1 &lt;Article&gt;}{\rtlch\fcs1 \af0 \ltrch\fcs0 \lang1030\langfe2057\langnp1030\insrsid12913305 [ZAMPART]}{&#13;_x000a_\rtlch\fcs1 \af0 \ltrch\fcs0 \cs17\b0\v\fs20\cf9\lang1024\langfe1024\loch\af1\hich\af1\dbch\af31501\noproof\langnp1030\insrsid12913305 \hich\af1\dbch\af31501\loch\f1 &lt;/Article&gt;}{\rtlch\fcs1 \af0 \ltrch\fcs0 \lang1030\langfe2057\langnp1030\insrsid12913305 &#13;_x000a_&#13;_x000a_\par }\pard\plain \ltrpar\ql \li0\ri0\keepn\widctlpar\wrapdefault\aspalpha\aspnum\faauto\adjustright\rin0\lin0\itap0\pararsid6293919 \rtlch\fcs1 \af0\afs20\alang1025 \ltrch\fcs0 \fs24\lang2057\langfe2057\cgrid\langnp2057\langfenp2057 {\rtlch\fcs1 \af0 &#13;_x000a_\ltrch\fcs0 \cs17\v\fs20\cf9\lang1024\langfe1024\loch\af1\hich\af1\dbch\af31501\noproof\langnp1030\insrsid12913305 \hich\af1\dbch\af31501\loch\f1 &lt;DocAmend2&gt;&lt;OptDel&gt;}{\rtlch\fcs1 \af0 \ltrch\fcs0 \lang1030\langfe2057\langnp1030\insrsid12913305 [ZNRACT]}{&#13;_x000a_\rtlch\fcs1 \af0 \ltrch\fcs0 \cs17\v\fs20\cf9\lang1024\langfe1024\loch\af1\hich\af1\dbch\af31501\noproof\langnp1030\insrsid12913305 \hich\af1\dbch\af31501\loch\f1 &lt;/OptDel&gt;&lt;/DocAmend2&gt;}{\rtlch\fcs1 \af0 \ltrch\fcs0 &#13;_x000a_\lang1030\langfe2057\langnp1030\insrsid12913305 &#13;_x000a_\par }\pard \ltrpar\ql \li0\ri0\widctlpar\wrapdefault\aspalpha\aspnum\faauto\adjustright\rin0\lin0\itap0\pararsid6293919 {\rtlch\fcs1 \af0 \ltrch\fcs0 \cs17\v\fs20\cf9\lang1024\langfe1024\loch\af1\hich\af1\dbch\af31501\noproof\langnp1036\insrsid12913305 &#13;_x000a_\hich\af1\dbch\af31501\loch\f1 &lt;Article2&gt;&lt;OptDel&gt;}{\rtlch\fcs1 \af0 \ltrch\fcs0 \lang1036\langfe2057\langnp1036\insrsid12913305 [ZACTPART]}{\rtlch\fcs1 \af0 \ltrch\fcs0 &#13;_x000a_\cs17\v\fs20\cf9\lang1024\langfe1024\loch\af1\hich\af1\dbch\af31501\noproof\langnp1036\insrsid12913305 \hich\af1\dbch\af31501\loch\f1 &lt;/OptDel&gt;&lt;/Article2&gt;}{\rtlch\fcs1 \af0 \ltrch\fcs0 \lang1036\langfe2057\langnp1036\insrsid12913305 &#13;_x000a_\par \ltrrow}\trowd \ltrrow\ts11\trqc\trgaph340\trleft-340\trftsWidth3\trftsWidthB3\trpaddl340\trpaddr340\trpaddfl3\trpaddft3\trpaddfb3\trpaddfr3\tblrsid11085200\tbllkhdrrows\tbllkhdrcols\tbllknocolband\tblind0\tblindtype3 \clvertalt\clbrdrt\brdrtbl \clbrdrl&#13;_x000a_\brdrtbl \clbrdrb\brdrtbl \clbrdrr\brdrtbl \cltxlrtb\clftsWidth3\clwWidth9752\clshdrawnil \cellx9412\pard \ltrpar\ql \li0\ri0\keepn\widctlpar\intbl\wrapdefault\aspalpha\aspnum\faauto\adjustright\rin0\lin0\pararsid11085200 {\rtlch\fcs1 \af0 \ltrch\fcs0 &#13;_x000a_\lang1036\langfe2057\langnp1036\insrsid12913305 \cell }\pard \ltrpar\ql \li0\ri0\widctlpar\intbl\wrapdefault\aspalpha\aspnum\faauto\adjustright\rin0\lin0 {\rtlch\fcs1 \af0 \ltrch\fcs0 \insrsid12913305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9752\clshdrawnil \cellx9412\row \ltrrow}\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13;_x000a_\pard\plain \ltrpar\s20\qc \li0\ri0\sa240\keepn\nowidctlpar\intbl\wrapdefault\aspalpha\aspnum\faauto\adjustright\rin0\lin0\pararsid11085200 \rtlch\fcs1 \af0\afs20\alang1025 \ltrch\fcs0 \i\fs24\lang2057\langfe2057\cgrid\langnp2057\langfenp2057 {&#13;_x000a_\rtlch\fcs1 \af0 \ltrch\fcs0 \insrsid12913305 [ZLEFT]\cell [ZRIGHT]\cell }\pard\plain \ltrpar\ql \li0\ri0\widctlpar\intbl\wrapdefault\aspalpha\aspnum\faauto\adjustright\rin0\lin0 \rtlch\fcs1 \af0\afs20\alang1025 \ltrch\fcs0 &#13;_x000a_\fs24\lang2057\langfe2057\cgrid\langnp2057\langfenp2057 {\rtlch\fcs1 \af0 \ltrch\fcs0 \insrsid12913305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ltrrow&#13;_x000a_}\pard\plain \ltrpar\s19\ql \li0\ri0\sa120\nowidctlpar\intbl\wrapdefault\aspalpha\aspnum\faauto\adjustright\rin0\lin0\pararsid11085200 \rtlch\fcs1 \af0\afs20\alang1025 \ltrch\fcs0 \fs24\lang2057\langfe2057\cgrid\langnp2057\langfenp2057 {\rtlch\fcs1 \af0 &#13;_x000a_\ltrch\fcs0 \insrsid12913305 [ZTEXTL]\cell [ZTEXTR]\cell }\pard\plain \ltrpar\ql \li0\ri0\widctlpar\intbl\wrapdefault\aspalpha\aspnum\faauto\adjustright\rin0\lin0 \rtlch\fcs1 \af0\afs20\alang1025 \ltrch\fcs0 &#13;_x000a_\fs24\lang2057\langfe2057\cgrid\langnp2057\langfenp2057 {\rtlch\fcs1 \af0 \ltrch\fcs0 \insrsid12913305 \trowd \lastrow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13;_x000a_}\pard\plain \ltrpar\s23\qc \li0\ri0\sb240\sa240\nowidctlpar\wrapdefault\aspalpha\aspnum\faauto\adjustright\rin0\lin0\itap0\pararsid6293919 \rtlch\fcs1 \af0\afs20\alang1025 \ltrch\fcs0 \i\fs24\lang2057\langfe2057\cgrid\langnp2057\langfenp2057 {&#13;_x000a_\rtlch\fcs1 \af0 \ltrch\fcs0 \cs17\i0\v\fs20\cf9\lang1024\langfe1024\loch\af1\hich\af1\dbch\af31501\noproof\insrsid12913305 \hich\af1\dbch\af31501\loch\f1 &lt;OptDel&gt;}{\rtlch\fcs1 \af0 \ltrch\fcs0 \insrsid12913305 [ZCROSSREF]}{\rtlch\fcs1 \af0 \ltrch\fcs0 &#13;_x000a_\cs17\i0\v\fs20\cf9\lang1024\langfe1024\loch\af1\hich\af1\dbch\af31501\noproof\insrsid12913305 \hich\af1\dbch\af31501\loch\f1 &lt;/OptDel&gt;}{\rtlch\fcs1 \af0 \ltrch\fcs0 \insrsid12913305 &#13;_x000a_\par }\pard\plain \ltrpar\s24\qc \li0\ri0\sb240\sa240\keepn\nowidctlpar\wrapdefault\aspalpha\aspnum\faauto\adjustright\rin0\lin0\itap0\pararsid6293919 \rtlch\fcs1 \af0\afs20\alang1025 \ltrch\fcs0 \i\fs24\lang2057\langfe2057\cgrid\langnp2057\langfenp2057 {&#13;_x000a_\rtlch\fcs1 \af0 \ltrch\fcs0 \cs17\i0\v\fs20\cf9\lang1024\langfe1024\loch\af1\hich\af1\dbch\af31501\noproof\insrsid12913305 \hich\af1\dbch\af31501\loch\f1 &lt;TitreJust&gt;}{\rtlch\fcs1 \af0 \ltrch\fcs0 \insrsid12913305 [ZJUSTIFICATION]}{\rtlch\fcs1 \af0 &#13;_x000a_\ltrch\fcs0 \cs17\i0\v\fs20\cf9\lang1024\langfe1024\loch\af1\hich\af1\dbch\af31501\noproof\insrsid12913305 \hich\af1\dbch\af31501\loch\f1 &lt;/TitreJust&gt;}{\rtlch\fcs1 \af0 \ltrch\fcs0 \insrsid12913305 &#13;_x000a_\par }\pard\plain \ltrpar\s22\ql \li0\ri0\sa240\nowidctlpar\wrapdefault\aspalpha\aspnum\faauto\adjustright\rin0\lin0\itap0\pararsid6293919 \rtlch\fcs1 \af0\afs20\alang1025 \ltrch\fcs0 \i\fs24\lang2057\langfe2057\cgrid\langnp2057\langfenp2057 {\rtlch\fcs1 \af0 &#13;_x000a_\ltrch\fcs0 \cs17\i0\v\fs20\cf9\lang1024\langfe1024\loch\af1\hich\af1\dbch\af31501\noproof\insrsid12913305 \hich\af1\dbch\af31501\loch\f1 &lt;OptDelPrev&gt;}{\rtlch\fcs1 \af0 \ltrch\fcs0 \insrsid12913305 [ZTEXTJUST]}{\rtlch\fcs1 \af0 \ltrch\fcs0 &#13;_x000a_\cs17\i0\v\fs20\cf9\lang1024\langfe1024\loch\af1\hich\af1\dbch\af31501\noproof\insrsid12913305 \hich\af1\dbch\af31501\loch\f1 &lt;/OptDelPrev&gt;}{\rtlch\fcs1 \af0 \ltrch\fcs0 \insrsid12913305 &#13;_x000a_\par }\pard\plain \ltrpar\ql \li0\ri0\widctlpar\wrapdefault\aspalpha\aspnum\faauto\adjustright\rin0\lin0\itap0\pararsid6293919 \rtlch\fcs1 \af0\afs20\alang1025 \ltrch\fcs0 \fs24\lang2057\langfe2057\cgrid\langnp2057\langfenp2057 {\rtlch\fcs1 \af0 \ltrch\fcs0 &#13;_x000a_\cs17\v\fs20\cf9\lang1024\langfe1024\loch\af1\hich\af1\dbch\af31501\noproof\insrsid12913305 \hich\af1\dbch\af31501\loch\f1 &lt;/Amend&gt;}{\rtlch\fcs1 \af0 \ltrch\fcs0 \insrsid12913305\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07&#13;_x000a_fe26591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Evaluation"/>
    <w:docVar w:name="strSubDir" w:val="1348"/>
    <w:docVar w:name="TEXTRMNU" w:val="2"/>
    <w:docVar w:name="TITLECODMNU" w:val=" 1"/>
    <w:docVar w:name="TITLEMNU" w:val=" 1"/>
    <w:docVar w:name="TVTAMPART" w:val="Recital 18 b (new)"/>
    <w:docVar w:name="TXTAUTHOR" w:val="Andrzej Halicki"/>
    <w:docVar w:name="TXTLANGUE" w:val="EN"/>
    <w:docVar w:name="TXTLANGUEMIN" w:val="en"/>
    <w:docVar w:name="TXTNRC" w:val="0178/2025"/>
    <w:docVar w:name="TXTNRCOM" w:val="(2025)0542"/>
    <w:docVar w:name="TXTNRFIRSTAM" w:val="1"/>
    <w:docVar w:name="TXTNRLASTAM" w:val="3"/>
    <w:docVar w:name="TXTNRPE" w:val="787.049"/>
    <w:docVar w:name="TXTNRPROC" w:val="2025/0542"/>
    <w:docVar w:name="TXTPEorAP" w:val="PE"/>
    <w:docVar w:name="TXTROUTE" w:val="AD\1348224EN.docx"/>
    <w:docVar w:name="TXTTITLE" w:val="Regulation of the European Parliament and of the Council establishing the Union support for internal security for the period 2028 to 2034"/>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ABE7665E-357B-4117-BC61-5BB8BB360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D8432D"/>
    <w:rPr>
      <w:rFonts w:ascii="Arial" w:hAnsi="Arial"/>
      <w:noProof/>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character" w:styleId="Hyperlink">
    <w:name w:val="Hyperlink"/>
    <w:basedOn w:val="DefaultParagraphFont"/>
    <w:unhideWhenUsed/>
    <w:rsid w:val="00D27085"/>
    <w:rPr>
      <w:color w:val="0563C1" w:themeColor="hyperlink"/>
      <w:u w:val="single"/>
    </w:rPr>
  </w:style>
  <w:style w:type="paragraph" w:styleId="ListParagraph">
    <w:name w:val="List Paragraph"/>
    <w:basedOn w:val="Normal"/>
    <w:uiPriority w:val="34"/>
    <w:qFormat/>
    <w:rsid w:val="00D27085"/>
    <w:pPr>
      <w:ind w:left="720"/>
      <w:contextualSpacing/>
    </w:pPr>
  </w:style>
  <w:style w:type="character" w:customStyle="1" w:styleId="UnresolvedMention">
    <w:name w:val="Unresolved Mention"/>
    <w:basedOn w:val="DefaultParagraphFont"/>
    <w:uiPriority w:val="99"/>
    <w:semiHidden/>
    <w:unhideWhenUsed/>
    <w:rsid w:val="00EE1FA3"/>
    <w:rPr>
      <w:color w:val="605E5C"/>
      <w:shd w:val="clear" w:color="auto" w:fill="E1DFDD"/>
    </w:rPr>
  </w:style>
  <w:style w:type="character" w:customStyle="1" w:styleId="Normal6Char">
    <w:name w:val="Normal6 Char"/>
    <w:link w:val="Normal6"/>
    <w:locked/>
    <w:rsid w:val="00EE1FA3"/>
    <w:rPr>
      <w:sz w:val="24"/>
    </w:rPr>
  </w:style>
  <w:style w:type="paragraph" w:customStyle="1" w:styleId="Normal6">
    <w:name w:val="Normal6"/>
    <w:basedOn w:val="Normal"/>
    <w:link w:val="Normal6Char"/>
    <w:rsid w:val="00EE1FA3"/>
    <w:pPr>
      <w:spacing w:after="120"/>
    </w:pPr>
  </w:style>
  <w:style w:type="paragraph" w:styleId="Footer">
    <w:name w:val="footer"/>
    <w:basedOn w:val="Normal"/>
    <w:link w:val="FooterChar"/>
    <w:semiHidden/>
    <w:rsid w:val="00EE1FA3"/>
    <w:pPr>
      <w:tabs>
        <w:tab w:val="center" w:pos="4513"/>
        <w:tab w:val="right" w:pos="9026"/>
      </w:tabs>
    </w:pPr>
  </w:style>
  <w:style w:type="character" w:customStyle="1" w:styleId="FooterChar">
    <w:name w:val="Footer Char"/>
    <w:basedOn w:val="DefaultParagraphFont"/>
    <w:link w:val="Footer"/>
    <w:semiHidden/>
    <w:rsid w:val="00EE1FA3"/>
    <w:rPr>
      <w:sz w:val="24"/>
    </w:rPr>
  </w:style>
  <w:style w:type="paragraph" w:styleId="Revision">
    <w:name w:val="Revision"/>
    <w:hidden/>
    <w:uiPriority w:val="99"/>
    <w:semiHidden/>
    <w:rsid w:val="005C15CA"/>
    <w:rPr>
      <w:sz w:val="24"/>
    </w:rPr>
  </w:style>
  <w:style w:type="paragraph" w:styleId="FootnoteText">
    <w:name w:val="footnote text"/>
    <w:basedOn w:val="Normal"/>
    <w:link w:val="FootnoteTextChar"/>
    <w:rsid w:val="006076D5"/>
    <w:rPr>
      <w:sz w:val="20"/>
    </w:rPr>
  </w:style>
  <w:style w:type="character" w:customStyle="1" w:styleId="FootnoteTextChar">
    <w:name w:val="Footnote Text Char"/>
    <w:basedOn w:val="DefaultParagraphFont"/>
    <w:link w:val="FootnoteText"/>
    <w:rsid w:val="006076D5"/>
  </w:style>
  <w:style w:type="character" w:styleId="FootnoteReference">
    <w:name w:val="footnote reference"/>
    <w:basedOn w:val="DefaultParagraphFont"/>
    <w:rsid w:val="006076D5"/>
    <w:rPr>
      <w:vertAlign w:val="superscript"/>
    </w:rPr>
  </w:style>
  <w:style w:type="paragraph" w:customStyle="1" w:styleId="RollCallSymbols14pt">
    <w:name w:val="RollCallSymbols14pt"/>
    <w:basedOn w:val="Normal"/>
    <w:rsid w:val="00ED7E3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D7E33"/>
    <w:pPr>
      <w:tabs>
        <w:tab w:val="center" w:pos="284"/>
        <w:tab w:val="left" w:pos="426"/>
      </w:tabs>
    </w:pPr>
    <w:rPr>
      <w:snapToGrid w:val="0"/>
      <w:lang w:eastAsia="en-US"/>
    </w:rPr>
  </w:style>
  <w:style w:type="paragraph" w:customStyle="1" w:styleId="RollCallVotes">
    <w:name w:val="RollCallVotes"/>
    <w:basedOn w:val="Normal"/>
    <w:rsid w:val="00ED7E33"/>
    <w:pPr>
      <w:spacing w:before="120" w:after="120"/>
      <w:jc w:val="center"/>
    </w:pPr>
    <w:rPr>
      <w:b/>
      <w:bCs/>
      <w:snapToGrid w:val="0"/>
      <w:sz w:val="16"/>
      <w:lang w:eastAsia="en-US"/>
    </w:rPr>
  </w:style>
  <w:style w:type="paragraph" w:customStyle="1" w:styleId="RollCallTable">
    <w:name w:val="RollCallTable"/>
    <w:basedOn w:val="Normal"/>
    <w:rsid w:val="00ED7E33"/>
    <w:pPr>
      <w:spacing w:before="120" w:after="120"/>
    </w:pPr>
    <w:rPr>
      <w:snapToGrid w:val="0"/>
      <w:sz w:val="16"/>
      <w:lang w:eastAsia="en-US"/>
    </w:rPr>
  </w:style>
  <w:style w:type="character" w:styleId="CommentReference">
    <w:name w:val="annotation reference"/>
    <w:basedOn w:val="DefaultParagraphFont"/>
    <w:rsid w:val="00B21097"/>
    <w:rPr>
      <w:sz w:val="16"/>
      <w:szCs w:val="16"/>
    </w:rPr>
  </w:style>
  <w:style w:type="paragraph" w:styleId="CommentText">
    <w:name w:val="annotation text"/>
    <w:basedOn w:val="Normal"/>
    <w:link w:val="CommentTextChar"/>
    <w:rsid w:val="00B21097"/>
    <w:rPr>
      <w:sz w:val="20"/>
    </w:rPr>
  </w:style>
  <w:style w:type="character" w:customStyle="1" w:styleId="CommentTextChar">
    <w:name w:val="Comment Text Char"/>
    <w:basedOn w:val="DefaultParagraphFont"/>
    <w:link w:val="CommentText"/>
    <w:rsid w:val="00B21097"/>
  </w:style>
  <w:style w:type="paragraph" w:styleId="CommentSubject">
    <w:name w:val="annotation subject"/>
    <w:basedOn w:val="CommentText"/>
    <w:next w:val="CommentText"/>
    <w:link w:val="CommentSubjectChar"/>
    <w:semiHidden/>
    <w:unhideWhenUsed/>
    <w:rsid w:val="00B21097"/>
    <w:rPr>
      <w:b/>
      <w:bCs/>
    </w:rPr>
  </w:style>
  <w:style w:type="character" w:customStyle="1" w:styleId="CommentSubjectChar">
    <w:name w:val="Comment Subject Char"/>
    <w:basedOn w:val="CommentTextChar"/>
    <w:link w:val="CommentSubject"/>
    <w:semiHidden/>
    <w:rsid w:val="00B210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4/2509/oj" TargetMode="External" /><Relationship Id="rId2" Type="http://schemas.openxmlformats.org/officeDocument/2006/relationships/hyperlink" Target="https://eur-lex.europa.eu/legal-content/GA/TXT/HTML/?uri=CELEX:32021Q0611(0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D42DB-9A61-455A-8A86-9BDCAA82C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3056</Words>
  <Characters>16995</Characters>
  <Application>Microsoft Office Word</Application>
  <DocSecurity>0</DocSecurity>
  <Lines>435</Lines>
  <Paragraphs>171</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19880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2026-07-21T16:08:00Z</cp:lastPrinted>
  <dcterms:created xsi:type="dcterms:W3CDTF">2026-08-25T15:40:00Z</dcterms:created>
  <dcterms:modified xsi:type="dcterms:W3CDTF">2026-08-25T15:40:00Z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1348224</vt:lpwstr>
  </property>
  <property fmtid="{D5CDD505-2E9C-101B-9397-08002B2CF9AE}" pid="4" name="&lt;Model&gt;">
    <vt:lpwstr>PA_LegEvaluation</vt:lpwstr>
  </property>
  <property fmtid="{D5CDD505-2E9C-101B-9397-08002B2CF9AE}" pid="5" name="&lt;ModelCod&gt;">
    <vt:lpwstr>\\eiciBRUpr1\pdocep$\DocEP\DOCS\General\PA\PA_Leg\PA_LegEvaluation.dotx(18/03/2025 13:35:01)</vt:lpwstr>
  </property>
  <property fmtid="{D5CDD505-2E9C-101B-9397-08002B2CF9AE}" pid="6" name="&lt;ModelTra&gt;">
    <vt:lpwstr>\\eiciBRUpr1\pdocep$\DocEP\TRANSFIL\EN\PA_LegEvaluation.EN(03/03/2026 11:04:10)</vt:lpwstr>
  </property>
  <property fmtid="{D5CDD505-2E9C-101B-9397-08002B2CF9AE}" pid="7" name="&lt;Type&gt;">
    <vt:lpwstr>AD</vt:lpwstr>
  </property>
  <property fmtid="{D5CDD505-2E9C-101B-9397-08002B2CF9AE}" pid="8" name="Bookout">
    <vt:lpwstr>OK - 2026/08/25 17:40</vt:lpwstr>
  </property>
  <property fmtid="{D5CDD505-2E9C-101B-9397-08002B2CF9AE}" pid="9" name="Created with">
    <vt:lpwstr>10.2.1 Build [20260301]</vt:lpwstr>
  </property>
  <property fmtid="{D5CDD505-2E9C-101B-9397-08002B2CF9AE}" pid="10" name="FooterPath">
    <vt:lpwstr>AD\1348224GA.docx</vt:lpwstr>
  </property>
  <property fmtid="{D5CDD505-2E9C-101B-9397-08002B2CF9AE}" pid="11" name="LastEdited with">
    <vt:lpwstr>10.3.1 Build [20260701]</vt:lpwstr>
  </property>
  <property fmtid="{D5CDD505-2E9C-101B-9397-08002B2CF9AE}" pid="12" name="OriLang">
    <vt:lpwstr>EN</vt:lpwstr>
  </property>
  <property fmtid="{D5CDD505-2E9C-101B-9397-08002B2CF9AE}" pid="13" name="PE number">
    <vt:lpwstr>787.049</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- 2026/07/17 09:36</vt:lpwstr>
  </property>
</Properties>
</file>