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27109F" w:rsidRPr="006C73BF" w14:paraId="174E4572" w14:textId="77777777" w:rsidTr="00C85D0F">
        <w:trPr>
          <w:trHeight w:hRule="exact" w:val="1418"/>
        </w:trPr>
        <w:tc>
          <w:tcPr>
            <w:tcW w:w="6804" w:type="dxa"/>
            <w:shd w:val="clear" w:color="auto" w:fill="auto"/>
            <w:vAlign w:val="center"/>
          </w:tcPr>
          <w:p w14:paraId="17346144" w14:textId="77777777" w:rsidR="00854CAC" w:rsidRPr="006C73BF" w:rsidRDefault="00E23F2E" w:rsidP="00366BA3">
            <w:pPr>
              <w:pStyle w:val="EPName"/>
              <w:widowControl/>
            </w:pPr>
            <w:r w:rsidRPr="006C73BF">
              <w:t>Parlement européen</w:t>
            </w:r>
          </w:p>
          <w:p w14:paraId="4F8438DB" w14:textId="77777777" w:rsidR="00854CAC" w:rsidRPr="006C73BF" w:rsidRDefault="00E23F2E" w:rsidP="00366BA3">
            <w:pPr>
              <w:pStyle w:val="EPTerm"/>
              <w:widowControl/>
            </w:pPr>
            <w:r w:rsidRPr="006C73BF">
              <w:t>2024-2029</w:t>
            </w:r>
          </w:p>
        </w:tc>
        <w:tc>
          <w:tcPr>
            <w:tcW w:w="2268" w:type="dxa"/>
            <w:shd w:val="clear" w:color="auto" w:fill="auto"/>
          </w:tcPr>
          <w:p w14:paraId="1E860A85" w14:textId="77777777" w:rsidR="00854CAC" w:rsidRPr="006C73BF" w:rsidRDefault="00E23F2E" w:rsidP="00366BA3">
            <w:pPr>
              <w:pStyle w:val="EPLogo"/>
              <w:widowControl/>
            </w:pPr>
            <w:r w:rsidRPr="006C73BF">
              <w:rPr>
                <w:noProof/>
                <w:lang w:eastAsia="ja-JP"/>
              </w:rPr>
              <w:drawing>
                <wp:inline distT="0" distB="0" distL="0" distR="0" wp14:anchorId="7E38E168" wp14:editId="672C4C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0CAD193" w14:textId="77777777" w:rsidR="001746D0" w:rsidRPr="006C73BF" w:rsidRDefault="001746D0" w:rsidP="00366BA3">
      <w:pPr>
        <w:pStyle w:val="LineTop"/>
        <w:widowControl/>
      </w:pPr>
    </w:p>
    <w:p w14:paraId="6FD6BFDA" w14:textId="77777777" w:rsidR="001746D0" w:rsidRPr="006C73BF" w:rsidRDefault="00E23F2E" w:rsidP="00366BA3">
      <w:pPr>
        <w:pStyle w:val="EPBody"/>
        <w:widowControl/>
      </w:pPr>
      <w:r w:rsidRPr="006C73BF">
        <w:rPr>
          <w:rStyle w:val="HideTWBExt"/>
        </w:rPr>
        <w:t>&lt;</w:t>
      </w:r>
      <w:r w:rsidRPr="006C73BF">
        <w:rPr>
          <w:rStyle w:val="HideTWBExt"/>
          <w:i w:val="0"/>
        </w:rPr>
        <w:t>Commission</w:t>
      </w:r>
      <w:r w:rsidRPr="006C73BF">
        <w:rPr>
          <w:rStyle w:val="HideTWBExt"/>
        </w:rPr>
        <w:t>&gt;</w:t>
      </w:r>
      <w:r w:rsidRPr="006C73BF">
        <w:rPr>
          <w:rStyle w:val="HideTWBInt"/>
          <w:i w:val="0"/>
          <w:color w:val="auto"/>
        </w:rPr>
        <w:t>{BUDG}</w:t>
      </w:r>
      <w:r w:rsidRPr="006C73BF">
        <w:t>Commission des budgets</w:t>
      </w:r>
      <w:r w:rsidRPr="006C73BF">
        <w:rPr>
          <w:rStyle w:val="HideTWBExt"/>
        </w:rPr>
        <w:t>&lt;/</w:t>
      </w:r>
      <w:r w:rsidRPr="006C73BF">
        <w:rPr>
          <w:rStyle w:val="HideTWBExt"/>
          <w:i w:val="0"/>
        </w:rPr>
        <w:t>Commission</w:t>
      </w:r>
      <w:r w:rsidRPr="006C73BF">
        <w:rPr>
          <w:rStyle w:val="HideTWBExt"/>
        </w:rPr>
        <w:t>&gt;</w:t>
      </w:r>
    </w:p>
    <w:p w14:paraId="1C8B0B07" w14:textId="77777777" w:rsidR="001746D0" w:rsidRPr="006C73BF" w:rsidRDefault="001746D0" w:rsidP="00366BA3">
      <w:pPr>
        <w:pStyle w:val="LineBottom"/>
        <w:widowControl/>
      </w:pPr>
    </w:p>
    <w:p w14:paraId="1D32D6B3" w14:textId="77777777" w:rsidR="002E2F2E" w:rsidRPr="006C73BF" w:rsidRDefault="00E23F2E" w:rsidP="00366BA3">
      <w:pPr>
        <w:pStyle w:val="CoverReference"/>
        <w:widowControl/>
      </w:pPr>
      <w:r w:rsidRPr="006C73BF">
        <w:rPr>
          <w:rStyle w:val="HideTWBExt"/>
          <w:b w:val="0"/>
        </w:rPr>
        <w:t>&lt;RefProc&gt;</w:t>
      </w:r>
      <w:r w:rsidRPr="006C73BF">
        <w:t>2025/0555</w:t>
      </w:r>
      <w:r w:rsidRPr="006C73BF">
        <w:rPr>
          <w:rStyle w:val="HideTWBExt"/>
          <w:b w:val="0"/>
        </w:rPr>
        <w:t>&lt;/RefProc&gt;&lt;RefTypeProc&gt;</w:t>
      </w:r>
      <w:r w:rsidRPr="006C73BF">
        <w:t>(COD)</w:t>
      </w:r>
      <w:r w:rsidRPr="006C73BF">
        <w:rPr>
          <w:rStyle w:val="HideTWBExt"/>
          <w:b w:val="0"/>
        </w:rPr>
        <w:t>&lt;/RefTypeProc&gt;</w:t>
      </w:r>
    </w:p>
    <w:p w14:paraId="42634B9F" w14:textId="273D57A6" w:rsidR="002E2F2E" w:rsidRPr="006C73BF" w:rsidRDefault="00E23F2E" w:rsidP="00366BA3">
      <w:pPr>
        <w:pStyle w:val="CoverDate"/>
        <w:widowControl/>
      </w:pPr>
      <w:r w:rsidRPr="006C73BF">
        <w:rPr>
          <w:rStyle w:val="HideTWBExt"/>
        </w:rPr>
        <w:t>&lt;Date&gt;</w:t>
      </w:r>
      <w:r w:rsidRPr="006C73BF">
        <w:rPr>
          <w:rStyle w:val="HideTWBInt"/>
          <w:color w:val="auto"/>
        </w:rPr>
        <w:t>{23/06/2026}</w:t>
      </w:r>
      <w:r w:rsidR="00D403EF" w:rsidRPr="006C73BF">
        <w:t>1</w:t>
      </w:r>
      <w:r w:rsidRPr="006C73BF">
        <w:t>3.</w:t>
      </w:r>
      <w:r w:rsidR="00D403EF" w:rsidRPr="006C73BF">
        <w:t>7</w:t>
      </w:r>
      <w:r w:rsidRPr="006C73BF">
        <w:t>.2026</w:t>
      </w:r>
      <w:r w:rsidRPr="006C73BF">
        <w:rPr>
          <w:rStyle w:val="HideTWBExt"/>
        </w:rPr>
        <w:t>&lt;/Date&gt;</w:t>
      </w:r>
    </w:p>
    <w:p w14:paraId="7658EE3F" w14:textId="77777777" w:rsidR="007F621D" w:rsidRPr="006C73BF" w:rsidRDefault="00E23F2E" w:rsidP="00366BA3">
      <w:pPr>
        <w:pStyle w:val="CoverDocType24a"/>
        <w:widowControl/>
      </w:pPr>
      <w:r w:rsidRPr="006C73BF">
        <w:rPr>
          <w:rStyle w:val="HideTWBExt"/>
          <w:b w:val="0"/>
        </w:rPr>
        <w:t>&lt;TitreType&gt;</w:t>
      </w:r>
      <w:r w:rsidRPr="006C73BF">
        <w:t>ÉVALUATION BUDGÉTAIRE</w:t>
      </w:r>
      <w:r w:rsidRPr="006C73BF">
        <w:rPr>
          <w:rStyle w:val="HideTWBExt"/>
          <w:b w:val="0"/>
        </w:rPr>
        <w:t>&lt;/TitreType&gt;</w:t>
      </w:r>
    </w:p>
    <w:p w14:paraId="4CB8DEC6" w14:textId="77777777" w:rsidR="007F621D" w:rsidRPr="006C73BF" w:rsidRDefault="00E23F2E" w:rsidP="00366BA3">
      <w:pPr>
        <w:pStyle w:val="CoverNormal24a"/>
        <w:widowControl/>
      </w:pPr>
      <w:r w:rsidRPr="006C73BF">
        <w:rPr>
          <w:rStyle w:val="HideTWBExt"/>
        </w:rPr>
        <w:t>&lt;CommissionResp&gt;</w:t>
      </w:r>
      <w:r w:rsidRPr="006C73BF">
        <w:t>de la commission des budgets</w:t>
      </w:r>
      <w:r w:rsidRPr="006C73BF">
        <w:rPr>
          <w:rStyle w:val="HideTWBExt"/>
        </w:rPr>
        <w:t>&lt;/CommissionResp&gt;</w:t>
      </w:r>
    </w:p>
    <w:p w14:paraId="6B471D61" w14:textId="77777777" w:rsidR="007F621D" w:rsidRPr="006C73BF" w:rsidRDefault="00E23F2E" w:rsidP="00366BA3">
      <w:pPr>
        <w:pStyle w:val="CoverNormal24a"/>
        <w:widowControl/>
      </w:pPr>
      <w:r w:rsidRPr="006C73BF">
        <w:rPr>
          <w:rStyle w:val="HideTWBExt"/>
        </w:rPr>
        <w:t>&lt;CommissionInt&gt;</w:t>
      </w:r>
      <w:r w:rsidRPr="006C73BF">
        <w:t>à l’intention de la commission de l’industrie, de la recherche et de l’énergie</w:t>
      </w:r>
      <w:r w:rsidRPr="006C73BF">
        <w:rPr>
          <w:rStyle w:val="HideTWBExt"/>
        </w:rPr>
        <w:t>&lt;/CommissionInt&gt;</w:t>
      </w:r>
    </w:p>
    <w:p w14:paraId="223F0F12" w14:textId="77777777" w:rsidR="007F621D" w:rsidRPr="006C73BF" w:rsidRDefault="00E23F2E" w:rsidP="00366BA3">
      <w:pPr>
        <w:pStyle w:val="CoverNormal"/>
        <w:widowControl/>
      </w:pPr>
      <w:r w:rsidRPr="006C73BF">
        <w:rPr>
          <w:rStyle w:val="HideTWBExt"/>
        </w:rPr>
        <w:t>&lt;Titre&gt;</w:t>
      </w:r>
      <w:r w:rsidRPr="006C73BF">
        <w:t>sur la proposition de règlement du Parlement européen et du Conseil sur l’établissement du Fonds européen pour la compétitivité, comprenant le programme spécifique pour les activités de recherche et d’innovation en matière de défense, abrogeant les règlements (UE) 2021/522, (UE) 2021/694, (UE) 2021/697, (UE) 2021/783, et modifiant les règlements (UE) 2021/696, (UE) 2023/588 et (UE) [programme pour l’industrie européenne de la défense]</w:t>
      </w:r>
      <w:r w:rsidRPr="006C73BF">
        <w:rPr>
          <w:rStyle w:val="HideTWBExt"/>
        </w:rPr>
        <w:t>&lt;/Titre&gt;</w:t>
      </w:r>
    </w:p>
    <w:p w14:paraId="6831F0B1" w14:textId="77777777" w:rsidR="007F621D" w:rsidRPr="006C73BF" w:rsidRDefault="00E23F2E" w:rsidP="00366BA3">
      <w:pPr>
        <w:pStyle w:val="CoverNormal24a"/>
        <w:widowControl/>
      </w:pPr>
      <w:r w:rsidRPr="006C73BF">
        <w:rPr>
          <w:rStyle w:val="HideTWBExt"/>
        </w:rPr>
        <w:t>&lt;DocRef&gt;</w:t>
      </w:r>
      <w:r w:rsidRPr="006C73BF">
        <w:t>(COM(2025)0555 – C10</w:t>
      </w:r>
      <w:r w:rsidRPr="006C73BF">
        <w:noBreakHyphen/>
        <w:t>0165/2025 – 2025/0555(COD))</w:t>
      </w:r>
      <w:r w:rsidRPr="006C73BF">
        <w:rPr>
          <w:rStyle w:val="HideTWBExt"/>
        </w:rPr>
        <w:t>&lt;/DocRef&gt;</w:t>
      </w:r>
    </w:p>
    <w:p w14:paraId="5EEB9742" w14:textId="77777777" w:rsidR="007F621D" w:rsidRPr="006C73BF" w:rsidRDefault="00E23F2E" w:rsidP="00366BA3">
      <w:pPr>
        <w:pStyle w:val="CoverNormal24a"/>
        <w:widowControl/>
      </w:pPr>
      <w:r w:rsidRPr="006C73BF">
        <w:t xml:space="preserve">Rapporteure pour l’évaluation budgétaire: </w:t>
      </w:r>
      <w:r w:rsidRPr="006C73BF">
        <w:rPr>
          <w:rStyle w:val="HideTWBExt"/>
        </w:rPr>
        <w:t>&lt;Depute&gt;</w:t>
      </w:r>
      <w:r w:rsidRPr="006C73BF">
        <w:t>Stine Bosse</w:t>
      </w:r>
      <w:r w:rsidRPr="006C73BF">
        <w:rPr>
          <w:rStyle w:val="HideTWBExt"/>
        </w:rPr>
        <w:t>&lt;/Depute&gt;</w:t>
      </w:r>
    </w:p>
    <w:p w14:paraId="0F169A78" w14:textId="77777777" w:rsidR="007F621D" w:rsidRPr="006C73BF" w:rsidRDefault="00E23F2E" w:rsidP="00366BA3">
      <w:pPr>
        <w:widowControl/>
        <w:tabs>
          <w:tab w:val="center" w:pos="4677"/>
        </w:tabs>
      </w:pPr>
      <w:r w:rsidRPr="006C73BF">
        <w:br w:type="page"/>
      </w:r>
      <w:r w:rsidRPr="006C73BF">
        <w:lastRenderedPageBreak/>
        <w:t>PA_LegEvaluation</w:t>
      </w:r>
    </w:p>
    <w:p w14:paraId="713098C0" w14:textId="77777777" w:rsidR="007F621D" w:rsidRPr="006C73BF" w:rsidRDefault="00E23F2E" w:rsidP="00366BA3">
      <w:pPr>
        <w:pStyle w:val="PageHeadingNotTOC"/>
        <w:widowControl/>
      </w:pPr>
      <w:r w:rsidRPr="006C73BF">
        <w:br w:type="page"/>
      </w:r>
      <w:r w:rsidRPr="006C73BF">
        <w:lastRenderedPageBreak/>
        <w:t>ÉVALUATION BUDGÉTAIRE</w:t>
      </w:r>
    </w:p>
    <w:p w14:paraId="7060EF90" w14:textId="77777777" w:rsidR="002F46CC" w:rsidRPr="006C73BF" w:rsidRDefault="00E23F2E" w:rsidP="00366BA3">
      <w:pPr>
        <w:pStyle w:val="NormalBold"/>
        <w:widowControl/>
        <w:spacing w:before="240" w:after="240"/>
        <w:rPr>
          <w:bCs/>
        </w:rPr>
      </w:pPr>
      <w:r w:rsidRPr="006C73BF">
        <w:t>à l’intention de la commission de l’industrie, de la recherche et de l’énergie sur la proposition de règlement du Parlement européen et du Conseil sur l’établissement du Fonds européen pour la compétitivité, comprenant le programme spécifique pour les activités de recherche et d’innovation en matière de défense, abrogeant les règlements (UE) 2021/522, (UE) 2021/694, (UE) 2021/697, (UE) 2021/783, et modifiant les règlements (UE) 2021/696, (UE) 2023/588 et (UE) [programme pour l’industrie européenne de la défense] [COM(2025)0555 – C10/2025 – 2025/0555(COD)]</w:t>
      </w:r>
    </w:p>
    <w:p w14:paraId="51D36438" w14:textId="77777777" w:rsidR="007F621D" w:rsidRPr="006C73BF" w:rsidRDefault="00E23F2E" w:rsidP="00366BA3">
      <w:pPr>
        <w:pStyle w:val="Normal12a"/>
        <w:widowControl/>
        <w:spacing w:before="240"/>
      </w:pPr>
      <w:r w:rsidRPr="006C73BF">
        <w:rPr>
          <w:rStyle w:val="HideTWBExt"/>
        </w:rPr>
        <w:t>&lt;Intro&gt;</w:t>
      </w:r>
      <w:r w:rsidRPr="006C73BF">
        <w:t>La commission des budgets a procédé, en vertu de l’article 58 du règlement intérieur, à une évaluation de la proposition et a conclu ce qui suit:</w:t>
      </w:r>
      <w:r w:rsidRPr="006C73BF">
        <w:rPr>
          <w:rStyle w:val="HideTWBExt"/>
        </w:rPr>
        <w:t>&lt;/Intro&gt;</w:t>
      </w:r>
    </w:p>
    <w:p w14:paraId="35B88A64" w14:textId="77777777" w:rsidR="007F621D" w:rsidRPr="006C73BF" w:rsidRDefault="00E23F2E" w:rsidP="00366BA3">
      <w:pPr>
        <w:widowControl/>
        <w:spacing w:before="240" w:after="240" w:line="360" w:lineRule="auto"/>
      </w:pPr>
      <w:r w:rsidRPr="006C73BF">
        <w:rPr>
          <w:i/>
        </w:rPr>
        <w:t>La commission des budgets</w:t>
      </w:r>
      <w:r w:rsidRPr="006C73BF">
        <w:t>,</w:t>
      </w:r>
    </w:p>
    <w:p w14:paraId="03A1F433" w14:textId="77777777" w:rsidR="00D6110A" w:rsidRPr="006C73BF" w:rsidRDefault="00E23F2E" w:rsidP="00366BA3">
      <w:pPr>
        <w:pStyle w:val="NormalHanging12a"/>
        <w:widowControl/>
      </w:pPr>
      <w:r w:rsidRPr="006C73BF">
        <w:t>A.</w:t>
      </w:r>
      <w:r w:rsidRPr="006C73BF">
        <w:tab/>
        <w:t>considérant que, par rapport au cadre financier pluriannuel (CFP) actuel, le Fonds européen pour la compétitivité entraîne une augmentation notable des investissements dans l’innovation, l’autonomie stratégique, la résilience, les entreprises de l’Union en vue d’accroître leur capacité à être compétitives au niveau mondial, ainsi que dans la double transition; que cela reste insuffisant compte tenu des besoins d’investissement, des dépendances critiques et du contexte géopolitique; que la proposition fusionne les programmes existants, ce qui pourrait réduire la transparence et la responsabilité et limiter la capacité du Parlement à garantir un financement pour des objectifs politiques spécifiques;</w:t>
      </w:r>
    </w:p>
    <w:p w14:paraId="77220225" w14:textId="77777777" w:rsidR="00D6110A" w:rsidRPr="006C73BF" w:rsidRDefault="00E23F2E" w:rsidP="00366BA3">
      <w:pPr>
        <w:pStyle w:val="NormalHanging12a"/>
        <w:widowControl/>
        <w:rPr>
          <w:b/>
          <w:bCs/>
          <w:i/>
          <w:iCs/>
        </w:rPr>
      </w:pPr>
      <w:r w:rsidRPr="006C73BF">
        <w:t>B.</w:t>
      </w:r>
      <w:r w:rsidRPr="006C73BF">
        <w:tab/>
        <w:t>considérant que l’Union devrait augmenter les dépenses consacrées aux priorités stratégiques, notamment l’énergie, la défense, la santé publique, les technologies critiques, la cybersécurité, l’innovation durable, la décarbonation des systèmes énergétiques et la transition propre, et recourir davantage aux instruments de partage des risques qui présentent un plus fort attrait pour le risque que l’instrument InvestEU et qui garantissent l’additionnalité, afin de mobiliser les investissements privés, de renforcer l’incidence budgétaire et la compétitivité de l’Union et de favoriser un meilleur environnement de financement pour les entreprises innovantes à croissance rapide, les jeunes pousses, les entreprises en expansion et les petites entreprises à moyenne capitalisation; que la mise en œuvre des instruments de partage des risques devrait rester aussi simple que possible;</w:t>
      </w:r>
    </w:p>
    <w:p w14:paraId="6EB9396E" w14:textId="77777777" w:rsidR="00D6110A" w:rsidRPr="006C73BF" w:rsidRDefault="00E23F2E" w:rsidP="00366BA3">
      <w:pPr>
        <w:pStyle w:val="NormalHanging12a"/>
        <w:widowControl/>
      </w:pPr>
      <w:r w:rsidRPr="006C73BF">
        <w:t>C.</w:t>
      </w:r>
      <w:r w:rsidRPr="006C73BF">
        <w:tab/>
        <w:t>considérant que les petites et moyennes entreprises, les jeunes pousses, les entreprises en expansion et les petites entreprises à moyenne capitalisation sont les principaux moteurs de la croissance économique, de la compétitivité et de l’innovation dans l’Union et qu’il est important de leur garantir un niveau d’investissement adéquat; qu’elles devraient pouvoir accéder plus rapidement et plus facilement aux financements afin de combler le déficit d’innovation et d’investissement par rapport à la concurrence mondiale et contribuer à la croissance durable, à la création d’emplois, à la compétitivité et à l’autonomie stratégique;</w:t>
      </w:r>
    </w:p>
    <w:p w14:paraId="52DD11B1" w14:textId="77777777" w:rsidR="00D6110A" w:rsidRPr="006C73BF" w:rsidRDefault="00E23F2E" w:rsidP="00366BA3">
      <w:pPr>
        <w:pStyle w:val="NormalHanging12a"/>
        <w:widowControl/>
      </w:pPr>
      <w:r w:rsidRPr="006C73BF">
        <w:lastRenderedPageBreak/>
        <w:t>D.</w:t>
      </w:r>
      <w:r w:rsidRPr="006C73BF">
        <w:tab/>
        <w:t>considérant que la Banque européenne d’investissement (BEI) n’est pas soumise à une surveillance bancaire extérieure; que les normes de surveillance les plus élevées devraient être garanties dans la mise en œuvre de l’instrument InvestEU du Fonds; que l’attrait pour le risque de la BEI et des autres partenaires chargés de la mise en œuvre doit refléter le taux de provisionnement;</w:t>
      </w:r>
    </w:p>
    <w:p w14:paraId="05FCA053" w14:textId="77777777" w:rsidR="00D6110A" w:rsidRPr="006C73BF" w:rsidRDefault="00E23F2E" w:rsidP="00366BA3">
      <w:pPr>
        <w:pStyle w:val="NormalHanging12a"/>
        <w:widowControl/>
      </w:pPr>
      <w:r w:rsidRPr="006C73BF">
        <w:t>E.</w:t>
      </w:r>
      <w:r w:rsidRPr="006C73BF">
        <w:tab/>
        <w:t>considérant qu’un suivi rigoureux des dépenses et l’établissement de rapports de performance sont des conditions essentielles pour garantir la bonne utilisation des fonds de l’Union, et qu’il convient de veiller à ce que l’envergure financière sans précédent du Fonds permette d’atteindre efficacement ses objectifs stratégiques; que ce cadre est essentiel à la bonne gestion financière et à la responsabilité démocratique du budget de l’Union;</w:t>
      </w:r>
    </w:p>
    <w:p w14:paraId="479F4EA4" w14:textId="77777777" w:rsidR="00D6110A" w:rsidRPr="006C73BF" w:rsidRDefault="00E23F2E" w:rsidP="00366BA3">
      <w:pPr>
        <w:pStyle w:val="NormalHanging12a"/>
        <w:widowControl/>
      </w:pPr>
      <w:r w:rsidRPr="006C73BF">
        <w:t>1.</w:t>
      </w:r>
      <w:r w:rsidRPr="006C73BF">
        <w:tab/>
        <w:t>estime que l’enveloppe du Fonds devrait être portée de 234,3 milliards d’EUR (207,4 milliards d’EUR aux prix de 2025) à 264,35 milliards d’EUR (234 milliards d’EUR aux prix de 2025) compte tenu des besoins d’investissement très élevés de l’Union et de la situation géopolitique, comme le soulignent les rapports Draghi et Letta, notamment en vue d’améliorer l’accès des entreprises européennes au financement et de promouvoir les investissements privés, et ainsi de renforcer la capacité des entreprises européennes à être compétitives sur les marchés mondiaux;</w:t>
      </w:r>
    </w:p>
    <w:p w14:paraId="4598D626" w14:textId="77777777" w:rsidR="00D6110A" w:rsidRPr="006C73BF" w:rsidRDefault="00E23F2E" w:rsidP="00366BA3">
      <w:pPr>
        <w:pStyle w:val="NormalHanging12a"/>
        <w:widowControl/>
      </w:pPr>
      <w:r w:rsidRPr="006C73BF">
        <w:t>2.</w:t>
      </w:r>
      <w:r w:rsidRPr="006C73BF">
        <w:tab/>
        <w:t>estime que des ressources suffisantes, notamment sur le plan humain, technique et informatique, doivent être disponibles dès le début et tout au long de la période de programmation du CFP 2028-2034 afin de garantir une mise en œuvre efficace du Fonds;</w:t>
      </w:r>
    </w:p>
    <w:p w14:paraId="135C5137" w14:textId="77777777" w:rsidR="00D6110A" w:rsidRPr="006C73BF" w:rsidRDefault="00E23F2E" w:rsidP="00366BA3">
      <w:pPr>
        <w:pStyle w:val="NormalHanging12a"/>
        <w:widowControl/>
      </w:pPr>
      <w:r w:rsidRPr="006C73BF">
        <w:t>3.</w:t>
      </w:r>
      <w:r w:rsidRPr="006C73BF">
        <w:tab/>
        <w:t>déplore la ventilation très limitée du budget du Fonds, en particulier par rapport à la situation des mêmes mesures dans le CFP actuel; relève que cela accorderait à la Commission une latitude importante pour modifier et fixer les priorités de dépenses en cours d’exécution, mais note qu’un certain degré de flexibilité est nécessaire; souligne que la simplification et la flexibilité ne doivent pas être mises en place au détriment de la transparence et du contrôle exercé par l’autorité budgétaire; recommande donc que l’enveloppe globale soit ventilée de manière à tenir compte des différentes catégories de dépenses;</w:t>
      </w:r>
    </w:p>
    <w:p w14:paraId="57A4638D" w14:textId="77777777" w:rsidR="00D6110A" w:rsidRPr="006C73BF" w:rsidRDefault="00E23F2E" w:rsidP="00366BA3">
      <w:pPr>
        <w:pStyle w:val="NormalHanging12a"/>
        <w:widowControl/>
        <w:rPr>
          <w:b/>
          <w:bCs/>
          <w:i/>
          <w:iCs/>
        </w:rPr>
      </w:pPr>
      <w:r w:rsidRPr="006C73BF">
        <w:t>4.</w:t>
      </w:r>
      <w:r w:rsidRPr="006C73BF">
        <w:tab/>
        <w:t>regrette qu’aucune nomenclature budgétaire indicative détaillée ne soit proposée dans la fiche financière et numérique législative (FFNL); estime que cela entravera l’exercice du contrôle parlementaire ainsi que la capacité de l’autorité budgétaire à définir précisément les priorités lors de la procédure budgétaire annuelle; redoute qu’une architecture budgétaire excessivement agrégée n’augmente considérablement la marge de manœuvre de la Commission pour transférer et réaffecter des ressources sans décision de l’autorité budgétaire, et ne limite considérablement le contrôle parlementaire; recommande dès lors d’adopter une nomenclature plus détaillée qui reflète correctement les objectifs et la structure du Fonds et renforce la transparence, la responsabilité et le contrôle parlementaire;</w:t>
      </w:r>
    </w:p>
    <w:p w14:paraId="588BF761" w14:textId="77777777" w:rsidR="00D6110A" w:rsidRPr="006C73BF" w:rsidRDefault="00E23F2E" w:rsidP="00366BA3">
      <w:pPr>
        <w:pStyle w:val="NormalHanging12a"/>
        <w:widowControl/>
      </w:pPr>
      <w:r w:rsidRPr="006C73BF">
        <w:lastRenderedPageBreak/>
        <w:t>5.</w:t>
      </w:r>
      <w:r w:rsidRPr="006C73BF">
        <w:tab/>
        <w:t>rappelle que la nomenclature budgétaire doit être établie conformément à l’article 47, paragraphe 2, du règlement financier</w:t>
      </w:r>
      <w:r w:rsidRPr="006C73BF">
        <w:rPr>
          <w:rStyle w:val="FootnoteReference"/>
        </w:rPr>
        <w:footnoteReference w:id="1"/>
      </w:r>
      <w:r w:rsidRPr="006C73BF">
        <w:t>, qui dispose que chaque titre correspond à un domaine politique et que chaque chapitre correspond, en règle générale, à un programme ou à une activité, conformément aux principes de spécialité, de bonne gestion financière et de transparence; estime, par conséquent, que la nomenclature devrait refléter de manière adéquate la structure interne du programme et, en particulier, les objectifs spécifiques; recommande que la commission de l’industrie, de la recherche et de l’énergie modifie la proposition afin d’y inclure une annexe établissant la nomenclature du programme; insiste sur le fait que la nomenclature budgétaire fait partie intégrante de la position de négociation du Parlement et doit être examinée dans le cadre des négociations interinstitutionnelles; estime à cet égard que la FFNL révisée doit faire partie de l’accord politique final;</w:t>
      </w:r>
    </w:p>
    <w:p w14:paraId="0C9E384E" w14:textId="77777777" w:rsidR="00D6110A" w:rsidRPr="006C73BF" w:rsidRDefault="00E23F2E" w:rsidP="00366BA3">
      <w:pPr>
        <w:pStyle w:val="NormalHanging12a"/>
        <w:widowControl/>
        <w:rPr>
          <w:b/>
          <w:bCs/>
          <w:i/>
          <w:iCs/>
          <w:szCs w:val="24"/>
          <w:shd w:val="clear" w:color="auto" w:fill="FFFFFF"/>
        </w:rPr>
      </w:pPr>
      <w:r w:rsidRPr="006C73BF">
        <w:t>6.</w:t>
      </w:r>
      <w:r w:rsidRPr="006C73BF">
        <w:tab/>
        <w:t xml:space="preserve">souligne qu’une législation solide et suffisamment détaillée, assortie d’un niveau de gouvernance approprié, est une condition préalable à une prise de décision budgétaire et à un contrôle parlementaire sains dans le cadre de l’exécution du budget; souligne la nécessité d’une représentation équilibrée des parties prenantes au sein du conseil stratégique des parties prenantes du Fonds, guidée par l’évolution de la compétitivité et des tendances du marché afin de stimuler l’industrie, l’innovation et l’investissement européens, avec des représentants de différents secteurs de l’économie; souligne le rôle essentiel du comité d’investissement pour garantir, en particulier, que l’instrument InvestEU du Fonds remédie efficacement aux défaillances du marché ou aux situations d’investissement sous-optimales et réalise l’additionnalité; souligne que le comité d’investissement devrait rester totalement indépendant afin de garantir l’intégrité de l’instrument, qu’il devrait disposer d’un nombre suffisant d’experts externes indépendants et qu’il devrait être structuré de manière à remplir son rôle; estime que la composition du comité d’investissement devrait garantir qu’il dispose d’une connaissance étendue des secteurs et des volets d’action couverts par le Fonds, ainsi que des marchés géographiques dans l’Union; souligne qu’il est nécessaire que le comité d’investissement soit assisté d’un secrétariat doté de ressources suffisantes et dont le siège administratif se situe au sein de la Commission; estime que la Commission devrait procéder à un contrôle de conformité des opérations de financement et d’investissement avant de les soumettre au comité d’investissement, afin d’évaluer leur conformité avec le droit et les politiques de l’Union, et de contribuer ainsi à ce que l’évaluation du comité d’investissement est indépendante de toute considération politique, conformément à son mandat; souligne la nécessité de définir des règles détaillées en matière de transparence, de sélection des participants et d’absence de conflits d’intérêts au sein de la structure de gouvernance de l’instrument InvestEU; insiste pour que chaque membre du comité d’investissement partage avec la Commission, sans délai et de manière continue, toutes les informations et tous les documents nécessaires pour confirmer l’absence de tout conflit d’intérêts; </w:t>
      </w:r>
      <w:r w:rsidRPr="006C73BF">
        <w:rPr>
          <w:shd w:val="clear" w:color="auto" w:fill="FFFFFF"/>
        </w:rPr>
        <w:t>considère que le Parlement devrait être étroitement associé à l’outil de coordination de la compétitivité;</w:t>
      </w:r>
      <w:r w:rsidRPr="006C73BF">
        <w:t xml:space="preserve"> recommande d’introduire des dispositions propres à renforcer le contrôle sur la mobilisation et l’utilisation des crédits; </w:t>
      </w:r>
      <w:r w:rsidRPr="006C73BF">
        <w:rPr>
          <w:shd w:val="clear" w:color="auto" w:fill="FFFFFF"/>
        </w:rPr>
        <w:t xml:space="preserve">estime que le «mécanisme de pilotage» ne pourra en aucun cas </w:t>
      </w:r>
      <w:r w:rsidRPr="006C73BF">
        <w:rPr>
          <w:shd w:val="clear" w:color="auto" w:fill="FFFFFF"/>
        </w:rPr>
        <w:lastRenderedPageBreak/>
        <w:t>se substituer aux pouvoirs législatifs et budgétaires du Parlement et ne pourra être conçu sans une architecture de gouvernance solide garantissant l’exercice effectif de ces pouvoirs;</w:t>
      </w:r>
    </w:p>
    <w:p w14:paraId="2CE2C9AD" w14:textId="77777777" w:rsidR="00D6110A" w:rsidRPr="006C73BF" w:rsidRDefault="00E23F2E" w:rsidP="00366BA3">
      <w:pPr>
        <w:pStyle w:val="NormalHanging12a"/>
        <w:widowControl/>
      </w:pPr>
      <w:r w:rsidRPr="006C73BF">
        <w:rPr>
          <w:shd w:val="clear" w:color="auto" w:fill="FFFFFF"/>
        </w:rPr>
        <w:t>7.</w:t>
      </w:r>
      <w:r w:rsidRPr="006C73BF">
        <w:rPr>
          <w:shd w:val="clear" w:color="auto" w:fill="FFFFFF"/>
        </w:rPr>
        <w:tab/>
      </w:r>
      <w:r w:rsidRPr="006C73BF">
        <w:t>estime que tous les choix politiques de fond, tels que les objectifs des programmes, les priorités de dépenses, les dotations financières, les taux de financement, l’éligibilité, les critères de sélection et d’attribution, les conditions, les définitions et les méthodes de calcul, doivent être fixés dans l’acte de base du Fonds, dans le plein respect des prérogatives dévolues au Parlement en sa qualité de colégislateur et branche de l’autorité budgétaire, et que tout élément supplémentaire et non essentiel comportant des choix politiques et non inclus dans l’acte de base doit être adopté exclusivement par voie d’actes délégués;</w:t>
      </w:r>
    </w:p>
    <w:p w14:paraId="135FB450" w14:textId="77777777" w:rsidR="00D6110A" w:rsidRPr="006C73BF" w:rsidRDefault="00E23F2E" w:rsidP="00366BA3">
      <w:pPr>
        <w:pStyle w:val="NormalHanging12a"/>
        <w:widowControl/>
      </w:pPr>
      <w:r w:rsidRPr="006C73BF">
        <w:t>8.</w:t>
      </w:r>
      <w:r w:rsidRPr="006C73BF">
        <w:tab/>
        <w:t>rappelle que la proposition prévoit la possibilité d’utiliser une garantie budgétaire, qui est intrinsèquement un moyen efficace de mobiliser un budget limité de l’Union; souligne que les implications budgétaires des opérations d’emprunt et de prêt doivent être clairement cernées, présentées de manière transparente et faire l’objet d’un suivi attentif tout au long de la période couverte par le CFP; relève en particulier que leur incidence potentielle sur la marge de manœuvre du CFP ou sur d’autres garanties doit être pleinement évaluée et dûment prise en compte; insiste sur le fait que toutes les décisions relatives à ces opérations doivent respecter pleinement les pouvoirs des colégislateurs et les prérogatives de l’autorité budgétaire; souligne qu’il est essentiel de renforcer l’utilisation des garanties budgétaires pour catalyser les investissements privés et que ces instruments devraient être utilisés de manière stratégique pour maximiser l’incidence, l’efficacité et la durabilité du financement de l’Union, tout en garantissant une transparence totale, une bonne gestion des risques et le respect des prérogatives de l’autorité budgétaire;</w:t>
      </w:r>
    </w:p>
    <w:p w14:paraId="599518F5" w14:textId="77777777" w:rsidR="00D6110A" w:rsidRPr="006C73BF" w:rsidRDefault="00E23F2E" w:rsidP="00366BA3">
      <w:pPr>
        <w:pStyle w:val="NormalHanging12a"/>
        <w:widowControl/>
      </w:pPr>
      <w:r w:rsidRPr="006C73BF">
        <w:t>9.</w:t>
      </w:r>
      <w:r w:rsidRPr="006C73BF">
        <w:tab/>
        <w:t>estime que le montant maximal de la garantie de l’Union devrait être porté à 150 milliards d’EUR, compte tenu du succès de la garantie InvestEU et de l’accent accru mis sur la mobilisation du budget; se félicite du taux de provisionnement de 50 %, qui devrait contribuer à garantir une plus grande prise de risque que dans le cadre d’InvestEU et du Fonds européen pour les investissements stratégiques;</w:t>
      </w:r>
    </w:p>
    <w:p w14:paraId="47EB5C2D" w14:textId="77777777" w:rsidR="00D6110A" w:rsidRPr="006C73BF" w:rsidRDefault="00E23F2E" w:rsidP="00366BA3">
      <w:pPr>
        <w:pStyle w:val="NormalHanging12a"/>
        <w:widowControl/>
      </w:pPr>
      <w:r w:rsidRPr="006C73BF">
        <w:t>10.</w:t>
      </w:r>
      <w:r w:rsidRPr="006C73BF">
        <w:tab/>
        <w:t>se déclare profondément préoccupé par le fait que le montant minimal du soutien de l’Union fourni par l’intermédiaire de l’instrument InvestEU ne s’élève qu’à 17 milliards d’EUR, avec une garantie de seulement 14 milliards d’EUR; souligne que la garantie minimale est nettement inférieure à la garantie InvestEU, qui s’élève à 29 milliards d’EUR; recommande vivement de porter le montant minimal du soutien à au moins 40 milliards d’EUR, compte tenu de la situation géopolitique et de la nécessité d’investir dans l’innovation et la compétitivité, ainsi que de la nécessité d’améliorer la prévisibilité pour les partenaires chargés de la mise en œuvre; recommande de porter le montant initial affecté aux services de conseil à deux milliards d’EUR, compte tenu de la pertinence et de la forte valeur ajoutée de ces services pour garantir des projets de qualité, ainsi que de l’importance de ces services pour une mise en œuvre réussie et du fait que le montant affecté est à peine supérieur au double de celui disponible pour InvestEU, un programme doté d’une garantie moindre et d’une gamme de services plus limitée;</w:t>
      </w:r>
    </w:p>
    <w:p w14:paraId="2B3BF6C7" w14:textId="77777777" w:rsidR="00D6110A" w:rsidRPr="006C73BF" w:rsidRDefault="00E23F2E" w:rsidP="00366BA3">
      <w:pPr>
        <w:pStyle w:val="NormalHanging12a"/>
        <w:widowControl/>
        <w:rPr>
          <w:noProof/>
        </w:rPr>
      </w:pPr>
      <w:r w:rsidRPr="006C73BF">
        <w:lastRenderedPageBreak/>
        <w:t>11.</w:t>
      </w:r>
      <w:r w:rsidRPr="006C73BF">
        <w:tab/>
        <w:t>s’inquiète du fait que la proposition ne contienne aucune orientation politique pour l’instrument InvestEU, ce qui entraîne un manque de prévisibilité pour les marchés et les milieux d’affaires, tout en laissant à la Commission une grande liberté pour décider de la manière dont il devrait être utilisé; rappelle que le règlement InvestEU</w:t>
      </w:r>
      <w:r w:rsidRPr="006C73BF">
        <w:rPr>
          <w:rStyle w:val="FootnoteReference"/>
          <w:bCs/>
          <w:iCs/>
        </w:rPr>
        <w:footnoteReference w:id="2"/>
      </w:r>
      <w:r w:rsidRPr="006C73BF">
        <w:t xml:space="preserve"> établit une ventilation indicative de la garantie entre les volets d’action; recommande la mise en place d’une orientation stratégique appropriée, comprenant des montants minimaux suffisants pour les objectifs spécifiques de chaque volet d’action;</w:t>
      </w:r>
    </w:p>
    <w:p w14:paraId="3676EE42" w14:textId="77777777" w:rsidR="00D6110A" w:rsidRPr="006C73BF" w:rsidRDefault="00E23F2E" w:rsidP="00366BA3">
      <w:pPr>
        <w:pStyle w:val="NormalHanging12a"/>
        <w:widowControl/>
      </w:pPr>
      <w:r w:rsidRPr="006C73BF">
        <w:t>12.</w:t>
      </w:r>
      <w:r w:rsidRPr="006C73BF">
        <w:tab/>
        <w:t>estime que l’instrument InvestEU du Fonds devrait être mis en œuvre en priorité et que les subventions ne devraient être utilisées que lorsque cela est nécessaire et principalement pour financer des actions qui ne génèrent pas de recettes viables et pour lesquelles aucun retour sur investissement n’est prévu;</w:t>
      </w:r>
    </w:p>
    <w:p w14:paraId="0B9F3C23" w14:textId="77777777" w:rsidR="00D6110A" w:rsidRPr="006C73BF" w:rsidRDefault="00E23F2E" w:rsidP="00366BA3">
      <w:pPr>
        <w:pStyle w:val="NormalHanging12a"/>
        <w:widowControl/>
      </w:pPr>
      <w:r w:rsidRPr="006C73BF">
        <w:t>13.</w:t>
      </w:r>
      <w:r w:rsidRPr="006C73BF">
        <w:tab/>
        <w:t>souligne que l’allocation des ressources et les critères d’attribution doivent être guidés par le principe d’excellence, de sorte que le financement de l’Union soutienne les projets de la plus haute qualité dans l’ensemble de l’Union, avec des résultats mesurables en matière de compétitivité et d’innovation conformément aux objectifs généraux et spécifiques du Fonds, en tenant compte, le cas échéant, de considérations d’équilibre régional;</w:t>
      </w:r>
    </w:p>
    <w:p w14:paraId="76D2BC3D" w14:textId="77777777" w:rsidR="00D6110A" w:rsidRPr="006C73BF" w:rsidRDefault="00E23F2E" w:rsidP="00366BA3">
      <w:pPr>
        <w:pStyle w:val="NormalHanging12a"/>
        <w:widowControl/>
      </w:pPr>
      <w:r w:rsidRPr="006C73BF">
        <w:t>14.</w:t>
      </w:r>
      <w:r w:rsidRPr="006C73BF">
        <w:tab/>
        <w:t>s’inquiète de l’éventuelle absence de continuité dans l’attribution de la garantie d’InvestEU au Fonds; recommande qu’une partie du montant minimal soit utilisée pour compléter les accords de garantie des partenaires chargés de la mise en œuvre existants pour les produits financiers relevant du champ d’application de l’instrument InvestEU du Fonds, afin de garantir la disponibilité dès le départ et d’éviter un retard de mise en œuvre d’un programme à l’autre,</w:t>
      </w:r>
      <w:r w:rsidRPr="006C73BF">
        <w:rPr>
          <w:rFonts w:ascii="Europea" w:hAnsi="Europea"/>
          <w:color w:val="000000"/>
          <w:shd w:val="clear" w:color="auto" w:fill="FFFFFF"/>
        </w:rPr>
        <w:t xml:space="preserve"> </w:t>
      </w:r>
      <w:r w:rsidRPr="006C73BF">
        <w:t>ce qui permettra une transition fluide entre l’actuel CFP et le suivant;</w:t>
      </w:r>
    </w:p>
    <w:p w14:paraId="0D8C72D7" w14:textId="77777777" w:rsidR="00D6110A" w:rsidRPr="006C73BF" w:rsidRDefault="00E23F2E" w:rsidP="00366BA3">
      <w:pPr>
        <w:pStyle w:val="NormalHanging12a"/>
        <w:widowControl/>
      </w:pPr>
      <w:r w:rsidRPr="006C73BF">
        <w:t>15.</w:t>
      </w:r>
      <w:r w:rsidRPr="006C73BF">
        <w:tab/>
        <w:t>estime que la mise en œuvre de l’instrument InvestEU au moyen de programmes de travail annuels nuirait à l’efficacité et réduirait la visibilité et la prévisibilité; estime qu’une programmation pluriannuelle serait plus appropriée; recommande dès lors de mettre en œuvre l’instrument InvestEU du Fonds conformément aux lignes directrices en matière d’investissement, ce qui donnerait aux promoteurs de projets davantage de temps pour élaborer et financer des projets de grande qualité et permettrait aux partenaires chargés de la mise en œuvre de mobiliser des financements et des capitaux substantiels; insiste pour que les lignes directrices en matière d’investissement soient adoptées au moyen d’actes délégués afin de garantir un contrôle parlementaire approprié;</w:t>
      </w:r>
    </w:p>
    <w:p w14:paraId="601E4D30" w14:textId="77777777" w:rsidR="00D6110A" w:rsidRPr="006C73BF" w:rsidRDefault="00E23F2E" w:rsidP="00366BA3">
      <w:pPr>
        <w:pStyle w:val="NormalHanging12a"/>
        <w:widowControl/>
        <w:rPr>
          <w:b/>
          <w:i/>
        </w:rPr>
      </w:pPr>
      <w:r w:rsidRPr="006C73BF">
        <w:t>16.</w:t>
      </w:r>
      <w:r w:rsidRPr="006C73BF">
        <w:tab/>
        <w:t xml:space="preserve">souligne le rôle particulier du Groupe BEI qui, compte tenu de son expérience, de son mandat fondé sur les traités et de son approche horizontale pour la mise en œuvre d’InvestEU, est particulièrement bien placé pour remplir les missions prévues au titre de l’instrument InvestEU du Fonds; estime qu’il convient d’allouer 70 % de la garantie de l’Union au titre du compartiment «UE» au Groupe BEI, ce qui laisse une plus grande marge de manœuvre aux autres partenaires chargés de la mise en œuvre, en </w:t>
      </w:r>
      <w:r w:rsidRPr="006C73BF">
        <w:lastRenderedPageBreak/>
        <w:t>reconnaissant leur rôle dans la mise en œuvre, tout en soutenant une expansion ciblée de l’architecture ouverte des partenaires chargés de la mise en œuvre; estime qu’il convient, dans le cadre du Fonds, de fixer, comme c’est le cas dans le règlement InvestEU, un montant pour la contribution financière globale de la BEI à la mise en œuvre de l’instrument InvestEU;</w:t>
      </w:r>
    </w:p>
    <w:p w14:paraId="0584154A" w14:textId="77777777" w:rsidR="008E444D" w:rsidRPr="006C73BF" w:rsidRDefault="00E23F2E" w:rsidP="00366BA3">
      <w:pPr>
        <w:pStyle w:val="NormalHanging12a"/>
        <w:widowControl/>
      </w:pPr>
      <w:r w:rsidRPr="006C73BF">
        <w:t>17.</w:t>
      </w:r>
      <w:r w:rsidRPr="006C73BF">
        <w:tab/>
        <w:t>recommande d’inclure des dispositions sur le contenu des accords de garantie, en particulier sur la rémunération de la garantie budgétaire et sur ce qu’elle peut couvrir, en vue d’assurer la clarté et de faciliter le processus de négociation afin de permettre aux partenaires chargés de la mise en œuvre de commencer leurs travaux dès que possible;</w:t>
      </w:r>
    </w:p>
    <w:p w14:paraId="37316C1C" w14:textId="77777777" w:rsidR="008E444D" w:rsidRPr="006C73BF" w:rsidRDefault="00E23F2E" w:rsidP="00366BA3">
      <w:pPr>
        <w:pStyle w:val="NormalHanging12a"/>
        <w:widowControl/>
        <w:rPr>
          <w:noProof/>
        </w:rPr>
      </w:pPr>
      <w:r w:rsidRPr="006C73BF">
        <w:t>18.</w:t>
      </w:r>
      <w:r w:rsidRPr="006C73BF">
        <w:tab/>
        <w:t>souligne l’importance du cadre de gestion des risques; recommande à la Commission de fixer à 90 %, pour les politiques internes et externes, le niveau de confiance de la valeur en risque avec lequel elle estime le montant du provisionnement nécessaire pour couvrir les futures pertes sur la durée de vie, comme proposé dans le rapport d’évaluation intermédiaire du programme InvestEU;</w:t>
      </w:r>
    </w:p>
    <w:p w14:paraId="7E0D38CC" w14:textId="77777777" w:rsidR="008E444D" w:rsidRPr="006C73BF" w:rsidRDefault="00E23F2E" w:rsidP="00366BA3">
      <w:pPr>
        <w:pStyle w:val="NormalHanging12a"/>
        <w:widowControl/>
      </w:pPr>
      <w:r w:rsidRPr="006C73BF">
        <w:t>19.</w:t>
      </w:r>
      <w:r w:rsidRPr="006C73BF">
        <w:tab/>
        <w:t>prend note de la complémentarité proposée entre le Fonds et d’autres programmes, tels qu’Horizon Europe et la proposition de règlement sur les plans nationaux; souligne qu’une complémentarité accrue entre les instruments ne doit pas se faire au détriment de la traçabilité des dépenses ou des prérogatives de l’autorité budgétaire; souligne que la contribution du Fonds aux opérations financées conjointement avec d’autres instruments doit être explicitement identifiable à toutes les étapes du cycle budgétaire; souligne, à cet égard, que cette contribution doit être dûment prise en compte dans la déclaration de performance des programmes pour le Fonds; insiste sur le fait que l’autorité budgétaire doit conserver un contrôle total sur la combinaison de ressources entre instruments et sur la véritable contribution de chaque programme aux priorités de l’Union, spécifiquement au moyen d’une nomenclature budgétaire détaillée; insiste sur le fait qu’une complémentarité accrue entre les programmes ne doit pas entraîner une complexité disproportionnée pour les bénéficiaires; demande que les financements de l’Union soient plus clairs, plus accessibles et plus cohérents afin de faciliter leur utilisation et de maximiser l’incidence des investissements;</w:t>
      </w:r>
    </w:p>
    <w:p w14:paraId="5C48E703" w14:textId="77777777" w:rsidR="008E444D" w:rsidRPr="006C73BF" w:rsidRDefault="00E23F2E" w:rsidP="00366BA3">
      <w:pPr>
        <w:pStyle w:val="NormalHanging12a"/>
        <w:widowControl/>
      </w:pPr>
      <w:r w:rsidRPr="006C73BF">
        <w:t>20.</w:t>
      </w:r>
      <w:r w:rsidRPr="006C73BF">
        <w:tab/>
        <w:t>souligne que l’utilisation de recettes affectées externes au titre du Fonds doit être clairement circonscrite, pleinement transparente et soumise à un contrôle parlementaire efficace; prend acte, à cet égard, des dispositions relatives aux contributions supplémentaires au Fonds; rappelle qu’il importe de garantir la traçabilité des recettes affectées externes; précise que, si la commission de l’industrie, de la recherche et de l’énergie envisageait de modifier les dispositions relatives aux recettes affectées externes, elle devrait le faire en coordination avec la commission des budgets et les autres commissions, pour que l’approche adoptée soit cohérente;</w:t>
      </w:r>
    </w:p>
    <w:p w14:paraId="73D3567F" w14:textId="77777777" w:rsidR="008E444D" w:rsidRPr="006C73BF" w:rsidRDefault="00E23F2E" w:rsidP="00366BA3">
      <w:pPr>
        <w:pStyle w:val="NormalHanging12a"/>
        <w:widowControl/>
      </w:pPr>
      <w:r w:rsidRPr="006C73BF">
        <w:t>21.</w:t>
      </w:r>
      <w:r w:rsidRPr="006C73BF">
        <w:tab/>
        <w:t xml:space="preserve">rappelle la proposition de règlement établissant un cadre de suivi des dépenses et de performance pour le budget et d’autres règles horizontales applicables aux programmes et activités de l’Union (le «règlement sur la performance»), qui établit une liste unique et rationalisée d’indicateurs de performance, ainsi que des dispositions solides en matière de suivi et d’évaluation, dont certaines sont pertinentes pour le Fonds; souligne que toute modification de l’architecture, des objectifs ou des actions pouvant prétendre </w:t>
      </w:r>
      <w:r w:rsidRPr="006C73BF">
        <w:lastRenderedPageBreak/>
        <w:t>à un financement au titre du programme devra être dûment prise en compte dans les dispositions relatives au suivi figurant à l’annexe I du règlement sur la performance, dans le cadre du processus de modification et de négociation dudit règlement; souligne que, si la législation sectorielle peut compléter le règlement sur la performance, par exemple en ce qui concerne l’évaluation des programmes, elle devrait rester cohérente avec les dispositions de ce règlement;</w:t>
      </w:r>
    </w:p>
    <w:p w14:paraId="0DAA425F" w14:textId="77777777" w:rsidR="008E444D" w:rsidRPr="006C73BF" w:rsidRDefault="00E23F2E" w:rsidP="00366BA3">
      <w:pPr>
        <w:pStyle w:val="NormalHanging12a"/>
        <w:widowControl/>
      </w:pPr>
      <w:r w:rsidRPr="006C73BF">
        <w:t>22.</w:t>
      </w:r>
      <w:r w:rsidRPr="006C73BF">
        <w:tab/>
        <w:t>rappelle qu’au titre de l’article 6, paragraphe 2, du règlement financier, l’établissement et l’exécution du budget doivent respecter un régime général de conditionnalité dans les cas de violations de l’état de droit; souligne, en outre, que l’article 6, paragraphe 3, du même règlement oblige les États membres et la Commission, dans l’exécution du budget, à veiller au respect de la charte des droits fondamentaux de l’Union européenne et à respecter les valeurs sur lesquelles l’Union est fondée, telles qu’elles sont consacrées à l’article 2 du traité sur l’Union européenne.</w:t>
      </w:r>
    </w:p>
    <w:p w14:paraId="57C0F048" w14:textId="77777777" w:rsidR="00D6110A" w:rsidRPr="006C73BF" w:rsidRDefault="00E23F2E" w:rsidP="00366BA3">
      <w:pPr>
        <w:pStyle w:val="NormalHanging12a"/>
        <w:widowControl/>
      </w:pPr>
      <w:r w:rsidRPr="006C73BF">
        <w:t>23.</w:t>
      </w:r>
      <w:r w:rsidRPr="006C73BF">
        <w:tab/>
        <w:t>estime que les recettes, le provisionnement excédentaire et les dégagements pour la recherche en matière de défense devraient être maintenus dans le Fonds afin de fournir un financement supplémentaire;</w:t>
      </w:r>
    </w:p>
    <w:p w14:paraId="1FCED5B9" w14:textId="77777777" w:rsidR="007F621D" w:rsidRPr="006C73BF" w:rsidRDefault="00E23F2E" w:rsidP="00366BA3">
      <w:pPr>
        <w:pStyle w:val="NormalHanging12a"/>
        <w:widowControl/>
        <w:rPr>
          <w:b/>
        </w:rPr>
        <w:sectPr w:rsidR="007F621D" w:rsidRPr="006C73BF" w:rsidSect="006C73B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r w:rsidRPr="006C73BF">
        <w:t>24.</w:t>
      </w:r>
      <w:r w:rsidRPr="006C73BF">
        <w:tab/>
        <w:t>plaide pour des exigences cohérentes et harmonisées en ce qui concerne la prévention, la détection, le signalement et la correction de la fraude dès le début de la période de mise en œuvre; souligne en outre qu’il convient de mettre en place des cadres de contrôle et d’audit solides afin de protéger les intérêts financiers de l’Union dans l’ensemble des fonds, programmes et instruments financiers du CFP 2028-2034;</w:t>
      </w:r>
    </w:p>
    <w:p w14:paraId="5CE9CC55" w14:textId="77777777" w:rsidR="007F621D" w:rsidRPr="006C73BF" w:rsidRDefault="00E23F2E" w:rsidP="00366BA3">
      <w:pPr>
        <w:pStyle w:val="PageHeadingNotTOC"/>
        <w:widowControl/>
      </w:pPr>
      <w:r w:rsidRPr="006C73BF">
        <w:lastRenderedPageBreak/>
        <w:t>AMENDEMENTS</w:t>
      </w:r>
    </w:p>
    <w:p w14:paraId="1050C694" w14:textId="77777777" w:rsidR="007F621D" w:rsidRPr="006C73BF" w:rsidRDefault="00E23F2E" w:rsidP="00366BA3">
      <w:pPr>
        <w:pStyle w:val="Normal12a"/>
        <w:widowControl/>
      </w:pPr>
      <w:r w:rsidRPr="006C73BF">
        <w:t>Dans le cadre de son évaluation budgétaire, la commission des budgets présente en outre les amendements suivants à la proposition:</w:t>
      </w:r>
    </w:p>
    <w:p w14:paraId="05DECC40" w14:textId="77777777" w:rsidR="009A6D5D" w:rsidRPr="006C73BF" w:rsidRDefault="00E23F2E" w:rsidP="00366BA3">
      <w:pPr>
        <w:pStyle w:val="AMNumberTabs0"/>
        <w:keepNext/>
        <w:widowControl/>
      </w:pPr>
      <w:r w:rsidRPr="006C73BF">
        <w:rPr>
          <w:rStyle w:val="HideTWBExt"/>
          <w:b w:val="0"/>
        </w:rPr>
        <w:t>&lt;RepeatBlock-Amend&gt;&lt;Amend&gt;</w:t>
      </w:r>
      <w:r w:rsidRPr="006C73BF">
        <w:t>Amendement</w:t>
      </w:r>
      <w:r w:rsidRPr="006C73BF">
        <w:tab/>
      </w:r>
      <w:r w:rsidRPr="006C73BF">
        <w:tab/>
      </w:r>
      <w:r w:rsidRPr="006C73BF">
        <w:rPr>
          <w:rStyle w:val="HideTWBExt"/>
          <w:b w:val="0"/>
        </w:rPr>
        <w:t>&lt;NumAm&gt;</w:t>
      </w:r>
      <w:r w:rsidRPr="006C73BF">
        <w:t>1</w:t>
      </w:r>
      <w:r w:rsidRPr="006C73BF">
        <w:rPr>
          <w:rStyle w:val="HideTWBExt"/>
          <w:b w:val="0"/>
        </w:rPr>
        <w:t>&lt;/NumAm&gt;</w:t>
      </w:r>
    </w:p>
    <w:p w14:paraId="4F4E545E" w14:textId="77777777" w:rsidR="009A6D5D" w:rsidRPr="006C73BF" w:rsidRDefault="00E23F2E" w:rsidP="00366BA3">
      <w:pPr>
        <w:keepNext/>
        <w:widowControl/>
      </w:pPr>
      <w:r w:rsidRPr="006C73BF">
        <w:rPr>
          <w:rStyle w:val="HideTWBExt"/>
        </w:rPr>
        <w:t>&lt;Compromise&gt;&lt;/Compromise&gt;</w:t>
      </w:r>
    </w:p>
    <w:p w14:paraId="0B077EEE" w14:textId="77777777" w:rsidR="009A6D5D" w:rsidRPr="006C73BF" w:rsidRDefault="009A6D5D" w:rsidP="00366BA3">
      <w:pPr>
        <w:widowControl/>
      </w:pPr>
    </w:p>
    <w:p w14:paraId="399D2FB3"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5E3BCB8E" w14:textId="77777777" w:rsidR="009A6D5D" w:rsidRPr="006C73BF" w:rsidRDefault="00E23F2E" w:rsidP="00366BA3">
      <w:pPr>
        <w:pStyle w:val="NormalBold"/>
        <w:widowControl/>
      </w:pPr>
      <w:r w:rsidRPr="006C73BF">
        <w:rPr>
          <w:rStyle w:val="HideTWBExt"/>
          <w:b w:val="0"/>
        </w:rPr>
        <w:t>&lt;Article&gt;</w:t>
      </w:r>
      <w:r w:rsidRPr="006C73BF">
        <w:t>Considérant 15</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1EEF9F20" w14:textId="77777777" w:rsidTr="009A6D5D">
        <w:trPr>
          <w:jc w:val="center"/>
        </w:trPr>
        <w:tc>
          <w:tcPr>
            <w:tcW w:w="9752" w:type="dxa"/>
            <w:gridSpan w:val="2"/>
          </w:tcPr>
          <w:p w14:paraId="36FCE525" w14:textId="77777777" w:rsidR="009A6D5D" w:rsidRPr="006C73BF" w:rsidRDefault="009A6D5D" w:rsidP="00366BA3">
            <w:pPr>
              <w:keepNext/>
              <w:widowControl/>
            </w:pPr>
          </w:p>
        </w:tc>
      </w:tr>
      <w:tr w:rsidR="0027109F" w:rsidRPr="006C73BF" w14:paraId="60C862EE" w14:textId="77777777" w:rsidTr="009A6D5D">
        <w:trPr>
          <w:jc w:val="center"/>
        </w:trPr>
        <w:tc>
          <w:tcPr>
            <w:tcW w:w="4876" w:type="dxa"/>
            <w:hideMark/>
          </w:tcPr>
          <w:p w14:paraId="69B84A91" w14:textId="77777777" w:rsidR="009A6D5D" w:rsidRPr="006C73BF" w:rsidRDefault="00E23F2E" w:rsidP="00366BA3">
            <w:pPr>
              <w:pStyle w:val="ColumnHeading"/>
              <w:keepNext/>
              <w:widowControl/>
            </w:pPr>
            <w:r w:rsidRPr="006C73BF">
              <w:t>Texte proposé par la Commission</w:t>
            </w:r>
          </w:p>
        </w:tc>
        <w:tc>
          <w:tcPr>
            <w:tcW w:w="4876" w:type="dxa"/>
            <w:hideMark/>
          </w:tcPr>
          <w:p w14:paraId="5E118280" w14:textId="77777777" w:rsidR="009A6D5D" w:rsidRPr="006C73BF" w:rsidRDefault="00E23F2E" w:rsidP="00366BA3">
            <w:pPr>
              <w:pStyle w:val="ColumnHeading"/>
              <w:keepNext/>
              <w:widowControl/>
            </w:pPr>
            <w:r w:rsidRPr="006C73BF">
              <w:t>Amendement</w:t>
            </w:r>
          </w:p>
        </w:tc>
      </w:tr>
      <w:tr w:rsidR="0027109F" w:rsidRPr="006C73BF" w14:paraId="0A4BC782" w14:textId="77777777" w:rsidTr="009A6D5D">
        <w:trPr>
          <w:jc w:val="center"/>
        </w:trPr>
        <w:tc>
          <w:tcPr>
            <w:tcW w:w="4876" w:type="dxa"/>
            <w:hideMark/>
          </w:tcPr>
          <w:p w14:paraId="02883D06" w14:textId="77777777" w:rsidR="009A6D5D" w:rsidRPr="006C73BF" w:rsidRDefault="00E23F2E" w:rsidP="00366BA3">
            <w:pPr>
              <w:pStyle w:val="Normal6"/>
              <w:widowControl/>
            </w:pPr>
            <w:r w:rsidRPr="006C73BF">
              <w:t>(15)</w:t>
            </w:r>
            <w:r w:rsidRPr="006C73BF">
              <w:tab/>
              <w:t>Le rapport Draghi appelle au renforcement du soutien à l’investissement pour combler le déficit d’investissement et constate qu’InvestEU est le principal instrument de partage des risques à utiliser à cet effet. L’instrument InvestEU du Fonds devrait mettre en place une garantie budgétaire unique et fournir des instruments financiers pour soutenir la compétitivité de l’UE.</w:t>
            </w:r>
          </w:p>
        </w:tc>
        <w:tc>
          <w:tcPr>
            <w:tcW w:w="4876" w:type="dxa"/>
            <w:hideMark/>
          </w:tcPr>
          <w:p w14:paraId="3F99CC9F" w14:textId="77777777" w:rsidR="009A6D5D" w:rsidRPr="006C73BF" w:rsidRDefault="00E23F2E" w:rsidP="00366BA3">
            <w:pPr>
              <w:pStyle w:val="Normal6"/>
              <w:widowControl/>
              <w:rPr>
                <w:szCs w:val="24"/>
              </w:rPr>
            </w:pPr>
            <w:r w:rsidRPr="006C73BF">
              <w:t>(15)</w:t>
            </w:r>
            <w:r w:rsidRPr="006C73BF">
              <w:tab/>
              <w:t xml:space="preserve">Le rapport Draghi appelle au renforcement du soutien à l’investissement pour combler le déficit d’investissement et constate qu’InvestEU est le principal instrument de partage des risques à utiliser à cet effet. L’instrument InvestEU du Fonds devrait mettre en place une garantie budgétaire unique et fournir des instruments financiers pour soutenir la compétitivité de l’UE. </w:t>
            </w:r>
            <w:r w:rsidRPr="006C73BF">
              <w:rPr>
                <w:b/>
                <w:i/>
              </w:rPr>
              <w:t>Il est essentiel de renforcer l’utilisation de ces outils, conformément aux recommandations du rapport Draghi et en étroite coopération avec la BEI et d’autres partenaires chargés de la mise en œuvre, en tenant compte de leur effet catalyseur et de leur incidence budgétaire moindre par rapport aux subventions. Le montant maximal de la garantie budgétaire au titre du compartiment «UE» devrait être fixé à un niveau qui reflète l’ambition de combler le déficit d’investissement et qui est proportionné aux ambitions politiques.</w:t>
            </w:r>
          </w:p>
        </w:tc>
      </w:tr>
    </w:tbl>
    <w:p w14:paraId="1831853E" w14:textId="77777777" w:rsidR="009A6D5D" w:rsidRPr="006C73BF" w:rsidRDefault="00E23F2E" w:rsidP="00366BA3">
      <w:pPr>
        <w:widowControl/>
      </w:pPr>
      <w:r w:rsidRPr="006C73BF">
        <w:rPr>
          <w:rStyle w:val="HideTWBExt"/>
        </w:rPr>
        <w:t>&lt;/Amend&gt;</w:t>
      </w:r>
    </w:p>
    <w:p w14:paraId="3ED16C26"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2</w:t>
      </w:r>
      <w:r w:rsidRPr="006C73BF">
        <w:rPr>
          <w:rStyle w:val="HideTWBExt"/>
          <w:b w:val="0"/>
        </w:rPr>
        <w:t>&lt;/NumAm&gt;</w:t>
      </w:r>
    </w:p>
    <w:p w14:paraId="032EB25E" w14:textId="77777777" w:rsidR="009A6D5D" w:rsidRPr="006C73BF" w:rsidRDefault="00E23F2E" w:rsidP="00366BA3">
      <w:pPr>
        <w:keepNext/>
        <w:widowControl/>
      </w:pPr>
      <w:r w:rsidRPr="006C73BF">
        <w:rPr>
          <w:rStyle w:val="HideTWBExt"/>
        </w:rPr>
        <w:t>&lt;Compromise&gt;&lt;/Compromise&gt;</w:t>
      </w:r>
    </w:p>
    <w:p w14:paraId="317D7B58" w14:textId="77777777" w:rsidR="009A6D5D" w:rsidRPr="006C73BF" w:rsidRDefault="009A6D5D" w:rsidP="00366BA3">
      <w:pPr>
        <w:widowControl/>
      </w:pPr>
    </w:p>
    <w:p w14:paraId="35F1A57B"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1266273E" w14:textId="77777777" w:rsidR="009A6D5D" w:rsidRPr="006C73BF" w:rsidRDefault="00E23F2E" w:rsidP="00366BA3">
      <w:pPr>
        <w:pStyle w:val="NormalBold"/>
        <w:widowControl/>
      </w:pPr>
      <w:r w:rsidRPr="006C73BF">
        <w:rPr>
          <w:rStyle w:val="HideTWBExt"/>
          <w:b w:val="0"/>
        </w:rPr>
        <w:t>&lt;Article&gt;</w:t>
      </w:r>
      <w:r w:rsidRPr="006C73BF">
        <w:t>Considérant 16</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2E6CB7C4" w14:textId="77777777" w:rsidTr="009A6D5D">
        <w:trPr>
          <w:jc w:val="center"/>
        </w:trPr>
        <w:tc>
          <w:tcPr>
            <w:tcW w:w="9752" w:type="dxa"/>
            <w:gridSpan w:val="2"/>
          </w:tcPr>
          <w:p w14:paraId="73FC3AE7" w14:textId="77777777" w:rsidR="009A6D5D" w:rsidRPr="006C73BF" w:rsidRDefault="009A6D5D" w:rsidP="00366BA3">
            <w:pPr>
              <w:keepNext/>
              <w:widowControl/>
            </w:pPr>
          </w:p>
        </w:tc>
      </w:tr>
      <w:tr w:rsidR="0027109F" w:rsidRPr="006C73BF" w14:paraId="042042C8" w14:textId="77777777" w:rsidTr="009A6D5D">
        <w:trPr>
          <w:jc w:val="center"/>
        </w:trPr>
        <w:tc>
          <w:tcPr>
            <w:tcW w:w="4876" w:type="dxa"/>
            <w:hideMark/>
          </w:tcPr>
          <w:p w14:paraId="1BD299D2" w14:textId="77777777" w:rsidR="009A6D5D" w:rsidRPr="006C73BF" w:rsidRDefault="00E23F2E" w:rsidP="00366BA3">
            <w:pPr>
              <w:pStyle w:val="ColumnHeading"/>
              <w:keepNext/>
              <w:widowControl/>
            </w:pPr>
            <w:r w:rsidRPr="006C73BF">
              <w:t>Texte proposé par la Commission</w:t>
            </w:r>
          </w:p>
        </w:tc>
        <w:tc>
          <w:tcPr>
            <w:tcW w:w="4876" w:type="dxa"/>
            <w:hideMark/>
          </w:tcPr>
          <w:p w14:paraId="7963C8EE" w14:textId="77777777" w:rsidR="009A6D5D" w:rsidRPr="006C73BF" w:rsidRDefault="00E23F2E" w:rsidP="00366BA3">
            <w:pPr>
              <w:pStyle w:val="ColumnHeading"/>
              <w:keepNext/>
              <w:widowControl/>
            </w:pPr>
            <w:r w:rsidRPr="006C73BF">
              <w:t>Amendement</w:t>
            </w:r>
          </w:p>
        </w:tc>
      </w:tr>
      <w:tr w:rsidR="0027109F" w:rsidRPr="006C73BF" w14:paraId="7895A7D2" w14:textId="77777777" w:rsidTr="009A6D5D">
        <w:trPr>
          <w:jc w:val="center"/>
        </w:trPr>
        <w:tc>
          <w:tcPr>
            <w:tcW w:w="4876" w:type="dxa"/>
            <w:hideMark/>
          </w:tcPr>
          <w:p w14:paraId="64AEB0EB" w14:textId="77777777" w:rsidR="009A6D5D" w:rsidRPr="006C73BF" w:rsidRDefault="00E23F2E" w:rsidP="00366BA3">
            <w:pPr>
              <w:pStyle w:val="Normal6"/>
              <w:widowControl/>
            </w:pPr>
            <w:r w:rsidRPr="006C73BF">
              <w:t>(16)</w:t>
            </w:r>
            <w:r w:rsidRPr="006C73BF">
              <w:tab/>
              <w:t xml:space="preserve">Dans un environnement économique, social et géopolitique en mutation rapide, l’expérience récente a montré la nécessité d’un cadre financier pluriannuel et de programmes plus souples. À cet effet, et conformément aux objectifs du Fonds, le financement devrait tenir dûment compte, dans la procédure budgétaire, de l’évolution des besoins stratégiques et des priorités de l’Union, </w:t>
            </w:r>
            <w:r w:rsidRPr="006C73BF">
              <w:rPr>
                <w:b/>
                <w:i/>
              </w:rPr>
              <w:t>tels qu’ils sont recensés dans les documents pertinents publiés par la Commission,</w:t>
            </w:r>
            <w:r w:rsidRPr="006C73BF">
              <w:t xml:space="preserve"> tout en assurant la prévisibilité nécessaire à la mise en œuvre des investissements.</w:t>
            </w:r>
          </w:p>
        </w:tc>
        <w:tc>
          <w:tcPr>
            <w:tcW w:w="4876" w:type="dxa"/>
            <w:hideMark/>
          </w:tcPr>
          <w:p w14:paraId="1CC62567" w14:textId="77777777" w:rsidR="009A6D5D" w:rsidRPr="006C73BF" w:rsidRDefault="00E23F2E" w:rsidP="00366BA3">
            <w:pPr>
              <w:pStyle w:val="Normal6"/>
              <w:widowControl/>
              <w:rPr>
                <w:szCs w:val="24"/>
              </w:rPr>
            </w:pPr>
            <w:r w:rsidRPr="006C73BF">
              <w:t>(16)</w:t>
            </w:r>
            <w:r w:rsidRPr="006C73BF">
              <w:tab/>
              <w:t>Dans un environnement économique, social et géopolitique en mutation rapide, l’expérience récente a montré la nécessité d’un cadre financier pluriannuel et de programmes plus souples. À cet effet, et conformément aux objectifs du Fonds, le financement devrait tenir dûment compte, dans la procédure budgétaire, de l’évolution des besoins stratégiques et des priorités de l’Union, tout en assurant la prévisibilité nécessaire à la mise en œuvre des investissements.</w:t>
            </w:r>
          </w:p>
        </w:tc>
      </w:tr>
    </w:tbl>
    <w:p w14:paraId="20542777" w14:textId="77777777" w:rsidR="009A6D5D" w:rsidRPr="006C73BF" w:rsidRDefault="00E23F2E" w:rsidP="00366BA3">
      <w:pPr>
        <w:widowControl/>
        <w:rPr>
          <w:rStyle w:val="HideTWBExt"/>
        </w:rPr>
      </w:pPr>
      <w:r w:rsidRPr="006C73BF">
        <w:rPr>
          <w:rStyle w:val="HideTWBExt"/>
        </w:rPr>
        <w:t>&lt;/Amend&gt;</w:t>
      </w:r>
    </w:p>
    <w:p w14:paraId="577AC397" w14:textId="77777777" w:rsidR="00DB158A" w:rsidRPr="006C73BF" w:rsidRDefault="00DB158A" w:rsidP="00366BA3">
      <w:pPr>
        <w:widowControl/>
      </w:pPr>
    </w:p>
    <w:p w14:paraId="1BAE5D03"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3</w:t>
      </w:r>
      <w:r w:rsidRPr="006C73BF">
        <w:rPr>
          <w:rStyle w:val="HideTWBExt"/>
          <w:b w:val="0"/>
        </w:rPr>
        <w:t>&lt;/NumAm&gt;</w:t>
      </w:r>
    </w:p>
    <w:p w14:paraId="0B32F7D0" w14:textId="77777777" w:rsidR="009A6D5D" w:rsidRPr="006C73BF" w:rsidRDefault="00E23F2E" w:rsidP="00366BA3">
      <w:pPr>
        <w:keepNext/>
        <w:widowControl/>
      </w:pPr>
      <w:r w:rsidRPr="006C73BF">
        <w:rPr>
          <w:rStyle w:val="HideTWBExt"/>
        </w:rPr>
        <w:t>&lt;Compromise&gt;&lt;/Compromise&gt;</w:t>
      </w:r>
    </w:p>
    <w:p w14:paraId="3D59911F" w14:textId="77777777" w:rsidR="009A6D5D" w:rsidRPr="006C73BF" w:rsidRDefault="009A6D5D" w:rsidP="00366BA3">
      <w:pPr>
        <w:widowControl/>
      </w:pPr>
    </w:p>
    <w:p w14:paraId="302132B2"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04A2A7BE" w14:textId="77777777" w:rsidR="009A6D5D" w:rsidRPr="006C73BF" w:rsidRDefault="00E23F2E" w:rsidP="00366BA3">
      <w:pPr>
        <w:pStyle w:val="NormalBold"/>
        <w:widowControl/>
      </w:pPr>
      <w:r w:rsidRPr="006C73BF">
        <w:rPr>
          <w:rStyle w:val="HideTWBExt"/>
          <w:b w:val="0"/>
        </w:rPr>
        <w:t>&lt;Article&gt;</w:t>
      </w:r>
      <w:r w:rsidRPr="006C73BF">
        <w:t>Considérant 41 bis (nouveau)</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64F0F9F3" w14:textId="77777777" w:rsidTr="009A6D5D">
        <w:trPr>
          <w:jc w:val="center"/>
        </w:trPr>
        <w:tc>
          <w:tcPr>
            <w:tcW w:w="9752" w:type="dxa"/>
            <w:gridSpan w:val="2"/>
          </w:tcPr>
          <w:p w14:paraId="6F09C5AA" w14:textId="77777777" w:rsidR="009A6D5D" w:rsidRPr="006C73BF" w:rsidRDefault="009A6D5D" w:rsidP="00366BA3">
            <w:pPr>
              <w:keepNext/>
              <w:widowControl/>
            </w:pPr>
          </w:p>
        </w:tc>
      </w:tr>
      <w:tr w:rsidR="0027109F" w:rsidRPr="006C73BF" w14:paraId="43898461" w14:textId="77777777" w:rsidTr="009A6D5D">
        <w:trPr>
          <w:jc w:val="center"/>
        </w:trPr>
        <w:tc>
          <w:tcPr>
            <w:tcW w:w="4876" w:type="dxa"/>
            <w:hideMark/>
          </w:tcPr>
          <w:p w14:paraId="0BB1CE66" w14:textId="77777777" w:rsidR="009A6D5D" w:rsidRPr="006C73BF" w:rsidRDefault="00E23F2E" w:rsidP="00366BA3">
            <w:pPr>
              <w:pStyle w:val="ColumnHeading"/>
              <w:keepNext/>
              <w:widowControl/>
            </w:pPr>
            <w:r w:rsidRPr="006C73BF">
              <w:t>Texte proposé par la Commission</w:t>
            </w:r>
          </w:p>
        </w:tc>
        <w:tc>
          <w:tcPr>
            <w:tcW w:w="4876" w:type="dxa"/>
            <w:hideMark/>
          </w:tcPr>
          <w:p w14:paraId="3F47E0D8" w14:textId="77777777" w:rsidR="009A6D5D" w:rsidRPr="006C73BF" w:rsidRDefault="00E23F2E" w:rsidP="00366BA3">
            <w:pPr>
              <w:pStyle w:val="ColumnHeading"/>
              <w:keepNext/>
              <w:widowControl/>
            </w:pPr>
            <w:r w:rsidRPr="006C73BF">
              <w:t>Amendement</w:t>
            </w:r>
          </w:p>
        </w:tc>
      </w:tr>
      <w:tr w:rsidR="0027109F" w:rsidRPr="006C73BF" w14:paraId="76AC9734" w14:textId="77777777" w:rsidTr="009A6D5D">
        <w:trPr>
          <w:jc w:val="center"/>
        </w:trPr>
        <w:tc>
          <w:tcPr>
            <w:tcW w:w="4876" w:type="dxa"/>
          </w:tcPr>
          <w:p w14:paraId="0DA842C6" w14:textId="77777777" w:rsidR="009A6D5D" w:rsidRPr="006C73BF" w:rsidRDefault="009A6D5D" w:rsidP="00366BA3">
            <w:pPr>
              <w:pStyle w:val="Normal6"/>
              <w:widowControl/>
            </w:pPr>
          </w:p>
        </w:tc>
        <w:tc>
          <w:tcPr>
            <w:tcW w:w="4876" w:type="dxa"/>
            <w:hideMark/>
          </w:tcPr>
          <w:p w14:paraId="0B166EFD" w14:textId="77777777" w:rsidR="009A6D5D" w:rsidRPr="006C73BF" w:rsidRDefault="00E23F2E" w:rsidP="00366BA3">
            <w:pPr>
              <w:pStyle w:val="Normal6"/>
              <w:widowControl/>
              <w:rPr>
                <w:szCs w:val="24"/>
              </w:rPr>
            </w:pPr>
            <w:r w:rsidRPr="006C73BF">
              <w:rPr>
                <w:b/>
                <w:i/>
              </w:rPr>
              <w:t>(41 bis)</w:t>
            </w:r>
            <w:r w:rsidRPr="006C73BF">
              <w:rPr>
                <w:b/>
                <w:i/>
              </w:rPr>
              <w:tab/>
              <w:t>Afin de soutenir la compétitivité et l’innovation de l’Union, les remboursements provenant des garanties budgétaires et des instruments financiers, ainsi que les recettes générées par les systèmes spatiaux de l’Union et la mise en œuvre de la politique spatiale de l’Union, devraient être utilisés pour fournir un financement supplémentaire à l’instrument InvestEU du Fonds et aux activités spatiales du Fonds, respectivement. Dans le même but, les crédits d’engagement correspondant à d’éventuels dégagements relatifs à des projets de recherche en matière de défense devraient être reconstitués au profit du programme consacré à la recherche dans le domaine de la défense.</w:t>
            </w:r>
          </w:p>
        </w:tc>
      </w:tr>
    </w:tbl>
    <w:p w14:paraId="5631A80A" w14:textId="77777777" w:rsidR="009A6D5D" w:rsidRPr="006C73BF" w:rsidRDefault="00E23F2E" w:rsidP="00366BA3">
      <w:pPr>
        <w:widowControl/>
        <w:rPr>
          <w:rStyle w:val="HideTWBExt"/>
        </w:rPr>
      </w:pPr>
      <w:r w:rsidRPr="006C73BF">
        <w:rPr>
          <w:rStyle w:val="HideTWBExt"/>
        </w:rPr>
        <w:lastRenderedPageBreak/>
        <w:t>&lt;/Amend&gt;</w:t>
      </w:r>
    </w:p>
    <w:p w14:paraId="4A08751A" w14:textId="77777777" w:rsidR="00DB158A"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4</w:t>
      </w:r>
      <w:r w:rsidRPr="006C73BF">
        <w:rPr>
          <w:rStyle w:val="HideTWBExt"/>
          <w:b w:val="0"/>
        </w:rPr>
        <w:t>&lt;/NumAm&gt;</w:t>
      </w:r>
    </w:p>
    <w:p w14:paraId="41814EBF" w14:textId="77777777" w:rsidR="00DB158A" w:rsidRPr="006C73BF" w:rsidRDefault="00E23F2E" w:rsidP="00366BA3">
      <w:pPr>
        <w:keepNext/>
        <w:widowControl/>
      </w:pPr>
      <w:r w:rsidRPr="006C73BF">
        <w:rPr>
          <w:rStyle w:val="HideTWBExt"/>
        </w:rPr>
        <w:t>&lt;Compromise&gt;&lt;/Compromise&gt;</w:t>
      </w:r>
    </w:p>
    <w:p w14:paraId="18B6C93C" w14:textId="77777777" w:rsidR="00DB158A" w:rsidRPr="006C73BF" w:rsidRDefault="00DB158A" w:rsidP="00366BA3">
      <w:pPr>
        <w:widowControl/>
      </w:pPr>
    </w:p>
    <w:p w14:paraId="3752C017" w14:textId="77777777" w:rsidR="00DB158A"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7C9FFC28" w14:textId="77777777" w:rsidR="00DB158A" w:rsidRPr="006C73BF" w:rsidRDefault="00E23F2E" w:rsidP="00366BA3">
      <w:pPr>
        <w:pStyle w:val="NormalBold"/>
        <w:widowControl/>
      </w:pPr>
      <w:r w:rsidRPr="006C73BF">
        <w:rPr>
          <w:rStyle w:val="HideTWBExt"/>
          <w:b w:val="0"/>
        </w:rPr>
        <w:t>&lt;Article&gt;</w:t>
      </w:r>
      <w:r w:rsidRPr="006C73BF">
        <w:t>Considérant 43 bis (nouveau)</w:t>
      </w:r>
      <w:r w:rsidRPr="006C73B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3CF08588" w14:textId="77777777" w:rsidTr="00D25904">
        <w:trPr>
          <w:jc w:val="center"/>
        </w:trPr>
        <w:tc>
          <w:tcPr>
            <w:tcW w:w="9752" w:type="dxa"/>
            <w:gridSpan w:val="2"/>
          </w:tcPr>
          <w:p w14:paraId="20998784" w14:textId="77777777" w:rsidR="00DB158A" w:rsidRPr="006C73BF" w:rsidRDefault="00DB158A" w:rsidP="00366BA3">
            <w:pPr>
              <w:keepNext/>
              <w:widowControl/>
            </w:pPr>
          </w:p>
        </w:tc>
      </w:tr>
      <w:tr w:rsidR="0027109F" w:rsidRPr="006C73BF" w14:paraId="3CFC0964" w14:textId="77777777" w:rsidTr="00D25904">
        <w:trPr>
          <w:jc w:val="center"/>
        </w:trPr>
        <w:tc>
          <w:tcPr>
            <w:tcW w:w="4876" w:type="dxa"/>
            <w:hideMark/>
          </w:tcPr>
          <w:p w14:paraId="723F7D2F" w14:textId="77777777" w:rsidR="00DB158A" w:rsidRPr="006C73BF" w:rsidRDefault="00E23F2E" w:rsidP="00366BA3">
            <w:pPr>
              <w:pStyle w:val="ColumnHeading"/>
              <w:keepNext/>
              <w:widowControl/>
            </w:pPr>
            <w:r w:rsidRPr="006C73BF">
              <w:t>Texte proposé par la Commission</w:t>
            </w:r>
          </w:p>
        </w:tc>
        <w:tc>
          <w:tcPr>
            <w:tcW w:w="4876" w:type="dxa"/>
            <w:hideMark/>
          </w:tcPr>
          <w:p w14:paraId="08B2588F" w14:textId="77777777" w:rsidR="00DB158A" w:rsidRPr="006C73BF" w:rsidRDefault="00E23F2E" w:rsidP="00366BA3">
            <w:pPr>
              <w:pStyle w:val="ColumnHeading"/>
              <w:keepNext/>
              <w:widowControl/>
            </w:pPr>
            <w:r w:rsidRPr="006C73BF">
              <w:t>Amendement</w:t>
            </w:r>
          </w:p>
        </w:tc>
      </w:tr>
      <w:tr w:rsidR="0027109F" w:rsidRPr="006C73BF" w14:paraId="4A02D756" w14:textId="77777777" w:rsidTr="00D25904">
        <w:trPr>
          <w:jc w:val="center"/>
        </w:trPr>
        <w:tc>
          <w:tcPr>
            <w:tcW w:w="4876" w:type="dxa"/>
          </w:tcPr>
          <w:p w14:paraId="2C0117F2" w14:textId="77777777" w:rsidR="00DB158A" w:rsidRPr="006C73BF" w:rsidRDefault="00DB158A" w:rsidP="00366BA3">
            <w:pPr>
              <w:pStyle w:val="Normal6"/>
              <w:widowControl/>
            </w:pPr>
          </w:p>
        </w:tc>
        <w:tc>
          <w:tcPr>
            <w:tcW w:w="4876" w:type="dxa"/>
            <w:hideMark/>
          </w:tcPr>
          <w:p w14:paraId="410077DB" w14:textId="77777777" w:rsidR="00DB158A" w:rsidRPr="006C73BF" w:rsidRDefault="00E23F2E" w:rsidP="00366BA3">
            <w:pPr>
              <w:pStyle w:val="Normal6"/>
              <w:widowControl/>
              <w:rPr>
                <w:szCs w:val="24"/>
              </w:rPr>
            </w:pPr>
            <w:r w:rsidRPr="006C73BF">
              <w:rPr>
                <w:b/>
                <w:i/>
              </w:rPr>
              <w:t>(43 bis)</w:t>
            </w:r>
            <w:r w:rsidRPr="006C73BF">
              <w:rPr>
                <w:b/>
                <w:i/>
              </w:rPr>
              <w:tab/>
              <w:t>Conformément au règlement (UE, Euratom) 2024/2509 du Parlement européen et du Conseil</w:t>
            </w:r>
            <w:r w:rsidRPr="006C73BF">
              <w:rPr>
                <w:b/>
                <w:i/>
                <w:vertAlign w:val="superscript"/>
              </w:rPr>
              <w:t>1bis</w:t>
            </w:r>
            <w:r w:rsidRPr="006C73BF">
              <w:rPr>
                <w:b/>
                <w:i/>
              </w:rPr>
              <w:t xml:space="preserve"> (ci-après le «règlement financier»), la mise en œuvre du Fonds devrait respecter pleinement les valeurs consacrées à l’article 2 du traité sur l’Union européenne et les droits reconnus dans la charte des droits fondamentaux de l’Union européenne.</w:t>
            </w:r>
          </w:p>
        </w:tc>
      </w:tr>
      <w:tr w:rsidR="0027109F" w:rsidRPr="006C73BF" w14:paraId="236272D7" w14:textId="77777777" w:rsidTr="00D25904">
        <w:trPr>
          <w:jc w:val="center"/>
        </w:trPr>
        <w:tc>
          <w:tcPr>
            <w:tcW w:w="4876" w:type="dxa"/>
          </w:tcPr>
          <w:p w14:paraId="6A0BE2B8" w14:textId="77777777" w:rsidR="0052315F" w:rsidRPr="006C73BF" w:rsidRDefault="0052315F" w:rsidP="00366BA3">
            <w:pPr>
              <w:pStyle w:val="Normal6"/>
              <w:widowControl/>
            </w:pPr>
          </w:p>
        </w:tc>
        <w:tc>
          <w:tcPr>
            <w:tcW w:w="4876" w:type="dxa"/>
          </w:tcPr>
          <w:p w14:paraId="65059CEF" w14:textId="77777777" w:rsidR="0052315F" w:rsidRPr="006C73BF" w:rsidRDefault="00E23F2E" w:rsidP="00366BA3">
            <w:pPr>
              <w:pStyle w:val="Normal6"/>
              <w:widowControl/>
              <w:rPr>
                <w:b/>
                <w:i/>
              </w:rPr>
            </w:pPr>
            <w:r w:rsidRPr="006C73BF">
              <w:rPr>
                <w:b/>
                <w:i/>
              </w:rPr>
              <w:t>_______________________</w:t>
            </w:r>
          </w:p>
        </w:tc>
      </w:tr>
      <w:tr w:rsidR="0027109F" w:rsidRPr="006C73BF" w14:paraId="1901892A" w14:textId="77777777" w:rsidTr="0052315F">
        <w:trPr>
          <w:jc w:val="center"/>
        </w:trPr>
        <w:tc>
          <w:tcPr>
            <w:tcW w:w="4876" w:type="dxa"/>
          </w:tcPr>
          <w:p w14:paraId="12DC58CE" w14:textId="77777777" w:rsidR="0052315F" w:rsidRPr="006C73BF" w:rsidRDefault="0052315F" w:rsidP="00366BA3">
            <w:pPr>
              <w:pStyle w:val="Normal6"/>
              <w:widowControl/>
            </w:pPr>
          </w:p>
        </w:tc>
        <w:tc>
          <w:tcPr>
            <w:tcW w:w="4876" w:type="dxa"/>
          </w:tcPr>
          <w:p w14:paraId="2A47A13E" w14:textId="77777777" w:rsidR="0052315F" w:rsidRPr="006C73BF" w:rsidRDefault="00E23F2E" w:rsidP="00366BA3">
            <w:pPr>
              <w:pStyle w:val="Normal6"/>
              <w:widowControl/>
              <w:rPr>
                <w:b/>
                <w:i/>
              </w:rPr>
            </w:pPr>
            <w:r w:rsidRPr="006C73BF">
              <w:rPr>
                <w:b/>
                <w:i/>
                <w:vertAlign w:val="superscript"/>
              </w:rPr>
              <w:t>1bis</w:t>
            </w:r>
            <w:r w:rsidRPr="006C73BF">
              <w:rPr>
                <w:b/>
                <w:i/>
              </w:rPr>
              <w:t xml:space="preserve"> Règlement (UE, Euratom) 2024/2509 du Parlement européen et du Conseil du 23 septembre 2024 relatif aux règles financières applicables au budget général de l’Union (JO L, 2024/2509, 26.9.2024, ELI:</w:t>
            </w:r>
            <w:r w:rsidRPr="006C73BF">
              <w:t xml:space="preserve"> </w:t>
            </w:r>
            <w:r w:rsidRPr="006C73BF">
              <w:rPr>
                <w:b/>
                <w:i/>
              </w:rPr>
              <w:t>http://data.europa.eu/eli/reg/2024/2509/oj).</w:t>
            </w:r>
          </w:p>
        </w:tc>
      </w:tr>
    </w:tbl>
    <w:p w14:paraId="6AF7C83A" w14:textId="77777777" w:rsidR="00DB158A" w:rsidRPr="006C73BF" w:rsidRDefault="00E23F2E" w:rsidP="00366BA3">
      <w:pPr>
        <w:widowControl/>
      </w:pPr>
      <w:r w:rsidRPr="006C73BF">
        <w:rPr>
          <w:rStyle w:val="HideTWBExt"/>
        </w:rPr>
        <w:t>&lt;/Amend&gt;</w:t>
      </w:r>
    </w:p>
    <w:p w14:paraId="3EC94D36" w14:textId="77777777" w:rsidR="00DB158A"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5</w:t>
      </w:r>
      <w:r w:rsidRPr="006C73BF">
        <w:rPr>
          <w:rStyle w:val="HideTWBExt"/>
          <w:b w:val="0"/>
        </w:rPr>
        <w:t>&lt;/NumAm&gt;</w:t>
      </w:r>
    </w:p>
    <w:p w14:paraId="4BA3D913" w14:textId="77777777" w:rsidR="00DB158A" w:rsidRPr="006C73BF" w:rsidRDefault="00E23F2E" w:rsidP="00366BA3">
      <w:pPr>
        <w:keepNext/>
        <w:widowControl/>
      </w:pPr>
      <w:r w:rsidRPr="006C73BF">
        <w:rPr>
          <w:rStyle w:val="HideTWBExt"/>
        </w:rPr>
        <w:t>&lt;Compromise&gt;&lt;/Compromise&gt;</w:t>
      </w:r>
    </w:p>
    <w:p w14:paraId="67CB7A2D" w14:textId="77777777" w:rsidR="00DB158A" w:rsidRPr="006C73BF" w:rsidRDefault="00DB158A" w:rsidP="00366BA3">
      <w:pPr>
        <w:widowControl/>
      </w:pPr>
    </w:p>
    <w:p w14:paraId="041B0D1B" w14:textId="77777777" w:rsidR="00DB158A"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1CD288D9" w14:textId="77777777" w:rsidR="00DB158A" w:rsidRPr="006C73BF" w:rsidRDefault="00E23F2E" w:rsidP="00366BA3">
      <w:pPr>
        <w:pStyle w:val="NormalBold"/>
        <w:widowControl/>
      </w:pPr>
      <w:r w:rsidRPr="006C73BF">
        <w:rPr>
          <w:rStyle w:val="HideTWBExt"/>
          <w:b w:val="0"/>
        </w:rPr>
        <w:t>&lt;Article&gt;</w:t>
      </w:r>
      <w:r w:rsidRPr="006C73BF">
        <w:t>Considérant 43 ter (nouveau)</w:t>
      </w:r>
      <w:r w:rsidRPr="006C73B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38234D07" w14:textId="77777777" w:rsidTr="00D25904">
        <w:trPr>
          <w:jc w:val="center"/>
        </w:trPr>
        <w:tc>
          <w:tcPr>
            <w:tcW w:w="9752" w:type="dxa"/>
            <w:gridSpan w:val="2"/>
          </w:tcPr>
          <w:p w14:paraId="53D89D9C" w14:textId="77777777" w:rsidR="00DB158A" w:rsidRPr="006C73BF" w:rsidRDefault="00DB158A" w:rsidP="00366BA3">
            <w:pPr>
              <w:keepNext/>
              <w:widowControl/>
            </w:pPr>
          </w:p>
        </w:tc>
      </w:tr>
      <w:tr w:rsidR="0027109F" w:rsidRPr="006C73BF" w14:paraId="6770AEE8" w14:textId="77777777" w:rsidTr="00D25904">
        <w:trPr>
          <w:jc w:val="center"/>
        </w:trPr>
        <w:tc>
          <w:tcPr>
            <w:tcW w:w="4876" w:type="dxa"/>
            <w:hideMark/>
          </w:tcPr>
          <w:p w14:paraId="3D4ED9D6" w14:textId="77777777" w:rsidR="00DB158A" w:rsidRPr="006C73BF" w:rsidRDefault="00E23F2E" w:rsidP="00366BA3">
            <w:pPr>
              <w:pStyle w:val="ColumnHeading"/>
              <w:keepNext/>
              <w:widowControl/>
            </w:pPr>
            <w:r w:rsidRPr="006C73BF">
              <w:t>Texte proposé par la Commission</w:t>
            </w:r>
          </w:p>
        </w:tc>
        <w:tc>
          <w:tcPr>
            <w:tcW w:w="4876" w:type="dxa"/>
            <w:hideMark/>
          </w:tcPr>
          <w:p w14:paraId="1507CDD9" w14:textId="77777777" w:rsidR="00DB158A" w:rsidRPr="006C73BF" w:rsidRDefault="00E23F2E" w:rsidP="00366BA3">
            <w:pPr>
              <w:pStyle w:val="ColumnHeading"/>
              <w:keepNext/>
              <w:widowControl/>
            </w:pPr>
            <w:r w:rsidRPr="006C73BF">
              <w:t>Amendement</w:t>
            </w:r>
          </w:p>
        </w:tc>
      </w:tr>
      <w:tr w:rsidR="0027109F" w:rsidRPr="006C73BF" w14:paraId="547963A7" w14:textId="77777777" w:rsidTr="00D25904">
        <w:trPr>
          <w:jc w:val="center"/>
        </w:trPr>
        <w:tc>
          <w:tcPr>
            <w:tcW w:w="4876" w:type="dxa"/>
          </w:tcPr>
          <w:p w14:paraId="68F2F982" w14:textId="77777777" w:rsidR="00DB158A" w:rsidRPr="006C73BF" w:rsidRDefault="00DB158A" w:rsidP="00366BA3">
            <w:pPr>
              <w:pStyle w:val="Normal6"/>
              <w:widowControl/>
            </w:pPr>
          </w:p>
        </w:tc>
        <w:tc>
          <w:tcPr>
            <w:tcW w:w="4876" w:type="dxa"/>
            <w:hideMark/>
          </w:tcPr>
          <w:p w14:paraId="4C5ADA66" w14:textId="77777777" w:rsidR="00DB158A" w:rsidRPr="006C73BF" w:rsidRDefault="00E23F2E" w:rsidP="00366BA3">
            <w:pPr>
              <w:pStyle w:val="Normal6"/>
              <w:widowControl/>
              <w:rPr>
                <w:szCs w:val="24"/>
              </w:rPr>
            </w:pPr>
            <w:r w:rsidRPr="006C73BF">
              <w:rPr>
                <w:b/>
                <w:i/>
              </w:rPr>
              <w:t>(43 ter)</w:t>
            </w:r>
            <w:r w:rsidRPr="006C73BF">
              <w:rPr>
                <w:b/>
                <w:i/>
              </w:rPr>
              <w:tab/>
              <w:t xml:space="preserve">Le règlement (UE, Euratom) 2020/2092 du Parlement européen et du Conseil s’applique au Fonds. Il établit un régime général de conditionnalité pour la protection du budget de l’Union en cas de violation des </w:t>
            </w:r>
            <w:r w:rsidRPr="006C73BF">
              <w:rPr>
                <w:b/>
                <w:i/>
              </w:rPr>
              <w:lastRenderedPageBreak/>
              <w:t>principes de l’état de droit dans les États membres.</w:t>
            </w:r>
          </w:p>
        </w:tc>
      </w:tr>
      <w:tr w:rsidR="0027109F" w:rsidRPr="006C73BF" w14:paraId="05578406" w14:textId="77777777" w:rsidTr="00D25904">
        <w:trPr>
          <w:jc w:val="center"/>
        </w:trPr>
        <w:tc>
          <w:tcPr>
            <w:tcW w:w="4876" w:type="dxa"/>
          </w:tcPr>
          <w:p w14:paraId="4FF0ED63" w14:textId="77777777" w:rsidR="0052315F" w:rsidRPr="006C73BF" w:rsidRDefault="0052315F" w:rsidP="00366BA3">
            <w:pPr>
              <w:pStyle w:val="Normal6"/>
              <w:widowControl/>
            </w:pPr>
          </w:p>
        </w:tc>
        <w:tc>
          <w:tcPr>
            <w:tcW w:w="4876" w:type="dxa"/>
          </w:tcPr>
          <w:p w14:paraId="68CFC222" w14:textId="77777777" w:rsidR="0052315F" w:rsidRPr="006C73BF" w:rsidRDefault="00E23F2E" w:rsidP="00366BA3">
            <w:pPr>
              <w:pStyle w:val="Normal6"/>
              <w:widowControl/>
              <w:rPr>
                <w:b/>
                <w:i/>
                <w:szCs w:val="24"/>
              </w:rPr>
            </w:pPr>
            <w:r w:rsidRPr="006C73BF">
              <w:rPr>
                <w:b/>
                <w:i/>
              </w:rPr>
              <w:t>_______________________</w:t>
            </w:r>
          </w:p>
        </w:tc>
      </w:tr>
      <w:tr w:rsidR="0027109F" w:rsidRPr="006C73BF" w14:paraId="4E974109" w14:textId="77777777" w:rsidTr="0052315F">
        <w:trPr>
          <w:jc w:val="center"/>
        </w:trPr>
        <w:tc>
          <w:tcPr>
            <w:tcW w:w="4876" w:type="dxa"/>
          </w:tcPr>
          <w:p w14:paraId="09707C5A" w14:textId="77777777" w:rsidR="0052315F" w:rsidRPr="006C73BF" w:rsidRDefault="0052315F" w:rsidP="00366BA3">
            <w:pPr>
              <w:pStyle w:val="Normal6"/>
              <w:widowControl/>
            </w:pPr>
          </w:p>
        </w:tc>
        <w:tc>
          <w:tcPr>
            <w:tcW w:w="4876" w:type="dxa"/>
          </w:tcPr>
          <w:p w14:paraId="3B5F3594" w14:textId="77777777" w:rsidR="0052315F" w:rsidRPr="006C73BF" w:rsidRDefault="00E23F2E" w:rsidP="00366BA3">
            <w:pPr>
              <w:pStyle w:val="Normal6"/>
              <w:widowControl/>
              <w:rPr>
                <w:b/>
                <w:i/>
                <w:szCs w:val="24"/>
              </w:rPr>
            </w:pPr>
            <w:r w:rsidRPr="006C73BF">
              <w:rPr>
                <w:b/>
                <w:i/>
                <w:vertAlign w:val="superscript"/>
              </w:rPr>
              <w:t>1 bis</w:t>
            </w:r>
            <w:r w:rsidRPr="006C73BF">
              <w:rPr>
                <w:b/>
                <w:i/>
              </w:rPr>
              <w:t xml:space="preserve"> Règlement (UE, Euratom) 2020/2092 du Parlement européen et du Conseil du 16 décembre 2020 relatif à un régime général de conditionnalité pour la protection du budget de l’Union (JO L 433 I du 22.12.2020, p. 1, ELI: http://data.europa.eu/eli/reg/2020/2092/oj).</w:t>
            </w:r>
          </w:p>
        </w:tc>
      </w:tr>
    </w:tbl>
    <w:p w14:paraId="1BA6E10B" w14:textId="77777777" w:rsidR="00DB158A" w:rsidRPr="006C73BF" w:rsidRDefault="00E23F2E" w:rsidP="00366BA3">
      <w:pPr>
        <w:widowControl/>
      </w:pPr>
      <w:r w:rsidRPr="006C73BF">
        <w:rPr>
          <w:rStyle w:val="HideTWBExt"/>
        </w:rPr>
        <w:t>&lt;/Amend&gt;</w:t>
      </w:r>
    </w:p>
    <w:p w14:paraId="6C14369D" w14:textId="77777777" w:rsidR="00DB158A"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6</w:t>
      </w:r>
      <w:r w:rsidRPr="006C73BF">
        <w:rPr>
          <w:rStyle w:val="HideTWBExt"/>
          <w:b w:val="0"/>
        </w:rPr>
        <w:t>&lt;/NumAm&gt;</w:t>
      </w:r>
    </w:p>
    <w:p w14:paraId="5E801A26" w14:textId="77777777" w:rsidR="00DB158A" w:rsidRPr="006C73BF" w:rsidRDefault="00E23F2E" w:rsidP="00366BA3">
      <w:pPr>
        <w:keepNext/>
        <w:widowControl/>
      </w:pPr>
      <w:r w:rsidRPr="006C73BF">
        <w:rPr>
          <w:rStyle w:val="HideTWBExt"/>
        </w:rPr>
        <w:t>&lt;Compromise&gt;&lt;/Compromise&gt;</w:t>
      </w:r>
    </w:p>
    <w:p w14:paraId="7377FA0B" w14:textId="77777777" w:rsidR="00DB158A" w:rsidRPr="006C73BF" w:rsidRDefault="00DB158A" w:rsidP="00366BA3">
      <w:pPr>
        <w:widowControl/>
      </w:pPr>
    </w:p>
    <w:p w14:paraId="5CC07AD2" w14:textId="77777777" w:rsidR="00DB158A"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5F34A9D2" w14:textId="77777777" w:rsidR="00DB158A" w:rsidRPr="006C73BF" w:rsidRDefault="00E23F2E" w:rsidP="00366BA3">
      <w:pPr>
        <w:pStyle w:val="NormalBold"/>
        <w:widowControl/>
      </w:pPr>
      <w:r w:rsidRPr="006C73BF">
        <w:rPr>
          <w:rStyle w:val="HideTWBExt"/>
          <w:b w:val="0"/>
        </w:rPr>
        <w:t>&lt;Article&gt;</w:t>
      </w:r>
      <w:r w:rsidRPr="006C73BF">
        <w:t>Considérant 47 bis (nouveau)</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49DC3779" w14:textId="77777777" w:rsidTr="00B85CAA">
        <w:trPr>
          <w:jc w:val="center"/>
        </w:trPr>
        <w:tc>
          <w:tcPr>
            <w:tcW w:w="9752" w:type="dxa"/>
            <w:gridSpan w:val="2"/>
          </w:tcPr>
          <w:p w14:paraId="0263CDD6" w14:textId="77777777" w:rsidR="00DB158A" w:rsidRPr="006C73BF" w:rsidRDefault="00DB158A" w:rsidP="00366BA3">
            <w:pPr>
              <w:keepNext/>
              <w:widowControl/>
            </w:pPr>
          </w:p>
        </w:tc>
      </w:tr>
      <w:tr w:rsidR="0027109F" w:rsidRPr="006C73BF" w14:paraId="1ADC78BF" w14:textId="77777777" w:rsidTr="00B85CAA">
        <w:trPr>
          <w:jc w:val="center"/>
        </w:trPr>
        <w:tc>
          <w:tcPr>
            <w:tcW w:w="4876" w:type="dxa"/>
            <w:hideMark/>
          </w:tcPr>
          <w:p w14:paraId="204907A9" w14:textId="77777777" w:rsidR="00DB158A" w:rsidRPr="006C73BF" w:rsidRDefault="00E23F2E" w:rsidP="00366BA3">
            <w:pPr>
              <w:pStyle w:val="ColumnHeading"/>
              <w:keepNext/>
              <w:widowControl/>
            </w:pPr>
            <w:r w:rsidRPr="006C73BF">
              <w:t>Texte proposé par la Commission</w:t>
            </w:r>
          </w:p>
        </w:tc>
        <w:tc>
          <w:tcPr>
            <w:tcW w:w="4876" w:type="dxa"/>
            <w:hideMark/>
          </w:tcPr>
          <w:p w14:paraId="2CB79BB0" w14:textId="77777777" w:rsidR="00DB158A" w:rsidRPr="006C73BF" w:rsidRDefault="00E23F2E" w:rsidP="00366BA3">
            <w:pPr>
              <w:pStyle w:val="ColumnHeading"/>
              <w:keepNext/>
              <w:widowControl/>
            </w:pPr>
            <w:r w:rsidRPr="006C73BF">
              <w:t>Amendement</w:t>
            </w:r>
          </w:p>
        </w:tc>
      </w:tr>
      <w:tr w:rsidR="0027109F" w:rsidRPr="006C73BF" w14:paraId="75915418" w14:textId="77777777" w:rsidTr="00B85CAA">
        <w:trPr>
          <w:jc w:val="center"/>
        </w:trPr>
        <w:tc>
          <w:tcPr>
            <w:tcW w:w="4876" w:type="dxa"/>
          </w:tcPr>
          <w:p w14:paraId="1710E7A5" w14:textId="77777777" w:rsidR="00DB158A" w:rsidRPr="006C73BF" w:rsidRDefault="00DB158A" w:rsidP="00366BA3">
            <w:pPr>
              <w:pStyle w:val="Normal6"/>
              <w:widowControl/>
            </w:pPr>
          </w:p>
        </w:tc>
        <w:tc>
          <w:tcPr>
            <w:tcW w:w="4876" w:type="dxa"/>
            <w:hideMark/>
          </w:tcPr>
          <w:p w14:paraId="7E935784" w14:textId="77777777" w:rsidR="00DB158A" w:rsidRPr="006C73BF" w:rsidRDefault="00E23F2E" w:rsidP="00366BA3">
            <w:pPr>
              <w:pStyle w:val="Normal6"/>
              <w:widowControl/>
              <w:rPr>
                <w:szCs w:val="24"/>
              </w:rPr>
            </w:pPr>
            <w:r w:rsidRPr="006C73BF">
              <w:rPr>
                <w:b/>
                <w:i/>
              </w:rPr>
              <w:t>(47 bis)</w:t>
            </w:r>
            <w:r w:rsidRPr="006C73BF">
              <w:rPr>
                <w:b/>
                <w:i/>
              </w:rPr>
              <w:tab/>
              <w:t>La complémentarité entre le Fonds et d’autres instruments de l’Union ne devrait pas avoir lieu au détriment de la traçabilité des dépenses ou des prérogatives de l’autorité budgétaire. La contribution du Fonds aux actions financées conjointement devrait rester explicitement identifiable à toutes les étapes du cycle budgétaire et être dûment prise en compte dans la déclaration de performance des programmes.</w:t>
            </w:r>
          </w:p>
        </w:tc>
      </w:tr>
    </w:tbl>
    <w:p w14:paraId="63540158" w14:textId="77777777" w:rsidR="00DB158A" w:rsidRPr="006C73BF" w:rsidRDefault="00E23F2E" w:rsidP="00366BA3">
      <w:pPr>
        <w:widowControl/>
      </w:pPr>
      <w:r w:rsidRPr="006C73BF">
        <w:rPr>
          <w:rStyle w:val="HideTWBExt"/>
        </w:rPr>
        <w:t>&lt;/Amend&gt;</w:t>
      </w:r>
    </w:p>
    <w:p w14:paraId="28C48B13" w14:textId="77777777" w:rsidR="00DB158A" w:rsidRPr="006C73BF" w:rsidRDefault="00DB158A" w:rsidP="00366BA3">
      <w:pPr>
        <w:widowControl/>
      </w:pPr>
    </w:p>
    <w:p w14:paraId="17182648"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7</w:t>
      </w:r>
      <w:r w:rsidRPr="006C73BF">
        <w:rPr>
          <w:rStyle w:val="HideTWBExt"/>
          <w:b w:val="0"/>
        </w:rPr>
        <w:t>&lt;/NumAm&gt;</w:t>
      </w:r>
    </w:p>
    <w:p w14:paraId="14814B7C" w14:textId="77777777" w:rsidR="009A6D5D" w:rsidRPr="006C73BF" w:rsidRDefault="00E23F2E" w:rsidP="00366BA3">
      <w:pPr>
        <w:keepNext/>
        <w:widowControl/>
      </w:pPr>
      <w:r w:rsidRPr="006C73BF">
        <w:rPr>
          <w:rStyle w:val="HideTWBExt"/>
        </w:rPr>
        <w:t>&lt;Compromise&gt;&lt;/Compromise&gt;</w:t>
      </w:r>
    </w:p>
    <w:p w14:paraId="3F3997C8" w14:textId="77777777" w:rsidR="009A6D5D" w:rsidRPr="006C73BF" w:rsidRDefault="009A6D5D" w:rsidP="00366BA3">
      <w:pPr>
        <w:widowControl/>
      </w:pPr>
    </w:p>
    <w:p w14:paraId="1F80B54A"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27B7A55C" w14:textId="77777777" w:rsidR="009A6D5D" w:rsidRPr="006C73BF" w:rsidRDefault="00E23F2E" w:rsidP="00366BA3">
      <w:pPr>
        <w:pStyle w:val="NormalBold"/>
        <w:widowControl/>
      </w:pPr>
      <w:r w:rsidRPr="006C73BF">
        <w:rPr>
          <w:rStyle w:val="HideTWBExt"/>
          <w:b w:val="0"/>
        </w:rPr>
        <w:t>&lt;Article&gt;</w:t>
      </w:r>
      <w:r w:rsidRPr="006C73BF">
        <w:t>Considérant 51 bis (nouveau)</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45E96C2B" w14:textId="77777777" w:rsidTr="009A6D5D">
        <w:trPr>
          <w:jc w:val="center"/>
        </w:trPr>
        <w:tc>
          <w:tcPr>
            <w:tcW w:w="9752" w:type="dxa"/>
            <w:gridSpan w:val="2"/>
          </w:tcPr>
          <w:p w14:paraId="4B4F8D38" w14:textId="77777777" w:rsidR="009A6D5D" w:rsidRPr="006C73BF" w:rsidRDefault="009A6D5D" w:rsidP="00366BA3">
            <w:pPr>
              <w:keepNext/>
              <w:widowControl/>
            </w:pPr>
          </w:p>
        </w:tc>
      </w:tr>
      <w:tr w:rsidR="0027109F" w:rsidRPr="006C73BF" w14:paraId="23C439B7" w14:textId="77777777" w:rsidTr="009A6D5D">
        <w:trPr>
          <w:jc w:val="center"/>
        </w:trPr>
        <w:tc>
          <w:tcPr>
            <w:tcW w:w="4876" w:type="dxa"/>
            <w:hideMark/>
          </w:tcPr>
          <w:p w14:paraId="26E78AC2" w14:textId="77777777" w:rsidR="009A6D5D" w:rsidRPr="006C73BF" w:rsidRDefault="00E23F2E" w:rsidP="00366BA3">
            <w:pPr>
              <w:pStyle w:val="ColumnHeading"/>
              <w:keepNext/>
              <w:widowControl/>
            </w:pPr>
            <w:r w:rsidRPr="006C73BF">
              <w:t>Texte proposé par la Commission</w:t>
            </w:r>
          </w:p>
        </w:tc>
        <w:tc>
          <w:tcPr>
            <w:tcW w:w="4876" w:type="dxa"/>
            <w:hideMark/>
          </w:tcPr>
          <w:p w14:paraId="1BC305DA" w14:textId="77777777" w:rsidR="009A6D5D" w:rsidRPr="006C73BF" w:rsidRDefault="00E23F2E" w:rsidP="00366BA3">
            <w:pPr>
              <w:pStyle w:val="ColumnHeading"/>
              <w:keepNext/>
              <w:widowControl/>
            </w:pPr>
            <w:r w:rsidRPr="006C73BF">
              <w:t>Amendement</w:t>
            </w:r>
          </w:p>
        </w:tc>
      </w:tr>
      <w:tr w:rsidR="0027109F" w:rsidRPr="006C73BF" w14:paraId="62F68521" w14:textId="77777777" w:rsidTr="009A6D5D">
        <w:trPr>
          <w:jc w:val="center"/>
        </w:trPr>
        <w:tc>
          <w:tcPr>
            <w:tcW w:w="4876" w:type="dxa"/>
          </w:tcPr>
          <w:p w14:paraId="39E6D9D4" w14:textId="77777777" w:rsidR="009A6D5D" w:rsidRPr="006C73BF" w:rsidRDefault="009A6D5D" w:rsidP="00366BA3">
            <w:pPr>
              <w:pStyle w:val="Normal6"/>
              <w:widowControl/>
            </w:pPr>
          </w:p>
        </w:tc>
        <w:tc>
          <w:tcPr>
            <w:tcW w:w="4876" w:type="dxa"/>
            <w:hideMark/>
          </w:tcPr>
          <w:p w14:paraId="683F6444" w14:textId="77777777" w:rsidR="009A6D5D" w:rsidRPr="006C73BF" w:rsidRDefault="00E23F2E" w:rsidP="00366BA3">
            <w:pPr>
              <w:pStyle w:val="Normal6"/>
              <w:widowControl/>
              <w:rPr>
                <w:szCs w:val="24"/>
              </w:rPr>
            </w:pPr>
            <w:r w:rsidRPr="006C73BF">
              <w:rPr>
                <w:b/>
                <w:i/>
              </w:rPr>
              <w:t>(51 bis)</w:t>
            </w:r>
            <w:r w:rsidRPr="006C73BF">
              <w:rPr>
                <w:b/>
                <w:i/>
              </w:rPr>
              <w:tab/>
              <w:t xml:space="preserve">L’instrument InvestEU du Fonds devrait être disponible dès que possible après la signature des accords </w:t>
            </w:r>
            <w:r w:rsidRPr="006C73BF">
              <w:rPr>
                <w:b/>
                <w:i/>
              </w:rPr>
              <w:lastRenderedPageBreak/>
              <w:t>concernés. La disponibilité précoce réduirait le risque de retard de déploiement inhérent aux instruments axés sur les gazoducs et garantirait que le Fonds contribue à combler le déficit d’investissement de l’Union dès le début de la période couverte par le CFP 2028-2034.</w:t>
            </w:r>
          </w:p>
        </w:tc>
      </w:tr>
    </w:tbl>
    <w:p w14:paraId="265E2991" w14:textId="77777777" w:rsidR="009A6D5D" w:rsidRPr="006C73BF" w:rsidRDefault="00E23F2E" w:rsidP="00366BA3">
      <w:pPr>
        <w:widowControl/>
      </w:pPr>
      <w:r w:rsidRPr="006C73BF">
        <w:rPr>
          <w:rStyle w:val="HideTWBExt"/>
        </w:rPr>
        <w:lastRenderedPageBreak/>
        <w:t>&lt;/Amend&gt;</w:t>
      </w:r>
    </w:p>
    <w:p w14:paraId="056D6CB5"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8</w:t>
      </w:r>
      <w:r w:rsidRPr="006C73BF">
        <w:rPr>
          <w:rStyle w:val="HideTWBExt"/>
          <w:b w:val="0"/>
        </w:rPr>
        <w:t>&lt;/NumAm&gt;</w:t>
      </w:r>
    </w:p>
    <w:p w14:paraId="51F004BD" w14:textId="77777777" w:rsidR="009A6D5D" w:rsidRPr="006C73BF" w:rsidRDefault="00E23F2E" w:rsidP="00366BA3">
      <w:pPr>
        <w:keepNext/>
        <w:widowControl/>
      </w:pPr>
      <w:r w:rsidRPr="006C73BF">
        <w:rPr>
          <w:rStyle w:val="HideTWBExt"/>
        </w:rPr>
        <w:t>&lt;Compromise&gt;&lt;/Compromise&gt;</w:t>
      </w:r>
    </w:p>
    <w:p w14:paraId="7FF2AE35" w14:textId="77777777" w:rsidR="009A6D5D" w:rsidRPr="006C73BF" w:rsidRDefault="009A6D5D" w:rsidP="00366BA3">
      <w:pPr>
        <w:widowControl/>
      </w:pPr>
    </w:p>
    <w:p w14:paraId="1C122882"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7FA8C370" w14:textId="77777777" w:rsidR="009A6D5D" w:rsidRPr="006C73BF" w:rsidRDefault="00E23F2E" w:rsidP="00366BA3">
      <w:pPr>
        <w:pStyle w:val="NormalBold"/>
        <w:widowControl/>
      </w:pPr>
      <w:r w:rsidRPr="006C73BF">
        <w:rPr>
          <w:rStyle w:val="HideTWBExt"/>
          <w:b w:val="0"/>
        </w:rPr>
        <w:t>&lt;Article&gt;</w:t>
      </w:r>
      <w:r w:rsidRPr="006C73BF">
        <w:t>Considérant 67 bis (nouveau)</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2F3D359E" w14:textId="77777777" w:rsidTr="009A6D5D">
        <w:trPr>
          <w:jc w:val="center"/>
        </w:trPr>
        <w:tc>
          <w:tcPr>
            <w:tcW w:w="9752" w:type="dxa"/>
            <w:gridSpan w:val="2"/>
          </w:tcPr>
          <w:p w14:paraId="085E9315" w14:textId="77777777" w:rsidR="009A6D5D" w:rsidRPr="006C73BF" w:rsidRDefault="009A6D5D" w:rsidP="00366BA3">
            <w:pPr>
              <w:keepNext/>
              <w:widowControl/>
            </w:pPr>
          </w:p>
        </w:tc>
      </w:tr>
      <w:tr w:rsidR="0027109F" w:rsidRPr="006C73BF" w14:paraId="68F9B7BD" w14:textId="77777777" w:rsidTr="009A6D5D">
        <w:trPr>
          <w:jc w:val="center"/>
        </w:trPr>
        <w:tc>
          <w:tcPr>
            <w:tcW w:w="4876" w:type="dxa"/>
            <w:hideMark/>
          </w:tcPr>
          <w:p w14:paraId="5A3EAF96" w14:textId="77777777" w:rsidR="009A6D5D" w:rsidRPr="006C73BF" w:rsidRDefault="00E23F2E" w:rsidP="00366BA3">
            <w:pPr>
              <w:pStyle w:val="ColumnHeading"/>
              <w:keepNext/>
              <w:widowControl/>
            </w:pPr>
            <w:r w:rsidRPr="006C73BF">
              <w:t>Texte proposé par la Commission</w:t>
            </w:r>
          </w:p>
        </w:tc>
        <w:tc>
          <w:tcPr>
            <w:tcW w:w="4876" w:type="dxa"/>
            <w:hideMark/>
          </w:tcPr>
          <w:p w14:paraId="31E2E862" w14:textId="77777777" w:rsidR="009A6D5D" w:rsidRPr="006C73BF" w:rsidRDefault="00E23F2E" w:rsidP="00366BA3">
            <w:pPr>
              <w:pStyle w:val="ColumnHeading"/>
              <w:keepNext/>
              <w:widowControl/>
            </w:pPr>
            <w:r w:rsidRPr="006C73BF">
              <w:t>Amendement</w:t>
            </w:r>
          </w:p>
        </w:tc>
      </w:tr>
      <w:tr w:rsidR="0027109F" w:rsidRPr="006C73BF" w14:paraId="0F922543" w14:textId="77777777" w:rsidTr="009A6D5D">
        <w:trPr>
          <w:jc w:val="center"/>
        </w:trPr>
        <w:tc>
          <w:tcPr>
            <w:tcW w:w="4876" w:type="dxa"/>
          </w:tcPr>
          <w:p w14:paraId="4F0ABA15" w14:textId="77777777" w:rsidR="009A6D5D" w:rsidRPr="006C73BF" w:rsidRDefault="009A6D5D" w:rsidP="00366BA3">
            <w:pPr>
              <w:pStyle w:val="Normal6"/>
              <w:widowControl/>
            </w:pPr>
          </w:p>
        </w:tc>
        <w:tc>
          <w:tcPr>
            <w:tcW w:w="4876" w:type="dxa"/>
            <w:hideMark/>
          </w:tcPr>
          <w:p w14:paraId="69918B19" w14:textId="77777777" w:rsidR="009A6D5D" w:rsidRPr="006C73BF" w:rsidRDefault="00E23F2E" w:rsidP="00366BA3">
            <w:pPr>
              <w:pStyle w:val="Normal6"/>
              <w:widowControl/>
              <w:rPr>
                <w:szCs w:val="24"/>
              </w:rPr>
            </w:pPr>
            <w:r w:rsidRPr="006C73BF">
              <w:rPr>
                <w:b/>
                <w:i/>
              </w:rPr>
              <w:t>(67 bis)</w:t>
            </w:r>
            <w:r w:rsidRPr="006C73BF">
              <w:rPr>
                <w:b/>
                <w:i/>
              </w:rPr>
              <w:tab/>
              <w:t xml:space="preserve">L’instrument InvestEU du Fonds se composerait d’un compartiment «UE» et d’un compartiment «États membres». Le compartiment «UE» devrait traiter de manière proportionnée les défaillances du marché ou les situations d’investissement sous-optimales à l’échelle de l’Union ou spécifiques à un ou plusieurs États membres. Les opérations soutenues devraient présenter une valeur ajoutée manifeste pour l’Union. Le compartiment «États membres» devrait être conçu de manière à permettre l’utilisation des contributions des États membres, ainsi que des ressources en gestion partagée fournies par les États membres et par les autorités régionales par l’intermédiaire de leur État membre, pour le provisionnement de la garantie budgétaire ou pour fournir un financement sous la forme d’un instrument financier. Le compartiment «États membres» devrait permettre aux États membres de remédier à des défaillances du marché ou à des situations d’investissement sous-optimales spécifiques sur leur propre territoire, comme le prévoit la convention de </w:t>
            </w:r>
            <w:r w:rsidRPr="006C73BF">
              <w:rPr>
                <w:b/>
                <w:i/>
              </w:rPr>
              <w:lastRenderedPageBreak/>
              <w:t>contribution. Les contributions provenant des ressources en gestion partagée devraient être utilisées pour atteindre les objectifs stratégiques des plans PNR. Cette possibilité permettrait d’accroître la valeur ajoutée de l’instrument InvestEU en offrant un soutien à un éventail plus large de bénéficiaires finaux et de projets et en diversifiant les moyens d’atteindre les objectifs des fonds en gestion partagée, tout en assurant une gestion cohérente des risques liés aux passifs éventuels, au moyen de la mise en œuvre de la garantie budgétaire dans le cadre de la gestion indirecte. Les compartiments «États membres» ne devraient pas causer d’éviction du financement privé ou de double emploi avec ce dernier. L’accord de contribution entre la Commission et l’État membre concerné devrait définir les modalités détaillées, y compris le montant de la contribution et, en cas d’utilisation de la garantie budgétaire, un taux de provisionnement déterminé par la Commission, en fonction de la nature des opérations et des pertes attendues qui en résultent, ainsi que du montant du passif éventuel à couvrir par une contre-garantie fournie par l’État membre. Cet accord devrait également définir les modalités d’exécution, y compris le ou les partenaires potentiels chargés de la mise en œuvre, ainsi que la couverture géographique et tout cloisonnement régional.</w:t>
            </w:r>
          </w:p>
        </w:tc>
      </w:tr>
    </w:tbl>
    <w:p w14:paraId="74AC3362" w14:textId="77777777" w:rsidR="009A6D5D" w:rsidRPr="006C73BF" w:rsidRDefault="00E23F2E" w:rsidP="00366BA3">
      <w:pPr>
        <w:widowControl/>
      </w:pPr>
      <w:r w:rsidRPr="006C73BF">
        <w:rPr>
          <w:rStyle w:val="HideTWBExt"/>
        </w:rPr>
        <w:lastRenderedPageBreak/>
        <w:t>&lt;/Amend&gt;</w:t>
      </w:r>
    </w:p>
    <w:p w14:paraId="0D3C31B6"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9</w:t>
      </w:r>
      <w:r w:rsidRPr="006C73BF">
        <w:rPr>
          <w:rStyle w:val="HideTWBExt"/>
          <w:b w:val="0"/>
        </w:rPr>
        <w:t>&lt;/NumAm&gt;</w:t>
      </w:r>
    </w:p>
    <w:p w14:paraId="594BD760" w14:textId="77777777" w:rsidR="009A6D5D" w:rsidRPr="006C73BF" w:rsidRDefault="00E23F2E" w:rsidP="00366BA3">
      <w:pPr>
        <w:keepNext/>
        <w:widowControl/>
      </w:pPr>
      <w:r w:rsidRPr="006C73BF">
        <w:rPr>
          <w:rStyle w:val="HideTWBExt"/>
        </w:rPr>
        <w:t>&lt;Compromise&gt;&lt;/Compromise&gt;</w:t>
      </w:r>
    </w:p>
    <w:p w14:paraId="4D9269EC" w14:textId="77777777" w:rsidR="009A6D5D" w:rsidRPr="006C73BF" w:rsidRDefault="009A6D5D" w:rsidP="00366BA3">
      <w:pPr>
        <w:widowControl/>
      </w:pPr>
    </w:p>
    <w:p w14:paraId="04F659BB"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79DD09FC" w14:textId="77777777" w:rsidR="009A6D5D" w:rsidRPr="006C73BF" w:rsidRDefault="00E23F2E" w:rsidP="00366BA3">
      <w:pPr>
        <w:pStyle w:val="NormalBold"/>
        <w:widowControl/>
      </w:pPr>
      <w:r w:rsidRPr="006C73BF">
        <w:rPr>
          <w:rStyle w:val="HideTWBExt"/>
          <w:b w:val="0"/>
        </w:rPr>
        <w:t>&lt;Article&gt;</w:t>
      </w:r>
      <w:r w:rsidRPr="006C73BF">
        <w:t>Considérant 72</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1B24FAD8" w14:textId="77777777" w:rsidTr="009A6D5D">
        <w:trPr>
          <w:jc w:val="center"/>
        </w:trPr>
        <w:tc>
          <w:tcPr>
            <w:tcW w:w="9752" w:type="dxa"/>
            <w:gridSpan w:val="2"/>
          </w:tcPr>
          <w:p w14:paraId="2FD50B73" w14:textId="77777777" w:rsidR="009A6D5D" w:rsidRPr="006C73BF" w:rsidRDefault="009A6D5D" w:rsidP="00366BA3">
            <w:pPr>
              <w:keepNext/>
              <w:widowControl/>
            </w:pPr>
          </w:p>
        </w:tc>
      </w:tr>
      <w:tr w:rsidR="0027109F" w:rsidRPr="006C73BF" w14:paraId="4DB04D02" w14:textId="77777777" w:rsidTr="009A6D5D">
        <w:trPr>
          <w:jc w:val="center"/>
        </w:trPr>
        <w:tc>
          <w:tcPr>
            <w:tcW w:w="4876" w:type="dxa"/>
            <w:hideMark/>
          </w:tcPr>
          <w:p w14:paraId="74B7EF8E" w14:textId="77777777" w:rsidR="009A6D5D" w:rsidRPr="006C73BF" w:rsidRDefault="00E23F2E" w:rsidP="00366BA3">
            <w:pPr>
              <w:pStyle w:val="ColumnHeading"/>
              <w:keepNext/>
              <w:widowControl/>
            </w:pPr>
            <w:r w:rsidRPr="006C73BF">
              <w:t>Texte proposé par la Commission</w:t>
            </w:r>
          </w:p>
        </w:tc>
        <w:tc>
          <w:tcPr>
            <w:tcW w:w="4876" w:type="dxa"/>
            <w:hideMark/>
          </w:tcPr>
          <w:p w14:paraId="4F6E188A" w14:textId="77777777" w:rsidR="009A6D5D" w:rsidRPr="006C73BF" w:rsidRDefault="00E23F2E" w:rsidP="00366BA3">
            <w:pPr>
              <w:pStyle w:val="ColumnHeading"/>
              <w:keepNext/>
              <w:widowControl/>
            </w:pPr>
            <w:r w:rsidRPr="006C73BF">
              <w:t>Amendement</w:t>
            </w:r>
          </w:p>
        </w:tc>
      </w:tr>
      <w:tr w:rsidR="0027109F" w:rsidRPr="006C73BF" w14:paraId="30B286D2" w14:textId="77777777" w:rsidTr="009A6D5D">
        <w:trPr>
          <w:jc w:val="center"/>
        </w:trPr>
        <w:tc>
          <w:tcPr>
            <w:tcW w:w="4876" w:type="dxa"/>
            <w:hideMark/>
          </w:tcPr>
          <w:p w14:paraId="7F872E9F" w14:textId="77777777" w:rsidR="009A6D5D" w:rsidRPr="006C73BF" w:rsidRDefault="00E23F2E" w:rsidP="00366BA3">
            <w:pPr>
              <w:pStyle w:val="Normal6"/>
              <w:widowControl/>
            </w:pPr>
            <w:r w:rsidRPr="006C73BF">
              <w:t>(72)</w:t>
            </w:r>
            <w:r w:rsidRPr="006C73BF">
              <w:tab/>
              <w:t>Afin d’assurer la cohérence de la mise en œuvre des garanties budgétaires, des instruments financiers et des opérations de mixage relevant de différents programmes de l’Union, la Commission devrait élaborer des orientations précisant les dispositions techniques et les conditions générales du déploiement de ces formes de soutien au titre de ces programmes.</w:t>
            </w:r>
          </w:p>
        </w:tc>
        <w:tc>
          <w:tcPr>
            <w:tcW w:w="4876" w:type="dxa"/>
            <w:hideMark/>
          </w:tcPr>
          <w:p w14:paraId="0014955B" w14:textId="77777777" w:rsidR="009A6D5D" w:rsidRPr="006C73BF" w:rsidRDefault="00E23F2E" w:rsidP="00366BA3">
            <w:pPr>
              <w:pStyle w:val="Normal6"/>
              <w:widowControl/>
              <w:rPr>
                <w:szCs w:val="24"/>
              </w:rPr>
            </w:pPr>
            <w:r w:rsidRPr="006C73BF">
              <w:t>(72)</w:t>
            </w:r>
            <w:r w:rsidRPr="006C73BF">
              <w:tab/>
              <w:t>Afin d’assurer la cohérence de la mise en œuvre des garanties budgétaires, des instruments financiers et des opérations de mixage relevant de différents programmes de l’Union, la Commission devrait</w:t>
            </w:r>
            <w:r w:rsidRPr="006C73BF">
              <w:rPr>
                <w:b/>
                <w:i/>
              </w:rPr>
              <w:t>, en consultation avec les partenaires potentiels chargés de la mise en œuvre,</w:t>
            </w:r>
            <w:r w:rsidRPr="006C73BF">
              <w:t xml:space="preserve"> élaborer des orientations précisant les dispositions techniques et les conditions générales du déploiement de ces formes de soutien au titre de ces programmes. </w:t>
            </w:r>
            <w:r w:rsidRPr="006C73BF">
              <w:rPr>
                <w:b/>
                <w:i/>
              </w:rPr>
              <w:t xml:space="preserve">Le cas échéant, il convient de réutiliser les orientations et les dispositions techniques d’InvestEU. </w:t>
            </w:r>
          </w:p>
        </w:tc>
      </w:tr>
    </w:tbl>
    <w:p w14:paraId="4BEAFA0F" w14:textId="77777777" w:rsidR="009A6D5D" w:rsidRPr="006C73BF" w:rsidRDefault="00E23F2E" w:rsidP="00366BA3">
      <w:pPr>
        <w:widowControl/>
      </w:pPr>
      <w:r w:rsidRPr="006C73BF">
        <w:rPr>
          <w:rStyle w:val="HideTWBExt"/>
        </w:rPr>
        <w:t>&lt;/Amend&gt;</w:t>
      </w:r>
    </w:p>
    <w:p w14:paraId="1087FBC7"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10</w:t>
      </w:r>
      <w:r w:rsidRPr="006C73BF">
        <w:rPr>
          <w:rStyle w:val="HideTWBExt"/>
          <w:b w:val="0"/>
        </w:rPr>
        <w:t>&lt;/NumAm&gt;</w:t>
      </w:r>
    </w:p>
    <w:p w14:paraId="4BD2AB1A" w14:textId="77777777" w:rsidR="009A6D5D" w:rsidRPr="006C73BF" w:rsidRDefault="00E23F2E" w:rsidP="00366BA3">
      <w:pPr>
        <w:keepNext/>
        <w:widowControl/>
      </w:pPr>
      <w:r w:rsidRPr="006C73BF">
        <w:rPr>
          <w:rStyle w:val="HideTWBExt"/>
        </w:rPr>
        <w:t>&lt;Compromise&gt;&lt;/Compromise&gt;</w:t>
      </w:r>
    </w:p>
    <w:p w14:paraId="6BFAEBEB" w14:textId="77777777" w:rsidR="009A6D5D" w:rsidRPr="006C73BF" w:rsidRDefault="009A6D5D" w:rsidP="00366BA3">
      <w:pPr>
        <w:widowControl/>
      </w:pPr>
    </w:p>
    <w:p w14:paraId="143990A8"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7F6F414A" w14:textId="77777777" w:rsidR="009A6D5D" w:rsidRPr="006C73BF" w:rsidRDefault="00E23F2E" w:rsidP="00366BA3">
      <w:pPr>
        <w:pStyle w:val="NormalBold"/>
        <w:widowControl/>
      </w:pPr>
      <w:r w:rsidRPr="006C73BF">
        <w:rPr>
          <w:rStyle w:val="HideTWBExt"/>
          <w:b w:val="0"/>
        </w:rPr>
        <w:t>&lt;Article&gt;</w:t>
      </w:r>
      <w:r w:rsidRPr="006C73BF">
        <w:t>Considérant 83 bis (nouveau)</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338C449B" w14:textId="77777777" w:rsidTr="009A6D5D">
        <w:trPr>
          <w:jc w:val="center"/>
        </w:trPr>
        <w:tc>
          <w:tcPr>
            <w:tcW w:w="9752" w:type="dxa"/>
            <w:gridSpan w:val="2"/>
          </w:tcPr>
          <w:p w14:paraId="6A289FED" w14:textId="77777777" w:rsidR="009A6D5D" w:rsidRPr="006C73BF" w:rsidRDefault="009A6D5D" w:rsidP="00366BA3">
            <w:pPr>
              <w:keepNext/>
              <w:widowControl/>
            </w:pPr>
          </w:p>
        </w:tc>
      </w:tr>
      <w:tr w:rsidR="0027109F" w:rsidRPr="006C73BF" w14:paraId="595A80CE" w14:textId="77777777" w:rsidTr="009A6D5D">
        <w:trPr>
          <w:jc w:val="center"/>
        </w:trPr>
        <w:tc>
          <w:tcPr>
            <w:tcW w:w="4876" w:type="dxa"/>
            <w:hideMark/>
          </w:tcPr>
          <w:p w14:paraId="2730AB4D" w14:textId="77777777" w:rsidR="009A6D5D" w:rsidRPr="006C73BF" w:rsidRDefault="00E23F2E" w:rsidP="00366BA3">
            <w:pPr>
              <w:pStyle w:val="ColumnHeading"/>
              <w:keepNext/>
              <w:widowControl/>
            </w:pPr>
            <w:r w:rsidRPr="006C73BF">
              <w:t>Texte proposé par la Commission</w:t>
            </w:r>
          </w:p>
        </w:tc>
        <w:tc>
          <w:tcPr>
            <w:tcW w:w="4876" w:type="dxa"/>
            <w:hideMark/>
          </w:tcPr>
          <w:p w14:paraId="11287D45" w14:textId="77777777" w:rsidR="009A6D5D" w:rsidRPr="006C73BF" w:rsidRDefault="00E23F2E" w:rsidP="00366BA3">
            <w:pPr>
              <w:pStyle w:val="ColumnHeading"/>
              <w:keepNext/>
              <w:widowControl/>
            </w:pPr>
            <w:r w:rsidRPr="006C73BF">
              <w:t>Amendement</w:t>
            </w:r>
          </w:p>
        </w:tc>
      </w:tr>
      <w:tr w:rsidR="0027109F" w:rsidRPr="006C73BF" w14:paraId="468A8935" w14:textId="77777777" w:rsidTr="009A6D5D">
        <w:trPr>
          <w:jc w:val="center"/>
        </w:trPr>
        <w:tc>
          <w:tcPr>
            <w:tcW w:w="4876" w:type="dxa"/>
          </w:tcPr>
          <w:p w14:paraId="000C3648" w14:textId="77777777" w:rsidR="009A6D5D" w:rsidRPr="006C73BF" w:rsidRDefault="009A6D5D" w:rsidP="00366BA3">
            <w:pPr>
              <w:pStyle w:val="Normal6"/>
              <w:widowControl/>
            </w:pPr>
          </w:p>
        </w:tc>
        <w:tc>
          <w:tcPr>
            <w:tcW w:w="4876" w:type="dxa"/>
            <w:hideMark/>
          </w:tcPr>
          <w:p w14:paraId="6F8B1AA8" w14:textId="77777777" w:rsidR="009A6D5D" w:rsidRPr="006C73BF" w:rsidRDefault="00E23F2E" w:rsidP="00366BA3">
            <w:pPr>
              <w:pStyle w:val="Normal6"/>
              <w:widowControl/>
              <w:rPr>
                <w:szCs w:val="24"/>
              </w:rPr>
            </w:pPr>
            <w:r w:rsidRPr="006C73BF">
              <w:rPr>
                <w:b/>
                <w:i/>
              </w:rPr>
              <w:t>(83 bis)</w:t>
            </w:r>
            <w:r w:rsidRPr="006C73BF">
              <w:rPr>
                <w:b/>
                <w:i/>
              </w:rPr>
              <w:tab/>
              <w:t>Il est essentiel que les dispositions du présent règlement ainsi que ses modalités de gouvernance soient propices à une prise de décision judicieuse par l’autorité budgétaire et à un contrôle parlementaire approprié. En particulier, conformément au paragraphe 2 de l’article 47 du règlement financier, toute précision relative à l’architecture interne du Fonds devrait être dûment répercutée dans la nomenclature budgétaire par la création de chapitres et de lignes budgétaires correspondantes.</w:t>
            </w:r>
          </w:p>
        </w:tc>
      </w:tr>
    </w:tbl>
    <w:p w14:paraId="4BBE8634" w14:textId="77777777" w:rsidR="009A6D5D" w:rsidRPr="006C73BF" w:rsidRDefault="00E23F2E" w:rsidP="00366BA3">
      <w:pPr>
        <w:widowControl/>
      </w:pPr>
      <w:r w:rsidRPr="006C73BF">
        <w:rPr>
          <w:rStyle w:val="HideTWBExt"/>
        </w:rPr>
        <w:t>&lt;/Amend&gt;</w:t>
      </w:r>
    </w:p>
    <w:p w14:paraId="672F4B76"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11</w:t>
      </w:r>
      <w:r w:rsidRPr="006C73BF">
        <w:rPr>
          <w:rStyle w:val="HideTWBExt"/>
          <w:b w:val="0"/>
        </w:rPr>
        <w:t>&lt;/NumAm&gt;</w:t>
      </w:r>
    </w:p>
    <w:p w14:paraId="1C6ECE27" w14:textId="77777777" w:rsidR="009A6D5D" w:rsidRPr="006C73BF" w:rsidRDefault="00E23F2E" w:rsidP="00366BA3">
      <w:pPr>
        <w:keepNext/>
        <w:widowControl/>
      </w:pPr>
      <w:r w:rsidRPr="006C73BF">
        <w:rPr>
          <w:rStyle w:val="HideTWBExt"/>
        </w:rPr>
        <w:t>&lt;Compromise&gt;&lt;/Compromise&gt;</w:t>
      </w:r>
    </w:p>
    <w:p w14:paraId="61E7714D" w14:textId="77777777" w:rsidR="009A6D5D" w:rsidRPr="006C73BF" w:rsidRDefault="009A6D5D" w:rsidP="00366BA3">
      <w:pPr>
        <w:widowControl/>
      </w:pPr>
    </w:p>
    <w:p w14:paraId="06F28D97" w14:textId="77777777" w:rsidR="009A6D5D" w:rsidRPr="006C73BF" w:rsidRDefault="00E23F2E" w:rsidP="00366BA3">
      <w:pPr>
        <w:pStyle w:val="NormalBold"/>
        <w:keepNext/>
        <w:widowControl/>
      </w:pPr>
      <w:r w:rsidRPr="006C73BF">
        <w:rPr>
          <w:rStyle w:val="HideTWBExt"/>
          <w:b w:val="0"/>
        </w:rPr>
        <w:lastRenderedPageBreak/>
        <w:t>&lt;DocAmend&gt;</w:t>
      </w:r>
      <w:r w:rsidRPr="006C73BF">
        <w:t>Proposition de règlement</w:t>
      </w:r>
      <w:r w:rsidRPr="006C73BF">
        <w:rPr>
          <w:rStyle w:val="HideTWBExt"/>
          <w:b w:val="0"/>
        </w:rPr>
        <w:t>&lt;/DocAmend&gt;</w:t>
      </w:r>
    </w:p>
    <w:p w14:paraId="222E7B93" w14:textId="77777777" w:rsidR="009A6D5D" w:rsidRPr="006C73BF" w:rsidRDefault="00E23F2E" w:rsidP="00366BA3">
      <w:pPr>
        <w:pStyle w:val="NormalBold"/>
        <w:widowControl/>
      </w:pPr>
      <w:r w:rsidRPr="006C73BF">
        <w:rPr>
          <w:rStyle w:val="HideTWBExt"/>
          <w:b w:val="0"/>
        </w:rPr>
        <w:t>&lt;Article&gt;</w:t>
      </w:r>
      <w:r w:rsidRPr="006C73BF">
        <w:t>Considérant 89 bis (nouveau)</w:t>
      </w:r>
      <w:r w:rsidRPr="006C73B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0EF43D87" w14:textId="77777777" w:rsidTr="00D25904">
        <w:trPr>
          <w:jc w:val="center"/>
        </w:trPr>
        <w:tc>
          <w:tcPr>
            <w:tcW w:w="9752" w:type="dxa"/>
            <w:gridSpan w:val="2"/>
          </w:tcPr>
          <w:p w14:paraId="6C478633" w14:textId="77777777" w:rsidR="009A6D5D" w:rsidRPr="006C73BF" w:rsidRDefault="009A6D5D" w:rsidP="00366BA3">
            <w:pPr>
              <w:keepNext/>
              <w:widowControl/>
            </w:pPr>
          </w:p>
        </w:tc>
      </w:tr>
      <w:tr w:rsidR="0027109F" w:rsidRPr="006C73BF" w14:paraId="505947DE" w14:textId="77777777" w:rsidTr="00D25904">
        <w:trPr>
          <w:jc w:val="center"/>
        </w:trPr>
        <w:tc>
          <w:tcPr>
            <w:tcW w:w="4876" w:type="dxa"/>
            <w:hideMark/>
          </w:tcPr>
          <w:p w14:paraId="4AE92634" w14:textId="77777777" w:rsidR="009A6D5D" w:rsidRPr="006C73BF" w:rsidRDefault="00E23F2E" w:rsidP="00366BA3">
            <w:pPr>
              <w:pStyle w:val="ColumnHeading"/>
              <w:keepNext/>
              <w:widowControl/>
            </w:pPr>
            <w:r w:rsidRPr="006C73BF">
              <w:t>Texte proposé par la Commission</w:t>
            </w:r>
          </w:p>
        </w:tc>
        <w:tc>
          <w:tcPr>
            <w:tcW w:w="4876" w:type="dxa"/>
            <w:hideMark/>
          </w:tcPr>
          <w:p w14:paraId="6D6B81A3" w14:textId="77777777" w:rsidR="009A6D5D" w:rsidRPr="006C73BF" w:rsidRDefault="00E23F2E" w:rsidP="00366BA3">
            <w:pPr>
              <w:pStyle w:val="ColumnHeading"/>
              <w:keepNext/>
              <w:widowControl/>
            </w:pPr>
            <w:r w:rsidRPr="006C73BF">
              <w:t>Amendement</w:t>
            </w:r>
          </w:p>
        </w:tc>
      </w:tr>
      <w:tr w:rsidR="0027109F" w:rsidRPr="006C73BF" w14:paraId="02640AB1" w14:textId="77777777" w:rsidTr="00D25904">
        <w:trPr>
          <w:jc w:val="center"/>
        </w:trPr>
        <w:tc>
          <w:tcPr>
            <w:tcW w:w="4876" w:type="dxa"/>
          </w:tcPr>
          <w:p w14:paraId="0C270105" w14:textId="77777777" w:rsidR="009A6D5D" w:rsidRPr="006C73BF" w:rsidRDefault="009A6D5D" w:rsidP="00366BA3">
            <w:pPr>
              <w:pStyle w:val="Normal6"/>
              <w:widowControl/>
            </w:pPr>
          </w:p>
        </w:tc>
        <w:tc>
          <w:tcPr>
            <w:tcW w:w="4876" w:type="dxa"/>
            <w:hideMark/>
          </w:tcPr>
          <w:p w14:paraId="4F5EC979" w14:textId="77777777" w:rsidR="004D120B" w:rsidRPr="006C73BF" w:rsidRDefault="00E23F2E" w:rsidP="00366BA3">
            <w:pPr>
              <w:pStyle w:val="Normal6"/>
              <w:widowControl/>
              <w:rPr>
                <w:szCs w:val="24"/>
              </w:rPr>
            </w:pPr>
            <w:r w:rsidRPr="006C73BF">
              <w:rPr>
                <w:b/>
                <w:i/>
              </w:rPr>
              <w:t>(89 bis)</w:t>
            </w:r>
            <w:r w:rsidRPr="006C73BF">
              <w:rPr>
                <w:b/>
                <w:i/>
              </w:rPr>
              <w:tab/>
              <w:t>Les incidences du présent règlement sur le budget de l’Union ont été évaluées⁺ conformément à l’article 310, paragraphe 4, du traité sur le fonctionnement de l’Union européenne. Des ressources financières et humaines suffisantes devraient être allouées pour sa mise en œuvre, tout en tenant compte de l’incidence de son financement sur d’autres programmes ou politiques de l’Union et en garantissant sa compatibilité avec le cadre financier pluriannuel, le système des ressources propres et l’accord interinstitutionnel correspondant, ainsi qu’avec les principes budgétaires définis dans le règlement (UE, Euratom) 2024/2509 du Parlement européen et du Conseil</w:t>
            </w:r>
            <w:r w:rsidRPr="006C73BF">
              <w:rPr>
                <w:b/>
                <w:i/>
                <w:vertAlign w:val="superscript"/>
              </w:rPr>
              <w:t>[1]</w:t>
            </w:r>
            <w:r w:rsidRPr="006C73BF">
              <w:rPr>
                <w:b/>
                <w:i/>
              </w:rPr>
              <w:t>.</w:t>
            </w:r>
          </w:p>
        </w:tc>
      </w:tr>
      <w:tr w:rsidR="0027109F" w:rsidRPr="006C73BF" w14:paraId="6E3E115A" w14:textId="77777777" w:rsidTr="00D25904">
        <w:trPr>
          <w:jc w:val="center"/>
        </w:trPr>
        <w:tc>
          <w:tcPr>
            <w:tcW w:w="4876" w:type="dxa"/>
          </w:tcPr>
          <w:p w14:paraId="52FAD2B6" w14:textId="77777777" w:rsidR="00632247" w:rsidRPr="006C73BF" w:rsidRDefault="00632247" w:rsidP="00366BA3">
            <w:pPr>
              <w:pStyle w:val="Normal6"/>
              <w:widowControl/>
            </w:pPr>
          </w:p>
        </w:tc>
        <w:tc>
          <w:tcPr>
            <w:tcW w:w="4876" w:type="dxa"/>
          </w:tcPr>
          <w:p w14:paraId="7B72629D" w14:textId="77777777" w:rsidR="00632247" w:rsidRPr="006C73BF" w:rsidRDefault="00E23F2E" w:rsidP="00366BA3">
            <w:pPr>
              <w:pStyle w:val="Normal6"/>
              <w:widowControl/>
              <w:rPr>
                <w:b/>
                <w:i/>
              </w:rPr>
            </w:pPr>
            <w:r w:rsidRPr="006C73BF">
              <w:rPr>
                <w:b/>
                <w:i/>
              </w:rPr>
              <w:t>_______________</w:t>
            </w:r>
          </w:p>
        </w:tc>
      </w:tr>
      <w:tr w:rsidR="0027109F" w:rsidRPr="006C73BF" w14:paraId="7BB96890" w14:textId="77777777" w:rsidTr="00632247">
        <w:trPr>
          <w:jc w:val="center"/>
        </w:trPr>
        <w:tc>
          <w:tcPr>
            <w:tcW w:w="4876" w:type="dxa"/>
          </w:tcPr>
          <w:p w14:paraId="5E2C8E53" w14:textId="77777777" w:rsidR="00632247" w:rsidRPr="006C73BF" w:rsidRDefault="00632247" w:rsidP="00366BA3">
            <w:pPr>
              <w:pStyle w:val="Normal6"/>
              <w:widowControl/>
            </w:pPr>
          </w:p>
        </w:tc>
        <w:tc>
          <w:tcPr>
            <w:tcW w:w="4876" w:type="dxa"/>
          </w:tcPr>
          <w:p w14:paraId="6E5CDDE4" w14:textId="77777777" w:rsidR="00632247" w:rsidRPr="006C73BF" w:rsidRDefault="00E23F2E" w:rsidP="00366BA3">
            <w:pPr>
              <w:pStyle w:val="Normal6"/>
              <w:widowControl/>
              <w:rPr>
                <w:b/>
                <w:i/>
                <w:szCs w:val="24"/>
              </w:rPr>
            </w:pPr>
            <w:r w:rsidRPr="006C73BF">
              <w:rPr>
                <w:b/>
                <w:i/>
                <w:vertAlign w:val="superscript"/>
              </w:rPr>
              <w:t>+</w:t>
            </w:r>
            <w:r w:rsidRPr="006C73BF">
              <w:rPr>
                <w:b/>
                <w:i/>
              </w:rPr>
              <w:t xml:space="preserve"> Pour mémoire: évaluation budgétaire de la commission des budgets du Parlement européen du 23 juin 2026 sur la proposition de règlement du Parlement européen et du Conseil sur l’établissement du Fonds européen pour la compétitivité, comprenant le programme spécifique pour les activités de recherche et d’innovation en matière de défense, abrogeant les règlements (UE) 2021/522, (UE) 2021/694, (UE) 2021/697, (UE) 2021/783, et modifiant les règlements (UE) 2021/696, (UE) 2023/588 et (UE) [programme pour l’industrie européenne de la défense] [COM(2025)0555 – C10-0165/2025].</w:t>
            </w:r>
          </w:p>
        </w:tc>
      </w:tr>
      <w:tr w:rsidR="0027109F" w:rsidRPr="006C73BF" w14:paraId="09FE8464" w14:textId="77777777" w:rsidTr="00632247">
        <w:trPr>
          <w:jc w:val="center"/>
        </w:trPr>
        <w:tc>
          <w:tcPr>
            <w:tcW w:w="4876" w:type="dxa"/>
          </w:tcPr>
          <w:p w14:paraId="12ED5C85" w14:textId="77777777" w:rsidR="00266986" w:rsidRPr="006C73BF" w:rsidRDefault="00266986" w:rsidP="00366BA3">
            <w:pPr>
              <w:pStyle w:val="Normal6"/>
              <w:widowControl/>
            </w:pPr>
          </w:p>
        </w:tc>
        <w:tc>
          <w:tcPr>
            <w:tcW w:w="4876" w:type="dxa"/>
          </w:tcPr>
          <w:p w14:paraId="370305B3" w14:textId="6DBFD7B8" w:rsidR="00266986" w:rsidRPr="006C73BF" w:rsidRDefault="00E23F2E" w:rsidP="00366BA3">
            <w:pPr>
              <w:pStyle w:val="Normal6"/>
              <w:widowControl/>
              <w:rPr>
                <w:b/>
                <w:bCs/>
                <w:i/>
                <w:iCs/>
                <w:szCs w:val="24"/>
              </w:rPr>
            </w:pPr>
            <w:r w:rsidRPr="006C73BF">
              <w:rPr>
                <w:b/>
                <w:i/>
                <w:vertAlign w:val="superscript"/>
              </w:rPr>
              <w:t>[1]</w:t>
            </w:r>
            <w:r w:rsidRPr="006C73BF">
              <w:rPr>
                <w:b/>
                <w:i/>
              </w:rPr>
              <w:t xml:space="preserve"> Règlement (UE, Euratom) 2024/2509 du Parlement européen et du Conseil du 23 septembre 2024 relatif aux règles financières applicables au budget général de l’Union (JO L, 2024/2509, 26.9.2024, </w:t>
            </w:r>
            <w:r w:rsidRPr="006C73BF">
              <w:rPr>
                <w:b/>
                <w:i/>
              </w:rPr>
              <w:lastRenderedPageBreak/>
              <w:t xml:space="preserve">ELI: </w:t>
            </w:r>
            <w:hyperlink r:id="rId15" w:history="1">
              <w:r w:rsidR="00D403EF" w:rsidRPr="006C73BF">
                <w:rPr>
                  <w:rStyle w:val="Hyperlink"/>
                  <w:b/>
                  <w:bCs/>
                  <w:i/>
                  <w:iCs/>
                  <w:szCs w:val="24"/>
                </w:rPr>
                <w:t>http://data.europa.eu/eli/reg/2024/2509/oj</w:t>
              </w:r>
            </w:hyperlink>
            <w:r w:rsidR="00D403EF" w:rsidRPr="006C73BF">
              <w:rPr>
                <w:b/>
                <w:bCs/>
                <w:i/>
                <w:iCs/>
              </w:rPr>
              <w:t>).</w:t>
            </w:r>
          </w:p>
        </w:tc>
      </w:tr>
    </w:tbl>
    <w:p w14:paraId="04299413" w14:textId="77777777" w:rsidR="009A6D5D" w:rsidRPr="006C73BF" w:rsidRDefault="00E23F2E" w:rsidP="00366BA3">
      <w:pPr>
        <w:widowControl/>
      </w:pPr>
      <w:r w:rsidRPr="006C73BF">
        <w:rPr>
          <w:rStyle w:val="HideTWBExt"/>
        </w:rPr>
        <w:lastRenderedPageBreak/>
        <w:t>&lt;/Amend&gt;</w:t>
      </w:r>
    </w:p>
    <w:p w14:paraId="4A2242AA"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12</w:t>
      </w:r>
      <w:r w:rsidRPr="006C73BF">
        <w:rPr>
          <w:rStyle w:val="HideTWBExt"/>
          <w:b w:val="0"/>
        </w:rPr>
        <w:t>&lt;/NumAm&gt;</w:t>
      </w:r>
    </w:p>
    <w:p w14:paraId="1F646294" w14:textId="77777777" w:rsidR="009A6D5D" w:rsidRPr="006C73BF" w:rsidRDefault="00E23F2E" w:rsidP="00366BA3">
      <w:pPr>
        <w:keepNext/>
        <w:widowControl/>
      </w:pPr>
      <w:r w:rsidRPr="006C73BF">
        <w:rPr>
          <w:rStyle w:val="HideTWBExt"/>
        </w:rPr>
        <w:t>&lt;Compromise&gt;&lt;/Compromise&gt;</w:t>
      </w:r>
    </w:p>
    <w:p w14:paraId="6926940A" w14:textId="77777777" w:rsidR="009A6D5D" w:rsidRPr="006C73BF" w:rsidRDefault="009A6D5D" w:rsidP="00366BA3">
      <w:pPr>
        <w:widowControl/>
      </w:pPr>
    </w:p>
    <w:p w14:paraId="080A4064"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0C55005E" w14:textId="77777777" w:rsidR="009A6D5D" w:rsidRPr="006C73BF" w:rsidRDefault="00E23F2E" w:rsidP="00366BA3">
      <w:pPr>
        <w:pStyle w:val="NormalBold"/>
        <w:widowControl/>
      </w:pPr>
      <w:r w:rsidRPr="006C73BF">
        <w:rPr>
          <w:rStyle w:val="HideTWBExt"/>
          <w:b w:val="0"/>
        </w:rPr>
        <w:t>&lt;Article&gt;</w:t>
      </w:r>
      <w:r w:rsidRPr="006C73BF">
        <w:t>Article 4 – paragraphe 1</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5D0B5573" w14:textId="77777777" w:rsidTr="009A6D5D">
        <w:trPr>
          <w:jc w:val="center"/>
        </w:trPr>
        <w:tc>
          <w:tcPr>
            <w:tcW w:w="9752" w:type="dxa"/>
            <w:gridSpan w:val="2"/>
          </w:tcPr>
          <w:p w14:paraId="33FBC6EE" w14:textId="77777777" w:rsidR="009A6D5D" w:rsidRPr="006C73BF" w:rsidRDefault="009A6D5D" w:rsidP="00366BA3">
            <w:pPr>
              <w:keepNext/>
              <w:widowControl/>
            </w:pPr>
          </w:p>
        </w:tc>
      </w:tr>
      <w:tr w:rsidR="0027109F" w:rsidRPr="006C73BF" w14:paraId="74650109" w14:textId="77777777" w:rsidTr="009A6D5D">
        <w:trPr>
          <w:jc w:val="center"/>
        </w:trPr>
        <w:tc>
          <w:tcPr>
            <w:tcW w:w="4876" w:type="dxa"/>
            <w:hideMark/>
          </w:tcPr>
          <w:p w14:paraId="16DA1770" w14:textId="77777777" w:rsidR="009A6D5D" w:rsidRPr="006C73BF" w:rsidRDefault="00E23F2E" w:rsidP="00366BA3">
            <w:pPr>
              <w:pStyle w:val="ColumnHeading"/>
              <w:keepNext/>
              <w:widowControl/>
            </w:pPr>
            <w:r w:rsidRPr="006C73BF">
              <w:t>Texte proposé par la Commission</w:t>
            </w:r>
          </w:p>
        </w:tc>
        <w:tc>
          <w:tcPr>
            <w:tcW w:w="4876" w:type="dxa"/>
            <w:hideMark/>
          </w:tcPr>
          <w:p w14:paraId="47C1E46D" w14:textId="77777777" w:rsidR="009A6D5D" w:rsidRPr="006C73BF" w:rsidRDefault="00E23F2E" w:rsidP="00366BA3">
            <w:pPr>
              <w:pStyle w:val="ColumnHeading"/>
              <w:keepNext/>
              <w:widowControl/>
            </w:pPr>
            <w:r w:rsidRPr="006C73BF">
              <w:t>Amendement</w:t>
            </w:r>
          </w:p>
        </w:tc>
      </w:tr>
      <w:tr w:rsidR="0027109F" w:rsidRPr="006C73BF" w14:paraId="32A1860B" w14:textId="77777777" w:rsidTr="009A6D5D">
        <w:trPr>
          <w:jc w:val="center"/>
        </w:trPr>
        <w:tc>
          <w:tcPr>
            <w:tcW w:w="4876" w:type="dxa"/>
            <w:hideMark/>
          </w:tcPr>
          <w:p w14:paraId="61E5B57F" w14:textId="77777777" w:rsidR="009A6D5D" w:rsidRPr="006C73BF" w:rsidRDefault="00E23F2E" w:rsidP="00366BA3">
            <w:pPr>
              <w:pStyle w:val="Normal6"/>
              <w:widowControl/>
            </w:pPr>
            <w:r w:rsidRPr="006C73BF">
              <w:t>1.</w:t>
            </w:r>
            <w:r w:rsidRPr="006C73BF">
              <w:tab/>
              <w:t xml:space="preserve">L’enveloppe </w:t>
            </w:r>
            <w:r w:rsidRPr="006C73BF">
              <w:rPr>
                <w:b/>
                <w:i/>
              </w:rPr>
              <w:t>financière indicative</w:t>
            </w:r>
            <w:r w:rsidRPr="006C73BF">
              <w:t xml:space="preserve"> pour la mise en œuvre du Fonds pour la période </w:t>
            </w:r>
            <w:r w:rsidRPr="006C73BF">
              <w:rPr>
                <w:b/>
                <w:i/>
              </w:rPr>
              <w:t>du 1</w:t>
            </w:r>
            <w:r w:rsidRPr="006C73BF">
              <w:rPr>
                <w:b/>
                <w:i/>
                <w:vertAlign w:val="superscript"/>
              </w:rPr>
              <w:t>er</w:t>
            </w:r>
            <w:r w:rsidRPr="006C73BF">
              <w:rPr>
                <w:b/>
                <w:i/>
              </w:rPr>
              <w:t> janvier 2028 au 31 décembre 2034</w:t>
            </w:r>
            <w:r w:rsidRPr="006C73BF">
              <w:t xml:space="preserve"> est établie à </w:t>
            </w:r>
            <w:r w:rsidRPr="006C73BF">
              <w:rPr>
                <w:b/>
                <w:i/>
              </w:rPr>
              <w:t>234 300 000 000 EUR</w:t>
            </w:r>
            <w:r w:rsidRPr="006C73BF">
              <w:t xml:space="preserve"> en prix courants.</w:t>
            </w:r>
          </w:p>
        </w:tc>
        <w:tc>
          <w:tcPr>
            <w:tcW w:w="4876" w:type="dxa"/>
            <w:hideMark/>
          </w:tcPr>
          <w:p w14:paraId="4470B376" w14:textId="77777777" w:rsidR="009A6D5D" w:rsidRPr="006C73BF" w:rsidRDefault="00E23F2E" w:rsidP="00366BA3">
            <w:pPr>
              <w:pStyle w:val="Normal6"/>
              <w:widowControl/>
              <w:rPr>
                <w:szCs w:val="24"/>
              </w:rPr>
            </w:pPr>
            <w:r w:rsidRPr="006C73BF">
              <w:t>1.</w:t>
            </w:r>
            <w:r w:rsidRPr="006C73BF">
              <w:tab/>
              <w:t xml:space="preserve">L’enveloppe </w:t>
            </w:r>
            <w:r w:rsidRPr="006C73BF">
              <w:rPr>
                <w:b/>
                <w:i/>
              </w:rPr>
              <w:t>du programme</w:t>
            </w:r>
            <w:r w:rsidRPr="006C73BF">
              <w:t xml:space="preserve"> pour la mise en œuvre du Fonds pour la période </w:t>
            </w:r>
            <w:r w:rsidRPr="006C73BF">
              <w:rPr>
                <w:b/>
                <w:i/>
              </w:rPr>
              <w:t>2028-2034</w:t>
            </w:r>
            <w:r w:rsidRPr="006C73BF">
              <w:t xml:space="preserve"> est établie à </w:t>
            </w:r>
            <w:r w:rsidRPr="006C73BF">
              <w:rPr>
                <w:b/>
                <w:i/>
              </w:rPr>
              <w:t>264,35 milliards d’EUR</w:t>
            </w:r>
            <w:r w:rsidRPr="006C73BF">
              <w:t xml:space="preserve"> en prix courants </w:t>
            </w:r>
            <w:r w:rsidRPr="006C73BF">
              <w:rPr>
                <w:b/>
                <w:i/>
              </w:rPr>
              <w:t>(234 milliards d’EUR aux prix de 2025)</w:t>
            </w:r>
            <w:r w:rsidRPr="006C73BF">
              <w:t>.</w:t>
            </w:r>
          </w:p>
        </w:tc>
      </w:tr>
    </w:tbl>
    <w:p w14:paraId="79A0151B" w14:textId="77777777" w:rsidR="009A6D5D" w:rsidRPr="006C73BF" w:rsidRDefault="00E23F2E" w:rsidP="00366BA3">
      <w:pPr>
        <w:widowControl/>
      </w:pPr>
      <w:r w:rsidRPr="006C73BF">
        <w:rPr>
          <w:rStyle w:val="HideTWBExt"/>
        </w:rPr>
        <w:t>&lt;/Amend&gt;</w:t>
      </w:r>
    </w:p>
    <w:p w14:paraId="0D56A718"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13</w:t>
      </w:r>
      <w:r w:rsidRPr="006C73BF">
        <w:rPr>
          <w:rStyle w:val="HideTWBExt"/>
          <w:b w:val="0"/>
        </w:rPr>
        <w:t>&lt;/NumAm&gt;</w:t>
      </w:r>
    </w:p>
    <w:p w14:paraId="505507FA" w14:textId="77777777" w:rsidR="009A6D5D" w:rsidRPr="006C73BF" w:rsidRDefault="00E23F2E" w:rsidP="00366BA3">
      <w:pPr>
        <w:keepNext/>
        <w:widowControl/>
      </w:pPr>
      <w:r w:rsidRPr="006C73BF">
        <w:rPr>
          <w:rStyle w:val="HideTWBExt"/>
        </w:rPr>
        <w:t>&lt;Compromise&gt;&lt;/Compromise&gt;</w:t>
      </w:r>
    </w:p>
    <w:p w14:paraId="691FEDDD" w14:textId="77777777" w:rsidR="009A6D5D" w:rsidRPr="006C73BF" w:rsidRDefault="009A6D5D" w:rsidP="00366BA3">
      <w:pPr>
        <w:widowControl/>
      </w:pPr>
    </w:p>
    <w:p w14:paraId="08F534A5"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41F14CFF" w14:textId="77777777" w:rsidR="009A6D5D" w:rsidRPr="006C73BF" w:rsidRDefault="00E23F2E" w:rsidP="00366BA3">
      <w:pPr>
        <w:pStyle w:val="NormalBold"/>
        <w:widowControl/>
      </w:pPr>
      <w:r w:rsidRPr="006C73BF">
        <w:rPr>
          <w:rStyle w:val="HideTWBExt"/>
          <w:b w:val="0"/>
        </w:rPr>
        <w:t>&lt;Article&gt;</w:t>
      </w:r>
      <w:r w:rsidRPr="006C73BF">
        <w:t>Article 5 – paragraphe 3</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31041156" w14:textId="77777777" w:rsidTr="009A6D5D">
        <w:trPr>
          <w:jc w:val="center"/>
        </w:trPr>
        <w:tc>
          <w:tcPr>
            <w:tcW w:w="9752" w:type="dxa"/>
            <w:gridSpan w:val="2"/>
          </w:tcPr>
          <w:p w14:paraId="6123AF2C" w14:textId="77777777" w:rsidR="009A6D5D" w:rsidRPr="006C73BF" w:rsidRDefault="009A6D5D" w:rsidP="00366BA3">
            <w:pPr>
              <w:keepNext/>
              <w:widowControl/>
            </w:pPr>
          </w:p>
        </w:tc>
      </w:tr>
      <w:tr w:rsidR="0027109F" w:rsidRPr="006C73BF" w14:paraId="73B77D95" w14:textId="77777777" w:rsidTr="009A6D5D">
        <w:trPr>
          <w:jc w:val="center"/>
        </w:trPr>
        <w:tc>
          <w:tcPr>
            <w:tcW w:w="4876" w:type="dxa"/>
            <w:hideMark/>
          </w:tcPr>
          <w:p w14:paraId="0419EEBB" w14:textId="77777777" w:rsidR="009A6D5D" w:rsidRPr="006C73BF" w:rsidRDefault="00E23F2E" w:rsidP="00366BA3">
            <w:pPr>
              <w:pStyle w:val="ColumnHeading"/>
              <w:keepNext/>
              <w:widowControl/>
            </w:pPr>
            <w:r w:rsidRPr="006C73BF">
              <w:t>Texte proposé par la Commission</w:t>
            </w:r>
          </w:p>
        </w:tc>
        <w:tc>
          <w:tcPr>
            <w:tcW w:w="4876" w:type="dxa"/>
            <w:hideMark/>
          </w:tcPr>
          <w:p w14:paraId="71E83148" w14:textId="77777777" w:rsidR="009A6D5D" w:rsidRPr="006C73BF" w:rsidRDefault="00E23F2E" w:rsidP="00366BA3">
            <w:pPr>
              <w:pStyle w:val="ColumnHeading"/>
              <w:keepNext/>
              <w:widowControl/>
            </w:pPr>
            <w:r w:rsidRPr="006C73BF">
              <w:t>Amendement</w:t>
            </w:r>
          </w:p>
        </w:tc>
      </w:tr>
      <w:tr w:rsidR="0027109F" w:rsidRPr="006C73BF" w14:paraId="17949469" w14:textId="77777777" w:rsidTr="009A6D5D">
        <w:trPr>
          <w:jc w:val="center"/>
        </w:trPr>
        <w:tc>
          <w:tcPr>
            <w:tcW w:w="4876" w:type="dxa"/>
            <w:hideMark/>
          </w:tcPr>
          <w:p w14:paraId="6159A2A8" w14:textId="77777777" w:rsidR="009A6D5D" w:rsidRPr="006C73BF" w:rsidRDefault="00E23F2E" w:rsidP="00366BA3">
            <w:pPr>
              <w:pStyle w:val="Normal6"/>
              <w:widowControl/>
            </w:pPr>
            <w:r w:rsidRPr="006C73BF">
              <w:t>3.</w:t>
            </w:r>
            <w:r w:rsidRPr="006C73BF">
              <w:tab/>
              <w:t>Toute recette générée par des activités et composantes relevant du chapitre VII, section 3, du présent règlement constitue une recette affectée externe au sens de l’article 21, paragraphe 5, du règlement (UE, Euratom) 2024/2509 en faveur du Fonds ou de son successeur.</w:t>
            </w:r>
          </w:p>
        </w:tc>
        <w:tc>
          <w:tcPr>
            <w:tcW w:w="4876" w:type="dxa"/>
            <w:hideMark/>
          </w:tcPr>
          <w:p w14:paraId="46C1E5AA" w14:textId="77777777" w:rsidR="009A6D5D" w:rsidRPr="006C73BF" w:rsidRDefault="00E23F2E" w:rsidP="00366BA3">
            <w:pPr>
              <w:pStyle w:val="Normal6"/>
              <w:widowControl/>
              <w:rPr>
                <w:szCs w:val="24"/>
              </w:rPr>
            </w:pPr>
            <w:r w:rsidRPr="006C73BF">
              <w:t>3.</w:t>
            </w:r>
            <w:r w:rsidRPr="006C73BF">
              <w:tab/>
              <w:t xml:space="preserve">Toute recette générée par des activités et composantes relevant du chapitre VII, section 3, du présent règlement constitue une recette affectée externe au sens de l’article 21, paragraphe 5, du règlement (UE, Euratom) 2024/2509 en faveur du </w:t>
            </w:r>
            <w:r w:rsidRPr="006C73BF">
              <w:rPr>
                <w:b/>
                <w:i/>
              </w:rPr>
              <w:t>chapitre VII, section 3, du</w:t>
            </w:r>
            <w:r w:rsidRPr="006C73BF">
              <w:t xml:space="preserve"> Fonds ou de son successeur.</w:t>
            </w:r>
          </w:p>
        </w:tc>
      </w:tr>
    </w:tbl>
    <w:p w14:paraId="3A0E37F8" w14:textId="77777777" w:rsidR="009A6D5D" w:rsidRPr="006C73BF" w:rsidRDefault="00E23F2E" w:rsidP="00366BA3">
      <w:pPr>
        <w:widowControl/>
      </w:pPr>
      <w:r w:rsidRPr="006C73BF">
        <w:rPr>
          <w:rStyle w:val="HideTWBExt"/>
        </w:rPr>
        <w:t>&lt;/Amend&gt;</w:t>
      </w:r>
    </w:p>
    <w:p w14:paraId="4E85E4EF"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14</w:t>
      </w:r>
      <w:r w:rsidRPr="006C73BF">
        <w:rPr>
          <w:rStyle w:val="HideTWBExt"/>
          <w:b w:val="0"/>
        </w:rPr>
        <w:t>&lt;/NumAm&gt;</w:t>
      </w:r>
    </w:p>
    <w:p w14:paraId="01AC7560" w14:textId="77777777" w:rsidR="009A6D5D" w:rsidRPr="006C73BF" w:rsidRDefault="00E23F2E" w:rsidP="00366BA3">
      <w:pPr>
        <w:keepNext/>
        <w:widowControl/>
      </w:pPr>
      <w:r w:rsidRPr="006C73BF">
        <w:rPr>
          <w:rStyle w:val="HideTWBExt"/>
        </w:rPr>
        <w:t>&lt;Compromise&gt;&lt;/Compromise&gt;</w:t>
      </w:r>
    </w:p>
    <w:p w14:paraId="501FA177" w14:textId="77777777" w:rsidR="009A6D5D" w:rsidRPr="006C73BF" w:rsidRDefault="009A6D5D" w:rsidP="00366BA3">
      <w:pPr>
        <w:widowControl/>
      </w:pPr>
    </w:p>
    <w:p w14:paraId="688237E9"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66A7C2C7" w14:textId="77777777" w:rsidR="009A6D5D" w:rsidRPr="006C73BF" w:rsidRDefault="00E23F2E" w:rsidP="00366BA3">
      <w:pPr>
        <w:pStyle w:val="NormalBold"/>
        <w:widowControl/>
      </w:pPr>
      <w:r w:rsidRPr="006C73BF">
        <w:rPr>
          <w:rStyle w:val="HideTWBExt"/>
          <w:b w:val="0"/>
        </w:rPr>
        <w:t>&lt;Article&gt;</w:t>
      </w:r>
      <w:r w:rsidRPr="006C73BF">
        <w:t>Article 5 – paragraphe 4</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0586A46D" w14:textId="77777777" w:rsidTr="009A6D5D">
        <w:trPr>
          <w:jc w:val="center"/>
        </w:trPr>
        <w:tc>
          <w:tcPr>
            <w:tcW w:w="9752" w:type="dxa"/>
            <w:gridSpan w:val="2"/>
          </w:tcPr>
          <w:p w14:paraId="4CE84407" w14:textId="77777777" w:rsidR="009A6D5D" w:rsidRPr="006C73BF" w:rsidRDefault="009A6D5D" w:rsidP="00366BA3">
            <w:pPr>
              <w:keepNext/>
              <w:widowControl/>
            </w:pPr>
          </w:p>
        </w:tc>
      </w:tr>
      <w:tr w:rsidR="0027109F" w:rsidRPr="006C73BF" w14:paraId="2B22CAB0" w14:textId="77777777" w:rsidTr="009A6D5D">
        <w:trPr>
          <w:jc w:val="center"/>
        </w:trPr>
        <w:tc>
          <w:tcPr>
            <w:tcW w:w="4876" w:type="dxa"/>
            <w:hideMark/>
          </w:tcPr>
          <w:p w14:paraId="195EA1F2" w14:textId="77777777" w:rsidR="009A6D5D" w:rsidRPr="006C73BF" w:rsidRDefault="00E23F2E" w:rsidP="00366BA3">
            <w:pPr>
              <w:pStyle w:val="ColumnHeading"/>
              <w:keepNext/>
              <w:widowControl/>
            </w:pPr>
            <w:r w:rsidRPr="006C73BF">
              <w:t>Texte proposé par la Commission</w:t>
            </w:r>
          </w:p>
        </w:tc>
        <w:tc>
          <w:tcPr>
            <w:tcW w:w="4876" w:type="dxa"/>
            <w:hideMark/>
          </w:tcPr>
          <w:p w14:paraId="5E778B2B" w14:textId="77777777" w:rsidR="009A6D5D" w:rsidRPr="006C73BF" w:rsidRDefault="00E23F2E" w:rsidP="00366BA3">
            <w:pPr>
              <w:pStyle w:val="ColumnHeading"/>
              <w:keepNext/>
              <w:widowControl/>
            </w:pPr>
            <w:r w:rsidRPr="006C73BF">
              <w:t>Amendement</w:t>
            </w:r>
          </w:p>
        </w:tc>
      </w:tr>
      <w:tr w:rsidR="0027109F" w:rsidRPr="006C73BF" w14:paraId="4D2E5083" w14:textId="77777777" w:rsidTr="009A6D5D">
        <w:trPr>
          <w:jc w:val="center"/>
        </w:trPr>
        <w:tc>
          <w:tcPr>
            <w:tcW w:w="4876" w:type="dxa"/>
            <w:hideMark/>
          </w:tcPr>
          <w:p w14:paraId="70C68226" w14:textId="77777777" w:rsidR="009A6D5D" w:rsidRPr="006C73BF" w:rsidRDefault="00E23F2E" w:rsidP="00366BA3">
            <w:pPr>
              <w:pStyle w:val="Normal6"/>
              <w:widowControl/>
            </w:pPr>
            <w:r w:rsidRPr="006C73BF">
              <w:t>4.</w:t>
            </w:r>
            <w:r w:rsidRPr="006C73BF">
              <w:tab/>
              <w:t xml:space="preserve">[À partir du 1er janvier 2028/date de début du programme], par dérogation à l’article 212, paragraphe 3, premier, deuxième et quatrième alinéas, du règlement (UE, Euratom) 2024/2509, les recettes, les remboursements et les recouvrements provenant des instruments financiers financés au titre du présent règlement, ou de son prédécesseur, et de ceux visés à l’annexe IV du règlement (UE) 2021/523 sont utilisés pour fournir un soutien de l’Union au titre du Fonds. Par dérogation à l’article 21, paragraphe 3, point f), et conformément à l’article 21, paragraphe 5, du règlement (UE, Euratom) 2024/2509, ces ressources constituent des recettes affectées externes </w:t>
            </w:r>
            <w:r w:rsidRPr="006C73BF">
              <w:rPr>
                <w:b/>
                <w:i/>
              </w:rPr>
              <w:t>au</w:t>
            </w:r>
            <w:r w:rsidRPr="006C73BF">
              <w:t xml:space="preserve"> Fonds.</w:t>
            </w:r>
          </w:p>
        </w:tc>
        <w:tc>
          <w:tcPr>
            <w:tcW w:w="4876" w:type="dxa"/>
            <w:hideMark/>
          </w:tcPr>
          <w:p w14:paraId="0A7BDF33" w14:textId="77777777" w:rsidR="009A6D5D" w:rsidRPr="006C73BF" w:rsidRDefault="00E23F2E" w:rsidP="00366BA3">
            <w:pPr>
              <w:pStyle w:val="Normal6"/>
              <w:widowControl/>
              <w:rPr>
                <w:szCs w:val="24"/>
              </w:rPr>
            </w:pPr>
            <w:r w:rsidRPr="006C73BF">
              <w:t>4.</w:t>
            </w:r>
            <w:r w:rsidRPr="006C73BF">
              <w:tab/>
              <w:t xml:space="preserve">[À partir du 1er janvier 2028/date de début du programme], par dérogation à l’article 212, paragraphe 3, premier, deuxième et quatrième alinéas, du règlement (UE, Euratom) 2024/2509, les recettes, les remboursements et les recouvrements provenant des instruments financiers financés au titre du présent règlement, ou de son prédécesseur, et de ceux visés à l’annexe IV du règlement (UE) 2021/523 sont utilisés pour fournir un soutien de l’Union au titre </w:t>
            </w:r>
            <w:r w:rsidRPr="006C73BF">
              <w:rPr>
                <w:b/>
                <w:i/>
              </w:rPr>
              <w:t>de l’instrument InvestEU</w:t>
            </w:r>
            <w:r w:rsidRPr="006C73BF">
              <w:t xml:space="preserve"> du Fonds. Par dérogation à l’article 21, paragraphe 3, point f), et conformément à l’article 21, paragraphe 5, du règlement (UE, Euratom) 2024/2509, ces ressources constituent des recettes affectées externes </w:t>
            </w:r>
            <w:r w:rsidRPr="006C73BF">
              <w:rPr>
                <w:b/>
                <w:i/>
              </w:rPr>
              <w:t>à l’instrument InvestEU du</w:t>
            </w:r>
            <w:r w:rsidRPr="006C73BF">
              <w:t xml:space="preserve"> Fonds.</w:t>
            </w:r>
          </w:p>
        </w:tc>
      </w:tr>
    </w:tbl>
    <w:p w14:paraId="04D39925" w14:textId="77777777" w:rsidR="009A6D5D" w:rsidRPr="006C73BF" w:rsidRDefault="00E23F2E" w:rsidP="00366BA3">
      <w:pPr>
        <w:widowControl/>
      </w:pPr>
      <w:r w:rsidRPr="006C73BF">
        <w:rPr>
          <w:rStyle w:val="HideTWBExt"/>
        </w:rPr>
        <w:t>&lt;/Amend&gt;</w:t>
      </w:r>
    </w:p>
    <w:p w14:paraId="44A6D4F7"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15</w:t>
      </w:r>
      <w:r w:rsidRPr="006C73BF">
        <w:rPr>
          <w:rStyle w:val="HideTWBExt"/>
          <w:b w:val="0"/>
        </w:rPr>
        <w:t>&lt;/NumAm&gt;</w:t>
      </w:r>
    </w:p>
    <w:p w14:paraId="4F44EE3B" w14:textId="77777777" w:rsidR="009A6D5D" w:rsidRPr="006C73BF" w:rsidRDefault="00E23F2E" w:rsidP="00366BA3">
      <w:pPr>
        <w:keepNext/>
        <w:widowControl/>
      </w:pPr>
      <w:r w:rsidRPr="006C73BF">
        <w:rPr>
          <w:rStyle w:val="HideTWBExt"/>
        </w:rPr>
        <w:t>&lt;Compromise&gt;&lt;/Compromise&gt;</w:t>
      </w:r>
    </w:p>
    <w:p w14:paraId="227439DB" w14:textId="77777777" w:rsidR="009A6D5D" w:rsidRPr="006C73BF" w:rsidRDefault="009A6D5D" w:rsidP="00366BA3">
      <w:pPr>
        <w:widowControl/>
      </w:pPr>
    </w:p>
    <w:p w14:paraId="5FDC5A07"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2376A5B9" w14:textId="77777777" w:rsidR="009A6D5D" w:rsidRPr="006C73BF" w:rsidRDefault="00E23F2E" w:rsidP="00366BA3">
      <w:pPr>
        <w:pStyle w:val="NormalBold"/>
        <w:widowControl/>
      </w:pPr>
      <w:r w:rsidRPr="006C73BF">
        <w:rPr>
          <w:rStyle w:val="HideTWBExt"/>
          <w:b w:val="0"/>
        </w:rPr>
        <w:t>&lt;Article&gt;</w:t>
      </w:r>
      <w:r w:rsidRPr="006C73BF">
        <w:t>Article 5 – paragraphe 5</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04862C5C" w14:textId="77777777" w:rsidTr="009A6D5D">
        <w:trPr>
          <w:jc w:val="center"/>
        </w:trPr>
        <w:tc>
          <w:tcPr>
            <w:tcW w:w="9752" w:type="dxa"/>
            <w:gridSpan w:val="2"/>
          </w:tcPr>
          <w:p w14:paraId="19C06242" w14:textId="77777777" w:rsidR="009A6D5D" w:rsidRPr="006C73BF" w:rsidRDefault="009A6D5D" w:rsidP="00366BA3">
            <w:pPr>
              <w:keepNext/>
              <w:widowControl/>
            </w:pPr>
          </w:p>
        </w:tc>
      </w:tr>
      <w:tr w:rsidR="0027109F" w:rsidRPr="006C73BF" w14:paraId="15C58515" w14:textId="77777777" w:rsidTr="009A6D5D">
        <w:trPr>
          <w:jc w:val="center"/>
        </w:trPr>
        <w:tc>
          <w:tcPr>
            <w:tcW w:w="4876" w:type="dxa"/>
            <w:hideMark/>
          </w:tcPr>
          <w:p w14:paraId="2A60899C" w14:textId="77777777" w:rsidR="009A6D5D" w:rsidRPr="006C73BF" w:rsidRDefault="00E23F2E" w:rsidP="00366BA3">
            <w:pPr>
              <w:pStyle w:val="ColumnHeading"/>
              <w:keepNext/>
              <w:widowControl/>
            </w:pPr>
            <w:r w:rsidRPr="006C73BF">
              <w:t>Texte proposé par la Commission</w:t>
            </w:r>
          </w:p>
        </w:tc>
        <w:tc>
          <w:tcPr>
            <w:tcW w:w="4876" w:type="dxa"/>
            <w:hideMark/>
          </w:tcPr>
          <w:p w14:paraId="548BE463" w14:textId="77777777" w:rsidR="009A6D5D" w:rsidRPr="006C73BF" w:rsidRDefault="00E23F2E" w:rsidP="00366BA3">
            <w:pPr>
              <w:pStyle w:val="ColumnHeading"/>
              <w:keepNext/>
              <w:widowControl/>
            </w:pPr>
            <w:r w:rsidRPr="006C73BF">
              <w:t>Amendement</w:t>
            </w:r>
          </w:p>
        </w:tc>
      </w:tr>
      <w:tr w:rsidR="0027109F" w:rsidRPr="006C73BF" w14:paraId="14DD1213" w14:textId="77777777" w:rsidTr="009A6D5D">
        <w:trPr>
          <w:jc w:val="center"/>
        </w:trPr>
        <w:tc>
          <w:tcPr>
            <w:tcW w:w="4876" w:type="dxa"/>
            <w:hideMark/>
          </w:tcPr>
          <w:p w14:paraId="558F254F" w14:textId="77777777" w:rsidR="009A6D5D" w:rsidRPr="006C73BF" w:rsidRDefault="00E23F2E" w:rsidP="00366BA3">
            <w:pPr>
              <w:pStyle w:val="Normal6"/>
              <w:widowControl/>
            </w:pPr>
            <w:r w:rsidRPr="006C73BF">
              <w:t>5.</w:t>
            </w:r>
            <w:r w:rsidRPr="006C73BF">
              <w:tab/>
              <w:t xml:space="preserve">[À partir du 1er janvier 2028/date de début du programme], par dérogation à l’article 216, paragraphe 4, point a), du règlement (UE, Euratom) 2024/2509, tout excédent des provisions destinées aux garanties budgétaires établies par les règlements (UE) 2015/1017[2] et (UE) 2021/523[3] </w:t>
            </w:r>
            <w:r w:rsidRPr="006C73BF">
              <w:rPr>
                <w:b/>
                <w:bCs/>
                <w:i/>
                <w:iCs/>
              </w:rPr>
              <w:t>peut être</w:t>
            </w:r>
            <w:r w:rsidRPr="006C73BF">
              <w:t xml:space="preserve"> utilisé pour fournir un soutien de l’Union au titre du Fonds européen pour la compétitivité. Ces ressources constituent des recettes affectées externes au sens de l’article 21, paragraphe 5, du règlement (UE, Euratom) 2024/2509 en faveur du Fonds.</w:t>
            </w:r>
          </w:p>
        </w:tc>
        <w:tc>
          <w:tcPr>
            <w:tcW w:w="4876" w:type="dxa"/>
            <w:hideMark/>
          </w:tcPr>
          <w:p w14:paraId="6F9727C1" w14:textId="77777777" w:rsidR="009A6D5D" w:rsidRPr="006C73BF" w:rsidRDefault="00E23F2E" w:rsidP="00366BA3">
            <w:pPr>
              <w:pStyle w:val="Normal6"/>
              <w:widowControl/>
              <w:rPr>
                <w:szCs w:val="24"/>
              </w:rPr>
            </w:pPr>
            <w:r w:rsidRPr="006C73BF">
              <w:t>5.</w:t>
            </w:r>
            <w:r w:rsidRPr="006C73BF">
              <w:tab/>
              <w:t>[À partir du 1</w:t>
            </w:r>
            <w:r w:rsidRPr="006C73BF">
              <w:rPr>
                <w:vertAlign w:val="superscript"/>
              </w:rPr>
              <w:t>er</w:t>
            </w:r>
            <w:r w:rsidRPr="006C73BF">
              <w:t xml:space="preserve"> janvier 2028/date de début du programme], par dérogation à l’article 216, paragraphe 4, point a), du règlement (UE, Euratom) 2024/2509, tout excédent des provisions destinées aux garanties budgétaires établies par les règlements (UE) 2015/1017[2] et (UE) 2021/523[3] </w:t>
            </w:r>
            <w:r w:rsidRPr="006C73BF">
              <w:rPr>
                <w:b/>
                <w:bCs/>
                <w:i/>
                <w:iCs/>
              </w:rPr>
              <w:t>est</w:t>
            </w:r>
            <w:r w:rsidRPr="006C73BF">
              <w:t xml:space="preserve"> utilisé pour fournir un soutien de l’Union au titre </w:t>
            </w:r>
            <w:r w:rsidRPr="006C73BF">
              <w:rPr>
                <w:b/>
                <w:i/>
              </w:rPr>
              <w:t>de l’instrument InvestEU</w:t>
            </w:r>
            <w:r w:rsidRPr="006C73BF">
              <w:t xml:space="preserve"> du Fonds européen pour la compétitivité.</w:t>
            </w:r>
            <w:r w:rsidRPr="006C73BF">
              <w:rPr>
                <w:b/>
                <w:i/>
              </w:rPr>
              <w:t xml:space="preserve"> </w:t>
            </w:r>
            <w:r w:rsidRPr="006C73BF">
              <w:t xml:space="preserve">Ces ressources constituent des recettes affectées externes au sens de l’article 21, paragraphe 5, du règlement </w:t>
            </w:r>
            <w:r w:rsidRPr="006C73BF">
              <w:lastRenderedPageBreak/>
              <w:t xml:space="preserve">(UE, Euratom) 2024/2509 en faveur </w:t>
            </w:r>
            <w:r w:rsidRPr="006C73BF">
              <w:rPr>
                <w:b/>
                <w:i/>
              </w:rPr>
              <w:t>de l’instrument InvestEU</w:t>
            </w:r>
            <w:r w:rsidRPr="006C73BF">
              <w:t xml:space="preserve"> du Fonds.</w:t>
            </w:r>
          </w:p>
        </w:tc>
      </w:tr>
    </w:tbl>
    <w:p w14:paraId="000B193B" w14:textId="77777777" w:rsidR="009A6D5D" w:rsidRPr="006C73BF" w:rsidRDefault="00E23F2E" w:rsidP="00366BA3">
      <w:pPr>
        <w:widowControl/>
      </w:pPr>
      <w:r w:rsidRPr="006C73BF">
        <w:rPr>
          <w:rStyle w:val="HideTWBExt"/>
        </w:rPr>
        <w:lastRenderedPageBreak/>
        <w:t>&lt;/Amend&gt;</w:t>
      </w:r>
    </w:p>
    <w:p w14:paraId="44D393FF"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16</w:t>
      </w:r>
      <w:r w:rsidRPr="006C73BF">
        <w:rPr>
          <w:rStyle w:val="HideTWBExt"/>
          <w:b w:val="0"/>
        </w:rPr>
        <w:t>&lt;/NumAm&gt;</w:t>
      </w:r>
    </w:p>
    <w:p w14:paraId="03E173E2" w14:textId="77777777" w:rsidR="009A6D5D" w:rsidRPr="006C73BF" w:rsidRDefault="00E23F2E" w:rsidP="00366BA3">
      <w:pPr>
        <w:keepNext/>
        <w:widowControl/>
      </w:pPr>
      <w:r w:rsidRPr="006C73BF">
        <w:rPr>
          <w:rStyle w:val="HideTWBExt"/>
        </w:rPr>
        <w:t>&lt;Compromise&gt;&lt;/Compromise&gt;</w:t>
      </w:r>
    </w:p>
    <w:p w14:paraId="7B2768D5" w14:textId="77777777" w:rsidR="009A6D5D" w:rsidRPr="006C73BF" w:rsidRDefault="009A6D5D" w:rsidP="00366BA3">
      <w:pPr>
        <w:widowControl/>
      </w:pPr>
    </w:p>
    <w:p w14:paraId="31EDBB60"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083A1F6E" w14:textId="77777777" w:rsidR="009A6D5D" w:rsidRPr="006C73BF" w:rsidRDefault="00E23F2E" w:rsidP="00366BA3">
      <w:pPr>
        <w:pStyle w:val="NormalBold"/>
        <w:widowControl/>
      </w:pPr>
      <w:r w:rsidRPr="006C73BF">
        <w:rPr>
          <w:rStyle w:val="HideTWBExt"/>
          <w:b w:val="0"/>
        </w:rPr>
        <w:t>&lt;Article&gt;</w:t>
      </w:r>
      <w:r w:rsidRPr="006C73BF">
        <w:t>Article 5 – paragraphe 5 bis (nouveau)</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4934247D" w14:textId="77777777" w:rsidTr="009A6D5D">
        <w:trPr>
          <w:jc w:val="center"/>
        </w:trPr>
        <w:tc>
          <w:tcPr>
            <w:tcW w:w="9752" w:type="dxa"/>
            <w:gridSpan w:val="2"/>
          </w:tcPr>
          <w:p w14:paraId="38D4725D" w14:textId="77777777" w:rsidR="009A6D5D" w:rsidRPr="006C73BF" w:rsidRDefault="009A6D5D" w:rsidP="00366BA3">
            <w:pPr>
              <w:keepNext/>
              <w:widowControl/>
            </w:pPr>
          </w:p>
        </w:tc>
      </w:tr>
      <w:tr w:rsidR="0027109F" w:rsidRPr="006C73BF" w14:paraId="7F2FF4D6" w14:textId="77777777" w:rsidTr="009A6D5D">
        <w:trPr>
          <w:jc w:val="center"/>
        </w:trPr>
        <w:tc>
          <w:tcPr>
            <w:tcW w:w="4876" w:type="dxa"/>
            <w:hideMark/>
          </w:tcPr>
          <w:p w14:paraId="7068ACEB" w14:textId="77777777" w:rsidR="009A6D5D" w:rsidRPr="006C73BF" w:rsidRDefault="00E23F2E" w:rsidP="00366BA3">
            <w:pPr>
              <w:pStyle w:val="ColumnHeading"/>
              <w:keepNext/>
              <w:widowControl/>
            </w:pPr>
            <w:r w:rsidRPr="006C73BF">
              <w:t>Texte proposé par la Commission</w:t>
            </w:r>
          </w:p>
        </w:tc>
        <w:tc>
          <w:tcPr>
            <w:tcW w:w="4876" w:type="dxa"/>
            <w:hideMark/>
          </w:tcPr>
          <w:p w14:paraId="7ABEA795" w14:textId="77777777" w:rsidR="009A6D5D" w:rsidRPr="006C73BF" w:rsidRDefault="00E23F2E" w:rsidP="00366BA3">
            <w:pPr>
              <w:pStyle w:val="ColumnHeading"/>
              <w:keepNext/>
              <w:widowControl/>
            </w:pPr>
            <w:r w:rsidRPr="006C73BF">
              <w:t>Amendement</w:t>
            </w:r>
          </w:p>
        </w:tc>
      </w:tr>
      <w:tr w:rsidR="0027109F" w:rsidRPr="006C73BF" w14:paraId="61340DB5" w14:textId="77777777" w:rsidTr="009A6D5D">
        <w:trPr>
          <w:jc w:val="center"/>
        </w:trPr>
        <w:tc>
          <w:tcPr>
            <w:tcW w:w="4876" w:type="dxa"/>
          </w:tcPr>
          <w:p w14:paraId="6DD0C3BB" w14:textId="77777777" w:rsidR="009A6D5D" w:rsidRPr="006C73BF" w:rsidRDefault="009A6D5D" w:rsidP="00366BA3">
            <w:pPr>
              <w:pStyle w:val="Normal6"/>
              <w:widowControl/>
            </w:pPr>
          </w:p>
        </w:tc>
        <w:tc>
          <w:tcPr>
            <w:tcW w:w="4876" w:type="dxa"/>
            <w:hideMark/>
          </w:tcPr>
          <w:p w14:paraId="7CF1BEDD" w14:textId="77777777" w:rsidR="009A6D5D" w:rsidRPr="006C73BF" w:rsidRDefault="00E23F2E" w:rsidP="00366BA3">
            <w:pPr>
              <w:pStyle w:val="Normal6"/>
              <w:widowControl/>
              <w:rPr>
                <w:szCs w:val="24"/>
              </w:rPr>
            </w:pPr>
            <w:r w:rsidRPr="006C73BF">
              <w:rPr>
                <w:b/>
                <w:i/>
              </w:rPr>
              <w:t>5 bis.</w:t>
            </w:r>
            <w:r w:rsidRPr="006C73BF">
              <w:rPr>
                <w:b/>
                <w:i/>
              </w:rPr>
              <w:tab/>
              <w:t>Les crédits d’engagement correspondant au montant des dégagements intervenus à la suite de la non-exécution totale ou partielle des activités correspondantes de recherche ou d’ innovation dans le domaine de la défense sont reconstitués au profit du programme spécifique pour la recherche et l’innovation dans le domaine de la défense au titre du Fonds dans le cadre de la procédure budgétaire.</w:t>
            </w:r>
          </w:p>
        </w:tc>
      </w:tr>
    </w:tbl>
    <w:p w14:paraId="24FEC879" w14:textId="77777777" w:rsidR="009A6D5D" w:rsidRPr="006C73BF" w:rsidRDefault="00E23F2E" w:rsidP="00366BA3">
      <w:pPr>
        <w:widowControl/>
      </w:pPr>
      <w:r w:rsidRPr="006C73BF">
        <w:rPr>
          <w:rStyle w:val="HideTWBExt"/>
        </w:rPr>
        <w:t>&lt;/Amend&gt;</w:t>
      </w:r>
    </w:p>
    <w:p w14:paraId="5D5D9D20"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17</w:t>
      </w:r>
      <w:r w:rsidRPr="006C73BF">
        <w:rPr>
          <w:rStyle w:val="HideTWBExt"/>
          <w:b w:val="0"/>
        </w:rPr>
        <w:t>&lt;/NumAm&gt;</w:t>
      </w:r>
    </w:p>
    <w:p w14:paraId="6B61C64A" w14:textId="77777777" w:rsidR="009A6D5D" w:rsidRPr="006C73BF" w:rsidRDefault="00E23F2E" w:rsidP="00366BA3">
      <w:pPr>
        <w:keepNext/>
        <w:widowControl/>
      </w:pPr>
      <w:r w:rsidRPr="006C73BF">
        <w:rPr>
          <w:rStyle w:val="HideTWBExt"/>
        </w:rPr>
        <w:t>&lt;Compromise&gt;&lt;/Compromise&gt;</w:t>
      </w:r>
    </w:p>
    <w:p w14:paraId="2100F3C7" w14:textId="77777777" w:rsidR="009A6D5D" w:rsidRPr="006C73BF" w:rsidRDefault="009A6D5D" w:rsidP="00366BA3">
      <w:pPr>
        <w:widowControl/>
      </w:pPr>
    </w:p>
    <w:p w14:paraId="3C94EC8A"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38433C68" w14:textId="77777777" w:rsidR="009A6D5D" w:rsidRPr="006C73BF" w:rsidRDefault="00E23F2E" w:rsidP="00366BA3">
      <w:pPr>
        <w:pStyle w:val="NormalBold"/>
        <w:widowControl/>
      </w:pPr>
      <w:r w:rsidRPr="006C73BF">
        <w:rPr>
          <w:rStyle w:val="HideTWBExt"/>
          <w:b w:val="0"/>
        </w:rPr>
        <w:t>&lt;Article&gt;</w:t>
      </w:r>
      <w:r w:rsidRPr="006C73BF">
        <w:t>Article 21 – paragraphe 3</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3DD2F96C" w14:textId="77777777" w:rsidTr="009A6D5D">
        <w:trPr>
          <w:jc w:val="center"/>
        </w:trPr>
        <w:tc>
          <w:tcPr>
            <w:tcW w:w="9752" w:type="dxa"/>
            <w:gridSpan w:val="2"/>
          </w:tcPr>
          <w:p w14:paraId="06712632" w14:textId="77777777" w:rsidR="009A6D5D" w:rsidRPr="006C73BF" w:rsidRDefault="009A6D5D" w:rsidP="00366BA3">
            <w:pPr>
              <w:keepNext/>
              <w:widowControl/>
            </w:pPr>
          </w:p>
        </w:tc>
      </w:tr>
      <w:tr w:rsidR="0027109F" w:rsidRPr="006C73BF" w14:paraId="357258FA" w14:textId="77777777" w:rsidTr="009A6D5D">
        <w:trPr>
          <w:jc w:val="center"/>
        </w:trPr>
        <w:tc>
          <w:tcPr>
            <w:tcW w:w="4876" w:type="dxa"/>
            <w:hideMark/>
          </w:tcPr>
          <w:p w14:paraId="61B772FB" w14:textId="77777777" w:rsidR="009A6D5D" w:rsidRPr="006C73BF" w:rsidRDefault="00E23F2E" w:rsidP="00366BA3">
            <w:pPr>
              <w:pStyle w:val="ColumnHeading"/>
              <w:keepNext/>
              <w:widowControl/>
            </w:pPr>
            <w:r w:rsidRPr="006C73BF">
              <w:t>Texte proposé par la Commission</w:t>
            </w:r>
          </w:p>
        </w:tc>
        <w:tc>
          <w:tcPr>
            <w:tcW w:w="4876" w:type="dxa"/>
            <w:hideMark/>
          </w:tcPr>
          <w:p w14:paraId="55C303B7" w14:textId="77777777" w:rsidR="009A6D5D" w:rsidRPr="006C73BF" w:rsidRDefault="00E23F2E" w:rsidP="00366BA3">
            <w:pPr>
              <w:pStyle w:val="ColumnHeading"/>
              <w:keepNext/>
              <w:widowControl/>
            </w:pPr>
            <w:r w:rsidRPr="006C73BF">
              <w:t>Amendement</w:t>
            </w:r>
          </w:p>
        </w:tc>
      </w:tr>
      <w:tr w:rsidR="0027109F" w:rsidRPr="006C73BF" w14:paraId="3D9CF284" w14:textId="77777777" w:rsidTr="009A6D5D">
        <w:trPr>
          <w:jc w:val="center"/>
        </w:trPr>
        <w:tc>
          <w:tcPr>
            <w:tcW w:w="4876" w:type="dxa"/>
            <w:hideMark/>
          </w:tcPr>
          <w:p w14:paraId="7ECC2BF5" w14:textId="77777777" w:rsidR="009A6D5D" w:rsidRPr="006C73BF" w:rsidRDefault="00E23F2E" w:rsidP="00366BA3">
            <w:pPr>
              <w:pStyle w:val="Normal6"/>
              <w:widowControl/>
            </w:pPr>
            <w:r w:rsidRPr="006C73BF">
              <w:t>3.</w:t>
            </w:r>
            <w:r w:rsidRPr="006C73BF">
              <w:tab/>
              <w:t xml:space="preserve">Le montant maximal de la garantie budgétaire au titre du compartiment «UE» de l’instrument InvestEU du Fonds s’élève à </w:t>
            </w:r>
            <w:r w:rsidRPr="006C73BF">
              <w:rPr>
                <w:b/>
                <w:i/>
              </w:rPr>
              <w:t>70</w:t>
            </w:r>
            <w:r w:rsidRPr="006C73BF">
              <w:t> </w:t>
            </w:r>
            <w:r w:rsidRPr="006C73BF">
              <w:rPr>
                <w:b/>
                <w:bCs/>
                <w:i/>
                <w:iCs/>
              </w:rPr>
              <w:t>000 000 000</w:t>
            </w:r>
            <w:r w:rsidRPr="006C73BF">
              <w:t> EUR en prix courants. Cette garantie budgétaire est provisionnée à hauteur de 50 %.</w:t>
            </w:r>
          </w:p>
        </w:tc>
        <w:tc>
          <w:tcPr>
            <w:tcW w:w="4876" w:type="dxa"/>
            <w:hideMark/>
          </w:tcPr>
          <w:p w14:paraId="79BF5E98" w14:textId="77777777" w:rsidR="009A6D5D" w:rsidRPr="006C73BF" w:rsidRDefault="00E23F2E" w:rsidP="00366BA3">
            <w:pPr>
              <w:pStyle w:val="Normal6"/>
              <w:widowControl/>
              <w:rPr>
                <w:szCs w:val="24"/>
              </w:rPr>
            </w:pPr>
            <w:r w:rsidRPr="006C73BF">
              <w:t>3.</w:t>
            </w:r>
            <w:r w:rsidRPr="006C73BF">
              <w:tab/>
              <w:t xml:space="preserve">Le montant maximal de la garantie budgétaire au titre du compartiment «UE» de l’instrument InvestEU du Fonds s’élève à </w:t>
            </w:r>
            <w:r w:rsidRPr="006C73BF">
              <w:rPr>
                <w:b/>
                <w:i/>
              </w:rPr>
              <w:t>150</w:t>
            </w:r>
            <w:r w:rsidRPr="006C73BF">
              <w:t> </w:t>
            </w:r>
            <w:r w:rsidRPr="006C73BF">
              <w:rPr>
                <w:b/>
                <w:bCs/>
                <w:i/>
                <w:iCs/>
              </w:rPr>
              <w:t>000 000 000</w:t>
            </w:r>
            <w:r w:rsidRPr="006C73BF">
              <w:t> EUR en prix courants. Cette garantie budgétaire est provisionnée à hauteur de 50 %.</w:t>
            </w:r>
          </w:p>
        </w:tc>
      </w:tr>
    </w:tbl>
    <w:p w14:paraId="49109130" w14:textId="77777777" w:rsidR="009A6D5D" w:rsidRPr="006C73BF" w:rsidRDefault="00E23F2E" w:rsidP="00366BA3">
      <w:pPr>
        <w:widowControl/>
      </w:pPr>
      <w:r w:rsidRPr="006C73BF">
        <w:rPr>
          <w:rStyle w:val="HideTWBExt"/>
        </w:rPr>
        <w:t>&lt;/Amend&gt;</w:t>
      </w:r>
    </w:p>
    <w:p w14:paraId="1B9EB31C"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18</w:t>
      </w:r>
      <w:r w:rsidRPr="006C73BF">
        <w:rPr>
          <w:rStyle w:val="HideTWBExt"/>
          <w:b w:val="0"/>
        </w:rPr>
        <w:t>&lt;/NumAm&gt;</w:t>
      </w:r>
    </w:p>
    <w:p w14:paraId="3249F664" w14:textId="77777777" w:rsidR="009A6D5D" w:rsidRPr="006C73BF" w:rsidRDefault="00E23F2E" w:rsidP="00366BA3">
      <w:pPr>
        <w:keepNext/>
        <w:widowControl/>
      </w:pPr>
      <w:r w:rsidRPr="006C73BF">
        <w:rPr>
          <w:rStyle w:val="HideTWBExt"/>
        </w:rPr>
        <w:t>&lt;Compromise&gt;&lt;/Compromise&gt;</w:t>
      </w:r>
    </w:p>
    <w:p w14:paraId="5A7E1D2A" w14:textId="77777777" w:rsidR="009A6D5D" w:rsidRPr="006C73BF" w:rsidRDefault="009A6D5D" w:rsidP="00366BA3">
      <w:pPr>
        <w:widowControl/>
      </w:pPr>
    </w:p>
    <w:p w14:paraId="3331AEFF"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14134534" w14:textId="77777777" w:rsidR="009A6D5D" w:rsidRPr="006C73BF" w:rsidRDefault="00E23F2E" w:rsidP="00366BA3">
      <w:pPr>
        <w:pStyle w:val="NormalBold"/>
        <w:widowControl/>
      </w:pPr>
      <w:r w:rsidRPr="006C73BF">
        <w:rPr>
          <w:rStyle w:val="HideTWBExt"/>
          <w:b w:val="0"/>
        </w:rPr>
        <w:t>&lt;Article&gt;</w:t>
      </w:r>
      <w:r w:rsidRPr="006C73BF">
        <w:t>Article 21 – paragraphe 7</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7857EC85" w14:textId="77777777" w:rsidTr="009A6D5D">
        <w:trPr>
          <w:jc w:val="center"/>
        </w:trPr>
        <w:tc>
          <w:tcPr>
            <w:tcW w:w="9752" w:type="dxa"/>
            <w:gridSpan w:val="2"/>
          </w:tcPr>
          <w:p w14:paraId="4252AA31" w14:textId="77777777" w:rsidR="009A6D5D" w:rsidRPr="006C73BF" w:rsidRDefault="009A6D5D" w:rsidP="00366BA3">
            <w:pPr>
              <w:keepNext/>
              <w:widowControl/>
            </w:pPr>
          </w:p>
        </w:tc>
      </w:tr>
      <w:tr w:rsidR="0027109F" w:rsidRPr="006C73BF" w14:paraId="2D1A3A6A" w14:textId="77777777" w:rsidTr="009A6D5D">
        <w:trPr>
          <w:jc w:val="center"/>
        </w:trPr>
        <w:tc>
          <w:tcPr>
            <w:tcW w:w="4876" w:type="dxa"/>
            <w:hideMark/>
          </w:tcPr>
          <w:p w14:paraId="60199889" w14:textId="77777777" w:rsidR="009A6D5D" w:rsidRPr="006C73BF" w:rsidRDefault="00E23F2E" w:rsidP="00366BA3">
            <w:pPr>
              <w:pStyle w:val="ColumnHeading"/>
              <w:keepNext/>
              <w:widowControl/>
            </w:pPr>
            <w:r w:rsidRPr="006C73BF">
              <w:t>Texte proposé par la Commission</w:t>
            </w:r>
          </w:p>
        </w:tc>
        <w:tc>
          <w:tcPr>
            <w:tcW w:w="4876" w:type="dxa"/>
            <w:hideMark/>
          </w:tcPr>
          <w:p w14:paraId="50FDA11A" w14:textId="77777777" w:rsidR="009A6D5D" w:rsidRPr="006C73BF" w:rsidRDefault="00E23F2E" w:rsidP="00366BA3">
            <w:pPr>
              <w:pStyle w:val="ColumnHeading"/>
              <w:keepNext/>
              <w:widowControl/>
            </w:pPr>
            <w:r w:rsidRPr="006C73BF">
              <w:t>Amendement</w:t>
            </w:r>
          </w:p>
        </w:tc>
      </w:tr>
      <w:tr w:rsidR="0027109F" w:rsidRPr="006C73BF" w14:paraId="00809BF6" w14:textId="77777777" w:rsidTr="009A6D5D">
        <w:trPr>
          <w:jc w:val="center"/>
        </w:trPr>
        <w:tc>
          <w:tcPr>
            <w:tcW w:w="4876" w:type="dxa"/>
            <w:hideMark/>
          </w:tcPr>
          <w:p w14:paraId="623FB16C" w14:textId="77777777" w:rsidR="009A6D5D" w:rsidRPr="006C73BF" w:rsidRDefault="00E23F2E" w:rsidP="00366BA3">
            <w:pPr>
              <w:pStyle w:val="Normal6"/>
              <w:widowControl/>
            </w:pPr>
            <w:r w:rsidRPr="006C73BF">
              <w:t>7.</w:t>
            </w:r>
            <w:r w:rsidRPr="006C73BF">
              <w:tab/>
              <w:t xml:space="preserve">La Commission est habilitée à adopter des actes délégués conformément à l’article 84 afin de modifier le paragraphe 3, d’adapter le taux de provisionnement et </w:t>
            </w:r>
            <w:r w:rsidRPr="006C73BF">
              <w:rPr>
                <w:b/>
                <w:i/>
              </w:rPr>
              <w:t>d’adapter</w:t>
            </w:r>
            <w:r w:rsidRPr="006C73BF">
              <w:t xml:space="preserve"> le montant maximal de la garantie budgétaire jusqu’à 20 % de ce montant.</w:t>
            </w:r>
          </w:p>
        </w:tc>
        <w:tc>
          <w:tcPr>
            <w:tcW w:w="4876" w:type="dxa"/>
            <w:hideMark/>
          </w:tcPr>
          <w:p w14:paraId="40866FED" w14:textId="77777777" w:rsidR="009A6D5D" w:rsidRPr="006C73BF" w:rsidRDefault="00E23F2E" w:rsidP="00366BA3">
            <w:pPr>
              <w:pStyle w:val="Normal6"/>
              <w:widowControl/>
              <w:rPr>
                <w:szCs w:val="24"/>
              </w:rPr>
            </w:pPr>
            <w:r w:rsidRPr="006C73BF">
              <w:t>7.</w:t>
            </w:r>
            <w:r w:rsidRPr="006C73BF">
              <w:tab/>
              <w:t xml:space="preserve">La Commission est habilitée à adopter des actes délégués conformément à l’article 84 afin de modifier le paragraphe 3, d’adapter le taux de provisionnement et </w:t>
            </w:r>
            <w:r w:rsidRPr="006C73BF">
              <w:rPr>
                <w:b/>
                <w:i/>
              </w:rPr>
              <w:t>d’accroître</w:t>
            </w:r>
            <w:r w:rsidRPr="006C73BF">
              <w:t xml:space="preserve"> le montant maximal de la garantie budgétaire jusqu’à 20 % de ce montant.</w:t>
            </w:r>
          </w:p>
        </w:tc>
      </w:tr>
    </w:tbl>
    <w:p w14:paraId="60EBDD12" w14:textId="77777777" w:rsidR="009A6D5D" w:rsidRPr="006C73BF" w:rsidRDefault="00E23F2E" w:rsidP="00366BA3">
      <w:pPr>
        <w:widowControl/>
      </w:pPr>
      <w:r w:rsidRPr="006C73BF">
        <w:rPr>
          <w:rStyle w:val="HideTWBExt"/>
        </w:rPr>
        <w:t>&lt;/Amend&gt;</w:t>
      </w:r>
    </w:p>
    <w:p w14:paraId="538CD7ED"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19</w:t>
      </w:r>
      <w:r w:rsidRPr="006C73BF">
        <w:rPr>
          <w:rStyle w:val="HideTWBExt"/>
          <w:b w:val="0"/>
        </w:rPr>
        <w:t>&lt;/NumAm&gt;</w:t>
      </w:r>
    </w:p>
    <w:p w14:paraId="5D4482FA" w14:textId="77777777" w:rsidR="009A6D5D" w:rsidRPr="006C73BF" w:rsidRDefault="00E23F2E" w:rsidP="00366BA3">
      <w:pPr>
        <w:keepNext/>
        <w:widowControl/>
      </w:pPr>
      <w:r w:rsidRPr="006C73BF">
        <w:rPr>
          <w:rStyle w:val="HideTWBExt"/>
        </w:rPr>
        <w:t>&lt;Compromise&gt;&lt;/Compromise&gt;</w:t>
      </w:r>
    </w:p>
    <w:p w14:paraId="28618F88" w14:textId="77777777" w:rsidR="009A6D5D" w:rsidRPr="006C73BF" w:rsidRDefault="009A6D5D" w:rsidP="00366BA3">
      <w:pPr>
        <w:widowControl/>
      </w:pPr>
    </w:p>
    <w:p w14:paraId="41CC1EA9"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4EC11375" w14:textId="77777777" w:rsidR="009A6D5D" w:rsidRPr="006C73BF" w:rsidRDefault="00E23F2E" w:rsidP="00366BA3">
      <w:pPr>
        <w:pStyle w:val="NormalBold"/>
        <w:widowControl/>
      </w:pPr>
      <w:r w:rsidRPr="006C73BF">
        <w:rPr>
          <w:rStyle w:val="HideTWBExt"/>
          <w:b w:val="0"/>
        </w:rPr>
        <w:t>&lt;Article&gt;</w:t>
      </w:r>
      <w:r w:rsidRPr="006C73BF">
        <w:t>Article 21 – paragraphe 7 bis (nouveau)</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073730A9" w14:textId="77777777" w:rsidTr="009A6D5D">
        <w:trPr>
          <w:jc w:val="center"/>
        </w:trPr>
        <w:tc>
          <w:tcPr>
            <w:tcW w:w="9752" w:type="dxa"/>
            <w:gridSpan w:val="2"/>
          </w:tcPr>
          <w:p w14:paraId="60145614" w14:textId="77777777" w:rsidR="009A6D5D" w:rsidRPr="006C73BF" w:rsidRDefault="009A6D5D" w:rsidP="00366BA3">
            <w:pPr>
              <w:keepNext/>
              <w:widowControl/>
            </w:pPr>
          </w:p>
        </w:tc>
      </w:tr>
      <w:tr w:rsidR="0027109F" w:rsidRPr="006C73BF" w14:paraId="38359C6C" w14:textId="77777777" w:rsidTr="009A6D5D">
        <w:trPr>
          <w:jc w:val="center"/>
        </w:trPr>
        <w:tc>
          <w:tcPr>
            <w:tcW w:w="4876" w:type="dxa"/>
            <w:hideMark/>
          </w:tcPr>
          <w:p w14:paraId="6B526C61" w14:textId="77777777" w:rsidR="009A6D5D" w:rsidRPr="006C73BF" w:rsidRDefault="00E23F2E" w:rsidP="00366BA3">
            <w:pPr>
              <w:pStyle w:val="ColumnHeading"/>
              <w:keepNext/>
              <w:widowControl/>
            </w:pPr>
            <w:r w:rsidRPr="006C73BF">
              <w:t>Texte proposé par la Commission</w:t>
            </w:r>
          </w:p>
        </w:tc>
        <w:tc>
          <w:tcPr>
            <w:tcW w:w="4876" w:type="dxa"/>
            <w:hideMark/>
          </w:tcPr>
          <w:p w14:paraId="5414ACCA" w14:textId="77777777" w:rsidR="009A6D5D" w:rsidRPr="006C73BF" w:rsidRDefault="00E23F2E" w:rsidP="00366BA3">
            <w:pPr>
              <w:pStyle w:val="ColumnHeading"/>
              <w:keepNext/>
              <w:widowControl/>
            </w:pPr>
            <w:r w:rsidRPr="006C73BF">
              <w:t>Amendement</w:t>
            </w:r>
          </w:p>
        </w:tc>
      </w:tr>
      <w:tr w:rsidR="0027109F" w:rsidRPr="006C73BF" w14:paraId="213DCF09" w14:textId="77777777" w:rsidTr="009A6D5D">
        <w:trPr>
          <w:jc w:val="center"/>
        </w:trPr>
        <w:tc>
          <w:tcPr>
            <w:tcW w:w="4876" w:type="dxa"/>
          </w:tcPr>
          <w:p w14:paraId="7BBEA94E" w14:textId="77777777" w:rsidR="009A6D5D" w:rsidRPr="006C73BF" w:rsidRDefault="009A6D5D" w:rsidP="00366BA3">
            <w:pPr>
              <w:pStyle w:val="Normal6"/>
              <w:widowControl/>
            </w:pPr>
          </w:p>
        </w:tc>
        <w:tc>
          <w:tcPr>
            <w:tcW w:w="4876" w:type="dxa"/>
            <w:hideMark/>
          </w:tcPr>
          <w:p w14:paraId="5C721FE0" w14:textId="77777777" w:rsidR="009A6D5D" w:rsidRPr="006C73BF" w:rsidRDefault="00E23F2E" w:rsidP="00366BA3">
            <w:pPr>
              <w:pStyle w:val="Normal6"/>
              <w:widowControl/>
              <w:rPr>
                <w:szCs w:val="24"/>
              </w:rPr>
            </w:pPr>
            <w:r w:rsidRPr="006C73BF">
              <w:rPr>
                <w:b/>
                <w:i/>
              </w:rPr>
              <w:t>7 bis.</w:t>
            </w:r>
            <w:r w:rsidRPr="006C73BF">
              <w:rPr>
                <w:b/>
                <w:i/>
              </w:rPr>
              <w:tab/>
              <w:t>Le soutien provenant d’une garantie budgétaire ou d’un instrument financier au titre du présent règlement et le soutien fourni par l’intermédiaire d’instruments financiers ou de garanties budgétaires établis par des programmes au cours d’autres périodes de programmation peuvent être combinés pour soutenir des produits financiers ou des portefeuilles mis en œuvre ou à mettre en œuvre au titre du présent règlement, afin de permettre que le soutien fourni par l’instrument InvestEU du Fonds et le soutien fourni par des instruments financiers et des garanties budgétaires hérités du passé puissent couvrir les pertes de l’intégralité du portefeuille.</w:t>
            </w:r>
          </w:p>
        </w:tc>
      </w:tr>
    </w:tbl>
    <w:p w14:paraId="5B3C4D02" w14:textId="77777777" w:rsidR="009A6D5D" w:rsidRPr="006C73BF" w:rsidRDefault="00E23F2E" w:rsidP="00366BA3">
      <w:pPr>
        <w:widowControl/>
      </w:pPr>
      <w:r w:rsidRPr="006C73BF">
        <w:rPr>
          <w:rStyle w:val="HideTWBExt"/>
        </w:rPr>
        <w:t>&lt;/Amend&gt;</w:t>
      </w:r>
    </w:p>
    <w:p w14:paraId="33631D2B"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20</w:t>
      </w:r>
      <w:r w:rsidRPr="006C73BF">
        <w:rPr>
          <w:rStyle w:val="HideTWBExt"/>
          <w:b w:val="0"/>
        </w:rPr>
        <w:t>&lt;/NumAm&gt;</w:t>
      </w:r>
    </w:p>
    <w:p w14:paraId="7C62D37C" w14:textId="77777777" w:rsidR="009A6D5D" w:rsidRPr="006C73BF" w:rsidRDefault="00E23F2E" w:rsidP="00366BA3">
      <w:pPr>
        <w:keepNext/>
        <w:widowControl/>
      </w:pPr>
      <w:r w:rsidRPr="006C73BF">
        <w:rPr>
          <w:rStyle w:val="HideTWBExt"/>
        </w:rPr>
        <w:t>&lt;Compromise&gt;&lt;/Compromise&gt;</w:t>
      </w:r>
    </w:p>
    <w:p w14:paraId="76582638" w14:textId="77777777" w:rsidR="009A6D5D" w:rsidRPr="006C73BF" w:rsidRDefault="009A6D5D" w:rsidP="00366BA3">
      <w:pPr>
        <w:widowControl/>
      </w:pPr>
    </w:p>
    <w:p w14:paraId="2EBF1B05"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747C5F36" w14:textId="77777777" w:rsidR="009A6D5D" w:rsidRPr="006C73BF" w:rsidRDefault="00E23F2E" w:rsidP="00366BA3">
      <w:pPr>
        <w:pStyle w:val="NormalBold"/>
        <w:widowControl/>
      </w:pPr>
      <w:r w:rsidRPr="006C73BF">
        <w:rPr>
          <w:rStyle w:val="HideTWBExt"/>
          <w:b w:val="0"/>
        </w:rPr>
        <w:t>&lt;Article&gt;</w:t>
      </w:r>
      <w:r w:rsidRPr="006C73BF">
        <w:t>Article 23 - paragraphe 1</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3B76A28F" w14:textId="77777777" w:rsidTr="009A6D5D">
        <w:trPr>
          <w:jc w:val="center"/>
        </w:trPr>
        <w:tc>
          <w:tcPr>
            <w:tcW w:w="9752" w:type="dxa"/>
            <w:gridSpan w:val="2"/>
          </w:tcPr>
          <w:p w14:paraId="625D96FF" w14:textId="77777777" w:rsidR="009A6D5D" w:rsidRPr="006C73BF" w:rsidRDefault="009A6D5D" w:rsidP="00366BA3">
            <w:pPr>
              <w:keepNext/>
              <w:widowControl/>
            </w:pPr>
          </w:p>
        </w:tc>
      </w:tr>
      <w:tr w:rsidR="0027109F" w:rsidRPr="006C73BF" w14:paraId="393F4A53" w14:textId="77777777" w:rsidTr="009A6D5D">
        <w:trPr>
          <w:jc w:val="center"/>
        </w:trPr>
        <w:tc>
          <w:tcPr>
            <w:tcW w:w="4876" w:type="dxa"/>
            <w:hideMark/>
          </w:tcPr>
          <w:p w14:paraId="51470D55" w14:textId="77777777" w:rsidR="009A6D5D" w:rsidRPr="006C73BF" w:rsidRDefault="00E23F2E" w:rsidP="00366BA3">
            <w:pPr>
              <w:pStyle w:val="ColumnHeading"/>
              <w:keepNext/>
              <w:widowControl/>
            </w:pPr>
            <w:r w:rsidRPr="006C73BF">
              <w:t>Texte proposé par la Commission</w:t>
            </w:r>
          </w:p>
        </w:tc>
        <w:tc>
          <w:tcPr>
            <w:tcW w:w="4876" w:type="dxa"/>
            <w:hideMark/>
          </w:tcPr>
          <w:p w14:paraId="2DD7575D" w14:textId="77777777" w:rsidR="009A6D5D" w:rsidRPr="006C73BF" w:rsidRDefault="00E23F2E" w:rsidP="00366BA3">
            <w:pPr>
              <w:pStyle w:val="ColumnHeading"/>
              <w:keepNext/>
              <w:widowControl/>
            </w:pPr>
            <w:r w:rsidRPr="006C73BF">
              <w:t>Amendement</w:t>
            </w:r>
          </w:p>
        </w:tc>
      </w:tr>
      <w:tr w:rsidR="0027109F" w:rsidRPr="006C73BF" w14:paraId="65453B8D" w14:textId="77777777" w:rsidTr="009A6D5D">
        <w:trPr>
          <w:jc w:val="center"/>
        </w:trPr>
        <w:tc>
          <w:tcPr>
            <w:tcW w:w="4876" w:type="dxa"/>
            <w:hideMark/>
          </w:tcPr>
          <w:p w14:paraId="4C132D31" w14:textId="77777777" w:rsidR="009A6D5D" w:rsidRPr="006C73BF" w:rsidRDefault="00E23F2E" w:rsidP="00366BA3">
            <w:pPr>
              <w:pStyle w:val="Normal6"/>
              <w:widowControl/>
            </w:pPr>
            <w:r w:rsidRPr="006C73BF">
              <w:t>1.</w:t>
            </w:r>
            <w:r w:rsidRPr="006C73BF">
              <w:tab/>
              <w:t xml:space="preserve">Au cours de la période couverte par le CFP 2028-2034, les garanties budgétaires, les instruments financiers ou les instruments financiers directement mis en œuvre par la Commission conformément à l’article 219 du règlement (UE, Euratom) 2024/2509 pour soutenir des objectifs stratégiques sur le territoire de l’Union sont établis </w:t>
            </w:r>
            <w:r w:rsidRPr="006C73BF">
              <w:rPr>
                <w:b/>
                <w:i/>
              </w:rPr>
              <w:t>uniquement</w:t>
            </w:r>
            <w:r w:rsidRPr="006C73BF">
              <w:t xml:space="preserve"> en vertu de la présente section.</w:t>
            </w:r>
          </w:p>
        </w:tc>
        <w:tc>
          <w:tcPr>
            <w:tcW w:w="4876" w:type="dxa"/>
            <w:hideMark/>
          </w:tcPr>
          <w:p w14:paraId="16B97EE1" w14:textId="77777777" w:rsidR="009A6D5D" w:rsidRPr="006C73BF" w:rsidRDefault="00E23F2E" w:rsidP="00366BA3">
            <w:pPr>
              <w:pStyle w:val="Normal6"/>
              <w:widowControl/>
              <w:rPr>
                <w:szCs w:val="24"/>
              </w:rPr>
            </w:pPr>
            <w:r w:rsidRPr="006C73BF">
              <w:t>1.</w:t>
            </w:r>
            <w:r w:rsidRPr="006C73BF">
              <w:tab/>
              <w:t xml:space="preserve">Au cours de la période couverte par le CFP 2028-2034, les garanties budgétaires, les instruments financiers ou les instruments financiers directement mis en œuvre par la Commission conformément à l’article 219 du règlement (UE, Euratom) 2024/2509 pour soutenir des objectifs stratégiques sur le territoire de l’Union sont établis </w:t>
            </w:r>
            <w:r w:rsidRPr="006C73BF">
              <w:rPr>
                <w:b/>
                <w:i/>
              </w:rPr>
              <w:t>exclusivement</w:t>
            </w:r>
            <w:r w:rsidRPr="006C73BF">
              <w:t xml:space="preserve"> en vertu de la présente section</w:t>
            </w:r>
            <w:r w:rsidRPr="006C73BF">
              <w:rPr>
                <w:b/>
                <w:i/>
              </w:rPr>
              <w:t>, à l’exception des instruments financiers établis au titre du Conseil européen de l’innovation dans le règlement [XXXX/XXXX] (HEU28-34)</w:t>
            </w:r>
            <w:r w:rsidRPr="006C73BF">
              <w:t>.</w:t>
            </w:r>
          </w:p>
        </w:tc>
      </w:tr>
    </w:tbl>
    <w:p w14:paraId="2C0A8ACF" w14:textId="77777777" w:rsidR="009A6D5D" w:rsidRPr="006C73BF" w:rsidRDefault="00E23F2E" w:rsidP="00366BA3">
      <w:pPr>
        <w:widowControl/>
      </w:pPr>
      <w:r w:rsidRPr="006C73BF">
        <w:rPr>
          <w:rStyle w:val="HideTWBExt"/>
        </w:rPr>
        <w:t>&lt;/Amend&gt;</w:t>
      </w:r>
    </w:p>
    <w:p w14:paraId="2B7BE0F8"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21</w:t>
      </w:r>
      <w:r w:rsidRPr="006C73BF">
        <w:rPr>
          <w:rStyle w:val="HideTWBExt"/>
          <w:b w:val="0"/>
        </w:rPr>
        <w:t>&lt;/NumAm&gt;</w:t>
      </w:r>
    </w:p>
    <w:p w14:paraId="4A7265A8" w14:textId="77777777" w:rsidR="009A6D5D" w:rsidRPr="006C73BF" w:rsidRDefault="00E23F2E" w:rsidP="00366BA3">
      <w:pPr>
        <w:keepNext/>
        <w:widowControl/>
      </w:pPr>
      <w:r w:rsidRPr="006C73BF">
        <w:rPr>
          <w:rStyle w:val="HideTWBExt"/>
        </w:rPr>
        <w:t>&lt;Compromise&gt;&lt;/Compromise&gt;</w:t>
      </w:r>
    </w:p>
    <w:p w14:paraId="21B2B686" w14:textId="77777777" w:rsidR="009A6D5D" w:rsidRPr="006C73BF" w:rsidRDefault="009A6D5D" w:rsidP="00366BA3">
      <w:pPr>
        <w:widowControl/>
      </w:pPr>
    </w:p>
    <w:p w14:paraId="6010FA03"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06541BF0" w14:textId="77777777" w:rsidR="009A6D5D" w:rsidRPr="006C73BF" w:rsidRDefault="00E23F2E" w:rsidP="00366BA3">
      <w:pPr>
        <w:pStyle w:val="NormalBold"/>
        <w:widowControl/>
      </w:pPr>
      <w:r w:rsidRPr="006C73BF">
        <w:rPr>
          <w:rStyle w:val="HideTWBExt"/>
          <w:b w:val="0"/>
        </w:rPr>
        <w:t>&lt;Article&gt;</w:t>
      </w:r>
      <w:r w:rsidRPr="006C73BF">
        <w:t>Article 24 – paragraphe 1 bis (nouveau)</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6748001D" w14:textId="77777777" w:rsidTr="009A6D5D">
        <w:trPr>
          <w:jc w:val="center"/>
        </w:trPr>
        <w:tc>
          <w:tcPr>
            <w:tcW w:w="9752" w:type="dxa"/>
            <w:gridSpan w:val="2"/>
          </w:tcPr>
          <w:p w14:paraId="63C0674E" w14:textId="77777777" w:rsidR="009A6D5D" w:rsidRPr="006C73BF" w:rsidRDefault="009A6D5D" w:rsidP="00366BA3">
            <w:pPr>
              <w:keepNext/>
              <w:widowControl/>
            </w:pPr>
          </w:p>
        </w:tc>
      </w:tr>
      <w:tr w:rsidR="0027109F" w:rsidRPr="006C73BF" w14:paraId="23BCEB16" w14:textId="77777777" w:rsidTr="009A6D5D">
        <w:trPr>
          <w:jc w:val="center"/>
        </w:trPr>
        <w:tc>
          <w:tcPr>
            <w:tcW w:w="4876" w:type="dxa"/>
            <w:hideMark/>
          </w:tcPr>
          <w:p w14:paraId="50393E23" w14:textId="77777777" w:rsidR="009A6D5D" w:rsidRPr="006C73BF" w:rsidRDefault="00E23F2E" w:rsidP="00366BA3">
            <w:pPr>
              <w:pStyle w:val="ColumnHeading"/>
              <w:keepNext/>
              <w:widowControl/>
            </w:pPr>
            <w:r w:rsidRPr="006C73BF">
              <w:t>Texte proposé par la Commission</w:t>
            </w:r>
          </w:p>
        </w:tc>
        <w:tc>
          <w:tcPr>
            <w:tcW w:w="4876" w:type="dxa"/>
            <w:hideMark/>
          </w:tcPr>
          <w:p w14:paraId="3F11AA3E" w14:textId="77777777" w:rsidR="009A6D5D" w:rsidRPr="006C73BF" w:rsidRDefault="00E23F2E" w:rsidP="00366BA3">
            <w:pPr>
              <w:pStyle w:val="ColumnHeading"/>
              <w:keepNext/>
              <w:widowControl/>
            </w:pPr>
            <w:r w:rsidRPr="006C73BF">
              <w:t>Amendement</w:t>
            </w:r>
          </w:p>
        </w:tc>
      </w:tr>
      <w:tr w:rsidR="0027109F" w:rsidRPr="006C73BF" w14:paraId="27452031" w14:textId="77777777" w:rsidTr="009A6D5D">
        <w:trPr>
          <w:jc w:val="center"/>
        </w:trPr>
        <w:tc>
          <w:tcPr>
            <w:tcW w:w="4876" w:type="dxa"/>
          </w:tcPr>
          <w:p w14:paraId="21936750" w14:textId="77777777" w:rsidR="009A6D5D" w:rsidRPr="006C73BF" w:rsidRDefault="009A6D5D" w:rsidP="00366BA3">
            <w:pPr>
              <w:pStyle w:val="Normal6"/>
              <w:widowControl/>
            </w:pPr>
          </w:p>
        </w:tc>
        <w:tc>
          <w:tcPr>
            <w:tcW w:w="4876" w:type="dxa"/>
            <w:hideMark/>
          </w:tcPr>
          <w:p w14:paraId="2EEF2402" w14:textId="77777777" w:rsidR="009A6D5D" w:rsidRPr="006C73BF" w:rsidRDefault="00E23F2E" w:rsidP="00366BA3">
            <w:pPr>
              <w:pStyle w:val="Normal6"/>
              <w:widowControl/>
              <w:rPr>
                <w:szCs w:val="24"/>
              </w:rPr>
            </w:pPr>
            <w:r w:rsidRPr="006C73BF">
              <w:rPr>
                <w:b/>
                <w:i/>
              </w:rPr>
              <w:t>1 bis.</w:t>
            </w:r>
            <w:r w:rsidRPr="006C73BF">
              <w:rPr>
                <w:b/>
                <w:i/>
              </w:rPr>
              <w:tab/>
              <w:t>L’établissement d’un compartiment «États membres» est subordonné à la conclusion d’une convention de contribution entre un État membre et la Commission. Ces conventions de contribution fixent les modalités et conditions détaillées régissant la contribution des fonds au compartiment «États membres», y compris les sources, les montants, les taux de provisionnement et les modalités de mise en œuvre.</w:t>
            </w:r>
          </w:p>
        </w:tc>
      </w:tr>
    </w:tbl>
    <w:p w14:paraId="21F0CBDF" w14:textId="77777777" w:rsidR="009A6D5D" w:rsidRPr="006C73BF" w:rsidRDefault="00E23F2E" w:rsidP="00366BA3">
      <w:pPr>
        <w:widowControl/>
      </w:pPr>
      <w:r w:rsidRPr="006C73BF">
        <w:rPr>
          <w:rStyle w:val="HideTWBExt"/>
        </w:rPr>
        <w:t>&lt;/Amend&gt;</w:t>
      </w:r>
    </w:p>
    <w:p w14:paraId="2DC9FC36" w14:textId="77777777" w:rsidR="009A6D5D" w:rsidRPr="006C73BF" w:rsidRDefault="00E23F2E" w:rsidP="00366BA3">
      <w:pPr>
        <w:pStyle w:val="AMNumberTabs0"/>
        <w:keepNext/>
        <w:widowControl/>
      </w:pPr>
      <w:r w:rsidRPr="006C73BF">
        <w:rPr>
          <w:rStyle w:val="HideTWBExt"/>
          <w:b w:val="0"/>
        </w:rPr>
        <w:t>&lt;Amend&gt;</w:t>
      </w:r>
      <w:r w:rsidRPr="006C73BF">
        <w:t>Amendement</w:t>
      </w:r>
      <w:r w:rsidRPr="006C73BF">
        <w:tab/>
      </w:r>
      <w:r w:rsidRPr="006C73BF">
        <w:tab/>
      </w:r>
      <w:r w:rsidRPr="006C73BF">
        <w:rPr>
          <w:rStyle w:val="HideTWBExt"/>
          <w:b w:val="0"/>
        </w:rPr>
        <w:t>&lt;NumAm&gt;</w:t>
      </w:r>
      <w:r w:rsidRPr="006C73BF">
        <w:t>22</w:t>
      </w:r>
      <w:r w:rsidRPr="006C73BF">
        <w:rPr>
          <w:rStyle w:val="HideTWBExt"/>
          <w:b w:val="0"/>
        </w:rPr>
        <w:t>&lt;/NumAm&gt;</w:t>
      </w:r>
    </w:p>
    <w:p w14:paraId="38DD610F" w14:textId="77777777" w:rsidR="009A6D5D" w:rsidRPr="006C73BF" w:rsidRDefault="00E23F2E" w:rsidP="00366BA3">
      <w:pPr>
        <w:keepNext/>
        <w:widowControl/>
      </w:pPr>
      <w:r w:rsidRPr="006C73BF">
        <w:rPr>
          <w:rStyle w:val="HideTWBExt"/>
        </w:rPr>
        <w:t>&lt;Compromise&gt;</w:t>
      </w:r>
      <w:r w:rsidRPr="006C73BF">
        <w:t>5</w:t>
      </w:r>
      <w:r w:rsidRPr="006C73BF">
        <w:rPr>
          <w:rStyle w:val="HideTWBExt"/>
        </w:rPr>
        <w:t>&lt;/Compromise&gt;</w:t>
      </w:r>
    </w:p>
    <w:p w14:paraId="1FE15431" w14:textId="77777777" w:rsidR="009A6D5D" w:rsidRPr="006C73BF" w:rsidRDefault="009A6D5D" w:rsidP="00366BA3">
      <w:pPr>
        <w:widowControl/>
      </w:pPr>
    </w:p>
    <w:p w14:paraId="2267AA2E" w14:textId="77777777" w:rsidR="009A6D5D" w:rsidRPr="006C73BF" w:rsidRDefault="00E23F2E" w:rsidP="00366BA3">
      <w:pPr>
        <w:pStyle w:val="NormalBold"/>
        <w:keepNext/>
        <w:widowControl/>
      </w:pPr>
      <w:r w:rsidRPr="006C73BF">
        <w:rPr>
          <w:rStyle w:val="HideTWBExt"/>
          <w:b w:val="0"/>
        </w:rPr>
        <w:t>&lt;DocAmend&gt;</w:t>
      </w:r>
      <w:r w:rsidRPr="006C73BF">
        <w:t>Proposition de règlement</w:t>
      </w:r>
      <w:r w:rsidRPr="006C73BF">
        <w:rPr>
          <w:rStyle w:val="HideTWBExt"/>
          <w:b w:val="0"/>
        </w:rPr>
        <w:t>&lt;/DocAmend&gt;</w:t>
      </w:r>
    </w:p>
    <w:p w14:paraId="7DF85A09" w14:textId="77777777" w:rsidR="009A6D5D" w:rsidRPr="006C73BF" w:rsidRDefault="00E23F2E" w:rsidP="00366BA3">
      <w:pPr>
        <w:pStyle w:val="NormalBold"/>
        <w:widowControl/>
      </w:pPr>
      <w:r w:rsidRPr="006C73BF">
        <w:rPr>
          <w:rStyle w:val="HideTWBExt"/>
          <w:b w:val="0"/>
        </w:rPr>
        <w:t>&lt;Article&gt;</w:t>
      </w:r>
      <w:r w:rsidRPr="006C73BF">
        <w:t>Article 24 – paragraphe 1 ter (nouveau)</w:t>
      </w:r>
      <w:r w:rsidRPr="006C7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109F" w:rsidRPr="006C73BF" w14:paraId="75ABF8C7" w14:textId="77777777" w:rsidTr="009A6D5D">
        <w:trPr>
          <w:jc w:val="center"/>
        </w:trPr>
        <w:tc>
          <w:tcPr>
            <w:tcW w:w="9752" w:type="dxa"/>
            <w:gridSpan w:val="2"/>
          </w:tcPr>
          <w:p w14:paraId="3BA2F55E" w14:textId="77777777" w:rsidR="009A6D5D" w:rsidRPr="006C73BF" w:rsidRDefault="009A6D5D" w:rsidP="00366BA3">
            <w:pPr>
              <w:keepNext/>
              <w:widowControl/>
            </w:pPr>
          </w:p>
        </w:tc>
      </w:tr>
      <w:tr w:rsidR="0027109F" w:rsidRPr="006C73BF" w14:paraId="4A5BED5F" w14:textId="77777777" w:rsidTr="009A6D5D">
        <w:trPr>
          <w:jc w:val="center"/>
        </w:trPr>
        <w:tc>
          <w:tcPr>
            <w:tcW w:w="4876" w:type="dxa"/>
            <w:hideMark/>
          </w:tcPr>
          <w:p w14:paraId="6173DE21" w14:textId="77777777" w:rsidR="009A6D5D" w:rsidRPr="006C73BF" w:rsidRDefault="00E23F2E" w:rsidP="00366BA3">
            <w:pPr>
              <w:pStyle w:val="ColumnHeading"/>
              <w:keepNext/>
              <w:widowControl/>
            </w:pPr>
            <w:r w:rsidRPr="006C73BF">
              <w:t>Texte proposé par la Commission</w:t>
            </w:r>
          </w:p>
        </w:tc>
        <w:tc>
          <w:tcPr>
            <w:tcW w:w="4876" w:type="dxa"/>
            <w:hideMark/>
          </w:tcPr>
          <w:p w14:paraId="351D914C" w14:textId="77777777" w:rsidR="009A6D5D" w:rsidRPr="006C73BF" w:rsidRDefault="00E23F2E" w:rsidP="00366BA3">
            <w:pPr>
              <w:pStyle w:val="ColumnHeading"/>
              <w:keepNext/>
              <w:widowControl/>
            </w:pPr>
            <w:r w:rsidRPr="006C73BF">
              <w:t>Amendement</w:t>
            </w:r>
          </w:p>
        </w:tc>
      </w:tr>
      <w:tr w:rsidR="0027109F" w:rsidRPr="006C73BF" w14:paraId="3A8BDFC1" w14:textId="77777777" w:rsidTr="009A6D5D">
        <w:trPr>
          <w:jc w:val="center"/>
        </w:trPr>
        <w:tc>
          <w:tcPr>
            <w:tcW w:w="4876" w:type="dxa"/>
          </w:tcPr>
          <w:p w14:paraId="43AE2A68" w14:textId="77777777" w:rsidR="009A6D5D" w:rsidRPr="006C73BF" w:rsidRDefault="009A6D5D" w:rsidP="00366BA3">
            <w:pPr>
              <w:pStyle w:val="Normal6"/>
              <w:widowControl/>
            </w:pPr>
          </w:p>
        </w:tc>
        <w:tc>
          <w:tcPr>
            <w:tcW w:w="4876" w:type="dxa"/>
            <w:hideMark/>
          </w:tcPr>
          <w:p w14:paraId="0B9DA9E8" w14:textId="77777777" w:rsidR="009A6D5D" w:rsidRPr="006C73BF" w:rsidRDefault="00E23F2E" w:rsidP="00366BA3">
            <w:pPr>
              <w:pStyle w:val="Normal6"/>
              <w:widowControl/>
              <w:rPr>
                <w:szCs w:val="24"/>
              </w:rPr>
            </w:pPr>
            <w:r w:rsidRPr="006C73BF">
              <w:rPr>
                <w:b/>
                <w:i/>
              </w:rPr>
              <w:t>1 ter.</w:t>
            </w:r>
            <w:r w:rsidRPr="006C73BF">
              <w:rPr>
                <w:b/>
                <w:i/>
              </w:rPr>
              <w:tab/>
              <w:t>Le cas échéant, les compartiments visés au paragraphe 1 sont utilisés de manière complémentaire pour soutenir une opération de financement ou d’investissement donnée, c’est-à-dire en combinant leur soutien respectif. Toute combinaison de ce type peut être réalisée selon une structure à plusieurs niveaux afin d’obtenir une meilleure couverture des risques.</w:t>
            </w:r>
          </w:p>
        </w:tc>
      </w:tr>
    </w:tbl>
    <w:p w14:paraId="2313CAFA" w14:textId="77777777" w:rsidR="00366BA3" w:rsidRPr="006C73BF" w:rsidRDefault="00366BA3" w:rsidP="00366BA3">
      <w:pPr>
        <w:widowControl/>
        <w:rPr>
          <w:rStyle w:val="HideTWBExt"/>
          <w:vanish w:val="0"/>
        </w:rPr>
      </w:pPr>
    </w:p>
    <w:p w14:paraId="495EA6D2" w14:textId="77777777" w:rsidR="00366BA3" w:rsidRPr="006C73BF" w:rsidRDefault="00E23F2E" w:rsidP="00366BA3">
      <w:pPr>
        <w:widowControl/>
        <w:rPr>
          <w:rStyle w:val="HideTWBExt"/>
          <w:vanish w:val="0"/>
        </w:rPr>
      </w:pPr>
      <w:r w:rsidRPr="006C73BF">
        <w:br w:type="page"/>
      </w:r>
    </w:p>
    <w:p w14:paraId="4F32A380" w14:textId="77777777" w:rsidR="0008542D" w:rsidRPr="006C73BF" w:rsidRDefault="00E23F2E" w:rsidP="00366BA3">
      <w:pPr>
        <w:widowControl/>
        <w:rPr>
          <w:rStyle w:val="HideTWBExt"/>
        </w:rPr>
      </w:pPr>
      <w:r w:rsidRPr="006C73BF">
        <w:rPr>
          <w:rStyle w:val="HideTWBExt"/>
        </w:rPr>
        <w:lastRenderedPageBreak/>
        <w:t>&lt;/Amend&gt;&lt;/RepeatBlock-Amend&gt;</w:t>
      </w:r>
    </w:p>
    <w:p w14:paraId="64B73DD7" w14:textId="77777777" w:rsidR="00BA0F06" w:rsidRPr="006C73BF" w:rsidRDefault="00E23F2E" w:rsidP="00366BA3">
      <w:pPr>
        <w:pStyle w:val="PageHeadingNotTOC"/>
        <w:widowControl/>
      </w:pPr>
      <w:bookmarkStart w:id="0" w:name="FootprintPageAD"/>
      <w:r w:rsidRPr="006C73BF">
        <w:t>ANNEXE: DÉCLARATION DES CONTRIBUTIONS</w:t>
      </w:r>
    </w:p>
    <w:bookmarkEnd w:id="0"/>
    <w:p w14:paraId="64CC40DD" w14:textId="77777777" w:rsidR="00BA0F06" w:rsidRPr="006C73BF" w:rsidRDefault="00E23F2E" w:rsidP="00366BA3">
      <w:pPr>
        <w:pStyle w:val="Normal24a"/>
        <w:widowControl/>
        <w:spacing w:after="240"/>
      </w:pPr>
      <w:r w:rsidRPr="006C73BF">
        <w:rPr>
          <w:rStyle w:val="HideTWBExt"/>
        </w:rPr>
        <w:t>&lt;FootprintIntro&gt;</w:t>
      </w:r>
      <w:r w:rsidRPr="006C73BF">
        <w:t>Conformément à l’article 8 de l’annexe I du règlement intérieur, la rapporteure pour l’évaluation budgétaire déclare avoir inclus dans son évaluation budgétaire des contributions sur des questions relatives à l’objet du dossier qu’il a reçues, pour l’élaboration de l’évaluation budgétaire, préalablement à son adoption en commission, de la part des représentants d’intérêts relevant du champ d’application de l’accord interinstitutionnel sur un registre de transparence obligatoire suivants</w:t>
      </w:r>
      <w:r w:rsidRPr="006C73BF">
        <w:rPr>
          <w:rStyle w:val="FootnoteReference"/>
        </w:rPr>
        <w:footnoteReference w:id="3"/>
      </w:r>
      <w:r w:rsidRPr="006C73BF">
        <w:t>, ou des représentants des autorités publiques de pays tiers, y compris leurs missions diplomatiques et ambassades, suivants:</w:t>
      </w:r>
      <w:r w:rsidRPr="006C73B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27109F" w:rsidRPr="006C73BF" w14:paraId="7DFC2C3E" w14:textId="77777777" w:rsidTr="00356231">
        <w:tc>
          <w:tcPr>
            <w:tcW w:w="9050" w:type="dxa"/>
            <w:shd w:val="clear" w:color="auto" w:fill="auto"/>
          </w:tcPr>
          <w:p w14:paraId="0AE13D5F" w14:textId="77777777" w:rsidR="00BA0F06" w:rsidRPr="006C73BF" w:rsidRDefault="00E23F2E" w:rsidP="00366BA3">
            <w:pPr>
              <w:pStyle w:val="NormalBoldCenter"/>
              <w:widowControl/>
            </w:pPr>
            <w:r w:rsidRPr="006C73BF">
              <w:t>1. Représentants d’intérêts relevant du champ d’application de l’accord interinstitutionnel sur un registre de transparence obligatoire</w:t>
            </w:r>
          </w:p>
        </w:tc>
      </w:tr>
      <w:tr w:rsidR="0027109F" w:rsidRPr="00F044A1" w14:paraId="29AA427F" w14:textId="77777777" w:rsidTr="00356231">
        <w:tc>
          <w:tcPr>
            <w:tcW w:w="9050" w:type="dxa"/>
            <w:shd w:val="clear" w:color="auto" w:fill="auto"/>
          </w:tcPr>
          <w:p w14:paraId="4E3A3258" w14:textId="77777777" w:rsidR="00BA0F06" w:rsidRPr="00F044A1" w:rsidRDefault="00E23F2E" w:rsidP="00366BA3">
            <w:pPr>
              <w:pStyle w:val="NormalSingle"/>
              <w:widowControl/>
              <w:rPr>
                <w:lang w:val="en-GB"/>
              </w:rPr>
            </w:pPr>
            <w:r w:rsidRPr="00F044A1">
              <w:rPr>
                <w:lang w:val="en-GB"/>
              </w:rPr>
              <w:t>The Association of European Long-Term Investors (ELTI)</w:t>
            </w:r>
          </w:p>
        </w:tc>
      </w:tr>
      <w:tr w:rsidR="0027109F" w:rsidRPr="006C73BF" w14:paraId="55111FF8" w14:textId="77777777" w:rsidTr="00356231">
        <w:tc>
          <w:tcPr>
            <w:tcW w:w="9050" w:type="dxa"/>
            <w:shd w:val="clear" w:color="auto" w:fill="auto"/>
          </w:tcPr>
          <w:p w14:paraId="03C5C487" w14:textId="77777777" w:rsidR="00BA0F06" w:rsidRPr="006C73BF" w:rsidRDefault="00E23F2E" w:rsidP="00366BA3">
            <w:pPr>
              <w:pStyle w:val="NormalSingle"/>
              <w:widowControl/>
            </w:pPr>
            <w:r w:rsidRPr="006C73BF">
              <w:t>Copenhagen Infrastructure Partners P/S</w:t>
            </w:r>
          </w:p>
        </w:tc>
      </w:tr>
      <w:tr w:rsidR="0027109F" w:rsidRPr="006C73BF" w14:paraId="7BA5C804" w14:textId="77777777" w:rsidTr="00356231">
        <w:tc>
          <w:tcPr>
            <w:tcW w:w="9050" w:type="dxa"/>
            <w:shd w:val="clear" w:color="auto" w:fill="auto"/>
          </w:tcPr>
          <w:p w14:paraId="0D045E64" w14:textId="77777777" w:rsidR="00BA0F06" w:rsidRPr="006C73BF" w:rsidRDefault="00E23F2E" w:rsidP="00366BA3">
            <w:pPr>
              <w:pStyle w:val="NormalSingle"/>
              <w:widowControl/>
            </w:pPr>
            <w:r w:rsidRPr="006C73BF">
              <w:t>Sustainable Banking Coalition</w:t>
            </w:r>
          </w:p>
        </w:tc>
      </w:tr>
      <w:tr w:rsidR="0027109F" w:rsidRPr="006C73BF" w14:paraId="21F865E3" w14:textId="77777777" w:rsidTr="00356231">
        <w:tc>
          <w:tcPr>
            <w:tcW w:w="9050" w:type="dxa"/>
            <w:shd w:val="clear" w:color="auto" w:fill="auto"/>
          </w:tcPr>
          <w:p w14:paraId="21F7294E" w14:textId="77777777" w:rsidR="00BA0F06" w:rsidRPr="006C73BF" w:rsidRDefault="00E23F2E" w:rsidP="00366BA3">
            <w:pPr>
              <w:pStyle w:val="NormalSingle"/>
              <w:widowControl/>
            </w:pPr>
            <w:r w:rsidRPr="006C73BF">
              <w:t>Invest Europe</w:t>
            </w:r>
          </w:p>
        </w:tc>
      </w:tr>
      <w:tr w:rsidR="0027109F" w:rsidRPr="006C73BF" w14:paraId="556FC5C3" w14:textId="77777777" w:rsidTr="00356231">
        <w:tc>
          <w:tcPr>
            <w:tcW w:w="9050" w:type="dxa"/>
            <w:shd w:val="clear" w:color="auto" w:fill="auto"/>
          </w:tcPr>
          <w:p w14:paraId="5169730E" w14:textId="77777777" w:rsidR="00BA0F06" w:rsidRPr="006C73BF" w:rsidRDefault="00E23F2E" w:rsidP="00366BA3">
            <w:pPr>
              <w:pStyle w:val="NormalSingle"/>
              <w:widowControl/>
            </w:pPr>
            <w:r w:rsidRPr="006C73BF">
              <w:t>Climate Strategy</w:t>
            </w:r>
          </w:p>
        </w:tc>
      </w:tr>
      <w:tr w:rsidR="0027109F" w:rsidRPr="006C73BF" w14:paraId="4F19DBAE" w14:textId="77777777" w:rsidTr="00356231">
        <w:tc>
          <w:tcPr>
            <w:tcW w:w="9050" w:type="dxa"/>
            <w:shd w:val="clear" w:color="auto" w:fill="auto"/>
          </w:tcPr>
          <w:p w14:paraId="3C02B656" w14:textId="77777777" w:rsidR="00BA0F06" w:rsidRPr="006C73BF" w:rsidRDefault="00E23F2E" w:rsidP="00366BA3">
            <w:pPr>
              <w:pStyle w:val="NormalSingle"/>
              <w:widowControl/>
            </w:pPr>
            <w:r w:rsidRPr="006C73BF">
              <w:t>European Investment Bank (EIB)</w:t>
            </w:r>
          </w:p>
        </w:tc>
      </w:tr>
      <w:tr w:rsidR="0027109F" w:rsidRPr="006C73BF" w14:paraId="57BE607C" w14:textId="77777777" w:rsidTr="00356231">
        <w:tc>
          <w:tcPr>
            <w:tcW w:w="9050" w:type="dxa"/>
            <w:shd w:val="clear" w:color="auto" w:fill="auto"/>
          </w:tcPr>
          <w:p w14:paraId="2E0D8544" w14:textId="77777777" w:rsidR="00BA0F06" w:rsidRPr="006C73BF" w:rsidRDefault="00E23F2E" w:rsidP="00366BA3">
            <w:pPr>
              <w:pStyle w:val="NormalBoldCenter"/>
              <w:widowControl/>
            </w:pPr>
            <w:r w:rsidRPr="006C73BF">
              <w:t>2. Représentants des autorités publiques de pays tiers, y compris leurs missions diplomatiques et ambassades</w:t>
            </w:r>
          </w:p>
        </w:tc>
      </w:tr>
      <w:tr w:rsidR="0027109F" w:rsidRPr="006C73BF" w14:paraId="35BC58CC" w14:textId="77777777" w:rsidTr="00356231">
        <w:tc>
          <w:tcPr>
            <w:tcW w:w="9050" w:type="dxa"/>
            <w:shd w:val="clear" w:color="auto" w:fill="auto"/>
          </w:tcPr>
          <w:p w14:paraId="3D886CA2" w14:textId="77777777" w:rsidR="00BA0F06" w:rsidRPr="006C73BF" w:rsidRDefault="00E23F2E" w:rsidP="00366BA3">
            <w:pPr>
              <w:widowControl/>
            </w:pPr>
            <w:r w:rsidRPr="006C73BF">
              <w:t>Néant</w:t>
            </w:r>
          </w:p>
        </w:tc>
      </w:tr>
    </w:tbl>
    <w:p w14:paraId="15A74AB3" w14:textId="77777777" w:rsidR="00BA0F06" w:rsidRPr="006C73BF" w:rsidRDefault="00E23F2E" w:rsidP="00366BA3">
      <w:pPr>
        <w:pStyle w:val="Footprint12b"/>
        <w:widowControl/>
      </w:pPr>
      <w:r w:rsidRPr="006C73BF">
        <w:t>La liste ci-dessus est établie sous la responsabilité exclusive de la rapporteure pour l’évaluation budgétaire.</w:t>
      </w:r>
    </w:p>
    <w:p w14:paraId="4DE97E88" w14:textId="5F85690D" w:rsidR="00BA0F06" w:rsidRPr="006C73BF" w:rsidRDefault="00E23F2E" w:rsidP="00366BA3">
      <w:pPr>
        <w:pStyle w:val="Footprint12b"/>
        <w:widowControl/>
      </w:pPr>
      <w:r w:rsidRPr="006C73BF">
        <w:t>Lorsque des personnes physiques sont identifiées dans la liste par leur nom, leur fonction ou les deux, la rapporteure pour l’évaluation budgétaire déclare avoir soumis aux personnes physiques concernées l’avis du Parlement européen relatif à la protection des données nº 484 (</w:t>
      </w:r>
      <w:hyperlink r:id="rId16" w:tooltip="https://www.europarl.europa.eu/data-protect/index.do" w:history="1">
        <w:r w:rsidR="00BA0F06" w:rsidRPr="006C73BF">
          <w:rPr>
            <w:rStyle w:val="Hyperlink"/>
          </w:rPr>
          <w:t>https://www.europarl.europa.eu/data-protect/index.do</w:t>
        </w:r>
      </w:hyperlink>
      <w:r w:rsidRPr="006C73BF">
        <w:t>), qui définit les conditions applicables au traitement de leurs données à caractère personnel et les droits liés à ce traitement.</w:t>
      </w:r>
    </w:p>
    <w:p w14:paraId="11A80884" w14:textId="77777777" w:rsidR="0008542D" w:rsidRPr="006C73BF" w:rsidRDefault="0008542D" w:rsidP="00366BA3">
      <w:pPr>
        <w:widowControl/>
      </w:pPr>
    </w:p>
    <w:p w14:paraId="765B7303" w14:textId="77777777" w:rsidR="00826466" w:rsidRPr="006C73BF" w:rsidRDefault="00826466" w:rsidP="00366BA3">
      <w:pPr>
        <w:widowControl/>
        <w:sectPr w:rsidR="00826466" w:rsidRPr="006C73BF" w:rsidSect="00366BA3">
          <w:pgSz w:w="11906" w:h="16838" w:code="9"/>
          <w:pgMar w:top="1700" w:right="1417" w:bottom="1417" w:left="1417" w:header="720" w:footer="720" w:gutter="0"/>
          <w:cols w:space="720"/>
          <w:noEndnote/>
          <w:docGrid w:linePitch="326"/>
        </w:sectPr>
      </w:pPr>
    </w:p>
    <w:p w14:paraId="2D5829BC" w14:textId="77777777" w:rsidR="00366BA3" w:rsidRPr="006C73BF" w:rsidRDefault="00E23F2E" w:rsidP="00366BA3">
      <w:pPr>
        <w:pStyle w:val="PageHeadingNotTOC"/>
        <w:widowControl/>
      </w:pPr>
      <w:bookmarkStart w:id="1" w:name="ProcPageAD"/>
      <w:r w:rsidRPr="006C73BF">
        <w:lastRenderedPageBreak/>
        <w:t>PROCÉDURE DE LA COMMISSION SAISIE POUR ÉVALUATION BUDGÉTAIRE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7109F" w:rsidRPr="006C73BF" w14:paraId="39ED8E0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A45DDA7" w14:textId="77777777" w:rsidR="00366BA3" w:rsidRPr="006C73BF" w:rsidRDefault="00E23F2E" w:rsidP="00366BA3">
            <w:pPr>
              <w:widowControl/>
              <w:autoSpaceDE w:val="0"/>
              <w:autoSpaceDN w:val="0"/>
              <w:adjustRightInd w:val="0"/>
              <w:rPr>
                <w:b/>
                <w:bCs/>
                <w:color w:val="000000"/>
                <w:sz w:val="20"/>
              </w:rPr>
            </w:pPr>
            <w:r w:rsidRPr="006C73BF">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55506AA" w14:textId="77777777" w:rsidR="00366BA3" w:rsidRPr="006C73BF" w:rsidRDefault="00E23F2E" w:rsidP="00366BA3">
            <w:pPr>
              <w:widowControl/>
              <w:autoSpaceDE w:val="0"/>
              <w:autoSpaceDN w:val="0"/>
              <w:adjustRightInd w:val="0"/>
              <w:rPr>
                <w:color w:val="000000"/>
                <w:sz w:val="20"/>
              </w:rPr>
            </w:pPr>
            <w:r w:rsidRPr="006C73BF">
              <w:rPr>
                <w:color w:val="000000"/>
                <w:sz w:val="20"/>
              </w:rPr>
              <w:t>Établissement du Fonds européen pour la compétitivité, comprenant le programme spécifique pour les activités de recherche et d’innovation en matière de défense</w:t>
            </w:r>
          </w:p>
        </w:tc>
      </w:tr>
      <w:tr w:rsidR="0027109F" w:rsidRPr="006C73BF" w14:paraId="25A74D4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96EC6C9" w14:textId="77777777" w:rsidR="00366BA3" w:rsidRPr="006C73BF" w:rsidRDefault="00E23F2E" w:rsidP="00366BA3">
            <w:pPr>
              <w:widowControl/>
              <w:autoSpaceDE w:val="0"/>
              <w:autoSpaceDN w:val="0"/>
              <w:adjustRightInd w:val="0"/>
              <w:rPr>
                <w:b/>
                <w:bCs/>
                <w:color w:val="000000"/>
                <w:sz w:val="20"/>
              </w:rPr>
            </w:pPr>
            <w:r w:rsidRPr="006C73BF">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9CCECDA" w14:textId="77777777" w:rsidR="00366BA3" w:rsidRPr="006C73BF" w:rsidRDefault="00E23F2E" w:rsidP="00366BA3">
            <w:pPr>
              <w:widowControl/>
              <w:autoSpaceDE w:val="0"/>
              <w:autoSpaceDN w:val="0"/>
              <w:adjustRightInd w:val="0"/>
              <w:rPr>
                <w:color w:val="000000"/>
                <w:sz w:val="20"/>
              </w:rPr>
            </w:pPr>
            <w:r w:rsidRPr="006C73BF">
              <w:rPr>
                <w:color w:val="000000"/>
                <w:sz w:val="20"/>
              </w:rPr>
              <w:t>COM(2025)0555 – C10-0165/2025 – 2025/0555(COD)</w:t>
            </w:r>
          </w:p>
        </w:tc>
      </w:tr>
      <w:tr w:rsidR="0027109F" w:rsidRPr="006C73BF" w14:paraId="7161942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E4B52DD" w14:textId="77777777" w:rsidR="00366BA3" w:rsidRPr="006C73BF" w:rsidRDefault="00E23F2E" w:rsidP="00366BA3">
            <w:pPr>
              <w:widowControl/>
              <w:autoSpaceDE w:val="0"/>
              <w:autoSpaceDN w:val="0"/>
              <w:adjustRightInd w:val="0"/>
              <w:rPr>
                <w:b/>
                <w:bCs/>
                <w:color w:val="000000"/>
                <w:sz w:val="20"/>
              </w:rPr>
            </w:pPr>
            <w:r w:rsidRPr="006C73BF">
              <w:rPr>
                <w:b/>
                <w:color w:val="000000"/>
                <w:sz w:val="20"/>
              </w:rPr>
              <w:t>Commission(s) compétente(s) au fond</w:t>
            </w:r>
          </w:p>
          <w:p w14:paraId="4AB6AE1E" w14:textId="77777777" w:rsidR="00366BA3" w:rsidRPr="006C73BF" w:rsidRDefault="00E23F2E" w:rsidP="00366BA3">
            <w:pPr>
              <w:widowControl/>
              <w:autoSpaceDE w:val="0"/>
              <w:autoSpaceDN w:val="0"/>
              <w:adjustRightInd w:val="0"/>
              <w:rPr>
                <w:color w:val="000000"/>
                <w:sz w:val="20"/>
              </w:rPr>
            </w:pPr>
            <w:r w:rsidRPr="006C73BF">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D4299D3" w14:textId="77777777" w:rsidR="00366BA3" w:rsidRPr="006C73BF" w:rsidRDefault="00E23F2E" w:rsidP="00366BA3">
            <w:pPr>
              <w:widowControl/>
              <w:autoSpaceDE w:val="0"/>
              <w:autoSpaceDN w:val="0"/>
              <w:adjustRightInd w:val="0"/>
              <w:rPr>
                <w:color w:val="000000"/>
                <w:sz w:val="20"/>
              </w:rPr>
            </w:pPr>
            <w:r w:rsidRPr="006C73BF">
              <w:rPr>
                <w:color w:val="000000"/>
                <w:sz w:val="20"/>
              </w:rPr>
              <w:t>ITRE</w:t>
            </w:r>
          </w:p>
          <w:p w14:paraId="5F142731" w14:textId="77777777" w:rsidR="00366BA3" w:rsidRPr="006C73BF" w:rsidRDefault="00E23F2E" w:rsidP="00366BA3">
            <w:pPr>
              <w:widowControl/>
              <w:autoSpaceDE w:val="0"/>
              <w:autoSpaceDN w:val="0"/>
              <w:adjustRightInd w:val="0"/>
              <w:rPr>
                <w:color w:val="000000"/>
                <w:sz w:val="20"/>
              </w:rPr>
            </w:pPr>
            <w:r w:rsidRPr="006C73BF">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3306017" w14:textId="77777777" w:rsidR="00366BA3" w:rsidRPr="006C73BF" w:rsidRDefault="00366BA3" w:rsidP="00366BA3">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1E30B4E" w14:textId="77777777" w:rsidR="00366BA3" w:rsidRPr="006C73BF" w:rsidRDefault="00366BA3" w:rsidP="00366BA3">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E35649C" w14:textId="77777777" w:rsidR="00366BA3" w:rsidRPr="006C73BF" w:rsidRDefault="00366BA3" w:rsidP="00366BA3">
            <w:pPr>
              <w:widowControl/>
              <w:autoSpaceDE w:val="0"/>
              <w:autoSpaceDN w:val="0"/>
              <w:adjustRightInd w:val="0"/>
              <w:rPr>
                <w:rFonts w:ascii="sans-serif" w:hAnsi="sans-serif" w:cs="sans-serif"/>
                <w:color w:val="000000"/>
              </w:rPr>
            </w:pPr>
          </w:p>
        </w:tc>
      </w:tr>
      <w:tr w:rsidR="0027109F" w:rsidRPr="006C73BF" w14:paraId="52A1027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77C9F90" w14:textId="77777777" w:rsidR="00366BA3" w:rsidRPr="006C73BF" w:rsidRDefault="00E23F2E" w:rsidP="00366BA3">
            <w:pPr>
              <w:widowControl/>
              <w:autoSpaceDE w:val="0"/>
              <w:autoSpaceDN w:val="0"/>
              <w:adjustRightInd w:val="0"/>
              <w:rPr>
                <w:b/>
                <w:bCs/>
                <w:color w:val="000000"/>
                <w:sz w:val="20"/>
              </w:rPr>
            </w:pPr>
            <w:r w:rsidRPr="006C73BF">
              <w:rPr>
                <w:b/>
                <w:color w:val="000000"/>
                <w:sz w:val="20"/>
              </w:rPr>
              <w:t>Évaluation budgétaire par</w:t>
            </w:r>
          </w:p>
          <w:p w14:paraId="13022E9B" w14:textId="77777777" w:rsidR="00366BA3" w:rsidRPr="006C73BF" w:rsidRDefault="00E23F2E" w:rsidP="00366BA3">
            <w:pPr>
              <w:widowControl/>
              <w:autoSpaceDE w:val="0"/>
              <w:autoSpaceDN w:val="0"/>
              <w:adjustRightInd w:val="0"/>
              <w:rPr>
                <w:color w:val="000000"/>
                <w:sz w:val="20"/>
              </w:rPr>
            </w:pPr>
            <w:r w:rsidRPr="006C73BF">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5C2BB3C" w14:textId="77777777" w:rsidR="00366BA3" w:rsidRPr="006C73BF" w:rsidRDefault="00E23F2E" w:rsidP="00366BA3">
            <w:pPr>
              <w:widowControl/>
              <w:autoSpaceDE w:val="0"/>
              <w:autoSpaceDN w:val="0"/>
              <w:adjustRightInd w:val="0"/>
              <w:rPr>
                <w:color w:val="000000"/>
                <w:sz w:val="20"/>
              </w:rPr>
            </w:pPr>
            <w:r w:rsidRPr="006C73BF">
              <w:rPr>
                <w:color w:val="000000"/>
                <w:sz w:val="20"/>
              </w:rPr>
              <w:t>BUDG</w:t>
            </w:r>
          </w:p>
          <w:p w14:paraId="2A95DF37" w14:textId="77777777" w:rsidR="00366BA3" w:rsidRPr="006C73BF" w:rsidRDefault="00E23F2E" w:rsidP="00366BA3">
            <w:pPr>
              <w:widowControl/>
              <w:autoSpaceDE w:val="0"/>
              <w:autoSpaceDN w:val="0"/>
              <w:adjustRightInd w:val="0"/>
              <w:rPr>
                <w:color w:val="000000"/>
                <w:sz w:val="20"/>
              </w:rPr>
            </w:pPr>
            <w:r w:rsidRPr="006C73BF">
              <w:rPr>
                <w:color w:val="000000"/>
                <w:sz w:val="20"/>
              </w:rPr>
              <w:t>23.10.2025</w:t>
            </w:r>
          </w:p>
        </w:tc>
      </w:tr>
      <w:tr w:rsidR="0027109F" w:rsidRPr="006C73BF" w14:paraId="4F1D10D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5E885FF" w14:textId="77777777" w:rsidR="00366BA3" w:rsidRPr="006C73BF" w:rsidRDefault="00E23F2E" w:rsidP="00366BA3">
            <w:pPr>
              <w:widowControl/>
              <w:autoSpaceDE w:val="0"/>
              <w:autoSpaceDN w:val="0"/>
              <w:adjustRightInd w:val="0"/>
              <w:rPr>
                <w:b/>
                <w:bCs/>
                <w:color w:val="000000"/>
                <w:sz w:val="20"/>
              </w:rPr>
            </w:pPr>
            <w:r w:rsidRPr="006C73BF">
              <w:rPr>
                <w:b/>
                <w:color w:val="000000"/>
                <w:sz w:val="20"/>
              </w:rPr>
              <w:t>Rapporteur(e) pour l’évaluation budgétaire</w:t>
            </w:r>
          </w:p>
          <w:p w14:paraId="4469374B" w14:textId="77777777" w:rsidR="00366BA3" w:rsidRPr="006C73BF" w:rsidRDefault="00E23F2E" w:rsidP="00366BA3">
            <w:pPr>
              <w:widowControl/>
              <w:autoSpaceDE w:val="0"/>
              <w:autoSpaceDN w:val="0"/>
              <w:adjustRightInd w:val="0"/>
              <w:rPr>
                <w:color w:val="000000"/>
                <w:sz w:val="20"/>
              </w:rPr>
            </w:pPr>
            <w:r w:rsidRPr="006C73BF">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37AFFCE" w14:textId="77777777" w:rsidR="00366BA3" w:rsidRPr="006C73BF" w:rsidRDefault="00E23F2E" w:rsidP="00366BA3">
            <w:pPr>
              <w:widowControl/>
              <w:autoSpaceDE w:val="0"/>
              <w:autoSpaceDN w:val="0"/>
              <w:adjustRightInd w:val="0"/>
              <w:rPr>
                <w:color w:val="000000"/>
                <w:sz w:val="20"/>
              </w:rPr>
            </w:pPr>
            <w:r w:rsidRPr="006C73BF">
              <w:rPr>
                <w:color w:val="000000"/>
                <w:sz w:val="20"/>
              </w:rPr>
              <w:t>Stine Bosse</w:t>
            </w:r>
          </w:p>
          <w:p w14:paraId="70B44738" w14:textId="77777777" w:rsidR="00366BA3" w:rsidRPr="006C73BF" w:rsidRDefault="00E23F2E" w:rsidP="00366BA3">
            <w:pPr>
              <w:widowControl/>
              <w:autoSpaceDE w:val="0"/>
              <w:autoSpaceDN w:val="0"/>
              <w:adjustRightInd w:val="0"/>
              <w:rPr>
                <w:color w:val="000000"/>
                <w:sz w:val="20"/>
              </w:rPr>
            </w:pPr>
            <w:r w:rsidRPr="006C73BF">
              <w:rPr>
                <w:color w:val="000000"/>
                <w:sz w:val="20"/>
              </w:rPr>
              <w:t>15.1.2026</w:t>
            </w:r>
          </w:p>
        </w:tc>
      </w:tr>
      <w:tr w:rsidR="0027109F" w:rsidRPr="006C73BF" w14:paraId="0934F08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91B54A2" w14:textId="77777777" w:rsidR="00366BA3" w:rsidRPr="006C73BF" w:rsidRDefault="00E23F2E" w:rsidP="00366BA3">
            <w:pPr>
              <w:widowControl/>
              <w:autoSpaceDE w:val="0"/>
              <w:autoSpaceDN w:val="0"/>
              <w:adjustRightInd w:val="0"/>
              <w:rPr>
                <w:b/>
                <w:bCs/>
                <w:color w:val="000000"/>
                <w:sz w:val="20"/>
              </w:rPr>
            </w:pPr>
            <w:r w:rsidRPr="006C73BF">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88A867F" w14:textId="77777777" w:rsidR="00366BA3" w:rsidRPr="006C73BF" w:rsidRDefault="00E23F2E" w:rsidP="00366BA3">
            <w:pPr>
              <w:widowControl/>
              <w:autoSpaceDE w:val="0"/>
              <w:autoSpaceDN w:val="0"/>
              <w:adjustRightInd w:val="0"/>
              <w:rPr>
                <w:color w:val="000000"/>
                <w:sz w:val="20"/>
              </w:rPr>
            </w:pPr>
            <w:r w:rsidRPr="006C73BF">
              <w:rPr>
                <w:color w:val="000000"/>
                <w:sz w:val="20"/>
              </w:rPr>
              <w:t>6.5.2026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5568018" w14:textId="77777777" w:rsidR="00366BA3" w:rsidRPr="006C73BF" w:rsidRDefault="00366BA3" w:rsidP="00366BA3">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27CD6E9" w14:textId="77777777" w:rsidR="00366BA3" w:rsidRPr="006C73BF" w:rsidRDefault="00366BA3" w:rsidP="00366BA3">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A4D7957" w14:textId="77777777" w:rsidR="00366BA3" w:rsidRPr="006C73BF" w:rsidRDefault="00366BA3" w:rsidP="00366BA3">
            <w:pPr>
              <w:widowControl/>
              <w:autoSpaceDE w:val="0"/>
              <w:autoSpaceDN w:val="0"/>
              <w:adjustRightInd w:val="0"/>
              <w:rPr>
                <w:rFonts w:ascii="sans-serif" w:hAnsi="sans-serif" w:cs="sans-serif"/>
                <w:color w:val="000000"/>
              </w:rPr>
            </w:pPr>
          </w:p>
        </w:tc>
      </w:tr>
      <w:tr w:rsidR="0027109F" w:rsidRPr="006C73BF" w14:paraId="2217BCF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EFB1592" w14:textId="77777777" w:rsidR="00366BA3" w:rsidRPr="006C73BF" w:rsidRDefault="00E23F2E" w:rsidP="00366BA3">
            <w:pPr>
              <w:widowControl/>
              <w:autoSpaceDE w:val="0"/>
              <w:autoSpaceDN w:val="0"/>
              <w:adjustRightInd w:val="0"/>
              <w:rPr>
                <w:b/>
                <w:bCs/>
                <w:color w:val="000000"/>
                <w:sz w:val="20"/>
              </w:rPr>
            </w:pPr>
            <w:r w:rsidRPr="006C73BF">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14:paraId="11776F4A" w14:textId="77777777" w:rsidR="00366BA3" w:rsidRPr="006C73BF" w:rsidRDefault="00E23F2E" w:rsidP="00366BA3">
            <w:pPr>
              <w:widowControl/>
              <w:autoSpaceDE w:val="0"/>
              <w:autoSpaceDN w:val="0"/>
              <w:adjustRightInd w:val="0"/>
              <w:rPr>
                <w:color w:val="000000"/>
                <w:sz w:val="20"/>
              </w:rPr>
            </w:pPr>
            <w:r w:rsidRPr="006C73BF">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2DF516EB" w14:textId="77777777" w:rsidR="00366BA3" w:rsidRPr="006C73BF" w:rsidRDefault="00366BA3" w:rsidP="00366BA3">
            <w:pPr>
              <w:widowControl/>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2E7CEF38" w14:textId="77777777" w:rsidR="00366BA3" w:rsidRPr="006C73BF" w:rsidRDefault="00366BA3" w:rsidP="00366BA3">
            <w:pPr>
              <w:widowControl/>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09F1F384" w14:textId="77777777" w:rsidR="00366BA3" w:rsidRPr="006C73BF" w:rsidRDefault="00366BA3" w:rsidP="00366BA3">
            <w:pPr>
              <w:widowControl/>
              <w:autoSpaceDE w:val="0"/>
              <w:autoSpaceDN w:val="0"/>
              <w:adjustRightInd w:val="0"/>
              <w:rPr>
                <w:rFonts w:ascii="sans-serif" w:hAnsi="sans-serif" w:cs="sans-serif"/>
                <w:color w:val="000000"/>
              </w:rPr>
            </w:pPr>
          </w:p>
        </w:tc>
      </w:tr>
      <w:tr w:rsidR="0027109F" w:rsidRPr="006C73BF" w14:paraId="510FBE4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3B8F114" w14:textId="77777777" w:rsidR="00366BA3" w:rsidRPr="006C73BF" w:rsidRDefault="00E23F2E" w:rsidP="00366BA3">
            <w:pPr>
              <w:widowControl/>
              <w:autoSpaceDE w:val="0"/>
              <w:autoSpaceDN w:val="0"/>
              <w:adjustRightInd w:val="0"/>
              <w:rPr>
                <w:b/>
                <w:bCs/>
                <w:color w:val="000000"/>
                <w:sz w:val="20"/>
              </w:rPr>
            </w:pPr>
            <w:r w:rsidRPr="006C73BF">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9053938" w14:textId="77777777" w:rsidR="00366BA3" w:rsidRPr="006C73BF" w:rsidRDefault="00E23F2E" w:rsidP="00366BA3">
            <w:pPr>
              <w:widowControl/>
              <w:autoSpaceDE w:val="0"/>
              <w:autoSpaceDN w:val="0"/>
              <w:adjustRightInd w:val="0"/>
              <w:rPr>
                <w:color w:val="000000"/>
                <w:sz w:val="20"/>
              </w:rPr>
            </w:pPr>
            <w:r w:rsidRPr="006C73BF">
              <w:rPr>
                <w:color w:val="000000"/>
                <w:sz w:val="20"/>
              </w:rPr>
              <w:t>+:</w:t>
            </w:r>
          </w:p>
          <w:p w14:paraId="087118F3" w14:textId="77777777" w:rsidR="00366BA3" w:rsidRPr="006C73BF" w:rsidRDefault="00E23F2E" w:rsidP="00366BA3">
            <w:pPr>
              <w:widowControl/>
              <w:autoSpaceDE w:val="0"/>
              <w:autoSpaceDN w:val="0"/>
              <w:adjustRightInd w:val="0"/>
              <w:rPr>
                <w:color w:val="000000"/>
                <w:sz w:val="20"/>
              </w:rPr>
            </w:pPr>
            <w:r w:rsidRPr="006C73BF">
              <w:rPr>
                <w:color w:val="000000"/>
                <w:sz w:val="20"/>
              </w:rPr>
              <w:t>–:</w:t>
            </w:r>
          </w:p>
          <w:p w14:paraId="75D6E290" w14:textId="77777777" w:rsidR="00366BA3" w:rsidRPr="006C73BF" w:rsidRDefault="00E23F2E" w:rsidP="00366BA3">
            <w:pPr>
              <w:widowControl/>
              <w:autoSpaceDE w:val="0"/>
              <w:autoSpaceDN w:val="0"/>
              <w:adjustRightInd w:val="0"/>
              <w:rPr>
                <w:color w:val="000000"/>
                <w:sz w:val="20"/>
              </w:rPr>
            </w:pPr>
            <w:r w:rsidRPr="006C73B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FBEA8AB" w14:textId="77777777" w:rsidR="00366BA3" w:rsidRPr="006C73BF" w:rsidRDefault="00E23F2E" w:rsidP="00366BA3">
            <w:pPr>
              <w:widowControl/>
              <w:autoSpaceDE w:val="0"/>
              <w:autoSpaceDN w:val="0"/>
              <w:adjustRightInd w:val="0"/>
              <w:rPr>
                <w:color w:val="000000"/>
                <w:sz w:val="20"/>
              </w:rPr>
            </w:pPr>
            <w:r w:rsidRPr="006C73BF">
              <w:rPr>
                <w:color w:val="000000"/>
                <w:sz w:val="20"/>
              </w:rPr>
              <w:t>22</w:t>
            </w:r>
          </w:p>
          <w:p w14:paraId="605999C9" w14:textId="77777777" w:rsidR="00366BA3" w:rsidRPr="006C73BF" w:rsidRDefault="00E23F2E" w:rsidP="00366BA3">
            <w:pPr>
              <w:widowControl/>
              <w:autoSpaceDE w:val="0"/>
              <w:autoSpaceDN w:val="0"/>
              <w:adjustRightInd w:val="0"/>
              <w:rPr>
                <w:color w:val="000000"/>
                <w:sz w:val="20"/>
              </w:rPr>
            </w:pPr>
            <w:r w:rsidRPr="006C73BF">
              <w:rPr>
                <w:color w:val="000000"/>
                <w:sz w:val="20"/>
              </w:rPr>
              <w:t>8</w:t>
            </w:r>
          </w:p>
          <w:p w14:paraId="686DA2E9" w14:textId="77777777" w:rsidR="00366BA3" w:rsidRPr="006C73BF" w:rsidRDefault="00E23F2E" w:rsidP="00366BA3">
            <w:pPr>
              <w:widowControl/>
              <w:autoSpaceDE w:val="0"/>
              <w:autoSpaceDN w:val="0"/>
              <w:adjustRightInd w:val="0"/>
              <w:rPr>
                <w:color w:val="000000"/>
                <w:sz w:val="20"/>
              </w:rPr>
            </w:pPr>
            <w:r w:rsidRPr="006C73BF">
              <w:rPr>
                <w:color w:val="000000"/>
                <w:sz w:val="20"/>
              </w:rPr>
              <w:t>3</w:t>
            </w:r>
          </w:p>
        </w:tc>
      </w:tr>
    </w:tbl>
    <w:p w14:paraId="640295E2" w14:textId="77777777" w:rsidR="00366BA3" w:rsidRPr="006C73BF" w:rsidRDefault="00366BA3" w:rsidP="00366BA3">
      <w:pPr>
        <w:widowControl/>
      </w:pPr>
    </w:p>
    <w:bookmarkEnd w:id="1"/>
    <w:p w14:paraId="523CE9E0" w14:textId="77777777" w:rsidR="00366BA3" w:rsidRPr="006C73BF" w:rsidRDefault="00366BA3" w:rsidP="00366BA3">
      <w:pPr>
        <w:widowControl/>
        <w:sectPr w:rsidR="00366BA3" w:rsidRPr="006C73BF" w:rsidSect="00366BA3">
          <w:pgSz w:w="11906" w:h="16838" w:code="9"/>
          <w:pgMar w:top="1700" w:right="1417" w:bottom="1417" w:left="1417" w:header="720" w:footer="720" w:gutter="0"/>
          <w:cols w:space="720"/>
          <w:noEndnote/>
          <w:docGrid w:linePitch="326"/>
        </w:sectPr>
      </w:pPr>
    </w:p>
    <w:p w14:paraId="05E50A00" w14:textId="77777777" w:rsidR="00366BA3" w:rsidRPr="006C73BF" w:rsidRDefault="00E23F2E" w:rsidP="00366BA3">
      <w:pPr>
        <w:pStyle w:val="PageHeadingNotTOC"/>
        <w:widowControl/>
      </w:pPr>
      <w:bookmarkStart w:id="2" w:name="RollCallPageAD"/>
      <w:r w:rsidRPr="006C73BF">
        <w:t>VOTE FINAL PAR APPEL NOMINAL</w:t>
      </w:r>
      <w:r w:rsidRPr="006C73BF">
        <w:br/>
        <w:t>EN COMMISSION SAISIE POUR ÉVALUATION BUDGÉTAIRE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7109F" w:rsidRPr="006C73BF" w14:paraId="47E883D8" w14:textId="77777777" w:rsidTr="006532C5">
        <w:trPr>
          <w:cantSplit/>
        </w:trPr>
        <w:tc>
          <w:tcPr>
            <w:tcW w:w="1701" w:type="dxa"/>
            <w:shd w:val="pct10" w:color="000000" w:fill="FFFFFF"/>
            <w:vAlign w:val="center"/>
          </w:tcPr>
          <w:p w14:paraId="3EBD4A63" w14:textId="77777777" w:rsidR="00366BA3" w:rsidRPr="006C73BF" w:rsidRDefault="00E23F2E" w:rsidP="00366BA3">
            <w:pPr>
              <w:pStyle w:val="RollCallVotes"/>
              <w:widowControl/>
            </w:pPr>
            <w:r w:rsidRPr="006C73BF">
              <w:t>22</w:t>
            </w:r>
          </w:p>
        </w:tc>
        <w:tc>
          <w:tcPr>
            <w:tcW w:w="7371" w:type="dxa"/>
            <w:shd w:val="pct10" w:color="000000" w:fill="FFFFFF"/>
          </w:tcPr>
          <w:p w14:paraId="7EDB8E21" w14:textId="77777777" w:rsidR="00366BA3" w:rsidRPr="006C73BF" w:rsidRDefault="00E23F2E" w:rsidP="00366BA3">
            <w:pPr>
              <w:pStyle w:val="RollCallSymbols14pt"/>
              <w:widowControl/>
            </w:pPr>
            <w:r w:rsidRPr="006C73BF">
              <w:t>+</w:t>
            </w:r>
          </w:p>
        </w:tc>
      </w:tr>
      <w:tr w:rsidR="0027109F" w:rsidRPr="006C73BF" w14:paraId="237D6AB0" w14:textId="77777777" w:rsidTr="006532C5">
        <w:trPr>
          <w:cantSplit/>
        </w:trPr>
        <w:tc>
          <w:tcPr>
            <w:tcW w:w="1701" w:type="dxa"/>
            <w:shd w:val="clear" w:color="auto" w:fill="FFFFFF"/>
          </w:tcPr>
          <w:p w14:paraId="3E16D90D" w14:textId="77777777" w:rsidR="00366BA3" w:rsidRPr="006C73BF" w:rsidRDefault="00E23F2E" w:rsidP="00366BA3">
            <w:pPr>
              <w:pStyle w:val="RollCallTable"/>
              <w:widowControl/>
            </w:pPr>
            <w:r w:rsidRPr="006C73BF">
              <w:t>PPE</w:t>
            </w:r>
          </w:p>
        </w:tc>
        <w:tc>
          <w:tcPr>
            <w:tcW w:w="7371" w:type="dxa"/>
            <w:shd w:val="clear" w:color="auto" w:fill="FFFFFF"/>
          </w:tcPr>
          <w:p w14:paraId="0D918A90" w14:textId="77777777" w:rsidR="00366BA3" w:rsidRPr="006C73BF" w:rsidRDefault="00E23F2E" w:rsidP="00366BA3">
            <w:pPr>
              <w:pStyle w:val="RollCallTable"/>
              <w:widowControl/>
            </w:pPr>
            <w:r w:rsidRPr="006C73BF">
              <w:t>Isabel Benjumea Benjumea, Michalis Hadjipantela, Andrzej Halicki, Monika Hohlmeier, Janusz Lewandowski, Gabriel Mato, Karlo Ressler, Hélder Sousa Silva</w:t>
            </w:r>
          </w:p>
        </w:tc>
      </w:tr>
      <w:tr w:rsidR="0027109F" w:rsidRPr="00F044A1" w14:paraId="5357DEFA" w14:textId="77777777" w:rsidTr="006532C5">
        <w:trPr>
          <w:cantSplit/>
        </w:trPr>
        <w:tc>
          <w:tcPr>
            <w:tcW w:w="1701" w:type="dxa"/>
            <w:shd w:val="clear" w:color="auto" w:fill="FFFFFF"/>
          </w:tcPr>
          <w:p w14:paraId="1D72BA81" w14:textId="77777777" w:rsidR="00366BA3" w:rsidRPr="006C73BF" w:rsidRDefault="00E23F2E" w:rsidP="00366BA3">
            <w:pPr>
              <w:pStyle w:val="RollCallTable"/>
              <w:widowControl/>
            </w:pPr>
            <w:r w:rsidRPr="006C73BF">
              <w:t>Renew</w:t>
            </w:r>
          </w:p>
        </w:tc>
        <w:tc>
          <w:tcPr>
            <w:tcW w:w="7371" w:type="dxa"/>
            <w:shd w:val="clear" w:color="auto" w:fill="FFFFFF"/>
          </w:tcPr>
          <w:p w14:paraId="5569B52A" w14:textId="77777777" w:rsidR="00366BA3" w:rsidRPr="00F044A1" w:rsidRDefault="00E23F2E" w:rsidP="00366BA3">
            <w:pPr>
              <w:pStyle w:val="RollCallTable"/>
              <w:widowControl/>
              <w:rPr>
                <w:lang w:val="es-ES"/>
              </w:rPr>
            </w:pPr>
            <w:r w:rsidRPr="00F044A1">
              <w:rPr>
                <w:lang w:val="es-ES"/>
              </w:rPr>
              <w:t>Olivier Chastel, Fabienne Keller, Lucia Yar</w:t>
            </w:r>
          </w:p>
        </w:tc>
      </w:tr>
      <w:tr w:rsidR="0027109F" w:rsidRPr="006C73BF" w14:paraId="3BF17EFA" w14:textId="77777777" w:rsidTr="006532C5">
        <w:trPr>
          <w:cantSplit/>
        </w:trPr>
        <w:tc>
          <w:tcPr>
            <w:tcW w:w="1701" w:type="dxa"/>
            <w:shd w:val="clear" w:color="auto" w:fill="FFFFFF"/>
          </w:tcPr>
          <w:p w14:paraId="6D120B0A" w14:textId="77777777" w:rsidR="00366BA3" w:rsidRPr="006C73BF" w:rsidRDefault="00E23F2E" w:rsidP="00366BA3">
            <w:pPr>
              <w:pStyle w:val="RollCallTable"/>
              <w:widowControl/>
            </w:pPr>
            <w:r w:rsidRPr="006C73BF">
              <w:t>S&amp;D</w:t>
            </w:r>
          </w:p>
        </w:tc>
        <w:tc>
          <w:tcPr>
            <w:tcW w:w="7371" w:type="dxa"/>
            <w:shd w:val="clear" w:color="auto" w:fill="FFFFFF"/>
          </w:tcPr>
          <w:p w14:paraId="683E5FE3" w14:textId="77777777" w:rsidR="00366BA3" w:rsidRPr="006C73BF" w:rsidRDefault="00E23F2E" w:rsidP="00366BA3">
            <w:pPr>
              <w:pStyle w:val="RollCallTable"/>
              <w:widowControl/>
            </w:pPr>
            <w:r w:rsidRPr="006C73BF">
              <w:t>Mohammed Chahim, Matthias Ecke, Nikolas Farantouris, Jean-Marc Germain, Sandra Gómez López, Victor Negrescu, Matjaž Nemec, Nils Ušakovs</w:t>
            </w:r>
          </w:p>
        </w:tc>
      </w:tr>
      <w:tr w:rsidR="0027109F" w:rsidRPr="00F044A1" w14:paraId="0B3F226C" w14:textId="77777777" w:rsidTr="006532C5">
        <w:trPr>
          <w:cantSplit/>
        </w:trPr>
        <w:tc>
          <w:tcPr>
            <w:tcW w:w="1701" w:type="dxa"/>
            <w:shd w:val="clear" w:color="auto" w:fill="FFFFFF"/>
          </w:tcPr>
          <w:p w14:paraId="3AA10BCC" w14:textId="77777777" w:rsidR="00366BA3" w:rsidRPr="006C73BF" w:rsidRDefault="00E23F2E" w:rsidP="00366BA3">
            <w:pPr>
              <w:pStyle w:val="RollCallTable"/>
              <w:widowControl/>
            </w:pPr>
            <w:r w:rsidRPr="006C73BF">
              <w:t>Verts/ALE</w:t>
            </w:r>
          </w:p>
        </w:tc>
        <w:tc>
          <w:tcPr>
            <w:tcW w:w="7371" w:type="dxa"/>
            <w:shd w:val="clear" w:color="auto" w:fill="FFFFFF"/>
          </w:tcPr>
          <w:p w14:paraId="4F4E55D1" w14:textId="77777777" w:rsidR="00366BA3" w:rsidRPr="00F044A1" w:rsidRDefault="00E23F2E" w:rsidP="00366BA3">
            <w:pPr>
              <w:pStyle w:val="RollCallTable"/>
              <w:widowControl/>
              <w:rPr>
                <w:lang w:val="it-IT"/>
              </w:rPr>
            </w:pPr>
            <w:r w:rsidRPr="00F044A1">
              <w:rPr>
                <w:lang w:val="it-IT"/>
              </w:rPr>
              <w:t>Ignazio Roberto Marino, Rasmus Nordqvist, Nicolae Ștefănuță</w:t>
            </w:r>
          </w:p>
        </w:tc>
      </w:tr>
    </w:tbl>
    <w:p w14:paraId="10184781" w14:textId="77777777" w:rsidR="00366BA3" w:rsidRPr="00F044A1" w:rsidRDefault="00366BA3" w:rsidP="00366BA3">
      <w:pPr>
        <w:widowControl/>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7109F" w:rsidRPr="006C73BF" w14:paraId="0303B85B" w14:textId="77777777" w:rsidTr="006532C5">
        <w:trPr>
          <w:cantSplit/>
        </w:trPr>
        <w:tc>
          <w:tcPr>
            <w:tcW w:w="1701" w:type="dxa"/>
            <w:shd w:val="pct10" w:color="000000" w:fill="FFFFFF"/>
            <w:vAlign w:val="center"/>
          </w:tcPr>
          <w:p w14:paraId="0E7BD12B" w14:textId="77777777" w:rsidR="00366BA3" w:rsidRPr="006C73BF" w:rsidRDefault="00E23F2E" w:rsidP="00366BA3">
            <w:pPr>
              <w:pStyle w:val="RollCallVotes"/>
              <w:widowControl/>
            </w:pPr>
            <w:r w:rsidRPr="006C73BF">
              <w:t>8</w:t>
            </w:r>
          </w:p>
        </w:tc>
        <w:tc>
          <w:tcPr>
            <w:tcW w:w="7371" w:type="dxa"/>
            <w:shd w:val="pct10" w:color="000000" w:fill="FFFFFF"/>
          </w:tcPr>
          <w:p w14:paraId="3F142607" w14:textId="77777777" w:rsidR="00366BA3" w:rsidRPr="006C73BF" w:rsidRDefault="00E23F2E" w:rsidP="00366BA3">
            <w:pPr>
              <w:pStyle w:val="RollCallSymbols14pt"/>
              <w:widowControl/>
            </w:pPr>
            <w:r w:rsidRPr="006C73BF">
              <w:t>-</w:t>
            </w:r>
          </w:p>
        </w:tc>
      </w:tr>
      <w:tr w:rsidR="0027109F" w:rsidRPr="00F044A1" w14:paraId="3DBF0344" w14:textId="77777777" w:rsidTr="006532C5">
        <w:trPr>
          <w:cantSplit/>
        </w:trPr>
        <w:tc>
          <w:tcPr>
            <w:tcW w:w="1701" w:type="dxa"/>
            <w:shd w:val="clear" w:color="auto" w:fill="FFFFFF"/>
          </w:tcPr>
          <w:p w14:paraId="40C43E6B" w14:textId="77777777" w:rsidR="00366BA3" w:rsidRPr="006C73BF" w:rsidRDefault="00E23F2E" w:rsidP="00366BA3">
            <w:pPr>
              <w:pStyle w:val="RollCallTable"/>
              <w:widowControl/>
            </w:pPr>
            <w:r w:rsidRPr="006C73BF">
              <w:t>ECR</w:t>
            </w:r>
          </w:p>
        </w:tc>
        <w:tc>
          <w:tcPr>
            <w:tcW w:w="7371" w:type="dxa"/>
            <w:shd w:val="clear" w:color="auto" w:fill="FFFFFF"/>
          </w:tcPr>
          <w:p w14:paraId="439B7407" w14:textId="77777777" w:rsidR="00366BA3" w:rsidRPr="00F044A1" w:rsidRDefault="00E23F2E" w:rsidP="00366BA3">
            <w:pPr>
              <w:pStyle w:val="RollCallTable"/>
              <w:widowControl/>
              <w:rPr>
                <w:lang w:val="pl-PL"/>
              </w:rPr>
            </w:pPr>
            <w:r w:rsidRPr="00F044A1">
              <w:rPr>
                <w:lang w:val="pl-PL"/>
              </w:rPr>
              <w:t>Tobiasz Bocheński, Arkadiusz Mularczyk, Bogdan Rzońca</w:t>
            </w:r>
          </w:p>
        </w:tc>
      </w:tr>
      <w:tr w:rsidR="0027109F" w:rsidRPr="006C73BF" w14:paraId="38793C41" w14:textId="77777777" w:rsidTr="006532C5">
        <w:trPr>
          <w:cantSplit/>
        </w:trPr>
        <w:tc>
          <w:tcPr>
            <w:tcW w:w="1701" w:type="dxa"/>
            <w:shd w:val="clear" w:color="auto" w:fill="FFFFFF"/>
          </w:tcPr>
          <w:p w14:paraId="63ED0F8F" w14:textId="77777777" w:rsidR="00366BA3" w:rsidRPr="006C73BF" w:rsidRDefault="00E23F2E" w:rsidP="00366BA3">
            <w:pPr>
              <w:pStyle w:val="RollCallTable"/>
              <w:widowControl/>
            </w:pPr>
            <w:r w:rsidRPr="006C73BF">
              <w:t>ESN</w:t>
            </w:r>
          </w:p>
        </w:tc>
        <w:tc>
          <w:tcPr>
            <w:tcW w:w="7371" w:type="dxa"/>
            <w:shd w:val="clear" w:color="auto" w:fill="FFFFFF"/>
          </w:tcPr>
          <w:p w14:paraId="187AC235" w14:textId="77777777" w:rsidR="00366BA3" w:rsidRPr="006C73BF" w:rsidRDefault="00E23F2E" w:rsidP="00366BA3">
            <w:pPr>
              <w:pStyle w:val="RollCallTable"/>
              <w:widowControl/>
            </w:pPr>
            <w:r w:rsidRPr="006C73BF">
              <w:t>Alexander Jungbluth</w:t>
            </w:r>
          </w:p>
        </w:tc>
      </w:tr>
      <w:tr w:rsidR="0027109F" w:rsidRPr="006C73BF" w14:paraId="3C215D25" w14:textId="77777777" w:rsidTr="006532C5">
        <w:trPr>
          <w:cantSplit/>
        </w:trPr>
        <w:tc>
          <w:tcPr>
            <w:tcW w:w="1701" w:type="dxa"/>
            <w:shd w:val="clear" w:color="auto" w:fill="FFFFFF"/>
          </w:tcPr>
          <w:p w14:paraId="1E094AA7" w14:textId="77777777" w:rsidR="00366BA3" w:rsidRPr="006C73BF" w:rsidRDefault="00E23F2E" w:rsidP="00366BA3">
            <w:pPr>
              <w:pStyle w:val="RollCallTable"/>
              <w:widowControl/>
            </w:pPr>
            <w:r w:rsidRPr="006C73BF">
              <w:t>NI</w:t>
            </w:r>
          </w:p>
        </w:tc>
        <w:tc>
          <w:tcPr>
            <w:tcW w:w="7371" w:type="dxa"/>
            <w:shd w:val="clear" w:color="auto" w:fill="FFFFFF"/>
          </w:tcPr>
          <w:p w14:paraId="6581B59E" w14:textId="77777777" w:rsidR="00366BA3" w:rsidRPr="006C73BF" w:rsidRDefault="00E23F2E" w:rsidP="00366BA3">
            <w:pPr>
              <w:pStyle w:val="RollCallTable"/>
              <w:widowControl/>
            </w:pPr>
            <w:r w:rsidRPr="006C73BF">
              <w:t>Thomas Geisel</w:t>
            </w:r>
          </w:p>
        </w:tc>
      </w:tr>
      <w:tr w:rsidR="0027109F" w:rsidRPr="006C73BF" w14:paraId="01B5B55E" w14:textId="77777777" w:rsidTr="006532C5">
        <w:trPr>
          <w:cantSplit/>
        </w:trPr>
        <w:tc>
          <w:tcPr>
            <w:tcW w:w="1701" w:type="dxa"/>
            <w:shd w:val="clear" w:color="auto" w:fill="FFFFFF"/>
          </w:tcPr>
          <w:p w14:paraId="66FF19BF" w14:textId="77777777" w:rsidR="00366BA3" w:rsidRPr="006C73BF" w:rsidRDefault="00E23F2E" w:rsidP="00366BA3">
            <w:pPr>
              <w:pStyle w:val="RollCallTable"/>
              <w:widowControl/>
            </w:pPr>
            <w:r w:rsidRPr="006C73BF">
              <w:t>PfE</w:t>
            </w:r>
          </w:p>
        </w:tc>
        <w:tc>
          <w:tcPr>
            <w:tcW w:w="7371" w:type="dxa"/>
            <w:shd w:val="clear" w:color="auto" w:fill="FFFFFF"/>
          </w:tcPr>
          <w:p w14:paraId="638BB543" w14:textId="77777777" w:rsidR="00366BA3" w:rsidRPr="006C73BF" w:rsidRDefault="00E23F2E" w:rsidP="00366BA3">
            <w:pPr>
              <w:pStyle w:val="RollCallTable"/>
              <w:widowControl/>
            </w:pPr>
            <w:r w:rsidRPr="006C73BF">
              <w:t>Valérie Deloge, Aleksandar Nikolic</w:t>
            </w:r>
          </w:p>
        </w:tc>
      </w:tr>
      <w:tr w:rsidR="0027109F" w:rsidRPr="006C73BF" w14:paraId="5D13284C" w14:textId="77777777" w:rsidTr="006532C5">
        <w:trPr>
          <w:cantSplit/>
        </w:trPr>
        <w:tc>
          <w:tcPr>
            <w:tcW w:w="1701" w:type="dxa"/>
            <w:shd w:val="clear" w:color="auto" w:fill="FFFFFF"/>
          </w:tcPr>
          <w:p w14:paraId="32FB8B73" w14:textId="77777777" w:rsidR="00366BA3" w:rsidRPr="006C73BF" w:rsidRDefault="00E23F2E" w:rsidP="00366BA3">
            <w:pPr>
              <w:pStyle w:val="RollCallTable"/>
              <w:widowControl/>
            </w:pPr>
            <w:r w:rsidRPr="006C73BF">
              <w:t>The Left</w:t>
            </w:r>
          </w:p>
        </w:tc>
        <w:tc>
          <w:tcPr>
            <w:tcW w:w="7371" w:type="dxa"/>
            <w:shd w:val="clear" w:color="auto" w:fill="FFFFFF"/>
          </w:tcPr>
          <w:p w14:paraId="77218C60" w14:textId="77777777" w:rsidR="00366BA3" w:rsidRPr="006C73BF" w:rsidRDefault="00E23F2E" w:rsidP="00366BA3">
            <w:pPr>
              <w:pStyle w:val="RollCallTable"/>
              <w:widowControl/>
            </w:pPr>
            <w:r w:rsidRPr="006C73BF">
              <w:t>João Oliveira</w:t>
            </w:r>
          </w:p>
        </w:tc>
      </w:tr>
    </w:tbl>
    <w:p w14:paraId="42FDDB54" w14:textId="77777777" w:rsidR="00366BA3" w:rsidRPr="006C73BF" w:rsidRDefault="00366BA3" w:rsidP="00366BA3">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7109F" w:rsidRPr="006C73BF" w14:paraId="4C386A0E" w14:textId="77777777" w:rsidTr="006532C5">
        <w:trPr>
          <w:cantSplit/>
        </w:trPr>
        <w:tc>
          <w:tcPr>
            <w:tcW w:w="1701" w:type="dxa"/>
            <w:shd w:val="pct10" w:color="000000" w:fill="FFFFFF"/>
            <w:vAlign w:val="center"/>
          </w:tcPr>
          <w:p w14:paraId="1FD3F8B0" w14:textId="77777777" w:rsidR="00366BA3" w:rsidRPr="006C73BF" w:rsidRDefault="00E23F2E" w:rsidP="00366BA3">
            <w:pPr>
              <w:pStyle w:val="RollCallVotes"/>
              <w:widowControl/>
            </w:pPr>
            <w:r w:rsidRPr="006C73BF">
              <w:t>3</w:t>
            </w:r>
          </w:p>
        </w:tc>
        <w:tc>
          <w:tcPr>
            <w:tcW w:w="7371" w:type="dxa"/>
            <w:shd w:val="pct10" w:color="000000" w:fill="FFFFFF"/>
          </w:tcPr>
          <w:p w14:paraId="21F8433E" w14:textId="77777777" w:rsidR="00366BA3" w:rsidRPr="006C73BF" w:rsidRDefault="00E23F2E" w:rsidP="00366BA3">
            <w:pPr>
              <w:pStyle w:val="RollCallSymbols14pt"/>
              <w:widowControl/>
            </w:pPr>
            <w:r w:rsidRPr="006C73BF">
              <w:t>0</w:t>
            </w:r>
          </w:p>
        </w:tc>
      </w:tr>
      <w:tr w:rsidR="0027109F" w:rsidRPr="006C73BF" w14:paraId="0372ED95" w14:textId="77777777" w:rsidTr="006532C5">
        <w:trPr>
          <w:cantSplit/>
        </w:trPr>
        <w:tc>
          <w:tcPr>
            <w:tcW w:w="1701" w:type="dxa"/>
            <w:shd w:val="clear" w:color="auto" w:fill="FFFFFF"/>
          </w:tcPr>
          <w:p w14:paraId="2B496E55" w14:textId="77777777" w:rsidR="00366BA3" w:rsidRPr="006C73BF" w:rsidRDefault="00E23F2E" w:rsidP="00366BA3">
            <w:pPr>
              <w:pStyle w:val="RollCallTable"/>
              <w:widowControl/>
            </w:pPr>
            <w:r w:rsidRPr="006C73BF">
              <w:t>PfE</w:t>
            </w:r>
          </w:p>
        </w:tc>
        <w:tc>
          <w:tcPr>
            <w:tcW w:w="7371" w:type="dxa"/>
            <w:shd w:val="clear" w:color="auto" w:fill="FFFFFF"/>
          </w:tcPr>
          <w:p w14:paraId="3B1A8527" w14:textId="77777777" w:rsidR="00366BA3" w:rsidRPr="006C73BF" w:rsidRDefault="00E23F2E" w:rsidP="00366BA3">
            <w:pPr>
              <w:pStyle w:val="RollCallTable"/>
              <w:widowControl/>
            </w:pPr>
            <w:r w:rsidRPr="006C73BF">
              <w:t>Tomasz Buczek, Tamás Deutsch, Antonín Staněk</w:t>
            </w:r>
          </w:p>
        </w:tc>
      </w:tr>
    </w:tbl>
    <w:p w14:paraId="6B111A62" w14:textId="77777777" w:rsidR="00366BA3" w:rsidRPr="006C73BF" w:rsidRDefault="00366BA3" w:rsidP="00366BA3">
      <w:pPr>
        <w:pStyle w:val="Normal12a"/>
        <w:widowControl/>
      </w:pPr>
    </w:p>
    <w:p w14:paraId="0A2E16B8" w14:textId="77777777" w:rsidR="00366BA3" w:rsidRPr="006C73BF" w:rsidRDefault="00E23F2E" w:rsidP="00366BA3">
      <w:pPr>
        <w:widowControl/>
      </w:pPr>
      <w:r w:rsidRPr="006C73BF">
        <w:t>Légende des signes utilisés:</w:t>
      </w:r>
    </w:p>
    <w:p w14:paraId="252A40BA" w14:textId="77777777" w:rsidR="00366BA3" w:rsidRPr="006C73BF" w:rsidRDefault="00E23F2E" w:rsidP="00366BA3">
      <w:pPr>
        <w:pStyle w:val="RollCallTabs"/>
        <w:widowControl/>
      </w:pPr>
      <w:r w:rsidRPr="006C73BF">
        <w:t>+</w:t>
      </w:r>
      <w:r w:rsidRPr="006C73BF">
        <w:tab/>
        <w:t>:</w:t>
      </w:r>
      <w:r w:rsidRPr="006C73BF">
        <w:tab/>
        <w:t>pour</w:t>
      </w:r>
    </w:p>
    <w:p w14:paraId="6101D5AB" w14:textId="77777777" w:rsidR="00366BA3" w:rsidRPr="006C73BF" w:rsidRDefault="00E23F2E" w:rsidP="00366BA3">
      <w:pPr>
        <w:pStyle w:val="RollCallTabs"/>
        <w:widowControl/>
      </w:pPr>
      <w:r w:rsidRPr="006C73BF">
        <w:t>-</w:t>
      </w:r>
      <w:r w:rsidRPr="006C73BF">
        <w:tab/>
        <w:t>:</w:t>
      </w:r>
      <w:r w:rsidRPr="006C73BF">
        <w:tab/>
        <w:t>contre</w:t>
      </w:r>
    </w:p>
    <w:p w14:paraId="1E6EE082" w14:textId="77777777" w:rsidR="00366BA3" w:rsidRPr="006C73BF" w:rsidRDefault="00E23F2E" w:rsidP="00366BA3">
      <w:pPr>
        <w:pStyle w:val="RollCallTabs"/>
        <w:widowControl/>
      </w:pPr>
      <w:r w:rsidRPr="006C73BF">
        <w:t>0</w:t>
      </w:r>
      <w:r w:rsidRPr="006C73BF">
        <w:tab/>
        <w:t>:</w:t>
      </w:r>
      <w:r w:rsidRPr="006C73BF">
        <w:tab/>
        <w:t>abstention</w:t>
      </w:r>
    </w:p>
    <w:p w14:paraId="1EA79779" w14:textId="77777777" w:rsidR="00366BA3" w:rsidRPr="006C73BF" w:rsidRDefault="00366BA3" w:rsidP="00366BA3">
      <w:pPr>
        <w:widowControl/>
      </w:pPr>
    </w:p>
    <w:bookmarkEnd w:id="2"/>
    <w:p w14:paraId="1E6AB1EF" w14:textId="77777777" w:rsidR="00826466" w:rsidRPr="006C73BF" w:rsidRDefault="00826466" w:rsidP="00366BA3">
      <w:pPr>
        <w:widowControl/>
      </w:pPr>
    </w:p>
    <w:sectPr w:rsidR="00826466" w:rsidRPr="006C73BF" w:rsidSect="00366BA3">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09919" w14:textId="77777777" w:rsidR="00E23F2E" w:rsidRPr="006C73BF" w:rsidRDefault="00E23F2E">
      <w:r w:rsidRPr="006C73BF">
        <w:separator/>
      </w:r>
    </w:p>
  </w:endnote>
  <w:endnote w:type="continuationSeparator" w:id="0">
    <w:p w14:paraId="11D9A66A" w14:textId="77777777" w:rsidR="00E23F2E" w:rsidRPr="006C73BF" w:rsidRDefault="00E23F2E">
      <w:r w:rsidRPr="006C73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Europea">
    <w:panose1 w:val="00000000000000000000"/>
    <w:charset w:val="00"/>
    <w:family w:val="auto"/>
    <w:pitch w:val="variable"/>
    <w:sig w:usb0="A00002FF" w:usb1="5001E47B" w:usb2="00000000" w:usb3="00000000" w:csb0="000001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459F9" w14:textId="77777777" w:rsidR="006C73BF" w:rsidRPr="006C73BF" w:rsidRDefault="006C73BF" w:rsidP="006C73BF">
    <w:pPr>
      <w:pStyle w:val="EPFooter"/>
    </w:pPr>
    <w:r w:rsidRPr="006C73BF">
      <w:t>PE</w:t>
    </w:r>
    <w:r w:rsidRPr="006C73BF">
      <w:rPr>
        <w:rStyle w:val="HideTWBExt"/>
      </w:rPr>
      <w:t>&lt;NoPE&gt;</w:t>
    </w:r>
    <w:r w:rsidRPr="006C73BF">
      <w:t>787.644</w:t>
    </w:r>
    <w:r w:rsidRPr="006C73BF">
      <w:rPr>
        <w:rStyle w:val="HideTWBExt"/>
      </w:rPr>
      <w:t>&lt;/NoPE&gt;&lt;Version&gt;</w:t>
    </w:r>
    <w:r w:rsidRPr="006C73BF">
      <w:t>v04-00</w:t>
    </w:r>
    <w:r w:rsidRPr="006C73BF">
      <w:rPr>
        <w:rStyle w:val="HideTWBExt"/>
      </w:rPr>
      <w:t>&lt;/Version&gt;</w:t>
    </w:r>
    <w:r w:rsidRPr="006C73BF">
      <w:tab/>
    </w:r>
    <w:r w:rsidRPr="006C73BF">
      <w:fldChar w:fldCharType="begin"/>
    </w:r>
    <w:r w:rsidRPr="006C73BF">
      <w:instrText xml:space="preserve"> PAGE  \* MERGEFORMAT </w:instrText>
    </w:r>
    <w:r w:rsidRPr="006C73BF">
      <w:fldChar w:fldCharType="separate"/>
    </w:r>
    <w:r w:rsidRPr="006C73BF">
      <w:rPr>
        <w:noProof/>
      </w:rPr>
      <w:t>2</w:t>
    </w:r>
    <w:r w:rsidRPr="006C73BF">
      <w:fldChar w:fldCharType="end"/>
    </w:r>
    <w:r w:rsidRPr="006C73BF">
      <w:t>/</w:t>
    </w:r>
    <w:fldSimple w:instr=" NUMPAGES  \* MERGEFORMAT ">
      <w:r w:rsidRPr="006C73BF">
        <w:rPr>
          <w:noProof/>
        </w:rPr>
        <w:t>26</w:t>
      </w:r>
    </w:fldSimple>
    <w:r w:rsidRPr="006C73BF">
      <w:tab/>
    </w:r>
    <w:r w:rsidRPr="006C73BF">
      <w:rPr>
        <w:rStyle w:val="HideTWBExt"/>
      </w:rPr>
      <w:t>&lt;PathFdR&gt;</w:t>
    </w:r>
    <w:r w:rsidRPr="006C73BF">
      <w:t>AD\1347975FR.docx</w:t>
    </w:r>
    <w:r w:rsidRPr="006C73BF">
      <w:rPr>
        <w:rStyle w:val="HideTWBExt"/>
      </w:rPr>
      <w:t>&lt;/PathFdR&gt;</w:t>
    </w:r>
  </w:p>
  <w:p w14:paraId="27503867" w14:textId="263FE3B4" w:rsidR="007F621D" w:rsidRPr="006C73BF" w:rsidRDefault="006C73BF" w:rsidP="006C73BF">
    <w:pPr>
      <w:pStyle w:val="EPFooter2"/>
    </w:pPr>
    <w:r w:rsidRPr="006C73BF">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BA571" w14:textId="77777777" w:rsidR="006C73BF" w:rsidRPr="006C73BF" w:rsidRDefault="006C73BF" w:rsidP="006C73BF">
    <w:pPr>
      <w:pStyle w:val="EPFooter"/>
    </w:pPr>
    <w:r w:rsidRPr="006C73BF">
      <w:rPr>
        <w:rStyle w:val="HideTWBExt"/>
      </w:rPr>
      <w:t>&lt;PathFdR&gt;</w:t>
    </w:r>
    <w:r w:rsidRPr="006C73BF">
      <w:t>AD\1347975FR.docx</w:t>
    </w:r>
    <w:r w:rsidRPr="006C73BF">
      <w:rPr>
        <w:rStyle w:val="HideTWBExt"/>
      </w:rPr>
      <w:t>&lt;/PathFdR&gt;</w:t>
    </w:r>
    <w:r w:rsidRPr="006C73BF">
      <w:tab/>
    </w:r>
    <w:r w:rsidRPr="006C73BF">
      <w:fldChar w:fldCharType="begin"/>
    </w:r>
    <w:r w:rsidRPr="006C73BF">
      <w:instrText xml:space="preserve"> PAGE  \* MERGEFORMAT </w:instrText>
    </w:r>
    <w:r w:rsidRPr="006C73BF">
      <w:fldChar w:fldCharType="separate"/>
    </w:r>
    <w:r w:rsidRPr="006C73BF">
      <w:rPr>
        <w:noProof/>
      </w:rPr>
      <w:t>11</w:t>
    </w:r>
    <w:r w:rsidRPr="006C73BF">
      <w:fldChar w:fldCharType="end"/>
    </w:r>
    <w:r w:rsidRPr="006C73BF">
      <w:t>/</w:t>
    </w:r>
    <w:fldSimple w:instr=" NUMPAGES  \* MERGEFORMAT ">
      <w:r w:rsidRPr="006C73BF">
        <w:rPr>
          <w:noProof/>
        </w:rPr>
        <w:t>26</w:t>
      </w:r>
    </w:fldSimple>
    <w:r w:rsidRPr="006C73BF">
      <w:tab/>
      <w:t>PE</w:t>
    </w:r>
    <w:r w:rsidRPr="006C73BF">
      <w:rPr>
        <w:rStyle w:val="HideTWBExt"/>
      </w:rPr>
      <w:t>&lt;NoPE&gt;</w:t>
    </w:r>
    <w:r w:rsidRPr="006C73BF">
      <w:t>787.644</w:t>
    </w:r>
    <w:r w:rsidRPr="006C73BF">
      <w:rPr>
        <w:rStyle w:val="HideTWBExt"/>
      </w:rPr>
      <w:t>&lt;/NoPE&gt;&lt;Version&gt;</w:t>
    </w:r>
    <w:r w:rsidRPr="006C73BF">
      <w:t>v04-00</w:t>
    </w:r>
    <w:r w:rsidRPr="006C73BF">
      <w:rPr>
        <w:rStyle w:val="HideTWBExt"/>
      </w:rPr>
      <w:t>&lt;/Version&gt;</w:t>
    </w:r>
  </w:p>
  <w:p w14:paraId="0FBAE60A" w14:textId="6A645631" w:rsidR="007F621D" w:rsidRPr="006C73BF" w:rsidRDefault="006C73BF" w:rsidP="006C73BF">
    <w:pPr>
      <w:pStyle w:val="EPFooter2"/>
    </w:pPr>
    <w:r w:rsidRPr="006C73BF">
      <w:tab/>
    </w:r>
    <w:r w:rsidRPr="006C73BF">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581A6" w14:textId="77777777" w:rsidR="006C73BF" w:rsidRPr="006C73BF" w:rsidRDefault="006C73BF" w:rsidP="006C73BF">
    <w:pPr>
      <w:pStyle w:val="EPFooter"/>
    </w:pPr>
    <w:r w:rsidRPr="006C73BF">
      <w:rPr>
        <w:rStyle w:val="HideTWBExt"/>
      </w:rPr>
      <w:t>&lt;PathFdR&gt;</w:t>
    </w:r>
    <w:r w:rsidRPr="006C73BF">
      <w:t>AD\1347975FR.docx</w:t>
    </w:r>
    <w:r w:rsidRPr="006C73BF">
      <w:rPr>
        <w:rStyle w:val="HideTWBExt"/>
      </w:rPr>
      <w:t>&lt;/PathFdR&gt;</w:t>
    </w:r>
    <w:r w:rsidRPr="006C73BF">
      <w:tab/>
    </w:r>
    <w:r w:rsidRPr="006C73BF">
      <w:tab/>
      <w:t>PE</w:t>
    </w:r>
    <w:r w:rsidRPr="006C73BF">
      <w:rPr>
        <w:rStyle w:val="HideTWBExt"/>
      </w:rPr>
      <w:t>&lt;NoPE&gt;</w:t>
    </w:r>
    <w:r w:rsidRPr="006C73BF">
      <w:t>787.644</w:t>
    </w:r>
    <w:r w:rsidRPr="006C73BF">
      <w:rPr>
        <w:rStyle w:val="HideTWBExt"/>
      </w:rPr>
      <w:t>&lt;/NoPE&gt;&lt;Version&gt;</w:t>
    </w:r>
    <w:r w:rsidRPr="006C73BF">
      <w:t>v04-00</w:t>
    </w:r>
    <w:r w:rsidRPr="006C73BF">
      <w:rPr>
        <w:rStyle w:val="HideTWBExt"/>
      </w:rPr>
      <w:t>&lt;/Version&gt;</w:t>
    </w:r>
  </w:p>
  <w:p w14:paraId="6003985A" w14:textId="2ADBD3E5" w:rsidR="007F621D" w:rsidRPr="006C73BF" w:rsidRDefault="006C73BF" w:rsidP="006C73BF">
    <w:pPr>
      <w:pStyle w:val="EPFooter2"/>
    </w:pPr>
    <w:r w:rsidRPr="006C73BF">
      <w:t>FR</w:t>
    </w:r>
    <w:r w:rsidRPr="006C73BF">
      <w:tab/>
    </w:r>
    <w:r w:rsidRPr="006C73BF">
      <w:rPr>
        <w:b w:val="0"/>
        <w:i/>
        <w:color w:val="C0C0C0"/>
        <w:sz w:val="22"/>
      </w:rPr>
      <w:t>Unie dans la diversité</w:t>
    </w:r>
    <w:r w:rsidRPr="006C73BF">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EB593" w14:textId="77777777" w:rsidR="00164578" w:rsidRPr="006C73BF" w:rsidRDefault="00E23F2E">
      <w:r w:rsidRPr="006C73BF">
        <w:separator/>
      </w:r>
    </w:p>
  </w:footnote>
  <w:footnote w:type="continuationSeparator" w:id="0">
    <w:p w14:paraId="122EC661" w14:textId="77777777" w:rsidR="00164578" w:rsidRPr="006C73BF" w:rsidRDefault="00E23F2E">
      <w:r w:rsidRPr="006C73BF">
        <w:continuationSeparator/>
      </w:r>
    </w:p>
  </w:footnote>
  <w:footnote w:id="1">
    <w:p w14:paraId="32E13AC1" w14:textId="4430288F" w:rsidR="008C57F5" w:rsidRPr="006C73BF" w:rsidRDefault="00E23F2E">
      <w:pPr>
        <w:pStyle w:val="FootnoteText"/>
      </w:pPr>
      <w:r w:rsidRPr="006C73BF">
        <w:rPr>
          <w:rStyle w:val="FootnoteReference"/>
        </w:rPr>
        <w:footnoteRef/>
      </w:r>
      <w:r w:rsidRPr="006C73BF">
        <w:t xml:space="preserve"> Règlement (UE, Euratom) 2024/2509 du Parlement européen et du Conseil du 23 septembre 2024 relatif aux règles financières applicables au budget général de l’Union (JO L, 2024/2509, 26.9.2024, ELI: </w:t>
      </w:r>
      <w:hyperlink r:id="rId1" w:tgtFrame="_blank" w:tooltip="Permet d’accéder à ce document par l’intermédiaire de son URI ELI." w:history="1">
        <w:r w:rsidR="008C57F5" w:rsidRPr="006C73BF">
          <w:rPr>
            <w:rStyle w:val="Hyperlink"/>
          </w:rPr>
          <w:t>http://data.europa.eu/eli/reg/2024/2509/oj</w:t>
        </w:r>
      </w:hyperlink>
      <w:r w:rsidRPr="006C73BF">
        <w:t>).</w:t>
      </w:r>
    </w:p>
  </w:footnote>
  <w:footnote w:id="2">
    <w:p w14:paraId="0597D2DC" w14:textId="7B58375F" w:rsidR="00B57C2E" w:rsidRPr="006C73BF" w:rsidRDefault="00E23F2E">
      <w:pPr>
        <w:pStyle w:val="FootnoteText"/>
      </w:pPr>
      <w:r w:rsidRPr="006C73BF">
        <w:rPr>
          <w:rStyle w:val="FootnoteReference"/>
        </w:rPr>
        <w:footnoteRef/>
      </w:r>
      <w:r w:rsidRPr="006C73BF">
        <w:t xml:space="preserve"> Règlement (UE) 2021/523 du Parlement européen et du Conseil du 24 mars 2021 établissant le programme InvestEU et modifiant le règlement (UE) 2015/1017 (JO L 107 du 26.3.2021, p. 30, ELI: </w:t>
      </w:r>
      <w:hyperlink r:id="rId2" w:tooltip="Permet d’accéder à ce document par l’intermédiaire de son URI ELI." w:history="1">
        <w:r w:rsidR="00B57C2E" w:rsidRPr="006C73BF">
          <w:rPr>
            <w:rStyle w:val="Hyperlink"/>
          </w:rPr>
          <w:t>http://data.europa.eu/eli/reg/2021/523/oj</w:t>
        </w:r>
      </w:hyperlink>
      <w:r w:rsidRPr="006C73BF">
        <w:t>).</w:t>
      </w:r>
    </w:p>
  </w:footnote>
  <w:footnote w:id="3">
    <w:p w14:paraId="2C81061C" w14:textId="0120D5D1" w:rsidR="00BA0F06" w:rsidRPr="006C73BF" w:rsidRDefault="00E23F2E" w:rsidP="00BA0F06">
      <w:pPr>
        <w:pStyle w:val="FootnoteText"/>
      </w:pPr>
      <w:r w:rsidRPr="006C73BF">
        <w:rPr>
          <w:rStyle w:val="FootnoteReference"/>
        </w:rPr>
        <w:footnoteRef/>
      </w:r>
      <w:r w:rsidRPr="006C73BF">
        <w:t xml:space="preserve"> Accord interinstitutionnel du 20 mai 2021 entre le Parlement européen, le Conseil de l’Union européenne et la Commission européenne sur un registre de transparence obligatoire (JO L 207 du 11.6.2021, p. 1, ELI: </w:t>
      </w:r>
      <w:hyperlink r:id="rId3" w:tooltip="http://data.europa.eu/eli/agree_interinstit/2021/611/oj" w:history="1">
        <w:r w:rsidR="00BA0F06" w:rsidRPr="006C73BF">
          <w:rPr>
            <w:rStyle w:val="Hyperlink"/>
          </w:rPr>
          <w:t>http://data.europa.eu/eli/agree_interinstit/2021/611/oj</w:t>
        </w:r>
      </w:hyperlink>
      <w:r w:rsidRPr="006C73B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1832A" w14:textId="77777777" w:rsidR="00F044A1" w:rsidRDefault="00F044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6E62D" w14:textId="77777777" w:rsidR="00F044A1" w:rsidRDefault="00F044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0A5BB" w14:textId="77777777" w:rsidR="00F044A1" w:rsidRDefault="00F044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5CC7365"/>
    <w:multiLevelType w:val="hybridMultilevel"/>
    <w:tmpl w:val="C2CA7152"/>
    <w:lvl w:ilvl="0" w:tplc="8240450A">
      <w:start w:val="1"/>
      <w:numFmt w:val="decimal"/>
      <w:pStyle w:val="Paragraph"/>
      <w:lvlText w:val="%1."/>
      <w:lvlJc w:val="left"/>
      <w:pPr>
        <w:ind w:left="360" w:hanging="360"/>
      </w:pPr>
      <w:rPr>
        <w:rFonts w:hint="default"/>
      </w:rPr>
    </w:lvl>
    <w:lvl w:ilvl="1" w:tplc="20A8205C">
      <w:start w:val="1"/>
      <w:numFmt w:val="lowerLetter"/>
      <w:pStyle w:val="Subparagraph"/>
      <w:lvlText w:val="(%2)"/>
      <w:lvlJc w:val="left"/>
      <w:pPr>
        <w:ind w:left="1080" w:hanging="360"/>
      </w:pPr>
      <w:rPr>
        <w:rFonts w:hint="default"/>
      </w:rPr>
    </w:lvl>
    <w:lvl w:ilvl="2" w:tplc="CF6878A4">
      <w:start w:val="1"/>
      <w:numFmt w:val="lowerRoman"/>
      <w:pStyle w:val="Subsubparagraph"/>
      <w:lvlText w:val="(%3)"/>
      <w:lvlJc w:val="right"/>
      <w:pPr>
        <w:ind w:left="1800" w:hanging="180"/>
      </w:pPr>
      <w:rPr>
        <w:rFonts w:hint="default"/>
      </w:rPr>
    </w:lvl>
    <w:lvl w:ilvl="3" w:tplc="A4B08782" w:tentative="1">
      <w:start w:val="1"/>
      <w:numFmt w:val="decimal"/>
      <w:lvlText w:val="%4."/>
      <w:lvlJc w:val="left"/>
      <w:pPr>
        <w:ind w:left="2520" w:hanging="360"/>
      </w:pPr>
    </w:lvl>
    <w:lvl w:ilvl="4" w:tplc="0AD6132E" w:tentative="1">
      <w:start w:val="1"/>
      <w:numFmt w:val="lowerLetter"/>
      <w:lvlText w:val="%5."/>
      <w:lvlJc w:val="left"/>
      <w:pPr>
        <w:ind w:left="3240" w:hanging="360"/>
      </w:pPr>
    </w:lvl>
    <w:lvl w:ilvl="5" w:tplc="1760FE72" w:tentative="1">
      <w:start w:val="1"/>
      <w:numFmt w:val="lowerRoman"/>
      <w:lvlText w:val="%6."/>
      <w:lvlJc w:val="right"/>
      <w:pPr>
        <w:ind w:left="3960" w:hanging="180"/>
      </w:pPr>
    </w:lvl>
    <w:lvl w:ilvl="6" w:tplc="04FEC84A" w:tentative="1">
      <w:start w:val="1"/>
      <w:numFmt w:val="decimal"/>
      <w:lvlText w:val="%7."/>
      <w:lvlJc w:val="left"/>
      <w:pPr>
        <w:ind w:left="4680" w:hanging="360"/>
      </w:pPr>
    </w:lvl>
    <w:lvl w:ilvl="7" w:tplc="40D45A7E" w:tentative="1">
      <w:start w:val="1"/>
      <w:numFmt w:val="lowerLetter"/>
      <w:lvlText w:val="%8."/>
      <w:lvlJc w:val="left"/>
      <w:pPr>
        <w:ind w:left="5400" w:hanging="360"/>
      </w:pPr>
    </w:lvl>
    <w:lvl w:ilvl="8" w:tplc="22D0FFEE" w:tentative="1">
      <w:start w:val="1"/>
      <w:numFmt w:val="lowerRoman"/>
      <w:lvlText w:val="%9."/>
      <w:lvlJc w:val="right"/>
      <w:pPr>
        <w:ind w:left="6120" w:hanging="180"/>
      </w:pPr>
    </w:lvl>
  </w:abstractNum>
  <w:abstractNum w:abstractNumId="4"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5040A8C"/>
    <w:multiLevelType w:val="hybridMultilevel"/>
    <w:tmpl w:val="09CADE60"/>
    <w:styleLink w:val="LFO14"/>
    <w:lvl w:ilvl="0" w:tplc="48EE4626">
      <w:start w:val="1"/>
      <w:numFmt w:val="decimal"/>
      <w:pStyle w:val="Recital"/>
      <w:lvlText w:val="(%1)"/>
      <w:lvlJc w:val="left"/>
      <w:pPr>
        <w:ind w:left="1080" w:hanging="360"/>
      </w:pPr>
    </w:lvl>
    <w:lvl w:ilvl="1" w:tplc="8F482720">
      <w:start w:val="1"/>
      <w:numFmt w:val="lowerLetter"/>
      <w:lvlText w:val="%2."/>
      <w:lvlJc w:val="left"/>
      <w:pPr>
        <w:ind w:left="1440" w:hanging="360"/>
      </w:pPr>
    </w:lvl>
    <w:lvl w:ilvl="2" w:tplc="3EDE2308" w:tentative="1">
      <w:start w:val="1"/>
      <w:numFmt w:val="lowerRoman"/>
      <w:lvlText w:val="%3."/>
      <w:lvlJc w:val="right"/>
      <w:pPr>
        <w:ind w:left="2160" w:hanging="180"/>
      </w:pPr>
    </w:lvl>
    <w:lvl w:ilvl="3" w:tplc="395E146C" w:tentative="1">
      <w:start w:val="1"/>
      <w:numFmt w:val="decimal"/>
      <w:lvlText w:val="%4."/>
      <w:lvlJc w:val="left"/>
      <w:pPr>
        <w:ind w:left="2880" w:hanging="360"/>
      </w:pPr>
    </w:lvl>
    <w:lvl w:ilvl="4" w:tplc="D76AAF04" w:tentative="1">
      <w:start w:val="1"/>
      <w:numFmt w:val="lowerLetter"/>
      <w:lvlText w:val="%5."/>
      <w:lvlJc w:val="left"/>
      <w:pPr>
        <w:ind w:left="3600" w:hanging="360"/>
      </w:pPr>
    </w:lvl>
    <w:lvl w:ilvl="5" w:tplc="E26262AE" w:tentative="1">
      <w:start w:val="1"/>
      <w:numFmt w:val="lowerRoman"/>
      <w:lvlText w:val="%6."/>
      <w:lvlJc w:val="right"/>
      <w:pPr>
        <w:ind w:left="4320" w:hanging="180"/>
      </w:pPr>
    </w:lvl>
    <w:lvl w:ilvl="6" w:tplc="3B9A0ECA" w:tentative="1">
      <w:start w:val="1"/>
      <w:numFmt w:val="decimal"/>
      <w:lvlText w:val="%7."/>
      <w:lvlJc w:val="left"/>
      <w:pPr>
        <w:ind w:left="5040" w:hanging="360"/>
      </w:pPr>
    </w:lvl>
    <w:lvl w:ilvl="7" w:tplc="A1AA7F58" w:tentative="1">
      <w:start w:val="1"/>
      <w:numFmt w:val="lowerLetter"/>
      <w:lvlText w:val="%8."/>
      <w:lvlJc w:val="left"/>
      <w:pPr>
        <w:ind w:left="5760" w:hanging="360"/>
      </w:pPr>
    </w:lvl>
    <w:lvl w:ilvl="8" w:tplc="D38E84DC" w:tentative="1">
      <w:start w:val="1"/>
      <w:numFmt w:val="lowerRoman"/>
      <w:lvlText w:val="%9."/>
      <w:lvlJc w:val="right"/>
      <w:pPr>
        <w:ind w:left="6480" w:hanging="180"/>
      </w:pPr>
    </w:lvl>
  </w:abstractNum>
  <w:abstractNum w:abstractNumId="2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861235374">
    <w:abstractNumId w:val="0"/>
  </w:num>
  <w:num w:numId="2" w16cid:durableId="562255742">
    <w:abstractNumId w:val="21"/>
  </w:num>
  <w:num w:numId="3" w16cid:durableId="1976524734">
    <w:abstractNumId w:val="9"/>
  </w:num>
  <w:num w:numId="4" w16cid:durableId="550506993">
    <w:abstractNumId w:val="18"/>
  </w:num>
  <w:num w:numId="5" w16cid:durableId="1275095105">
    <w:abstractNumId w:val="17"/>
  </w:num>
  <w:num w:numId="6" w16cid:durableId="1818767885">
    <w:abstractNumId w:val="28"/>
  </w:num>
  <w:num w:numId="7" w16cid:durableId="892237243">
    <w:abstractNumId w:val="25"/>
  </w:num>
  <w:num w:numId="8" w16cid:durableId="166332723">
    <w:abstractNumId w:val="29"/>
  </w:num>
  <w:num w:numId="9" w16cid:durableId="1881821688">
    <w:abstractNumId w:val="30"/>
  </w:num>
  <w:num w:numId="10" w16cid:durableId="1073505123">
    <w:abstractNumId w:val="1"/>
  </w:num>
  <w:num w:numId="11" w16cid:durableId="131874187">
    <w:abstractNumId w:val="11"/>
  </w:num>
  <w:num w:numId="12" w16cid:durableId="869301711">
    <w:abstractNumId w:val="2"/>
  </w:num>
  <w:num w:numId="13" w16cid:durableId="12583879">
    <w:abstractNumId w:val="12"/>
  </w:num>
  <w:num w:numId="14" w16cid:durableId="692996438">
    <w:abstractNumId w:val="10"/>
  </w:num>
  <w:num w:numId="15" w16cid:durableId="1497725011">
    <w:abstractNumId w:val="19"/>
  </w:num>
  <w:num w:numId="16" w16cid:durableId="520095403">
    <w:abstractNumId w:val="8"/>
  </w:num>
  <w:num w:numId="17" w16cid:durableId="9232246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121973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92316087">
    <w:abstractNumId w:val="13"/>
    <w:lvlOverride w:ilvl="0">
      <w:startOverride w:val="1"/>
    </w:lvlOverride>
  </w:num>
  <w:num w:numId="20" w16cid:durableId="743644732">
    <w:abstractNumId w:val="3"/>
  </w:num>
  <w:num w:numId="21" w16cid:durableId="988901781">
    <w:abstractNumId w:val="26"/>
  </w:num>
  <w:num w:numId="22" w16cid:durableId="1121611211">
    <w:abstractNumId w:val="24"/>
    <w:lvlOverride w:ilvl="0">
      <w:startOverride w:val="1"/>
    </w:lvlOverride>
  </w:num>
  <w:num w:numId="23" w16cid:durableId="2030986572">
    <w:abstractNumId w:val="27"/>
  </w:num>
  <w:num w:numId="24" w16cid:durableId="997727388">
    <w:abstractNumId w:val="7"/>
  </w:num>
  <w:num w:numId="25" w16cid:durableId="980885627">
    <w:abstractNumId w:val="14"/>
  </w:num>
  <w:num w:numId="26" w16cid:durableId="1856844720">
    <w:abstractNumId w:val="15"/>
  </w:num>
  <w:num w:numId="27" w16cid:durableId="764350726">
    <w:abstractNumId w:val="16"/>
  </w:num>
  <w:num w:numId="28" w16cid:durableId="1942638265">
    <w:abstractNumId w:val="22"/>
  </w:num>
  <w:num w:numId="29" w16cid:durableId="233127634">
    <w:abstractNumId w:val="23"/>
  </w:num>
  <w:num w:numId="30" w16cid:durableId="170217139">
    <w:abstractNumId w:val="6"/>
  </w:num>
  <w:num w:numId="31" w16cid:durableId="298654712">
    <w:abstractNumId w:val="20"/>
  </w:num>
  <w:num w:numId="32" w16cid:durableId="1862546427">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5"/>
    <w:docVar w:name="AMACTMNU" w:val=" 1"/>
    <w:docVar w:name="AMPLURMNU" w:val=" 1"/>
    <w:docVar w:name="AUTHORMFMNU" w:val=" 2"/>
    <w:docVar w:name="CJMNU" w:val="1"/>
    <w:docVar w:name="CODEMNU" w:val=" 3"/>
    <w:docVar w:name="COM2KEY" w:val="BUDG"/>
    <w:docVar w:name="COMKEY" w:val="BUDG"/>
    <w:docVar w:name="CONTRIBUTIONMNU" w:val=" 2"/>
    <w:docVar w:name="CopyToNetwork" w:val="-1"/>
    <w:docVar w:name="CVar" w:val="1"/>
    <w:docVar w:name="DOCDT" w:val="16/04/2026"/>
    <w:docVar w:name="DOCMNU" w:val=" 1"/>
    <w:docVar w:name="FONCTIONMNU" w:val=" 1"/>
    <w:docVar w:name="iNoAmend" w:val="1"/>
    <w:docVar w:name="LastEditedSection" w:val=" 1"/>
    <w:docVar w:name="ORLANGKEY" w:val="EN"/>
    <w:docVar w:name="ORLANGMNU" w:val=" 1"/>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736397 HideTWBExt;}{\*\cs18 \additive \v\f1\fs20\cf15 _x000d__x000a_\spriority0 \styrsid12736397 HideTWBInt;}{\s19\ql \li0\ri0\nowidctlpar\wrapdefault\aspalpha\aspnum\faauto\adjustright\rin0\lin0\itap0 \rtlch\fcs1 \af0\afs20\alang1025 \ltrch\fcs0 \b\fs24\lang2057\langfe2057\cgrid\langnp2057\langfenp2057 _x000d__x000a_\sbasedon0 \snext19 \spriority0 \styrsid12736397 NormalBold;}{\s20\ql \li0\ri0\sa120\nowidctlpar\wrapdefault\aspalpha\aspnum\faauto\adjustright\rin0\lin0\itap0 \rtlch\fcs1 \af0\afs20\alang1025 \ltrch\fcs0 _x000d__x000a_\fs24\lang2057\langfe2057\cgrid\langnp2057\langfenp2057 \sbasedon0 \snext20 \spriority0 \styrsid12736397 Normal6a;}{\s21\qc \li0\ri0\sa240\nowidctlpar\wrapdefault\aspalpha\aspnum\faauto\adjustright\rin0\lin0\itap0 \rtlch\fcs1 \af0\afs20\alang1025 _x000d__x000a_\ltrch\fcs0 \i\fs24\lang2057\langfe2057\cgrid\langnp2057\langfenp2057 \sbasedon0 \snext21 \spriority0 \styrsid1273639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2736397 AmNumberTabs;}{\s23\ql \li0\ri0\sa240\nowidctlpar\wrapdefault\aspalpha\aspnum\faauto\adjustright\rin0\lin0\itap0 \rtlch\fcs1 _x000d__x000a_\af0\afs20\alang1025 \ltrch\fcs0 \i\fs24\lang2057\langfe2057\cgrid\langnp2057\langfenp2057 \sbasedon0 \snext23 \spriority0 \styrsid12736397 AmJustText;}{_x000d__x000a_\s24\qc \li0\ri0\sb240\sa240\nowidctlpar\wrapdefault\aspalpha\aspnum\faauto\adjustright\rin0\lin0\itap0 \rtlch\fcs1 \af0\afs20\alang1025 \ltrch\fcs0 \i\fs24\lang2057\langfe2057\cgrid\langnp2057\langfenp2057 _x000d__x000a_\sbasedon0 \snext24 \spriority0 \styrsid12736397 AmCrossRef;}{\s25\qc \li0\ri0\sb240\sa240\keepn\nowidctlpar\wrapdefault\aspalpha\aspnum\faauto\adjustright\rin0\lin0\itap0 \rtlch\fcs1 \af0\afs20\alang1025 \ltrch\fcs0 _x000d__x000a_\i\fs24\lang2057\langfe2057\cgrid\langnp2057\langfenp2057 \sbasedon0 \snext23 \spriority0 \styrsid12736397 AmJustTitle;}{\s26\ql \li0\ri0\sb240\nowidctlpar\wrapdefault\aspalpha\aspnum\faauto\adjustright\rin0\lin0\itap0 \rtlch\fcs1 \af0\afs20\alang1025 _x000d__x000a_\ltrch\fcs0 \b\fs24\lang2057\langfe2057\cgrid\langnp2057\langfenp2057 \sbasedon0 \snext26 \spriority0 \styrsid12736397 NormalBold12b;}}{\*\rsidtbl \rsid24658\rsid223860\rsid735077\rsid1718133\rsid2892074\rsid3565327\rsid4666813\rsid6428913\rsid6641733_x000d__x000a_\rsid7823322\rsid9636012\rsid10377208\rsid11144271\rsid11215221\rsid11549030\rsid12154954\rsid12736397\rsid14382809\rsid14424199\rsid15204470\rsid15285974\rsid15950462\rsid16324206\rsid16662270}{\mmathPr\mmathFont34\mbrkBin0\mbrkBinSub0\msmallFrac0_x000d__x000a_\mdispDef1\mlMargin0\mrMargin0\mdefJc1\mwrapIndent1440\mintLim0\mnaryLim1}{\info{\author HOPPE Nina}{\operator HOPPE Nina}{\creatim\yr2026\mo6\dy23\hr17\min51}{\revtim\yr2026\mo6\dy23\hr17\min51}{\version1}{\edmins0}{\nofpages1}{\nofwords105}_x000d__x000a_{\nofchars596}{\nofcharsws69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736397\newtblstyruls\nogrowautofit\usenormstyforlist\noindnmbrts\felnbrelev\nocxsptable\indrlsweleven\noafcnsttbl\afelev\utinl\hwelev\spltpgpar\notcvasp\notbrkcnstfrctbl\notvatxbx\krnprsnet\cachedcolbal _x000d__x000a_\nouicompat \fet0{\*\wgrffmtfilter 013f}\nofeaturethrottle1\ilfomacatclnup0{\*\template C:\\Users\\nhoppe\\AppData\\Local\\Temp\\Blank1.dotx}{\*\ftnsep \ltrpar \pard\plain \ltrpar_x000d__x000a_\ql \li0\ri0\widctlpar\wrapdefault\aspalpha\aspnum\faauto\adjustright\rin0\lin0\itap0 \rtlch\fcs1 \af0\afs20\alang1025 \ltrch\fcs0 \fs24\lang2057\langfe2057\cgrid\langnp2057\langfenp2057 {\rtlch\fcs1 \af0 \ltrch\fcs0 \insrsid11144271 \chftnsep _x000d__x000a_\par }}{\*\ftnsepc \ltrpar \pard\plain \ltrpar\ql \li0\ri0\widctlpar\wrapdefault\aspalpha\aspnum\faauto\adjustright\rin0\lin0\itap0 \rtlch\fcs1 \af0\afs20\alang1025 \ltrch\fcs0 \fs24\lang2057\langfe2057\cgrid\langnp2057\langfenp2057 {\rtlch\fcs1 \af0 _x000d__x000a_\ltrch\fcs0 \insrsid11144271 \chftnsepc _x000d__x000a_\par }}{\*\aftnsep \ltrpar \pard\plain \ltrpar\ql \li0\ri0\widctlpar\wrapdefault\aspalpha\aspnum\faauto\adjustright\rin0\lin0\itap0 \rtlch\fcs1 \af0\afs20\alang1025 \ltrch\fcs0 \fs24\lang2057\langfe2057\cgrid\langnp2057\langfenp2057 {\rtlch\fcs1 \af0 _x000d__x000a_\ltrch\fcs0 \insrsid11144271 \chftnsep _x000d__x000a_\par }}{\*\aftnsepc \ltrpar \pard\plain \ltrpar\ql \li0\ri0\widctlpar\wrapdefault\aspalpha\aspnum\faauto\adjustright\rin0\lin0\itap0 \rtlch\fcs1 \af0\afs20\alang1025 \ltrch\fcs0 \fs24\lang2057\langfe2057\cgrid\langnp2057\langfenp2057 {\rtlch\fcs1 \af0 _x000d__x000a_\ltrch\fcs0 \insrsid111442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8260084 \rtlch\fcs1 _x000d__x000a_\af0\afs20\alang1025 \ltrch\fcs0 \b\fs24\lang2057\langfe2057\cgrid\langnp2057\langfenp2057 {\rtlch\fcs1 \af0 \ltrch\fcs0 \cs17\b0\v\fs20\cf9\lang1024\langfe1024\loch\af1\hich\af1\dbch\af31501\noproof\insrsid12736397\charrsid1459576 {\*\bkmkstart restart}_x000d__x000a_\hich\af1\dbch\af31501\loch\f1 &lt;Amend&gt;}{\rtlch\fcs1 \af0 \ltrch\fcs0 \insrsid12736397\charrsid1459576 Amendment\tab \tab }{\rtlch\fcs1 \af0 \ltrch\fcs0 _x000d__x000a_\cs17\b0\v\fs20\cf9\lang1024\langfe1024\loch\af1\hich\af1\dbch\af31501\noproof\insrsid12736397\charrsid1459576 \hich\af1\dbch\af31501\loch\f1 &lt;NumAm&gt;}{\rtlch\fcs1 \af0 \ltrch\fcs0 \insrsid12736397\charrsid1459576 #}{\rtlch\fcs1 \af0 \ltrch\fcs0 _x000d__x000a_\cs18\v\f1\fs20\cf15\insrsid12736397\charrsid1459576 ENMIENDA@NRAM@}{\rtlch\fcs1 \af0 \ltrch\fcs0 \insrsid12736397\charrsid1459576 #}{\rtlch\fcs1 \af0 \ltrch\fcs0 _x000d__x000a_\cs17\b0\v\fs20\cf9\lang1024\langfe1024\loch\af1\hich\af1\dbch\af31501\noproof\insrsid12736397\charrsid1459576 \hich\af1\dbch\af31501\loch\f1 &lt;/NumAm&gt;}{\rtlch\fcs1 \af0 \ltrch\fcs0 \insrsid12736397\charrsid1459576 _x000d__x000a_\par }\pard\plain \ltrpar\s26\ql \li0\ri0\sb240\keepn\nowidctlpar\wrapdefault\aspalpha\aspnum\faauto\adjustright\rin0\lin0\itap0\pararsid8260084 \rtlch\fcs1 \af0\afs20\alang1025 \ltrch\fcs0 \b\fs24\lang2057\langfe2057\cgrid\langnp2057\langfenp2057 {_x000d__x000a_\rtlch\fcs1 \af0 \ltrch\fcs0 \cs17\b0\v\fs20\cf9\lang1024\langfe1024\loch\af1\hich\af1\dbch\af31501\noproof\insrsid12736397\charrsid1459576 \hich\af1\dbch\af31501\loch\f1 &lt;DocAmend&gt;}{\rtlch\fcs1 \af0 \ltrch\fcs0 \insrsid12736397\charrsid1459576 #}{_x000d__x000a_\rtlch\fcs1 \af0 \ltrch\fcs0 \cs18\v\f1\fs20\cf15\insrsid12736397\charrsid1459576 MNU[PROPCOM][PROPCOUNC]@CHOICE@TITLEMNU}{\rtlch\fcs1 \af0 \ltrch\fcs0 \insrsid12736397\charrsid1459576 ##}{\rtlch\fcs1 \af0 \ltrch\fcs0 _x000d__x000a_\cs18\v\f1\fs20\cf15\insrsid12736397\charrsid1459576 MNU[AMACTYES][NOTAPP]@CHOICE@AMACTMNU}{\rtlch\fcs1 \af0 \ltrch\fcs0 \insrsid12736397\charrsid1459576 #}{\rtlch\fcs1 \af0 \ltrch\fcs0 _x000d__x000a_\cs17\b0\v\fs20\cf9\lang1024\langfe1024\loch\af1\hich\af1\dbch\af31501\noproof\insrsid12736397\charrsid1459576 \hich\af1\dbch\af31501\loch\f1 &lt;/DocAmend&gt;}{\rtlch\fcs1 \af0 \ltrch\fcs0 \insrsid12736397\charrsid1459576 _x000d__x000a_\par }\pard\plain \ltrpar\s19\ql \li0\ri0\nowidctlpar\wrapdefault\aspalpha\aspnum\faauto\adjustright\rin0\lin0\itap0\pararsid8260084 \rtlch\fcs1 \af0\afs20\alang1025 \ltrch\fcs0 \b\fs24\lang2057\langfe2057\cgrid\langnp2057\langfenp2057 {\rtlch\fcs1 \af0 _x000d__x000a_\ltrch\fcs0 \cs17\b0\v\fs20\cf9\lang1024\langfe1024\loch\af1\hich\af1\dbch\af31501\noproof\insrsid12736397\charrsid1459576 \hich\af1\dbch\af31501\loch\f1 &lt;Article&gt;}{\rtlch\fcs1 \af0 \ltrch\fcs0 \insrsid12736397\charrsid1459576 #}{\rtlch\fcs1 \af0 _x000d__x000a_\ltrch\fcs0 \cs18\v\f1\fs20\cf15\insrsid12736397\charrsid1459576 MNU[AMACTPARTYES][AMACTPARTNO]@CHOICE@AMACTMNU}{\rtlch\fcs1 \af0 \ltrch\fcs0 \insrsid12736397\charrsid1459576 #}{\rtlch\fcs1 \af0 \ltrch\fcs0 _x000d__x000a_\cs17\b0\v\fs20\cf9\lang1024\langfe1024\loch\af1\hich\af1\dbch\af31501\noproof\insrsid12736397\charrsid1459576 \hich\af1\dbch\af31501\loch\f1 &lt;/Article&gt;}{\rtlch\fcs1 \af0 \ltrch\fcs0 \insrsid12736397\charrsid1459576 _x000d__x000a_\par }\pard\plain \ltrpar\ql \li0\ri0\keepn\widctlpar\wrapdefault\aspalpha\aspnum\faauto\adjustright\rin0\lin0\itap0\pararsid8260084 \rtlch\fcs1 \af0\afs20\alang1025 \ltrch\fcs0 \fs24\lang2057\langfe2057\cgrid\langnp2057\langfenp2057 {\rtlch\fcs1 \af0 _x000d__x000a_\ltrch\fcs0 \cs17\v\fs20\cf9\lang1024\langfe1024\loch\af1\hich\af1\dbch\af31501\noproof\insrsid12736397\charrsid1459576 \hich\af1\dbch\af31501\loch\f1 &lt;DocAmend2&gt;&lt;OptDel&gt;}{\rtlch\fcs1 \af0 \ltrch\fcs0 \insrsid12736397\charrsid1459576 #}{\rtlch\fcs1 \af0 _x000d__x000a_\ltrch\fcs0 \cs18\v\f1\fs20\cf15\insrsid12736397\charrsid1459576 MNU[OPTNRACTYES][NOTAPP]@CHOICE@AMACTMNU}{\rtlch\fcs1 \af0 \ltrch\fcs0 \insrsid12736397\charrsid1459576 #}{\rtlch\fcs1 \af0 \ltrch\fcs0 _x000d__x000a_\cs17\v\fs20\cf9\lang1024\langfe1024\loch\af1\hich\af1\dbch\af31501\noproof\insrsid12736397\charrsid1459576 \hich\af1\dbch\af31501\loch\f1 &lt;/OptDel&gt;&lt;/DocAmend2&gt;}{\rtlch\fcs1 \af0 \ltrch\fcs0 \insrsid12736397\charrsid1459576 _x000d__x000a_\par }\pard \ltrpar\ql \li0\ri0\widctlpar\wrapdefault\aspalpha\aspnum\faauto\adjustright\rin0\lin0\itap0\pararsid8260084 {\rtlch\fcs1 \af0 \ltrch\fcs0 \cs17\v\fs20\cf9\lang1024\langfe1024\loch\af1\hich\af1\dbch\af31501\noproof\insrsid12736397\charrsid1459576 _x000d__x000a_\hich\af1\dbch\af31501\loch\f1 &lt;Article2&gt;&lt;OptDel&gt;}{\rtlch\fcs1 \af0 \ltrch\fcs0 \insrsid12736397\charrsid1459576 #}{\rtlch\fcs1 \af0 \ltrch\fcs0 \cs18\v\f1\fs20\cf15\insrsid12736397\charrsid1459576 MNU[OPTACTPARTYES][NOTAPP]@CHOICE@AMACTMNU}{\rtlch\fcs1 _x000d__x000a_\af0 \ltrch\fcs0 \insrsid12736397\charrsid1459576 #}{\rtlch\fcs1 \af0 \ltrch\fcs0 \cs17\v\fs20\cf9\lang1024\langfe1024\loch\af1\hich\af1\dbch\af31501\noproof\insrsid12736397\charrsid1459576 \hich\af1\dbch\af31501\loch\f1 &lt;/OptDel&gt;&lt;/Article2&gt;}{\rtlch\fcs1 _x000d__x000a_\af0 \ltrch\fcs0 \insrsid12736397\charrsid1459576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insrsid12736397\charrsid1459576 \cell }\pard \ltrpar\ql \li0\ri0\widctlpar\intbl\wrapdefault\aspalpha\aspnum\faauto\adjustright\rin0\lin0 {\rtlch\fcs1 \af0 \ltrch\fcs0 \insrsid12736397\charrsid1459576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2057\langfe2057\cgrid\langnp2057\langfenp2057 {_x000d__x000a_\rtlch\fcs1 \af0 \ltrch\fcs0 \insrsid12736397\charrsid1459576 #}{\rtlch\fcs1 \af0 \ltrch\fcs0 \cs18\v\f1\fs20\cf15\insrsid12736397\charrsid1459576 MNU[OPTLEFTAMACT][LEFTPROP]@CHOICE@AMACTMNU}{\rtlch\fcs1 \af0 \ltrch\fcs0 \insrsid12736397\charrsid1459576 #_x000d__x000a_\cell Amendment\cell }\pard\plain \ltrpar\ql \li0\ri0\widctlpar\intbl\wrapdefault\aspalpha\aspnum\faauto\adjustright\rin0\lin0 \rtlch\fcs1 \af0\afs20\alang1025 \ltrch\fcs0 \fs24\lang2057\langfe2057\cgrid\langnp2057\langfenp2057 {\rtlch\fcs1 \af0 _x000d__x000a_\ltrch\fcs0 \insrsid12736397\charrsid1459576 \trowd \ltrrow\ts11\trqc\trgaph340\trleft-340\trftsWidth3\trftsWidthB3\trpaddl340\trpaddr340\trpaddfl3\trpaddft3\trpaddfb3\trpaddfr3\tblrsid11085200\tbllkhdrrows\tbllkhdrcols\tbllknocolband\tblind0\tblindtype3 _x000d__x000a_\clvertalt\clbrdrt\brdrtbl \clbrdrl\brdrtbl \clbrdrb\brdrtbl \clbrdrr\brdrtbl \cltxlrtb\clftsWidth3\clwWidth4876\clshdrawnil\clhidemark \cellx4536\clvertalt\clbrdrt\brdrtbl \clbrdrl\brdrtbl \clbrdrb\brdrtbl \clbrdrr\brdrtbl _x000d__x000a_\cltxlrtb\clftsWidth3\clwWidth4876\clshdrawnil\clhidemark \cellx9412\row \ltrrow}\pard\plain \ltrpar\s20\ql \li0\ri0\sa120\nowidctlpar\intbl\wrapdefault\aspalpha\aspnum\faauto\adjustright\rin0\lin0\pararsid11085200 \rtlch\fcs1 \af0\afs20\alang1025 _x000d__x000a_\ltrch\fcs0 \fs24\lang2057\langfe2057\cgrid\langnp2057\langfenp2057 {\rtlch\fcs1 \af0 \ltrch\fcs0 \insrsid12736397\charrsid1459576 #}{\rtlch\fcs1 \af0 \ltrch\fcs0 \cs18\v\f1\fs20\cf15\insrsid12736397\charrsid1459576 _x000d__x000a_MNU[TEXTLEVA][TEXTLOTHER]@CHOICE@TEXTRMNU}{\rtlch\fcs1 \af0 \ltrch\fcs0 \insrsid12736397\charrsid1459576 #\cell #}{\rtlch\fcs1 \af0 \ltrch\fcs0 \cs18\v\f1\fs20\cf15\insrsid12736397\charrsid1459576 MNU[TEXTREVA][TEXTROTHER]@CHOICE@TEXTRMNU}{\rtlch\fcs1 _x000d__x000a_\af0 \ltrch\fcs0 \insrsid12736397\charrsid1459576 #\cell }\pard\plain \ltrpar\ql \li0\ri0\widctlpar\intbl\wrapdefault\aspalpha\aspnum\faauto\adjustright\rin0\lin0 \rtlch\fcs1 \af0\afs20\alang1025 \ltrch\fcs0 _x000d__x000a_\fs24\lang2057\langfe2057\cgrid\langnp2057\langfenp2057 {\rtlch\fcs1 \af0 \ltrch\fcs0 \insrsid12736397\charrsid1459576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4\qc \li0\ri0\sb240\sa240\nowidctlpar\wrapdefault\aspalpha\aspnum\faauto\adjustright\rin0\lin0\itap0\pararsid8260084 \rtlch\fcs1 \af0\afs20\alang1025 \ltrch\fcs0 \i\fs24\lang2057\langfe2057\cgrid\langnp2057\langfenp2057 {_x000d__x000a_\rtlch\fcs1 \af0 \ltrch\fcs0 \cs17\i0\v\fs20\cf9\lang1024\langfe1024\loch\af1\hich\af1\dbch\af31501\noproof\insrsid12736397\charrsid1459576 \hich\af1\dbch\af31501\loch\f1 &lt;OptDel&gt;}{\rtlch\fcs1 \af0 \ltrch\fcs0 \insrsid12736397\charrsid1459576 #}{_x000d__x000a_\rtlch\fcs1 \af0 \ltrch\fcs0 \cs18\v\f1\fs20\cf15\insrsid12736397\charrsid1459576 MNU[CROSSREFNO][CROSSREFYES]@CHOICE@}{\rtlch\fcs1 \af0 \ltrch\fcs0 \insrsid12736397\charrsid1459576 #}{\rtlch\fcs1 \af0 \ltrch\fcs0 _x000d__x000a_\cs17\i0\v\fs20\cf9\lang1024\langfe1024\loch\af1\hich\af1\dbch\af31501\noproof\insrsid12736397\charrsid1459576 \hich\af1\dbch\af31501\loch\f1 &lt;/OptDel&gt;}{\rtlch\fcs1 \af0 \ltrch\fcs0 \insrsid12736397\charrsid1459576 _x000d__x000a_\par }\pard\plain \ltrpar\s25\qc \li0\ri0\sb240\sa240\keepn\nowidctlpar\wrapdefault\aspalpha\aspnum\faauto\adjustright\rin0\lin0\itap0\pararsid8260084 \rtlch\fcs1 \af0\afs20\alang1025 \ltrch\fcs0 \i\fs24\lang2057\langfe2057\cgrid\langnp2057\langfenp2057 {_x000d__x000a_\rtlch\fcs1 \af0 \ltrch\fcs0 \cs17\i0\v\fs20\cf9\lang1024\langfe1024\loch\af1\hich\af1\dbch\af31501\noproof\insrsid12736397\charrsid1459576 \hich\af1\dbch\af31501\loch\f1 &lt;TitreJust&gt;}{\rtlch\fcs1 \af0 \ltrch\fcs0 \insrsid12736397\charrsid1459576 _x000d__x000a_Justification}{\rtlch\fcs1 \af0 \ltrch\fcs0 \cs17\i0\v\fs20\cf9\lang1024\langfe1024\loch\af1\hich\af1\dbch\af31501\noproof\insrsid12736397\charrsid1459576 \hich\af1\dbch\af31501\loch\f1 &lt;/TitreJust&gt;}{\rtlch\fcs1 \af0 \ltrch\fcs0 _x000d__x000a_\insrsid12736397\charrsid1459576 _x000d__x000a_\par }\pard\plain \ltrpar\s23\ql \li0\ri0\sa240\nowidctlpar\wrapdefault\aspalpha\aspnum\faauto\adjustright\rin0\lin0\itap0\pararsid8260084 \rtlch\fcs1 \af0\afs20\alang1025 \ltrch\fcs0 \i\fs24\lang2057\langfe2057\cgrid\langnp2057\langfenp2057 {\rtlch\fcs1 \af0 _x000d__x000a_\ltrch\fcs0 \cs17\i0\v\fs20\cf9\lang1024\langfe1024\loch\af1\hich\af1\dbch\af31501\noproof\insrsid12736397\charrsid1459576 \hich\af1\dbch\af31501\loch\f1 &lt;OptDelPrev&gt;}{\rtlch\fcs1 \af0 \ltrch\fcs0 \insrsid12736397\charrsid1459576 #}{\rtlch\fcs1 \af0 _x000d__x000a_\ltrch\fcs0 \cs18\v\f1\fs20\cf15\insrsid12736397\charrsid1459576 MNU[TEXTJUSTYES][TEXTJUSTNO]@CHOICE@}{\rtlch\fcs1 \af0 \ltrch\fcs0 \insrsid12736397\charrsid1459576 #}{\rtlch\fcs1 \af0 \ltrch\fcs0 _x000d__x000a_\cs17\i0\v\fs20\cf9\lang1024\langfe1024\loch\af1\hich\af1\dbch\af31501\noproof\insrsid12736397\charrsid1459576 \hich\af1\dbch\af31501\loch\f1 &lt;/OptDelPrev&gt;}{\rtlch\fcs1 \af0 \ltrch\fcs0 \insrsid12736397\charrsid1459576 _x000d__x000a_\par }\pard\plain \ltrpar\ql \li0\ri0\widctlpar\wrapdefault\aspalpha\aspnum\faauto\adjustright\rin0\lin0\itap0\pararsid8260084 \rtlch\fcs1 \af0\afs20\alang1025 \ltrch\fcs0 \fs24\lang2057\langfe2057\cgrid\langnp2057\langfenp2057 {\rtlch\fcs1 \af0 \ltrch\fcs0 _x000d__x000a_\cs17\v\fs20\cf9\lang1024\langfe1024\loch\af1\hich\af1\dbch\af31501\noproof\insrsid12736397\charrsid1459576 \hich\af1\dbch\af31501\loch\f1 &lt;/Amend&gt;}{\rtlch\fcs1 \af0 \ltrch\fcs0 \insrsid12736397\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b5_x000d__x000a_dd2e28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7184 HideTWBExt;}{_x000d__x000a_\s18\ql \li0\ri0\nowidctlpar\wrapdefault\aspalpha\aspnum\faauto\adjustright\rin0\lin0\itap0 \rtlch\fcs1 \af0\afs20\alang1025 \ltrch\fcs0 \b\fs24\lang2057\langfe2057\cgrid\langnp2057\langfenp2057 \sbasedon0 \snext18 \spriority0 \styrsid15027184 _x000d__x000a_NormalBold;}{\s19\ql \li0\ri0\sa120\nowidctlpar\wrapdefault\aspalpha\aspnum\faauto\adjustright\rin0\lin0\itap0 \rtlch\fcs1 \af0\afs20\alang1025 \ltrch\fcs0 \fs24\lang2057\langfe2057\cgrid\langnp2057\langfenp2057 _x000d__x000a_\sbasedon0 \snext19 \spriority0 \styrsid15027184 Normal6a;}{\s20\qc \li0\ri0\sa240\nowidctlpar\wrapdefault\aspalpha\aspnum\faauto\adjustright\rin0\lin0\itap0 \rtlch\fcs1 \af0\afs20\alang1025 \ltrch\fcs0 _x000d__x000a_\i\fs24\lang2057\langfe2057\cgrid\langnp2057\langfenp2057 \sbasedon0 \snext20 \spriority0 \styrsid1502718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027184 AmNumberTabs;}{\s22\ql \li0\ri0\sa240\nowidctlpar\wrapdefault\aspalpha\aspnum\faauto\adjustright\rin0\lin0\itap0 \rtlch\fcs1 _x000d__x000a_\af0\afs20\alang1025 \ltrch\fcs0 \i\fs24\lang2057\langfe2057\cgrid\langnp2057\langfenp2057 \sbasedon0 \snext22 \spriority0 \styrsid15027184 AmJustText;}{_x000d__x000a_\s23\qc \li0\ri0\sb240\sa240\nowidctlpar\wrapdefault\aspalpha\aspnum\faauto\adjustright\rin0\lin0\itap0 \rtlch\fcs1 \af0\afs20\alang1025 \ltrch\fcs0 \i\fs24\lang2057\langfe2057\cgrid\langnp2057\langfenp2057 _x000d__x000a_\sbasedon0 \snext23 \spriority0 \styrsid15027184 AmCrossRef;}{\s24\qc \li0\ri0\sb240\sa240\keepn\nowidctlpar\wrapdefault\aspalpha\aspnum\faauto\adjustright\rin0\lin0\itap0 \rtlch\fcs1 \af0\afs20\alang1025 \ltrch\fcs0 _x000d__x000a_\i\fs24\lang2057\langfe2057\cgrid\langnp2057\langfenp2057 \sbasedon0 \snext22 \spriority0 \styrsid15027184 AmJustTitle;}{\s25\ql \li0\ri0\sb240\nowidctlpar\wrapdefault\aspalpha\aspnum\faauto\adjustright\rin0\lin0\itap0 \rtlch\fcs1 \af0\afs20\alang1025 _x000d__x000a_\ltrch\fcs0 \b\fs24\lang2057\langfe2057\cgrid\langnp2057\langfenp2057 \sbasedon0 \snext25 \spriority0 \styrsid15027184 NormalBold12b;}}{\*\rsidtbl \rsid24658\rsid223860\rsid735077\rsid1718133\rsid2892074\rsid3565327\rsid4666813\rsid6428913\rsid6641733_x000d__x000a_\rsid7823322\rsid9636012\rsid10377208\rsid11215221\rsid11549030\rsid12154954\rsid12350683\rsid14382809\rsid14424199\rsid15027184\rsid15204470\rsid15285974\rsid15950462\rsid16324206\rsid16662270}{\mmathPr\mmathFont34\mbrkBin0\mbrkBinSub0\msmallFrac0_x000d__x000a_\mdispDef1\mlMargin0\mrMargin0\mdefJc1\mwrapIndent1440\mintLim0\mnaryLim1}{\info{\author HOPPE Nina}{\operator HOPPE Nina}{\creatim\yr2026\mo6\dy23\hr17\min51}{\revtim\yr2026\mo6\dy23\hr17\min51}{\version1}{\edmins0}{\nofpages1}{\nofwords55}{\nofchars312}_x000d__x000a_{\nofcharsws36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7184\newtblstyruls\nogrowautofit\usenormstyforlist\noindnmbrts\felnbrelev\nocxsptable\indrlsweleven\noafcnsttbl\afelev\utinl\hwelev\spltpgpar\notcvasp\notbrkcnstfrctbl\notvatxbx\krnprsnet\cachedcolbal _x000d__x000a_\nouicompat \fet0{\*\wgrffmtfilter 013f}\nofeaturethrottle1\ilfomacatclnup0{\*\template C:\\Users\\nhoppe\\AppData\\Local\\Temp\\Blank1.dotx}{\*\ftnsep \ltrpar \pard\plain \ltrpar_x000d__x000a_\ql \li0\ri0\widctlpar\wrapdefault\aspalpha\aspnum\faauto\adjustright\rin0\lin0\itap0 \rtlch\fcs1 \af0\afs20\alang1025 \ltrch\fcs0 \fs24\lang2057\langfe2057\cgrid\langnp2057\langfenp2057 {\rtlch\fcs1 \af0 \ltrch\fcs0 \insrsid12350683 \chftnsep _x000d__x000a_\par }}{\*\ftnsepc \ltrpar \pard\plain \ltrpar\ql \li0\ri0\widctlpar\wrapdefault\aspalpha\aspnum\faauto\adjustright\rin0\lin0\itap0 \rtlch\fcs1 \af0\afs20\alang1025 \ltrch\fcs0 \fs24\lang2057\langfe2057\cgrid\langnp2057\langfenp2057 {\rtlch\fcs1 \af0 _x000d__x000a_\ltrch\fcs0 \insrsid12350683 \chftnsepc _x000d__x000a_\par }}{\*\aftnsep \ltrpar \pard\plain \ltrpar\ql \li0\ri0\widctlpar\wrapdefault\aspalpha\aspnum\faauto\adjustright\rin0\lin0\itap0 \rtlch\fcs1 \af0\afs20\alang1025 \ltrch\fcs0 \fs24\lang2057\langfe2057\cgrid\langnp2057\langfenp2057 {\rtlch\fcs1 \af0 _x000d__x000a_\ltrch\fcs0 \insrsid12350683 \chftnsep _x000d__x000a_\par }}{\*\aftnsepc \ltrpar \pard\plain \ltrpar\ql \li0\ri0\widctlpar\wrapdefault\aspalpha\aspnum\faauto\adjustright\rin0\lin0\itap0 \rtlch\fcs1 \af0\afs20\alang1025 \ltrch\fcs0 \fs24\lang2057\langfe2057\cgrid\langnp2057\langfenp2057 {\rtlch\fcs1 \af0 _x000d__x000a_\ltrch\fcs0 \insrsid123506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15027184 {\*\bkmkstart restart}_x000d__x000a_\hich\af1\dbch\af31501\loch\f1 &lt;Amend&gt;}{\rtlch\fcs1 \af0 \ltrch\fcs0 \lang1030\langfe2057\langnp1030\insrsid15027184 [ZAMENDMENT]\tab \tab }{\rtlch\fcs1 \af0 \ltrch\fcs0 _x000d__x000a_\cs17\b0\v\fs20\cf9\lang1024\langfe1024\loch\af1\hich\af1\dbch\af31501\noproof\langnp1030\insrsid15027184 \hich\af1\dbch\af31501\loch\f1 &lt;NumAm&gt;}{\rtlch\fcs1 \af0 \ltrch\fcs0 \lang1030\langfe2057\langnp1030\insrsid15027184 [ZNRAM]}{\rtlch\fcs1 \af0 _x000d__x000a_\ltrch\fcs0 \cs17\b0\v\fs20\cf9\lang1024\langfe1024\loch\af1\hich\af1\dbch\af31501\noproof\langnp1030\insrsid15027184 \hich\af1\dbch\af31501\loch\f1 &lt;/NumAm&gt;}{\rtlch\fcs1 \af0 \ltrch\fcs0 \lang1030\langfe2057\langnp1030\insrsid15027184 _x000d__x000a_\par }\pard\plain \ltrpar\s25\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15027184 \hich\af1\dbch\af31501\loch\f1 &lt;DocAmend&gt;}{\rtlch\fcs1 \af0 \ltrch\fcs0 \lang1030\langfe2057\langnp1030\insrsid15027184 _x000d__x000a_[ZPROPOSAL][ZAMACT]}{\rtlch\fcs1 \af0 \ltrch\fcs0 \cs17\b0\v\fs20\cf9\lang1024\langfe1024\loch\af1\hich\af1\dbch\af31501\noproof\langnp1030\insrsid15027184 \hich\af1\dbch\af31501\loch\f1 &lt;/DocAmend&gt;}{\rtlch\fcs1 \af0 \ltrch\fcs0 _x000d__x000a_\lang1030\langfe2057\langnp1030\insrsid15027184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15027184 \hich\af1\dbch\af31501\loch\f1 &lt;Article&gt;}{\rtlch\fcs1 \af0 \ltrch\fcs0 \lang1030\langfe2057\langnp1030\insrsid15027184 [ZAMPART]}{_x000d__x000a_\rtlch\fcs1 \af0 \ltrch\fcs0 \cs17\b0\v\fs20\cf9\lang1024\langfe1024\loch\af1\hich\af1\dbch\af31501\noproof\langnp1030\insrsid15027184 \hich\af1\dbch\af31501\loch\f1 &lt;/Article&gt;}{\rtlch\fcs1 \af0 \ltrch\fcs0 \lang1030\langfe2057\langnp1030\insrsid15027184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15027184 \hich\af1\dbch\af31501\loch\f1 &lt;DocAmend2&gt;&lt;OptDel&gt;}{\rtlch\fcs1 \af0 \ltrch\fcs0 \lang1030\langfe2057\langnp1030\insrsid15027184 [ZNRACT]}{_x000d__x000a_\rtlch\fcs1 \af0 \ltrch\fcs0 \cs17\v\fs20\cf9\lang1024\langfe1024\loch\af1\hich\af1\dbch\af31501\noproof\langnp1030\insrsid15027184 \hich\af1\dbch\af31501\loch\f1 &lt;/OptDel&gt;&lt;/DocAmend2&gt;}{\rtlch\fcs1 \af0 \ltrch\fcs0 _x000d__x000a_\lang1030\langfe2057\langnp1030\insrsid15027184 _x000d__x000a_\par }\pard \ltrpar\ql \li0\ri0\widctlpar\wrapdefault\aspalpha\aspnum\faauto\adjustright\rin0\lin0\itap0\pararsid6293919 {\rtlch\fcs1 \af0 \ltrch\fcs0 \cs17\v\fs20\cf9\lang1024\langfe1024\loch\af1\hich\af1\dbch\af31501\noproof\langnp1036\insrsid15027184 _x000d__x000a_\hich\af1\dbch\af31501\loch\f1 &lt;Article2&gt;&lt;OptDel&gt;}{\rtlch\fcs1 \af0 \ltrch\fcs0 \lang1036\langfe2057\langnp1036\insrsid15027184 [ZACTPART]}{\rtlch\fcs1 \af0 \ltrch\fcs0 _x000d__x000a_\cs17\v\fs20\cf9\lang1024\langfe1024\loch\af1\hich\af1\dbch\af31501\noproof\langnp1036\insrsid15027184 \hich\af1\dbch\af31501\loch\f1 &lt;/OptDel&gt;&lt;/Article2&gt;}{\rtlch\fcs1 \af0 \ltrch\fcs0 \lang1036\langfe2057\langnp1036\insrsid15027184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lang1036\langfe2057\langnp1036\insrsid15027184 \cell }\pard \ltrpar\ql \li0\ri0\widctlpar\intbl\wrapdefault\aspalpha\aspnum\faauto\adjustright\rin0\lin0 {\rtlch\fcs1 \af0 \ltrch\fcs0 \insrsid15027184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15027184 [ZLEFT]\cell [ZRIGHT]\cell }\pard\plain \ltrpar\ql \li0\ri0\widctlpar\intbl\wrapdefault\aspalpha\aspnum\faauto\adjustright\rin0\lin0 \rtlch\fcs1 \af0\afs20\alang1025 \ltrch\fcs0 _x000d__x000a_\fs24\lang2057\langfe2057\cgrid\langnp2057\langfenp2057 {\rtlch\fcs1 \af0 \ltrch\fcs0 \insrsid15027184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15027184 [ZTEXTL]\cell [ZTEXTR]\cell }\pard\plain \ltrpar\ql \li0\ri0\widctlpar\intbl\wrapdefault\aspalpha\aspnum\faauto\adjustright\rin0\lin0 \rtlch\fcs1 \af0\afs20\alang1025 \ltrch\fcs0 _x000d__x000a_\fs24\lang2057\langfe2057\cgrid\langnp2057\langfenp2057 {\rtlch\fcs1 \af0 \ltrch\fcs0 \insrsid15027184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15027184 \hich\af1\dbch\af31501\loch\f1 &lt;OptDel&gt;}{\rtlch\fcs1 \af0 \ltrch\fcs0 \insrsid15027184 [ZCROSSREF]}{\rtlch\fcs1 \af0 \ltrch\fcs0 _x000d__x000a_\cs17\i0\v\fs20\cf9\lang1024\langfe1024\loch\af1\hich\af1\dbch\af31501\noproof\insrsid15027184 \hich\af1\dbch\af31501\loch\f1 &lt;/OptDel&gt;}{\rtlch\fcs1 \af0 \ltrch\fcs0 \insrsid15027184 _x000d__x000a_\par }\pard\plain \ltrpar\s24\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15027184 \hich\af1\dbch\af31501\loch\f1 &lt;TitreJust&gt;}{\rtlch\fcs1 \af0 \ltrch\fcs0 \insrsid15027184 [ZJUSTIFICATION]}{\rtlch\fcs1 \af0 _x000d__x000a_\ltrch\fcs0 \cs17\i0\v\fs20\cf9\lang1024\langfe1024\loch\af1\hich\af1\dbch\af31501\noproof\insrsid15027184 \hich\af1\dbch\af31501\loch\f1 &lt;/TitreJust&gt;}{\rtlch\fcs1 \af0 \ltrch\fcs0 \insrsid15027184 _x000d__x000a_\par }\pard\plain \ltrpar\s22\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15027184 \hich\af1\dbch\af31501\loch\f1 &lt;OptDelPrev&gt;}{\rtlch\fcs1 \af0 \ltrch\fcs0 \insrsid15027184 [ZTEXTJUST]}{\rtlch\fcs1 \af0 \ltrch\fcs0 _x000d__x000a_\cs17\i0\v\fs20\cf9\lang1024\langfe1024\loch\af1\hich\af1\dbch\af31501\noproof\insrsid15027184 \hich\af1\dbch\af31501\loch\f1 &lt;/OptDelPrev&gt;}{\rtlch\fcs1 \af0 \ltrch\fcs0 \insrsid15027184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15027184 \hich\af1\dbch\af31501\loch\f1 &lt;/Amend&gt;}{\rtlch\fcs1 \af0 \ltrch\fcs0 \insrsid1502718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6_x000d__x000a_c23028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7"/>
    <w:docVar w:name="TEXTRMNU" w:val="2"/>
    <w:docVar w:name="TITLECODMNU" w:val=" 1"/>
    <w:docVar w:name="TITLEMNU" w:val=" 1"/>
    <w:docVar w:name="TVTAMACTPART" w:val="xx"/>
    <w:docVar w:name="TXTAUTHOR" w:val="Stine Bosse"/>
    <w:docVar w:name="TXTLANGUE" w:val="FR"/>
    <w:docVar w:name="TXTLANGUEMIN" w:val="fr"/>
    <w:docVar w:name="TXTNRC" w:val="0165/2025"/>
    <w:docVar w:name="TXTNRCOM" w:val="(2025)0555"/>
    <w:docVar w:name="TXTNRFIRSTAM" w:val="1"/>
    <w:docVar w:name="TXTNRLASTAM" w:val="1"/>
    <w:docVar w:name="TXTNRPE" w:val="787.644"/>
    <w:docVar w:name="TXTNRPROC" w:val="2025/0555"/>
    <w:docVar w:name="TXTPEorAP" w:val="PE"/>
    <w:docVar w:name="TXTROUTE" w:val="AD\1347975FR.docx"/>
    <w:docVar w:name="TXTTITLE" w:val="regulation of the European Parliament and of the Council on establishing the European Competitiveness Fund ('ECF’), including the specific programme for defence research and innovation activities, repealing Regulations (EU) 2021/522, (EU) 2021/694, (EU) 2021/697, (EU) 2021/783, and amending Regulations (EU) 2021/696, (EU) 2023/588, (EU) [EDIP]"/>
    <w:docVar w:name="TXTVERSION" w:val="04-00"/>
  </w:docVars>
  <w:rsids>
    <w:rsidRoot w:val="00164578"/>
    <w:rsid w:val="00006413"/>
    <w:rsid w:val="00006F54"/>
    <w:rsid w:val="000074F9"/>
    <w:rsid w:val="00007C5D"/>
    <w:rsid w:val="0003367A"/>
    <w:rsid w:val="00041D16"/>
    <w:rsid w:val="0005228C"/>
    <w:rsid w:val="0008432B"/>
    <w:rsid w:val="0008542D"/>
    <w:rsid w:val="00095B6D"/>
    <w:rsid w:val="000A1BD7"/>
    <w:rsid w:val="000D397B"/>
    <w:rsid w:val="000E37E1"/>
    <w:rsid w:val="000E7EBF"/>
    <w:rsid w:val="00120A27"/>
    <w:rsid w:val="00122DBB"/>
    <w:rsid w:val="001231F5"/>
    <w:rsid w:val="00123709"/>
    <w:rsid w:val="00124F60"/>
    <w:rsid w:val="00135121"/>
    <w:rsid w:val="00137619"/>
    <w:rsid w:val="00140BE6"/>
    <w:rsid w:val="001449F5"/>
    <w:rsid w:val="00147F4E"/>
    <w:rsid w:val="0015504C"/>
    <w:rsid w:val="00164578"/>
    <w:rsid w:val="0016635E"/>
    <w:rsid w:val="00173215"/>
    <w:rsid w:val="001746D0"/>
    <w:rsid w:val="001B7393"/>
    <w:rsid w:val="001D2ED9"/>
    <w:rsid w:val="001D79F7"/>
    <w:rsid w:val="001E156F"/>
    <w:rsid w:val="001E272D"/>
    <w:rsid w:val="001E42AF"/>
    <w:rsid w:val="001F21C1"/>
    <w:rsid w:val="001F6454"/>
    <w:rsid w:val="002172E3"/>
    <w:rsid w:val="00226AA2"/>
    <w:rsid w:val="002407F9"/>
    <w:rsid w:val="002410A3"/>
    <w:rsid w:val="0026181F"/>
    <w:rsid w:val="00266986"/>
    <w:rsid w:val="0027109F"/>
    <w:rsid w:val="0027175B"/>
    <w:rsid w:val="00280F17"/>
    <w:rsid w:val="00285E59"/>
    <w:rsid w:val="002B162F"/>
    <w:rsid w:val="002D1717"/>
    <w:rsid w:val="002D28A7"/>
    <w:rsid w:val="002E2F2E"/>
    <w:rsid w:val="002E4AA3"/>
    <w:rsid w:val="002E5832"/>
    <w:rsid w:val="002E6F98"/>
    <w:rsid w:val="002F10DD"/>
    <w:rsid w:val="002F1F5C"/>
    <w:rsid w:val="002F2D70"/>
    <w:rsid w:val="002F46CC"/>
    <w:rsid w:val="00307875"/>
    <w:rsid w:val="00324043"/>
    <w:rsid w:val="00325BCB"/>
    <w:rsid w:val="00325EDE"/>
    <w:rsid w:val="00331944"/>
    <w:rsid w:val="00332AD9"/>
    <w:rsid w:val="003402B9"/>
    <w:rsid w:val="00347254"/>
    <w:rsid w:val="00347D2C"/>
    <w:rsid w:val="00362463"/>
    <w:rsid w:val="00366BA3"/>
    <w:rsid w:val="00367463"/>
    <w:rsid w:val="00367A50"/>
    <w:rsid w:val="0037356F"/>
    <w:rsid w:val="0038310F"/>
    <w:rsid w:val="00390EB2"/>
    <w:rsid w:val="00391AC1"/>
    <w:rsid w:val="00396A0E"/>
    <w:rsid w:val="003B733F"/>
    <w:rsid w:val="003E2402"/>
    <w:rsid w:val="003F2187"/>
    <w:rsid w:val="003F7FD3"/>
    <w:rsid w:val="00412839"/>
    <w:rsid w:val="004129AE"/>
    <w:rsid w:val="00435572"/>
    <w:rsid w:val="00445000"/>
    <w:rsid w:val="004454C8"/>
    <w:rsid w:val="00447AB5"/>
    <w:rsid w:val="00450A7E"/>
    <w:rsid w:val="00452DFC"/>
    <w:rsid w:val="004667D1"/>
    <w:rsid w:val="00485C5C"/>
    <w:rsid w:val="00491675"/>
    <w:rsid w:val="00492915"/>
    <w:rsid w:val="004B12C4"/>
    <w:rsid w:val="004C28FB"/>
    <w:rsid w:val="004C44C0"/>
    <w:rsid w:val="004D120B"/>
    <w:rsid w:val="004E1F21"/>
    <w:rsid w:val="00502773"/>
    <w:rsid w:val="0052315F"/>
    <w:rsid w:val="0052544E"/>
    <w:rsid w:val="00543BDB"/>
    <w:rsid w:val="00561805"/>
    <w:rsid w:val="00573B37"/>
    <w:rsid w:val="00593056"/>
    <w:rsid w:val="005940C3"/>
    <w:rsid w:val="00594C48"/>
    <w:rsid w:val="005A5888"/>
    <w:rsid w:val="005B2F11"/>
    <w:rsid w:val="005C0BDF"/>
    <w:rsid w:val="005D60C6"/>
    <w:rsid w:val="005D6788"/>
    <w:rsid w:val="005D6C18"/>
    <w:rsid w:val="005F31B8"/>
    <w:rsid w:val="006102E7"/>
    <w:rsid w:val="00610E96"/>
    <w:rsid w:val="00615CCE"/>
    <w:rsid w:val="006218F1"/>
    <w:rsid w:val="00624D91"/>
    <w:rsid w:val="00627581"/>
    <w:rsid w:val="00632247"/>
    <w:rsid w:val="0063302C"/>
    <w:rsid w:val="00640C1B"/>
    <w:rsid w:val="00657AFB"/>
    <w:rsid w:val="00670B36"/>
    <w:rsid w:val="00685EBC"/>
    <w:rsid w:val="006965DB"/>
    <w:rsid w:val="006A4D26"/>
    <w:rsid w:val="006A658B"/>
    <w:rsid w:val="006C0424"/>
    <w:rsid w:val="006C6371"/>
    <w:rsid w:val="006C73BF"/>
    <w:rsid w:val="006D5BF7"/>
    <w:rsid w:val="006D7A34"/>
    <w:rsid w:val="0070178F"/>
    <w:rsid w:val="00711697"/>
    <w:rsid w:val="00732498"/>
    <w:rsid w:val="00757C4C"/>
    <w:rsid w:val="007638D0"/>
    <w:rsid w:val="00774493"/>
    <w:rsid w:val="00783992"/>
    <w:rsid w:val="007B0A0D"/>
    <w:rsid w:val="007B5CC7"/>
    <w:rsid w:val="007C2B9E"/>
    <w:rsid w:val="007E3447"/>
    <w:rsid w:val="007F45FF"/>
    <w:rsid w:val="007F621D"/>
    <w:rsid w:val="008113E2"/>
    <w:rsid w:val="008163A5"/>
    <w:rsid w:val="00825069"/>
    <w:rsid w:val="00826466"/>
    <w:rsid w:val="008313E7"/>
    <w:rsid w:val="00832B0E"/>
    <w:rsid w:val="00852263"/>
    <w:rsid w:val="00854CAC"/>
    <w:rsid w:val="00873BF3"/>
    <w:rsid w:val="00884BE7"/>
    <w:rsid w:val="008A32C5"/>
    <w:rsid w:val="008B4173"/>
    <w:rsid w:val="008C069B"/>
    <w:rsid w:val="008C57F5"/>
    <w:rsid w:val="008C6203"/>
    <w:rsid w:val="008D0E20"/>
    <w:rsid w:val="008D29FF"/>
    <w:rsid w:val="008D61E7"/>
    <w:rsid w:val="008E2BE3"/>
    <w:rsid w:val="008E444D"/>
    <w:rsid w:val="008F04B6"/>
    <w:rsid w:val="008F33FC"/>
    <w:rsid w:val="008F7002"/>
    <w:rsid w:val="00903C55"/>
    <w:rsid w:val="00935936"/>
    <w:rsid w:val="00944A7D"/>
    <w:rsid w:val="00955FA7"/>
    <w:rsid w:val="009626A8"/>
    <w:rsid w:val="0097754F"/>
    <w:rsid w:val="0099178F"/>
    <w:rsid w:val="0099493F"/>
    <w:rsid w:val="009A5315"/>
    <w:rsid w:val="009A6D5D"/>
    <w:rsid w:val="009B4E6B"/>
    <w:rsid w:val="009D5714"/>
    <w:rsid w:val="009D75B3"/>
    <w:rsid w:val="009E5925"/>
    <w:rsid w:val="00A0784C"/>
    <w:rsid w:val="00A16BEA"/>
    <w:rsid w:val="00A312B3"/>
    <w:rsid w:val="00A32553"/>
    <w:rsid w:val="00A47E2F"/>
    <w:rsid w:val="00A51B02"/>
    <w:rsid w:val="00A56164"/>
    <w:rsid w:val="00A72C35"/>
    <w:rsid w:val="00A7518B"/>
    <w:rsid w:val="00AB5733"/>
    <w:rsid w:val="00AC49F9"/>
    <w:rsid w:val="00AC5AAD"/>
    <w:rsid w:val="00AE0C44"/>
    <w:rsid w:val="00AE180F"/>
    <w:rsid w:val="00AE5581"/>
    <w:rsid w:val="00AE616C"/>
    <w:rsid w:val="00AE6F0E"/>
    <w:rsid w:val="00AE79AF"/>
    <w:rsid w:val="00B362F7"/>
    <w:rsid w:val="00B525D2"/>
    <w:rsid w:val="00B5456B"/>
    <w:rsid w:val="00B57C2E"/>
    <w:rsid w:val="00B60B2D"/>
    <w:rsid w:val="00B654CD"/>
    <w:rsid w:val="00B74B53"/>
    <w:rsid w:val="00B87BB2"/>
    <w:rsid w:val="00B977C8"/>
    <w:rsid w:val="00BA0F06"/>
    <w:rsid w:val="00BA41A6"/>
    <w:rsid w:val="00BA42D3"/>
    <w:rsid w:val="00BA6913"/>
    <w:rsid w:val="00BB38FF"/>
    <w:rsid w:val="00BC26E4"/>
    <w:rsid w:val="00BD1EAA"/>
    <w:rsid w:val="00BF0AFC"/>
    <w:rsid w:val="00BF6786"/>
    <w:rsid w:val="00C12250"/>
    <w:rsid w:val="00C35359"/>
    <w:rsid w:val="00C52739"/>
    <w:rsid w:val="00C6628F"/>
    <w:rsid w:val="00C7068A"/>
    <w:rsid w:val="00C824DF"/>
    <w:rsid w:val="00C827FF"/>
    <w:rsid w:val="00C8553D"/>
    <w:rsid w:val="00C96F0A"/>
    <w:rsid w:val="00CA112D"/>
    <w:rsid w:val="00CB5CA5"/>
    <w:rsid w:val="00CC4606"/>
    <w:rsid w:val="00CD34AC"/>
    <w:rsid w:val="00CD5E58"/>
    <w:rsid w:val="00CD7E73"/>
    <w:rsid w:val="00CE3DE3"/>
    <w:rsid w:val="00CE3DF2"/>
    <w:rsid w:val="00CE6558"/>
    <w:rsid w:val="00D006EE"/>
    <w:rsid w:val="00D1087F"/>
    <w:rsid w:val="00D171F8"/>
    <w:rsid w:val="00D25904"/>
    <w:rsid w:val="00D2676F"/>
    <w:rsid w:val="00D318E7"/>
    <w:rsid w:val="00D403EF"/>
    <w:rsid w:val="00D6110A"/>
    <w:rsid w:val="00D7202C"/>
    <w:rsid w:val="00D8432D"/>
    <w:rsid w:val="00D86213"/>
    <w:rsid w:val="00D90FF0"/>
    <w:rsid w:val="00D93847"/>
    <w:rsid w:val="00DA5BC9"/>
    <w:rsid w:val="00DB158A"/>
    <w:rsid w:val="00DC40EE"/>
    <w:rsid w:val="00DC4F54"/>
    <w:rsid w:val="00DE19FF"/>
    <w:rsid w:val="00DE56EE"/>
    <w:rsid w:val="00DE7874"/>
    <w:rsid w:val="00E003F3"/>
    <w:rsid w:val="00E00418"/>
    <w:rsid w:val="00E23F2E"/>
    <w:rsid w:val="00E34FFD"/>
    <w:rsid w:val="00E50426"/>
    <w:rsid w:val="00E81BA6"/>
    <w:rsid w:val="00E856D2"/>
    <w:rsid w:val="00E929A7"/>
    <w:rsid w:val="00E952FB"/>
    <w:rsid w:val="00E954C3"/>
    <w:rsid w:val="00EB761F"/>
    <w:rsid w:val="00EC1A4C"/>
    <w:rsid w:val="00ED1250"/>
    <w:rsid w:val="00ED6260"/>
    <w:rsid w:val="00EE48EC"/>
    <w:rsid w:val="00EE5A3F"/>
    <w:rsid w:val="00F0318B"/>
    <w:rsid w:val="00F044A1"/>
    <w:rsid w:val="00F06332"/>
    <w:rsid w:val="00F32B97"/>
    <w:rsid w:val="00F762D0"/>
    <w:rsid w:val="00F8054D"/>
    <w:rsid w:val="00FA5027"/>
    <w:rsid w:val="00FC228C"/>
    <w:rsid w:val="00FC42F1"/>
    <w:rsid w:val="00FC6460"/>
    <w:rsid w:val="00FD0D14"/>
    <w:rsid w:val="00FD4BC4"/>
    <w:rsid w:val="00FE1DD9"/>
    <w:rsid w:val="00FE24DE"/>
    <w:rsid w:val="00FE4A21"/>
    <w:rsid w:val="00FF0C01"/>
    <w:rsid w:val="00FF3DDF"/>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F593CF"/>
  <w15:chartTrackingRefBased/>
  <w15:docId w15:val="{7F1BA0D8-C2CD-4D30-B6E8-AB2FB575E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semiHidden="1"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autoRedefine/>
    <w:rsid w:val="006A4D26"/>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uiPriority w:val="39"/>
    <w:semiHidden/>
  </w:style>
  <w:style w:type="paragraph" w:styleId="TOCHeading">
    <w:name w:val="TOC Heading"/>
    <w:basedOn w:val="Normal"/>
    <w:next w:val="Normal"/>
    <w:uiPriority w:val="39"/>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uiPriority w:val="99"/>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uiPriority w:val="99"/>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link w:val="NormalBoldChar"/>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935936"/>
    <w:rPr>
      <w:sz w:val="20"/>
    </w:rPr>
  </w:style>
  <w:style w:type="character" w:customStyle="1" w:styleId="FootnoteTextChar">
    <w:name w:val="Footnote Text Char"/>
    <w:basedOn w:val="DefaultParagraphFont"/>
    <w:link w:val="FootnoteText"/>
    <w:rsid w:val="00935936"/>
  </w:style>
  <w:style w:type="character" w:styleId="FootnoteReference">
    <w:name w:val="footnote reference"/>
    <w:basedOn w:val="DefaultParagraphFont"/>
    <w:rsid w:val="00935936"/>
    <w:rPr>
      <w:vertAlign w:val="superscript"/>
    </w:rPr>
  </w:style>
  <w:style w:type="character" w:styleId="Hyperlink">
    <w:name w:val="Hyperlink"/>
    <w:basedOn w:val="DefaultParagraphFont"/>
    <w:rsid w:val="00935936"/>
    <w:rPr>
      <w:color w:val="0563C1" w:themeColor="hyperlink"/>
      <w:u w:val="single"/>
    </w:rPr>
  </w:style>
  <w:style w:type="character" w:styleId="UnresolvedMention">
    <w:name w:val="Unresolved Mention"/>
    <w:basedOn w:val="DefaultParagraphFont"/>
    <w:uiPriority w:val="99"/>
    <w:semiHidden/>
    <w:unhideWhenUsed/>
    <w:rsid w:val="00935936"/>
    <w:rPr>
      <w:color w:val="605E5C"/>
      <w:shd w:val="clear" w:color="auto" w:fill="E1DFDD"/>
    </w:rPr>
  </w:style>
  <w:style w:type="paragraph" w:styleId="Footer">
    <w:name w:val="footer"/>
    <w:basedOn w:val="Normal"/>
    <w:link w:val="FooterChar"/>
    <w:uiPriority w:val="99"/>
    <w:rsid w:val="00935936"/>
    <w:pPr>
      <w:tabs>
        <w:tab w:val="center" w:pos="4513"/>
        <w:tab w:val="right" w:pos="9026"/>
      </w:tabs>
    </w:pPr>
  </w:style>
  <w:style w:type="character" w:customStyle="1" w:styleId="FooterChar">
    <w:name w:val="Footer Char"/>
    <w:basedOn w:val="DefaultParagraphFont"/>
    <w:link w:val="Footer"/>
    <w:uiPriority w:val="99"/>
    <w:rsid w:val="00935936"/>
    <w:rPr>
      <w:sz w:val="24"/>
    </w:rPr>
  </w:style>
  <w:style w:type="paragraph" w:styleId="ListBullet4">
    <w:name w:val="List Bullet 4"/>
    <w:basedOn w:val="Normal"/>
    <w:rsid w:val="00492915"/>
    <w:pPr>
      <w:widowControl/>
      <w:numPr>
        <w:numId w:val="2"/>
      </w:numPr>
      <w:tabs>
        <w:tab w:val="clear" w:pos="1134"/>
        <w:tab w:val="num" w:pos="360"/>
      </w:tabs>
      <w:spacing w:before="120" w:after="120"/>
      <w:ind w:left="0" w:firstLine="0"/>
      <w:jc w:val="both"/>
    </w:pPr>
    <w:rPr>
      <w:szCs w:val="22"/>
      <w:lang w:eastAsia="de-DE"/>
    </w:rPr>
  </w:style>
  <w:style w:type="paragraph" w:styleId="ListNumber">
    <w:name w:val="List Number"/>
    <w:basedOn w:val="Normal"/>
    <w:rsid w:val="00492915"/>
    <w:pPr>
      <w:widowControl/>
      <w:numPr>
        <w:numId w:val="6"/>
      </w:numPr>
      <w:tabs>
        <w:tab w:val="clear" w:pos="709"/>
      </w:tabs>
      <w:spacing w:before="120" w:after="120"/>
      <w:ind w:left="0" w:firstLine="0"/>
      <w:jc w:val="both"/>
    </w:pPr>
    <w:rPr>
      <w:szCs w:val="22"/>
      <w:lang w:eastAsia="de-DE"/>
    </w:rPr>
  </w:style>
  <w:style w:type="paragraph" w:customStyle="1" w:styleId="ListBullet1">
    <w:name w:val="List Bullet 1"/>
    <w:basedOn w:val="Normal"/>
    <w:rsid w:val="00492915"/>
    <w:pPr>
      <w:widowControl/>
      <w:numPr>
        <w:numId w:val="1"/>
      </w:numPr>
      <w:tabs>
        <w:tab w:val="clear" w:pos="1134"/>
        <w:tab w:val="num" w:pos="360"/>
      </w:tabs>
      <w:spacing w:before="120" w:after="120"/>
      <w:ind w:left="0" w:firstLine="0"/>
      <w:jc w:val="both"/>
    </w:pPr>
    <w:rPr>
      <w:szCs w:val="22"/>
      <w:lang w:eastAsia="de-DE"/>
    </w:rPr>
  </w:style>
  <w:style w:type="paragraph" w:customStyle="1" w:styleId="ListDash">
    <w:name w:val="List Dash"/>
    <w:basedOn w:val="Normal"/>
    <w:rsid w:val="00492915"/>
    <w:pPr>
      <w:widowControl/>
      <w:numPr>
        <w:numId w:val="3"/>
      </w:numPr>
      <w:tabs>
        <w:tab w:val="clear" w:pos="283"/>
      </w:tabs>
      <w:spacing w:before="120" w:after="120"/>
      <w:ind w:left="0" w:firstLine="0"/>
      <w:jc w:val="both"/>
    </w:pPr>
    <w:rPr>
      <w:szCs w:val="22"/>
      <w:lang w:eastAsia="de-DE"/>
    </w:rPr>
  </w:style>
  <w:style w:type="paragraph" w:customStyle="1" w:styleId="ListDash1">
    <w:name w:val="List Dash 1"/>
    <w:basedOn w:val="Normal"/>
    <w:rsid w:val="00492915"/>
    <w:pPr>
      <w:widowControl/>
      <w:numPr>
        <w:numId w:val="4"/>
      </w:numPr>
      <w:tabs>
        <w:tab w:val="clear" w:pos="1134"/>
      </w:tabs>
      <w:spacing w:before="120" w:after="120"/>
      <w:ind w:left="0" w:firstLine="0"/>
      <w:jc w:val="both"/>
    </w:pPr>
    <w:rPr>
      <w:szCs w:val="22"/>
      <w:lang w:eastAsia="de-DE"/>
    </w:rPr>
  </w:style>
  <w:style w:type="paragraph" w:customStyle="1" w:styleId="ListDash2">
    <w:name w:val="List Dash 2"/>
    <w:basedOn w:val="Normal"/>
    <w:rsid w:val="00492915"/>
    <w:pPr>
      <w:widowControl/>
      <w:numPr>
        <w:numId w:val="5"/>
      </w:numPr>
      <w:tabs>
        <w:tab w:val="clear" w:pos="1134"/>
        <w:tab w:val="num" w:pos="360"/>
      </w:tabs>
      <w:spacing w:before="120" w:after="120"/>
      <w:ind w:left="0" w:firstLine="0"/>
      <w:jc w:val="both"/>
    </w:pPr>
    <w:rPr>
      <w:szCs w:val="22"/>
      <w:lang w:eastAsia="de-DE"/>
    </w:rPr>
  </w:style>
  <w:style w:type="paragraph" w:customStyle="1" w:styleId="ListNumberLevel2">
    <w:name w:val="List Number (Level 2)"/>
    <w:basedOn w:val="Normal"/>
    <w:rsid w:val="00492915"/>
    <w:pPr>
      <w:widowControl/>
      <w:numPr>
        <w:ilvl w:val="1"/>
        <w:numId w:val="6"/>
      </w:numPr>
      <w:tabs>
        <w:tab w:val="clear" w:pos="1417"/>
        <w:tab w:val="num" w:pos="360"/>
      </w:tabs>
      <w:spacing w:before="120" w:after="120"/>
      <w:ind w:left="0" w:firstLine="0"/>
      <w:jc w:val="both"/>
    </w:pPr>
    <w:rPr>
      <w:szCs w:val="22"/>
      <w:lang w:eastAsia="de-DE"/>
    </w:rPr>
  </w:style>
  <w:style w:type="paragraph" w:customStyle="1" w:styleId="ListNumberLevel3">
    <w:name w:val="List Number (Level 3)"/>
    <w:basedOn w:val="Normal"/>
    <w:rsid w:val="00492915"/>
    <w:pPr>
      <w:widowControl/>
      <w:numPr>
        <w:ilvl w:val="2"/>
        <w:numId w:val="6"/>
      </w:numPr>
      <w:tabs>
        <w:tab w:val="clear" w:pos="2126"/>
      </w:tabs>
      <w:spacing w:before="120" w:after="120"/>
      <w:ind w:left="0" w:firstLine="0"/>
      <w:jc w:val="both"/>
    </w:pPr>
    <w:rPr>
      <w:szCs w:val="22"/>
      <w:lang w:eastAsia="de-DE"/>
    </w:rPr>
  </w:style>
  <w:style w:type="paragraph" w:customStyle="1" w:styleId="ListNumberLevel4">
    <w:name w:val="List Number (Level 4)"/>
    <w:basedOn w:val="Normal"/>
    <w:rsid w:val="00492915"/>
    <w:pPr>
      <w:widowControl/>
      <w:numPr>
        <w:ilvl w:val="3"/>
        <w:numId w:val="6"/>
      </w:numPr>
      <w:tabs>
        <w:tab w:val="clear" w:pos="2835"/>
      </w:tabs>
      <w:spacing w:before="120" w:after="120"/>
      <w:ind w:left="0" w:firstLine="0"/>
      <w:jc w:val="both"/>
    </w:pPr>
    <w:rPr>
      <w:szCs w:val="22"/>
      <w:lang w:eastAsia="de-DE"/>
    </w:rPr>
  </w:style>
  <w:style w:type="paragraph" w:styleId="ListBullet">
    <w:name w:val="List Bullet"/>
    <w:basedOn w:val="Normal"/>
    <w:rsid w:val="00492915"/>
    <w:pPr>
      <w:widowControl/>
      <w:numPr>
        <w:numId w:val="7"/>
      </w:numPr>
      <w:tabs>
        <w:tab w:val="clear" w:pos="283"/>
      </w:tabs>
      <w:spacing w:before="120" w:after="120"/>
      <w:ind w:left="0" w:firstLine="0"/>
      <w:jc w:val="both"/>
    </w:pPr>
    <w:rPr>
      <w:szCs w:val="22"/>
    </w:rPr>
  </w:style>
  <w:style w:type="paragraph" w:styleId="ListBullet2">
    <w:name w:val="List Bullet 2"/>
    <w:basedOn w:val="Normal"/>
    <w:rsid w:val="00492915"/>
    <w:pPr>
      <w:widowControl/>
      <w:numPr>
        <w:numId w:val="8"/>
      </w:numPr>
      <w:tabs>
        <w:tab w:val="clear" w:pos="1134"/>
      </w:tabs>
      <w:spacing w:before="120" w:after="120"/>
      <w:ind w:left="0" w:firstLine="0"/>
      <w:jc w:val="both"/>
    </w:pPr>
    <w:rPr>
      <w:szCs w:val="22"/>
    </w:rPr>
  </w:style>
  <w:style w:type="paragraph" w:styleId="ListBullet3">
    <w:name w:val="List Bullet 3"/>
    <w:basedOn w:val="Normal"/>
    <w:rsid w:val="00492915"/>
    <w:pPr>
      <w:widowControl/>
      <w:numPr>
        <w:numId w:val="9"/>
      </w:numPr>
      <w:tabs>
        <w:tab w:val="clear" w:pos="1134"/>
      </w:tabs>
      <w:spacing w:before="120" w:after="120"/>
      <w:ind w:left="0" w:firstLine="0"/>
      <w:jc w:val="both"/>
    </w:pPr>
    <w:rPr>
      <w:szCs w:val="22"/>
    </w:rPr>
  </w:style>
  <w:style w:type="paragraph" w:styleId="ListNumber2">
    <w:name w:val="List Number 2"/>
    <w:basedOn w:val="Normal"/>
    <w:rsid w:val="00492915"/>
    <w:pPr>
      <w:widowControl/>
      <w:numPr>
        <w:numId w:val="13"/>
      </w:numPr>
      <w:tabs>
        <w:tab w:val="clear" w:pos="1560"/>
      </w:tabs>
      <w:spacing w:before="120" w:after="120"/>
      <w:ind w:left="0" w:firstLine="0"/>
      <w:jc w:val="both"/>
    </w:pPr>
    <w:rPr>
      <w:szCs w:val="22"/>
    </w:rPr>
  </w:style>
  <w:style w:type="paragraph" w:styleId="ListNumber3">
    <w:name w:val="List Number 3"/>
    <w:basedOn w:val="Normal"/>
    <w:rsid w:val="00492915"/>
    <w:pPr>
      <w:widowControl/>
      <w:numPr>
        <w:numId w:val="14"/>
      </w:numPr>
      <w:tabs>
        <w:tab w:val="clear" w:pos="1560"/>
      </w:tabs>
      <w:spacing w:before="120" w:after="120"/>
      <w:ind w:left="0" w:firstLine="0"/>
      <w:jc w:val="both"/>
    </w:pPr>
    <w:rPr>
      <w:szCs w:val="22"/>
    </w:rPr>
  </w:style>
  <w:style w:type="paragraph" w:styleId="ListNumber4">
    <w:name w:val="List Number 4"/>
    <w:basedOn w:val="Normal"/>
    <w:rsid w:val="00492915"/>
    <w:pPr>
      <w:widowControl/>
      <w:numPr>
        <w:numId w:val="15"/>
      </w:numPr>
      <w:tabs>
        <w:tab w:val="clear" w:pos="1560"/>
      </w:tabs>
      <w:spacing w:before="120" w:after="120"/>
      <w:ind w:left="0" w:firstLine="0"/>
      <w:jc w:val="both"/>
    </w:pPr>
    <w:rPr>
      <w:szCs w:val="22"/>
    </w:rPr>
  </w:style>
  <w:style w:type="paragraph" w:customStyle="1" w:styleId="ListDash3">
    <w:name w:val="List Dash 3"/>
    <w:basedOn w:val="Normal"/>
    <w:rsid w:val="00492915"/>
    <w:pPr>
      <w:widowControl/>
      <w:numPr>
        <w:numId w:val="10"/>
      </w:numPr>
      <w:tabs>
        <w:tab w:val="clear" w:pos="1134"/>
      </w:tabs>
      <w:spacing w:before="120" w:after="120"/>
      <w:ind w:left="0" w:firstLine="0"/>
      <w:jc w:val="both"/>
    </w:pPr>
    <w:rPr>
      <w:szCs w:val="22"/>
    </w:rPr>
  </w:style>
  <w:style w:type="paragraph" w:customStyle="1" w:styleId="ListDash4">
    <w:name w:val="List Dash 4"/>
    <w:basedOn w:val="Normal"/>
    <w:rsid w:val="00492915"/>
    <w:pPr>
      <w:widowControl/>
      <w:numPr>
        <w:numId w:val="11"/>
      </w:numPr>
      <w:tabs>
        <w:tab w:val="clear" w:pos="1134"/>
      </w:tabs>
      <w:spacing w:before="120" w:after="120"/>
      <w:ind w:left="0" w:firstLine="0"/>
      <w:jc w:val="both"/>
    </w:pPr>
    <w:rPr>
      <w:szCs w:val="22"/>
    </w:rPr>
  </w:style>
  <w:style w:type="paragraph" w:customStyle="1" w:styleId="ListNumber1">
    <w:name w:val="List Number 1"/>
    <w:basedOn w:val="Text1"/>
    <w:rsid w:val="00492915"/>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492915"/>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492915"/>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492915"/>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492915"/>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492915"/>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492915"/>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492915"/>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492915"/>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492915"/>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492915"/>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492915"/>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492915"/>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492915"/>
    <w:pPr>
      <w:widowControl/>
      <w:spacing w:before="120" w:after="120"/>
      <w:jc w:val="center"/>
    </w:pPr>
    <w:rPr>
      <w:b/>
      <w:szCs w:val="22"/>
      <w:u w:val="single"/>
    </w:rPr>
  </w:style>
  <w:style w:type="paragraph" w:customStyle="1" w:styleId="Annexetitreexposglobal">
    <w:name w:val="Annexe titre (exposé global)"/>
    <w:basedOn w:val="Normal"/>
    <w:next w:val="Normal"/>
    <w:rsid w:val="00492915"/>
    <w:pPr>
      <w:widowControl/>
      <w:spacing w:before="120" w:after="120"/>
      <w:jc w:val="center"/>
    </w:pPr>
    <w:rPr>
      <w:b/>
      <w:szCs w:val="22"/>
      <w:u w:val="single"/>
    </w:rPr>
  </w:style>
  <w:style w:type="paragraph" w:customStyle="1" w:styleId="Annexetitrefichefinacte">
    <w:name w:val="Annexe titre (fiche fin. acte)"/>
    <w:basedOn w:val="Normal"/>
    <w:next w:val="Normal"/>
    <w:rsid w:val="00492915"/>
    <w:pPr>
      <w:widowControl/>
      <w:spacing w:before="120" w:after="120"/>
      <w:jc w:val="center"/>
    </w:pPr>
    <w:rPr>
      <w:b/>
      <w:szCs w:val="22"/>
      <w:u w:val="single"/>
    </w:rPr>
  </w:style>
  <w:style w:type="paragraph" w:customStyle="1" w:styleId="Annexetitrefichefinglobale">
    <w:name w:val="Annexe titre (fiche fin. globale)"/>
    <w:basedOn w:val="Normal"/>
    <w:next w:val="Normal"/>
    <w:rsid w:val="00492915"/>
    <w:pPr>
      <w:widowControl/>
      <w:spacing w:before="120" w:after="120"/>
      <w:jc w:val="center"/>
    </w:pPr>
    <w:rPr>
      <w:b/>
      <w:szCs w:val="22"/>
      <w:u w:val="single"/>
    </w:rPr>
  </w:style>
  <w:style w:type="paragraph" w:customStyle="1" w:styleId="Annexetitreglobale">
    <w:name w:val="Annexe titre (globale)"/>
    <w:basedOn w:val="Normal"/>
    <w:next w:val="Normal"/>
    <w:rsid w:val="00492915"/>
    <w:pPr>
      <w:widowControl/>
      <w:spacing w:before="120" w:after="120"/>
      <w:jc w:val="center"/>
    </w:pPr>
    <w:rPr>
      <w:b/>
      <w:szCs w:val="22"/>
      <w:u w:val="single"/>
    </w:rPr>
  </w:style>
  <w:style w:type="paragraph" w:customStyle="1" w:styleId="Exposdesmotifstitreglobal">
    <w:name w:val="Exposé des motifs titre (global)"/>
    <w:basedOn w:val="Normal"/>
    <w:next w:val="Normal"/>
    <w:rsid w:val="00492915"/>
    <w:pPr>
      <w:widowControl/>
      <w:spacing w:before="120" w:after="120"/>
      <w:jc w:val="center"/>
    </w:pPr>
    <w:rPr>
      <w:b/>
      <w:szCs w:val="22"/>
      <w:u w:val="single"/>
    </w:rPr>
  </w:style>
  <w:style w:type="paragraph" w:customStyle="1" w:styleId="Langueoriginale">
    <w:name w:val="Langue originale"/>
    <w:basedOn w:val="Normal"/>
    <w:rsid w:val="00492915"/>
    <w:pPr>
      <w:widowControl/>
      <w:spacing w:before="360" w:after="120"/>
      <w:jc w:val="center"/>
    </w:pPr>
    <w:rPr>
      <w:caps/>
      <w:szCs w:val="22"/>
    </w:rPr>
  </w:style>
  <w:style w:type="paragraph" w:customStyle="1" w:styleId="Phrasefinale">
    <w:name w:val="Phrase finale"/>
    <w:basedOn w:val="Normal"/>
    <w:next w:val="Normal"/>
    <w:rsid w:val="00492915"/>
    <w:pPr>
      <w:widowControl/>
      <w:spacing w:before="360"/>
      <w:jc w:val="center"/>
    </w:pPr>
    <w:rPr>
      <w:szCs w:val="22"/>
    </w:rPr>
  </w:style>
  <w:style w:type="paragraph" w:customStyle="1" w:styleId="Prliminairetitre">
    <w:name w:val="Préliminaire titre"/>
    <w:basedOn w:val="Normal"/>
    <w:next w:val="Normal"/>
    <w:rsid w:val="00492915"/>
    <w:pPr>
      <w:widowControl/>
      <w:spacing w:before="360" w:after="360"/>
      <w:jc w:val="center"/>
    </w:pPr>
    <w:rPr>
      <w:b/>
      <w:szCs w:val="22"/>
    </w:rPr>
  </w:style>
  <w:style w:type="paragraph" w:customStyle="1" w:styleId="Prliminairetype">
    <w:name w:val="Préliminaire type"/>
    <w:basedOn w:val="Normal"/>
    <w:next w:val="Normal"/>
    <w:rsid w:val="00492915"/>
    <w:pPr>
      <w:widowControl/>
      <w:spacing w:before="360"/>
      <w:jc w:val="center"/>
    </w:pPr>
    <w:rPr>
      <w:b/>
      <w:szCs w:val="22"/>
    </w:rPr>
  </w:style>
  <w:style w:type="paragraph" w:customStyle="1" w:styleId="Rfrenceinstitutionelle">
    <w:name w:val="Référence institutionelle"/>
    <w:basedOn w:val="Normal"/>
    <w:next w:val="Statut"/>
    <w:rsid w:val="00492915"/>
    <w:pPr>
      <w:widowControl/>
      <w:spacing w:after="240"/>
      <w:ind w:left="5103"/>
    </w:pPr>
    <w:rPr>
      <w:szCs w:val="22"/>
    </w:rPr>
  </w:style>
  <w:style w:type="paragraph" w:customStyle="1" w:styleId="Rfrenceinterinstitutionelle">
    <w:name w:val="Référence interinstitutionelle"/>
    <w:basedOn w:val="Normal"/>
    <w:next w:val="Statut"/>
    <w:rsid w:val="00492915"/>
    <w:pPr>
      <w:widowControl/>
      <w:ind w:left="5103"/>
    </w:pPr>
    <w:rPr>
      <w:szCs w:val="22"/>
    </w:rPr>
  </w:style>
  <w:style w:type="paragraph" w:customStyle="1" w:styleId="Rfrenceinterinstitutionelleprliminaire">
    <w:name w:val="Référence interinstitutionelle (préliminaire)"/>
    <w:basedOn w:val="Normal"/>
    <w:next w:val="Normal"/>
    <w:rsid w:val="00492915"/>
    <w:pPr>
      <w:widowControl/>
      <w:ind w:left="5103"/>
    </w:pPr>
    <w:rPr>
      <w:szCs w:val="22"/>
    </w:rPr>
  </w:style>
  <w:style w:type="paragraph" w:customStyle="1" w:styleId="Sous-titreobjetprliminaire">
    <w:name w:val="Sous-titre objet (préliminaire)"/>
    <w:basedOn w:val="Normal"/>
    <w:rsid w:val="00492915"/>
    <w:pPr>
      <w:widowControl/>
      <w:jc w:val="center"/>
    </w:pPr>
    <w:rPr>
      <w:b/>
      <w:szCs w:val="22"/>
    </w:rPr>
  </w:style>
  <w:style w:type="paragraph" w:customStyle="1" w:styleId="Statutprliminaire">
    <w:name w:val="Statut (préliminaire)"/>
    <w:basedOn w:val="Normal"/>
    <w:next w:val="Normal"/>
    <w:rsid w:val="00492915"/>
    <w:pPr>
      <w:widowControl/>
      <w:spacing w:before="360"/>
      <w:jc w:val="center"/>
    </w:pPr>
    <w:rPr>
      <w:szCs w:val="22"/>
    </w:rPr>
  </w:style>
  <w:style w:type="paragraph" w:customStyle="1" w:styleId="Titreobjetprliminaire">
    <w:name w:val="Titre objet (préliminaire)"/>
    <w:basedOn w:val="Normal"/>
    <w:next w:val="Normal"/>
    <w:rsid w:val="00492915"/>
    <w:pPr>
      <w:widowControl/>
      <w:spacing w:before="360" w:after="360"/>
      <w:jc w:val="center"/>
    </w:pPr>
    <w:rPr>
      <w:b/>
      <w:szCs w:val="22"/>
    </w:rPr>
  </w:style>
  <w:style w:type="paragraph" w:customStyle="1" w:styleId="Typedudocumentprliminaire">
    <w:name w:val="Type du document (préliminaire)"/>
    <w:basedOn w:val="Normal"/>
    <w:next w:val="Normal"/>
    <w:rsid w:val="00492915"/>
    <w:pPr>
      <w:widowControl/>
      <w:spacing w:before="360"/>
      <w:jc w:val="center"/>
    </w:pPr>
    <w:rPr>
      <w:b/>
      <w:szCs w:val="22"/>
    </w:rPr>
  </w:style>
  <w:style w:type="paragraph" w:customStyle="1" w:styleId="Fichefinancirestandardtitre">
    <w:name w:val="Fiche financière (standard) titre"/>
    <w:basedOn w:val="Normal"/>
    <w:next w:val="Normal"/>
    <w:rsid w:val="00492915"/>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492915"/>
    <w:pPr>
      <w:widowControl/>
      <w:spacing w:before="120" w:after="120"/>
      <w:jc w:val="center"/>
    </w:pPr>
    <w:rPr>
      <w:b/>
      <w:szCs w:val="22"/>
      <w:u w:val="single"/>
    </w:rPr>
  </w:style>
  <w:style w:type="paragraph" w:customStyle="1" w:styleId="Fichefinanciretravailtitre">
    <w:name w:val="Fiche financière (travail) titre"/>
    <w:basedOn w:val="Normal"/>
    <w:next w:val="Normal"/>
    <w:rsid w:val="00492915"/>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492915"/>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492915"/>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492915"/>
    <w:pPr>
      <w:widowControl/>
      <w:spacing w:before="120" w:after="120"/>
      <w:jc w:val="center"/>
    </w:pPr>
    <w:rPr>
      <w:b/>
      <w:szCs w:val="22"/>
      <w:u w:val="single"/>
    </w:rPr>
  </w:style>
  <w:style w:type="character" w:styleId="CommentReference">
    <w:name w:val="annotation reference"/>
    <w:rsid w:val="00492915"/>
    <w:rPr>
      <w:rFonts w:cs="Times New Roman"/>
      <w:sz w:val="16"/>
      <w:szCs w:val="16"/>
    </w:rPr>
  </w:style>
  <w:style w:type="paragraph" w:styleId="CommentText">
    <w:name w:val="annotation text"/>
    <w:basedOn w:val="Normal"/>
    <w:link w:val="CommentTextChar"/>
    <w:rsid w:val="00492915"/>
    <w:pPr>
      <w:widowControl/>
      <w:spacing w:before="120" w:after="120"/>
      <w:jc w:val="both"/>
    </w:pPr>
    <w:rPr>
      <w:sz w:val="20"/>
    </w:rPr>
  </w:style>
  <w:style w:type="character" w:customStyle="1" w:styleId="CommentTextChar">
    <w:name w:val="Comment Text Char"/>
    <w:basedOn w:val="DefaultParagraphFont"/>
    <w:link w:val="CommentText"/>
    <w:rsid w:val="00492915"/>
    <w:rPr>
      <w:lang w:val="fr-FR"/>
    </w:rPr>
  </w:style>
  <w:style w:type="paragraph" w:styleId="CommentSubject">
    <w:name w:val="annotation subject"/>
    <w:basedOn w:val="CommentText"/>
    <w:next w:val="CommentText"/>
    <w:link w:val="CommentSubjectChar"/>
    <w:rsid w:val="00492915"/>
    <w:rPr>
      <w:b/>
      <w:bCs/>
    </w:rPr>
  </w:style>
  <w:style w:type="character" w:customStyle="1" w:styleId="CommentSubjectChar">
    <w:name w:val="Comment Subject Char"/>
    <w:basedOn w:val="CommentTextChar"/>
    <w:link w:val="CommentSubject"/>
    <w:rsid w:val="00492915"/>
    <w:rPr>
      <w:b/>
      <w:bCs/>
      <w:lang w:val="fr-FR"/>
    </w:rPr>
  </w:style>
  <w:style w:type="paragraph" w:styleId="BalloonText">
    <w:name w:val="Balloon Text"/>
    <w:basedOn w:val="Normal"/>
    <w:link w:val="BalloonTextChar"/>
    <w:rsid w:val="00492915"/>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492915"/>
    <w:rPr>
      <w:rFonts w:ascii="Tahoma" w:hAnsi="Tahoma" w:cs="Tahoma"/>
      <w:sz w:val="16"/>
      <w:szCs w:val="16"/>
      <w:lang w:val="fr-FR"/>
    </w:rPr>
  </w:style>
  <w:style w:type="paragraph" w:styleId="Caption">
    <w:name w:val="caption"/>
    <w:basedOn w:val="Normal"/>
    <w:next w:val="Normal"/>
    <w:qFormat/>
    <w:rsid w:val="00492915"/>
    <w:pPr>
      <w:widowControl/>
      <w:spacing w:before="120" w:after="120"/>
      <w:jc w:val="both"/>
    </w:pPr>
    <w:rPr>
      <w:b/>
      <w:bCs/>
      <w:sz w:val="20"/>
    </w:rPr>
  </w:style>
  <w:style w:type="paragraph" w:styleId="TableofFigures">
    <w:name w:val="table of figures"/>
    <w:basedOn w:val="Normal"/>
    <w:next w:val="Normal"/>
    <w:rsid w:val="00492915"/>
    <w:pPr>
      <w:widowControl/>
      <w:spacing w:before="120" w:after="120"/>
      <w:jc w:val="both"/>
    </w:pPr>
    <w:rPr>
      <w:szCs w:val="22"/>
    </w:rPr>
  </w:style>
  <w:style w:type="character" w:styleId="PageNumber">
    <w:name w:val="page number"/>
    <w:rsid w:val="00492915"/>
  </w:style>
  <w:style w:type="character" w:customStyle="1" w:styleId="tw4winMark">
    <w:name w:val="tw4winMark"/>
    <w:rsid w:val="00492915"/>
    <w:rPr>
      <w:vanish/>
      <w:color w:val="800080"/>
      <w:vertAlign w:val="subscript"/>
    </w:rPr>
  </w:style>
  <w:style w:type="character" w:styleId="FollowedHyperlink">
    <w:name w:val="FollowedHyperlink"/>
    <w:rsid w:val="00492915"/>
    <w:rPr>
      <w:color w:val="800080"/>
      <w:u w:val="single"/>
    </w:rPr>
  </w:style>
  <w:style w:type="paragraph" w:customStyle="1" w:styleId="Sous-titreobjet">
    <w:name w:val="Sous-titre objet"/>
    <w:basedOn w:val="Normal"/>
    <w:rsid w:val="00492915"/>
    <w:pPr>
      <w:widowControl/>
      <w:jc w:val="center"/>
    </w:pPr>
    <w:rPr>
      <w:b/>
      <w:szCs w:val="22"/>
    </w:rPr>
  </w:style>
  <w:style w:type="paragraph" w:customStyle="1" w:styleId="Sous-titreobjetPagedecouverture">
    <w:name w:val="Sous-titre objet (Page de couverture)"/>
    <w:basedOn w:val="Sous-titreobjet"/>
    <w:rsid w:val="00492915"/>
  </w:style>
  <w:style w:type="paragraph" w:styleId="Revision">
    <w:name w:val="Revision"/>
    <w:hidden/>
    <w:uiPriority w:val="99"/>
    <w:semiHidden/>
    <w:rsid w:val="00492915"/>
    <w:pPr>
      <w:spacing w:after="200" w:line="276" w:lineRule="auto"/>
    </w:pPr>
    <w:rPr>
      <w:rFonts w:ascii="Calibri" w:eastAsia="Calibri" w:hAnsi="Calibri"/>
      <w:sz w:val="24"/>
      <w:szCs w:val="22"/>
    </w:rPr>
  </w:style>
  <w:style w:type="paragraph" w:customStyle="1" w:styleId="FooterCoverPage">
    <w:name w:val="Footer Cover Page"/>
    <w:basedOn w:val="Normal"/>
    <w:link w:val="FooterCoverPageChar"/>
    <w:rsid w:val="00492915"/>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492915"/>
    <w:rPr>
      <w:rFonts w:eastAsia="Calibri"/>
      <w:sz w:val="24"/>
      <w:szCs w:val="22"/>
    </w:rPr>
  </w:style>
  <w:style w:type="paragraph" w:customStyle="1" w:styleId="HeaderCoverPage">
    <w:name w:val="Header Cover Page"/>
    <w:basedOn w:val="Normal"/>
    <w:link w:val="HeaderCoverPageChar"/>
    <w:rsid w:val="00492915"/>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492915"/>
    <w:rPr>
      <w:rFonts w:eastAsia="Calibri"/>
      <w:sz w:val="24"/>
      <w:szCs w:val="22"/>
    </w:rPr>
  </w:style>
  <w:style w:type="paragraph" w:customStyle="1" w:styleId="LegalNumPar">
    <w:name w:val="LegalNumPar"/>
    <w:basedOn w:val="Normal"/>
    <w:rsid w:val="00492915"/>
    <w:pPr>
      <w:widowControl/>
      <w:numPr>
        <w:numId w:val="16"/>
      </w:numPr>
      <w:spacing w:before="120" w:after="120" w:line="360" w:lineRule="auto"/>
      <w:ind w:left="0" w:firstLine="0"/>
      <w:jc w:val="both"/>
    </w:pPr>
    <w:rPr>
      <w:szCs w:val="22"/>
    </w:rPr>
  </w:style>
  <w:style w:type="paragraph" w:customStyle="1" w:styleId="LegalNumPar2">
    <w:name w:val="LegalNumPar2"/>
    <w:basedOn w:val="Normal"/>
    <w:rsid w:val="00492915"/>
    <w:pPr>
      <w:widowControl/>
      <w:numPr>
        <w:ilvl w:val="1"/>
        <w:numId w:val="16"/>
      </w:numPr>
      <w:spacing w:before="120" w:after="120" w:line="360" w:lineRule="auto"/>
      <w:ind w:left="0" w:firstLine="0"/>
      <w:jc w:val="both"/>
    </w:pPr>
    <w:rPr>
      <w:szCs w:val="22"/>
    </w:rPr>
  </w:style>
  <w:style w:type="paragraph" w:customStyle="1" w:styleId="LegalNumPar3">
    <w:name w:val="LegalNumPar3"/>
    <w:basedOn w:val="Normal"/>
    <w:rsid w:val="00492915"/>
    <w:pPr>
      <w:widowControl/>
      <w:numPr>
        <w:ilvl w:val="2"/>
        <w:numId w:val="16"/>
      </w:numPr>
      <w:spacing w:before="120" w:after="120" w:line="360" w:lineRule="auto"/>
      <w:ind w:left="0" w:firstLine="0"/>
      <w:jc w:val="both"/>
    </w:pPr>
    <w:rPr>
      <w:szCs w:val="22"/>
    </w:rPr>
  </w:style>
  <w:style w:type="character" w:customStyle="1" w:styleId="UnresolvedMention1">
    <w:name w:val="Unresolved Mention1"/>
    <w:basedOn w:val="DefaultParagraphFont"/>
    <w:uiPriority w:val="99"/>
    <w:unhideWhenUsed/>
    <w:rsid w:val="00492915"/>
    <w:rPr>
      <w:color w:val="605E5C"/>
      <w:shd w:val="clear" w:color="auto" w:fill="E1DFDD"/>
    </w:rPr>
  </w:style>
  <w:style w:type="character" w:styleId="Strong">
    <w:name w:val="Strong"/>
    <w:basedOn w:val="DefaultParagraphFont"/>
    <w:qFormat/>
    <w:rsid w:val="00492915"/>
    <w:rPr>
      <w:b/>
      <w:bCs/>
    </w:rPr>
  </w:style>
  <w:style w:type="character" w:styleId="Emphasis">
    <w:name w:val="Emphasis"/>
    <w:basedOn w:val="DefaultParagraphFont"/>
    <w:qFormat/>
    <w:rsid w:val="00492915"/>
    <w:rPr>
      <w:i/>
      <w:iCs/>
    </w:rPr>
  </w:style>
  <w:style w:type="character" w:customStyle="1" w:styleId="Mention1">
    <w:name w:val="Mention1"/>
    <w:basedOn w:val="DefaultParagraphFont"/>
    <w:uiPriority w:val="99"/>
    <w:unhideWhenUsed/>
    <w:rsid w:val="00492915"/>
    <w:rPr>
      <w:color w:val="2B579A"/>
      <w:shd w:val="clear" w:color="auto" w:fill="E1DFDD"/>
    </w:rPr>
  </w:style>
  <w:style w:type="character" w:customStyle="1" w:styleId="normaltextrun">
    <w:name w:val="normaltextrun"/>
    <w:basedOn w:val="DefaultParagraphFont"/>
    <w:rsid w:val="00492915"/>
  </w:style>
  <w:style w:type="character" w:customStyle="1" w:styleId="eop">
    <w:name w:val="eop"/>
    <w:basedOn w:val="DefaultParagraphFont"/>
    <w:rsid w:val="00492915"/>
  </w:style>
  <w:style w:type="character" w:customStyle="1" w:styleId="Instructions">
    <w:name w:val="Instructions"/>
    <w:basedOn w:val="SubtleEmphasis"/>
    <w:uiPriority w:val="1"/>
    <w:qFormat/>
    <w:rsid w:val="00492915"/>
    <w:rPr>
      <w:rFonts w:asciiTheme="minorHAnsi" w:eastAsia="Times New Roman" w:hAnsiTheme="minorHAnsi" w:cstheme="majorHAnsi"/>
      <w:i/>
      <w:iCs/>
      <w:color w:val="009900"/>
      <w:kern w:val="0"/>
      <w:sz w:val="20"/>
      <w:szCs w:val="20"/>
      <w:lang w:val="fr-FR" w:eastAsia="en-IE"/>
      <w14:ligatures w14:val="none"/>
    </w:rPr>
  </w:style>
  <w:style w:type="character" w:styleId="SubtleEmphasis">
    <w:name w:val="Subtle Emphasis"/>
    <w:basedOn w:val="DefaultParagraphFont"/>
    <w:uiPriority w:val="19"/>
    <w:qFormat/>
    <w:rsid w:val="00492915"/>
    <w:rPr>
      <w:i/>
      <w:iCs/>
      <w:color w:val="404040" w:themeColor="text1" w:themeTint="BF"/>
    </w:rPr>
  </w:style>
  <w:style w:type="paragraph" w:customStyle="1" w:styleId="Titlearticle">
    <w:name w:val="Title article"/>
    <w:basedOn w:val="ManualHeading2"/>
    <w:rsid w:val="00492915"/>
  </w:style>
  <w:style w:type="paragraph" w:customStyle="1" w:styleId="Article">
    <w:name w:val="Article"/>
    <w:basedOn w:val="Normal"/>
    <w:rsid w:val="00492915"/>
    <w:pPr>
      <w:widowControl/>
      <w:spacing w:before="120" w:after="120"/>
      <w:jc w:val="both"/>
    </w:pPr>
    <w:rPr>
      <w:rFonts w:eastAsiaTheme="minorHAnsi"/>
      <w:szCs w:val="22"/>
      <w:lang w:eastAsia="en-US"/>
    </w:rPr>
  </w:style>
  <w:style w:type="paragraph" w:customStyle="1" w:styleId="Legal">
    <w:name w:val="Legal"/>
    <w:basedOn w:val="LegalNumPar"/>
    <w:rsid w:val="00492915"/>
  </w:style>
  <w:style w:type="paragraph" w:customStyle="1" w:styleId="paragraph0">
    <w:name w:val="paragraph"/>
    <w:basedOn w:val="Normal"/>
    <w:rsid w:val="00492915"/>
    <w:pPr>
      <w:widowControl/>
      <w:spacing w:before="120" w:beforeAutospacing="1" w:after="120" w:afterAutospacing="1"/>
      <w:jc w:val="both"/>
    </w:pPr>
    <w:rPr>
      <w:rFonts w:asciiTheme="minorHAnsi" w:eastAsiaTheme="minorEastAsia" w:hAnsiTheme="minorHAnsi" w:cstheme="minorBidi"/>
      <w:szCs w:val="22"/>
      <w:lang w:eastAsia="en-US"/>
    </w:rPr>
  </w:style>
  <w:style w:type="paragraph" w:customStyle="1" w:styleId="Paragraph">
    <w:name w:val="Paragraph"/>
    <w:basedOn w:val="Normal"/>
    <w:link w:val="ParagraphChar"/>
    <w:qFormat/>
    <w:rsid w:val="00492915"/>
    <w:pPr>
      <w:widowControl/>
      <w:numPr>
        <w:numId w:val="20"/>
      </w:numPr>
      <w:spacing w:before="100" w:beforeAutospacing="1" w:after="120"/>
      <w:ind w:left="0" w:firstLine="0"/>
      <w:jc w:val="both"/>
    </w:pPr>
    <w:rPr>
      <w:rFonts w:asciiTheme="majorHAnsi" w:hAnsiTheme="majorHAnsi" w:cstheme="majorHAnsi"/>
      <w:color w:val="000000" w:themeColor="text1"/>
      <w:sz w:val="20"/>
      <w:lang w:eastAsia="en-IE"/>
    </w:rPr>
  </w:style>
  <w:style w:type="paragraph" w:customStyle="1" w:styleId="Subparagraph">
    <w:name w:val="Subparagraph"/>
    <w:basedOn w:val="Paragraph"/>
    <w:qFormat/>
    <w:rsid w:val="00492915"/>
    <w:pPr>
      <w:numPr>
        <w:ilvl w:val="1"/>
      </w:numPr>
      <w:ind w:left="0" w:firstLine="0"/>
    </w:pPr>
  </w:style>
  <w:style w:type="character" w:customStyle="1" w:styleId="ParagraphChar">
    <w:name w:val="Paragraph Char"/>
    <w:basedOn w:val="DefaultParagraphFont"/>
    <w:link w:val="Paragraph"/>
    <w:rsid w:val="00492915"/>
    <w:rPr>
      <w:rFonts w:asciiTheme="majorHAnsi" w:hAnsiTheme="majorHAnsi" w:cstheme="majorHAnsi"/>
      <w:color w:val="000000" w:themeColor="text1"/>
      <w:lang w:val="fr-FR" w:eastAsia="en-IE"/>
    </w:rPr>
  </w:style>
  <w:style w:type="paragraph" w:customStyle="1" w:styleId="Subsubparagraph">
    <w:name w:val="Subsubparagraph"/>
    <w:basedOn w:val="Subparagraph"/>
    <w:link w:val="SubsubparagraphChar"/>
    <w:qFormat/>
    <w:rsid w:val="00492915"/>
    <w:pPr>
      <w:numPr>
        <w:ilvl w:val="2"/>
      </w:numPr>
      <w:ind w:left="0" w:firstLine="0"/>
    </w:pPr>
  </w:style>
  <w:style w:type="character" w:customStyle="1" w:styleId="SubsubparagraphChar">
    <w:name w:val="Subsubparagraph Char"/>
    <w:basedOn w:val="DefaultParagraphFont"/>
    <w:link w:val="Subsubparagraph"/>
    <w:rsid w:val="00492915"/>
    <w:rPr>
      <w:rFonts w:asciiTheme="majorHAnsi" w:hAnsiTheme="majorHAnsi" w:cstheme="majorHAnsi"/>
      <w:color w:val="000000" w:themeColor="text1"/>
      <w:lang w:val="fr-FR" w:eastAsia="en-IE"/>
    </w:rPr>
  </w:style>
  <w:style w:type="paragraph" w:customStyle="1" w:styleId="Recital">
    <w:name w:val="Recital"/>
    <w:basedOn w:val="Paragraph"/>
    <w:next w:val="Paragraph"/>
    <w:link w:val="RecitalChar"/>
    <w:qFormat/>
    <w:rsid w:val="00492915"/>
    <w:pPr>
      <w:framePr w:hSpace="180" w:wrap="around" w:vAnchor="text" w:hAnchor="text" w:y="1"/>
      <w:numPr>
        <w:numId w:val="21"/>
      </w:numPr>
      <w:spacing w:after="0"/>
      <w:ind w:left="0" w:firstLine="0"/>
      <w:suppressOverlap/>
    </w:pPr>
  </w:style>
  <w:style w:type="character" w:customStyle="1" w:styleId="RecitalChar">
    <w:name w:val="Recital Char"/>
    <w:basedOn w:val="ParagraphChar"/>
    <w:link w:val="Recital"/>
    <w:rsid w:val="00492915"/>
    <w:rPr>
      <w:rFonts w:asciiTheme="majorHAnsi" w:hAnsiTheme="majorHAnsi" w:cstheme="majorHAnsi"/>
      <w:color w:val="000000" w:themeColor="text1"/>
      <w:lang w:val="fr-FR" w:eastAsia="en-IE"/>
    </w:rPr>
  </w:style>
  <w:style w:type="numbering" w:customStyle="1" w:styleId="LFO14">
    <w:name w:val="LFO14"/>
    <w:basedOn w:val="NoList"/>
    <w:rsid w:val="00492915"/>
    <w:pPr>
      <w:numPr>
        <w:numId w:val="21"/>
      </w:numPr>
    </w:pPr>
  </w:style>
  <w:style w:type="paragraph" w:styleId="NormalWeb">
    <w:name w:val="Normal (Web)"/>
    <w:basedOn w:val="Normal"/>
    <w:uiPriority w:val="99"/>
    <w:unhideWhenUsed/>
    <w:rsid w:val="00492915"/>
    <w:pPr>
      <w:widowControl/>
      <w:spacing w:before="120" w:after="120"/>
      <w:jc w:val="both"/>
    </w:pPr>
    <w:rPr>
      <w:rFonts w:eastAsiaTheme="minorHAnsi"/>
      <w:szCs w:val="24"/>
      <w:lang w:eastAsia="en-US"/>
    </w:rPr>
  </w:style>
  <w:style w:type="character" w:customStyle="1" w:styleId="Bodytext1">
    <w:name w:val="Body text|1_"/>
    <w:basedOn w:val="DefaultParagraphFont"/>
    <w:link w:val="Bodytext10"/>
    <w:rsid w:val="00492915"/>
  </w:style>
  <w:style w:type="paragraph" w:customStyle="1" w:styleId="Bodytext10">
    <w:name w:val="Body text|1"/>
    <w:basedOn w:val="Normal"/>
    <w:link w:val="Bodytext1"/>
    <w:rsid w:val="00492915"/>
    <w:pPr>
      <w:spacing w:after="100"/>
    </w:pPr>
    <w:rPr>
      <w:sz w:val="20"/>
    </w:rPr>
  </w:style>
  <w:style w:type="numbering" w:customStyle="1" w:styleId="LFO141">
    <w:name w:val="LFO141"/>
    <w:basedOn w:val="NoList"/>
    <w:rsid w:val="00492915"/>
  </w:style>
  <w:style w:type="character" w:customStyle="1" w:styleId="Heading1Char">
    <w:name w:val="Heading 1 Char"/>
    <w:basedOn w:val="DefaultParagraphFont"/>
    <w:link w:val="Heading1"/>
    <w:uiPriority w:val="9"/>
    <w:rsid w:val="00492915"/>
    <w:rPr>
      <w:rFonts w:ascii="Arial" w:hAnsi="Arial"/>
      <w:b/>
      <w:kern w:val="28"/>
      <w:sz w:val="28"/>
    </w:rPr>
  </w:style>
  <w:style w:type="character" w:customStyle="1" w:styleId="Heading2Char">
    <w:name w:val="Heading 2 Char"/>
    <w:basedOn w:val="DefaultParagraphFont"/>
    <w:link w:val="Heading2"/>
    <w:uiPriority w:val="9"/>
    <w:semiHidden/>
    <w:rsid w:val="00492915"/>
    <w:rPr>
      <w:rFonts w:ascii="Arial" w:hAnsi="Arial"/>
      <w:b/>
      <w:i/>
      <w:sz w:val="24"/>
    </w:rPr>
  </w:style>
  <w:style w:type="character" w:customStyle="1" w:styleId="Heading3Char">
    <w:name w:val="Heading 3 Char"/>
    <w:basedOn w:val="DefaultParagraphFont"/>
    <w:link w:val="Heading3"/>
    <w:uiPriority w:val="9"/>
    <w:semiHidden/>
    <w:rsid w:val="00492915"/>
    <w:rPr>
      <w:rFonts w:ascii="Arial" w:hAnsi="Arial"/>
      <w:sz w:val="24"/>
    </w:rPr>
  </w:style>
  <w:style w:type="character" w:customStyle="1" w:styleId="Heading4Char">
    <w:name w:val="Heading 4 Char"/>
    <w:basedOn w:val="DefaultParagraphFont"/>
    <w:link w:val="Heading4"/>
    <w:uiPriority w:val="9"/>
    <w:semiHidden/>
    <w:rsid w:val="00492915"/>
    <w:rPr>
      <w:rFonts w:ascii="Arial" w:hAnsi="Arial"/>
      <w:b/>
      <w:sz w:val="24"/>
    </w:rPr>
  </w:style>
  <w:style w:type="character" w:customStyle="1" w:styleId="Heading5Char">
    <w:name w:val="Heading 5 Char"/>
    <w:basedOn w:val="DefaultParagraphFont"/>
    <w:link w:val="Heading5"/>
    <w:uiPriority w:val="9"/>
    <w:semiHidden/>
    <w:rsid w:val="00492915"/>
    <w:rPr>
      <w:sz w:val="22"/>
    </w:rPr>
  </w:style>
  <w:style w:type="character" w:customStyle="1" w:styleId="Heading6Char">
    <w:name w:val="Heading 6 Char"/>
    <w:basedOn w:val="DefaultParagraphFont"/>
    <w:link w:val="Heading6"/>
    <w:uiPriority w:val="9"/>
    <w:semiHidden/>
    <w:rsid w:val="00492915"/>
    <w:rPr>
      <w:i/>
      <w:sz w:val="22"/>
    </w:rPr>
  </w:style>
  <w:style w:type="character" w:customStyle="1" w:styleId="Heading7Char">
    <w:name w:val="Heading 7 Char"/>
    <w:basedOn w:val="DefaultParagraphFont"/>
    <w:link w:val="Heading7"/>
    <w:uiPriority w:val="9"/>
    <w:semiHidden/>
    <w:rsid w:val="00492915"/>
    <w:rPr>
      <w:rFonts w:ascii="Arial" w:hAnsi="Arial"/>
      <w:sz w:val="24"/>
    </w:rPr>
  </w:style>
  <w:style w:type="paragraph" w:styleId="TOC2">
    <w:name w:val="toc 2"/>
    <w:basedOn w:val="Normal"/>
    <w:next w:val="Normal"/>
    <w:uiPriority w:val="39"/>
    <w:unhideWhenUsed/>
    <w:rsid w:val="00492915"/>
    <w:pPr>
      <w:widowControl/>
      <w:tabs>
        <w:tab w:val="right" w:leader="dot" w:pos="9071"/>
      </w:tabs>
      <w:spacing w:before="60" w:after="120"/>
      <w:ind w:left="850" w:hanging="850"/>
    </w:pPr>
    <w:rPr>
      <w:rFonts w:eastAsiaTheme="minorHAnsi"/>
      <w:szCs w:val="22"/>
      <w:lang w:eastAsia="en-US"/>
    </w:rPr>
  </w:style>
  <w:style w:type="paragraph" w:styleId="TOC3">
    <w:name w:val="toc 3"/>
    <w:basedOn w:val="Normal"/>
    <w:next w:val="Normal"/>
    <w:uiPriority w:val="39"/>
    <w:unhideWhenUsed/>
    <w:rsid w:val="00492915"/>
    <w:pPr>
      <w:widowControl/>
      <w:tabs>
        <w:tab w:val="right" w:leader="dot" w:pos="9071"/>
      </w:tabs>
      <w:spacing w:before="60" w:after="120"/>
      <w:ind w:left="850" w:hanging="850"/>
    </w:pPr>
    <w:rPr>
      <w:rFonts w:eastAsiaTheme="minorHAnsi"/>
      <w:szCs w:val="22"/>
      <w:lang w:eastAsia="en-US"/>
    </w:rPr>
  </w:style>
  <w:style w:type="paragraph" w:styleId="TOC4">
    <w:name w:val="toc 4"/>
    <w:basedOn w:val="Normal"/>
    <w:next w:val="Normal"/>
    <w:uiPriority w:val="39"/>
    <w:unhideWhenUsed/>
    <w:rsid w:val="00492915"/>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492915"/>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492915"/>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492915"/>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492915"/>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492915"/>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492915"/>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492915"/>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49291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492915"/>
    <w:pPr>
      <w:widowControl/>
      <w:spacing w:after="120"/>
      <w:jc w:val="right"/>
    </w:pPr>
    <w:rPr>
      <w:rFonts w:eastAsiaTheme="minorHAnsi"/>
      <w:sz w:val="28"/>
      <w:szCs w:val="22"/>
      <w:lang w:eastAsia="en-US"/>
    </w:rPr>
  </w:style>
  <w:style w:type="paragraph" w:customStyle="1" w:styleId="FooterSensitivity">
    <w:name w:val="Footer Sensitivity"/>
    <w:basedOn w:val="Normal"/>
    <w:rsid w:val="0049291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492915"/>
    <w:pPr>
      <w:widowControl/>
      <w:spacing w:before="120" w:after="120"/>
      <w:ind w:left="850"/>
      <w:jc w:val="both"/>
    </w:pPr>
    <w:rPr>
      <w:rFonts w:eastAsiaTheme="minorHAnsi"/>
      <w:szCs w:val="22"/>
      <w:lang w:eastAsia="en-US"/>
    </w:rPr>
  </w:style>
  <w:style w:type="paragraph" w:customStyle="1" w:styleId="Text2">
    <w:name w:val="Text 2"/>
    <w:basedOn w:val="Normal"/>
    <w:rsid w:val="00492915"/>
    <w:pPr>
      <w:widowControl/>
      <w:spacing w:before="120" w:after="120"/>
      <w:ind w:left="1417"/>
      <w:jc w:val="both"/>
    </w:pPr>
    <w:rPr>
      <w:rFonts w:eastAsiaTheme="minorHAnsi"/>
      <w:szCs w:val="22"/>
      <w:lang w:eastAsia="en-US"/>
    </w:rPr>
  </w:style>
  <w:style w:type="paragraph" w:customStyle="1" w:styleId="Text3">
    <w:name w:val="Text 3"/>
    <w:basedOn w:val="Normal"/>
    <w:rsid w:val="00492915"/>
    <w:pPr>
      <w:widowControl/>
      <w:spacing w:before="120" w:after="120"/>
      <w:ind w:left="1984"/>
      <w:jc w:val="both"/>
    </w:pPr>
    <w:rPr>
      <w:rFonts w:eastAsiaTheme="minorHAnsi"/>
      <w:szCs w:val="22"/>
      <w:lang w:eastAsia="en-US"/>
    </w:rPr>
  </w:style>
  <w:style w:type="paragraph" w:customStyle="1" w:styleId="Text4">
    <w:name w:val="Text 4"/>
    <w:basedOn w:val="Normal"/>
    <w:rsid w:val="00492915"/>
    <w:pPr>
      <w:widowControl/>
      <w:spacing w:before="120" w:after="120"/>
      <w:ind w:left="2551"/>
      <w:jc w:val="both"/>
    </w:pPr>
    <w:rPr>
      <w:rFonts w:eastAsiaTheme="minorHAnsi"/>
      <w:szCs w:val="22"/>
      <w:lang w:eastAsia="en-US"/>
    </w:rPr>
  </w:style>
  <w:style w:type="paragraph" w:customStyle="1" w:styleId="Text5">
    <w:name w:val="Text 5"/>
    <w:basedOn w:val="Normal"/>
    <w:rsid w:val="00492915"/>
    <w:pPr>
      <w:widowControl/>
      <w:spacing w:before="120" w:after="120"/>
      <w:ind w:left="3118"/>
      <w:jc w:val="both"/>
    </w:pPr>
    <w:rPr>
      <w:rFonts w:eastAsiaTheme="minorHAnsi"/>
      <w:szCs w:val="22"/>
      <w:lang w:eastAsia="en-US"/>
    </w:rPr>
  </w:style>
  <w:style w:type="paragraph" w:customStyle="1" w:styleId="Text6">
    <w:name w:val="Text 6"/>
    <w:basedOn w:val="Normal"/>
    <w:rsid w:val="00492915"/>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492915"/>
    <w:pPr>
      <w:widowControl/>
      <w:spacing w:before="120" w:after="120"/>
      <w:jc w:val="center"/>
    </w:pPr>
    <w:rPr>
      <w:rFonts w:eastAsiaTheme="minorHAnsi"/>
      <w:szCs w:val="22"/>
      <w:lang w:eastAsia="en-US"/>
    </w:rPr>
  </w:style>
  <w:style w:type="paragraph" w:customStyle="1" w:styleId="NormalLeft">
    <w:name w:val="Normal Left"/>
    <w:basedOn w:val="Normal"/>
    <w:rsid w:val="00492915"/>
    <w:pPr>
      <w:widowControl/>
      <w:spacing w:before="120" w:after="120"/>
    </w:pPr>
    <w:rPr>
      <w:rFonts w:eastAsiaTheme="minorHAnsi"/>
      <w:szCs w:val="22"/>
      <w:lang w:eastAsia="en-US"/>
    </w:rPr>
  </w:style>
  <w:style w:type="paragraph" w:customStyle="1" w:styleId="NormalRight">
    <w:name w:val="Normal Right"/>
    <w:basedOn w:val="Normal"/>
    <w:rsid w:val="00492915"/>
    <w:pPr>
      <w:widowControl/>
      <w:spacing w:before="120" w:after="120"/>
      <w:jc w:val="right"/>
    </w:pPr>
    <w:rPr>
      <w:rFonts w:eastAsiaTheme="minorHAnsi"/>
      <w:szCs w:val="22"/>
      <w:lang w:eastAsia="en-US"/>
    </w:rPr>
  </w:style>
  <w:style w:type="paragraph" w:customStyle="1" w:styleId="QuotedText">
    <w:name w:val="Quoted Text"/>
    <w:basedOn w:val="Normal"/>
    <w:rsid w:val="00492915"/>
    <w:pPr>
      <w:widowControl/>
      <w:spacing w:before="120" w:after="120"/>
      <w:ind w:left="1417"/>
      <w:jc w:val="both"/>
    </w:pPr>
    <w:rPr>
      <w:rFonts w:eastAsiaTheme="minorHAnsi"/>
      <w:szCs w:val="22"/>
      <w:lang w:eastAsia="en-US"/>
    </w:rPr>
  </w:style>
  <w:style w:type="paragraph" w:customStyle="1" w:styleId="Point0">
    <w:name w:val="Point 0"/>
    <w:basedOn w:val="Normal"/>
    <w:rsid w:val="00492915"/>
    <w:pPr>
      <w:widowControl/>
      <w:spacing w:before="120" w:after="120"/>
      <w:ind w:left="850" w:hanging="850"/>
      <w:jc w:val="both"/>
    </w:pPr>
    <w:rPr>
      <w:rFonts w:eastAsiaTheme="minorHAnsi"/>
      <w:szCs w:val="22"/>
      <w:lang w:eastAsia="en-US"/>
    </w:rPr>
  </w:style>
  <w:style w:type="paragraph" w:customStyle="1" w:styleId="Point1">
    <w:name w:val="Point 1"/>
    <w:basedOn w:val="Normal"/>
    <w:rsid w:val="0049291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92915"/>
    <w:pPr>
      <w:widowControl/>
      <w:spacing w:before="120" w:after="120"/>
      <w:ind w:left="1984" w:hanging="567"/>
      <w:jc w:val="both"/>
    </w:pPr>
    <w:rPr>
      <w:rFonts w:eastAsiaTheme="minorHAnsi"/>
      <w:szCs w:val="22"/>
      <w:lang w:eastAsia="en-US"/>
    </w:rPr>
  </w:style>
  <w:style w:type="paragraph" w:customStyle="1" w:styleId="Point3">
    <w:name w:val="Point 3"/>
    <w:basedOn w:val="Normal"/>
    <w:rsid w:val="00492915"/>
    <w:pPr>
      <w:widowControl/>
      <w:spacing w:before="120" w:after="120"/>
      <w:ind w:left="2551" w:hanging="567"/>
      <w:jc w:val="both"/>
    </w:pPr>
    <w:rPr>
      <w:rFonts w:eastAsiaTheme="minorHAnsi"/>
      <w:szCs w:val="22"/>
      <w:lang w:eastAsia="en-US"/>
    </w:rPr>
  </w:style>
  <w:style w:type="paragraph" w:customStyle="1" w:styleId="Point4">
    <w:name w:val="Point 4"/>
    <w:basedOn w:val="Normal"/>
    <w:rsid w:val="00492915"/>
    <w:pPr>
      <w:widowControl/>
      <w:spacing w:before="120" w:after="120"/>
      <w:ind w:left="3118" w:hanging="567"/>
      <w:jc w:val="both"/>
    </w:pPr>
    <w:rPr>
      <w:rFonts w:eastAsiaTheme="minorHAnsi"/>
      <w:szCs w:val="22"/>
      <w:lang w:eastAsia="en-US"/>
    </w:rPr>
  </w:style>
  <w:style w:type="paragraph" w:customStyle="1" w:styleId="Point5">
    <w:name w:val="Point 5"/>
    <w:basedOn w:val="Normal"/>
    <w:rsid w:val="00492915"/>
    <w:pPr>
      <w:widowControl/>
      <w:spacing w:before="120" w:after="120"/>
      <w:ind w:left="3685" w:hanging="567"/>
      <w:jc w:val="both"/>
    </w:pPr>
    <w:rPr>
      <w:rFonts w:eastAsiaTheme="minorHAnsi"/>
      <w:szCs w:val="22"/>
      <w:lang w:eastAsia="en-US"/>
    </w:rPr>
  </w:style>
  <w:style w:type="paragraph" w:customStyle="1" w:styleId="Tiret0">
    <w:name w:val="Tiret 0"/>
    <w:basedOn w:val="Point0"/>
    <w:rsid w:val="00492915"/>
    <w:pPr>
      <w:numPr>
        <w:numId w:val="22"/>
      </w:numPr>
      <w:tabs>
        <w:tab w:val="clear" w:pos="850"/>
      </w:tabs>
      <w:ind w:left="0" w:firstLine="0"/>
    </w:pPr>
  </w:style>
  <w:style w:type="paragraph" w:customStyle="1" w:styleId="Tiret1">
    <w:name w:val="Tiret 1"/>
    <w:basedOn w:val="Point1"/>
    <w:rsid w:val="00492915"/>
    <w:pPr>
      <w:numPr>
        <w:numId w:val="19"/>
      </w:numPr>
      <w:tabs>
        <w:tab w:val="clear" w:pos="1417"/>
      </w:tabs>
      <w:ind w:left="0" w:firstLine="0"/>
    </w:pPr>
  </w:style>
  <w:style w:type="paragraph" w:customStyle="1" w:styleId="Tiret2">
    <w:name w:val="Tiret 2"/>
    <w:basedOn w:val="Point2"/>
    <w:rsid w:val="00492915"/>
    <w:pPr>
      <w:numPr>
        <w:numId w:val="23"/>
      </w:numPr>
      <w:tabs>
        <w:tab w:val="clear" w:pos="1984"/>
      </w:tabs>
      <w:ind w:left="0" w:firstLine="0"/>
    </w:pPr>
  </w:style>
  <w:style w:type="paragraph" w:customStyle="1" w:styleId="Tiret3">
    <w:name w:val="Tiret 3"/>
    <w:basedOn w:val="Point3"/>
    <w:rsid w:val="00492915"/>
    <w:pPr>
      <w:numPr>
        <w:numId w:val="24"/>
      </w:numPr>
      <w:tabs>
        <w:tab w:val="clear" w:pos="2551"/>
      </w:tabs>
      <w:ind w:left="0" w:firstLine="0"/>
    </w:pPr>
  </w:style>
  <w:style w:type="paragraph" w:customStyle="1" w:styleId="Tiret4">
    <w:name w:val="Tiret 4"/>
    <w:basedOn w:val="Point4"/>
    <w:rsid w:val="00492915"/>
    <w:pPr>
      <w:numPr>
        <w:numId w:val="25"/>
      </w:numPr>
      <w:tabs>
        <w:tab w:val="clear" w:pos="3118"/>
      </w:tabs>
      <w:ind w:left="0" w:firstLine="0"/>
    </w:pPr>
  </w:style>
  <w:style w:type="paragraph" w:customStyle="1" w:styleId="Tiret5">
    <w:name w:val="Tiret 5"/>
    <w:basedOn w:val="Point5"/>
    <w:rsid w:val="00492915"/>
    <w:pPr>
      <w:numPr>
        <w:numId w:val="26"/>
      </w:numPr>
      <w:tabs>
        <w:tab w:val="clear" w:pos="3685"/>
      </w:tabs>
      <w:ind w:left="0" w:firstLine="0"/>
    </w:pPr>
  </w:style>
  <w:style w:type="paragraph" w:customStyle="1" w:styleId="PointDouble0">
    <w:name w:val="PointDouble 0"/>
    <w:basedOn w:val="Normal"/>
    <w:rsid w:val="00492915"/>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492915"/>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492915"/>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492915"/>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492915"/>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492915"/>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492915"/>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492915"/>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492915"/>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492915"/>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492915"/>
    <w:pPr>
      <w:widowControl/>
      <w:numPr>
        <w:numId w:val="17"/>
      </w:numPr>
      <w:tabs>
        <w:tab w:val="clear" w:pos="850"/>
      </w:tabs>
      <w:spacing w:before="120" w:after="120"/>
      <w:ind w:left="0" w:firstLine="0"/>
      <w:jc w:val="both"/>
    </w:pPr>
    <w:rPr>
      <w:rFonts w:eastAsiaTheme="minorHAnsi"/>
      <w:szCs w:val="22"/>
      <w:lang w:eastAsia="en-US"/>
    </w:rPr>
  </w:style>
  <w:style w:type="paragraph" w:customStyle="1" w:styleId="NumPar2">
    <w:name w:val="NumPar 2"/>
    <w:basedOn w:val="Normal"/>
    <w:next w:val="Text1"/>
    <w:rsid w:val="00492915"/>
    <w:pPr>
      <w:widowControl/>
      <w:numPr>
        <w:ilvl w:val="1"/>
        <w:numId w:val="17"/>
      </w:numPr>
      <w:tabs>
        <w:tab w:val="clear" w:pos="850"/>
      </w:tabs>
      <w:spacing w:before="120" w:after="120"/>
      <w:ind w:left="0" w:firstLine="0"/>
      <w:jc w:val="both"/>
    </w:pPr>
    <w:rPr>
      <w:rFonts w:eastAsiaTheme="minorHAnsi"/>
      <w:szCs w:val="22"/>
      <w:lang w:eastAsia="en-US"/>
    </w:rPr>
  </w:style>
  <w:style w:type="paragraph" w:customStyle="1" w:styleId="NumPar3">
    <w:name w:val="NumPar 3"/>
    <w:basedOn w:val="Normal"/>
    <w:next w:val="Text1"/>
    <w:rsid w:val="00492915"/>
    <w:pPr>
      <w:widowControl/>
      <w:numPr>
        <w:ilvl w:val="2"/>
        <w:numId w:val="17"/>
      </w:numPr>
      <w:tabs>
        <w:tab w:val="clear" w:pos="850"/>
      </w:tabs>
      <w:spacing w:before="120" w:after="120"/>
      <w:ind w:left="0" w:firstLine="0"/>
      <w:jc w:val="both"/>
    </w:pPr>
    <w:rPr>
      <w:rFonts w:eastAsiaTheme="minorHAnsi"/>
      <w:szCs w:val="22"/>
      <w:lang w:eastAsia="en-US"/>
    </w:rPr>
  </w:style>
  <w:style w:type="paragraph" w:customStyle="1" w:styleId="NumPar4">
    <w:name w:val="NumPar 4"/>
    <w:basedOn w:val="Normal"/>
    <w:next w:val="Text1"/>
    <w:rsid w:val="00492915"/>
    <w:pPr>
      <w:widowControl/>
      <w:numPr>
        <w:ilvl w:val="3"/>
        <w:numId w:val="17"/>
      </w:numPr>
      <w:tabs>
        <w:tab w:val="clear" w:pos="850"/>
      </w:tabs>
      <w:spacing w:before="120" w:after="120"/>
      <w:ind w:left="0" w:firstLine="0"/>
      <w:jc w:val="both"/>
    </w:pPr>
    <w:rPr>
      <w:rFonts w:eastAsiaTheme="minorHAnsi"/>
      <w:szCs w:val="22"/>
      <w:lang w:eastAsia="en-US"/>
    </w:rPr>
  </w:style>
  <w:style w:type="paragraph" w:customStyle="1" w:styleId="NumPar5">
    <w:name w:val="NumPar 5"/>
    <w:basedOn w:val="Normal"/>
    <w:next w:val="Text2"/>
    <w:rsid w:val="00492915"/>
    <w:pPr>
      <w:widowControl/>
      <w:numPr>
        <w:ilvl w:val="4"/>
        <w:numId w:val="17"/>
      </w:numPr>
      <w:tabs>
        <w:tab w:val="clear" w:pos="1417"/>
      </w:tabs>
      <w:spacing w:before="120" w:after="120"/>
      <w:ind w:left="0" w:firstLine="0"/>
      <w:jc w:val="both"/>
    </w:pPr>
    <w:rPr>
      <w:rFonts w:eastAsiaTheme="minorHAnsi"/>
      <w:szCs w:val="22"/>
      <w:lang w:eastAsia="en-US"/>
    </w:rPr>
  </w:style>
  <w:style w:type="paragraph" w:customStyle="1" w:styleId="NumPar6">
    <w:name w:val="NumPar 6"/>
    <w:basedOn w:val="Normal"/>
    <w:next w:val="Text2"/>
    <w:rsid w:val="00492915"/>
    <w:pPr>
      <w:widowControl/>
      <w:numPr>
        <w:ilvl w:val="5"/>
        <w:numId w:val="17"/>
      </w:numPr>
      <w:tabs>
        <w:tab w:val="clear" w:pos="1417"/>
      </w:tabs>
      <w:spacing w:before="120" w:after="120"/>
      <w:ind w:left="0" w:firstLine="0"/>
      <w:jc w:val="both"/>
    </w:pPr>
    <w:rPr>
      <w:rFonts w:eastAsiaTheme="minorHAnsi"/>
      <w:szCs w:val="22"/>
      <w:lang w:eastAsia="en-US"/>
    </w:rPr>
  </w:style>
  <w:style w:type="paragraph" w:customStyle="1" w:styleId="NumPar7">
    <w:name w:val="NumPar 7"/>
    <w:basedOn w:val="Normal"/>
    <w:next w:val="Text2"/>
    <w:rsid w:val="00492915"/>
    <w:pPr>
      <w:widowControl/>
      <w:numPr>
        <w:ilvl w:val="6"/>
        <w:numId w:val="17"/>
      </w:numPr>
      <w:tabs>
        <w:tab w:val="clear" w:pos="1417"/>
      </w:tabs>
      <w:spacing w:before="120" w:after="120"/>
      <w:ind w:left="0" w:firstLine="0"/>
      <w:jc w:val="both"/>
    </w:pPr>
    <w:rPr>
      <w:rFonts w:eastAsiaTheme="minorHAnsi"/>
      <w:szCs w:val="22"/>
      <w:lang w:eastAsia="en-US"/>
    </w:rPr>
  </w:style>
  <w:style w:type="paragraph" w:customStyle="1" w:styleId="ManualNumPar1">
    <w:name w:val="Manual NumPar 1"/>
    <w:basedOn w:val="Normal"/>
    <w:next w:val="Text1"/>
    <w:rsid w:val="00492915"/>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492915"/>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492915"/>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492915"/>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492915"/>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492915"/>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492915"/>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492915"/>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492915"/>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492915"/>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492915"/>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492915"/>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492915"/>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492915"/>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492915"/>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492915"/>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492915"/>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492915"/>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492915"/>
    <w:pPr>
      <w:widowControl/>
      <w:spacing w:before="120" w:after="120"/>
      <w:jc w:val="center"/>
    </w:pPr>
    <w:rPr>
      <w:rFonts w:eastAsiaTheme="minorHAnsi"/>
      <w:b/>
      <w:szCs w:val="22"/>
      <w:lang w:eastAsia="en-US"/>
    </w:rPr>
  </w:style>
  <w:style w:type="character" w:customStyle="1" w:styleId="Marker">
    <w:name w:val="Marker"/>
    <w:basedOn w:val="DefaultParagraphFont"/>
    <w:rsid w:val="00492915"/>
    <w:rPr>
      <w:color w:val="0000FF"/>
      <w:shd w:val="clear" w:color="auto" w:fill="auto"/>
    </w:rPr>
  </w:style>
  <w:style w:type="character" w:customStyle="1" w:styleId="Marker1">
    <w:name w:val="Marker1"/>
    <w:basedOn w:val="DefaultParagraphFont"/>
    <w:rsid w:val="00492915"/>
    <w:rPr>
      <w:color w:val="008000"/>
      <w:shd w:val="clear" w:color="auto" w:fill="auto"/>
    </w:rPr>
  </w:style>
  <w:style w:type="character" w:customStyle="1" w:styleId="Marker2">
    <w:name w:val="Marker2"/>
    <w:basedOn w:val="DefaultParagraphFont"/>
    <w:rsid w:val="00492915"/>
    <w:rPr>
      <w:color w:val="FF0000"/>
      <w:shd w:val="clear" w:color="auto" w:fill="auto"/>
    </w:rPr>
  </w:style>
  <w:style w:type="paragraph" w:customStyle="1" w:styleId="Point0number">
    <w:name w:val="Point 0 (number)"/>
    <w:basedOn w:val="Normal"/>
    <w:rsid w:val="00492915"/>
    <w:pPr>
      <w:widowControl/>
      <w:numPr>
        <w:numId w:val="18"/>
      </w:numPr>
      <w:tabs>
        <w:tab w:val="clear" w:pos="850"/>
      </w:tabs>
      <w:spacing w:before="120" w:after="120"/>
      <w:ind w:left="0" w:firstLine="0"/>
      <w:jc w:val="both"/>
    </w:pPr>
    <w:rPr>
      <w:rFonts w:eastAsiaTheme="minorHAnsi"/>
      <w:szCs w:val="22"/>
      <w:lang w:eastAsia="en-US"/>
    </w:rPr>
  </w:style>
  <w:style w:type="paragraph" w:customStyle="1" w:styleId="Point1number">
    <w:name w:val="Point 1 (number)"/>
    <w:basedOn w:val="Normal"/>
    <w:rsid w:val="00492915"/>
    <w:pPr>
      <w:widowControl/>
      <w:numPr>
        <w:ilvl w:val="2"/>
        <w:numId w:val="18"/>
      </w:numPr>
      <w:tabs>
        <w:tab w:val="clear" w:pos="1417"/>
      </w:tabs>
      <w:spacing w:before="120" w:after="120"/>
      <w:ind w:left="0" w:firstLine="0"/>
      <w:jc w:val="both"/>
    </w:pPr>
    <w:rPr>
      <w:rFonts w:eastAsiaTheme="minorHAnsi"/>
      <w:szCs w:val="22"/>
      <w:lang w:eastAsia="en-US"/>
    </w:rPr>
  </w:style>
  <w:style w:type="paragraph" w:customStyle="1" w:styleId="Point2number">
    <w:name w:val="Point 2 (number)"/>
    <w:basedOn w:val="Normal"/>
    <w:rsid w:val="00492915"/>
    <w:pPr>
      <w:widowControl/>
      <w:numPr>
        <w:ilvl w:val="4"/>
        <w:numId w:val="18"/>
      </w:numPr>
      <w:tabs>
        <w:tab w:val="clear" w:pos="1984"/>
      </w:tabs>
      <w:spacing w:before="120" w:after="120"/>
      <w:ind w:left="0" w:firstLine="0"/>
      <w:jc w:val="both"/>
    </w:pPr>
    <w:rPr>
      <w:rFonts w:eastAsiaTheme="minorHAnsi"/>
      <w:szCs w:val="22"/>
      <w:lang w:eastAsia="en-US"/>
    </w:rPr>
  </w:style>
  <w:style w:type="paragraph" w:customStyle="1" w:styleId="Point3number">
    <w:name w:val="Point 3 (number)"/>
    <w:basedOn w:val="Normal"/>
    <w:rsid w:val="00492915"/>
    <w:pPr>
      <w:widowControl/>
      <w:numPr>
        <w:ilvl w:val="6"/>
        <w:numId w:val="18"/>
      </w:numPr>
      <w:tabs>
        <w:tab w:val="clear" w:pos="2551"/>
      </w:tabs>
      <w:spacing w:before="120" w:after="120"/>
      <w:ind w:left="0" w:firstLine="0"/>
      <w:jc w:val="both"/>
    </w:pPr>
    <w:rPr>
      <w:rFonts w:eastAsiaTheme="minorHAnsi"/>
      <w:szCs w:val="22"/>
      <w:lang w:eastAsia="en-US"/>
    </w:rPr>
  </w:style>
  <w:style w:type="paragraph" w:customStyle="1" w:styleId="Point0letter">
    <w:name w:val="Point 0 (letter)"/>
    <w:basedOn w:val="Normal"/>
    <w:rsid w:val="00492915"/>
    <w:pPr>
      <w:widowControl/>
      <w:numPr>
        <w:ilvl w:val="1"/>
        <w:numId w:val="18"/>
      </w:numPr>
      <w:tabs>
        <w:tab w:val="clear" w:pos="850"/>
      </w:tabs>
      <w:spacing w:before="120" w:after="120"/>
      <w:ind w:left="0" w:firstLine="0"/>
      <w:jc w:val="both"/>
    </w:pPr>
    <w:rPr>
      <w:rFonts w:eastAsiaTheme="minorHAnsi"/>
      <w:szCs w:val="22"/>
      <w:lang w:eastAsia="en-US"/>
    </w:rPr>
  </w:style>
  <w:style w:type="paragraph" w:customStyle="1" w:styleId="Point1letter">
    <w:name w:val="Point 1 (letter)"/>
    <w:basedOn w:val="Normal"/>
    <w:rsid w:val="00492915"/>
    <w:pPr>
      <w:widowControl/>
      <w:numPr>
        <w:ilvl w:val="3"/>
        <w:numId w:val="18"/>
      </w:numPr>
      <w:tabs>
        <w:tab w:val="clear" w:pos="1417"/>
      </w:tabs>
      <w:spacing w:before="120" w:after="120"/>
      <w:ind w:left="0" w:firstLine="0"/>
      <w:jc w:val="both"/>
    </w:pPr>
    <w:rPr>
      <w:rFonts w:eastAsiaTheme="minorHAnsi"/>
      <w:szCs w:val="22"/>
      <w:lang w:eastAsia="en-US"/>
    </w:rPr>
  </w:style>
  <w:style w:type="paragraph" w:customStyle="1" w:styleId="Point2letter">
    <w:name w:val="Point 2 (letter)"/>
    <w:basedOn w:val="Normal"/>
    <w:rsid w:val="00492915"/>
    <w:pPr>
      <w:widowControl/>
      <w:numPr>
        <w:ilvl w:val="5"/>
        <w:numId w:val="18"/>
      </w:numPr>
      <w:tabs>
        <w:tab w:val="clear" w:pos="1984"/>
      </w:tabs>
      <w:spacing w:before="120" w:after="120"/>
      <w:ind w:left="0" w:firstLine="0"/>
      <w:jc w:val="both"/>
    </w:pPr>
    <w:rPr>
      <w:rFonts w:eastAsiaTheme="minorHAnsi"/>
      <w:szCs w:val="22"/>
      <w:lang w:eastAsia="en-US"/>
    </w:rPr>
  </w:style>
  <w:style w:type="paragraph" w:customStyle="1" w:styleId="Point3letter">
    <w:name w:val="Point 3 (letter)"/>
    <w:basedOn w:val="Normal"/>
    <w:rsid w:val="00492915"/>
    <w:pPr>
      <w:widowControl/>
      <w:numPr>
        <w:ilvl w:val="7"/>
        <w:numId w:val="18"/>
      </w:numPr>
      <w:tabs>
        <w:tab w:val="clear" w:pos="2551"/>
      </w:tabs>
      <w:spacing w:before="120" w:after="120"/>
      <w:ind w:left="0" w:firstLine="0"/>
      <w:jc w:val="both"/>
    </w:pPr>
    <w:rPr>
      <w:rFonts w:eastAsiaTheme="minorHAnsi"/>
      <w:szCs w:val="22"/>
      <w:lang w:eastAsia="en-US"/>
    </w:rPr>
  </w:style>
  <w:style w:type="paragraph" w:customStyle="1" w:styleId="Point4letter">
    <w:name w:val="Point 4 (letter)"/>
    <w:basedOn w:val="Normal"/>
    <w:rsid w:val="00492915"/>
    <w:pPr>
      <w:widowControl/>
      <w:numPr>
        <w:ilvl w:val="8"/>
        <w:numId w:val="18"/>
      </w:numPr>
      <w:tabs>
        <w:tab w:val="clear" w:pos="3118"/>
      </w:tabs>
      <w:spacing w:before="120" w:after="120"/>
      <w:ind w:left="0" w:firstLine="0"/>
      <w:jc w:val="both"/>
    </w:pPr>
    <w:rPr>
      <w:rFonts w:eastAsiaTheme="minorHAnsi"/>
      <w:szCs w:val="22"/>
      <w:lang w:eastAsia="en-US"/>
    </w:rPr>
  </w:style>
  <w:style w:type="paragraph" w:customStyle="1" w:styleId="Bullet0">
    <w:name w:val="Bullet 0"/>
    <w:basedOn w:val="Normal"/>
    <w:rsid w:val="00492915"/>
    <w:pPr>
      <w:widowControl/>
      <w:numPr>
        <w:numId w:val="27"/>
      </w:numPr>
      <w:tabs>
        <w:tab w:val="clear" w:pos="850"/>
      </w:tabs>
      <w:spacing w:before="120" w:after="120"/>
      <w:ind w:left="0" w:firstLine="0"/>
      <w:jc w:val="both"/>
    </w:pPr>
    <w:rPr>
      <w:rFonts w:eastAsiaTheme="minorHAnsi"/>
      <w:szCs w:val="22"/>
      <w:lang w:eastAsia="en-US"/>
    </w:rPr>
  </w:style>
  <w:style w:type="paragraph" w:customStyle="1" w:styleId="Bullet1">
    <w:name w:val="Bullet 1"/>
    <w:basedOn w:val="Normal"/>
    <w:rsid w:val="00492915"/>
    <w:pPr>
      <w:widowControl/>
      <w:numPr>
        <w:numId w:val="28"/>
      </w:numPr>
      <w:tabs>
        <w:tab w:val="clear" w:pos="1417"/>
      </w:tabs>
      <w:spacing w:before="120" w:after="120"/>
      <w:ind w:left="0" w:firstLine="0"/>
      <w:jc w:val="both"/>
    </w:pPr>
    <w:rPr>
      <w:rFonts w:eastAsiaTheme="minorHAnsi"/>
      <w:szCs w:val="22"/>
      <w:lang w:eastAsia="en-US"/>
    </w:rPr>
  </w:style>
  <w:style w:type="paragraph" w:customStyle="1" w:styleId="Bullet2">
    <w:name w:val="Bullet 2"/>
    <w:basedOn w:val="Normal"/>
    <w:rsid w:val="00492915"/>
    <w:pPr>
      <w:widowControl/>
      <w:numPr>
        <w:numId w:val="29"/>
      </w:numPr>
      <w:tabs>
        <w:tab w:val="clear" w:pos="1984"/>
      </w:tabs>
      <w:spacing w:before="120" w:after="120"/>
      <w:ind w:left="0" w:firstLine="0"/>
      <w:jc w:val="both"/>
    </w:pPr>
    <w:rPr>
      <w:rFonts w:eastAsiaTheme="minorHAnsi"/>
      <w:szCs w:val="22"/>
      <w:lang w:eastAsia="en-US"/>
    </w:rPr>
  </w:style>
  <w:style w:type="paragraph" w:customStyle="1" w:styleId="Bullet3">
    <w:name w:val="Bullet 3"/>
    <w:basedOn w:val="Normal"/>
    <w:rsid w:val="00492915"/>
    <w:pPr>
      <w:widowControl/>
      <w:numPr>
        <w:numId w:val="30"/>
      </w:numPr>
      <w:tabs>
        <w:tab w:val="clear" w:pos="2551"/>
      </w:tabs>
      <w:spacing w:before="120" w:after="120"/>
      <w:ind w:left="0" w:firstLine="0"/>
      <w:jc w:val="both"/>
    </w:pPr>
    <w:rPr>
      <w:rFonts w:eastAsiaTheme="minorHAnsi"/>
      <w:szCs w:val="22"/>
      <w:lang w:eastAsia="en-US"/>
    </w:rPr>
  </w:style>
  <w:style w:type="paragraph" w:customStyle="1" w:styleId="Bullet4">
    <w:name w:val="Bullet 4"/>
    <w:basedOn w:val="Normal"/>
    <w:rsid w:val="00492915"/>
    <w:pPr>
      <w:widowControl/>
      <w:numPr>
        <w:numId w:val="31"/>
      </w:numPr>
      <w:tabs>
        <w:tab w:val="clear" w:pos="3118"/>
      </w:tabs>
      <w:spacing w:before="120" w:after="120"/>
      <w:ind w:left="0" w:firstLine="0"/>
      <w:jc w:val="both"/>
    </w:pPr>
    <w:rPr>
      <w:rFonts w:eastAsiaTheme="minorHAnsi"/>
      <w:szCs w:val="22"/>
      <w:lang w:eastAsia="en-US"/>
    </w:rPr>
  </w:style>
  <w:style w:type="paragraph" w:customStyle="1" w:styleId="Langue">
    <w:name w:val="Langue"/>
    <w:basedOn w:val="Normal"/>
    <w:next w:val="Rfrenceinterne"/>
    <w:rsid w:val="00492915"/>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492915"/>
    <w:pPr>
      <w:widowControl/>
    </w:pPr>
    <w:rPr>
      <w:rFonts w:ascii="Arial" w:eastAsiaTheme="minorHAnsi" w:hAnsi="Arial" w:cs="Arial"/>
      <w:szCs w:val="22"/>
      <w:lang w:eastAsia="en-US"/>
    </w:rPr>
  </w:style>
  <w:style w:type="paragraph" w:customStyle="1" w:styleId="Emission">
    <w:name w:val="Emission"/>
    <w:basedOn w:val="Normal"/>
    <w:next w:val="Rfrenceinstitutionnelle"/>
    <w:rsid w:val="00492915"/>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492915"/>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492915"/>
    <w:pPr>
      <w:widowControl/>
      <w:jc w:val="both"/>
    </w:pPr>
    <w:rPr>
      <w:rFonts w:eastAsiaTheme="minorHAnsi"/>
      <w:szCs w:val="22"/>
      <w:lang w:eastAsia="en-US"/>
    </w:rPr>
  </w:style>
  <w:style w:type="paragraph" w:customStyle="1" w:styleId="Declassification">
    <w:name w:val="Declassification"/>
    <w:basedOn w:val="Normal"/>
    <w:next w:val="Normal"/>
    <w:rsid w:val="00492915"/>
    <w:pPr>
      <w:widowControl/>
      <w:jc w:val="both"/>
    </w:pPr>
    <w:rPr>
      <w:rFonts w:eastAsiaTheme="minorHAnsi"/>
      <w:szCs w:val="22"/>
      <w:lang w:eastAsia="en-US"/>
    </w:rPr>
  </w:style>
  <w:style w:type="paragraph" w:customStyle="1" w:styleId="Disclaimer">
    <w:name w:val="Disclaimer"/>
    <w:basedOn w:val="Normal"/>
    <w:rsid w:val="0049291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492915"/>
    <w:pPr>
      <w:widowControl/>
      <w:spacing w:line="276" w:lineRule="auto"/>
      <w:ind w:left="5103"/>
    </w:pPr>
    <w:rPr>
      <w:rFonts w:eastAsiaTheme="minorHAnsi"/>
      <w:sz w:val="28"/>
      <w:szCs w:val="22"/>
      <w:lang w:eastAsia="en-US"/>
    </w:rPr>
  </w:style>
  <w:style w:type="paragraph" w:customStyle="1" w:styleId="DateMarking">
    <w:name w:val="DateMarking"/>
    <w:basedOn w:val="Normal"/>
    <w:rsid w:val="00492915"/>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492915"/>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492915"/>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492915"/>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492915"/>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492915"/>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492915"/>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492915"/>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492915"/>
    <w:pPr>
      <w:widowControl/>
      <w:spacing w:before="240" w:after="240"/>
      <w:ind w:left="5103"/>
    </w:pPr>
    <w:rPr>
      <w:rFonts w:eastAsiaTheme="minorHAnsi"/>
      <w:i/>
      <w:sz w:val="32"/>
      <w:szCs w:val="22"/>
      <w:lang w:eastAsia="en-US"/>
    </w:rPr>
  </w:style>
  <w:style w:type="paragraph" w:customStyle="1" w:styleId="Considrant">
    <w:name w:val="Considérant"/>
    <w:basedOn w:val="Normal"/>
    <w:rsid w:val="00492915"/>
    <w:pPr>
      <w:widowControl/>
      <w:numPr>
        <w:numId w:val="32"/>
      </w:numPr>
      <w:tabs>
        <w:tab w:val="clear" w:pos="709"/>
      </w:tabs>
      <w:spacing w:before="120" w:after="120"/>
      <w:ind w:left="0" w:firstLine="0"/>
      <w:jc w:val="both"/>
    </w:pPr>
    <w:rPr>
      <w:rFonts w:eastAsiaTheme="minorHAnsi"/>
      <w:szCs w:val="22"/>
      <w:lang w:eastAsia="en-US"/>
    </w:rPr>
  </w:style>
  <w:style w:type="paragraph" w:customStyle="1" w:styleId="Corrigendum">
    <w:name w:val="Corrigendum"/>
    <w:basedOn w:val="Normal"/>
    <w:next w:val="Normal"/>
    <w:rsid w:val="00492915"/>
    <w:pPr>
      <w:widowControl/>
      <w:spacing w:after="240"/>
    </w:pPr>
    <w:rPr>
      <w:rFonts w:eastAsiaTheme="minorHAnsi"/>
      <w:szCs w:val="22"/>
      <w:lang w:eastAsia="en-US"/>
    </w:rPr>
  </w:style>
  <w:style w:type="paragraph" w:customStyle="1" w:styleId="Datedadoption">
    <w:name w:val="Date d'adoption"/>
    <w:basedOn w:val="Normal"/>
    <w:next w:val="Titreobjet"/>
    <w:rsid w:val="00492915"/>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492915"/>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49291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49291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9291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49291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49291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492915"/>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492915"/>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492915"/>
    <w:pPr>
      <w:widowControl/>
      <w:ind w:left="5103"/>
    </w:pPr>
    <w:rPr>
      <w:rFonts w:eastAsiaTheme="minorHAnsi"/>
      <w:szCs w:val="22"/>
      <w:lang w:eastAsia="en-US"/>
    </w:rPr>
  </w:style>
  <w:style w:type="paragraph" w:customStyle="1" w:styleId="Statut">
    <w:name w:val="Statut"/>
    <w:basedOn w:val="Normal"/>
    <w:next w:val="Typedudocument"/>
    <w:rsid w:val="00492915"/>
    <w:pPr>
      <w:widowControl/>
      <w:spacing w:before="360"/>
      <w:jc w:val="center"/>
    </w:pPr>
    <w:rPr>
      <w:rFonts w:eastAsiaTheme="minorHAnsi"/>
      <w:szCs w:val="22"/>
      <w:lang w:eastAsia="en-US"/>
    </w:rPr>
  </w:style>
  <w:style w:type="paragraph" w:customStyle="1" w:styleId="Titrearticle">
    <w:name w:val="Titre article"/>
    <w:basedOn w:val="Normal"/>
    <w:next w:val="Normal"/>
    <w:rsid w:val="00492915"/>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492915"/>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492915"/>
    <w:pPr>
      <w:widowControl/>
      <w:spacing w:before="360"/>
      <w:jc w:val="center"/>
    </w:pPr>
    <w:rPr>
      <w:rFonts w:eastAsiaTheme="minorHAnsi"/>
      <w:b/>
      <w:szCs w:val="22"/>
      <w:lang w:eastAsia="en-US"/>
    </w:rPr>
  </w:style>
  <w:style w:type="character" w:customStyle="1" w:styleId="Added">
    <w:name w:val="Added"/>
    <w:basedOn w:val="DefaultParagraphFont"/>
    <w:rsid w:val="00492915"/>
    <w:rPr>
      <w:b/>
      <w:u w:val="single"/>
      <w:shd w:val="clear" w:color="auto" w:fill="auto"/>
    </w:rPr>
  </w:style>
  <w:style w:type="character" w:customStyle="1" w:styleId="Deleted">
    <w:name w:val="Deleted"/>
    <w:basedOn w:val="DefaultParagraphFont"/>
    <w:rsid w:val="00492915"/>
    <w:rPr>
      <w:strike/>
      <w:dstrike w:val="0"/>
      <w:shd w:val="clear" w:color="auto" w:fill="auto"/>
    </w:rPr>
  </w:style>
  <w:style w:type="paragraph" w:customStyle="1" w:styleId="Address">
    <w:name w:val="Address"/>
    <w:basedOn w:val="Normal"/>
    <w:next w:val="Normal"/>
    <w:rsid w:val="00492915"/>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492915"/>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492915"/>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492915"/>
    <w:pPr>
      <w:widowControl/>
      <w:spacing w:before="360"/>
      <w:jc w:val="center"/>
    </w:pPr>
    <w:rPr>
      <w:rFonts w:eastAsiaTheme="minorHAnsi"/>
      <w:szCs w:val="22"/>
      <w:lang w:eastAsia="en-US"/>
    </w:rPr>
  </w:style>
  <w:style w:type="paragraph" w:customStyle="1" w:styleId="Rfrencecroise">
    <w:name w:val="Référence croisée"/>
    <w:basedOn w:val="Normal"/>
    <w:rsid w:val="00492915"/>
    <w:pPr>
      <w:widowControl/>
      <w:jc w:val="center"/>
    </w:pPr>
    <w:rPr>
      <w:rFonts w:eastAsiaTheme="minorHAnsi"/>
      <w:szCs w:val="22"/>
      <w:lang w:eastAsia="en-US"/>
    </w:rPr>
  </w:style>
  <w:style w:type="paragraph" w:customStyle="1" w:styleId="Fichefinanciretitre">
    <w:name w:val="Fiche financière titre"/>
    <w:basedOn w:val="Normal"/>
    <w:next w:val="Normal"/>
    <w:rsid w:val="00492915"/>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492915"/>
  </w:style>
  <w:style w:type="paragraph" w:customStyle="1" w:styleId="RfrenceinterinstitutionnellePagedecouverture">
    <w:name w:val="Référence interinstitutionnelle (Page de couverture)"/>
    <w:basedOn w:val="Rfrenceinterinstitutionnelle"/>
    <w:next w:val="Confidentialit"/>
    <w:rsid w:val="00492915"/>
  </w:style>
  <w:style w:type="paragraph" w:customStyle="1" w:styleId="StatutPagedecouverture">
    <w:name w:val="Statut (Page de couverture)"/>
    <w:basedOn w:val="Statut"/>
    <w:next w:val="TypedudocumentPagedecouverture"/>
    <w:rsid w:val="00492915"/>
  </w:style>
  <w:style w:type="paragraph" w:customStyle="1" w:styleId="TitreobjetPagedecouverture">
    <w:name w:val="Titre objet (Page de couverture)"/>
    <w:basedOn w:val="Titreobjet"/>
    <w:next w:val="IntrtEEEPagedecouverture"/>
    <w:rsid w:val="00492915"/>
  </w:style>
  <w:style w:type="paragraph" w:customStyle="1" w:styleId="TypedudocumentPagedecouverture">
    <w:name w:val="Type du document (Page de couverture)"/>
    <w:basedOn w:val="Typedudocument"/>
    <w:next w:val="TitreobjetPagedecouverture"/>
    <w:rsid w:val="00492915"/>
  </w:style>
  <w:style w:type="paragraph" w:customStyle="1" w:styleId="Volume">
    <w:name w:val="Volume"/>
    <w:basedOn w:val="Normal"/>
    <w:next w:val="Confidentialit"/>
    <w:rsid w:val="00492915"/>
    <w:pPr>
      <w:widowControl/>
      <w:spacing w:after="240"/>
      <w:ind w:left="5103"/>
    </w:pPr>
    <w:rPr>
      <w:rFonts w:eastAsiaTheme="minorHAnsi"/>
      <w:szCs w:val="22"/>
      <w:lang w:eastAsia="en-US"/>
    </w:rPr>
  </w:style>
  <w:style w:type="paragraph" w:customStyle="1" w:styleId="IntrtEEE">
    <w:name w:val="Intérêt EEE"/>
    <w:basedOn w:val="Languesfaisantfoi"/>
    <w:next w:val="Normal"/>
    <w:rsid w:val="00492915"/>
    <w:pPr>
      <w:spacing w:after="240"/>
    </w:pPr>
  </w:style>
  <w:style w:type="paragraph" w:customStyle="1" w:styleId="Accompagnant">
    <w:name w:val="Accompagnant"/>
    <w:basedOn w:val="Normal"/>
    <w:next w:val="Typeacteprincipal"/>
    <w:rsid w:val="00492915"/>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492915"/>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492915"/>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492915"/>
  </w:style>
  <w:style w:type="paragraph" w:customStyle="1" w:styleId="AccompagnantPagedecouverture">
    <w:name w:val="Accompagnant (Page de couverture)"/>
    <w:basedOn w:val="Accompagnant"/>
    <w:next w:val="TypeacteprincipalPagedecouverture"/>
    <w:rsid w:val="00492915"/>
  </w:style>
  <w:style w:type="paragraph" w:customStyle="1" w:styleId="TypeacteprincipalPagedecouverture">
    <w:name w:val="Type acte principal (Page de couverture)"/>
    <w:basedOn w:val="Typeacteprincipal"/>
    <w:next w:val="ObjetacteprincipalPagedecouverture"/>
    <w:rsid w:val="00492915"/>
  </w:style>
  <w:style w:type="paragraph" w:customStyle="1" w:styleId="ObjetacteprincipalPagedecouverture">
    <w:name w:val="Objet acte principal (Page de couverture)"/>
    <w:basedOn w:val="Objetacteprincipal"/>
    <w:next w:val="Rfrencecroise"/>
    <w:rsid w:val="00492915"/>
  </w:style>
  <w:style w:type="paragraph" w:customStyle="1" w:styleId="LanguesfaisantfoiPagedecouverture">
    <w:name w:val="Langues faisant foi (Page de couverture)"/>
    <w:basedOn w:val="Normal"/>
    <w:next w:val="Normal"/>
    <w:rsid w:val="00492915"/>
    <w:pPr>
      <w:widowControl/>
      <w:spacing w:before="360"/>
      <w:jc w:val="center"/>
    </w:pPr>
    <w:rPr>
      <w:rFonts w:eastAsiaTheme="minorHAnsi"/>
      <w:szCs w:val="22"/>
      <w:lang w:eastAsia="en-US"/>
    </w:rPr>
  </w:style>
  <w:style w:type="paragraph" w:customStyle="1" w:styleId="Normal6">
    <w:name w:val="Normal6"/>
    <w:basedOn w:val="Normal"/>
    <w:link w:val="Normal6Char"/>
    <w:rsid w:val="0015504C"/>
    <w:pPr>
      <w:spacing w:after="120"/>
    </w:pPr>
  </w:style>
  <w:style w:type="character" w:customStyle="1" w:styleId="NormalBoldChar">
    <w:name w:val="NormalBold Char"/>
    <w:basedOn w:val="DefaultParagraphFont"/>
    <w:link w:val="NormalBold"/>
    <w:rsid w:val="0015504C"/>
    <w:rPr>
      <w:b/>
      <w:sz w:val="24"/>
    </w:rPr>
  </w:style>
  <w:style w:type="character" w:customStyle="1" w:styleId="Normal6Char">
    <w:name w:val="Normal6 Char"/>
    <w:basedOn w:val="DefaultParagraphFont"/>
    <w:link w:val="Normal6"/>
    <w:rsid w:val="0015504C"/>
    <w:rPr>
      <w:sz w:val="24"/>
      <w:lang w:val="fr-FR"/>
    </w:rPr>
  </w:style>
  <w:style w:type="paragraph" w:customStyle="1" w:styleId="ColumnHeading">
    <w:name w:val="ColumnHeading"/>
    <w:basedOn w:val="Normal"/>
    <w:rsid w:val="0015504C"/>
    <w:pPr>
      <w:spacing w:after="240"/>
      <w:jc w:val="center"/>
    </w:pPr>
    <w:rPr>
      <w:i/>
    </w:rPr>
  </w:style>
  <w:style w:type="paragraph" w:customStyle="1" w:styleId="AMNumberTabs0">
    <w:name w:val="AMNumberTabs"/>
    <w:basedOn w:val="Normal"/>
    <w:rsid w:val="001550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5504C"/>
    <w:pPr>
      <w:jc w:val="right"/>
    </w:pPr>
  </w:style>
  <w:style w:type="paragraph" w:customStyle="1" w:styleId="RollCallSymbols14pt">
    <w:name w:val="RollCallSymbols14pt"/>
    <w:basedOn w:val="Normal"/>
    <w:rsid w:val="00E003F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003F3"/>
    <w:pPr>
      <w:tabs>
        <w:tab w:val="center" w:pos="284"/>
        <w:tab w:val="left" w:pos="426"/>
      </w:tabs>
    </w:pPr>
    <w:rPr>
      <w:snapToGrid w:val="0"/>
      <w:lang w:eastAsia="en-US"/>
    </w:rPr>
  </w:style>
  <w:style w:type="paragraph" w:customStyle="1" w:styleId="RollCallVotes">
    <w:name w:val="RollCallVotes"/>
    <w:basedOn w:val="Normal"/>
    <w:rsid w:val="00E003F3"/>
    <w:pPr>
      <w:spacing w:before="120" w:after="120"/>
      <w:jc w:val="center"/>
    </w:pPr>
    <w:rPr>
      <w:b/>
      <w:bCs/>
      <w:snapToGrid w:val="0"/>
      <w:sz w:val="16"/>
      <w:lang w:eastAsia="en-US"/>
    </w:rPr>
  </w:style>
  <w:style w:type="paragraph" w:customStyle="1" w:styleId="RollCallTable">
    <w:name w:val="RollCallTable"/>
    <w:basedOn w:val="Normal"/>
    <w:rsid w:val="00E003F3"/>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1/611/oj" TargetMode="External"/><Relationship Id="rId2" Type="http://schemas.openxmlformats.org/officeDocument/2006/relationships/hyperlink" Target="http://data.europa.eu/eli/reg/2021/523/oj"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2024F-47F1-49DF-AEB6-A42719815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7077</Words>
  <Characters>41262</Characters>
  <Application>Microsoft Office Word</Application>
  <DocSecurity>0</DocSecurity>
  <Lines>1178</Lines>
  <Paragraphs>333</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48006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2026-06-29T16:16:00Z</cp:lastPrinted>
  <dcterms:created xsi:type="dcterms:W3CDTF">2026-07-14T13:19:00Z</dcterms:created>
  <dcterms:modified xsi:type="dcterms:W3CDTF">2026-07-14T13:19:00Z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1347975</vt:lpwstr>
  </property>
  <property fmtid="{D5CDD505-2E9C-101B-9397-08002B2CF9AE}" pid="4" name="&lt;Model&gt;">
    <vt:lpwstr>PA_LegEvaluation</vt:lpwstr>
  </property>
  <property fmtid="{D5CDD505-2E9C-101B-9397-08002B2CF9AE}" pid="5" name="&lt;ModelCod&gt;">
    <vt:lpwstr>\\eiciBRUpr1\pdocep$\DocEP\DOCS\General\PA\PA_Leg\PA_LegEvaluation.dotx(18/03/2025 13:35:01)</vt:lpwstr>
  </property>
  <property fmtid="{D5CDD505-2E9C-101B-9397-08002B2CF9AE}" pid="6" name="&lt;ModelTra&gt;">
    <vt:lpwstr>\\eiciBRUpr1\pdocep$\DocEP\TRANSFIL\EN\PA_LegEvaluation.EN(03/03/2026 11:04:10)</vt:lpwstr>
  </property>
  <property fmtid="{D5CDD505-2E9C-101B-9397-08002B2CF9AE}" pid="7" name="&lt;Type&gt;">
    <vt:lpwstr>AD</vt:lpwstr>
  </property>
  <property fmtid="{D5CDD505-2E9C-101B-9397-08002B2CF9AE}" pid="8" name="Bookout">
    <vt:lpwstr>OK - 2026/07/14 15:19</vt:lpwstr>
  </property>
  <property fmtid="{D5CDD505-2E9C-101B-9397-08002B2CF9AE}" pid="9" name="Created with">
    <vt:lpwstr>10.2.1 Build [20260301]</vt:lpwstr>
  </property>
  <property fmtid="{D5CDD505-2E9C-101B-9397-08002B2CF9AE}" pid="10" name="FooterPath">
    <vt:lpwstr>AD\1347975FR.docx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787.644</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- 2026/06/25 11:41</vt:lpwstr>
  </property>
</Properties>
</file>