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2BCD8981"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854CAC" w:rsidRPr="005A146C" w:rsidP="00C85D0F" w14:paraId="40F9E8AF" w14:textId="77777777">
            <w:pPr>
              <w:pStyle w:val="EPName"/>
            </w:pPr>
            <w:r>
              <w:t>Europos Parlamentas</w:t>
            </w:r>
          </w:p>
          <w:p w:rsidR="00854CAC" w:rsidRPr="005A146C" w:rsidP="00C85D0F" w14:paraId="4E60502C" w14:textId="77777777">
            <w:pPr>
              <w:pStyle w:val="EPTerm"/>
            </w:pPr>
            <w:r>
              <w:t>2024-2029</w:t>
            </w:r>
          </w:p>
        </w:tc>
        <w:tc>
          <w:tcPr>
            <w:tcW w:w="2268" w:type="dxa"/>
            <w:shd w:val="clear" w:color="auto" w:fill="auto"/>
          </w:tcPr>
          <w:p w:rsidR="00854CAC" w:rsidRPr="005A146C" w:rsidP="00C85D0F" w14:paraId="5FF09694" w14:textId="77777777">
            <w:pPr>
              <w:pStyle w:val="EPLogo"/>
            </w:pPr>
            <w:r w:rsidRPr="005A146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706667"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5A146C" w:rsidP="001746D0" w14:paraId="0720D642" w14:textId="77777777">
      <w:pPr>
        <w:pStyle w:val="LineTop"/>
      </w:pPr>
    </w:p>
    <w:p w:rsidR="001746D0" w:rsidRPr="005A146C" w:rsidP="001746D0" w14:paraId="11C864E4" w14:textId="77777777">
      <w:pPr>
        <w:pStyle w:val="EPBody"/>
      </w:pPr>
      <w:r>
        <w:rPr>
          <w:rStyle w:val="HideTWBExt"/>
        </w:rPr>
        <w:t>&lt;</w:t>
      </w:r>
      <w:r>
        <w:rPr>
          <w:rStyle w:val="HideTWBExt"/>
          <w:i w:val="0"/>
        </w:rPr>
        <w:t>Commission</w:t>
      </w:r>
      <w:r>
        <w:rPr>
          <w:rStyle w:val="HideTWBExt"/>
        </w:rPr>
        <w:t>&gt;</w:t>
      </w:r>
      <w:r>
        <w:rPr>
          <w:rStyle w:val="HideTWBInt"/>
          <w:i w:val="0"/>
          <w:color w:val="auto"/>
        </w:rPr>
        <w:t>{BUDG}</w:t>
      </w:r>
      <w:r>
        <w:t>Biudžeto komitetas</w:t>
      </w:r>
      <w:r>
        <w:rPr>
          <w:rStyle w:val="HideTWBExt"/>
        </w:rPr>
        <w:t>&lt;/</w:t>
      </w:r>
      <w:r>
        <w:rPr>
          <w:rStyle w:val="HideTWBExt"/>
          <w:i w:val="0"/>
        </w:rPr>
        <w:t>Commission</w:t>
      </w:r>
      <w:r>
        <w:rPr>
          <w:rStyle w:val="HideTWBExt"/>
        </w:rPr>
        <w:t>&gt;</w:t>
      </w:r>
    </w:p>
    <w:p w:rsidR="001746D0" w:rsidRPr="005A146C" w:rsidP="001746D0" w14:paraId="4FD33A2C" w14:textId="77777777">
      <w:pPr>
        <w:pStyle w:val="LineBottom"/>
      </w:pPr>
    </w:p>
    <w:p w:rsidR="002E2F2E" w:rsidRPr="005A146C" w14:paraId="756B7E6D" w14:textId="77777777">
      <w:pPr>
        <w:pStyle w:val="CoverReference"/>
      </w:pPr>
      <w:r>
        <w:rPr>
          <w:rStyle w:val="HideTWBExt"/>
          <w:b w:val="0"/>
        </w:rPr>
        <w:t>&lt;RefProc&gt;</w:t>
      </w:r>
      <w:r>
        <w:t>2025/0555</w:t>
      </w:r>
      <w:r>
        <w:rPr>
          <w:rStyle w:val="HideTWBExt"/>
          <w:b w:val="0"/>
        </w:rPr>
        <w:t>&lt;/RefProc&gt;&lt;RefTypeProc&gt;</w:t>
      </w:r>
      <w:r>
        <w:t>(COD)</w:t>
      </w:r>
      <w:r>
        <w:rPr>
          <w:rStyle w:val="HideTWBExt"/>
          <w:b w:val="0"/>
        </w:rPr>
        <w:t>&lt;/RefTypeProc&gt;</w:t>
      </w:r>
    </w:p>
    <w:p w:rsidR="002E2F2E" w:rsidRPr="005A146C" w14:paraId="37DE10A3" w14:textId="77777777">
      <w:pPr>
        <w:pStyle w:val="CoverDate"/>
      </w:pPr>
      <w:r>
        <w:rPr>
          <w:rStyle w:val="HideTWBExt"/>
        </w:rPr>
        <w:t>&lt;Date&gt;</w:t>
      </w:r>
      <w:r>
        <w:rPr>
          <w:rStyle w:val="HideTWBInt"/>
          <w:color w:val="auto"/>
        </w:rPr>
        <w:t>{13/07/2026}</w:t>
      </w:r>
      <w:r>
        <w:t>13.7.2026</w:t>
      </w:r>
      <w:r>
        <w:rPr>
          <w:rStyle w:val="HideTWBExt"/>
        </w:rPr>
        <w:t>&lt;/Date&gt;</w:t>
      </w:r>
    </w:p>
    <w:p w:rsidR="007F621D" w:rsidRPr="005A146C" w:rsidP="007F621D" w14:paraId="5D310C90" w14:textId="77777777">
      <w:pPr>
        <w:pStyle w:val="CoverDocType24a"/>
      </w:pPr>
      <w:r>
        <w:rPr>
          <w:rStyle w:val="HideTWBExt"/>
          <w:b w:val="0"/>
        </w:rPr>
        <w:t>&lt;TitreType&gt;</w:t>
      </w:r>
      <w:r>
        <w:t>BIUDŽETINIS VERTINIMAS</w:t>
      </w:r>
      <w:r>
        <w:rPr>
          <w:rStyle w:val="HideTWBExt"/>
          <w:b w:val="0"/>
        </w:rPr>
        <w:t>&lt;/TitreType&gt;</w:t>
      </w:r>
    </w:p>
    <w:p w:rsidR="007F621D" w:rsidRPr="005A146C" w:rsidP="007F621D" w14:paraId="3DBBD7DD" w14:textId="77777777">
      <w:pPr>
        <w:pStyle w:val="CoverNormal24a"/>
      </w:pPr>
      <w:r>
        <w:rPr>
          <w:rStyle w:val="HideTWBExt"/>
        </w:rPr>
        <w:t>&lt;CommissionResp&gt;</w:t>
      </w:r>
      <w:r>
        <w:t>Biudžeto komiteto</w:t>
      </w:r>
      <w:r>
        <w:rPr>
          <w:rStyle w:val="HideTWBExt"/>
        </w:rPr>
        <w:t>&lt;/CommissionResp&gt;</w:t>
      </w:r>
    </w:p>
    <w:p w:rsidR="007F621D" w:rsidRPr="005A146C" w:rsidP="007F621D" w14:paraId="6A55142C" w14:textId="77777777">
      <w:pPr>
        <w:pStyle w:val="CoverNormal24a"/>
      </w:pPr>
      <w:r>
        <w:rPr>
          <w:rStyle w:val="HideTWBExt"/>
        </w:rPr>
        <w:t>&lt;CommissionInt&gt;</w:t>
      </w:r>
      <w:r>
        <w:t>pateiktas Pramonės, mokslinių tyrimų ir energetikos komitetui</w:t>
      </w:r>
      <w:r>
        <w:rPr>
          <w:rStyle w:val="HideTWBExt"/>
        </w:rPr>
        <w:t>&lt;/CommissionInt&gt;</w:t>
      </w:r>
    </w:p>
    <w:p w:rsidR="007F621D" w:rsidRPr="005A146C" w:rsidP="007F621D" w14:paraId="5CF3C27C" w14:textId="77777777">
      <w:pPr>
        <w:pStyle w:val="CoverNormal"/>
      </w:pPr>
      <w:r>
        <w:rPr>
          <w:rStyle w:val="HideTWBExt"/>
        </w:rPr>
        <w:t>&lt;Titre&gt;</w:t>
      </w:r>
      <w:r>
        <w:t>dėl pasiūlymo dėl Europos Parlamento ir Tarybos reglamento, kuriuo įsteigiamas Europos konkurencingumo fondas (ECF), įskaitant specialiąją gynybos srities mokslinių tyrimų ir inovacijų veiklos programą, panaikinami reglamentai (ES) 2021/522, (ES) 2021/694, (ES) 2021/697, (ES) 2021/783 ir iš dalies keičiami reglamentai (ES) 2021/696, (ES) 2023/588, (ES) [EGPP]</w:t>
      </w:r>
      <w:r>
        <w:rPr>
          <w:rStyle w:val="HideTWBExt"/>
        </w:rPr>
        <w:t>&lt;/Titre&gt;</w:t>
      </w:r>
    </w:p>
    <w:p w:rsidR="007F621D" w:rsidRPr="005A146C" w:rsidP="007F621D" w14:paraId="0E78FB79" w14:textId="77777777">
      <w:pPr>
        <w:pStyle w:val="CoverNormal24a"/>
      </w:pPr>
      <w:r>
        <w:rPr>
          <w:rStyle w:val="HideTWBExt"/>
        </w:rPr>
        <w:t>&lt;DocRef&gt;</w:t>
      </w:r>
      <w:r>
        <w:t>(COM(2025)0555 – C10</w:t>
      </w:r>
      <w:r>
        <w:noBreakHyphen/>
        <w:t>0165/2025 – 2025/0555(COD))</w:t>
      </w:r>
      <w:r>
        <w:rPr>
          <w:rStyle w:val="HideTWBExt"/>
        </w:rPr>
        <w:t>&lt;/DocRef&gt;</w:t>
      </w:r>
    </w:p>
    <w:p w:rsidR="007F621D" w:rsidRPr="005A146C" w:rsidP="007F621D" w14:paraId="5253FE10" w14:textId="77777777">
      <w:pPr>
        <w:pStyle w:val="CoverNormal24a"/>
      </w:pPr>
      <w:r>
        <w:t xml:space="preserve">Biudžetinio vertinimo referentė: </w:t>
      </w:r>
      <w:r>
        <w:rPr>
          <w:rStyle w:val="HideTWBExt"/>
        </w:rPr>
        <w:t>&lt;Depute&gt;</w:t>
      </w:r>
      <w:r>
        <w:t>Stine Bosse</w:t>
      </w:r>
      <w:r>
        <w:rPr>
          <w:rStyle w:val="HideTWBExt"/>
        </w:rPr>
        <w:t>&lt;/Depute&gt;</w:t>
      </w:r>
    </w:p>
    <w:p w:rsidR="007F621D" w:rsidRPr="005A146C" w:rsidP="007F621D" w14:paraId="7B4692FC" w14:textId="77777777">
      <w:pPr>
        <w:widowControl/>
        <w:tabs>
          <w:tab w:val="center" w:pos="4677"/>
        </w:tabs>
      </w:pPr>
      <w:r>
        <w:br w:type="page"/>
      </w:r>
      <w:r>
        <w:t>PA_LegEvaluation</w:t>
      </w:r>
    </w:p>
    <w:p w:rsidR="007F621D" w:rsidRPr="005A146C" w:rsidP="007F621D" w14:paraId="5D81D251" w14:textId="77777777">
      <w:pPr>
        <w:pStyle w:val="PageHeadingNotTOC"/>
      </w:pPr>
      <w:r>
        <w:br w:type="page"/>
      </w:r>
      <w:r>
        <w:t>BIUDŽETINIS VERTINIMAS</w:t>
      </w:r>
    </w:p>
    <w:p w:rsidR="002F46CC" w:rsidRPr="005A146C" w:rsidP="002F46CC" w14:paraId="586E6888" w14:textId="77777777">
      <w:pPr>
        <w:pStyle w:val="NormalBold"/>
        <w:spacing w:before="240" w:after="240"/>
        <w:rPr>
          <w:bCs/>
        </w:rPr>
      </w:pPr>
      <w:r>
        <w:t xml:space="preserve">pateiktas Pramonės, mokslinių tyrimų ir energetikos komitetui dėl </w:t>
      </w:r>
      <w:r>
        <w:t>pasiūlymo dėl Europos Parlamento ir Tarybos reglamento, kuriuo įsteigiamas Europos konkurencingumo fondas (ECF), įskaitant specialiąją gynybos srities mokslinių tyrimų ir inovacijų veiklos programą, panaikinami reglamentai (ES) 2021/522, (ES) 2021/694, (ES) 2021/697, (ES) 2021/783 ir iš dalies keičiami reglamentai (ES) 2021/696, (ES) 2023/588, (ES) [EGPP]</w:t>
      </w:r>
      <w:r>
        <w:br/>
        <w:t>(COM(2025)0555 – C10</w:t>
      </w:r>
      <w:r>
        <w:noBreakHyphen/>
        <w:t>0165/2025 – 2025/0555(COD))</w:t>
      </w:r>
    </w:p>
    <w:p w:rsidR="007F621D" w:rsidRPr="005A146C" w:rsidP="007F621D" w14:paraId="1EAD13F5" w14:textId="77777777">
      <w:pPr>
        <w:pStyle w:val="Normal12a"/>
        <w:spacing w:before="240"/>
      </w:pPr>
      <w:r>
        <w:rPr>
          <w:rStyle w:val="HideTWBExt"/>
        </w:rPr>
        <w:t>&lt;Intro&gt;</w:t>
      </w:r>
      <w:r>
        <w:t>Biudžeto komitetas, vadovaudamasis Darbo tvarkos taisyklių 58 straipsniu, įvertino pasiūlymą ir padarė tokias išvadas:</w:t>
      </w:r>
      <w:r>
        <w:rPr>
          <w:rStyle w:val="HideTWBExt"/>
        </w:rPr>
        <w:t>&lt;/Intro&gt;</w:t>
      </w:r>
    </w:p>
    <w:p w:rsidR="00047339" w:rsidRPr="000A2DED" w:rsidP="00047339" w14:paraId="70E35CB7" w14:textId="77777777">
      <w:pPr>
        <w:spacing w:before="240" w:after="240" w:line="360" w:lineRule="auto"/>
      </w:pPr>
      <w:r>
        <w:rPr>
          <w:i/>
        </w:rPr>
        <w:t>Biudžeto komitetas</w:t>
      </w:r>
      <w:r>
        <w:t>,</w:t>
      </w:r>
    </w:p>
    <w:p w:rsidR="00047339" w:rsidRPr="000A2DED" w:rsidP="00047339" w14:paraId="5D68D9F5" w14:textId="77777777">
      <w:pPr>
        <w:pStyle w:val="NormalHanging12a"/>
      </w:pPr>
      <w:r>
        <w:t>A.</w:t>
      </w:r>
      <w:r>
        <w:tab/>
        <w:t xml:space="preserve">kadangi Europos konkurencingumo fondas (ECF) apima gerokai didesnes investicijas į inovacijas, strateginį savarankiškumą, atsparumą, ES įmones siekiant didinti jų pajėgumą konkuruoti pasaulio mastu ir </w:t>
      </w:r>
      <w:r>
        <w:t>vykdyti dvejopą pertvarką, palyginti su dabartine DFP; kadangi, atsižvelgiant į investicijų poreikius, kritinę priklausomybę ir geopolitines aplinkybes, tai vis dar nėra pakankama; kadangi pagal pasiūlymą esamos programos sujungiamos ir dėl to galėtų sumažėti skaidrumas ir atskaitomybė, taip pat galėtų būti apribotas Parlamento gebėjimas užtikrinti konkrečių politikos tikslų finansavimą;</w:t>
      </w:r>
    </w:p>
    <w:p w:rsidR="00047339" w:rsidRPr="000A2DED" w:rsidP="00047339" w14:paraId="1A7E610D" w14:textId="77777777">
      <w:pPr>
        <w:pStyle w:val="NormalHanging12a"/>
        <w:rPr>
          <w:b/>
          <w:bCs/>
          <w:i/>
          <w:iCs/>
        </w:rPr>
      </w:pPr>
      <w:r>
        <w:t>B.</w:t>
      </w:r>
      <w:r>
        <w:tab/>
        <w:t>kadangi ES turėtų didinti išlaidas strateginiams prioritetams, įskaitant energetiką, gynybą, visuomenės sveikatą, ypatingos svarbos technologijas, kibernetinį saugumą, tvarias inovacijas, energetikos sistemų dekarbonizaciją ir perėjimą prie švarios energijos, ir labiau naudotis rizikos pasidalijimo priemonėmis, pagal kurias norima prisiimti didesnę riziką nei pagal programą „InvestEU“, ir užtikrinti papildomumą, kad būtų sutelktos privačiosios investicijos, sustiprintas ES biudžeto poveikis ir konkurencing</w:t>
      </w:r>
      <w:r>
        <w:t>umas bei skatinama geresnė finansavimo aplinka sparčiai augančioms novatoriškoms įmonėms, startuoliams, veiklą plečiančioms įmonėms ir mažoms vidutinės kapitalizacijos įmonėms; kadangi rizikos pasidalijimo priemonių įgyvendinimas turėtų būti kuo paprastesnis;</w:t>
      </w:r>
    </w:p>
    <w:p w:rsidR="00047339" w:rsidRPr="000A2DED" w:rsidP="00047339" w14:paraId="7D5DE96A" w14:textId="77777777">
      <w:pPr>
        <w:pStyle w:val="NormalHanging12a"/>
      </w:pPr>
      <w:r>
        <w:t>C.</w:t>
      </w:r>
      <w:r>
        <w:tab/>
        <w:t>kadangi mažosios ir vidutinės įmonės, startuoliai, veiklą plečiančios įmonės ir mažos vidutinės kapitalizacijos įmonės yra pagrindiniai ekonomikos augimo, konkurencingumo ir inovacijų ES veiksniai ir svarbu užtikrinti tinkamą jiems skirtų investicijų lygį; kadangi jie turėtų galėti greičiau ir lengviau gauti finansavimą, kad panaikintų inovacijų ir investicijų diegimo atotrūkį nuo pasaulinių konkurentų ir prisidėtų prie tvaraus ekonomikos augimo, darbo vietų kūrimo, konkurencingumo ir strateginio savaranki</w:t>
      </w:r>
      <w:r>
        <w:t>škumo;</w:t>
      </w:r>
    </w:p>
    <w:p w:rsidR="00047339" w:rsidRPr="000A2DED" w:rsidP="00047339" w14:paraId="16D08278" w14:textId="77777777">
      <w:pPr>
        <w:pStyle w:val="NormalHanging12a"/>
      </w:pPr>
      <w:r>
        <w:t>D.</w:t>
      </w:r>
      <w:r>
        <w:tab/>
        <w:t>kadangi Europos investicijų bankui (EIB) neatliekama išorės bankų priežiūra; kadangi įgyvendinant ECF programą „InvestEU“ turėtų būti užtikrinti aukščiausi priežiūros standartai; kadangi EIB ir kitų įgyvendinančiųjų partnerių rizikos apetitas turi atspindėti atidėjinių normą;</w:t>
      </w:r>
    </w:p>
    <w:p w:rsidR="00047339" w:rsidRPr="000A2DED" w:rsidP="00047339" w14:paraId="5829EBEA" w14:textId="77777777">
      <w:pPr>
        <w:pStyle w:val="NormalHanging12a"/>
      </w:pPr>
      <w:r>
        <w:t>E.</w:t>
      </w:r>
      <w:r>
        <w:tab/>
        <w:t>kadangi patikimas išlaidų stebėjimas ir veiklos rezultatų ataskaitų teikimas yra išankstinės sąlygos siekiant garantuoti ES lėšų ekonominį naudingumą, užtikrinant, kad beprecedenčiu ECF finansiniu pajėgumu būtų veiksmingai pasiekti jo strateginiai tikslai; kadangi tokia sistema yra nepaprastai svarbi siekiant užtikrinti ES biudžeto patikimą finansų valdymą ir demokratinę atskaitomybę;</w:t>
      </w:r>
    </w:p>
    <w:p w:rsidR="00047339" w:rsidRPr="000A2DED" w:rsidP="00047339" w14:paraId="5B4C644C" w14:textId="77777777">
      <w:pPr>
        <w:pStyle w:val="NormalHanging12a"/>
      </w:pPr>
      <w:r>
        <w:t>1.</w:t>
      </w:r>
      <w:r>
        <w:tab/>
        <w:t>mano, kad ECF finansinis paketas turėtų būti padidintas nuo 234,3 mlrd. EUR (207,4 mlrd. EUR 2025 m. kainomis) iki 264,35 mlrd. EUR (234 mlrd. EUR 2025 m. kainomis), atsižvelgiant į labai didelius ES investicijų poreikius ir geopolitinę padėtį, kaip akcentuota M. Draghi ir E. Lettos pranešimuose, be kita ko, siekiant pagerinti Europos įmonių galimybes gauti finansavimą ir skatinti privačiąsias investicijas, taip stiprinant Europos įmonių gebėjimą sėkmingai konkuruoti pasaulinėse rinkose;</w:t>
      </w:r>
    </w:p>
    <w:p w:rsidR="00047339" w:rsidRPr="000A2DED" w:rsidP="00047339" w14:paraId="1CB08DDB" w14:textId="77777777">
      <w:pPr>
        <w:pStyle w:val="NormalHanging12a"/>
      </w:pPr>
      <w:r>
        <w:t>2.</w:t>
      </w:r>
      <w:r>
        <w:tab/>
        <w:t>mano, kad, siekiant užtikrinti veiksmingą ECF įgyvendinimą, nuo pat pradžių ir per visą 2028–2034 m. DFP programavimo laikotarpį turi būti skirta pakankamai išteklių, įskaitant žmogiškuosius, techninius ir IT išteklius;</w:t>
      </w:r>
    </w:p>
    <w:p w:rsidR="00047339" w:rsidRPr="000A2DED" w:rsidP="00047339" w14:paraId="3C3EC0A8" w14:textId="77777777">
      <w:pPr>
        <w:pStyle w:val="NormalHanging12a"/>
      </w:pPr>
      <w:r>
        <w:t>3.</w:t>
      </w:r>
      <w:r>
        <w:tab/>
        <w:t>apgailestauja dėl labai riboto ECF biudžeto paskirstymo, visų pirma, palyginus su tų pačių veiksmų padėtimi pagal dabartinę DFP; pažymi, kad tai suteiktų Komisijai didelę veiksmų laisvę įgyvendinimo metu keisti išlaidų prioritetus ir priimti sprendimus dėl jų, tačiau pripažįsta ir tam tikro laipsnio lankstumo būtinybę; pabrėžia, kad dėl supaprastinimo ir lankstumo neturėtų sumažėti skaidrumas ir susilpnėti biudžeto valdymo institucijos vykdoma priežiūra; taigi rekomenduoja visą paketą suskirstyti taip, kad</w:t>
      </w:r>
      <w:r>
        <w:t xml:space="preserve"> jis atspindėtų įvairias išlaidų kategorijas;</w:t>
      </w:r>
    </w:p>
    <w:p w:rsidR="00047339" w:rsidRPr="000A2DED" w:rsidP="00047339" w14:paraId="4E71CC6A" w14:textId="77777777">
      <w:pPr>
        <w:pStyle w:val="NormalHanging12a"/>
        <w:rPr>
          <w:b/>
          <w:bCs/>
          <w:i/>
          <w:iCs/>
        </w:rPr>
      </w:pPr>
      <w:r>
        <w:t>4.</w:t>
      </w:r>
      <w:r>
        <w:tab/>
        <w:t>apgailestauja, kad teisės akto pasiūlymo finansinio poveikio ir skaitmeninių aspektų pažymoje nepateikta išsami siūloma orientacinė biudžeto nomenklatūra; mano, kad tai trukdys priežiūrai ir biudžeto valdymo institucijos gebėjimui tiksliai nustatyti politikos prioritetus vykdant metinę biudžeto procedūrą; reiškia susirūpinimą dėl to, kad pernelyg apibendrinta biudžeto struktūra drastiškai padidintų Komisijos veiksmų laisvę perkeliant ir perskirstant išteklius be biudžeto valdymo institucijos sprendimo ir l</w:t>
      </w:r>
      <w:r>
        <w:t>abai apribotų parlamentinę priežiūrą; todėl rekomenduoja parengti išsamesnę nomenklatūrą, kuri tinkamai atspindėtų ECF tikslus ir struktūrą bei padidintų skaidrumą, atskaitomybę ir parlamentinę kontrolę;</w:t>
      </w:r>
    </w:p>
    <w:p w:rsidR="00047339" w:rsidRPr="000A2DED" w:rsidP="00047339" w14:paraId="7EBBE11C" w14:textId="77777777">
      <w:pPr>
        <w:pStyle w:val="NormalHanging12a"/>
      </w:pPr>
      <w:r>
        <w:t>5.</w:t>
      </w:r>
      <w:r>
        <w:tab/>
        <w:t>primena, kad biudžeto nomenklatūra turi būti nustatyta pagal Finansinio reglamento</w:t>
      </w:r>
      <w:r>
        <w:rPr>
          <w:rStyle w:val="FootnoteReference"/>
        </w:rPr>
        <w:footnoteReference w:id="2"/>
      </w:r>
      <w:r>
        <w:t xml:space="preserve"> 47 straipsnio 2 dalį, kurioje numatyta, kad kiekviena antraštinė dalis atitinka politikos sritį, o kiekvienas skyrius paprastai atitinka programą arba veiklą, laikantis konkretumo, patikimo finansų valdymo ir skaidrumo principų; todėl mano, kad nomenklatūroje turėtų būti tinkamai atspindėta programos vidaus struktūra ir visų pirma konkretūs tikslai; rekomenduoja, kad Pramonės, mokslinių tyrimų ir energetikos komitetas iš dalies pakeistų pasiūlymą siekiant įtraukti priedą, kuriame būtų nustatyta programos n</w:t>
      </w:r>
      <w:r>
        <w:t xml:space="preserve">omenklatūra; atkakliai tvirtina, kad biudžeto nomenklatūra yra neatskiriama Parlamento derybinės pozicijos dalis ir kad dėl jos turi būti diskutuojama per tarpinstitucines derybas; atsižvelgdamas į tai, mano, kad į galutinį politinį susitarimą turi būti įtraukta patikslinta teisės akto pasiūlymo finansinio poveikio ir skaitmeninių </w:t>
      </w:r>
      <w:r>
        <w:t>aspektų pažyma;</w:t>
      </w:r>
    </w:p>
    <w:p w:rsidR="00047339" w:rsidRPr="000A2DED" w:rsidP="00047339" w14:paraId="08B7F0E0" w14:textId="77777777">
      <w:pPr>
        <w:pStyle w:val="NormalHanging12a"/>
        <w:rPr>
          <w:b/>
          <w:bCs/>
          <w:i/>
          <w:iCs/>
          <w:szCs w:val="24"/>
          <w:shd w:val="clear" w:color="auto" w:fill="FFFFFF"/>
        </w:rPr>
      </w:pPr>
      <w:r>
        <w:t>6.</w:t>
      </w:r>
      <w:r>
        <w:tab/>
        <w:t>primygtinai tvirtina, kad pakankamai išsamūs ir patikimi teisės aktai, nustatant tinkamą valdymo lygmenį, yra patikimo sprendimų dėl biudžeto priėmimo ir parlamentinės priežiūros vykdant biudžetą sąlyga; akcentuoja, kad ECF strateginių suinteresuotųjų subjektų taryboje būtina užtikrinti subalansuotą atstovavimą suinteresuotiesiems subjektams, vadovaujantis pokyčiais konkurencingumo srityje ir rinkos tendencijomis, kad būtų skatinama Europos pramonė, inovacijos ir investicijos, dalyvaujant įvairių ekonomiko</w:t>
      </w:r>
      <w:r>
        <w:t xml:space="preserve">s sektorių atstovams; atkreipia dėmesį į esminį Investicijų komiteto vaidmenį užtikrinant, visų pirma, kad ECF programa „InvestEU“ būtų veiksmingai sprendžiamos rinkos nepakankamumo arba neoptimalios investavimo aplinkos problemos bei užtikrinamas papildomumas; pabrėžia, kad, siekiant užtikrinti priemonės vientisumą, Investicijų komitetas turėtų išlikti visiškai nepriklausomas, jame turėtų būti pakankamai nepriklausomų išorės ekspertų ir jo struktūra turėtų būti tokia, kad jis galėtų atlikti savo vaidmenį; </w:t>
      </w:r>
      <w:r>
        <w:t>laikosi nuomonės, kad Investicijų komiteto sudėtimi turėtų būti užtikrinama, kad jis turėtų daug žinių apie sektorius bei politikos linijas, kuriems skiriama ECF parama, taip pat gerai išmanytų geografines ES rinkas; akcentuoja, jog reikia, kad Investicijų komitetui padėtų pakankamai išteklių turintis sekretoriatas, administraciniu požiūriu priklausantis Komisijai; mano, kad Komisija, prieš pateikdama finansavimo ir investavimo operacijas Investicijų komitetui, turėtų atlikti jų politikos patikrą, kad įvert</w:t>
      </w:r>
      <w:r>
        <w:t>intų jų atitiktį ES teisei ir politikai, taip padėdama užtikrinti, kad Investicijų komiteto vertinimas būtų nepriklausomas nuo politikos sumetimų, vadovaujantis jo įgaliojimais; primygtinai tvirtina, kad programos „InvestEU“ valdymo struktūroje reikia nustatyti išsamias skaidrumo, dalyvių atrankos ir interesų konfliktų nebuvimo taisykles; primygtinai tvirtina kiekvienas Investicijų komiteto narys nedelsdamas ir reguliariai turi dalytis su Komisija visa informacija ir dokumentais, kurių reikia siekiant patvi</w:t>
      </w:r>
      <w:r>
        <w:t xml:space="preserve">rtinti, kad nėra interesų konfliktų; </w:t>
      </w:r>
      <w:r>
        <w:rPr>
          <w:shd w:val="clear" w:color="auto" w:fill="FFFFFF"/>
        </w:rPr>
        <w:t>mano, kad Parlamentas turėtų aktyviai dalyvauti taikant Konkurencingumo koordinavimo priemonę;</w:t>
      </w:r>
      <w:r>
        <w:t xml:space="preserve"> rekomenduoja įtvirtinti nuostatas, kuriomis būtų stiprinama biudžeto lėšų mobilizavimo ir panaudojimo kontrolė; </w:t>
      </w:r>
      <w:r>
        <w:rPr>
          <w:shd w:val="clear" w:color="auto" w:fill="FFFFFF"/>
        </w:rPr>
        <w:t>mano, kad vadinamasis valdymo mechanizmas jokiu būdu negali pakeisti Parlamento teisėkūros ir biudžetinių įgaliojimų ir negali būti nustatytas be patikimos valdymo struktūros, kuri užtikrintų veiksmingą tokių įgaliojimų vykdymą;</w:t>
      </w:r>
    </w:p>
    <w:p w:rsidR="00047339" w:rsidRPr="000A2DED" w:rsidP="00047339" w14:paraId="13A0850A" w14:textId="77777777">
      <w:pPr>
        <w:pStyle w:val="NormalHanging12a"/>
      </w:pPr>
      <w:r>
        <w:rPr>
          <w:shd w:val="clear" w:color="auto" w:fill="FFFFFF"/>
        </w:rPr>
        <w:t>7.</w:t>
      </w:r>
      <w:r>
        <w:rPr>
          <w:shd w:val="clear" w:color="auto" w:fill="FFFFFF"/>
        </w:rPr>
        <w:tab/>
      </w:r>
      <w:r>
        <w:t>mano, kad visi esminiai politikos pasirinkimai, pvz., programos tikslai, išlaidų prioritetai, finansiniai asignavimai, finansavimo normos, tinkamumas finansuoti, atrankos ir skyrimo kriterijai, sąlygos, apibrėžtys ir apskaičiavimo metodai, turi būti nustatyti ECF pagrindiniame akte, visapusiškai atsižvelgiant į Parlamento, kaip vienos iš teisėkūros ir ES biudžeto valdymo institucijų, prerogatyvas, ir kad bet kokie papildomi ir neesminiai elementai, susiję su politikos pasirinkimais, kurie nėra įtraukti į p</w:t>
      </w:r>
      <w:r>
        <w:t>agrindinį aktą, turi būti priimami tik deleguotaisiais aktais;</w:t>
      </w:r>
    </w:p>
    <w:p w:rsidR="00047339" w:rsidRPr="000A2DED" w:rsidP="00047339" w14:paraId="101C84F0" w14:textId="77777777">
      <w:pPr>
        <w:pStyle w:val="NormalHanging12a"/>
      </w:pPr>
      <w:r>
        <w:t>8.</w:t>
      </w:r>
      <w:r>
        <w:tab/>
        <w:t>primena, kad pasiūlyme numatyta galimybė naudoti biudžeto garantiją, ir tai iš esmės yra veiksmingas būdas optimizuoti riboto ES biudžeto poveikį; pabrėžia, kad skolinimosi ir skolinimo operacijų poveikis biudžetui turi būti aiškiai nustatytas, skaidriai pristatytas ir atidžiai stebimas visu DFP laikotarpiu; ypač pabrėžia, kad jų galimas poveikis DFP manevringumo maržai ar kitoms garantijoms turi būti visapusiškai įvertintas ir į jį turi būti tinkamai atsižvelgta; primygtinai ragina priimant visus su tokio</w:t>
      </w:r>
      <w:r>
        <w:t xml:space="preserve">mis operacijomis susijusius sprendimus visapusiškai atsižvelgti į teisėkūros institucijų įgaliojimus ir biudžeto valdymo institucijos prerogatyvas; </w:t>
      </w:r>
      <w:r>
        <w:t>akcentuoja, kad neparastai svarbu sustiprinti biudžeto garantijų naudojimą siekiant skatinti privačiąsias investicijas, ir pabrėžia, kad tokios priemonės turėtų būti naudojamos strategiškai, siekiant kuo labiau padidinti ES finansavimo poveikį, veiksmingumą ir tvarumą, sykiu užtikrinant visišką skaidrumą, patikimą rizikos valdymą ir pagarbą biudžeto valdymo inst</w:t>
      </w:r>
      <w:r>
        <w:t>itucijos prerogatyvoms;</w:t>
      </w:r>
    </w:p>
    <w:p w:rsidR="00047339" w:rsidRPr="000A2DED" w:rsidP="00047339" w14:paraId="3124966C" w14:textId="77777777">
      <w:pPr>
        <w:pStyle w:val="NormalHanging12a"/>
      </w:pPr>
      <w:r>
        <w:t>9.</w:t>
      </w:r>
      <w:r>
        <w:tab/>
        <w:t>mano, kad didžiausia ES garantijos suma turėtų būti padidinta iki 150 mlrd. EUR, atsižvelgiant į „InvestEU“ garantijos sėkmę ir didesnį dėmesį biudžeto sverto poveikiui; palankiai vertina 50 proc. atidėjinių normą, nes ji turėtų padėti užtikrinti, kad bus prisiimama didesnė rizika nei „InvestEU“ ir Europos strateginių investicijų fondo atveju;</w:t>
      </w:r>
    </w:p>
    <w:p w:rsidR="00047339" w:rsidRPr="000A2DED" w:rsidP="00047339" w14:paraId="63AB7FA7" w14:textId="77777777">
      <w:pPr>
        <w:pStyle w:val="NormalHanging12a"/>
      </w:pPr>
      <w:r>
        <w:t>10.</w:t>
      </w:r>
      <w:r>
        <w:tab/>
        <w:t>reiškia didelį susirūpinimą dėl to, kad minimali ES paramos pagal programą „InvestEU“ suteikiama suma yra tik 17 mlrd. EUR, o garantija – tik 14 mlrd. EUR; atkreipia dėmesį į tai, kad minimali garantija yra daug mažesnė nei 29 mlrd. EUR „InvestEU“ garantija; tvirtai rekomenduoja padidinti minimalią paramos sumą bent iki 40 mlrd. EUR, atsižvelgiant į geopolitinę padėtį, investicijų į inovacijas ir konkurencingumą poreikį, taip pat poreikį didinti nuspėjamumą įgyvendinančiųjų partnerių naudai; rekomenduoja p</w:t>
      </w:r>
      <w:r>
        <w:t>adidinti pradinę konsultavimo paslaugoms skirtą sumą iki 2 mlrd. EUR, atsižvelgiant į tokių paslaugų svarbą ir didelę pridėtinę vertę užtikrinant kokybiškus projektus, taip pat turint mintyje paslaugų svarbą siekiant sėkmingo įgyvendinimo ir tai, kad numatyta suma yra šiek tiek daugiau nei dvigubai didesnė už programai „InvestEU“, t. y. programai, kuriai suteikiama mažesnė garantija ir kuri apima mažiau paslaugų, skirtą sumą;</w:t>
      </w:r>
    </w:p>
    <w:p w:rsidR="00047339" w:rsidRPr="000A2DED" w:rsidP="00047339" w14:paraId="454D2261" w14:textId="77777777">
      <w:pPr>
        <w:pStyle w:val="NormalHanging12a"/>
        <w:rPr>
          <w:noProof/>
        </w:rPr>
      </w:pPr>
      <w:r>
        <w:t>11.</w:t>
      </w:r>
      <w:r>
        <w:tab/>
        <w:t>reiškia susirūpinimą dėl to, kad pasiūlyme nėra programos „InvestEU“ politikos gairių, todėl rinkoms ir verslo bendruomenėms neužtikrinamas nuspėjamumas, o Komisijai suteikiama didelė laisvė spręsti, kaip ji turėtų būti naudojama; primena, kad programos „InvestEU“ reglamente</w:t>
      </w:r>
      <w:r>
        <w:rPr>
          <w:rStyle w:val="FootnoteReference"/>
          <w:bCs/>
          <w:iCs/>
        </w:rPr>
        <w:footnoteReference w:id="3"/>
      </w:r>
      <w:r>
        <w:t xml:space="preserve"> nustatytas orientacinis garantijos paskirstymas politikos linijoms; rekomenduoja nustatyti tinkamas politikos gaires, įskaitant pakankamas minimalias sumas konkretiems kiekvienos politikos linijos tikslams;</w:t>
      </w:r>
    </w:p>
    <w:p w:rsidR="00047339" w:rsidRPr="000A2DED" w:rsidP="00047339" w14:paraId="3B2CAE9E" w14:textId="77777777">
      <w:pPr>
        <w:pStyle w:val="NormalHanging12a"/>
      </w:pPr>
      <w:r>
        <w:t>12.</w:t>
      </w:r>
      <w:r>
        <w:tab/>
        <w:t xml:space="preserve">mano, kad pagal ECF </w:t>
      </w:r>
      <w:r>
        <w:t>programą „InvestEU“ pirmenybė turėtų būti teikiama įgyvendinimui ir dotacijos turėtų būti naudojamos tik tais atvejais, kai tai būtina, visų pirma siekiant finansuoti veiksmus, kurie negeneruoja perspektyvių pajamų ir kurių atveju nenumatoma jokia komercinė grąža;</w:t>
      </w:r>
    </w:p>
    <w:p w:rsidR="00047339" w:rsidRPr="000A2DED" w:rsidP="00047339" w14:paraId="3C33B2E6" w14:textId="77777777">
      <w:pPr>
        <w:pStyle w:val="NormalHanging12a"/>
      </w:pPr>
      <w:r>
        <w:t>13.</w:t>
      </w:r>
      <w:r>
        <w:tab/>
        <w:t>pabrėžia, kad išteklių paskirstymas ir skyrimo kriterijai turi būti grindžiami kompetencijos principu, kad ES finansavimu visoje ES būtų remiami aukščiausios kokybės projektai, duodantys išmatuojamų rezultatų konkurencingumo bei inovacijų srityje, laikantis ECF bendrųjų ir konkrečių tikslų, prireikus atsižvelgiant į regioninės pusiausvyros aspektus;</w:t>
      </w:r>
    </w:p>
    <w:p w:rsidR="00047339" w:rsidRPr="000A2DED" w:rsidP="00047339" w14:paraId="2662F0AE" w14:textId="77777777">
      <w:pPr>
        <w:pStyle w:val="NormalHanging12a"/>
      </w:pPr>
      <w:r>
        <w:t>14.</w:t>
      </w:r>
      <w:r>
        <w:tab/>
        <w:t xml:space="preserve">reiškia susirūpinimą dėl to, kad skiriant garantiją iš „InvestEU“ Europos konkurencingumo fondui gali trūkti tęstinumo; rekomenduoja dalį minimalios sumos panaudoti esamų įgyvendinančiųjų partnerių garantijų susitarimams papildyti, siekiant </w:t>
      </w:r>
      <w:r>
        <w:t>finansuoti produktus, kuriems taikoma ECF programa „InvestEU“, kad nuo pat pradžių būtų užtikrintas prieinamumas ir išvengta įgyvendinimo vėlavimo pereinant nuo vienos programos prie kitos, taip sudarant sąlygas sklandžiam perėjimui nuo dabartinės DFP prie kitos;</w:t>
      </w:r>
    </w:p>
    <w:p w:rsidR="00047339" w:rsidRPr="000A2DED" w:rsidP="00047339" w14:paraId="3CB815DB" w14:textId="77777777">
      <w:pPr>
        <w:pStyle w:val="NormalHanging12a"/>
      </w:pPr>
      <w:r>
        <w:t>15.</w:t>
      </w:r>
      <w:r>
        <w:tab/>
        <w:t>mano, kad programos „InvestEU“ įgyvendinimas naudojant metines darbo programas trukdytų veiksmingumui ir sumažintų matomumą bei nuspėjamumą; mano, kad daugiametis programavimas būtų tinkamesnis; todėl rekomenduoja įgyvendinti ECF programą „InvestEU“ laikantis investavimo gairių, kurios suteiktų projektų rengėjams daugiau laiko parengti ir finansuoti kokybiškus projektus ir sudarytų sąlygas įgyvendinantiesiems partneriams mobilizuoti didelį finansavimą bei kapitalą; primygtinai ragina investavimo gaires pri</w:t>
      </w:r>
      <w:r>
        <w:t>imti deleguotaisiais aktais, kad būtų užtikrinta tinkama parlamentinė priežiūra;</w:t>
      </w:r>
    </w:p>
    <w:p w:rsidR="00047339" w:rsidRPr="000A2DED" w:rsidP="00047339" w14:paraId="7D2B59CE" w14:textId="77777777">
      <w:pPr>
        <w:pStyle w:val="NormalHanging12a"/>
        <w:rPr>
          <w:b/>
          <w:i/>
        </w:rPr>
      </w:pPr>
      <w:r>
        <w:t>16.</w:t>
      </w:r>
      <w:r>
        <w:tab/>
        <w:t>atkreipia dėmesį į ypatingą EIB grupės vaidmenį: ji, atsižvelgiant į jos patirtį, Sutartimi grindžiamus įgaliojimus ir horizontalųjį požiūrį įgyvendinant programą „InvestEU“, yra ypač tinkama siekiant rezultatų pagal ECF programą „InvestEU“; mano, kad tikslinga EIB grupei skirti 70 proc. ES skyriaus ES garantijos, taip suteikiant daugiau galimybių kitiems įgyvendinantiesiems partneriams, pripažįstant jų vaidmenį įgyvendinimo procese, sykiu remiant tikslinę įgyvendinančiųjų partnerių atviros struktūros plėt</w:t>
      </w:r>
      <w:r>
        <w:t>rą; mano, kad ECF, kaip ir programos „InvestEU“ reglamente, turėtų būti nustatyta EIB bendro finansinio įnašo į programos „InvestEU“ įgyvendinimą suma;</w:t>
      </w:r>
    </w:p>
    <w:p w:rsidR="00047339" w:rsidRPr="000A2DED" w:rsidP="00047339" w14:paraId="03213F95" w14:textId="77777777">
      <w:pPr>
        <w:pStyle w:val="NormalHanging12a"/>
      </w:pPr>
      <w:r>
        <w:t>17.</w:t>
      </w:r>
      <w:r>
        <w:tab/>
        <w:t>rekomenduoja įtraukti nuostatas dėl garantijų susitarimų turinio, visų pirma dėl atlygio už biudžeto garantiją ir dėl to, ką ji galėtų apimti, siekiant užtikrinti aiškumą ir palengvinti derybų procesą, kad įgyvendinantieji partneriai galėtų kuo greičiau pradėti darbą;</w:t>
      </w:r>
    </w:p>
    <w:p w:rsidR="00047339" w:rsidRPr="000A2DED" w:rsidP="00047339" w14:paraId="2D90E177" w14:textId="77777777">
      <w:pPr>
        <w:pStyle w:val="NormalHanging12a"/>
        <w:rPr>
          <w:noProof/>
        </w:rPr>
      </w:pPr>
      <w:r>
        <w:t>18.</w:t>
      </w:r>
      <w:r>
        <w:tab/>
        <w:t>akcentuoja rizikos valdymo sistemos svarbą; rekomenduoja Komisijai vidaus ir išorės politikos priemonėms nustatyti 90 proc. rizikos vertės patikimumo lygį, pagal kurį ji vertintų atidėjinių sumą, reikalingą būsimiems galiojimo laikotarpio nuostoliams padengti, kaip siūloma programos „InvestEU“ tarpinio vertinimo ataskaitoje;</w:t>
      </w:r>
    </w:p>
    <w:p w:rsidR="00047339" w:rsidRPr="000A2DED" w:rsidP="00047339" w14:paraId="2A265DC3" w14:textId="77777777">
      <w:pPr>
        <w:pStyle w:val="NormalHanging12a"/>
      </w:pPr>
      <w:r>
        <w:t>19.</w:t>
      </w:r>
      <w:r>
        <w:tab/>
        <w:t>atkreipia dėmesį į siūlomą ECF ir kitų programų, pvz., programos „Europos horizontas“ ir siūlomo reglamento dėl nacionalinių planų, papildomumą; pabrėžia, kad didesnis priemonių tarpusavio papildomumas neturi pakenkti išlaidų atsekamumui arba biudžeto valdymo institucijos prerogatyvoms; pabrėžia, kad ECF įnašą į operacijas, finansuojamas bendrai su kitomis priemonėmis, turi būti galima aiškiai nustatyti visais biudžeto ciklo etapais; atsižvelgdamas į tai pabrėžia, kad bet koks toks įnašas turi būti tinkama</w:t>
      </w:r>
      <w:r>
        <w:t>i atspindėtas ECF programos veiklos rezultatų suvestinėje; primygtinai tvirtina, kad biudžeto valdymo institucija turi toliau visapusiškai kontroliuoti, kaip derinami įvairių priemonių ištekliai ir kaip kiekviena programa veiksmingai prisidedama prie ES prioritetų įgyvendinimo, visų pirma pasitelkdama išsamią biudžeto nomenklatūrą; pabrėžia, kad didesnis programų tarpusavio papildomumas neturi lemti neproporcingo sudėtingumo naudos gavėjams; ragina užtikrinti, kad, siekiant palengvinti lėšų panaudojimą ir k</w:t>
      </w:r>
      <w:r>
        <w:t>uo labiau padidinti investicijų poveikį, ES finansavimas būtų aiškesnis, prieinamesnis ir nuoseklesnis;</w:t>
      </w:r>
    </w:p>
    <w:p w:rsidR="00047339" w:rsidRPr="000A2DED" w:rsidP="00047339" w14:paraId="1CE7CFEB" w14:textId="77777777">
      <w:pPr>
        <w:pStyle w:val="NormalHanging12a"/>
      </w:pPr>
      <w:r>
        <w:t>20.</w:t>
      </w:r>
      <w:r>
        <w:tab/>
        <w:t xml:space="preserve">pabrėžia, kad išorės asignuotųjų pajamų naudojimas pagal ECF turi būti aiškiai </w:t>
      </w:r>
      <w:r>
        <w:t>apibrėžtas, visiškai skaidrus ir jam turi būti taikomas veiksmingas parlamentinis tikrinimas; atsižvelgdamas į tai, atkreipia dėmesį nuostatas, susijusias su papildomais įnašais į ECF; primena, kad svarbu užtikrinti išorės asignuotųjų pajamų atsekamumą; pabrėžia, kad tuo atveju, jei Pramonės, mokslinių tyrimų ir energetikos komitetas svarstytų galimybę iš dalies pakeisti nuostatas, susijusias su išorės asignuotosiomis pajamomis,</w:t>
      </w:r>
      <w:r>
        <w:t xml:space="preserve"> tai turėtų būti daroma derinant veiksmus su Biudžeto komitetu ir kitais komitetais, kad būtų užtikrintas nuoseklus požiūris;</w:t>
      </w:r>
    </w:p>
    <w:p w:rsidR="00047339" w:rsidRPr="000A2DED" w:rsidP="00047339" w14:paraId="04202831" w14:textId="77777777">
      <w:pPr>
        <w:pStyle w:val="NormalHanging12a"/>
      </w:pPr>
      <w:r>
        <w:t>21.</w:t>
      </w:r>
      <w:r>
        <w:tab/>
        <w:t xml:space="preserve">primena pasiūlymą dėl reglamento, kuriuo nustatoma biudžeto išlaidų stebėjimo ir veiklos rezultatų peržiūros sistema ir kitos Sąjungos programų ir veiklos horizontaliosios taisyklės (Veiklos rezultatų reglamentas), kuriuo nustatomas bendras supaprastintas veiklos rodiklių sąrašas ir išsamios stebėsenos bei vertinimo nuostatos, kurių kai kurios yra svarbios ECF; pabrėžia, kad bet kokie programos struktūros, tikslų ir reikalavimus atitinkančių veiksmų pakeitimai turės būti tinkamai atspindėti nuostatose dėl </w:t>
      </w:r>
      <w:r>
        <w:t>stebėsenos pagal Veiklos rezultatų reglamento I priedą, vykdant to reglamento dalinio keitimo ir derybų dėl jo procesą; atkreipia dėmesį į tai, kad, nors sektorių teisės aktai gali papildyti Veiklos rezultatų reglamentą, pvz., kiek tai susiję su programos vertinimais, jie turėtų ir toliau atitikti to reglamento nuostatas;</w:t>
      </w:r>
    </w:p>
    <w:p w:rsidR="00047339" w:rsidRPr="000A2DED" w:rsidP="00047339" w14:paraId="60B28DA8" w14:textId="77777777">
      <w:pPr>
        <w:pStyle w:val="NormalHanging12a"/>
      </w:pPr>
      <w:r>
        <w:t>22.</w:t>
      </w:r>
      <w:r>
        <w:tab/>
        <w:t>primena, kad pagal Finansinio reglamento 6 straipsnio 2 dalį sudarant ir vykdant biudžetą turi būti taikomas bendras sąlygų režimas teisinės valstybės principo pažeidimų atvejais; be to, pabrėžia, kad pagal to paties reglamento 6 straipsnio 3 dalį valstybės narės ir Komisija, vykdydamos biudžetą, turi užtikrinti, kad būtų laikomasi Europos Sąjungos pagrindinių teisių chartijos ir gerbiamos vertybės, kuriomis grindžiama ES, kaip įtvirtinta Europos Sąjungos sutarties 2 straipsnyje;</w:t>
      </w:r>
    </w:p>
    <w:p w:rsidR="00047339" w:rsidRPr="000A2DED" w:rsidP="00047339" w14:paraId="3CF1462A" w14:textId="77777777">
      <w:pPr>
        <w:pStyle w:val="NormalHanging12a"/>
      </w:pPr>
      <w:r>
        <w:t>23.</w:t>
      </w:r>
      <w:r>
        <w:tab/>
        <w:t>mano, kad pajamos, pertekliniai atidėjiniai ir panaikinti gynybos srities mokslinių tyrimų įsipareigojimai turėtų likti ECF, kad būtų galima toliau teikti finansavimą.</w:t>
      </w:r>
    </w:p>
    <w:p w:rsidR="007F621D" w:rsidRPr="005A146C" w:rsidP="00047339" w14:paraId="0F1D94D3" w14:textId="77777777">
      <w:pPr>
        <w:spacing w:after="240"/>
        <w:ind w:left="567" w:hanging="567"/>
      </w:pPr>
      <w:r>
        <w:t>24.</w:t>
      </w:r>
      <w:r>
        <w:tab/>
        <w:t xml:space="preserve">ragina nuo pat įgyvendinimo laikotarpio pradžios nustatyti nuoseklius ir suderintus reikalavimus, kiek tai susiję su </w:t>
      </w:r>
      <w:r>
        <w:t>sukčiavimo prevencija, nustatymu, pranešimu apie jį ir jo ištaisymu; be to, pabrėžia, kad turi būti sukurtos patikimos kontrolės ir audito sistemos, kad būtų apsaugoti ES finansiniai interesai naudojant visus 2028–2034 m. DFP fondus, programas ir finansines priemones.</w:t>
      </w:r>
    </w:p>
    <w:p w:rsidR="007F621D" w:rsidRPr="005A146C" w:rsidP="007F621D" w14:paraId="7CE314C7" w14:textId="77777777">
      <w:pPr>
        <w:pStyle w:val="PageHeadingNotTOC"/>
        <w:sectPr w:rsidSect="00047339">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7F621D" w:rsidRPr="005A146C" w:rsidP="007F621D" w14:paraId="2EA103FD" w14:textId="77777777">
      <w:pPr>
        <w:pStyle w:val="PageHeadingNotTOC"/>
      </w:pPr>
      <w:r>
        <w:t>PAKEITIMAI</w:t>
      </w:r>
    </w:p>
    <w:p w:rsidR="00047339" w:rsidRPr="000A2DED" w:rsidP="00047339" w14:paraId="7222D7C0" w14:textId="77777777">
      <w:pPr>
        <w:pStyle w:val="Normal12a"/>
      </w:pPr>
      <w:r>
        <w:t>Atlikdamas biudžetinį vertinimą, Biudžeto komitetas taip pat pateikė šiuos pasiūlymo pakeitimus:</w:t>
      </w:r>
    </w:p>
    <w:p w:rsidR="00047339" w:rsidRPr="000A2DED" w:rsidP="00047339" w14:paraId="3DBBCE98" w14:textId="77777777">
      <w:pPr>
        <w:pStyle w:val="AMNumberTabs0"/>
        <w:keepNext/>
      </w:pPr>
      <w:r>
        <w:rPr>
          <w:rStyle w:val="HideTWBExt"/>
          <w:b w:val="0"/>
          <w:lang w:val="en-GB"/>
        </w:rPr>
        <w:t>&lt;RepeatBlock-Amend&gt;&lt;Amend&gt;</w:t>
      </w:r>
      <w:r>
        <w:t>Pakeitimas</w:t>
      </w:r>
      <w:r>
        <w:tab/>
      </w:r>
      <w:r>
        <w:tab/>
      </w:r>
      <w:r>
        <w:rPr>
          <w:rStyle w:val="HideTWBExt"/>
          <w:b w:val="0"/>
          <w:lang w:val="en-GB"/>
        </w:rPr>
        <w:t>&lt;NumAm&gt;</w:t>
      </w:r>
      <w:r>
        <w:t>1</w:t>
      </w:r>
      <w:r>
        <w:rPr>
          <w:rStyle w:val="HideTWBExt"/>
          <w:b w:val="0"/>
          <w:lang w:val="en-GB"/>
        </w:rPr>
        <w:t>&lt;/NumAm&gt;</w:t>
      </w:r>
    </w:p>
    <w:p w:rsidR="00047339" w:rsidRPr="000A2DED" w:rsidP="00047339" w14:paraId="68F18225" w14:textId="77777777">
      <w:pPr>
        <w:keepNext/>
      </w:pPr>
      <w:r>
        <w:rPr>
          <w:rStyle w:val="HideTWBExt"/>
        </w:rPr>
        <w:t>&lt;Compromise&gt;&lt;/Compromise&gt;</w:t>
      </w:r>
    </w:p>
    <w:p w:rsidR="00047339" w:rsidRPr="000A2DED" w:rsidP="00047339" w14:paraId="141AB8FC" w14:textId="77777777"/>
    <w:p w:rsidR="00047339" w:rsidRPr="000A2DED" w:rsidP="00047339" w14:paraId="60375278" w14:textId="77777777">
      <w:pPr>
        <w:pStyle w:val="NormalBold"/>
        <w:keepNext/>
      </w:pPr>
      <w:r>
        <w:rPr>
          <w:rStyle w:val="HideTWBExt"/>
          <w:b w:val="0"/>
        </w:rPr>
        <w:t>&lt;DocAmend&gt;</w:t>
      </w:r>
      <w:r>
        <w:t xml:space="preserve">Pasiūlymas dėl </w:t>
      </w:r>
      <w:r>
        <w:t>reglamento</w:t>
      </w:r>
      <w:r>
        <w:rPr>
          <w:rStyle w:val="HideTWBExt"/>
          <w:b w:val="0"/>
        </w:rPr>
        <w:t>&lt;/DocAmend&gt;</w:t>
      </w:r>
    </w:p>
    <w:p w:rsidR="00047339" w:rsidRPr="000A2DED" w:rsidP="00047339" w14:paraId="4563A4E7" w14:textId="77777777">
      <w:pPr>
        <w:pStyle w:val="NormalBold"/>
      </w:pPr>
      <w:r>
        <w:rPr>
          <w:rStyle w:val="HideTWBExt"/>
          <w:b w:val="0"/>
        </w:rPr>
        <w:t>&lt;Article&gt;</w:t>
      </w:r>
      <w:r>
        <w:t>15 konstatuojamoji dalis</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EA6E00B"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1ABA0D8F" w14:textId="77777777">
            <w:pPr>
              <w:keepNext/>
            </w:pPr>
          </w:p>
        </w:tc>
      </w:tr>
      <w:tr w14:paraId="754A06CE"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12EDEF93" w14:textId="77777777">
            <w:pPr>
              <w:pStyle w:val="ColumnHeading"/>
              <w:keepNext/>
            </w:pPr>
            <w:r>
              <w:t>Komisijos siūlomas tekstas</w:t>
            </w:r>
          </w:p>
        </w:tc>
        <w:tc>
          <w:tcPr>
            <w:tcW w:w="4876" w:type="dxa"/>
            <w:hideMark/>
          </w:tcPr>
          <w:p w:rsidR="00047339" w:rsidRPr="000A2DED" w:rsidP="00A343C5" w14:paraId="4D0C8B54" w14:textId="77777777">
            <w:pPr>
              <w:pStyle w:val="ColumnHeading"/>
              <w:keepNext/>
            </w:pPr>
            <w:r>
              <w:t>Pakeitimas</w:t>
            </w:r>
          </w:p>
        </w:tc>
      </w:tr>
      <w:tr w14:paraId="77EFEFB6"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33F3FF41" w14:textId="77777777">
            <w:pPr>
              <w:pStyle w:val="Normal6"/>
            </w:pPr>
            <w:r>
              <w:t>(15)</w:t>
            </w:r>
            <w:r>
              <w:tab/>
              <w:t xml:space="preserve">Draghi pranešime raginama teikti daugiau paramos investicijoms, kad būtų panaikinta investicijų spraga, ir pripažįstama, kad programa </w:t>
            </w:r>
            <w:r>
              <w:t>„InvestEU“ yra pagrindinė naudotina rizikos pasidalijimo priemonė. ECF programa „InvestEU“ turėtų būti nustatyta bendra biudžeto garantija ir teikiamos finansinės priemonės ES konkurencingumui remti;</w:t>
            </w:r>
          </w:p>
        </w:tc>
        <w:tc>
          <w:tcPr>
            <w:tcW w:w="4876" w:type="dxa"/>
            <w:hideMark/>
          </w:tcPr>
          <w:p w:rsidR="00047339" w:rsidRPr="000A2DED" w:rsidP="00A343C5" w14:paraId="3294222D" w14:textId="77777777">
            <w:pPr>
              <w:pStyle w:val="Normal6"/>
              <w:rPr>
                <w:szCs w:val="24"/>
              </w:rPr>
            </w:pPr>
            <w:r>
              <w:t>(15)</w:t>
            </w:r>
            <w:r>
              <w:tab/>
              <w:t>Draghi pranešime raginama teikti daugiau paramos investicijoms, kad būtų panaikinta investicijų spraga, ir pripažįstama, kad programa „InvestEU“ yra pagrindinė naudotina rizikos pasidalijimo priemonė. ECF programa „InvestEU“ turėtų būti nustatyta bendra biudžeto garantija ir teikiamos finansinės priemonės ES konkurencingumui remti</w:t>
            </w:r>
            <w:r>
              <w:rPr>
                <w:b/>
                <w:i/>
              </w:rPr>
              <w:t>.</w:t>
            </w:r>
            <w:r>
              <w:t xml:space="preserve"> </w:t>
            </w:r>
            <w:r>
              <w:rPr>
                <w:b/>
                <w:i/>
              </w:rPr>
              <w:t xml:space="preserve">Turint mintyje tokių priemonių skatinamąjį poveikį ir mažesnį poveikį biudžetui, palyginti su dotacijomis, nepaprastai svarbu stiprinti jų naudojimą, laikantis Draghi pranešime </w:t>
            </w:r>
            <w:r>
              <w:rPr>
                <w:b/>
                <w:i/>
              </w:rPr>
              <w:t>pateiktų rekomendacijų, glaudžiai bendradarbiaujant su EIB ir kitais įgyvendinančiaisiais partneriais. Turėtų būti nustatyta tokio lygio didžiausia ES skyriaus biudžeto garantijos suma, kuris atspindėtų siekį panaikinti investicijų atotrūkį ir atitiktų politikos užmojus;</w:t>
            </w:r>
          </w:p>
        </w:tc>
      </w:tr>
    </w:tbl>
    <w:p w:rsidR="00047339" w:rsidRPr="000A2DED" w:rsidP="00047339" w14:paraId="4ACC1160" w14:textId="77777777">
      <w:r>
        <w:rPr>
          <w:rStyle w:val="HideTWBExt"/>
        </w:rPr>
        <w:t>&lt;/Amend&gt;</w:t>
      </w:r>
    </w:p>
    <w:p w:rsidR="00047339" w:rsidRPr="000A2DED" w:rsidP="00047339" w14:paraId="11C37E3F" w14:textId="77777777">
      <w:pPr>
        <w:pStyle w:val="AMNumberTabs0"/>
        <w:keepNext/>
      </w:pPr>
      <w:r>
        <w:rPr>
          <w:rStyle w:val="HideTWBExt"/>
          <w:b w:val="0"/>
          <w:lang w:val="en-GB"/>
        </w:rPr>
        <w:t>&lt;Amend&gt;</w:t>
      </w:r>
      <w:r>
        <w:t>Pakeitimas</w:t>
      </w:r>
      <w:r>
        <w:tab/>
      </w:r>
      <w:r>
        <w:tab/>
      </w:r>
      <w:r>
        <w:rPr>
          <w:rStyle w:val="HideTWBExt"/>
          <w:b w:val="0"/>
          <w:lang w:val="en-GB"/>
        </w:rPr>
        <w:t>&lt;NumAm&gt;</w:t>
      </w:r>
      <w:r>
        <w:t>2</w:t>
      </w:r>
      <w:r>
        <w:rPr>
          <w:rStyle w:val="HideTWBExt"/>
          <w:b w:val="0"/>
          <w:lang w:val="en-GB"/>
        </w:rPr>
        <w:t>&lt;/NumAm&gt;</w:t>
      </w:r>
    </w:p>
    <w:p w:rsidR="00047339" w:rsidRPr="000A2DED" w:rsidP="00047339" w14:paraId="13CEFFB8" w14:textId="77777777">
      <w:pPr>
        <w:keepNext/>
      </w:pPr>
      <w:r>
        <w:rPr>
          <w:rStyle w:val="HideTWBExt"/>
        </w:rPr>
        <w:t>&lt;Compromise&gt;&lt;/Compromise&gt;</w:t>
      </w:r>
    </w:p>
    <w:p w:rsidR="00047339" w:rsidRPr="000A2DED" w:rsidP="00047339" w14:paraId="0734FE9A" w14:textId="77777777"/>
    <w:p w:rsidR="00047339" w:rsidRPr="000A2DED" w:rsidP="00047339" w14:paraId="17181BBC"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12ECC135" w14:textId="77777777">
      <w:pPr>
        <w:pStyle w:val="NormalBold"/>
      </w:pPr>
      <w:r>
        <w:rPr>
          <w:rStyle w:val="HideTWBExt"/>
          <w:b w:val="0"/>
        </w:rPr>
        <w:t>&lt;Article&gt;</w:t>
      </w:r>
      <w:r>
        <w:t>16 konstatuojamoji dalis</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A15B571"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1FBCD3CA" w14:textId="77777777">
            <w:pPr>
              <w:keepNext/>
            </w:pPr>
          </w:p>
        </w:tc>
      </w:tr>
      <w:tr w14:paraId="55AB754B"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1DDE675A" w14:textId="77777777">
            <w:pPr>
              <w:pStyle w:val="ColumnHeading"/>
              <w:keepNext/>
            </w:pPr>
            <w:r>
              <w:t>Komisijos siūlomas tekstas</w:t>
            </w:r>
          </w:p>
        </w:tc>
        <w:tc>
          <w:tcPr>
            <w:tcW w:w="4876" w:type="dxa"/>
            <w:hideMark/>
          </w:tcPr>
          <w:p w:rsidR="00047339" w:rsidRPr="000A2DED" w:rsidP="00A343C5" w14:paraId="782F9D1E" w14:textId="77777777">
            <w:pPr>
              <w:pStyle w:val="ColumnHeading"/>
              <w:keepNext/>
            </w:pPr>
            <w:r>
              <w:t>Pakeitimas</w:t>
            </w:r>
          </w:p>
        </w:tc>
      </w:tr>
      <w:tr w14:paraId="2E769137"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2DBF9F94" w14:textId="77777777">
            <w:pPr>
              <w:pStyle w:val="Normal6"/>
            </w:pPr>
            <w:r>
              <w:t>(16)</w:t>
            </w:r>
            <w:r>
              <w:tab/>
              <w:t xml:space="preserve">sparčiai kintančioje ekonominėje, socialinėje, saugumo ir </w:t>
            </w:r>
            <w:r>
              <w:t xml:space="preserve">geopolitinėje aplinkoje pastarojo meto patirtis parodė, kad reikia lankstesnės daugiametės </w:t>
            </w:r>
            <w:r>
              <w:t xml:space="preserve">finansinės programos ir jos programų. Tuo tikslu ir atsižvelgiant į ECF tikslus, skiriant finansavimą per biudžeto procedūrą turėtų būti tinkamai atsižvelgiama į kintančius politikos poreikius ir Sąjungos prioritetus, </w:t>
            </w:r>
            <w:r>
              <w:rPr>
                <w:b/>
                <w:i/>
              </w:rPr>
              <w:t>nustatytus atitinkamuose Komisijos paskelbtuose dokumentuose,</w:t>
            </w:r>
            <w:r>
              <w:t xml:space="preserve"> kartu užtikrinant investicijų įgyvendinimui būtiną nuspėjamumą;</w:t>
            </w:r>
          </w:p>
        </w:tc>
        <w:tc>
          <w:tcPr>
            <w:tcW w:w="4876" w:type="dxa"/>
            <w:hideMark/>
          </w:tcPr>
          <w:p w:rsidR="00047339" w:rsidRPr="000A2DED" w:rsidP="00A343C5" w14:paraId="2B59C8BC" w14:textId="77777777">
            <w:pPr>
              <w:pStyle w:val="Normal6"/>
              <w:rPr>
                <w:szCs w:val="24"/>
              </w:rPr>
            </w:pPr>
            <w:r>
              <w:t>(16)</w:t>
            </w:r>
            <w:r>
              <w:tab/>
              <w:t xml:space="preserve">sparčiai kintančioje ekonominėje, socialinėje, saugumo ir geopolitinėje aplinkoje pastarojo meto patirtis parodė, kad reikia lankstesnės daugiametės </w:t>
            </w:r>
            <w:r>
              <w:t>finansinės programos ir jos programų. Tuo tikslu ir atsižvelgiant į ECF tikslus, skiriant finansavimą per biudžeto procedūrą turėtų būti tinkamai atsižvelgiama į kintančius politikos poreikius ir Sąjungos prioritetus, kartu užtikrinant investicijų įgyvendinimui būtiną nuspėjamumą;</w:t>
            </w:r>
          </w:p>
        </w:tc>
      </w:tr>
    </w:tbl>
    <w:p w:rsidR="00047339" w:rsidRPr="000A2DED" w:rsidP="00047339" w14:paraId="15ADB84F" w14:textId="77777777">
      <w:pPr>
        <w:rPr>
          <w:rStyle w:val="HideTWBExt"/>
        </w:rPr>
      </w:pPr>
      <w:r>
        <w:rPr>
          <w:rStyle w:val="HideTWBExt"/>
        </w:rPr>
        <w:t>&lt;/Amend&gt;</w:t>
      </w:r>
    </w:p>
    <w:p w:rsidR="00047339" w:rsidRPr="000A2DED" w:rsidP="00047339" w14:paraId="4484738F" w14:textId="77777777"/>
    <w:p w:rsidR="00047339" w:rsidRPr="000A2DED" w:rsidP="00047339" w14:paraId="28520C05" w14:textId="77777777">
      <w:pPr>
        <w:pStyle w:val="AMNumberTabs0"/>
        <w:keepNext/>
      </w:pPr>
      <w:r w:rsidRPr="006D6C3E">
        <w:rPr>
          <w:rStyle w:val="HideTWBExt"/>
          <w:b w:val="0"/>
        </w:rPr>
        <w:t>&lt;Amend&gt;</w:t>
      </w:r>
      <w:r>
        <w:t>Pakeitimas</w:t>
      </w:r>
      <w:r>
        <w:tab/>
      </w:r>
      <w:r>
        <w:tab/>
      </w:r>
      <w:r w:rsidRPr="006D6C3E">
        <w:rPr>
          <w:rStyle w:val="HideTWBExt"/>
          <w:b w:val="0"/>
        </w:rPr>
        <w:t>&lt;NumAm&gt;</w:t>
      </w:r>
      <w:r>
        <w:t>3</w:t>
      </w:r>
      <w:r w:rsidRPr="006D6C3E">
        <w:rPr>
          <w:rStyle w:val="HideTWBExt"/>
          <w:b w:val="0"/>
        </w:rPr>
        <w:t>&lt;/NumAm&gt;</w:t>
      </w:r>
    </w:p>
    <w:p w:rsidR="00047339" w:rsidRPr="000A2DED" w:rsidP="00047339" w14:paraId="6EA3D1D6" w14:textId="77777777">
      <w:pPr>
        <w:keepNext/>
      </w:pPr>
      <w:r>
        <w:rPr>
          <w:rStyle w:val="HideTWBExt"/>
        </w:rPr>
        <w:t>&lt;Compromise&gt;&lt;/Compromise&gt;</w:t>
      </w:r>
    </w:p>
    <w:p w:rsidR="00047339" w:rsidRPr="000A2DED" w:rsidP="00047339" w14:paraId="1DB5FD86" w14:textId="77777777"/>
    <w:p w:rsidR="00047339" w:rsidRPr="000A2DED" w:rsidP="00047339" w14:paraId="69CBBE0A"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484686F5" w14:textId="77777777">
      <w:pPr>
        <w:pStyle w:val="NormalBold"/>
      </w:pPr>
      <w:r>
        <w:rPr>
          <w:rStyle w:val="HideTWBExt"/>
          <w:b w:val="0"/>
        </w:rPr>
        <w:t>&lt;Article&gt;</w:t>
      </w:r>
      <w:r>
        <w:t xml:space="preserve">41 a </w:t>
      </w:r>
      <w:r>
        <w:t>konstatuojamoji dalis (nauja)</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4CCD442"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54B45279" w14:textId="77777777">
            <w:pPr>
              <w:keepNext/>
            </w:pPr>
          </w:p>
        </w:tc>
      </w:tr>
      <w:tr w14:paraId="1C60EFB9"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60F7BBD2" w14:textId="77777777">
            <w:pPr>
              <w:pStyle w:val="ColumnHeading"/>
              <w:keepNext/>
            </w:pPr>
            <w:r>
              <w:t>Komisijos siūlomas tekstas</w:t>
            </w:r>
          </w:p>
        </w:tc>
        <w:tc>
          <w:tcPr>
            <w:tcW w:w="4876" w:type="dxa"/>
            <w:hideMark/>
          </w:tcPr>
          <w:p w:rsidR="00047339" w:rsidRPr="000A2DED" w:rsidP="00A343C5" w14:paraId="1AED4AF2" w14:textId="77777777">
            <w:pPr>
              <w:pStyle w:val="ColumnHeading"/>
              <w:keepNext/>
            </w:pPr>
            <w:r>
              <w:t>Pakeitimas</w:t>
            </w:r>
          </w:p>
        </w:tc>
      </w:tr>
      <w:tr w14:paraId="4228F6FA" w14:textId="77777777" w:rsidTr="00A343C5">
        <w:tblPrEx>
          <w:tblW w:w="0" w:type="auto"/>
          <w:jc w:val="center"/>
          <w:tblLayout w:type="fixed"/>
          <w:tblCellMar>
            <w:left w:w="340" w:type="dxa"/>
            <w:right w:w="340" w:type="dxa"/>
          </w:tblCellMar>
          <w:tblLook w:val="04A0"/>
        </w:tblPrEx>
        <w:trPr>
          <w:jc w:val="center"/>
        </w:trPr>
        <w:tc>
          <w:tcPr>
            <w:tcW w:w="4876" w:type="dxa"/>
          </w:tcPr>
          <w:p w:rsidR="00047339" w:rsidRPr="000A2DED" w:rsidP="00A343C5" w14:paraId="4DD93C76" w14:textId="77777777">
            <w:pPr>
              <w:pStyle w:val="Normal6"/>
              <w:rPr>
                <w:lang w:val="en-GB"/>
              </w:rPr>
            </w:pPr>
          </w:p>
        </w:tc>
        <w:tc>
          <w:tcPr>
            <w:tcW w:w="4876" w:type="dxa"/>
            <w:hideMark/>
          </w:tcPr>
          <w:p w:rsidR="00047339" w:rsidRPr="000A2DED" w:rsidP="00A343C5" w14:paraId="21F153CF" w14:textId="77777777">
            <w:pPr>
              <w:pStyle w:val="Normal6"/>
              <w:rPr>
                <w:szCs w:val="24"/>
              </w:rPr>
            </w:pPr>
            <w:r>
              <w:rPr>
                <w:b/>
                <w:i/>
              </w:rPr>
              <w:t>(41a)</w:t>
            </w:r>
            <w:r>
              <w:rPr>
                <w:b/>
                <w:i/>
              </w:rPr>
              <w:tab/>
              <w:t xml:space="preserve">siekiant remti Sąjungos konkurencingumą ir inovacijas, grįžtamosios lėšos iš biudžeto garantijų ir finansinių priemonių bei pajamos, gautos iš Sąjungos kosmoso </w:t>
            </w:r>
            <w:r>
              <w:rPr>
                <w:b/>
                <w:i/>
              </w:rPr>
              <w:t>sistemų ir įgyvendinant Sąjungos kosmoso politiką, turėtų būti naudojamos siekiant suteikti papildomą finansavimą atitinkamai ECF programai „InvestEU“ ir ECF kosminei veiklai. Siekiant to paties tikslo, įsipareigojimų asignavimai, atitinkantys panaikintus įsipareigojimus, susijusius su gynybos srities mokslinių tyrimų projektais, turėtų būti vėl skiriami gynybos srities mokslinių tyrimų programai;</w:t>
            </w:r>
          </w:p>
        </w:tc>
      </w:tr>
    </w:tbl>
    <w:p w:rsidR="00047339" w:rsidRPr="000A2DED" w:rsidP="00047339" w14:paraId="3897B94D" w14:textId="77777777">
      <w:pPr>
        <w:rPr>
          <w:rStyle w:val="HideTWBExt"/>
        </w:rPr>
      </w:pPr>
      <w:r>
        <w:rPr>
          <w:rStyle w:val="HideTWBExt"/>
        </w:rPr>
        <w:t>&lt;/Amend&gt;</w:t>
      </w:r>
    </w:p>
    <w:p w:rsidR="00047339" w:rsidRPr="000A2DED" w:rsidP="00047339" w14:paraId="2FAC88B4" w14:textId="77777777">
      <w:pPr>
        <w:pStyle w:val="AMNumberTabs0"/>
        <w:keepNext/>
      </w:pPr>
      <w:r w:rsidRPr="006D6C3E">
        <w:rPr>
          <w:rStyle w:val="HideTWBExt"/>
          <w:b w:val="0"/>
        </w:rPr>
        <w:t>&lt;Amend&gt;</w:t>
      </w:r>
      <w:r>
        <w:t>Pakeitimas</w:t>
      </w:r>
      <w:r>
        <w:tab/>
      </w:r>
      <w:r>
        <w:tab/>
      </w:r>
      <w:r w:rsidRPr="006D6C3E">
        <w:rPr>
          <w:rStyle w:val="HideTWBExt"/>
          <w:b w:val="0"/>
        </w:rPr>
        <w:t>&lt;NumAm&gt;</w:t>
      </w:r>
      <w:r>
        <w:t>4</w:t>
      </w:r>
      <w:r w:rsidRPr="006D6C3E">
        <w:rPr>
          <w:rStyle w:val="HideTWBExt"/>
          <w:b w:val="0"/>
        </w:rPr>
        <w:t>&lt;/NumAm&gt;</w:t>
      </w:r>
    </w:p>
    <w:p w:rsidR="00047339" w:rsidRPr="000A2DED" w:rsidP="00047339" w14:paraId="0905310B" w14:textId="77777777">
      <w:pPr>
        <w:keepNext/>
      </w:pPr>
      <w:r>
        <w:rPr>
          <w:rStyle w:val="HideTWBExt"/>
        </w:rPr>
        <w:t>&lt;Compromise&gt;&lt;/Compromise&gt;</w:t>
      </w:r>
    </w:p>
    <w:p w:rsidR="00047339" w:rsidRPr="000A2DED" w:rsidP="00047339" w14:paraId="273729B2" w14:textId="77777777"/>
    <w:p w:rsidR="00047339" w:rsidRPr="000A2DED" w:rsidP="00047339" w14:paraId="0A475C12"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6EA3E02C" w14:textId="77777777">
      <w:pPr>
        <w:pStyle w:val="NormalBold"/>
      </w:pPr>
      <w:r>
        <w:rPr>
          <w:rStyle w:val="HideTWBExt"/>
          <w:b w:val="0"/>
        </w:rPr>
        <w:t>&lt;Article&gt;</w:t>
      </w:r>
      <w:r>
        <w:t>43 a konstatuojamoji dalis (nauja)</w:t>
      </w:r>
      <w:r>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579936C" w14:textId="77777777" w:rsidTr="00A343C5">
        <w:tblPrEx>
          <w:tblW w:w="9752" w:type="dxa"/>
          <w:jc w:val="center"/>
          <w:tblLayout w:type="fixed"/>
          <w:tblCellMar>
            <w:left w:w="340" w:type="dxa"/>
            <w:right w:w="340" w:type="dxa"/>
          </w:tblCellMar>
          <w:tblLook w:val="04A0"/>
        </w:tblPrEx>
        <w:trPr>
          <w:jc w:val="center"/>
        </w:trPr>
        <w:tc>
          <w:tcPr>
            <w:tcW w:w="9752" w:type="dxa"/>
            <w:gridSpan w:val="2"/>
          </w:tcPr>
          <w:p w:rsidR="00047339" w:rsidRPr="000A2DED" w:rsidP="00A343C5" w14:paraId="1FDBFCAF" w14:textId="77777777">
            <w:pPr>
              <w:keepNext/>
            </w:pPr>
          </w:p>
        </w:tc>
      </w:tr>
      <w:tr w14:paraId="52C4083A" w14:textId="77777777" w:rsidTr="00A343C5">
        <w:tblPrEx>
          <w:tblW w:w="9752" w:type="dxa"/>
          <w:jc w:val="center"/>
          <w:tblLayout w:type="fixed"/>
          <w:tblCellMar>
            <w:left w:w="340" w:type="dxa"/>
            <w:right w:w="340" w:type="dxa"/>
          </w:tblCellMar>
          <w:tblLook w:val="04A0"/>
        </w:tblPrEx>
        <w:trPr>
          <w:jc w:val="center"/>
        </w:trPr>
        <w:tc>
          <w:tcPr>
            <w:tcW w:w="4876" w:type="dxa"/>
            <w:hideMark/>
          </w:tcPr>
          <w:p w:rsidR="00047339" w:rsidRPr="000A2DED" w:rsidP="00A343C5" w14:paraId="34198BDF" w14:textId="77777777">
            <w:pPr>
              <w:pStyle w:val="ColumnHeading"/>
              <w:keepNext/>
            </w:pPr>
            <w:r>
              <w:t>Komisijos siūlomas tekstas</w:t>
            </w:r>
          </w:p>
        </w:tc>
        <w:tc>
          <w:tcPr>
            <w:tcW w:w="4876" w:type="dxa"/>
            <w:hideMark/>
          </w:tcPr>
          <w:p w:rsidR="00047339" w:rsidRPr="000A2DED" w:rsidP="00A343C5" w14:paraId="5317CA98" w14:textId="77777777">
            <w:pPr>
              <w:pStyle w:val="ColumnHeading"/>
              <w:keepNext/>
            </w:pPr>
            <w:r>
              <w:t>Pakeitimas</w:t>
            </w:r>
          </w:p>
        </w:tc>
      </w:tr>
      <w:tr w14:paraId="3353A0E3" w14:textId="77777777" w:rsidTr="00A343C5">
        <w:tblPrEx>
          <w:tblW w:w="9752" w:type="dxa"/>
          <w:jc w:val="center"/>
          <w:tblLayout w:type="fixed"/>
          <w:tblCellMar>
            <w:left w:w="340" w:type="dxa"/>
            <w:right w:w="340" w:type="dxa"/>
          </w:tblCellMar>
          <w:tblLook w:val="04A0"/>
        </w:tblPrEx>
        <w:trPr>
          <w:jc w:val="center"/>
        </w:trPr>
        <w:tc>
          <w:tcPr>
            <w:tcW w:w="4876" w:type="dxa"/>
          </w:tcPr>
          <w:p w:rsidR="00047339" w:rsidRPr="000A2DED" w:rsidP="00A343C5" w14:paraId="457C7F33" w14:textId="77777777">
            <w:pPr>
              <w:pStyle w:val="Normal6"/>
              <w:rPr>
                <w:lang w:val="en-GB"/>
              </w:rPr>
            </w:pPr>
          </w:p>
        </w:tc>
        <w:tc>
          <w:tcPr>
            <w:tcW w:w="4876" w:type="dxa"/>
            <w:hideMark/>
          </w:tcPr>
          <w:p w:rsidR="00047339" w:rsidRPr="000A2DED" w:rsidP="00A343C5" w14:paraId="5428911B" w14:textId="77777777">
            <w:pPr>
              <w:pStyle w:val="Normal6"/>
              <w:rPr>
                <w:szCs w:val="24"/>
              </w:rPr>
            </w:pPr>
            <w:r>
              <w:rPr>
                <w:b/>
                <w:i/>
              </w:rPr>
              <w:t>(43a)</w:t>
            </w:r>
            <w:r>
              <w:rPr>
                <w:b/>
                <w:i/>
              </w:rPr>
              <w:tab/>
              <w:t>Pagal Europos Parlamento ir Tarybos reglamentą (ES, Euratomas) 2024/2509</w:t>
            </w:r>
            <w:r>
              <w:rPr>
                <w:b/>
                <w:i/>
                <w:vertAlign w:val="superscript"/>
              </w:rPr>
              <w:t>1a</w:t>
            </w:r>
            <w:r>
              <w:rPr>
                <w:b/>
                <w:i/>
              </w:rPr>
              <w:t xml:space="preserve"> (Finansinis reglamentas) įgyvendinant ECF turėtų būti visapusiškai </w:t>
            </w:r>
            <w:r>
              <w:rPr>
                <w:b/>
                <w:i/>
              </w:rPr>
              <w:t>gerbiamos Europos Sąjungos sutarties 2 straipsnyje įtvirtintos vertybės ir Europos Sąjungos pagrindinių teisių chartijoje pripažintos teisės;</w:t>
            </w:r>
          </w:p>
        </w:tc>
      </w:tr>
      <w:tr w14:paraId="3AD64F5E" w14:textId="77777777" w:rsidTr="00A343C5">
        <w:tblPrEx>
          <w:tblW w:w="9752" w:type="dxa"/>
          <w:jc w:val="center"/>
          <w:tblLayout w:type="fixed"/>
          <w:tblCellMar>
            <w:left w:w="340" w:type="dxa"/>
            <w:right w:w="340" w:type="dxa"/>
          </w:tblCellMar>
          <w:tblLook w:val="04A0"/>
        </w:tblPrEx>
        <w:trPr>
          <w:jc w:val="center"/>
        </w:trPr>
        <w:tc>
          <w:tcPr>
            <w:tcW w:w="4876" w:type="dxa"/>
          </w:tcPr>
          <w:p w:rsidR="00047339" w:rsidRPr="000A2DED" w:rsidP="00A343C5" w14:paraId="2A4FE368" w14:textId="77777777">
            <w:pPr>
              <w:pStyle w:val="Normal6"/>
              <w:rPr>
                <w:lang w:val="en-GB"/>
              </w:rPr>
            </w:pPr>
          </w:p>
        </w:tc>
        <w:tc>
          <w:tcPr>
            <w:tcW w:w="4876" w:type="dxa"/>
          </w:tcPr>
          <w:p w:rsidR="00047339" w:rsidRPr="000A2DED" w:rsidP="00A343C5" w14:paraId="55D3D66F" w14:textId="77777777">
            <w:pPr>
              <w:pStyle w:val="Normal6"/>
              <w:rPr>
                <w:b/>
                <w:i/>
              </w:rPr>
            </w:pPr>
            <w:r>
              <w:rPr>
                <w:b/>
                <w:i/>
              </w:rPr>
              <w:t>_______________________</w:t>
            </w:r>
          </w:p>
        </w:tc>
      </w:tr>
      <w:tr w14:paraId="67C7D7CD" w14:textId="77777777" w:rsidTr="00A343C5">
        <w:tblPrEx>
          <w:tblW w:w="9752" w:type="dxa"/>
          <w:jc w:val="center"/>
          <w:tblLayout w:type="fixed"/>
          <w:tblCellMar>
            <w:left w:w="340" w:type="dxa"/>
            <w:right w:w="340" w:type="dxa"/>
          </w:tblCellMar>
          <w:tblLook w:val="04A0"/>
        </w:tblPrEx>
        <w:trPr>
          <w:jc w:val="center"/>
        </w:trPr>
        <w:tc>
          <w:tcPr>
            <w:tcW w:w="4876" w:type="dxa"/>
          </w:tcPr>
          <w:p w:rsidR="00047339" w:rsidRPr="000A2DED" w:rsidP="00A343C5" w14:paraId="4AAFAA55" w14:textId="77777777">
            <w:pPr>
              <w:pStyle w:val="Normal6"/>
              <w:rPr>
                <w:lang w:val="en-GB"/>
              </w:rPr>
            </w:pPr>
          </w:p>
        </w:tc>
        <w:tc>
          <w:tcPr>
            <w:tcW w:w="4876" w:type="dxa"/>
          </w:tcPr>
          <w:p w:rsidR="00047339" w:rsidRPr="000A2DED" w:rsidP="00A343C5" w14:paraId="502648E8" w14:textId="77777777">
            <w:pPr>
              <w:pStyle w:val="Normal6"/>
              <w:rPr>
                <w:b/>
                <w:i/>
              </w:rPr>
            </w:pPr>
            <w:r>
              <w:rPr>
                <w:b/>
                <w:i/>
                <w:vertAlign w:val="superscript"/>
              </w:rPr>
              <w:t>1a</w:t>
            </w:r>
            <w:r>
              <w:rPr>
                <w:b/>
                <w:i/>
              </w:rPr>
              <w:t xml:space="preserve"> 2024 m. rugsėjo 23 d. Europos Parlamento ir Tarybos reglamentas (ES, Euratomas) 2024/2509 dėl Sąjungos bendrajam biudžetui taikomų finansinių taisyklių (OL L, 2024/2509, 2024 9 26, ELI:</w:t>
            </w:r>
            <w:r>
              <w:t xml:space="preserve"> </w:t>
            </w:r>
            <w:r>
              <w:rPr>
                <w:b/>
                <w:i/>
              </w:rPr>
              <w:t>http://data.europa.eu/eli/reg/2024/2509/oj).</w:t>
            </w:r>
          </w:p>
        </w:tc>
      </w:tr>
    </w:tbl>
    <w:p w:rsidR="00047339" w:rsidRPr="000A2DED" w:rsidP="00047339" w14:paraId="78AEC669" w14:textId="77777777">
      <w:r>
        <w:rPr>
          <w:rStyle w:val="HideTWBExt"/>
        </w:rPr>
        <w:t>&lt;/Amend&gt;</w:t>
      </w:r>
    </w:p>
    <w:p w:rsidR="00047339" w:rsidRPr="000A2DED" w:rsidP="00047339" w14:paraId="63FE9C69" w14:textId="77777777">
      <w:pPr>
        <w:pStyle w:val="AMNumberTabs0"/>
        <w:keepNext/>
      </w:pPr>
      <w:r w:rsidRPr="006D6C3E">
        <w:rPr>
          <w:rStyle w:val="HideTWBExt"/>
          <w:b w:val="0"/>
        </w:rPr>
        <w:t>&lt;Amend&gt;</w:t>
      </w:r>
      <w:r>
        <w:t>Pakeitimas</w:t>
      </w:r>
      <w:r>
        <w:tab/>
      </w:r>
      <w:r>
        <w:tab/>
      </w:r>
      <w:r w:rsidRPr="006D6C3E">
        <w:rPr>
          <w:rStyle w:val="HideTWBExt"/>
          <w:b w:val="0"/>
        </w:rPr>
        <w:t>&lt;NumAm&gt;</w:t>
      </w:r>
      <w:r>
        <w:t>5</w:t>
      </w:r>
      <w:r w:rsidRPr="006D6C3E">
        <w:rPr>
          <w:rStyle w:val="HideTWBExt"/>
          <w:b w:val="0"/>
        </w:rPr>
        <w:t>&lt;/NumAm&gt;</w:t>
      </w:r>
    </w:p>
    <w:p w:rsidR="00047339" w:rsidRPr="000A2DED" w:rsidP="00047339" w14:paraId="39C34222" w14:textId="77777777">
      <w:pPr>
        <w:keepNext/>
      </w:pPr>
      <w:r>
        <w:rPr>
          <w:rStyle w:val="HideTWBExt"/>
        </w:rPr>
        <w:t>&lt;Compromise&gt;&lt;/Compromise&gt;</w:t>
      </w:r>
    </w:p>
    <w:p w:rsidR="00047339" w:rsidRPr="000A2DED" w:rsidP="00047339" w14:paraId="12CCF1F7" w14:textId="77777777"/>
    <w:p w:rsidR="00047339" w:rsidRPr="000A2DED" w:rsidP="00047339" w14:paraId="5B6B3B83"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3BD705EE" w14:textId="77777777">
      <w:pPr>
        <w:pStyle w:val="NormalBold"/>
      </w:pPr>
      <w:r>
        <w:rPr>
          <w:rStyle w:val="HideTWBExt"/>
          <w:b w:val="0"/>
        </w:rPr>
        <w:t>&lt;Article&gt;</w:t>
      </w:r>
      <w:r>
        <w:t>43 b konstatuojamoji dalis (nauja)</w:t>
      </w:r>
      <w:r>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1A9A11E" w14:textId="77777777" w:rsidTr="00A343C5">
        <w:tblPrEx>
          <w:tblW w:w="9752" w:type="dxa"/>
          <w:jc w:val="center"/>
          <w:tblLayout w:type="fixed"/>
          <w:tblCellMar>
            <w:left w:w="340" w:type="dxa"/>
            <w:right w:w="340" w:type="dxa"/>
          </w:tblCellMar>
          <w:tblLook w:val="04A0"/>
        </w:tblPrEx>
        <w:trPr>
          <w:jc w:val="center"/>
        </w:trPr>
        <w:tc>
          <w:tcPr>
            <w:tcW w:w="9752" w:type="dxa"/>
            <w:gridSpan w:val="2"/>
          </w:tcPr>
          <w:p w:rsidR="00047339" w:rsidRPr="000A2DED" w:rsidP="00A343C5" w14:paraId="430B402C" w14:textId="77777777">
            <w:pPr>
              <w:keepNext/>
            </w:pPr>
          </w:p>
        </w:tc>
      </w:tr>
      <w:tr w14:paraId="26D9AF82" w14:textId="77777777" w:rsidTr="00A343C5">
        <w:tblPrEx>
          <w:tblW w:w="9752" w:type="dxa"/>
          <w:jc w:val="center"/>
          <w:tblLayout w:type="fixed"/>
          <w:tblCellMar>
            <w:left w:w="340" w:type="dxa"/>
            <w:right w:w="340" w:type="dxa"/>
          </w:tblCellMar>
          <w:tblLook w:val="04A0"/>
        </w:tblPrEx>
        <w:trPr>
          <w:jc w:val="center"/>
        </w:trPr>
        <w:tc>
          <w:tcPr>
            <w:tcW w:w="4876" w:type="dxa"/>
            <w:hideMark/>
          </w:tcPr>
          <w:p w:rsidR="00047339" w:rsidRPr="000A2DED" w:rsidP="00A343C5" w14:paraId="0396BA2B" w14:textId="77777777">
            <w:pPr>
              <w:pStyle w:val="ColumnHeading"/>
              <w:keepNext/>
            </w:pPr>
            <w:r>
              <w:t>Komisijos siūlomas tekstas</w:t>
            </w:r>
          </w:p>
        </w:tc>
        <w:tc>
          <w:tcPr>
            <w:tcW w:w="4876" w:type="dxa"/>
            <w:hideMark/>
          </w:tcPr>
          <w:p w:rsidR="00047339" w:rsidRPr="000A2DED" w:rsidP="00A343C5" w14:paraId="4870B4EC" w14:textId="77777777">
            <w:pPr>
              <w:pStyle w:val="ColumnHeading"/>
              <w:keepNext/>
            </w:pPr>
            <w:r>
              <w:t>Pakeitimas</w:t>
            </w:r>
          </w:p>
        </w:tc>
      </w:tr>
      <w:tr w14:paraId="256C7369" w14:textId="77777777" w:rsidTr="00A343C5">
        <w:tblPrEx>
          <w:tblW w:w="9752" w:type="dxa"/>
          <w:jc w:val="center"/>
          <w:tblLayout w:type="fixed"/>
          <w:tblCellMar>
            <w:left w:w="340" w:type="dxa"/>
            <w:right w:w="340" w:type="dxa"/>
          </w:tblCellMar>
          <w:tblLook w:val="04A0"/>
        </w:tblPrEx>
        <w:trPr>
          <w:jc w:val="center"/>
        </w:trPr>
        <w:tc>
          <w:tcPr>
            <w:tcW w:w="4876" w:type="dxa"/>
          </w:tcPr>
          <w:p w:rsidR="00047339" w:rsidRPr="000A2DED" w:rsidP="00A343C5" w14:paraId="082EC5AD" w14:textId="77777777">
            <w:pPr>
              <w:pStyle w:val="Normal6"/>
              <w:rPr>
                <w:lang w:val="en-GB"/>
              </w:rPr>
            </w:pPr>
          </w:p>
        </w:tc>
        <w:tc>
          <w:tcPr>
            <w:tcW w:w="4876" w:type="dxa"/>
            <w:hideMark/>
          </w:tcPr>
          <w:p w:rsidR="00047339" w:rsidRPr="000A2DED" w:rsidP="00A343C5" w14:paraId="05624136" w14:textId="77777777">
            <w:pPr>
              <w:pStyle w:val="Normal6"/>
              <w:rPr>
                <w:szCs w:val="24"/>
              </w:rPr>
            </w:pPr>
            <w:r>
              <w:rPr>
                <w:b/>
                <w:i/>
              </w:rPr>
              <w:t>(43b)</w:t>
            </w:r>
            <w:r>
              <w:rPr>
                <w:b/>
                <w:i/>
              </w:rPr>
              <w:tab/>
              <w:t xml:space="preserve">ECF taikomas Europos Parlamento ir Tarybos </w:t>
            </w:r>
            <w:r>
              <w:rPr>
                <w:b/>
                <w:i/>
              </w:rPr>
              <w:t>reglamentas (ES, Euratomas) 2020/2092</w:t>
            </w:r>
            <w:r>
              <w:rPr>
                <w:b/>
                <w:i/>
                <w:vertAlign w:val="superscript"/>
              </w:rPr>
              <w:t>1a</w:t>
            </w:r>
            <w:r>
              <w:rPr>
                <w:b/>
                <w:i/>
              </w:rPr>
              <w:t>. Juo nustatomas bendras Sąjungos biudžeto apsaugos sąlygų režimas teisinės valstybės principų pažeidimų valstybėse narėse atvejais;</w:t>
            </w:r>
          </w:p>
        </w:tc>
      </w:tr>
      <w:tr w14:paraId="206952B0" w14:textId="77777777" w:rsidTr="00A343C5">
        <w:tblPrEx>
          <w:tblW w:w="9752" w:type="dxa"/>
          <w:jc w:val="center"/>
          <w:tblLayout w:type="fixed"/>
          <w:tblCellMar>
            <w:left w:w="340" w:type="dxa"/>
            <w:right w:w="340" w:type="dxa"/>
          </w:tblCellMar>
          <w:tblLook w:val="04A0"/>
        </w:tblPrEx>
        <w:trPr>
          <w:jc w:val="center"/>
        </w:trPr>
        <w:tc>
          <w:tcPr>
            <w:tcW w:w="4876" w:type="dxa"/>
          </w:tcPr>
          <w:p w:rsidR="00047339" w:rsidRPr="000A2DED" w:rsidP="00A343C5" w14:paraId="4C943EDD" w14:textId="77777777">
            <w:pPr>
              <w:pStyle w:val="Normal6"/>
              <w:rPr>
                <w:lang w:val="en-GB"/>
              </w:rPr>
            </w:pPr>
          </w:p>
        </w:tc>
        <w:tc>
          <w:tcPr>
            <w:tcW w:w="4876" w:type="dxa"/>
          </w:tcPr>
          <w:p w:rsidR="00047339" w:rsidRPr="000A2DED" w:rsidP="00A343C5" w14:paraId="6E3C7535" w14:textId="77777777">
            <w:pPr>
              <w:pStyle w:val="Normal6"/>
              <w:rPr>
                <w:b/>
                <w:i/>
                <w:szCs w:val="24"/>
              </w:rPr>
            </w:pPr>
            <w:r>
              <w:rPr>
                <w:b/>
                <w:i/>
              </w:rPr>
              <w:t>_______________________</w:t>
            </w:r>
          </w:p>
        </w:tc>
      </w:tr>
      <w:tr w14:paraId="23F873CE" w14:textId="77777777" w:rsidTr="00A343C5">
        <w:tblPrEx>
          <w:tblW w:w="9752" w:type="dxa"/>
          <w:jc w:val="center"/>
          <w:tblLayout w:type="fixed"/>
          <w:tblCellMar>
            <w:left w:w="340" w:type="dxa"/>
            <w:right w:w="340" w:type="dxa"/>
          </w:tblCellMar>
          <w:tblLook w:val="04A0"/>
        </w:tblPrEx>
        <w:trPr>
          <w:jc w:val="center"/>
        </w:trPr>
        <w:tc>
          <w:tcPr>
            <w:tcW w:w="4876" w:type="dxa"/>
          </w:tcPr>
          <w:p w:rsidR="00047339" w:rsidRPr="000A2DED" w:rsidP="00A343C5" w14:paraId="0395FB17" w14:textId="77777777">
            <w:pPr>
              <w:pStyle w:val="Normal6"/>
              <w:rPr>
                <w:lang w:val="en-GB"/>
              </w:rPr>
            </w:pPr>
          </w:p>
        </w:tc>
        <w:tc>
          <w:tcPr>
            <w:tcW w:w="4876" w:type="dxa"/>
          </w:tcPr>
          <w:p w:rsidR="00047339" w:rsidRPr="000A2DED" w:rsidP="00A343C5" w14:paraId="2BCE49F8" w14:textId="77777777">
            <w:pPr>
              <w:pStyle w:val="Normal6"/>
              <w:rPr>
                <w:b/>
                <w:i/>
                <w:szCs w:val="24"/>
              </w:rPr>
            </w:pPr>
            <w:r>
              <w:rPr>
                <w:b/>
                <w:i/>
                <w:vertAlign w:val="superscript"/>
              </w:rPr>
              <w:t>1a</w:t>
            </w:r>
            <w:r>
              <w:rPr>
                <w:b/>
                <w:i/>
              </w:rPr>
              <w:t xml:space="preserve"> 2020 m. gruodžio 16 d. Europos Parlamento ir Tarybos reglamentas (ES, Euratomas) 2020/2092 dėl bendro Sąjungos biudžeto apsaugos sąlygų režimo (OL L 433I, 2020 12 22, p. 1, ELI: http://data.europa.eu/eli/reg/2020/2092/oj).</w:t>
            </w:r>
          </w:p>
        </w:tc>
      </w:tr>
    </w:tbl>
    <w:p w:rsidR="00047339" w:rsidRPr="000A2DED" w:rsidP="00047339" w14:paraId="0D7F6EF8" w14:textId="77777777">
      <w:r>
        <w:rPr>
          <w:rStyle w:val="HideTWBExt"/>
        </w:rPr>
        <w:t>&lt;/Amend&gt;</w:t>
      </w:r>
    </w:p>
    <w:p w:rsidR="00047339" w:rsidRPr="000A2DED" w:rsidP="00047339" w14:paraId="6CD0DE5B" w14:textId="77777777">
      <w:pPr>
        <w:pStyle w:val="AMNumberTabs0"/>
        <w:keepNext/>
      </w:pPr>
      <w:r w:rsidRPr="006D6C3E">
        <w:rPr>
          <w:rStyle w:val="HideTWBExt"/>
          <w:b w:val="0"/>
        </w:rPr>
        <w:t>&lt;Amend&gt;</w:t>
      </w:r>
      <w:r>
        <w:t>Pakeitimas</w:t>
      </w:r>
      <w:r>
        <w:tab/>
      </w:r>
      <w:r>
        <w:tab/>
      </w:r>
      <w:r w:rsidRPr="006D6C3E">
        <w:rPr>
          <w:rStyle w:val="HideTWBExt"/>
          <w:b w:val="0"/>
        </w:rPr>
        <w:t>&lt;NumAm&gt;</w:t>
      </w:r>
      <w:r>
        <w:t>6</w:t>
      </w:r>
      <w:r w:rsidRPr="006D6C3E">
        <w:rPr>
          <w:rStyle w:val="HideTWBExt"/>
          <w:b w:val="0"/>
        </w:rPr>
        <w:t>&lt;/NumAm&gt;</w:t>
      </w:r>
    </w:p>
    <w:p w:rsidR="00047339" w:rsidRPr="000A2DED" w:rsidP="00047339" w14:paraId="23EF4717" w14:textId="77777777">
      <w:pPr>
        <w:keepNext/>
      </w:pPr>
      <w:r>
        <w:rPr>
          <w:rStyle w:val="HideTWBExt"/>
        </w:rPr>
        <w:t>&lt;Compromise&gt;&lt;/Compromise&gt;</w:t>
      </w:r>
    </w:p>
    <w:p w:rsidR="00047339" w:rsidRPr="000A2DED" w:rsidP="00047339" w14:paraId="2D8704EA" w14:textId="77777777"/>
    <w:p w:rsidR="00047339" w:rsidRPr="000A2DED" w:rsidP="00047339" w14:paraId="2FD44A65"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7E36BFCE" w14:textId="77777777">
      <w:pPr>
        <w:pStyle w:val="NormalBold"/>
      </w:pPr>
      <w:r>
        <w:rPr>
          <w:rStyle w:val="HideTWBExt"/>
          <w:b w:val="0"/>
        </w:rPr>
        <w:t>&lt;Article&gt;</w:t>
      </w:r>
      <w:r>
        <w:t>47 a konstatuojamoji dalis (nauja)</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3E6167D"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15694E1B" w14:textId="77777777">
            <w:pPr>
              <w:keepNext/>
            </w:pPr>
          </w:p>
        </w:tc>
      </w:tr>
      <w:tr w14:paraId="563CB145"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2CF96120" w14:textId="77777777">
            <w:pPr>
              <w:pStyle w:val="ColumnHeading"/>
              <w:keepNext/>
            </w:pPr>
            <w:r>
              <w:t>Komisijos siūlomas tekstas</w:t>
            </w:r>
          </w:p>
        </w:tc>
        <w:tc>
          <w:tcPr>
            <w:tcW w:w="4876" w:type="dxa"/>
            <w:hideMark/>
          </w:tcPr>
          <w:p w:rsidR="00047339" w:rsidRPr="000A2DED" w:rsidP="00A343C5" w14:paraId="760FC670" w14:textId="77777777">
            <w:pPr>
              <w:pStyle w:val="ColumnHeading"/>
              <w:keepNext/>
            </w:pPr>
            <w:r>
              <w:t>Pakeitimas</w:t>
            </w:r>
          </w:p>
        </w:tc>
      </w:tr>
      <w:tr w14:paraId="6ACF6EFE" w14:textId="77777777" w:rsidTr="00A343C5">
        <w:tblPrEx>
          <w:tblW w:w="0" w:type="auto"/>
          <w:jc w:val="center"/>
          <w:tblLayout w:type="fixed"/>
          <w:tblCellMar>
            <w:left w:w="340" w:type="dxa"/>
            <w:right w:w="340" w:type="dxa"/>
          </w:tblCellMar>
          <w:tblLook w:val="04A0"/>
        </w:tblPrEx>
        <w:trPr>
          <w:jc w:val="center"/>
        </w:trPr>
        <w:tc>
          <w:tcPr>
            <w:tcW w:w="4876" w:type="dxa"/>
          </w:tcPr>
          <w:p w:rsidR="00047339" w:rsidRPr="000A2DED" w:rsidP="00A343C5" w14:paraId="71698432" w14:textId="77777777">
            <w:pPr>
              <w:pStyle w:val="Normal6"/>
              <w:rPr>
                <w:lang w:val="en-GB"/>
              </w:rPr>
            </w:pPr>
          </w:p>
        </w:tc>
        <w:tc>
          <w:tcPr>
            <w:tcW w:w="4876" w:type="dxa"/>
            <w:hideMark/>
          </w:tcPr>
          <w:p w:rsidR="00047339" w:rsidRPr="000A2DED" w:rsidP="00A343C5" w14:paraId="78017416" w14:textId="77777777">
            <w:pPr>
              <w:pStyle w:val="Normal6"/>
              <w:rPr>
                <w:szCs w:val="24"/>
              </w:rPr>
            </w:pPr>
            <w:r>
              <w:rPr>
                <w:b/>
                <w:i/>
              </w:rPr>
              <w:t>(47a)</w:t>
            </w:r>
            <w:r>
              <w:rPr>
                <w:b/>
                <w:i/>
              </w:rPr>
              <w:tab/>
              <w:t xml:space="preserve">ECF ir kitų Sąjungos priemonių tarpusavio papildomumas neturi pakenkti išlaidų atsekamumui arba biudžeto valdymo </w:t>
            </w:r>
            <w:r>
              <w:rPr>
                <w:b/>
                <w:i/>
              </w:rPr>
              <w:t>institucijos prerogatyvoms. ECF įnašą į bendrai finansuojamus veiksmus turėtų būti galima aiškiai nustatyti visais biudžeto ciklo etapais ir jis turėtų būti tinkamai atspindėtas programos veiklos rezultatų suvestinėje;</w:t>
            </w:r>
          </w:p>
        </w:tc>
      </w:tr>
    </w:tbl>
    <w:p w:rsidR="00047339" w:rsidRPr="000A2DED" w:rsidP="00047339" w14:paraId="32E201FB" w14:textId="77777777">
      <w:r>
        <w:rPr>
          <w:rStyle w:val="HideTWBExt"/>
        </w:rPr>
        <w:t>&lt;/Amend&gt;</w:t>
      </w:r>
    </w:p>
    <w:p w:rsidR="00047339" w:rsidRPr="000A2DED" w:rsidP="00047339" w14:paraId="2372CFD4" w14:textId="77777777"/>
    <w:p w:rsidR="00047339" w:rsidRPr="000A2DED" w:rsidP="00047339" w14:paraId="069BC319" w14:textId="77777777">
      <w:pPr>
        <w:pStyle w:val="AMNumberTabs0"/>
        <w:keepNext/>
      </w:pPr>
      <w:r w:rsidRPr="006D6C3E">
        <w:rPr>
          <w:rStyle w:val="HideTWBExt"/>
          <w:b w:val="0"/>
        </w:rPr>
        <w:t>&lt;Amend&gt;</w:t>
      </w:r>
      <w:r>
        <w:t>Pakeitimas</w:t>
      </w:r>
      <w:r>
        <w:tab/>
      </w:r>
      <w:r>
        <w:tab/>
      </w:r>
      <w:r w:rsidRPr="006D6C3E">
        <w:rPr>
          <w:rStyle w:val="HideTWBExt"/>
          <w:b w:val="0"/>
        </w:rPr>
        <w:t>&lt;NumAm&gt;</w:t>
      </w:r>
      <w:r>
        <w:t>7</w:t>
      </w:r>
      <w:r w:rsidRPr="006D6C3E">
        <w:rPr>
          <w:rStyle w:val="HideTWBExt"/>
          <w:b w:val="0"/>
        </w:rPr>
        <w:t>&lt;/NumAm&gt;</w:t>
      </w:r>
    </w:p>
    <w:p w:rsidR="00047339" w:rsidRPr="000A2DED" w:rsidP="00047339" w14:paraId="209849B6" w14:textId="77777777">
      <w:pPr>
        <w:keepNext/>
      </w:pPr>
      <w:r>
        <w:rPr>
          <w:rStyle w:val="HideTWBExt"/>
        </w:rPr>
        <w:t>&lt;Compromise&gt;&lt;/Compromise&gt;</w:t>
      </w:r>
    </w:p>
    <w:p w:rsidR="00047339" w:rsidRPr="000A2DED" w:rsidP="00047339" w14:paraId="0D50845E" w14:textId="77777777"/>
    <w:p w:rsidR="00047339" w:rsidRPr="000A2DED" w:rsidP="00047339" w14:paraId="64F2B4EE"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4E1403CC" w14:textId="77777777">
      <w:pPr>
        <w:pStyle w:val="NormalBold"/>
      </w:pPr>
      <w:r>
        <w:rPr>
          <w:rStyle w:val="HideTWBExt"/>
          <w:b w:val="0"/>
        </w:rPr>
        <w:t>&lt;Article&gt;</w:t>
      </w:r>
      <w:r>
        <w:t>51 a konstatuojamoji dalis (nauja)</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F5B9834"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70E2942E" w14:textId="77777777">
            <w:pPr>
              <w:keepNext/>
            </w:pPr>
          </w:p>
        </w:tc>
      </w:tr>
      <w:tr w14:paraId="00527AF5"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37EAE785" w14:textId="77777777">
            <w:pPr>
              <w:pStyle w:val="ColumnHeading"/>
              <w:keepNext/>
            </w:pPr>
            <w:r>
              <w:t>Komisijos siūlomas tekstas</w:t>
            </w:r>
          </w:p>
        </w:tc>
        <w:tc>
          <w:tcPr>
            <w:tcW w:w="4876" w:type="dxa"/>
            <w:hideMark/>
          </w:tcPr>
          <w:p w:rsidR="00047339" w:rsidRPr="000A2DED" w:rsidP="00A343C5" w14:paraId="49C0B0FB" w14:textId="77777777">
            <w:pPr>
              <w:pStyle w:val="ColumnHeading"/>
              <w:keepNext/>
            </w:pPr>
            <w:r>
              <w:t>Pakeitimas</w:t>
            </w:r>
          </w:p>
        </w:tc>
      </w:tr>
      <w:tr w14:paraId="5783531D" w14:textId="77777777" w:rsidTr="00A343C5">
        <w:tblPrEx>
          <w:tblW w:w="0" w:type="auto"/>
          <w:jc w:val="center"/>
          <w:tblLayout w:type="fixed"/>
          <w:tblCellMar>
            <w:left w:w="340" w:type="dxa"/>
            <w:right w:w="340" w:type="dxa"/>
          </w:tblCellMar>
          <w:tblLook w:val="04A0"/>
        </w:tblPrEx>
        <w:trPr>
          <w:jc w:val="center"/>
        </w:trPr>
        <w:tc>
          <w:tcPr>
            <w:tcW w:w="4876" w:type="dxa"/>
          </w:tcPr>
          <w:p w:rsidR="00047339" w:rsidRPr="000A2DED" w:rsidP="00A343C5" w14:paraId="7743C073" w14:textId="77777777">
            <w:pPr>
              <w:pStyle w:val="Normal6"/>
              <w:rPr>
                <w:lang w:val="en-GB"/>
              </w:rPr>
            </w:pPr>
          </w:p>
        </w:tc>
        <w:tc>
          <w:tcPr>
            <w:tcW w:w="4876" w:type="dxa"/>
            <w:hideMark/>
          </w:tcPr>
          <w:p w:rsidR="00047339" w:rsidRPr="000A2DED" w:rsidP="00A343C5" w14:paraId="7D3AE580" w14:textId="77777777">
            <w:pPr>
              <w:pStyle w:val="Normal6"/>
              <w:rPr>
                <w:szCs w:val="24"/>
              </w:rPr>
            </w:pPr>
            <w:r>
              <w:rPr>
                <w:b/>
                <w:i/>
              </w:rPr>
              <w:t>(51a)</w:t>
            </w:r>
            <w:r>
              <w:rPr>
                <w:b/>
                <w:i/>
              </w:rPr>
              <w:tab/>
              <w:t xml:space="preserve">ECF programa „InvestEU“ turėtų būti galima </w:t>
            </w:r>
            <w:r>
              <w:rPr>
                <w:b/>
                <w:i/>
              </w:rPr>
              <w:t>naudotis kuo greičiau po atitinkamų susitarimų pasirašymo. Užtikrinus prieinamumą ankstyvuoju laikotarpiu taip pat būtų sumažinta rizika, kad bus vėluojama įdiegti projektų baze grindžiamas priemones, ir užtikrinama, kad ECF nuo pat 2028–2034 m. DFP laikotarpio pradžios padėtų panaikinti Sąjungos investicijų atotrūkį;</w:t>
            </w:r>
          </w:p>
        </w:tc>
      </w:tr>
    </w:tbl>
    <w:p w:rsidR="00047339" w:rsidRPr="000A2DED" w:rsidP="00047339" w14:paraId="641863DD" w14:textId="77777777">
      <w:r>
        <w:rPr>
          <w:rStyle w:val="HideTWBExt"/>
        </w:rPr>
        <w:t>&lt;/Amend&gt;</w:t>
      </w:r>
    </w:p>
    <w:p w:rsidR="00047339" w:rsidRPr="000A2DED" w:rsidP="00047339" w14:paraId="16BBF772" w14:textId="77777777">
      <w:pPr>
        <w:pStyle w:val="AMNumberTabs0"/>
        <w:keepNext/>
      </w:pPr>
      <w:r w:rsidRPr="006D6C3E">
        <w:rPr>
          <w:rStyle w:val="HideTWBExt"/>
          <w:b w:val="0"/>
        </w:rPr>
        <w:t>&lt;Amend&gt;</w:t>
      </w:r>
      <w:r>
        <w:t>Pakeitimas</w:t>
      </w:r>
      <w:r>
        <w:tab/>
      </w:r>
      <w:r>
        <w:tab/>
      </w:r>
      <w:r w:rsidRPr="006D6C3E">
        <w:rPr>
          <w:rStyle w:val="HideTWBExt"/>
          <w:b w:val="0"/>
        </w:rPr>
        <w:t>&lt;NumAm&gt;</w:t>
      </w:r>
      <w:r>
        <w:t>8</w:t>
      </w:r>
      <w:r w:rsidRPr="006D6C3E">
        <w:rPr>
          <w:rStyle w:val="HideTWBExt"/>
          <w:b w:val="0"/>
        </w:rPr>
        <w:t>&lt;/NumAm&gt;</w:t>
      </w:r>
    </w:p>
    <w:p w:rsidR="00047339" w:rsidRPr="000A2DED" w:rsidP="00047339" w14:paraId="441081F1" w14:textId="77777777">
      <w:pPr>
        <w:keepNext/>
      </w:pPr>
      <w:r>
        <w:rPr>
          <w:rStyle w:val="HideTWBExt"/>
        </w:rPr>
        <w:t>&lt;Compromise&gt;&lt;/Compromise&gt;</w:t>
      </w:r>
    </w:p>
    <w:p w:rsidR="00047339" w:rsidRPr="000A2DED" w:rsidP="00047339" w14:paraId="4855D6DD" w14:textId="77777777"/>
    <w:p w:rsidR="00047339" w:rsidRPr="000A2DED" w:rsidP="00047339" w14:paraId="2020ADBC"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20B5C9C9" w14:textId="77777777">
      <w:pPr>
        <w:pStyle w:val="NormalBold"/>
      </w:pPr>
      <w:r>
        <w:rPr>
          <w:rStyle w:val="HideTWBExt"/>
          <w:b w:val="0"/>
        </w:rPr>
        <w:t>&lt;Article&gt;</w:t>
      </w:r>
      <w:r>
        <w:t>67 a konstatuojamoji dalis (nauja)</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016B384"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790AD83E" w14:textId="77777777">
            <w:pPr>
              <w:keepNext/>
            </w:pPr>
          </w:p>
        </w:tc>
      </w:tr>
      <w:tr w14:paraId="288AC039"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71F1A57E" w14:textId="77777777">
            <w:pPr>
              <w:pStyle w:val="ColumnHeading"/>
              <w:keepNext/>
            </w:pPr>
            <w:r>
              <w:t>Komisijos siūlomas tekstas</w:t>
            </w:r>
          </w:p>
        </w:tc>
        <w:tc>
          <w:tcPr>
            <w:tcW w:w="4876" w:type="dxa"/>
            <w:hideMark/>
          </w:tcPr>
          <w:p w:rsidR="00047339" w:rsidRPr="000A2DED" w:rsidP="00A343C5" w14:paraId="5E66CB1B" w14:textId="77777777">
            <w:pPr>
              <w:pStyle w:val="ColumnHeading"/>
              <w:keepNext/>
            </w:pPr>
            <w:r>
              <w:t>Pakeitimas</w:t>
            </w:r>
          </w:p>
        </w:tc>
      </w:tr>
      <w:tr w14:paraId="2C096D89" w14:textId="77777777" w:rsidTr="00A343C5">
        <w:tblPrEx>
          <w:tblW w:w="0" w:type="auto"/>
          <w:jc w:val="center"/>
          <w:tblLayout w:type="fixed"/>
          <w:tblCellMar>
            <w:left w:w="340" w:type="dxa"/>
            <w:right w:w="340" w:type="dxa"/>
          </w:tblCellMar>
          <w:tblLook w:val="04A0"/>
        </w:tblPrEx>
        <w:trPr>
          <w:jc w:val="center"/>
        </w:trPr>
        <w:tc>
          <w:tcPr>
            <w:tcW w:w="4876" w:type="dxa"/>
          </w:tcPr>
          <w:p w:rsidR="00047339" w:rsidRPr="000A2DED" w:rsidP="00A343C5" w14:paraId="6DFD1662" w14:textId="77777777">
            <w:pPr>
              <w:pStyle w:val="Normal6"/>
              <w:rPr>
                <w:lang w:val="en-GB"/>
              </w:rPr>
            </w:pPr>
          </w:p>
        </w:tc>
        <w:tc>
          <w:tcPr>
            <w:tcW w:w="4876" w:type="dxa"/>
            <w:hideMark/>
          </w:tcPr>
          <w:p w:rsidR="00047339" w:rsidRPr="000A2DED" w:rsidP="00A343C5" w14:paraId="215098FA" w14:textId="77777777">
            <w:pPr>
              <w:pStyle w:val="Normal6"/>
              <w:rPr>
                <w:szCs w:val="24"/>
              </w:rPr>
            </w:pPr>
            <w:r>
              <w:rPr>
                <w:b/>
                <w:i/>
              </w:rPr>
              <w:t>(67a)</w:t>
            </w:r>
            <w:r>
              <w:rPr>
                <w:b/>
                <w:i/>
              </w:rPr>
              <w:tab/>
              <w:t xml:space="preserve">ECF programą „InvestEU“ turėtų sudaryti ES skyrius ir valstybių narių skyrius. ES skyrius turėtų padėti proporcingai spręsti Sąjungos masto arba valstybei narei būdingas rinkos </w:t>
            </w:r>
            <w:r>
              <w:rPr>
                <w:b/>
                <w:i/>
              </w:rPr>
              <w:t>nepakankamumo arba neoptimalios investavimo aplinkos problemas. Remiamos operacijos turėtų turėti aiškią Sąjungos pridėtinę vertę. Valstybių narių skyrius turėtų būti parengtas taip, kad valstybių narių įnašus, taip pat valstybių narių ir regioninių valdžios institucijų per jų valstybę narę pagal pasidalijamojo valdymo principą skir</w:t>
            </w:r>
            <w:r>
              <w:rPr>
                <w:b/>
                <w:i/>
              </w:rPr>
              <w:t xml:space="preserve">iamus išteklius būtų galima naudoti atidėjiniams biudžeto garantijai sudaryti arba finansavimui teikti finansinės priemonės forma. Valstybių narių skyrius turėtų sudaryti sąlygas valstybėms narėms savo teritorijose spręsti konkrečias rinkos nepakankamumo arba neoptimalios investavimo aplinkos problemas, kaip nustatyta susitarime dėl įnašo. Įnašai iš išteklių, kuriems taikomas pasidalijamojo valdymo principas, turėtų būti naudojami NRPP politikos tikslams pasiekti. Ta galimybė padidintų programos „InvestEU“ </w:t>
            </w:r>
            <w:r>
              <w:rPr>
                <w:b/>
                <w:i/>
              </w:rPr>
              <w:t>pridėtinę vertę, nes ja teikiama parama būtų skiriama platesniam galutinių gavėjų ratui bei didesniam projektų skaičiui ir būtų taikomos įvairesnės priemonės, kuriomis siekiama pagal pasidalijamojo valdymo principą valdomų fondų tikslų, kartu užtikrinant nuoseklų neapibrėžtųjų įsipareigojimų rizikos valdymą įgyvendinant biudžeto garantiją taikant netiesioginio valdymo principą. Valstybių narių skyriais neturėtų būti dubliuojamas arba išstumiamas privatusis finansavimas. Komisijos ir atitinkamos valstybės na</w:t>
            </w:r>
            <w:r>
              <w:rPr>
                <w:b/>
                <w:i/>
              </w:rPr>
              <w:t xml:space="preserve">rės susitarime dėl įnašo turėtų būti nustatyta išsami tvarka, be kita ko, įnašo suma, o biudžeto garantijos naudojimo atveju – Komisijos nustatyta atidėjinių norma, atsižvelgiant į operacijų pobūdį ir su jomis susijusius tikėtinus nuostolius, taip pat neapibrėžtojo įsipareigojimo suma, kuri turi būti padengta valstybės narės suteikta kompensacine garantija. Tame susitarime taip pat turėtų būti nustatyta įgyvendinimo tvarka, įskaitant galimą įgyvendinantįjį partnerį ar partnerius, taip </w:t>
            </w:r>
            <w:r>
              <w:rPr>
                <w:b/>
                <w:i/>
              </w:rPr>
              <w:t>pat geografinė aprėpti</w:t>
            </w:r>
            <w:r>
              <w:rPr>
                <w:b/>
                <w:i/>
              </w:rPr>
              <w:t>s bei bet koks regioninis lėšų rezervavimas;</w:t>
            </w:r>
          </w:p>
        </w:tc>
      </w:tr>
    </w:tbl>
    <w:p w:rsidR="00047339" w:rsidRPr="000A2DED" w:rsidP="00047339" w14:paraId="00BBFBE3" w14:textId="77777777">
      <w:r>
        <w:rPr>
          <w:rStyle w:val="HideTWBExt"/>
        </w:rPr>
        <w:t>&lt;/Amend&gt;</w:t>
      </w:r>
    </w:p>
    <w:p w:rsidR="00047339" w:rsidRPr="000A2DED" w:rsidP="00047339" w14:paraId="46BAE225" w14:textId="77777777">
      <w:pPr>
        <w:pStyle w:val="AMNumberTabs0"/>
        <w:keepNext/>
      </w:pPr>
      <w:r>
        <w:rPr>
          <w:rStyle w:val="HideTWBExt"/>
          <w:b w:val="0"/>
          <w:lang w:val="en-GB"/>
        </w:rPr>
        <w:t>&lt;Amend&gt;</w:t>
      </w:r>
      <w:r>
        <w:t>Pakeitimas</w:t>
      </w:r>
      <w:r>
        <w:tab/>
      </w:r>
      <w:r>
        <w:tab/>
      </w:r>
      <w:r>
        <w:rPr>
          <w:rStyle w:val="HideTWBExt"/>
          <w:b w:val="0"/>
          <w:lang w:val="en-GB"/>
        </w:rPr>
        <w:t>&lt;NumAm&gt;</w:t>
      </w:r>
      <w:r>
        <w:t>9</w:t>
      </w:r>
      <w:r>
        <w:rPr>
          <w:rStyle w:val="HideTWBExt"/>
          <w:b w:val="0"/>
          <w:lang w:val="en-GB"/>
        </w:rPr>
        <w:t>&lt;/NumAm&gt;</w:t>
      </w:r>
    </w:p>
    <w:p w:rsidR="00047339" w:rsidRPr="000A2DED" w:rsidP="00047339" w14:paraId="0A828581" w14:textId="77777777">
      <w:pPr>
        <w:keepNext/>
      </w:pPr>
      <w:r>
        <w:rPr>
          <w:rStyle w:val="HideTWBExt"/>
        </w:rPr>
        <w:t>&lt;Compromise&gt;&lt;/Compromise&gt;</w:t>
      </w:r>
    </w:p>
    <w:p w:rsidR="00047339" w:rsidRPr="000A2DED" w:rsidP="00047339" w14:paraId="4C485F8F" w14:textId="77777777"/>
    <w:p w:rsidR="00047339" w:rsidRPr="000A2DED" w:rsidP="00047339" w14:paraId="0F86C58C"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4055421C" w14:textId="77777777">
      <w:pPr>
        <w:pStyle w:val="NormalBold"/>
      </w:pPr>
      <w:r>
        <w:rPr>
          <w:rStyle w:val="HideTWBExt"/>
          <w:b w:val="0"/>
        </w:rPr>
        <w:t>&lt;Article&gt;</w:t>
      </w:r>
      <w:r>
        <w:t>72 konstatuojamoji dalis</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7DD135B"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21D5F322" w14:textId="77777777">
            <w:pPr>
              <w:keepNext/>
            </w:pPr>
          </w:p>
        </w:tc>
      </w:tr>
      <w:tr w14:paraId="60066B29"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673C3FC8" w14:textId="77777777">
            <w:pPr>
              <w:pStyle w:val="ColumnHeading"/>
              <w:keepNext/>
            </w:pPr>
            <w:r>
              <w:t>Komisijos siūlomas tekstas</w:t>
            </w:r>
          </w:p>
        </w:tc>
        <w:tc>
          <w:tcPr>
            <w:tcW w:w="4876" w:type="dxa"/>
            <w:hideMark/>
          </w:tcPr>
          <w:p w:rsidR="00047339" w:rsidRPr="000A2DED" w:rsidP="00A343C5" w14:paraId="0D67BE91" w14:textId="77777777">
            <w:pPr>
              <w:pStyle w:val="ColumnHeading"/>
              <w:keepNext/>
            </w:pPr>
            <w:r>
              <w:t>Pakeitimas</w:t>
            </w:r>
          </w:p>
        </w:tc>
      </w:tr>
      <w:tr w14:paraId="456B601B"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7149DD5B" w14:textId="77777777">
            <w:pPr>
              <w:pStyle w:val="Normal6"/>
            </w:pPr>
            <w:r>
              <w:t>(72)</w:t>
            </w:r>
            <w:r>
              <w:tab/>
              <w:t>siekdama užtikrinti, kad biudžeto garantijos, finansinės priemonės ir derinimo operacijos pagal įvairias Sąjungos programas būtų įgyvendinamos nuosekliai, Komisija turėtų parengti gaires, įskaitant technines priemones, nuostatas ir sąlygas, kaip panaudoti šių formų paramą pagal tas programas;</w:t>
            </w:r>
          </w:p>
        </w:tc>
        <w:tc>
          <w:tcPr>
            <w:tcW w:w="4876" w:type="dxa"/>
            <w:hideMark/>
          </w:tcPr>
          <w:p w:rsidR="00047339" w:rsidRPr="000A2DED" w:rsidP="00A343C5" w14:paraId="39BDE79E" w14:textId="77777777">
            <w:pPr>
              <w:pStyle w:val="Normal6"/>
              <w:rPr>
                <w:szCs w:val="24"/>
              </w:rPr>
            </w:pPr>
            <w:r>
              <w:t>(72)</w:t>
            </w:r>
            <w:r>
              <w:tab/>
              <w:t>siekdama užtikrinti, kad biudžeto garantijos, finansinės priemonės ir derinimo operacijos pagal įvairias Sąjungos programas būtų įgyvendinamos nuosekliai, Komisija</w:t>
            </w:r>
            <w:r>
              <w:rPr>
                <w:b/>
                <w:i/>
              </w:rPr>
              <w:t>, konsultuodamasi su galimais įgyvendinančiaisias partneriais,</w:t>
            </w:r>
            <w:r>
              <w:t xml:space="preserve"> turėtų parengti gaires, įskaitant technines priemones, nuostatas ir sąlygas, kaip panaudoti šių formų paramą pagal tas programas; </w:t>
            </w:r>
            <w:r>
              <w:rPr>
                <w:b/>
                <w:i/>
              </w:rPr>
              <w:t xml:space="preserve">Kai aktualu ir tinkama, turėtų būti pakartotinai </w:t>
            </w:r>
            <w:r>
              <w:rPr>
                <w:b/>
                <w:i/>
              </w:rPr>
              <w:t xml:space="preserve">naudojamos programos „InvestEU“ gairės ir techninės priemonės; </w:t>
            </w:r>
          </w:p>
        </w:tc>
      </w:tr>
    </w:tbl>
    <w:p w:rsidR="00047339" w:rsidRPr="000A2DED" w:rsidP="00047339" w14:paraId="4352BF21" w14:textId="77777777">
      <w:r>
        <w:rPr>
          <w:rStyle w:val="HideTWBExt"/>
        </w:rPr>
        <w:t>&lt;/Amend&gt;</w:t>
      </w:r>
    </w:p>
    <w:p w:rsidR="00047339" w:rsidRPr="000A2DED" w:rsidP="00047339" w14:paraId="587B2E3A" w14:textId="77777777">
      <w:pPr>
        <w:pStyle w:val="AMNumberTabs0"/>
        <w:keepNext/>
      </w:pPr>
      <w:r w:rsidRPr="006D6C3E">
        <w:rPr>
          <w:rStyle w:val="HideTWBExt"/>
          <w:b w:val="0"/>
        </w:rPr>
        <w:t>&lt;Amend&gt;</w:t>
      </w:r>
      <w:r>
        <w:t>Pakeitimas</w:t>
      </w:r>
      <w:r>
        <w:tab/>
      </w:r>
      <w:r>
        <w:tab/>
      </w:r>
      <w:r w:rsidRPr="006D6C3E">
        <w:rPr>
          <w:rStyle w:val="HideTWBExt"/>
          <w:b w:val="0"/>
        </w:rPr>
        <w:t>&lt;NumAm&gt;</w:t>
      </w:r>
      <w:r>
        <w:t>10</w:t>
      </w:r>
      <w:r w:rsidRPr="006D6C3E">
        <w:rPr>
          <w:rStyle w:val="HideTWBExt"/>
          <w:b w:val="0"/>
        </w:rPr>
        <w:t>&lt;/NumAm&gt;</w:t>
      </w:r>
    </w:p>
    <w:p w:rsidR="00047339" w:rsidRPr="000A2DED" w:rsidP="00047339" w14:paraId="08A94DBA" w14:textId="77777777">
      <w:pPr>
        <w:keepNext/>
      </w:pPr>
      <w:r>
        <w:rPr>
          <w:rStyle w:val="HideTWBExt"/>
        </w:rPr>
        <w:t>&lt;Compromise&gt;&lt;/Compromise&gt;</w:t>
      </w:r>
    </w:p>
    <w:p w:rsidR="00047339" w:rsidRPr="000A2DED" w:rsidP="00047339" w14:paraId="62178633" w14:textId="77777777"/>
    <w:p w:rsidR="00047339" w:rsidRPr="000A2DED" w:rsidP="00047339" w14:paraId="3B84441F"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5C361AD3" w14:textId="77777777">
      <w:pPr>
        <w:pStyle w:val="NormalBold"/>
      </w:pPr>
      <w:r>
        <w:rPr>
          <w:rStyle w:val="HideTWBExt"/>
          <w:b w:val="0"/>
        </w:rPr>
        <w:t>&lt;Article&gt;</w:t>
      </w:r>
      <w:r>
        <w:t>83 a konstatuojamoji dalis (nauja)</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5164D9B6"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22AFE805" w14:textId="77777777">
            <w:pPr>
              <w:keepNext/>
            </w:pPr>
          </w:p>
        </w:tc>
      </w:tr>
      <w:tr w14:paraId="3D4FAE63"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2501096A" w14:textId="77777777">
            <w:pPr>
              <w:pStyle w:val="ColumnHeading"/>
              <w:keepNext/>
            </w:pPr>
            <w:r>
              <w:t>Komisijos siūlomas tekstas</w:t>
            </w:r>
          </w:p>
        </w:tc>
        <w:tc>
          <w:tcPr>
            <w:tcW w:w="4876" w:type="dxa"/>
            <w:hideMark/>
          </w:tcPr>
          <w:p w:rsidR="00047339" w:rsidRPr="000A2DED" w:rsidP="00A343C5" w14:paraId="33D2E95F" w14:textId="77777777">
            <w:pPr>
              <w:pStyle w:val="ColumnHeading"/>
              <w:keepNext/>
            </w:pPr>
            <w:r>
              <w:t>Pakeitimas</w:t>
            </w:r>
          </w:p>
        </w:tc>
      </w:tr>
      <w:tr w14:paraId="3BB60148" w14:textId="77777777" w:rsidTr="00A343C5">
        <w:tblPrEx>
          <w:tblW w:w="0" w:type="auto"/>
          <w:jc w:val="center"/>
          <w:tblLayout w:type="fixed"/>
          <w:tblCellMar>
            <w:left w:w="340" w:type="dxa"/>
            <w:right w:w="340" w:type="dxa"/>
          </w:tblCellMar>
          <w:tblLook w:val="04A0"/>
        </w:tblPrEx>
        <w:trPr>
          <w:jc w:val="center"/>
        </w:trPr>
        <w:tc>
          <w:tcPr>
            <w:tcW w:w="4876" w:type="dxa"/>
          </w:tcPr>
          <w:p w:rsidR="00047339" w:rsidRPr="000A2DED" w:rsidP="00A343C5" w14:paraId="34E1F3BE" w14:textId="77777777">
            <w:pPr>
              <w:pStyle w:val="Normal6"/>
              <w:rPr>
                <w:lang w:val="en-GB"/>
              </w:rPr>
            </w:pPr>
          </w:p>
        </w:tc>
        <w:tc>
          <w:tcPr>
            <w:tcW w:w="4876" w:type="dxa"/>
            <w:hideMark/>
          </w:tcPr>
          <w:p w:rsidR="00047339" w:rsidRPr="000A2DED" w:rsidP="00A343C5" w14:paraId="5B508974" w14:textId="77777777">
            <w:pPr>
              <w:pStyle w:val="Normal6"/>
              <w:rPr>
                <w:szCs w:val="24"/>
              </w:rPr>
            </w:pPr>
            <w:r>
              <w:rPr>
                <w:b/>
                <w:i/>
              </w:rPr>
              <w:t>(83a)</w:t>
            </w:r>
            <w:r>
              <w:rPr>
                <w:b/>
                <w:i/>
              </w:rPr>
              <w:tab/>
              <w:t>Labai svarbu, kad šio reglamento nuostatos ir jame nustatyta valdymo tvarka padėtų biudžeto valdymo institucijai tinkamai priimti sprendimus ir vykdyti tinkamą parlamentinę priežiūrą. Visų pirma, vadovaujantis Finansinio reglamento 47 straipsnio 2 dalimi, bet koks ECF vidinės struktūros patikslinimas turėtų būti tinkamai atspindėtas biudžeto nomenklatūroje nustatant skyrius ir atitinkamas biudžeto eilutes;</w:t>
            </w:r>
          </w:p>
        </w:tc>
      </w:tr>
    </w:tbl>
    <w:p w:rsidR="00047339" w:rsidRPr="000A2DED" w:rsidP="00047339" w14:paraId="505BEE56" w14:textId="77777777">
      <w:r>
        <w:rPr>
          <w:rStyle w:val="HideTWBExt"/>
        </w:rPr>
        <w:t>&lt;/Amend&gt;</w:t>
      </w:r>
    </w:p>
    <w:p w:rsidR="00047339" w:rsidRPr="000A2DED" w:rsidP="00047339" w14:paraId="71D34882" w14:textId="77777777">
      <w:pPr>
        <w:pStyle w:val="AMNumberTabs0"/>
        <w:keepNext/>
      </w:pPr>
      <w:r w:rsidRPr="006D6C3E">
        <w:rPr>
          <w:rStyle w:val="HideTWBExt"/>
          <w:b w:val="0"/>
        </w:rPr>
        <w:t>&lt;Amend&gt;</w:t>
      </w:r>
      <w:r>
        <w:t>Pakeitimas</w:t>
      </w:r>
      <w:r>
        <w:tab/>
      </w:r>
      <w:r>
        <w:tab/>
      </w:r>
      <w:r w:rsidRPr="006D6C3E">
        <w:rPr>
          <w:rStyle w:val="HideTWBExt"/>
          <w:b w:val="0"/>
        </w:rPr>
        <w:t>&lt;NumAm&gt;</w:t>
      </w:r>
      <w:r>
        <w:t>11</w:t>
      </w:r>
      <w:r w:rsidRPr="006D6C3E">
        <w:rPr>
          <w:rStyle w:val="HideTWBExt"/>
          <w:b w:val="0"/>
        </w:rPr>
        <w:t>&lt;/NumAm&gt;</w:t>
      </w:r>
    </w:p>
    <w:p w:rsidR="00047339" w:rsidRPr="000A2DED" w:rsidP="00047339" w14:paraId="51919950" w14:textId="77777777">
      <w:pPr>
        <w:keepNext/>
      </w:pPr>
      <w:r>
        <w:rPr>
          <w:rStyle w:val="HideTWBExt"/>
        </w:rPr>
        <w:t>&lt;Compromise&gt;&lt;/Compromise&gt;</w:t>
      </w:r>
    </w:p>
    <w:p w:rsidR="00047339" w:rsidRPr="000A2DED" w:rsidP="00047339" w14:paraId="59B37617" w14:textId="77777777"/>
    <w:p w:rsidR="00047339" w:rsidRPr="000A2DED" w:rsidP="00047339" w14:paraId="54C63D00"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541F1160" w14:textId="77777777">
      <w:pPr>
        <w:pStyle w:val="NormalBold"/>
      </w:pPr>
      <w:r>
        <w:rPr>
          <w:rStyle w:val="HideTWBExt"/>
          <w:b w:val="0"/>
        </w:rPr>
        <w:t>&lt;Article&gt;</w:t>
      </w:r>
      <w:r>
        <w:t>89 a konstatuojamoji dalis (nauja)</w:t>
      </w:r>
      <w:r>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A0BC179" w14:textId="77777777" w:rsidTr="00A343C5">
        <w:tblPrEx>
          <w:tblW w:w="9752" w:type="dxa"/>
          <w:jc w:val="center"/>
          <w:tblLayout w:type="fixed"/>
          <w:tblCellMar>
            <w:left w:w="340" w:type="dxa"/>
            <w:right w:w="340" w:type="dxa"/>
          </w:tblCellMar>
          <w:tblLook w:val="04A0"/>
        </w:tblPrEx>
        <w:trPr>
          <w:jc w:val="center"/>
        </w:trPr>
        <w:tc>
          <w:tcPr>
            <w:tcW w:w="9752" w:type="dxa"/>
            <w:gridSpan w:val="2"/>
          </w:tcPr>
          <w:p w:rsidR="00047339" w:rsidRPr="000A2DED" w:rsidP="00A343C5" w14:paraId="46EA6AB0" w14:textId="77777777">
            <w:pPr>
              <w:keepNext/>
            </w:pPr>
          </w:p>
        </w:tc>
      </w:tr>
      <w:tr w14:paraId="66C82DE5" w14:textId="77777777" w:rsidTr="00A343C5">
        <w:tblPrEx>
          <w:tblW w:w="9752" w:type="dxa"/>
          <w:jc w:val="center"/>
          <w:tblLayout w:type="fixed"/>
          <w:tblCellMar>
            <w:left w:w="340" w:type="dxa"/>
            <w:right w:w="340" w:type="dxa"/>
          </w:tblCellMar>
          <w:tblLook w:val="04A0"/>
        </w:tblPrEx>
        <w:trPr>
          <w:jc w:val="center"/>
        </w:trPr>
        <w:tc>
          <w:tcPr>
            <w:tcW w:w="4876" w:type="dxa"/>
            <w:hideMark/>
          </w:tcPr>
          <w:p w:rsidR="00047339" w:rsidRPr="000A2DED" w:rsidP="00A343C5" w14:paraId="200A0923" w14:textId="77777777">
            <w:pPr>
              <w:pStyle w:val="ColumnHeading"/>
              <w:keepNext/>
            </w:pPr>
            <w:r>
              <w:t>Komisijos siūlomas tekstas</w:t>
            </w:r>
          </w:p>
        </w:tc>
        <w:tc>
          <w:tcPr>
            <w:tcW w:w="4876" w:type="dxa"/>
            <w:hideMark/>
          </w:tcPr>
          <w:p w:rsidR="00047339" w:rsidRPr="000A2DED" w:rsidP="00A343C5" w14:paraId="3C0D56D0" w14:textId="77777777">
            <w:pPr>
              <w:pStyle w:val="ColumnHeading"/>
              <w:keepNext/>
            </w:pPr>
            <w:r>
              <w:t>Pakeitimas</w:t>
            </w:r>
          </w:p>
        </w:tc>
      </w:tr>
      <w:tr w14:paraId="7C161A6A" w14:textId="77777777" w:rsidTr="00A343C5">
        <w:tblPrEx>
          <w:tblW w:w="9752" w:type="dxa"/>
          <w:jc w:val="center"/>
          <w:tblLayout w:type="fixed"/>
          <w:tblCellMar>
            <w:left w:w="340" w:type="dxa"/>
            <w:right w:w="340" w:type="dxa"/>
          </w:tblCellMar>
          <w:tblLook w:val="04A0"/>
        </w:tblPrEx>
        <w:trPr>
          <w:jc w:val="center"/>
        </w:trPr>
        <w:tc>
          <w:tcPr>
            <w:tcW w:w="4876" w:type="dxa"/>
          </w:tcPr>
          <w:p w:rsidR="00047339" w:rsidRPr="000A2DED" w:rsidP="00A343C5" w14:paraId="28959D35" w14:textId="77777777">
            <w:pPr>
              <w:pStyle w:val="Normal6"/>
              <w:rPr>
                <w:lang w:val="en-GB"/>
              </w:rPr>
            </w:pPr>
          </w:p>
        </w:tc>
        <w:tc>
          <w:tcPr>
            <w:tcW w:w="4876" w:type="dxa"/>
            <w:hideMark/>
          </w:tcPr>
          <w:p w:rsidR="00047339" w:rsidRPr="000A2DED" w:rsidP="00A343C5" w14:paraId="0EBCCD21" w14:textId="77777777">
            <w:pPr>
              <w:pStyle w:val="Normal6"/>
              <w:rPr>
                <w:szCs w:val="24"/>
              </w:rPr>
            </w:pPr>
            <w:r>
              <w:rPr>
                <w:b/>
                <w:i/>
              </w:rPr>
              <w:t>(89a)</w:t>
            </w:r>
            <w:r>
              <w:rPr>
                <w:b/>
                <w:i/>
              </w:rPr>
              <w:tab/>
              <w:t>Šio reglamento poveikis Sąjungos biudžetui įvertintas</w:t>
            </w:r>
            <w:r>
              <w:rPr>
                <w:b/>
                <w:i/>
                <w:vertAlign w:val="superscript"/>
              </w:rPr>
              <w:t>+</w:t>
            </w:r>
            <w:r>
              <w:rPr>
                <w:b/>
                <w:i/>
              </w:rPr>
              <w:t xml:space="preserve"> pagal Sutarties dėl Europos Sąjungos veikimo 310 straipsnio 4 dalį. Jo įgyvendinimui turėtų būti skirta pakankamai finansinių ir žmogiškųjų išteklių, kartu atsižvelgiant į finansavimo poveikį kitoms Sąjungos programoms ar politikos sritims ir užtikrinant jo suderinamumą su daugiamete finansine programa, nuosavų išteklių sistema ir atitinkamu tarpinstituciniu susitarimu, taip pat su biudžeto principais, nustatytais Europos Parlamento ir Tarybos reglamente (ES, Euratomas) 2024/2509</w:t>
            </w:r>
            <w:r>
              <w:rPr>
                <w:b/>
                <w:i/>
                <w:vertAlign w:val="superscript"/>
              </w:rPr>
              <w:t>[1]</w:t>
            </w:r>
            <w:r>
              <w:rPr>
                <w:b/>
                <w:i/>
              </w:rPr>
              <w:t>.</w:t>
            </w:r>
          </w:p>
        </w:tc>
      </w:tr>
      <w:tr w14:paraId="0864E10E" w14:textId="77777777" w:rsidTr="00A343C5">
        <w:tblPrEx>
          <w:tblW w:w="9752" w:type="dxa"/>
          <w:jc w:val="center"/>
          <w:tblLayout w:type="fixed"/>
          <w:tblCellMar>
            <w:left w:w="340" w:type="dxa"/>
            <w:right w:w="340" w:type="dxa"/>
          </w:tblCellMar>
          <w:tblLook w:val="04A0"/>
        </w:tblPrEx>
        <w:trPr>
          <w:jc w:val="center"/>
        </w:trPr>
        <w:tc>
          <w:tcPr>
            <w:tcW w:w="4876" w:type="dxa"/>
          </w:tcPr>
          <w:p w:rsidR="00047339" w:rsidRPr="006D6C3E" w:rsidP="00A343C5" w14:paraId="770053E2" w14:textId="77777777">
            <w:pPr>
              <w:pStyle w:val="Normal6"/>
            </w:pPr>
          </w:p>
        </w:tc>
        <w:tc>
          <w:tcPr>
            <w:tcW w:w="4876" w:type="dxa"/>
          </w:tcPr>
          <w:p w:rsidR="00047339" w:rsidRPr="000A2DED" w:rsidP="00A343C5" w14:paraId="629EFD36" w14:textId="77777777">
            <w:pPr>
              <w:pStyle w:val="Normal6"/>
              <w:rPr>
                <w:b/>
                <w:i/>
              </w:rPr>
            </w:pPr>
            <w:r>
              <w:rPr>
                <w:b/>
                <w:i/>
              </w:rPr>
              <w:t>_______________</w:t>
            </w:r>
          </w:p>
        </w:tc>
      </w:tr>
      <w:tr w14:paraId="777B79BA" w14:textId="77777777" w:rsidTr="00A343C5">
        <w:tblPrEx>
          <w:tblW w:w="9752" w:type="dxa"/>
          <w:jc w:val="center"/>
          <w:tblLayout w:type="fixed"/>
          <w:tblCellMar>
            <w:left w:w="340" w:type="dxa"/>
            <w:right w:w="340" w:type="dxa"/>
          </w:tblCellMar>
          <w:tblLook w:val="04A0"/>
        </w:tblPrEx>
        <w:trPr>
          <w:jc w:val="center"/>
        </w:trPr>
        <w:tc>
          <w:tcPr>
            <w:tcW w:w="4876" w:type="dxa"/>
          </w:tcPr>
          <w:p w:rsidR="00047339" w:rsidRPr="000A2DED" w:rsidP="00A343C5" w14:paraId="211A80CC" w14:textId="77777777">
            <w:pPr>
              <w:pStyle w:val="Normal6"/>
              <w:rPr>
                <w:lang w:val="en-GB"/>
              </w:rPr>
            </w:pPr>
          </w:p>
        </w:tc>
        <w:tc>
          <w:tcPr>
            <w:tcW w:w="4876" w:type="dxa"/>
          </w:tcPr>
          <w:p w:rsidR="00047339" w:rsidRPr="000A2DED" w:rsidP="00A343C5" w14:paraId="10CBDA1E" w14:textId="77777777">
            <w:pPr>
              <w:pStyle w:val="Normal6"/>
              <w:rPr>
                <w:b/>
                <w:i/>
                <w:szCs w:val="24"/>
              </w:rPr>
            </w:pPr>
            <w:r>
              <w:rPr>
                <w:b/>
                <w:i/>
                <w:vertAlign w:val="superscript"/>
              </w:rPr>
              <w:t>+</w:t>
            </w:r>
            <w:r>
              <w:rPr>
                <w:b/>
                <w:i/>
              </w:rPr>
              <w:t xml:space="preserve"> Pro memoria: 2026 m. birželio 23 d. Europos Parlamento Biudžeto komiteto biudžetinis vertinimas dėl pasiūlymo dėl Europos Parlamento ir Tarybos reglamento, kuriuo įsteigiamas Europos konkurencingumo fondas (ECF), įskaitant specialiąją gynybos srities mokslinių tyrimų ir inovacijų veiklos programą, panaikinami reglamentai (ES) 2021/522, (ES) 2021/694, (ES) 2021/697, (ES) 2021/783 ir iš dalies keičiami reglamentai (ES) 2021/696, (ES) 2023/588, (ES) [EGPP] (COM(2025)0555 – C10-0165/2025).</w:t>
            </w:r>
          </w:p>
        </w:tc>
      </w:tr>
      <w:tr w14:paraId="79195B22" w14:textId="77777777" w:rsidTr="00A343C5">
        <w:tblPrEx>
          <w:tblW w:w="9752" w:type="dxa"/>
          <w:jc w:val="center"/>
          <w:tblLayout w:type="fixed"/>
          <w:tblCellMar>
            <w:left w:w="340" w:type="dxa"/>
            <w:right w:w="340" w:type="dxa"/>
          </w:tblCellMar>
          <w:tblLook w:val="04A0"/>
        </w:tblPrEx>
        <w:trPr>
          <w:jc w:val="center"/>
        </w:trPr>
        <w:tc>
          <w:tcPr>
            <w:tcW w:w="4876" w:type="dxa"/>
          </w:tcPr>
          <w:p w:rsidR="00047339" w:rsidRPr="000A2DED" w:rsidP="00A343C5" w14:paraId="56F9C3B0" w14:textId="77777777">
            <w:pPr>
              <w:pStyle w:val="Normal6"/>
              <w:rPr>
                <w:lang w:val="en-GB"/>
              </w:rPr>
            </w:pPr>
          </w:p>
        </w:tc>
        <w:tc>
          <w:tcPr>
            <w:tcW w:w="4876" w:type="dxa"/>
          </w:tcPr>
          <w:p w:rsidR="00047339" w:rsidRPr="000A2DED" w:rsidP="00A343C5" w14:paraId="46D51F2A" w14:textId="79BB5F40">
            <w:pPr>
              <w:pStyle w:val="Normal6"/>
              <w:rPr>
                <w:b/>
                <w:bCs/>
                <w:i/>
                <w:iCs/>
                <w:szCs w:val="24"/>
              </w:rPr>
            </w:pPr>
            <w:r>
              <w:rPr>
                <w:b/>
                <w:i/>
                <w:vertAlign w:val="superscript"/>
              </w:rPr>
              <w:t>[1]</w:t>
            </w:r>
            <w:r>
              <w:rPr>
                <w:b/>
                <w:i/>
              </w:rPr>
              <w:t xml:space="preserve"> 2024 m. rugsėjo 23 d. Europos Parlamento ir Tarybos reglamentas (ES, Euratomas) 2024/2509 dėl Sąjungos bendrajam biudžetui taikomų finansinių taisyklių (OL L, 2024/2509, 2024 9 26, ELI: </w:t>
            </w:r>
            <w:hyperlink r:id="rId12" w:history="1">
              <w:r>
                <w:rPr>
                  <w:rStyle w:val="Hyperlink"/>
                  <w:b/>
                  <w:i/>
                  <w:color w:val="auto"/>
                </w:rPr>
                <w:t>http://data.europa.eu/eli/reg/2024/2509/oj</w:t>
              </w:r>
            </w:hyperlink>
            <w:r>
              <w:rPr>
                <w:b/>
                <w:i/>
              </w:rPr>
              <w:t>).</w:t>
            </w:r>
          </w:p>
        </w:tc>
      </w:tr>
    </w:tbl>
    <w:p w:rsidR="00047339" w:rsidRPr="000A2DED" w:rsidP="00047339" w14:paraId="5CCA0F20" w14:textId="77777777">
      <w:r>
        <w:rPr>
          <w:rStyle w:val="HideTWBExt"/>
        </w:rPr>
        <w:t>&lt;/Amend&gt;</w:t>
      </w:r>
    </w:p>
    <w:p w:rsidR="00047339" w:rsidRPr="000A2DED" w:rsidP="00047339" w14:paraId="4EB32E7E" w14:textId="77777777">
      <w:pPr>
        <w:pStyle w:val="AMNumberTabs0"/>
        <w:keepNext/>
      </w:pPr>
      <w:r>
        <w:rPr>
          <w:rStyle w:val="HideTWBExt"/>
          <w:b w:val="0"/>
          <w:lang w:val="en-GB"/>
        </w:rPr>
        <w:t>&lt;Amend&gt;</w:t>
      </w:r>
      <w:r>
        <w:t>Pakeitimas</w:t>
      </w:r>
      <w:r>
        <w:tab/>
      </w:r>
      <w:r>
        <w:tab/>
      </w:r>
      <w:r>
        <w:rPr>
          <w:rStyle w:val="HideTWBExt"/>
          <w:b w:val="0"/>
          <w:lang w:val="en-GB"/>
        </w:rPr>
        <w:t>&lt;NumAm&gt;</w:t>
      </w:r>
      <w:r>
        <w:t>12</w:t>
      </w:r>
      <w:r>
        <w:rPr>
          <w:rStyle w:val="HideTWBExt"/>
          <w:b w:val="0"/>
          <w:lang w:val="en-GB"/>
        </w:rPr>
        <w:t>&lt;/NumAm&gt;</w:t>
      </w:r>
    </w:p>
    <w:p w:rsidR="00047339" w:rsidRPr="000A2DED" w:rsidP="00047339" w14:paraId="4B0B78E1" w14:textId="77777777">
      <w:pPr>
        <w:keepNext/>
      </w:pPr>
      <w:r>
        <w:rPr>
          <w:rStyle w:val="HideTWBExt"/>
        </w:rPr>
        <w:t>&lt;Compromise&gt;&lt;/Compromise&gt;</w:t>
      </w:r>
    </w:p>
    <w:p w:rsidR="00047339" w:rsidRPr="000A2DED" w:rsidP="00047339" w14:paraId="1229392A" w14:textId="77777777"/>
    <w:p w:rsidR="00047339" w:rsidRPr="000A2DED" w:rsidP="00047339" w14:paraId="5282C989"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7E7A7F55" w14:textId="77777777">
      <w:pPr>
        <w:pStyle w:val="NormalBold"/>
      </w:pPr>
      <w:r>
        <w:rPr>
          <w:rStyle w:val="HideTWBExt"/>
          <w:b w:val="0"/>
        </w:rPr>
        <w:t>&lt;Article&gt;</w:t>
      </w:r>
      <w:r>
        <w:t>4 straipsnio 1 dalis</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2D8C947"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3C73D5AB" w14:textId="77777777">
            <w:pPr>
              <w:keepNext/>
            </w:pPr>
          </w:p>
        </w:tc>
      </w:tr>
      <w:tr w14:paraId="05E1C28E"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11AE7F90" w14:textId="77777777">
            <w:pPr>
              <w:pStyle w:val="ColumnHeading"/>
              <w:keepNext/>
            </w:pPr>
            <w:r>
              <w:t>Komisijos siūlomas tekstas</w:t>
            </w:r>
          </w:p>
        </w:tc>
        <w:tc>
          <w:tcPr>
            <w:tcW w:w="4876" w:type="dxa"/>
            <w:hideMark/>
          </w:tcPr>
          <w:p w:rsidR="00047339" w:rsidRPr="000A2DED" w:rsidP="00A343C5" w14:paraId="6E6077D3" w14:textId="77777777">
            <w:pPr>
              <w:pStyle w:val="ColumnHeading"/>
              <w:keepNext/>
            </w:pPr>
            <w:r>
              <w:t>Pakeitimas</w:t>
            </w:r>
          </w:p>
        </w:tc>
      </w:tr>
      <w:tr w14:paraId="379525D1"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40F18073" w14:textId="77777777">
            <w:pPr>
              <w:pStyle w:val="Normal6"/>
            </w:pPr>
            <w:r>
              <w:t>1.</w:t>
            </w:r>
            <w:r>
              <w:tab/>
            </w:r>
            <w:r>
              <w:rPr>
                <w:b/>
                <w:i/>
              </w:rPr>
              <w:t>Orientacinis</w:t>
            </w:r>
            <w:r>
              <w:t xml:space="preserve"> ECF įgyvendinimo </w:t>
            </w:r>
            <w:r>
              <w:rPr>
                <w:b/>
                <w:i/>
              </w:rPr>
              <w:t>finansinis</w:t>
            </w:r>
            <w:r>
              <w:t xml:space="preserve"> paketas </w:t>
            </w:r>
            <w:r>
              <w:rPr>
                <w:b/>
                <w:i/>
              </w:rPr>
              <w:t>2028</w:t>
            </w:r>
            <w:r>
              <w:t xml:space="preserve"> m. </w:t>
            </w:r>
            <w:r>
              <w:rPr>
                <w:b/>
                <w:i/>
              </w:rPr>
              <w:t>sausio 1 d. – 2034 m</w:t>
            </w:r>
            <w:r>
              <w:t xml:space="preserve">. </w:t>
            </w:r>
            <w:r>
              <w:rPr>
                <w:b/>
                <w:i/>
              </w:rPr>
              <w:t>gruodžio 31 d. laikotarpiu yra</w:t>
            </w:r>
            <w:r>
              <w:t xml:space="preserve"> 234 </w:t>
            </w:r>
            <w:r>
              <w:rPr>
                <w:b/>
                <w:i/>
              </w:rPr>
              <w:t>300 000 000</w:t>
            </w:r>
            <w:r>
              <w:t> EUR dabartinėmis kainomis.</w:t>
            </w:r>
          </w:p>
        </w:tc>
        <w:tc>
          <w:tcPr>
            <w:tcW w:w="4876" w:type="dxa"/>
            <w:hideMark/>
          </w:tcPr>
          <w:p w:rsidR="00047339" w:rsidRPr="000A2DED" w:rsidP="00A343C5" w14:paraId="0BD9A4D5" w14:textId="77777777">
            <w:pPr>
              <w:pStyle w:val="Normal6"/>
              <w:rPr>
                <w:szCs w:val="24"/>
              </w:rPr>
            </w:pPr>
            <w:r>
              <w:t>1.</w:t>
            </w:r>
            <w:r>
              <w:tab/>
              <w:t xml:space="preserve">ECF įgyvendinimo </w:t>
            </w:r>
            <w:r>
              <w:rPr>
                <w:b/>
                <w:i/>
              </w:rPr>
              <w:t>programos</w:t>
            </w:r>
            <w:r>
              <w:t xml:space="preserve"> paketas </w:t>
            </w:r>
            <w:r>
              <w:rPr>
                <w:b/>
                <w:i/>
              </w:rPr>
              <w:t>2028–2034</w:t>
            </w:r>
            <w:r>
              <w:t xml:space="preserve"> m. </w:t>
            </w:r>
            <w:r>
              <w:rPr>
                <w:b/>
                <w:i/>
              </w:rPr>
              <w:t xml:space="preserve">laikotarpiu yra </w:t>
            </w:r>
            <w:r>
              <w:rPr>
                <w:b/>
                <w:i/>
              </w:rPr>
              <w:t>264,35 mlrd</w:t>
            </w:r>
            <w:r>
              <w:t>. </w:t>
            </w:r>
            <w:r>
              <w:rPr>
                <w:b/>
                <w:i/>
              </w:rPr>
              <w:t xml:space="preserve">EUR </w:t>
            </w:r>
            <w:r>
              <w:t xml:space="preserve">dabartinėmis kainomis </w:t>
            </w:r>
            <w:r>
              <w:rPr>
                <w:b/>
                <w:i/>
              </w:rPr>
              <w:t>(</w:t>
            </w:r>
            <w:r>
              <w:rPr>
                <w:b/>
                <w:bCs/>
                <w:i/>
                <w:iCs/>
              </w:rPr>
              <w:t>234</w:t>
            </w:r>
            <w:r>
              <w:t> </w:t>
            </w:r>
            <w:r>
              <w:rPr>
                <w:b/>
                <w:i/>
              </w:rPr>
              <w:t>mlrd.</w:t>
            </w:r>
            <w:r>
              <w:t xml:space="preserve"> EUR </w:t>
            </w:r>
            <w:r>
              <w:rPr>
                <w:b/>
                <w:i/>
              </w:rPr>
              <w:t>2025 m.</w:t>
            </w:r>
            <w:r>
              <w:t xml:space="preserve"> </w:t>
            </w:r>
            <w:r>
              <w:rPr>
                <w:b/>
                <w:bCs/>
                <w:i/>
                <w:iCs/>
              </w:rPr>
              <w:t>kainomis</w:t>
            </w:r>
            <w:r>
              <w:rPr>
                <w:b/>
                <w:i/>
              </w:rPr>
              <w:t>)</w:t>
            </w:r>
            <w:r>
              <w:t>.</w:t>
            </w:r>
          </w:p>
        </w:tc>
      </w:tr>
    </w:tbl>
    <w:p w:rsidR="00047339" w:rsidRPr="000A2DED" w:rsidP="00047339" w14:paraId="6FD8A3BB" w14:textId="77777777">
      <w:r>
        <w:rPr>
          <w:rStyle w:val="HideTWBExt"/>
        </w:rPr>
        <w:t>&lt;/Amend&gt;</w:t>
      </w:r>
    </w:p>
    <w:p w:rsidR="00047339" w:rsidRPr="000A2DED" w:rsidP="00047339" w14:paraId="650E30D9" w14:textId="77777777">
      <w:pPr>
        <w:pStyle w:val="AMNumberTabs0"/>
        <w:keepNext/>
      </w:pPr>
      <w:r>
        <w:rPr>
          <w:rStyle w:val="HideTWBExt"/>
          <w:b w:val="0"/>
          <w:lang w:val="en-GB"/>
        </w:rPr>
        <w:t>&lt;Amend&gt;</w:t>
      </w:r>
      <w:r>
        <w:t>Pakeitimas</w:t>
      </w:r>
      <w:r>
        <w:tab/>
      </w:r>
      <w:r>
        <w:tab/>
      </w:r>
      <w:r>
        <w:rPr>
          <w:rStyle w:val="HideTWBExt"/>
          <w:b w:val="0"/>
          <w:lang w:val="en-GB"/>
        </w:rPr>
        <w:t>&lt;NumAm&gt;</w:t>
      </w:r>
      <w:r>
        <w:t>13</w:t>
      </w:r>
      <w:r>
        <w:rPr>
          <w:rStyle w:val="HideTWBExt"/>
          <w:b w:val="0"/>
          <w:lang w:val="en-GB"/>
        </w:rPr>
        <w:t>&lt;/NumAm&gt;</w:t>
      </w:r>
    </w:p>
    <w:p w:rsidR="00047339" w:rsidRPr="000A2DED" w:rsidP="00047339" w14:paraId="6C74CEAB" w14:textId="77777777">
      <w:pPr>
        <w:keepNext/>
      </w:pPr>
      <w:r>
        <w:rPr>
          <w:rStyle w:val="HideTWBExt"/>
        </w:rPr>
        <w:t>&lt;Compromise&gt;&lt;/Compromise&gt;</w:t>
      </w:r>
    </w:p>
    <w:p w:rsidR="00047339" w:rsidRPr="000A2DED" w:rsidP="00047339" w14:paraId="58296E28" w14:textId="77777777"/>
    <w:p w:rsidR="00047339" w:rsidRPr="000A2DED" w:rsidP="00047339" w14:paraId="4873CE12"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1DB564B4" w14:textId="77777777">
      <w:pPr>
        <w:pStyle w:val="NormalBold"/>
      </w:pPr>
      <w:r>
        <w:rPr>
          <w:rStyle w:val="HideTWBExt"/>
          <w:b w:val="0"/>
        </w:rPr>
        <w:t>&lt;Article&gt;</w:t>
      </w:r>
      <w:r>
        <w:t>5 straipsnio 3 dalis</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38C63AA5"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52E510E6" w14:textId="77777777">
            <w:pPr>
              <w:keepNext/>
            </w:pPr>
          </w:p>
        </w:tc>
      </w:tr>
      <w:tr w14:paraId="55D75EE7"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27C4A5C8" w14:textId="77777777">
            <w:pPr>
              <w:pStyle w:val="ColumnHeading"/>
              <w:keepNext/>
            </w:pPr>
            <w:r>
              <w:t xml:space="preserve">Komisijos </w:t>
            </w:r>
            <w:r>
              <w:t>siūlomas tekstas</w:t>
            </w:r>
          </w:p>
        </w:tc>
        <w:tc>
          <w:tcPr>
            <w:tcW w:w="4876" w:type="dxa"/>
            <w:hideMark/>
          </w:tcPr>
          <w:p w:rsidR="00047339" w:rsidRPr="000A2DED" w:rsidP="00A343C5" w14:paraId="3E18BB54" w14:textId="77777777">
            <w:pPr>
              <w:pStyle w:val="ColumnHeading"/>
              <w:keepNext/>
            </w:pPr>
            <w:r>
              <w:t>Pakeitimas</w:t>
            </w:r>
          </w:p>
        </w:tc>
      </w:tr>
      <w:tr w14:paraId="0E184F2A"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4260B882" w14:textId="77777777">
            <w:pPr>
              <w:pStyle w:val="Normal6"/>
            </w:pPr>
            <w:r>
              <w:t>3.</w:t>
            </w:r>
            <w:r>
              <w:tab/>
              <w:t>Visos pajamos, gautos iš veiklos ir komponentų pagal šio reglamento VII skyriaus 3 skirsnį, sudaro išorės asignuotąsias pajamas, kaip apibrėžta Reglamento (ES, Euratomas) 2024/2509 21 straipsnio 5 dalyje, skirtas ECF arba jį pakeisiančiai įstaigai.</w:t>
            </w:r>
          </w:p>
        </w:tc>
        <w:tc>
          <w:tcPr>
            <w:tcW w:w="4876" w:type="dxa"/>
            <w:hideMark/>
          </w:tcPr>
          <w:p w:rsidR="00047339" w:rsidRPr="000A2DED" w:rsidP="00A343C5" w14:paraId="13931EFB" w14:textId="77777777">
            <w:pPr>
              <w:pStyle w:val="Normal6"/>
              <w:rPr>
                <w:szCs w:val="24"/>
              </w:rPr>
            </w:pPr>
            <w:r>
              <w:t>3.</w:t>
            </w:r>
            <w:r>
              <w:tab/>
              <w:t xml:space="preserve">Visos pajamos, gautos iš veiklos ir komponentų pagal šio reglamento VII skyriaus 3 skirsnį, sudaro išorės asignuotąsias pajamas, kaip apibrėžta Reglamento (ES, Euratomas) 2024/2509 21 straipsnio 5 dalyje, skirtas ECF </w:t>
            </w:r>
            <w:r>
              <w:rPr>
                <w:b/>
                <w:i/>
              </w:rPr>
              <w:t>VII skyriaus 3 skirsniui</w:t>
            </w:r>
            <w:r>
              <w:t xml:space="preserve"> arba jį pakeisiančiai įstaigai.</w:t>
            </w:r>
          </w:p>
        </w:tc>
      </w:tr>
    </w:tbl>
    <w:p w:rsidR="00047339" w:rsidRPr="000A2DED" w:rsidP="00047339" w14:paraId="55A1B8C7" w14:textId="77777777">
      <w:r>
        <w:rPr>
          <w:rStyle w:val="HideTWBExt"/>
        </w:rPr>
        <w:t>&lt;/Amend&gt;</w:t>
      </w:r>
    </w:p>
    <w:p w:rsidR="00047339" w:rsidRPr="000A2DED" w:rsidP="00047339" w14:paraId="383A7ED0" w14:textId="77777777">
      <w:pPr>
        <w:pStyle w:val="AMNumberTabs0"/>
        <w:keepNext/>
      </w:pPr>
      <w:r>
        <w:rPr>
          <w:rStyle w:val="HideTWBExt"/>
          <w:b w:val="0"/>
          <w:lang w:val="en-GB"/>
        </w:rPr>
        <w:t>&lt;Amend&gt;</w:t>
      </w:r>
      <w:r>
        <w:t>Pakeitimas</w:t>
      </w:r>
      <w:r>
        <w:tab/>
      </w:r>
      <w:r>
        <w:tab/>
      </w:r>
      <w:r>
        <w:rPr>
          <w:rStyle w:val="HideTWBExt"/>
          <w:b w:val="0"/>
          <w:lang w:val="en-GB"/>
        </w:rPr>
        <w:t>&lt;NumAm&gt;</w:t>
      </w:r>
      <w:r>
        <w:t>14</w:t>
      </w:r>
      <w:r>
        <w:rPr>
          <w:rStyle w:val="HideTWBExt"/>
          <w:b w:val="0"/>
          <w:lang w:val="en-GB"/>
        </w:rPr>
        <w:t>&lt;/NumAm&gt;</w:t>
      </w:r>
    </w:p>
    <w:p w:rsidR="00047339" w:rsidRPr="000A2DED" w:rsidP="00047339" w14:paraId="371FC735" w14:textId="77777777">
      <w:pPr>
        <w:keepNext/>
      </w:pPr>
      <w:r>
        <w:rPr>
          <w:rStyle w:val="HideTWBExt"/>
        </w:rPr>
        <w:t>&lt;Compromise&gt;&lt;/Compromise&gt;</w:t>
      </w:r>
    </w:p>
    <w:p w:rsidR="00047339" w:rsidRPr="000A2DED" w:rsidP="00047339" w14:paraId="592A0755" w14:textId="77777777"/>
    <w:p w:rsidR="00047339" w:rsidRPr="000A2DED" w:rsidP="00047339" w14:paraId="3C6821DE"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01E82143" w14:textId="77777777">
      <w:pPr>
        <w:pStyle w:val="NormalBold"/>
      </w:pPr>
      <w:r>
        <w:rPr>
          <w:rStyle w:val="HideTWBExt"/>
          <w:b w:val="0"/>
        </w:rPr>
        <w:t>&lt;Article&gt;</w:t>
      </w:r>
      <w:r>
        <w:t>5 straipsnio 4 dalis</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4FCE449A"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4150B220" w14:textId="77777777">
            <w:pPr>
              <w:keepNext/>
            </w:pPr>
          </w:p>
        </w:tc>
      </w:tr>
      <w:tr w14:paraId="06964FF6"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372AA3A9" w14:textId="77777777">
            <w:pPr>
              <w:pStyle w:val="ColumnHeading"/>
              <w:keepNext/>
            </w:pPr>
            <w:r>
              <w:t>Komisijos siūlomas tekstas</w:t>
            </w:r>
          </w:p>
        </w:tc>
        <w:tc>
          <w:tcPr>
            <w:tcW w:w="4876" w:type="dxa"/>
            <w:hideMark/>
          </w:tcPr>
          <w:p w:rsidR="00047339" w:rsidRPr="000A2DED" w:rsidP="00A343C5" w14:paraId="79D54A74" w14:textId="77777777">
            <w:pPr>
              <w:pStyle w:val="ColumnHeading"/>
              <w:keepNext/>
            </w:pPr>
            <w:r>
              <w:t>Pakeitimas</w:t>
            </w:r>
          </w:p>
        </w:tc>
      </w:tr>
      <w:tr w14:paraId="2CCAB488"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4F8641BF" w14:textId="77777777">
            <w:pPr>
              <w:pStyle w:val="Normal6"/>
            </w:pPr>
            <w:r>
              <w:t>4.</w:t>
            </w:r>
            <w:r>
              <w:tab/>
            </w:r>
            <w:r>
              <w:t xml:space="preserve">[Nuo 2028 m. sausio 1 d. / programos pradžios data], nukrypstant nuo Reglamento (ES, Euratomas) 2024/2509 212 straipsnio 3 dalies pirmos, antros ir ketvirtos pastraipų, iš finansinių priemonių, finansuojamų pagal šį reglamentą, ankstesnį reglamentą, </w:t>
            </w:r>
            <w:r>
              <w:t xml:space="preserve">ir Reglamento (ES) 2021/523 IV priede nurodytos gautinos pajamos, grąžintos ir susigrąžintinos sumos naudojamos Sąjungos paramai pagal ECF </w:t>
            </w:r>
            <w:r>
              <w:rPr>
                <w:b/>
                <w:i/>
              </w:rPr>
              <w:t>fondą</w:t>
            </w:r>
            <w:r>
              <w:t xml:space="preserve"> teikti. Nukrypstant nuo Reglamento (ES, Euratomas) 2024/2509 21 straipsnio 3 dalies f punkto ir vadovaujantis 21 stra</w:t>
            </w:r>
            <w:r>
              <w:t>ipsnio 5 dalimi, šie ištekliai sudaro ECF išorės asignuotąsias pajamas.</w:t>
            </w:r>
          </w:p>
        </w:tc>
        <w:tc>
          <w:tcPr>
            <w:tcW w:w="4876" w:type="dxa"/>
            <w:hideMark/>
          </w:tcPr>
          <w:p w:rsidR="00047339" w:rsidRPr="000A2DED" w:rsidP="00A343C5" w14:paraId="6C950AC2" w14:textId="77777777">
            <w:pPr>
              <w:pStyle w:val="Normal6"/>
              <w:rPr>
                <w:szCs w:val="24"/>
              </w:rPr>
            </w:pPr>
            <w:r>
              <w:t>4.</w:t>
            </w:r>
            <w:r>
              <w:tab/>
              <w:t xml:space="preserve">[Nuo 2028 m. sausio 1 d. / programos pradžios data], nukrypstant nuo Reglamento (ES, Euratomas) 2024/2509 212 straipsnio 3 dalies pirmos, antros ir ketvirtos pastraipų, iš finansinių priemonių, finansuojamų pagal šį reglamentą, ankstesnį reglamentą, </w:t>
            </w:r>
            <w:r>
              <w:t xml:space="preserve">ir Reglamento (ES) 2021/523 IV priede nurodytos gautinos pajamos, grąžintos ir susigrąžintinos sumos naudojamos Sąjungos paramai pagal ECF </w:t>
            </w:r>
            <w:r>
              <w:rPr>
                <w:b/>
                <w:i/>
              </w:rPr>
              <w:t>programą „InvestEU“</w:t>
            </w:r>
            <w:r>
              <w:t xml:space="preserve"> teikti. Nukrypstant nuo Reglamento (ES, Euratomas) 2024/2509 21 straipsnio 3 dalies f punkto ir vadova</w:t>
            </w:r>
            <w:r>
              <w:t xml:space="preserve">ujantis 21 straipsnio 5 dalimi, šie ištekliai sudaro ECF </w:t>
            </w:r>
            <w:r>
              <w:rPr>
                <w:b/>
                <w:i/>
              </w:rPr>
              <w:t>programos „InvestEU“</w:t>
            </w:r>
            <w:r>
              <w:t xml:space="preserve"> išorės asignuotąsias pajamas.</w:t>
            </w:r>
          </w:p>
        </w:tc>
      </w:tr>
    </w:tbl>
    <w:p w:rsidR="00047339" w:rsidRPr="000A2DED" w:rsidP="00047339" w14:paraId="777C8937" w14:textId="77777777">
      <w:r>
        <w:rPr>
          <w:rStyle w:val="HideTWBExt"/>
        </w:rPr>
        <w:t>&lt;/Amend&gt;</w:t>
      </w:r>
    </w:p>
    <w:p w:rsidR="00047339" w:rsidRPr="000A2DED" w:rsidP="00047339" w14:paraId="7FA8EB94" w14:textId="77777777">
      <w:pPr>
        <w:pStyle w:val="AMNumberTabs0"/>
        <w:keepNext/>
      </w:pPr>
      <w:r>
        <w:rPr>
          <w:rStyle w:val="HideTWBExt"/>
          <w:b w:val="0"/>
          <w:lang w:val="en-GB"/>
        </w:rPr>
        <w:t>&lt;Amend&gt;</w:t>
      </w:r>
      <w:r>
        <w:t>Pakeitimas</w:t>
      </w:r>
      <w:r>
        <w:tab/>
      </w:r>
      <w:r>
        <w:tab/>
      </w:r>
      <w:r>
        <w:rPr>
          <w:rStyle w:val="HideTWBExt"/>
          <w:b w:val="0"/>
          <w:lang w:val="en-GB"/>
        </w:rPr>
        <w:t>&lt;NumAm&gt;</w:t>
      </w:r>
      <w:r>
        <w:t>15</w:t>
      </w:r>
      <w:r>
        <w:rPr>
          <w:rStyle w:val="HideTWBExt"/>
          <w:b w:val="0"/>
          <w:lang w:val="en-GB"/>
        </w:rPr>
        <w:t>&lt;/NumAm&gt;</w:t>
      </w:r>
    </w:p>
    <w:p w:rsidR="00047339" w:rsidRPr="000A2DED" w:rsidP="00047339" w14:paraId="0E627C7D" w14:textId="77777777">
      <w:pPr>
        <w:keepNext/>
      </w:pPr>
      <w:r>
        <w:rPr>
          <w:rStyle w:val="HideTWBExt"/>
        </w:rPr>
        <w:t>&lt;Compromise&gt;&lt;/Compromise&gt;</w:t>
      </w:r>
    </w:p>
    <w:p w:rsidR="00047339" w:rsidRPr="000A2DED" w:rsidP="00047339" w14:paraId="734E744A" w14:textId="77777777"/>
    <w:p w:rsidR="00047339" w:rsidRPr="000A2DED" w:rsidP="00047339" w14:paraId="23D03385"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055539E1" w14:textId="77777777">
      <w:pPr>
        <w:pStyle w:val="NormalBold"/>
      </w:pPr>
      <w:r>
        <w:rPr>
          <w:rStyle w:val="HideTWBExt"/>
          <w:b w:val="0"/>
        </w:rPr>
        <w:t>&lt;Article&gt;</w:t>
      </w:r>
      <w:r>
        <w:t>5 straipsnio 5 dalis</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1FAC256"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319A27EF" w14:textId="77777777">
            <w:pPr>
              <w:keepNext/>
            </w:pPr>
          </w:p>
        </w:tc>
      </w:tr>
      <w:tr w14:paraId="17357A9A"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0BFE0DCD" w14:textId="77777777">
            <w:pPr>
              <w:pStyle w:val="ColumnHeading"/>
              <w:keepNext/>
            </w:pPr>
            <w:r>
              <w:t>Komisijos siūlomas tekstas</w:t>
            </w:r>
          </w:p>
        </w:tc>
        <w:tc>
          <w:tcPr>
            <w:tcW w:w="4876" w:type="dxa"/>
            <w:hideMark/>
          </w:tcPr>
          <w:p w:rsidR="00047339" w:rsidRPr="000A2DED" w:rsidP="00A343C5" w14:paraId="2C641990" w14:textId="77777777">
            <w:pPr>
              <w:pStyle w:val="ColumnHeading"/>
              <w:keepNext/>
            </w:pPr>
            <w:r>
              <w:t>Pakeitimas</w:t>
            </w:r>
          </w:p>
        </w:tc>
      </w:tr>
      <w:tr w14:paraId="4B37CF7F"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79AD339B" w14:textId="77777777">
            <w:pPr>
              <w:pStyle w:val="Normal6"/>
            </w:pPr>
            <w:r>
              <w:t>5.</w:t>
            </w:r>
            <w:r>
              <w:tab/>
            </w:r>
            <w:r>
              <w:t xml:space="preserve">[Nuo 2028 m. sausio 1 d. / programos pradžios data], nukrypstant nuo Reglamento (ES, Euratomas) 2024/2509 216 straipsnio 4 dalies a punkto, bet koks Reglamentuose (ES) 2015/1017[2] ir (ES) 2021/523[3] nustatytų biudžeto garantijų atidėjinių perteklius </w:t>
            </w:r>
            <w:r>
              <w:rPr>
                <w:b/>
                <w:i/>
              </w:rPr>
              <w:t>gali būti</w:t>
            </w:r>
            <w:r>
              <w:t xml:space="preserve"> naudojamas Sąjungos paramai pagal ECF teikti. Šie ištekliai sudaro ECF išorės asignuotąsias pajamas, kaip tai suprantama pagal Reglamento 2024/2509 21 straipsnio 5 dalį.</w:t>
            </w:r>
          </w:p>
        </w:tc>
        <w:tc>
          <w:tcPr>
            <w:tcW w:w="4876" w:type="dxa"/>
            <w:hideMark/>
          </w:tcPr>
          <w:p w:rsidR="00047339" w:rsidRPr="000A2DED" w:rsidP="00A343C5" w14:paraId="04A1B8B6" w14:textId="77777777">
            <w:pPr>
              <w:pStyle w:val="Normal6"/>
              <w:rPr>
                <w:szCs w:val="24"/>
              </w:rPr>
            </w:pPr>
            <w:r>
              <w:t>5.</w:t>
            </w:r>
            <w:r>
              <w:tab/>
              <w:t xml:space="preserve">[Nuo 2028 m. sausio 1 d. / programos pradžios data], nukrypstant nuo Reglamento (ES, Euratomas) 2024/2509 216 straipsnio 4 dalies a punkto, bet koks Reglamentuose (ES) 2015/1017[2] ir (ES) 2021/523[3] nustatytų biudžeto garantijų atidėjinių perteklius naudojamas Sąjungos paramai pagal ECF </w:t>
            </w:r>
            <w:r>
              <w:rPr>
                <w:b/>
                <w:i/>
              </w:rPr>
              <w:t>programą „InvestEU“</w:t>
            </w:r>
            <w:r>
              <w:t xml:space="preserve"> teikti.</w:t>
            </w:r>
            <w:r>
              <w:rPr>
                <w:b/>
                <w:i/>
              </w:rPr>
              <w:t xml:space="preserve"> </w:t>
            </w:r>
            <w:r>
              <w:t xml:space="preserve">Šie ištekliai sudaro ECF </w:t>
            </w:r>
            <w:r>
              <w:rPr>
                <w:b/>
                <w:i/>
              </w:rPr>
              <w:t>programos „InvestEU“</w:t>
            </w:r>
            <w:r>
              <w:t xml:space="preserve"> išorės asignuotąsias pajamas, kaip tai suprantama pagal Reglamento 2024/2509 21 straipsnio 5 dalį.</w:t>
            </w:r>
          </w:p>
        </w:tc>
      </w:tr>
    </w:tbl>
    <w:p w:rsidR="00047339" w:rsidRPr="000A2DED" w:rsidP="00047339" w14:paraId="37200983" w14:textId="77777777">
      <w:r>
        <w:rPr>
          <w:rStyle w:val="HideTWBExt"/>
        </w:rPr>
        <w:t>&lt;/Amend&gt;</w:t>
      </w:r>
    </w:p>
    <w:p w:rsidR="00047339" w:rsidRPr="000A2DED" w:rsidP="00047339" w14:paraId="6319C047" w14:textId="77777777">
      <w:pPr>
        <w:pStyle w:val="AMNumberTabs0"/>
        <w:keepNext/>
      </w:pPr>
      <w:r w:rsidRPr="006D6C3E">
        <w:rPr>
          <w:rStyle w:val="HideTWBExt"/>
          <w:b w:val="0"/>
        </w:rPr>
        <w:t>&lt;Amend&gt;</w:t>
      </w:r>
      <w:r>
        <w:t>Pakeitimas</w:t>
      </w:r>
      <w:r>
        <w:tab/>
      </w:r>
      <w:r>
        <w:tab/>
      </w:r>
      <w:r w:rsidRPr="006D6C3E">
        <w:rPr>
          <w:rStyle w:val="HideTWBExt"/>
          <w:b w:val="0"/>
        </w:rPr>
        <w:t>&lt;NumAm&gt;</w:t>
      </w:r>
      <w:r>
        <w:t>16</w:t>
      </w:r>
      <w:r w:rsidRPr="006D6C3E">
        <w:rPr>
          <w:rStyle w:val="HideTWBExt"/>
          <w:b w:val="0"/>
        </w:rPr>
        <w:t>&lt;/NumAm&gt;</w:t>
      </w:r>
    </w:p>
    <w:p w:rsidR="00047339" w:rsidRPr="000A2DED" w:rsidP="00047339" w14:paraId="6DF24DE4" w14:textId="77777777">
      <w:pPr>
        <w:keepNext/>
      </w:pPr>
      <w:r>
        <w:rPr>
          <w:rStyle w:val="HideTWBExt"/>
        </w:rPr>
        <w:t>&lt;Compromise&gt;&lt;/Compromise&gt;</w:t>
      </w:r>
    </w:p>
    <w:p w:rsidR="00047339" w:rsidRPr="000A2DED" w:rsidP="00047339" w14:paraId="03A30577" w14:textId="77777777"/>
    <w:p w:rsidR="00047339" w:rsidRPr="000A2DED" w:rsidP="00047339" w14:paraId="20154D6C"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6C47DBA2" w14:textId="77777777">
      <w:pPr>
        <w:pStyle w:val="NormalBold"/>
      </w:pPr>
      <w:r>
        <w:rPr>
          <w:rStyle w:val="HideTWBExt"/>
          <w:b w:val="0"/>
        </w:rPr>
        <w:t>&lt;Article&gt;</w:t>
      </w:r>
      <w:r>
        <w:t>5 straipsnio 5 a dalis (nauja)</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3F902F4"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1BC1C6EC" w14:textId="77777777">
            <w:pPr>
              <w:keepNext/>
            </w:pPr>
          </w:p>
        </w:tc>
      </w:tr>
      <w:tr w14:paraId="27D611CC"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32F345D3" w14:textId="77777777">
            <w:pPr>
              <w:pStyle w:val="ColumnHeading"/>
              <w:keepNext/>
            </w:pPr>
            <w:r>
              <w:t>Komisijos siūlomas tekstas</w:t>
            </w:r>
          </w:p>
        </w:tc>
        <w:tc>
          <w:tcPr>
            <w:tcW w:w="4876" w:type="dxa"/>
            <w:hideMark/>
          </w:tcPr>
          <w:p w:rsidR="00047339" w:rsidRPr="000A2DED" w:rsidP="00A343C5" w14:paraId="39CA7ACE" w14:textId="77777777">
            <w:pPr>
              <w:pStyle w:val="ColumnHeading"/>
              <w:keepNext/>
            </w:pPr>
            <w:r>
              <w:t>Pakeitimas</w:t>
            </w:r>
          </w:p>
        </w:tc>
      </w:tr>
      <w:tr w14:paraId="779B5C3D" w14:textId="77777777" w:rsidTr="00A343C5">
        <w:tblPrEx>
          <w:tblW w:w="0" w:type="auto"/>
          <w:jc w:val="center"/>
          <w:tblLayout w:type="fixed"/>
          <w:tblCellMar>
            <w:left w:w="340" w:type="dxa"/>
            <w:right w:w="340" w:type="dxa"/>
          </w:tblCellMar>
          <w:tblLook w:val="04A0"/>
        </w:tblPrEx>
        <w:trPr>
          <w:jc w:val="center"/>
        </w:trPr>
        <w:tc>
          <w:tcPr>
            <w:tcW w:w="4876" w:type="dxa"/>
          </w:tcPr>
          <w:p w:rsidR="00047339" w:rsidRPr="000A2DED" w:rsidP="00A343C5" w14:paraId="5A75743B" w14:textId="77777777">
            <w:pPr>
              <w:pStyle w:val="Normal6"/>
              <w:rPr>
                <w:lang w:val="en-GB"/>
              </w:rPr>
            </w:pPr>
          </w:p>
        </w:tc>
        <w:tc>
          <w:tcPr>
            <w:tcW w:w="4876" w:type="dxa"/>
            <w:hideMark/>
          </w:tcPr>
          <w:p w:rsidR="00047339" w:rsidRPr="000A2DED" w:rsidP="00A343C5" w14:paraId="66F8F351" w14:textId="77777777">
            <w:pPr>
              <w:pStyle w:val="Normal6"/>
              <w:rPr>
                <w:szCs w:val="24"/>
              </w:rPr>
            </w:pPr>
            <w:r>
              <w:rPr>
                <w:b/>
                <w:i/>
              </w:rPr>
              <w:t>5a.</w:t>
            </w:r>
            <w:r>
              <w:rPr>
                <w:b/>
                <w:i/>
              </w:rPr>
              <w:tab/>
              <w:t xml:space="preserve">Vykdant metinę biudžeto procedūrą, įsipareigojimų asignavimus, atitinkančius įsipareigojimų, panaikintų dėl atitinkamų gynybos srities mokslinių </w:t>
            </w:r>
            <w:r>
              <w:rPr>
                <w:b/>
                <w:i/>
              </w:rPr>
              <w:t>tyrimų ar inovacijų veiklos visiško arba dalinio neįgyvendinimo, sumą leidžiama vėl naudoti konkrečiai gynybos srities mokslinių tyrimų ir inovacijų programai pagal ECF.</w:t>
            </w:r>
          </w:p>
        </w:tc>
      </w:tr>
    </w:tbl>
    <w:p w:rsidR="00047339" w:rsidRPr="000A2DED" w:rsidP="00047339" w14:paraId="1E2E8CFE" w14:textId="77777777">
      <w:r>
        <w:rPr>
          <w:rStyle w:val="HideTWBExt"/>
        </w:rPr>
        <w:t>&lt;/Amend&gt;</w:t>
      </w:r>
    </w:p>
    <w:p w:rsidR="00047339" w:rsidRPr="000A2DED" w:rsidP="00047339" w14:paraId="7AE3B76C" w14:textId="77777777">
      <w:pPr>
        <w:pStyle w:val="AMNumberTabs0"/>
        <w:keepNext/>
      </w:pPr>
      <w:r>
        <w:rPr>
          <w:rStyle w:val="HideTWBExt"/>
          <w:b w:val="0"/>
          <w:lang w:val="en-GB"/>
        </w:rPr>
        <w:t>&lt;Amend&gt;</w:t>
      </w:r>
      <w:r>
        <w:t>Pakeitimas</w:t>
      </w:r>
      <w:r>
        <w:tab/>
      </w:r>
      <w:r>
        <w:tab/>
      </w:r>
      <w:r>
        <w:rPr>
          <w:rStyle w:val="HideTWBExt"/>
          <w:b w:val="0"/>
          <w:lang w:val="en-GB"/>
        </w:rPr>
        <w:t>&lt;NumAm&gt;</w:t>
      </w:r>
      <w:r>
        <w:t>17</w:t>
      </w:r>
      <w:r>
        <w:rPr>
          <w:rStyle w:val="HideTWBExt"/>
          <w:b w:val="0"/>
          <w:lang w:val="en-GB"/>
        </w:rPr>
        <w:t>&lt;/NumAm&gt;</w:t>
      </w:r>
    </w:p>
    <w:p w:rsidR="00047339" w:rsidRPr="000A2DED" w:rsidP="00047339" w14:paraId="0D00B18F" w14:textId="77777777">
      <w:pPr>
        <w:keepNext/>
      </w:pPr>
      <w:r>
        <w:rPr>
          <w:rStyle w:val="HideTWBExt"/>
        </w:rPr>
        <w:t>&lt;Compromise&gt;&lt;/Compromise&gt;</w:t>
      </w:r>
    </w:p>
    <w:p w:rsidR="00047339" w:rsidRPr="000A2DED" w:rsidP="00047339" w14:paraId="6EA87039" w14:textId="77777777"/>
    <w:p w:rsidR="00047339" w:rsidRPr="000A2DED" w:rsidP="00047339" w14:paraId="4EE61A2A"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6C86A6FB" w14:textId="77777777">
      <w:pPr>
        <w:pStyle w:val="NormalBold"/>
      </w:pPr>
      <w:r>
        <w:rPr>
          <w:rStyle w:val="HideTWBExt"/>
          <w:b w:val="0"/>
        </w:rPr>
        <w:t>&lt;Article&gt;</w:t>
      </w:r>
      <w:r>
        <w:t>21 straipsnio 3 dalis</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4055578"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04C0D057" w14:textId="77777777">
            <w:pPr>
              <w:keepNext/>
            </w:pPr>
          </w:p>
        </w:tc>
      </w:tr>
      <w:tr w14:paraId="3437FB76"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0BACE1D2" w14:textId="77777777">
            <w:pPr>
              <w:pStyle w:val="ColumnHeading"/>
              <w:keepNext/>
            </w:pPr>
            <w:r>
              <w:t>Komisijos siūlomas tekstas</w:t>
            </w:r>
          </w:p>
        </w:tc>
        <w:tc>
          <w:tcPr>
            <w:tcW w:w="4876" w:type="dxa"/>
            <w:hideMark/>
          </w:tcPr>
          <w:p w:rsidR="00047339" w:rsidRPr="000A2DED" w:rsidP="00A343C5" w14:paraId="025FE745" w14:textId="77777777">
            <w:pPr>
              <w:pStyle w:val="ColumnHeading"/>
              <w:keepNext/>
            </w:pPr>
            <w:r>
              <w:t>Pakeitimas</w:t>
            </w:r>
          </w:p>
        </w:tc>
      </w:tr>
      <w:tr w14:paraId="00A9D7A2"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62B6BCF4" w14:textId="77777777">
            <w:pPr>
              <w:pStyle w:val="Normal6"/>
            </w:pPr>
            <w:r>
              <w:t>3.</w:t>
            </w:r>
            <w:r>
              <w:tab/>
            </w:r>
            <w:r>
              <w:t xml:space="preserve">Didžiausia biudžeto garantijos suma pagal ECF programos „InvestEU“ ES skyrių yra </w:t>
            </w:r>
            <w:r>
              <w:rPr>
                <w:b/>
                <w:i/>
              </w:rPr>
              <w:t>70 000 000 000</w:t>
            </w:r>
            <w:r>
              <w:t> EUR dabartinėmis kainomis. Jos atidėjinių norma – 50 proc.</w:t>
            </w:r>
          </w:p>
        </w:tc>
        <w:tc>
          <w:tcPr>
            <w:tcW w:w="4876" w:type="dxa"/>
            <w:hideMark/>
          </w:tcPr>
          <w:p w:rsidR="00047339" w:rsidRPr="000A2DED" w:rsidP="00A343C5" w14:paraId="177BBA61" w14:textId="77777777">
            <w:pPr>
              <w:pStyle w:val="Normal6"/>
              <w:rPr>
                <w:szCs w:val="24"/>
              </w:rPr>
            </w:pPr>
            <w:r>
              <w:t>3.</w:t>
            </w:r>
            <w:r>
              <w:tab/>
              <w:t xml:space="preserve">Didžiausia biudžeto garantijos suma pagal ECF programos „InvestEU“ ES skyrių yra </w:t>
            </w:r>
            <w:r>
              <w:rPr>
                <w:b/>
                <w:i/>
              </w:rPr>
              <w:t>150 000 000 000</w:t>
            </w:r>
            <w:r>
              <w:t> EUR dabartinėmis kainomis. Jos atidėjinių norma – 50 proc.</w:t>
            </w:r>
          </w:p>
        </w:tc>
      </w:tr>
    </w:tbl>
    <w:p w:rsidR="00047339" w:rsidRPr="000A2DED" w:rsidP="00047339" w14:paraId="0EC224C4" w14:textId="77777777">
      <w:r>
        <w:rPr>
          <w:rStyle w:val="HideTWBExt"/>
        </w:rPr>
        <w:t>&lt;/Amend&gt;</w:t>
      </w:r>
    </w:p>
    <w:p w:rsidR="00047339" w:rsidRPr="000A2DED" w:rsidP="00047339" w14:paraId="49092E8C" w14:textId="77777777">
      <w:pPr>
        <w:pStyle w:val="AMNumberTabs0"/>
        <w:keepNext/>
      </w:pPr>
      <w:r>
        <w:rPr>
          <w:rStyle w:val="HideTWBExt"/>
          <w:b w:val="0"/>
          <w:lang w:val="en-GB"/>
        </w:rPr>
        <w:t>&lt;Amend&gt;</w:t>
      </w:r>
      <w:r>
        <w:t>Pakeitimas</w:t>
      </w:r>
      <w:r>
        <w:tab/>
      </w:r>
      <w:r>
        <w:tab/>
      </w:r>
      <w:r>
        <w:rPr>
          <w:rStyle w:val="HideTWBExt"/>
          <w:b w:val="0"/>
          <w:lang w:val="en-GB"/>
        </w:rPr>
        <w:t>&lt;NumAm&gt;</w:t>
      </w:r>
      <w:r>
        <w:t>18</w:t>
      </w:r>
      <w:r>
        <w:rPr>
          <w:rStyle w:val="HideTWBExt"/>
          <w:b w:val="0"/>
          <w:lang w:val="en-GB"/>
        </w:rPr>
        <w:t>&lt;/NumAm&gt;</w:t>
      </w:r>
    </w:p>
    <w:p w:rsidR="00047339" w:rsidRPr="000A2DED" w:rsidP="00047339" w14:paraId="004B90CF" w14:textId="77777777">
      <w:pPr>
        <w:keepNext/>
      </w:pPr>
      <w:r>
        <w:rPr>
          <w:rStyle w:val="HideTWBExt"/>
        </w:rPr>
        <w:t>&lt;Compromise&gt;&lt;/Compromise&gt;</w:t>
      </w:r>
    </w:p>
    <w:p w:rsidR="00047339" w:rsidRPr="000A2DED" w:rsidP="00047339" w14:paraId="6DFF0C32" w14:textId="77777777"/>
    <w:p w:rsidR="00047339" w:rsidRPr="000A2DED" w:rsidP="00047339" w14:paraId="6C83C071"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157A9508" w14:textId="77777777">
      <w:pPr>
        <w:pStyle w:val="NormalBold"/>
      </w:pPr>
      <w:r>
        <w:rPr>
          <w:rStyle w:val="HideTWBExt"/>
          <w:b w:val="0"/>
        </w:rPr>
        <w:t>&lt;Article&gt;</w:t>
      </w:r>
      <w:r>
        <w:t>21 straipsnio 7 dalis</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8C83E0D"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1AB40FA0" w14:textId="77777777">
            <w:pPr>
              <w:keepNext/>
            </w:pPr>
          </w:p>
        </w:tc>
      </w:tr>
      <w:tr w14:paraId="02A34E4D"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050132CC" w14:textId="77777777">
            <w:pPr>
              <w:pStyle w:val="ColumnHeading"/>
              <w:keepNext/>
            </w:pPr>
            <w:r>
              <w:t>Komisijos siūlomas tekstas</w:t>
            </w:r>
          </w:p>
        </w:tc>
        <w:tc>
          <w:tcPr>
            <w:tcW w:w="4876" w:type="dxa"/>
            <w:hideMark/>
          </w:tcPr>
          <w:p w:rsidR="00047339" w:rsidRPr="000A2DED" w:rsidP="00A343C5" w14:paraId="1A0666D2" w14:textId="77777777">
            <w:pPr>
              <w:pStyle w:val="ColumnHeading"/>
              <w:keepNext/>
            </w:pPr>
            <w:r>
              <w:t>Pakeitimas</w:t>
            </w:r>
          </w:p>
        </w:tc>
      </w:tr>
      <w:tr w14:paraId="3CB86AFD"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4DFF8270" w14:textId="77777777">
            <w:pPr>
              <w:pStyle w:val="Normal6"/>
            </w:pPr>
            <w:r>
              <w:t>7.</w:t>
            </w:r>
            <w:r>
              <w:tab/>
              <w:t xml:space="preserve">Komisijai pagal 84 straipsnį suteikiami įgaliojimai priimti deleguotuosius aktus, kuriais iš dalies keičiama 3 dalis, siekiant patikslinti atidėjinių normą ir didžiausią biudžeto garantijos sumą </w:t>
            </w:r>
            <w:r>
              <w:rPr>
                <w:b/>
                <w:i/>
              </w:rPr>
              <w:t>iki</w:t>
            </w:r>
            <w:r>
              <w:t xml:space="preserve"> 20 proc. tos sumos.</w:t>
            </w:r>
          </w:p>
        </w:tc>
        <w:tc>
          <w:tcPr>
            <w:tcW w:w="4876" w:type="dxa"/>
            <w:hideMark/>
          </w:tcPr>
          <w:p w:rsidR="00047339" w:rsidRPr="000A2DED" w:rsidP="00A343C5" w14:paraId="5E3BF1CF" w14:textId="77777777">
            <w:pPr>
              <w:pStyle w:val="Normal6"/>
              <w:rPr>
                <w:szCs w:val="24"/>
              </w:rPr>
            </w:pPr>
            <w:r>
              <w:t>7.</w:t>
            </w:r>
            <w:r>
              <w:tab/>
              <w:t xml:space="preserve">Komisijai pagal 84 straipsnį suteikiami įgaliojimai priimti deleguotuosius aktus, kuriais iš dalies keičiama 3 dalis, siekiant patikslinti atidėjinių normą ir </w:t>
            </w:r>
            <w:r>
              <w:rPr>
                <w:b/>
                <w:i/>
              </w:rPr>
              <w:t>padidinti</w:t>
            </w:r>
            <w:r>
              <w:t xml:space="preserve"> didžiausią biudžeto garantijos sumą </w:t>
            </w:r>
            <w:r>
              <w:rPr>
                <w:b/>
                <w:i/>
              </w:rPr>
              <w:t>ne daugiau kaip</w:t>
            </w:r>
            <w:r>
              <w:t xml:space="preserve"> 20 proc. tos sumos.</w:t>
            </w:r>
          </w:p>
        </w:tc>
      </w:tr>
    </w:tbl>
    <w:p w:rsidR="00047339" w:rsidRPr="000A2DED" w:rsidP="00047339" w14:paraId="09ED4F1E" w14:textId="77777777">
      <w:r>
        <w:rPr>
          <w:rStyle w:val="HideTWBExt"/>
        </w:rPr>
        <w:t>&lt;/Amend&gt;</w:t>
      </w:r>
    </w:p>
    <w:p w:rsidR="00047339" w:rsidRPr="000A2DED" w:rsidP="00047339" w14:paraId="7000F841" w14:textId="77777777">
      <w:pPr>
        <w:pStyle w:val="AMNumberTabs0"/>
        <w:keepNext/>
      </w:pPr>
      <w:r w:rsidRPr="006D6C3E">
        <w:rPr>
          <w:rStyle w:val="HideTWBExt"/>
          <w:b w:val="0"/>
        </w:rPr>
        <w:t>&lt;Amend&gt;</w:t>
      </w:r>
      <w:r>
        <w:t>Pakeitimas</w:t>
      </w:r>
      <w:r>
        <w:tab/>
      </w:r>
      <w:r>
        <w:tab/>
      </w:r>
      <w:r w:rsidRPr="006D6C3E">
        <w:rPr>
          <w:rStyle w:val="HideTWBExt"/>
          <w:b w:val="0"/>
        </w:rPr>
        <w:t>&lt;NumAm&gt;</w:t>
      </w:r>
      <w:r>
        <w:t>19</w:t>
      </w:r>
      <w:r w:rsidRPr="006D6C3E">
        <w:rPr>
          <w:rStyle w:val="HideTWBExt"/>
          <w:b w:val="0"/>
        </w:rPr>
        <w:t>&lt;/NumAm&gt;</w:t>
      </w:r>
    </w:p>
    <w:p w:rsidR="00047339" w:rsidRPr="000A2DED" w:rsidP="00047339" w14:paraId="7040C4F4" w14:textId="77777777">
      <w:pPr>
        <w:keepNext/>
      </w:pPr>
      <w:r>
        <w:rPr>
          <w:rStyle w:val="HideTWBExt"/>
        </w:rPr>
        <w:t>&lt;Compromise&gt;&lt;/Compromise&gt;</w:t>
      </w:r>
    </w:p>
    <w:p w:rsidR="00047339" w:rsidRPr="000A2DED" w:rsidP="00047339" w14:paraId="7FD0C1D8" w14:textId="77777777"/>
    <w:p w:rsidR="00047339" w:rsidRPr="000A2DED" w:rsidP="00047339" w14:paraId="06A96964"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2C3CE6CA" w14:textId="77777777">
      <w:pPr>
        <w:pStyle w:val="NormalBold"/>
      </w:pPr>
      <w:r>
        <w:rPr>
          <w:rStyle w:val="HideTWBExt"/>
          <w:b w:val="0"/>
        </w:rPr>
        <w:t>&lt;Article&gt;</w:t>
      </w:r>
      <w:r>
        <w:t>21 straipsnio 7 a dalis (nauja)</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2868FE60"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376E9578" w14:textId="77777777">
            <w:pPr>
              <w:keepNext/>
            </w:pPr>
          </w:p>
        </w:tc>
      </w:tr>
      <w:tr w14:paraId="4FD6F943"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5EF38449" w14:textId="77777777">
            <w:pPr>
              <w:pStyle w:val="ColumnHeading"/>
              <w:keepNext/>
            </w:pPr>
            <w:r>
              <w:t>Komisijos siūlomas tekstas</w:t>
            </w:r>
          </w:p>
        </w:tc>
        <w:tc>
          <w:tcPr>
            <w:tcW w:w="4876" w:type="dxa"/>
            <w:hideMark/>
          </w:tcPr>
          <w:p w:rsidR="00047339" w:rsidRPr="000A2DED" w:rsidP="00A343C5" w14:paraId="3F26D570" w14:textId="77777777">
            <w:pPr>
              <w:pStyle w:val="ColumnHeading"/>
              <w:keepNext/>
            </w:pPr>
            <w:r>
              <w:t>Pakeitimas</w:t>
            </w:r>
          </w:p>
        </w:tc>
      </w:tr>
      <w:tr w14:paraId="588FD975" w14:textId="77777777" w:rsidTr="00A343C5">
        <w:tblPrEx>
          <w:tblW w:w="0" w:type="auto"/>
          <w:jc w:val="center"/>
          <w:tblLayout w:type="fixed"/>
          <w:tblCellMar>
            <w:left w:w="340" w:type="dxa"/>
            <w:right w:w="340" w:type="dxa"/>
          </w:tblCellMar>
          <w:tblLook w:val="04A0"/>
        </w:tblPrEx>
        <w:trPr>
          <w:jc w:val="center"/>
        </w:trPr>
        <w:tc>
          <w:tcPr>
            <w:tcW w:w="4876" w:type="dxa"/>
          </w:tcPr>
          <w:p w:rsidR="00047339" w:rsidRPr="000A2DED" w:rsidP="00A343C5" w14:paraId="05255570" w14:textId="77777777">
            <w:pPr>
              <w:pStyle w:val="Normal6"/>
              <w:rPr>
                <w:lang w:val="en-GB"/>
              </w:rPr>
            </w:pPr>
          </w:p>
        </w:tc>
        <w:tc>
          <w:tcPr>
            <w:tcW w:w="4876" w:type="dxa"/>
            <w:hideMark/>
          </w:tcPr>
          <w:p w:rsidR="00047339" w:rsidRPr="000A2DED" w:rsidP="00A343C5" w14:paraId="044B51DA" w14:textId="77777777">
            <w:pPr>
              <w:pStyle w:val="Normal6"/>
              <w:rPr>
                <w:szCs w:val="24"/>
              </w:rPr>
            </w:pPr>
            <w:r>
              <w:rPr>
                <w:b/>
                <w:i/>
              </w:rPr>
              <w:t>7a.</w:t>
            </w:r>
            <w:r>
              <w:rPr>
                <w:b/>
                <w:i/>
              </w:rPr>
              <w:tab/>
              <w:t xml:space="preserve">Pagal šį reglamentą teikiama </w:t>
            </w:r>
            <w:r>
              <w:rPr>
                <w:b/>
                <w:i/>
              </w:rPr>
              <w:t xml:space="preserve">parama, grindžiama biudžeto </w:t>
            </w:r>
            <w:r>
              <w:rPr>
                <w:b/>
                <w:i/>
              </w:rPr>
              <w:t>garantija arba finansine priemone, ir parama, teikiama pasitelkiant finansines priemones ar biudžeto garantijas, nustatytas pagal kitų programavimo laikotarpių programas, gali būti derinama siekiant remti finansinius produktus ar portfelius, kurie įgyvendinami arba bus įgyvendinami pagal šį reglamentą, kad būtų sudarytos sąlygos teikti paramą pagal ECF programą „InvestEU“ ir paramą pagal ankstesnes finansines priemones bei biudžeto garantijas siekiant padengti viso portfelio nuostolius.</w:t>
            </w:r>
          </w:p>
        </w:tc>
      </w:tr>
    </w:tbl>
    <w:p w:rsidR="00047339" w:rsidRPr="000A2DED" w:rsidP="00047339" w14:paraId="21963F5D" w14:textId="77777777">
      <w:r>
        <w:rPr>
          <w:rStyle w:val="HideTWBExt"/>
        </w:rPr>
        <w:t>&lt;/Amend&gt;</w:t>
      </w:r>
    </w:p>
    <w:p w:rsidR="00047339" w:rsidRPr="000A2DED" w:rsidP="00047339" w14:paraId="1C098ECE" w14:textId="77777777">
      <w:pPr>
        <w:pStyle w:val="AMNumberTabs0"/>
        <w:keepNext/>
      </w:pPr>
      <w:r>
        <w:rPr>
          <w:rStyle w:val="HideTWBExt"/>
          <w:b w:val="0"/>
          <w:lang w:val="en-GB"/>
        </w:rPr>
        <w:t>&lt;Amend&gt;</w:t>
      </w:r>
      <w:r>
        <w:t>Pakeitimas</w:t>
      </w:r>
      <w:r>
        <w:tab/>
      </w:r>
      <w:r>
        <w:tab/>
      </w:r>
      <w:r>
        <w:rPr>
          <w:rStyle w:val="HideTWBExt"/>
          <w:b w:val="0"/>
          <w:lang w:val="en-GB"/>
        </w:rPr>
        <w:t>&lt;NumAm&gt;</w:t>
      </w:r>
      <w:r>
        <w:t>20</w:t>
      </w:r>
      <w:r>
        <w:rPr>
          <w:rStyle w:val="HideTWBExt"/>
          <w:b w:val="0"/>
          <w:lang w:val="en-GB"/>
        </w:rPr>
        <w:t>&lt;/NumAm&gt;</w:t>
      </w:r>
    </w:p>
    <w:p w:rsidR="00047339" w:rsidRPr="000A2DED" w:rsidP="00047339" w14:paraId="35B83B45" w14:textId="77777777">
      <w:pPr>
        <w:keepNext/>
      </w:pPr>
      <w:r>
        <w:rPr>
          <w:rStyle w:val="HideTWBExt"/>
        </w:rPr>
        <w:t>&lt;Compromise&gt;&lt;/Compromise&gt;</w:t>
      </w:r>
    </w:p>
    <w:p w:rsidR="00047339" w:rsidRPr="000A2DED" w:rsidP="00047339" w14:paraId="77C69603" w14:textId="77777777"/>
    <w:p w:rsidR="00047339" w:rsidRPr="000A2DED" w:rsidP="00047339" w14:paraId="1875EA07"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7E9FC89C" w14:textId="77777777">
      <w:pPr>
        <w:pStyle w:val="NormalBold"/>
      </w:pPr>
      <w:r>
        <w:rPr>
          <w:rStyle w:val="HideTWBExt"/>
          <w:b w:val="0"/>
        </w:rPr>
        <w:t>&lt;Article&gt;</w:t>
      </w:r>
      <w:r>
        <w:t>23 straipsnio 1 dalis</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670FA53"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52E0001B" w14:textId="77777777">
            <w:pPr>
              <w:keepNext/>
            </w:pPr>
          </w:p>
        </w:tc>
      </w:tr>
      <w:tr w14:paraId="77E99F8B"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67403F48" w14:textId="77777777">
            <w:pPr>
              <w:pStyle w:val="ColumnHeading"/>
              <w:keepNext/>
            </w:pPr>
            <w:r>
              <w:t>Komisijos siūlomas tekstas</w:t>
            </w:r>
          </w:p>
        </w:tc>
        <w:tc>
          <w:tcPr>
            <w:tcW w:w="4876" w:type="dxa"/>
            <w:hideMark/>
          </w:tcPr>
          <w:p w:rsidR="00047339" w:rsidRPr="000A2DED" w:rsidP="00A343C5" w14:paraId="26C8942F" w14:textId="77777777">
            <w:pPr>
              <w:pStyle w:val="ColumnHeading"/>
              <w:keepNext/>
            </w:pPr>
            <w:r>
              <w:t>Pakeitimas</w:t>
            </w:r>
          </w:p>
        </w:tc>
      </w:tr>
      <w:tr w14:paraId="4E520EB2"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589A9AD8" w14:textId="77777777">
            <w:pPr>
              <w:pStyle w:val="Normal6"/>
            </w:pPr>
            <w:r>
              <w:t>1.</w:t>
            </w:r>
            <w:r>
              <w:tab/>
              <w:t xml:space="preserve">2028–2034 m. DFP laikotarpiu pagal šį skirsnį nustatomos tik </w:t>
            </w:r>
            <w:r>
              <w:t>biudžeto garantijos, finansinės priemonės arba finansinės priemonės, kurias Komisija tiesiogiai įgyvendina pagal Reglamento (ES, Euratomas) 2024/2509 219 straipsnį, kad paremtų politikos tikslus Sąjungos teritorijoje.</w:t>
            </w:r>
          </w:p>
        </w:tc>
        <w:tc>
          <w:tcPr>
            <w:tcW w:w="4876" w:type="dxa"/>
            <w:hideMark/>
          </w:tcPr>
          <w:p w:rsidR="00047339" w:rsidRPr="000A2DED" w:rsidP="00A343C5" w14:paraId="3E333A58" w14:textId="77777777">
            <w:pPr>
              <w:pStyle w:val="Normal6"/>
              <w:rPr>
                <w:szCs w:val="24"/>
              </w:rPr>
            </w:pPr>
            <w:r>
              <w:t>1.</w:t>
            </w:r>
            <w:r>
              <w:tab/>
              <w:t>2028–2034 m. DFP laikotarpiu pagal šį skirsnį nustatomos tik biudžeto garantijos, finansinės priemonės arba finansinės priemonės, kurias Komisija tiesiogiai įgyvendina pagal Reglamento (ES, Euratomas) 2024/2509 219 straipsnį, kad paremtų politikos tikslus Sąjungos teritorijoje</w:t>
            </w:r>
            <w:r>
              <w:rPr>
                <w:b/>
                <w:i/>
              </w:rPr>
              <w:t>, išskyrus finansines priemones, kurias Europos inovacijų taryba nustatė Reglamente [XXXX/XXXX] (HEU28-34)</w:t>
            </w:r>
            <w:r>
              <w:t>.</w:t>
            </w:r>
          </w:p>
        </w:tc>
      </w:tr>
    </w:tbl>
    <w:p w:rsidR="00047339" w:rsidRPr="000A2DED" w:rsidP="00047339" w14:paraId="3D0A9C81" w14:textId="77777777">
      <w:r>
        <w:rPr>
          <w:rStyle w:val="HideTWBExt"/>
        </w:rPr>
        <w:t>&lt;/Amend&gt;</w:t>
      </w:r>
    </w:p>
    <w:p w:rsidR="00047339" w:rsidRPr="000A2DED" w:rsidP="00047339" w14:paraId="5B22D289" w14:textId="77777777">
      <w:pPr>
        <w:pStyle w:val="AMNumberTabs0"/>
        <w:keepNext/>
      </w:pPr>
      <w:r w:rsidRPr="006D6C3E">
        <w:rPr>
          <w:rStyle w:val="HideTWBExt"/>
          <w:b w:val="0"/>
        </w:rPr>
        <w:t>&lt;Amend&gt;</w:t>
      </w:r>
      <w:r>
        <w:t>Pakeitimas</w:t>
      </w:r>
      <w:r>
        <w:tab/>
      </w:r>
      <w:r>
        <w:tab/>
      </w:r>
      <w:r w:rsidRPr="006D6C3E">
        <w:rPr>
          <w:rStyle w:val="HideTWBExt"/>
          <w:b w:val="0"/>
        </w:rPr>
        <w:t>&lt;NumAm&gt;</w:t>
      </w:r>
      <w:r>
        <w:t>21</w:t>
      </w:r>
      <w:r w:rsidRPr="006D6C3E">
        <w:rPr>
          <w:rStyle w:val="HideTWBExt"/>
          <w:b w:val="0"/>
        </w:rPr>
        <w:t>&lt;/NumAm&gt;</w:t>
      </w:r>
    </w:p>
    <w:p w:rsidR="00047339" w:rsidRPr="000A2DED" w:rsidP="00047339" w14:paraId="61F3AB28" w14:textId="77777777">
      <w:pPr>
        <w:keepNext/>
      </w:pPr>
      <w:r>
        <w:rPr>
          <w:rStyle w:val="HideTWBExt"/>
        </w:rPr>
        <w:t>&lt;Compromise&gt;&lt;/Compromise&gt;</w:t>
      </w:r>
    </w:p>
    <w:p w:rsidR="00047339" w:rsidRPr="000A2DED" w:rsidP="00047339" w14:paraId="5BFA121E" w14:textId="77777777"/>
    <w:p w:rsidR="00047339" w:rsidRPr="000A2DED" w:rsidP="00047339" w14:paraId="2395FB04"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4BCB946E" w14:textId="77777777">
      <w:pPr>
        <w:pStyle w:val="NormalBold"/>
      </w:pPr>
      <w:r>
        <w:rPr>
          <w:rStyle w:val="HideTWBExt"/>
          <w:b w:val="0"/>
        </w:rPr>
        <w:t>&lt;Article&gt;</w:t>
      </w:r>
      <w:r>
        <w:t xml:space="preserve">24 straipsnio 1 a dalis </w:t>
      </w:r>
      <w:r>
        <w:t>(nauja)</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0B9AD2FE"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5C0A20D8" w14:textId="77777777">
            <w:pPr>
              <w:keepNext/>
            </w:pPr>
          </w:p>
        </w:tc>
      </w:tr>
      <w:tr w14:paraId="1C23EEC0"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4D9D098D" w14:textId="77777777">
            <w:pPr>
              <w:pStyle w:val="ColumnHeading"/>
              <w:keepNext/>
            </w:pPr>
            <w:r>
              <w:t>Komisijos siūlomas tekstas</w:t>
            </w:r>
          </w:p>
        </w:tc>
        <w:tc>
          <w:tcPr>
            <w:tcW w:w="4876" w:type="dxa"/>
            <w:hideMark/>
          </w:tcPr>
          <w:p w:rsidR="00047339" w:rsidRPr="000A2DED" w:rsidP="00A343C5" w14:paraId="1C8457AB" w14:textId="77777777">
            <w:pPr>
              <w:pStyle w:val="ColumnHeading"/>
              <w:keepNext/>
            </w:pPr>
            <w:r>
              <w:t>Pakeitimas</w:t>
            </w:r>
          </w:p>
        </w:tc>
      </w:tr>
      <w:tr w14:paraId="4FFC0CFE" w14:textId="77777777" w:rsidTr="00A343C5">
        <w:tblPrEx>
          <w:tblW w:w="0" w:type="auto"/>
          <w:jc w:val="center"/>
          <w:tblLayout w:type="fixed"/>
          <w:tblCellMar>
            <w:left w:w="340" w:type="dxa"/>
            <w:right w:w="340" w:type="dxa"/>
          </w:tblCellMar>
          <w:tblLook w:val="04A0"/>
        </w:tblPrEx>
        <w:trPr>
          <w:jc w:val="center"/>
        </w:trPr>
        <w:tc>
          <w:tcPr>
            <w:tcW w:w="4876" w:type="dxa"/>
          </w:tcPr>
          <w:p w:rsidR="00047339" w:rsidRPr="000A2DED" w:rsidP="00A343C5" w14:paraId="298AF4FF" w14:textId="77777777">
            <w:pPr>
              <w:pStyle w:val="Normal6"/>
              <w:rPr>
                <w:lang w:val="en-GB"/>
              </w:rPr>
            </w:pPr>
          </w:p>
        </w:tc>
        <w:tc>
          <w:tcPr>
            <w:tcW w:w="4876" w:type="dxa"/>
            <w:hideMark/>
          </w:tcPr>
          <w:p w:rsidR="00047339" w:rsidRPr="000A2DED" w:rsidP="00A343C5" w14:paraId="52E5ABC9" w14:textId="77777777">
            <w:pPr>
              <w:pStyle w:val="Normal6"/>
              <w:rPr>
                <w:szCs w:val="24"/>
              </w:rPr>
            </w:pPr>
            <w:r>
              <w:rPr>
                <w:b/>
                <w:i/>
              </w:rPr>
              <w:t>1a.</w:t>
            </w:r>
            <w:r>
              <w:rPr>
                <w:b/>
                <w:i/>
              </w:rPr>
              <w:tab/>
              <w:t xml:space="preserve">Valstybės narės skyrius steigiamas valstybei narei ir Komisijai sudarius susitarimą dėl įnašo. Tokiuose susitarimuose dėl įnašo nustatomos </w:t>
            </w:r>
            <w:r>
              <w:rPr>
                <w:b/>
                <w:i/>
              </w:rPr>
              <w:t xml:space="preserve">išsamios sąlygos, kuriomis </w:t>
            </w:r>
            <w:r>
              <w:rPr>
                <w:b/>
                <w:i/>
              </w:rPr>
              <w:t>reglamentuojamas lėšų įnašas į valstybės narės skyrių, įskaitant šaltinius, sumas, atidėjinių normas ir teikimo sąlygas.</w:t>
            </w:r>
          </w:p>
        </w:tc>
      </w:tr>
    </w:tbl>
    <w:p w:rsidR="00047339" w:rsidRPr="000A2DED" w:rsidP="00047339" w14:paraId="138B5759" w14:textId="77777777">
      <w:r>
        <w:rPr>
          <w:rStyle w:val="HideTWBExt"/>
        </w:rPr>
        <w:t>&lt;/Amend&gt;</w:t>
      </w:r>
    </w:p>
    <w:p w:rsidR="00047339" w:rsidRPr="000A2DED" w:rsidP="00047339" w14:paraId="63A2BA76" w14:textId="77777777">
      <w:pPr>
        <w:pStyle w:val="AMNumberTabs0"/>
        <w:keepNext/>
      </w:pPr>
      <w:r w:rsidRPr="006D6C3E">
        <w:rPr>
          <w:rStyle w:val="HideTWBExt"/>
          <w:b w:val="0"/>
        </w:rPr>
        <w:t>&lt;Amend&gt;</w:t>
      </w:r>
      <w:r>
        <w:t>Pakeitimas</w:t>
      </w:r>
      <w:r>
        <w:tab/>
      </w:r>
      <w:r>
        <w:tab/>
      </w:r>
      <w:r w:rsidRPr="006D6C3E">
        <w:rPr>
          <w:rStyle w:val="HideTWBExt"/>
          <w:b w:val="0"/>
        </w:rPr>
        <w:t>&lt;NumAm&gt;</w:t>
      </w:r>
      <w:r>
        <w:t>22</w:t>
      </w:r>
      <w:r w:rsidRPr="006D6C3E">
        <w:rPr>
          <w:rStyle w:val="HideTWBExt"/>
          <w:b w:val="0"/>
        </w:rPr>
        <w:t>&lt;/NumAm&gt;</w:t>
      </w:r>
    </w:p>
    <w:p w:rsidR="00047339" w:rsidRPr="000A2DED" w:rsidP="00047339" w14:paraId="74D8257E" w14:textId="77777777">
      <w:pPr>
        <w:keepNext/>
      </w:pPr>
      <w:r>
        <w:rPr>
          <w:rStyle w:val="HideTWBExt"/>
        </w:rPr>
        <w:t>&lt;Compromise&gt;</w:t>
      </w:r>
      <w:r>
        <w:t>5</w:t>
      </w:r>
      <w:r>
        <w:rPr>
          <w:rStyle w:val="HideTWBExt"/>
        </w:rPr>
        <w:t>&lt;/Compromise&gt;</w:t>
      </w:r>
    </w:p>
    <w:p w:rsidR="00047339" w:rsidRPr="000A2DED" w:rsidP="00047339" w14:paraId="232350CE" w14:textId="77777777"/>
    <w:p w:rsidR="00047339" w:rsidRPr="000A2DED" w:rsidP="00047339" w14:paraId="1CDFB665" w14:textId="77777777">
      <w:pPr>
        <w:pStyle w:val="NormalBold"/>
        <w:keepNext/>
      </w:pPr>
      <w:r>
        <w:rPr>
          <w:rStyle w:val="HideTWBExt"/>
          <w:b w:val="0"/>
        </w:rPr>
        <w:t>&lt;DocAmend&gt;</w:t>
      </w:r>
      <w:r>
        <w:t>Pasiūlymas dėl reglamento</w:t>
      </w:r>
      <w:r>
        <w:rPr>
          <w:rStyle w:val="HideTWBExt"/>
          <w:b w:val="0"/>
        </w:rPr>
        <w:t>&lt;/DocAmend&gt;</w:t>
      </w:r>
    </w:p>
    <w:p w:rsidR="00047339" w:rsidRPr="000A2DED" w:rsidP="00047339" w14:paraId="4D650613" w14:textId="77777777">
      <w:pPr>
        <w:pStyle w:val="NormalBold"/>
      </w:pPr>
      <w:r>
        <w:rPr>
          <w:rStyle w:val="HideTWBExt"/>
          <w:b w:val="0"/>
        </w:rPr>
        <w:t>&lt;Article&gt;</w:t>
      </w:r>
      <w:r>
        <w:t>24 straipsnio 1 b dalis (nauja)</w:t>
      </w:r>
      <w:r>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192DDD82" w14:textId="77777777" w:rsidTr="00A343C5">
        <w:tblPrEx>
          <w:tblW w:w="0" w:type="auto"/>
          <w:jc w:val="center"/>
          <w:tblLayout w:type="fixed"/>
          <w:tblCellMar>
            <w:left w:w="340" w:type="dxa"/>
            <w:right w:w="340" w:type="dxa"/>
          </w:tblCellMar>
          <w:tblLook w:val="04A0"/>
        </w:tblPrEx>
        <w:trPr>
          <w:jc w:val="center"/>
        </w:trPr>
        <w:tc>
          <w:tcPr>
            <w:tcW w:w="9752" w:type="dxa"/>
            <w:gridSpan w:val="2"/>
          </w:tcPr>
          <w:p w:rsidR="00047339" w:rsidRPr="000A2DED" w:rsidP="00A343C5" w14:paraId="37A6E863" w14:textId="77777777">
            <w:pPr>
              <w:keepNext/>
            </w:pPr>
          </w:p>
        </w:tc>
      </w:tr>
      <w:tr w14:paraId="1ED40B74" w14:textId="77777777" w:rsidTr="00A343C5">
        <w:tblPrEx>
          <w:tblW w:w="0" w:type="auto"/>
          <w:jc w:val="center"/>
          <w:tblLayout w:type="fixed"/>
          <w:tblCellMar>
            <w:left w:w="340" w:type="dxa"/>
            <w:right w:w="340" w:type="dxa"/>
          </w:tblCellMar>
          <w:tblLook w:val="04A0"/>
        </w:tblPrEx>
        <w:trPr>
          <w:jc w:val="center"/>
        </w:trPr>
        <w:tc>
          <w:tcPr>
            <w:tcW w:w="4876" w:type="dxa"/>
            <w:hideMark/>
          </w:tcPr>
          <w:p w:rsidR="00047339" w:rsidRPr="000A2DED" w:rsidP="00A343C5" w14:paraId="0F9778E8" w14:textId="77777777">
            <w:pPr>
              <w:pStyle w:val="ColumnHeading"/>
              <w:keepNext/>
            </w:pPr>
            <w:r>
              <w:t>Komisijos siūlomas tekstas</w:t>
            </w:r>
          </w:p>
        </w:tc>
        <w:tc>
          <w:tcPr>
            <w:tcW w:w="4876" w:type="dxa"/>
            <w:hideMark/>
          </w:tcPr>
          <w:p w:rsidR="00047339" w:rsidRPr="000A2DED" w:rsidP="00A343C5" w14:paraId="410603FE" w14:textId="77777777">
            <w:pPr>
              <w:pStyle w:val="ColumnHeading"/>
              <w:keepNext/>
            </w:pPr>
            <w:r>
              <w:t>Pakeitimas</w:t>
            </w:r>
          </w:p>
        </w:tc>
      </w:tr>
      <w:tr w14:paraId="1F3A2527" w14:textId="77777777" w:rsidTr="00A343C5">
        <w:tblPrEx>
          <w:tblW w:w="0" w:type="auto"/>
          <w:jc w:val="center"/>
          <w:tblLayout w:type="fixed"/>
          <w:tblCellMar>
            <w:left w:w="340" w:type="dxa"/>
            <w:right w:w="340" w:type="dxa"/>
          </w:tblCellMar>
          <w:tblLook w:val="04A0"/>
        </w:tblPrEx>
        <w:trPr>
          <w:jc w:val="center"/>
        </w:trPr>
        <w:tc>
          <w:tcPr>
            <w:tcW w:w="4876" w:type="dxa"/>
          </w:tcPr>
          <w:p w:rsidR="00047339" w:rsidRPr="000A2DED" w:rsidP="00A343C5" w14:paraId="47C8355C" w14:textId="77777777">
            <w:pPr>
              <w:pStyle w:val="Normal6"/>
              <w:rPr>
                <w:lang w:val="en-GB"/>
              </w:rPr>
            </w:pPr>
          </w:p>
        </w:tc>
        <w:tc>
          <w:tcPr>
            <w:tcW w:w="4876" w:type="dxa"/>
            <w:hideMark/>
          </w:tcPr>
          <w:p w:rsidR="00047339" w:rsidRPr="000A2DED" w:rsidP="00A343C5" w14:paraId="66B3EA8E" w14:textId="77777777">
            <w:pPr>
              <w:pStyle w:val="Normal6"/>
              <w:rPr>
                <w:szCs w:val="24"/>
              </w:rPr>
            </w:pPr>
            <w:r>
              <w:rPr>
                <w:b/>
                <w:i/>
              </w:rPr>
              <w:t>1b.</w:t>
            </w:r>
            <w:r>
              <w:rPr>
                <w:b/>
                <w:i/>
              </w:rPr>
              <w:tab/>
              <w:t xml:space="preserve">1 dalyje nurodyti skyriai, kai tinkama, naudojami kaip papildoma tam tikros finansavimo arba investavimo operacijos rėmimo priemonė, be kita ko, </w:t>
            </w:r>
            <w:r>
              <w:rPr>
                <w:b/>
                <w:i/>
              </w:rPr>
              <w:t>derinant paramą abiejų skyrių lėšomis. Bet koks toks derinys gali būti daugiasluoksnės struktūros, kad būtų užtikrintas geresnis rizikos padengimas.</w:t>
            </w:r>
          </w:p>
        </w:tc>
      </w:tr>
    </w:tbl>
    <w:p w:rsidR="00047339" w:rsidRPr="000A2DED" w:rsidP="00047339" w14:paraId="14AFFB4C" w14:textId="77777777">
      <w:pPr>
        <w:rPr>
          <w:rStyle w:val="HideTWBExt"/>
        </w:rPr>
      </w:pPr>
      <w:r>
        <w:rPr>
          <w:rStyle w:val="HideTWBExt"/>
        </w:rPr>
        <w:t>&lt;/Amend&gt;&lt;/RepeatBlock-Amend&gt;</w:t>
      </w:r>
    </w:p>
    <w:p w:rsidR="00047339" w:rsidP="00047339" w14:paraId="3E4859F1" w14:textId="77777777">
      <w:pPr>
        <w:widowControl/>
        <w:sectPr w:rsidSect="0004733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300FD" w:rsidP="00047339" w14:paraId="78AF4964" w14:textId="77777777">
      <w:pPr>
        <w:pStyle w:val="Normal12a"/>
      </w:pPr>
    </w:p>
    <w:p w:rsidR="00047339" w:rsidRPr="00D7238E" w:rsidP="002B2C72" w14:paraId="779F6F2C" w14:textId="77777777">
      <w:pPr>
        <w:pStyle w:val="PageHeadingNotTOC"/>
      </w:pPr>
      <w:bookmarkStart w:id="0" w:name="FootprintPageAD"/>
      <w:r>
        <w:t>PRIEDAS. GAUTOS INFORMACIJOS DEKLARACIJA</w:t>
      </w:r>
    </w:p>
    <w:p w:rsidR="00047339" w:rsidRPr="0099178F" w:rsidP="00037518" w14:paraId="3A78CFEA" w14:textId="77777777">
      <w:pPr>
        <w:pStyle w:val="Normal24a"/>
      </w:pPr>
      <w:r>
        <w:rPr>
          <w:rStyle w:val="HideTWBExt"/>
        </w:rPr>
        <w:t>&lt;FootprintIntro&gt;</w:t>
      </w:r>
      <w:r>
        <w:t>Pagal Darbo tvarkos taisyklių I priedo 8 straipsnį biudžetinio vertinimo referentė, pareiškia, kad į savo biudžetinį vertinimą įtraukė su dokumento dalyku susijusią informaciją, kurią, rengdama biudžetinį vertinimą, iki jo priėmimo komitete gavo iš toliau nurodytų interesų grupių atstovų, kuriems taikomas Tarpinstitucinis susitarimas dėl privalomo skaidrumo registro</w:t>
      </w:r>
      <w:r>
        <w:rPr>
          <w:rStyle w:val="FootnoteReference"/>
        </w:rPr>
        <w:footnoteReference w:id="4"/>
      </w:r>
      <w:r>
        <w:t>, arba trečiųjų šalių valdžios institucijų, įskaitant jų diplomatines atstovybes ir ambasadas, atstovų: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0"/>
      </w:tblGrid>
      <w:tr w14:paraId="211BF53C" w14:textId="77777777" w:rsidTr="0004733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0" w:type="dxa"/>
            <w:shd w:val="clear" w:color="auto" w:fill="auto"/>
          </w:tcPr>
          <w:p w:rsidR="00047339" w:rsidP="00F42F07" w14:paraId="47CD1142" w14:textId="77777777">
            <w:pPr>
              <w:pStyle w:val="NormalBoldCenter"/>
            </w:pPr>
            <w:r>
              <w:t xml:space="preserve">1. </w:t>
            </w:r>
            <w:r>
              <w:t>Interesų grupių atstovai, kuriems taikomas Tarpinstitucinis susitarimas dėl privalomo skaidrumo registro</w:t>
            </w:r>
          </w:p>
        </w:tc>
      </w:tr>
      <w:tr w14:paraId="1846B6C7" w14:textId="77777777" w:rsidTr="00047339">
        <w:tblPrEx>
          <w:tblW w:w="0" w:type="auto"/>
          <w:tblLook w:val="04A0"/>
        </w:tblPrEx>
        <w:tc>
          <w:tcPr>
            <w:tcW w:w="9060" w:type="dxa"/>
            <w:shd w:val="clear" w:color="auto" w:fill="auto"/>
          </w:tcPr>
          <w:p w:rsidR="00047339" w:rsidP="00047339" w14:paraId="489BB39F" w14:textId="77777777">
            <w:pPr>
              <w:pStyle w:val="NormalSingle"/>
            </w:pPr>
            <w:r>
              <w:t>The Association of European Long-Term Investors (ELTI)</w:t>
            </w:r>
          </w:p>
        </w:tc>
      </w:tr>
      <w:tr w14:paraId="578E0A9E" w14:textId="77777777" w:rsidTr="00047339">
        <w:tblPrEx>
          <w:tblW w:w="0" w:type="auto"/>
          <w:tblLook w:val="04A0"/>
        </w:tblPrEx>
        <w:tc>
          <w:tcPr>
            <w:tcW w:w="9060" w:type="dxa"/>
            <w:shd w:val="clear" w:color="auto" w:fill="auto"/>
          </w:tcPr>
          <w:p w:rsidR="00047339" w:rsidRPr="00C81823" w:rsidP="00047339" w14:paraId="6BDEA5DD" w14:textId="77777777">
            <w:pPr>
              <w:pStyle w:val="NormalSingle"/>
              <w:rPr>
                <w:rStyle w:val="HideTWBExt"/>
              </w:rPr>
            </w:pPr>
            <w:r>
              <w:t>Copenhagen Infrastructure Partners P/S</w:t>
            </w:r>
          </w:p>
        </w:tc>
      </w:tr>
      <w:tr w14:paraId="7535DBDD" w14:textId="77777777" w:rsidTr="00047339">
        <w:tblPrEx>
          <w:tblW w:w="0" w:type="auto"/>
          <w:tblLook w:val="04A0"/>
        </w:tblPrEx>
        <w:tc>
          <w:tcPr>
            <w:tcW w:w="9060" w:type="dxa"/>
            <w:shd w:val="clear" w:color="auto" w:fill="auto"/>
          </w:tcPr>
          <w:p w:rsidR="00047339" w:rsidRPr="00C81823" w:rsidP="00047339" w14:paraId="7F3A28A2" w14:textId="77777777">
            <w:pPr>
              <w:pStyle w:val="NormalSingle"/>
              <w:rPr>
                <w:rStyle w:val="HideTWBExt"/>
              </w:rPr>
            </w:pPr>
            <w:r>
              <w:t>Sustainable Banking Coalition</w:t>
            </w:r>
          </w:p>
        </w:tc>
      </w:tr>
      <w:tr w14:paraId="0171EFFD" w14:textId="77777777" w:rsidTr="00047339">
        <w:tblPrEx>
          <w:tblW w:w="0" w:type="auto"/>
          <w:tblLook w:val="04A0"/>
        </w:tblPrEx>
        <w:tc>
          <w:tcPr>
            <w:tcW w:w="9060" w:type="dxa"/>
            <w:shd w:val="clear" w:color="auto" w:fill="auto"/>
          </w:tcPr>
          <w:p w:rsidR="00047339" w:rsidRPr="00C81823" w:rsidP="00047339" w14:paraId="2E40A7CB" w14:textId="77777777">
            <w:pPr>
              <w:pStyle w:val="NormalSingle"/>
              <w:rPr>
                <w:rStyle w:val="HideTWBExt"/>
              </w:rPr>
            </w:pPr>
            <w:r>
              <w:t>Invest Europe</w:t>
            </w:r>
          </w:p>
        </w:tc>
      </w:tr>
      <w:tr w14:paraId="129FE187" w14:textId="77777777" w:rsidTr="00047339">
        <w:tblPrEx>
          <w:tblW w:w="0" w:type="auto"/>
          <w:tblLook w:val="04A0"/>
        </w:tblPrEx>
        <w:tc>
          <w:tcPr>
            <w:tcW w:w="9060" w:type="dxa"/>
            <w:shd w:val="clear" w:color="auto" w:fill="auto"/>
          </w:tcPr>
          <w:p w:rsidR="00047339" w:rsidRPr="00C81823" w:rsidP="00047339" w14:paraId="0B107D34" w14:textId="77777777">
            <w:pPr>
              <w:pStyle w:val="NormalSingle"/>
              <w:rPr>
                <w:rStyle w:val="HideTWBExt"/>
              </w:rPr>
            </w:pPr>
            <w:r>
              <w:t>Climate Strategy</w:t>
            </w:r>
          </w:p>
        </w:tc>
      </w:tr>
      <w:tr w14:paraId="6098945B" w14:textId="77777777" w:rsidTr="00047339">
        <w:tblPrEx>
          <w:tblW w:w="0" w:type="auto"/>
          <w:tblLook w:val="04A0"/>
        </w:tblPrEx>
        <w:tc>
          <w:tcPr>
            <w:tcW w:w="9060" w:type="dxa"/>
            <w:shd w:val="clear" w:color="auto" w:fill="auto"/>
          </w:tcPr>
          <w:p w:rsidR="00047339" w:rsidRPr="00C81823" w:rsidP="00047339" w14:paraId="1A9BA869" w14:textId="77777777">
            <w:pPr>
              <w:pStyle w:val="NormalSingle"/>
              <w:rPr>
                <w:rStyle w:val="HideTWBExt"/>
              </w:rPr>
            </w:pPr>
            <w:r>
              <w:t>European Investment Bank (EIB)</w:t>
            </w:r>
          </w:p>
        </w:tc>
      </w:tr>
      <w:tr w14:paraId="4AF77CBF" w14:textId="77777777" w:rsidTr="00047339">
        <w:tblPrEx>
          <w:tblW w:w="0" w:type="auto"/>
          <w:tblLook w:val="04A0"/>
        </w:tblPrEx>
        <w:tc>
          <w:tcPr>
            <w:tcW w:w="9060" w:type="dxa"/>
            <w:shd w:val="clear" w:color="auto" w:fill="auto"/>
          </w:tcPr>
          <w:p w:rsidR="00047339" w:rsidRPr="007C35EE" w:rsidP="007C35EE" w14:paraId="58803ED6" w14:textId="77777777">
            <w:pPr>
              <w:pStyle w:val="NormalBoldCenter"/>
            </w:pPr>
            <w:r>
              <w:t>2. Trečiųjų šalių valdžios institucijų, įskaitant jų diplomatines atstovybes ir ambasadas, atstovai</w:t>
            </w:r>
          </w:p>
        </w:tc>
      </w:tr>
      <w:tr w14:paraId="371E5D92" w14:textId="77777777" w:rsidTr="00047339">
        <w:tblPrEx>
          <w:tblW w:w="0" w:type="auto"/>
          <w:tblLook w:val="04A0"/>
        </w:tblPrEx>
        <w:tc>
          <w:tcPr>
            <w:tcW w:w="9060" w:type="dxa"/>
            <w:shd w:val="clear" w:color="auto" w:fill="auto"/>
          </w:tcPr>
          <w:p w:rsidR="00047339" w:rsidRPr="007C35EE" w:rsidP="007C35EE" w14:paraId="13797F89" w14:textId="77777777">
            <w:pPr>
              <w:pStyle w:val="NormalSingle"/>
            </w:pPr>
            <w:r>
              <w:t>Nėra</w:t>
            </w:r>
          </w:p>
        </w:tc>
      </w:tr>
    </w:tbl>
    <w:p w:rsidR="00047339" w:rsidRPr="00E9312B" w:rsidP="00B60BF2" w14:paraId="22F889B9" w14:textId="77777777">
      <w:pPr>
        <w:pStyle w:val="Footprint12b"/>
      </w:pPr>
      <w:r>
        <w:t>Šį sąrašą parengė ir visą atsakomybę už jį prisiima biudžetinio vertinimo referentė.</w:t>
      </w:r>
    </w:p>
    <w:p w:rsidR="00047339" w:rsidRPr="00D7238E" w:rsidP="00802975" w14:paraId="33C85653" w14:textId="43523593">
      <w:pPr>
        <w:pStyle w:val="Footprint12b"/>
      </w:pPr>
      <w:r>
        <w:t xml:space="preserve">Jeigu sąraše </w:t>
      </w:r>
      <w:r>
        <w:t>esančių fizinių asmenų tapatybę galima nustatyti pagal jų vardą ir pavardę, jų pareigas arba pagal abu požymius, biudžetinio vertinimo referentė pareiškia, kad ji atitinkamiems fiziniams asmenims pateikė Europos Parlamento pranešimą dėl duomenų apsaugos Nr. 484 (</w:t>
      </w:r>
      <w:hyperlink r:id="rId13" w:tooltip="https://www.europarl.europa.eu/data-protect/index.do" w:history="1">
        <w:r>
          <w:rPr>
            <w:rStyle w:val="Hyperlink"/>
          </w:rPr>
          <w:t>https://www.europarl.europa.eu/data-protect/index.do</w:t>
        </w:r>
      </w:hyperlink>
      <w:r>
        <w:t>), kuriame išdėstytos jų asmens duomenų tvarkymui taikomos sąlygos ir su tuo tvarkymu susijusios teisės.</w:t>
      </w:r>
    </w:p>
    <w:bookmarkEnd w:id="0"/>
    <w:p w:rsidR="00047339" w:rsidP="00047339" w14:paraId="27A47902" w14:textId="77777777">
      <w:pPr>
        <w:sectPr w:rsidSect="00047339">
          <w:footnotePr>
            <w:numRestart w:val="eachSect"/>
          </w:footnotePr>
          <w:endnotePr>
            <w:numFmt w:val="decimal"/>
          </w:endnotePr>
          <w:pgSz w:w="11906" w:h="16838" w:code="9"/>
          <w:pgMar w:top="1134" w:right="1418" w:bottom="1418" w:left="1418" w:header="1134" w:footer="567" w:gutter="0"/>
          <w:cols w:space="720"/>
          <w:noEndnote/>
          <w:docGrid w:linePitch="326"/>
        </w:sectPr>
      </w:pPr>
    </w:p>
    <w:p w:rsidR="00C300FD" w:rsidRPr="005A146C" w:rsidP="00C300FD" w14:paraId="6BC306CF" w14:textId="77777777">
      <w:pPr>
        <w:pStyle w:val="PageHeadingNotTOC"/>
      </w:pPr>
      <w:bookmarkStart w:id="1" w:name="ProcPageAD"/>
      <w:r>
        <w:t>BIUDŽETINĮ VERTINIMĄ TEIKIANČIO KOMITETO PROCEDŪRA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5179252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0FD" w:rsidRPr="005A146C" w14:paraId="33E91F2C" w14:textId="77777777">
            <w:pPr>
              <w:autoSpaceDE w:val="0"/>
              <w:autoSpaceDN w:val="0"/>
              <w:adjustRightInd w:val="0"/>
              <w:rPr>
                <w:b/>
                <w:bCs/>
                <w:color w:val="000000"/>
                <w:sz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0FD" w:rsidRPr="005A146C" w14:paraId="115DAB16" w14:textId="77777777">
            <w:pPr>
              <w:autoSpaceDE w:val="0"/>
              <w:autoSpaceDN w:val="0"/>
              <w:adjustRightInd w:val="0"/>
              <w:rPr>
                <w:color w:val="000000"/>
                <w:sz w:val="20"/>
              </w:rPr>
            </w:pPr>
            <w:r>
              <w:rPr>
                <w:color w:val="000000"/>
                <w:sz w:val="20"/>
              </w:rPr>
              <w:t>Europos konkurencingumo fondo (EKF), įskaitant specialiąją gynybos srities mokslinių tyrimų ir inovacijų veiklos programą, įsteigimas</w:t>
            </w:r>
          </w:p>
        </w:tc>
      </w:tr>
      <w:tr w14:paraId="6FC875FD"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300FD" w:rsidRPr="005A146C" w14:paraId="2F9287C2" w14:textId="77777777">
            <w:pPr>
              <w:autoSpaceDE w:val="0"/>
              <w:autoSpaceDN w:val="0"/>
              <w:adjustRightInd w:val="0"/>
              <w:rPr>
                <w:b/>
                <w:bCs/>
                <w:color w:val="000000"/>
                <w:sz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C300FD" w:rsidRPr="005A146C" w14:paraId="236EE15D" w14:textId="77777777">
            <w:pPr>
              <w:autoSpaceDE w:val="0"/>
              <w:autoSpaceDN w:val="0"/>
              <w:adjustRightInd w:val="0"/>
              <w:rPr>
                <w:color w:val="000000"/>
                <w:sz w:val="20"/>
              </w:rPr>
            </w:pPr>
            <w:r>
              <w:rPr>
                <w:color w:val="000000"/>
                <w:sz w:val="20"/>
              </w:rPr>
              <w:t>COM(2025)0555 – C10-0165/2025 – 2025/0555(COD)</w:t>
            </w:r>
          </w:p>
        </w:tc>
      </w:tr>
      <w:tr w14:paraId="307BD4BB"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0FD" w:rsidRPr="005A146C" w14:paraId="78635681" w14:textId="77777777">
            <w:pPr>
              <w:autoSpaceDE w:val="0"/>
              <w:autoSpaceDN w:val="0"/>
              <w:adjustRightInd w:val="0"/>
              <w:rPr>
                <w:b/>
                <w:bCs/>
                <w:color w:val="000000"/>
                <w:sz w:val="20"/>
              </w:rPr>
            </w:pPr>
            <w:r>
              <w:rPr>
                <w:b/>
                <w:color w:val="000000"/>
                <w:sz w:val="20"/>
              </w:rPr>
              <w:t>Atsakingas komitetas</w:t>
            </w:r>
          </w:p>
          <w:p w:rsidR="00C300FD" w:rsidRPr="005A146C" w14:paraId="15FA8CC6" w14:textId="77777777">
            <w:pPr>
              <w:autoSpaceDE w:val="0"/>
              <w:autoSpaceDN w:val="0"/>
              <w:adjustRightInd w:val="0"/>
              <w:rPr>
                <w:color w:val="000000"/>
                <w:sz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300FD" w:rsidRPr="005A146C" w14:paraId="47F74FC9" w14:textId="77777777">
            <w:pPr>
              <w:autoSpaceDE w:val="0"/>
              <w:autoSpaceDN w:val="0"/>
              <w:adjustRightInd w:val="0"/>
              <w:rPr>
                <w:color w:val="000000"/>
                <w:sz w:val="20"/>
              </w:rPr>
            </w:pPr>
            <w:r>
              <w:rPr>
                <w:color w:val="000000"/>
                <w:sz w:val="20"/>
              </w:rPr>
              <w:t>ITRE</w:t>
            </w:r>
          </w:p>
          <w:p w:rsidR="00C300FD" w:rsidRPr="005A146C" w14:paraId="75BCB346" w14:textId="77777777">
            <w:pPr>
              <w:autoSpaceDE w:val="0"/>
              <w:autoSpaceDN w:val="0"/>
              <w:adjustRightInd w:val="0"/>
              <w:rPr>
                <w:color w:val="000000"/>
                <w:sz w:val="20"/>
              </w:rPr>
            </w:pPr>
            <w:r>
              <w:rPr>
                <w:color w:val="000000"/>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300FD" w:rsidRPr="005A146C" w14:paraId="63367BC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300FD" w:rsidRPr="005A146C" w14:paraId="3C37DBDC"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0FD" w:rsidRPr="005A146C" w14:paraId="45FA5AD7" w14:textId="77777777">
            <w:pPr>
              <w:autoSpaceDE w:val="0"/>
              <w:autoSpaceDN w:val="0"/>
              <w:adjustRightInd w:val="0"/>
              <w:rPr>
                <w:rFonts w:ascii="sans-serif" w:hAnsi="sans-serif" w:cs="sans-serif"/>
                <w:color w:val="000000"/>
              </w:rPr>
            </w:pPr>
          </w:p>
        </w:tc>
      </w:tr>
      <w:tr w14:paraId="1DCC9F1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0FD" w:rsidRPr="005A146C" w14:paraId="199CCF9F" w14:textId="77777777">
            <w:pPr>
              <w:autoSpaceDE w:val="0"/>
              <w:autoSpaceDN w:val="0"/>
              <w:adjustRightInd w:val="0"/>
              <w:rPr>
                <w:b/>
                <w:bCs/>
                <w:color w:val="000000"/>
                <w:sz w:val="20"/>
              </w:rPr>
            </w:pPr>
            <w:r>
              <w:rPr>
                <w:b/>
                <w:color w:val="000000"/>
                <w:sz w:val="20"/>
              </w:rPr>
              <w:t>Biudžetinį vertinimą pateikė</w:t>
            </w:r>
          </w:p>
          <w:p w:rsidR="00C300FD" w:rsidRPr="005A146C" w14:paraId="2FD5B764" w14:textId="77777777">
            <w:pPr>
              <w:autoSpaceDE w:val="0"/>
              <w:autoSpaceDN w:val="0"/>
              <w:adjustRightInd w:val="0"/>
              <w:rPr>
                <w:color w:val="000000"/>
                <w:sz w:val="20"/>
              </w:rPr>
            </w:pPr>
            <w:r>
              <w:rPr>
                <w:color w:val="000000"/>
                <w:sz w:val="20"/>
              </w:rPr>
              <w:t xml:space="preserve">       Paskelbimo plenariniame </w:t>
            </w:r>
            <w:r>
              <w:rPr>
                <w:color w:val="000000"/>
                <w:sz w:val="20"/>
              </w:rPr>
              <w:t>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0FD" w:rsidRPr="005A146C" w14:paraId="34E94CBF" w14:textId="77777777">
            <w:pPr>
              <w:autoSpaceDE w:val="0"/>
              <w:autoSpaceDN w:val="0"/>
              <w:adjustRightInd w:val="0"/>
              <w:rPr>
                <w:color w:val="000000"/>
                <w:sz w:val="20"/>
              </w:rPr>
            </w:pPr>
            <w:r>
              <w:rPr>
                <w:color w:val="000000"/>
                <w:sz w:val="20"/>
              </w:rPr>
              <w:t>BUDG</w:t>
            </w:r>
          </w:p>
          <w:p w:rsidR="00C300FD" w:rsidRPr="005A146C" w14:paraId="753217EC" w14:textId="77777777">
            <w:pPr>
              <w:autoSpaceDE w:val="0"/>
              <w:autoSpaceDN w:val="0"/>
              <w:adjustRightInd w:val="0"/>
              <w:rPr>
                <w:color w:val="000000"/>
                <w:sz w:val="20"/>
              </w:rPr>
            </w:pPr>
            <w:r>
              <w:rPr>
                <w:color w:val="000000"/>
                <w:sz w:val="20"/>
              </w:rPr>
              <w:t>23.10.2025</w:t>
            </w:r>
          </w:p>
        </w:tc>
      </w:tr>
      <w:tr w14:paraId="6A47CF27"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0FD" w:rsidRPr="005A146C" w14:paraId="4DFFEDA0" w14:textId="77777777">
            <w:pPr>
              <w:autoSpaceDE w:val="0"/>
              <w:autoSpaceDN w:val="0"/>
              <w:adjustRightInd w:val="0"/>
              <w:rPr>
                <w:b/>
                <w:bCs/>
                <w:color w:val="000000"/>
                <w:sz w:val="20"/>
              </w:rPr>
            </w:pPr>
            <w:r>
              <w:rPr>
                <w:b/>
                <w:color w:val="000000"/>
                <w:sz w:val="20"/>
              </w:rPr>
              <w:t>Biudžetinio vertinimo referentas (-ė)</w:t>
            </w:r>
          </w:p>
          <w:p w:rsidR="00C300FD" w:rsidRPr="005A146C" w14:paraId="6E4BFCC5" w14:textId="77777777">
            <w:pPr>
              <w:autoSpaceDE w:val="0"/>
              <w:autoSpaceDN w:val="0"/>
              <w:adjustRightInd w:val="0"/>
              <w:rPr>
                <w:color w:val="000000"/>
                <w:sz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0FD" w:rsidRPr="005A146C" w14:paraId="742D161D" w14:textId="77777777">
            <w:pPr>
              <w:autoSpaceDE w:val="0"/>
              <w:autoSpaceDN w:val="0"/>
              <w:adjustRightInd w:val="0"/>
              <w:rPr>
                <w:color w:val="000000"/>
                <w:sz w:val="20"/>
              </w:rPr>
            </w:pPr>
            <w:r>
              <w:rPr>
                <w:color w:val="000000"/>
                <w:sz w:val="20"/>
              </w:rPr>
              <w:t>Stine Bosse</w:t>
            </w:r>
          </w:p>
          <w:p w:rsidR="00C300FD" w:rsidRPr="005A146C" w14:paraId="00B63CD1" w14:textId="77777777">
            <w:pPr>
              <w:autoSpaceDE w:val="0"/>
              <w:autoSpaceDN w:val="0"/>
              <w:adjustRightInd w:val="0"/>
              <w:rPr>
                <w:color w:val="000000"/>
                <w:sz w:val="20"/>
              </w:rPr>
            </w:pPr>
            <w:r>
              <w:rPr>
                <w:color w:val="000000"/>
                <w:sz w:val="20"/>
              </w:rPr>
              <w:t>15.1.2026</w:t>
            </w:r>
          </w:p>
        </w:tc>
      </w:tr>
      <w:tr w14:paraId="4F2F5E3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0FD" w:rsidRPr="005A146C" w14:paraId="5FE2F1F8" w14:textId="77777777">
            <w:pPr>
              <w:autoSpaceDE w:val="0"/>
              <w:autoSpaceDN w:val="0"/>
              <w:adjustRightInd w:val="0"/>
              <w:rPr>
                <w:b/>
                <w:bCs/>
                <w:color w:val="000000"/>
                <w:sz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300FD" w:rsidRPr="005A146C" w14:paraId="2069A47E" w14:textId="77777777">
            <w:pPr>
              <w:autoSpaceDE w:val="0"/>
              <w:autoSpaceDN w:val="0"/>
              <w:adjustRightInd w:val="0"/>
              <w:rPr>
                <w:color w:val="000000"/>
                <w:sz w:val="20"/>
              </w:rPr>
            </w:pPr>
            <w:r>
              <w:rPr>
                <w:color w:val="000000"/>
                <w:sz w:val="20"/>
              </w:rPr>
              <w:t>6.5.2026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300FD" w:rsidRPr="005A146C" w14:paraId="0FD830BF"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C300FD" w:rsidRPr="005A146C" w14:paraId="73D2C0F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0FD" w:rsidRPr="005A146C" w14:paraId="77428D30" w14:textId="77777777">
            <w:pPr>
              <w:autoSpaceDE w:val="0"/>
              <w:autoSpaceDN w:val="0"/>
              <w:adjustRightInd w:val="0"/>
              <w:rPr>
                <w:rFonts w:ascii="sans-serif" w:hAnsi="sans-serif" w:cs="sans-serif"/>
                <w:color w:val="000000"/>
              </w:rPr>
            </w:pPr>
          </w:p>
        </w:tc>
      </w:tr>
      <w:tr w14:paraId="7E3F5B86"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C300FD" w:rsidRPr="005A146C" w14:paraId="673DBCCA" w14:textId="77777777">
            <w:pPr>
              <w:autoSpaceDE w:val="0"/>
              <w:autoSpaceDN w:val="0"/>
              <w:adjustRightInd w:val="0"/>
              <w:rPr>
                <w:b/>
                <w:bCs/>
                <w:color w:val="000000"/>
                <w:sz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C300FD" w:rsidRPr="005A146C" w14:paraId="468091A9" w14:textId="77777777">
            <w:pPr>
              <w:autoSpaceDE w:val="0"/>
              <w:autoSpaceDN w:val="0"/>
              <w:adjustRightInd w:val="0"/>
              <w:rPr>
                <w:color w:val="000000"/>
                <w:sz w:val="20"/>
              </w:rPr>
            </w:pPr>
            <w:r>
              <w:rPr>
                <w:color w:val="000000"/>
                <w:sz w:val="20"/>
              </w:rPr>
              <w:t>23.6.2026</w:t>
            </w:r>
          </w:p>
        </w:tc>
        <w:tc>
          <w:tcPr>
            <w:tcW w:w="1474" w:type="dxa"/>
            <w:tcBorders>
              <w:top w:val="nil"/>
              <w:left w:val="nil"/>
              <w:bottom w:val="single" w:sz="8" w:space="0" w:color="000000"/>
              <w:right w:val="nil"/>
            </w:tcBorders>
            <w:tcMar>
              <w:top w:w="79" w:type="dxa"/>
              <w:left w:w="79" w:type="dxa"/>
              <w:bottom w:w="79" w:type="dxa"/>
              <w:right w:w="79" w:type="dxa"/>
            </w:tcMar>
          </w:tcPr>
          <w:p w:rsidR="00C300FD" w:rsidRPr="005A146C" w14:paraId="4D60D909"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C300FD" w:rsidRPr="005A146C" w14:paraId="1773038A"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C300FD" w:rsidRPr="005A146C" w14:paraId="325B93BC" w14:textId="77777777">
            <w:pPr>
              <w:autoSpaceDE w:val="0"/>
              <w:autoSpaceDN w:val="0"/>
              <w:adjustRightInd w:val="0"/>
              <w:rPr>
                <w:rFonts w:ascii="sans-serif" w:hAnsi="sans-serif" w:cs="sans-serif"/>
                <w:color w:val="000000"/>
              </w:rPr>
            </w:pPr>
          </w:p>
        </w:tc>
      </w:tr>
      <w:tr w14:paraId="27490D4E"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C300FD" w:rsidRPr="005A146C" w14:paraId="5FA727C7" w14:textId="77777777">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C300FD" w:rsidRPr="005A146C" w14:paraId="2AADE020" w14:textId="77777777">
            <w:pPr>
              <w:autoSpaceDE w:val="0"/>
              <w:autoSpaceDN w:val="0"/>
              <w:adjustRightInd w:val="0"/>
              <w:rPr>
                <w:color w:val="000000"/>
                <w:sz w:val="20"/>
              </w:rPr>
            </w:pPr>
            <w:r>
              <w:rPr>
                <w:color w:val="000000"/>
                <w:sz w:val="20"/>
              </w:rPr>
              <w:t>+:</w:t>
            </w:r>
          </w:p>
          <w:p w:rsidR="00C300FD" w:rsidRPr="005A146C" w14:paraId="6B7BF581" w14:textId="77777777">
            <w:pPr>
              <w:autoSpaceDE w:val="0"/>
              <w:autoSpaceDN w:val="0"/>
              <w:adjustRightInd w:val="0"/>
              <w:rPr>
                <w:color w:val="000000"/>
                <w:sz w:val="20"/>
              </w:rPr>
            </w:pPr>
            <w:r>
              <w:rPr>
                <w:color w:val="000000"/>
                <w:sz w:val="20"/>
              </w:rPr>
              <w:t>–:</w:t>
            </w:r>
          </w:p>
          <w:p w:rsidR="00C300FD" w:rsidRPr="005A146C" w14:paraId="0D863374" w14:textId="77777777">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C300FD" w:rsidRPr="005A146C" w14:paraId="707097AB" w14:textId="77777777">
            <w:pPr>
              <w:autoSpaceDE w:val="0"/>
              <w:autoSpaceDN w:val="0"/>
              <w:adjustRightInd w:val="0"/>
              <w:rPr>
                <w:color w:val="000000"/>
                <w:sz w:val="20"/>
              </w:rPr>
            </w:pPr>
            <w:r>
              <w:rPr>
                <w:color w:val="000000"/>
                <w:sz w:val="20"/>
              </w:rPr>
              <w:t>22</w:t>
            </w:r>
          </w:p>
          <w:p w:rsidR="00C300FD" w:rsidRPr="005A146C" w14:paraId="2A77739C" w14:textId="77777777">
            <w:pPr>
              <w:autoSpaceDE w:val="0"/>
              <w:autoSpaceDN w:val="0"/>
              <w:adjustRightInd w:val="0"/>
              <w:rPr>
                <w:color w:val="000000"/>
                <w:sz w:val="20"/>
              </w:rPr>
            </w:pPr>
            <w:r>
              <w:rPr>
                <w:color w:val="000000"/>
                <w:sz w:val="20"/>
              </w:rPr>
              <w:t>8</w:t>
            </w:r>
          </w:p>
          <w:p w:rsidR="00C300FD" w:rsidRPr="005A146C" w14:paraId="439ADE25" w14:textId="77777777">
            <w:pPr>
              <w:autoSpaceDE w:val="0"/>
              <w:autoSpaceDN w:val="0"/>
              <w:adjustRightInd w:val="0"/>
              <w:rPr>
                <w:color w:val="000000"/>
                <w:sz w:val="20"/>
              </w:rPr>
            </w:pPr>
            <w:r>
              <w:rPr>
                <w:color w:val="000000"/>
                <w:sz w:val="20"/>
              </w:rPr>
              <w:t>3</w:t>
            </w:r>
          </w:p>
        </w:tc>
      </w:tr>
    </w:tbl>
    <w:p w:rsidR="00C300FD" w:rsidRPr="00047339" w:rsidP="00047339" w14:paraId="38903756" w14:textId="77777777"/>
    <w:bookmarkEnd w:id="1"/>
    <w:p w:rsidR="00047339" w:rsidP="00C300FD" w14:paraId="0FA7BB75" w14:textId="77777777">
      <w:pPr>
        <w:sectPr w:rsidSect="00047339">
          <w:pgSz w:w="11894" w:h="15840"/>
          <w:pgMar w:top="1700" w:right="1417" w:bottom="1417" w:left="1417" w:header="720" w:footer="720" w:gutter="0"/>
          <w:cols w:space="720"/>
          <w:noEndnote/>
          <w:docGrid w:linePitch="326"/>
        </w:sectPr>
      </w:pPr>
    </w:p>
    <w:p w:rsidR="00047339" w:rsidRPr="0099178F" w:rsidP="00C36610" w14:paraId="30CF297B" w14:textId="77777777">
      <w:pPr>
        <w:pStyle w:val="PageHeadingNotTOC"/>
      </w:pPr>
      <w:bookmarkStart w:id="2" w:name="RollCallPageAD"/>
      <w:r>
        <w:t>GALUTINIS VARDINIS BALSAVIMAS</w:t>
      </w:r>
      <w:r>
        <w:br/>
        <w:t>BIUDŽETINĮ VERTINIMĄ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12B7E673" w14:textId="77777777" w:rsidTr="00A343C5">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47339" w:rsidRPr="000A2DED" w:rsidP="00A343C5" w14:paraId="16773372" w14:textId="77777777">
            <w:pPr>
              <w:pStyle w:val="RollCallVotes"/>
            </w:pPr>
            <w:r>
              <w:t>22</w:t>
            </w:r>
          </w:p>
        </w:tc>
        <w:tc>
          <w:tcPr>
            <w:tcW w:w="7371" w:type="dxa"/>
            <w:shd w:val="pct10" w:color="000000" w:fill="FFFFFF"/>
          </w:tcPr>
          <w:p w:rsidR="00047339" w:rsidRPr="000A2DED" w:rsidP="00A343C5" w14:paraId="75FD5522" w14:textId="77777777">
            <w:pPr>
              <w:pStyle w:val="RollCallSymbols14pt"/>
            </w:pPr>
            <w:r>
              <w:t>+</w:t>
            </w:r>
          </w:p>
        </w:tc>
      </w:tr>
      <w:tr w14:paraId="7DC227AA" w14:textId="77777777" w:rsidTr="00A343C5">
        <w:tblPrEx>
          <w:tblW w:w="0" w:type="auto"/>
          <w:tblInd w:w="145" w:type="dxa"/>
          <w:tblLayout w:type="fixed"/>
          <w:tblCellMar>
            <w:left w:w="145" w:type="dxa"/>
            <w:right w:w="145" w:type="dxa"/>
          </w:tblCellMar>
          <w:tblLook w:val="0000"/>
        </w:tblPrEx>
        <w:trPr>
          <w:cantSplit/>
        </w:trPr>
        <w:tc>
          <w:tcPr>
            <w:tcW w:w="1701" w:type="dxa"/>
            <w:shd w:val="clear" w:color="auto" w:fill="FFFFFF"/>
          </w:tcPr>
          <w:p w:rsidR="00047339" w:rsidRPr="000A2DED" w:rsidP="00A343C5" w14:paraId="34108F3D" w14:textId="77777777">
            <w:pPr>
              <w:pStyle w:val="RollCallTable"/>
            </w:pPr>
            <w:r>
              <w:t>PPE</w:t>
            </w:r>
          </w:p>
        </w:tc>
        <w:tc>
          <w:tcPr>
            <w:tcW w:w="7371" w:type="dxa"/>
            <w:shd w:val="clear" w:color="auto" w:fill="FFFFFF"/>
          </w:tcPr>
          <w:p w:rsidR="00047339" w:rsidRPr="000A2DED" w:rsidP="00A343C5" w14:paraId="7A53D93E" w14:textId="77777777">
            <w:pPr>
              <w:pStyle w:val="RollCallTable"/>
            </w:pPr>
            <w:r>
              <w:t>Isabel Benjumea Benjumea, Michalis Hadjipantela, Andrzej Halicki, Monika Hohlmeier, Janusz Lewandowski, Gabriel Mato, Karlo Ressler, Hélder Sousa Silva</w:t>
            </w:r>
          </w:p>
        </w:tc>
      </w:tr>
      <w:tr w14:paraId="1DF1A97D" w14:textId="77777777" w:rsidTr="00A343C5">
        <w:tblPrEx>
          <w:tblW w:w="0" w:type="auto"/>
          <w:tblInd w:w="145" w:type="dxa"/>
          <w:tblLayout w:type="fixed"/>
          <w:tblCellMar>
            <w:left w:w="145" w:type="dxa"/>
            <w:right w:w="145" w:type="dxa"/>
          </w:tblCellMar>
          <w:tblLook w:val="0000"/>
        </w:tblPrEx>
        <w:trPr>
          <w:cantSplit/>
        </w:trPr>
        <w:tc>
          <w:tcPr>
            <w:tcW w:w="1701" w:type="dxa"/>
            <w:shd w:val="clear" w:color="auto" w:fill="FFFFFF"/>
          </w:tcPr>
          <w:p w:rsidR="00047339" w:rsidRPr="000A2DED" w:rsidP="00A343C5" w14:paraId="1C78A69C" w14:textId="77777777">
            <w:pPr>
              <w:pStyle w:val="RollCallTable"/>
            </w:pPr>
            <w:r>
              <w:t>Renew</w:t>
            </w:r>
          </w:p>
        </w:tc>
        <w:tc>
          <w:tcPr>
            <w:tcW w:w="7371" w:type="dxa"/>
            <w:shd w:val="clear" w:color="auto" w:fill="FFFFFF"/>
          </w:tcPr>
          <w:p w:rsidR="00047339" w:rsidRPr="000A2DED" w:rsidP="00A343C5" w14:paraId="5B9C8044" w14:textId="77777777">
            <w:pPr>
              <w:pStyle w:val="RollCallTable"/>
            </w:pPr>
            <w:r>
              <w:t xml:space="preserve">Olivier </w:t>
            </w:r>
            <w:r>
              <w:t>Chastel, Fabienne Keller, Lucia Yar</w:t>
            </w:r>
          </w:p>
        </w:tc>
      </w:tr>
      <w:tr w14:paraId="26CFEC0F" w14:textId="77777777" w:rsidTr="00A343C5">
        <w:tblPrEx>
          <w:tblW w:w="0" w:type="auto"/>
          <w:tblInd w:w="145" w:type="dxa"/>
          <w:tblLayout w:type="fixed"/>
          <w:tblCellMar>
            <w:left w:w="145" w:type="dxa"/>
            <w:right w:w="145" w:type="dxa"/>
          </w:tblCellMar>
          <w:tblLook w:val="0000"/>
        </w:tblPrEx>
        <w:trPr>
          <w:cantSplit/>
        </w:trPr>
        <w:tc>
          <w:tcPr>
            <w:tcW w:w="1701" w:type="dxa"/>
            <w:shd w:val="clear" w:color="auto" w:fill="FFFFFF"/>
          </w:tcPr>
          <w:p w:rsidR="00047339" w:rsidRPr="000A2DED" w:rsidP="00A343C5" w14:paraId="5AFFF2C1" w14:textId="77777777">
            <w:pPr>
              <w:pStyle w:val="RollCallTable"/>
            </w:pPr>
            <w:r>
              <w:t>S&amp;D</w:t>
            </w:r>
          </w:p>
        </w:tc>
        <w:tc>
          <w:tcPr>
            <w:tcW w:w="7371" w:type="dxa"/>
            <w:shd w:val="clear" w:color="auto" w:fill="FFFFFF"/>
          </w:tcPr>
          <w:p w:rsidR="00047339" w:rsidRPr="000A2DED" w:rsidP="00A343C5" w14:paraId="2810C7DB" w14:textId="77777777">
            <w:pPr>
              <w:pStyle w:val="RollCallTable"/>
            </w:pPr>
            <w:r>
              <w:t>Mohammed Chahim, Matthias Ecke, Nikolas Farantouris, Jean-Marc Germain, Sandra Gómez López, Victor Negrescu, Matjaž Nemec, Nils Ušakovs</w:t>
            </w:r>
          </w:p>
        </w:tc>
      </w:tr>
      <w:tr w14:paraId="27AB7F9D" w14:textId="77777777" w:rsidTr="00A343C5">
        <w:tblPrEx>
          <w:tblW w:w="0" w:type="auto"/>
          <w:tblInd w:w="145" w:type="dxa"/>
          <w:tblLayout w:type="fixed"/>
          <w:tblCellMar>
            <w:left w:w="145" w:type="dxa"/>
            <w:right w:w="145" w:type="dxa"/>
          </w:tblCellMar>
          <w:tblLook w:val="0000"/>
        </w:tblPrEx>
        <w:trPr>
          <w:cantSplit/>
        </w:trPr>
        <w:tc>
          <w:tcPr>
            <w:tcW w:w="1701" w:type="dxa"/>
            <w:shd w:val="clear" w:color="auto" w:fill="FFFFFF"/>
          </w:tcPr>
          <w:p w:rsidR="00047339" w:rsidRPr="000A2DED" w:rsidP="00A343C5" w14:paraId="119FCA94" w14:textId="77777777">
            <w:pPr>
              <w:pStyle w:val="RollCallTable"/>
            </w:pPr>
            <w:r>
              <w:t>Verts/ALE</w:t>
            </w:r>
          </w:p>
        </w:tc>
        <w:tc>
          <w:tcPr>
            <w:tcW w:w="7371" w:type="dxa"/>
            <w:shd w:val="clear" w:color="auto" w:fill="FFFFFF"/>
          </w:tcPr>
          <w:p w:rsidR="00047339" w:rsidRPr="000A2DED" w:rsidP="00A343C5" w14:paraId="3A2B3C0D" w14:textId="77777777">
            <w:pPr>
              <w:pStyle w:val="RollCallTable"/>
            </w:pPr>
            <w:r>
              <w:t>Ignazio Roberto Marino, Rasmus Nordqvist, Nicolae Ștefănuță</w:t>
            </w:r>
          </w:p>
        </w:tc>
      </w:tr>
    </w:tbl>
    <w:p w:rsidR="00047339" w:rsidRPr="000A2DED" w:rsidP="00047339" w14:paraId="794B690C"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895A662" w14:textId="77777777" w:rsidTr="00A343C5">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47339" w:rsidRPr="000A2DED" w:rsidP="00A343C5" w14:paraId="5D09E858" w14:textId="77777777">
            <w:pPr>
              <w:pStyle w:val="RollCallVotes"/>
            </w:pPr>
            <w:r>
              <w:t>8</w:t>
            </w:r>
          </w:p>
        </w:tc>
        <w:tc>
          <w:tcPr>
            <w:tcW w:w="7371" w:type="dxa"/>
            <w:shd w:val="pct10" w:color="000000" w:fill="FFFFFF"/>
          </w:tcPr>
          <w:p w:rsidR="00047339" w:rsidRPr="000A2DED" w:rsidP="00A343C5" w14:paraId="602362E4" w14:textId="77777777">
            <w:pPr>
              <w:pStyle w:val="RollCallSymbols14pt"/>
            </w:pPr>
            <w:r>
              <w:t>-</w:t>
            </w:r>
          </w:p>
        </w:tc>
      </w:tr>
      <w:tr w14:paraId="43B431D3" w14:textId="77777777" w:rsidTr="00A343C5">
        <w:tblPrEx>
          <w:tblW w:w="0" w:type="auto"/>
          <w:tblInd w:w="145" w:type="dxa"/>
          <w:tblLayout w:type="fixed"/>
          <w:tblCellMar>
            <w:left w:w="145" w:type="dxa"/>
            <w:right w:w="145" w:type="dxa"/>
          </w:tblCellMar>
          <w:tblLook w:val="0000"/>
        </w:tblPrEx>
        <w:trPr>
          <w:cantSplit/>
        </w:trPr>
        <w:tc>
          <w:tcPr>
            <w:tcW w:w="1701" w:type="dxa"/>
            <w:shd w:val="clear" w:color="auto" w:fill="FFFFFF"/>
          </w:tcPr>
          <w:p w:rsidR="00047339" w:rsidRPr="000A2DED" w:rsidP="00A343C5" w14:paraId="301CEA79" w14:textId="77777777">
            <w:pPr>
              <w:pStyle w:val="RollCallTable"/>
            </w:pPr>
            <w:r>
              <w:t>ECR</w:t>
            </w:r>
          </w:p>
        </w:tc>
        <w:tc>
          <w:tcPr>
            <w:tcW w:w="7371" w:type="dxa"/>
            <w:shd w:val="clear" w:color="auto" w:fill="FFFFFF"/>
          </w:tcPr>
          <w:p w:rsidR="00047339" w:rsidRPr="000A2DED" w:rsidP="00A343C5" w14:paraId="605BFADF" w14:textId="77777777">
            <w:pPr>
              <w:pStyle w:val="RollCallTable"/>
            </w:pPr>
            <w:r>
              <w:t>Tobiasz Bocheński, Arkadiusz Mularczyk, Bogdan Rzońca</w:t>
            </w:r>
          </w:p>
        </w:tc>
      </w:tr>
      <w:tr w14:paraId="0B8AC6EF" w14:textId="77777777" w:rsidTr="00A343C5">
        <w:tblPrEx>
          <w:tblW w:w="0" w:type="auto"/>
          <w:tblInd w:w="145" w:type="dxa"/>
          <w:tblLayout w:type="fixed"/>
          <w:tblCellMar>
            <w:left w:w="145" w:type="dxa"/>
            <w:right w:w="145" w:type="dxa"/>
          </w:tblCellMar>
          <w:tblLook w:val="0000"/>
        </w:tblPrEx>
        <w:trPr>
          <w:cantSplit/>
        </w:trPr>
        <w:tc>
          <w:tcPr>
            <w:tcW w:w="1701" w:type="dxa"/>
            <w:shd w:val="clear" w:color="auto" w:fill="FFFFFF"/>
          </w:tcPr>
          <w:p w:rsidR="00047339" w:rsidRPr="000A2DED" w:rsidP="00A343C5" w14:paraId="72E84C4F" w14:textId="77777777">
            <w:pPr>
              <w:pStyle w:val="RollCallTable"/>
            </w:pPr>
            <w:r>
              <w:t>ESN</w:t>
            </w:r>
          </w:p>
        </w:tc>
        <w:tc>
          <w:tcPr>
            <w:tcW w:w="7371" w:type="dxa"/>
            <w:shd w:val="clear" w:color="auto" w:fill="FFFFFF"/>
          </w:tcPr>
          <w:p w:rsidR="00047339" w:rsidRPr="000A2DED" w:rsidP="00A343C5" w14:paraId="54C458AD" w14:textId="77777777">
            <w:pPr>
              <w:pStyle w:val="RollCallTable"/>
            </w:pPr>
            <w:r>
              <w:t>Alexander Jungbluth</w:t>
            </w:r>
          </w:p>
        </w:tc>
      </w:tr>
      <w:tr w14:paraId="4AB6EB57" w14:textId="77777777" w:rsidTr="00A343C5">
        <w:tblPrEx>
          <w:tblW w:w="0" w:type="auto"/>
          <w:tblInd w:w="145" w:type="dxa"/>
          <w:tblLayout w:type="fixed"/>
          <w:tblCellMar>
            <w:left w:w="145" w:type="dxa"/>
            <w:right w:w="145" w:type="dxa"/>
          </w:tblCellMar>
          <w:tblLook w:val="0000"/>
        </w:tblPrEx>
        <w:trPr>
          <w:cantSplit/>
        </w:trPr>
        <w:tc>
          <w:tcPr>
            <w:tcW w:w="1701" w:type="dxa"/>
            <w:shd w:val="clear" w:color="auto" w:fill="FFFFFF"/>
          </w:tcPr>
          <w:p w:rsidR="00047339" w:rsidRPr="000A2DED" w:rsidP="00A343C5" w14:paraId="65FE6962" w14:textId="77777777">
            <w:pPr>
              <w:pStyle w:val="RollCallTable"/>
            </w:pPr>
            <w:r>
              <w:t>NI</w:t>
            </w:r>
          </w:p>
        </w:tc>
        <w:tc>
          <w:tcPr>
            <w:tcW w:w="7371" w:type="dxa"/>
            <w:shd w:val="clear" w:color="auto" w:fill="FFFFFF"/>
          </w:tcPr>
          <w:p w:rsidR="00047339" w:rsidRPr="000A2DED" w:rsidP="00A343C5" w14:paraId="6C1DB508" w14:textId="77777777">
            <w:pPr>
              <w:pStyle w:val="RollCallTable"/>
            </w:pPr>
            <w:r>
              <w:t>Thomas Geisel</w:t>
            </w:r>
          </w:p>
        </w:tc>
      </w:tr>
      <w:tr w14:paraId="18360C35" w14:textId="77777777" w:rsidTr="00A343C5">
        <w:tblPrEx>
          <w:tblW w:w="0" w:type="auto"/>
          <w:tblInd w:w="145" w:type="dxa"/>
          <w:tblLayout w:type="fixed"/>
          <w:tblCellMar>
            <w:left w:w="145" w:type="dxa"/>
            <w:right w:w="145" w:type="dxa"/>
          </w:tblCellMar>
          <w:tblLook w:val="0000"/>
        </w:tblPrEx>
        <w:trPr>
          <w:cantSplit/>
        </w:trPr>
        <w:tc>
          <w:tcPr>
            <w:tcW w:w="1701" w:type="dxa"/>
            <w:shd w:val="clear" w:color="auto" w:fill="FFFFFF"/>
          </w:tcPr>
          <w:p w:rsidR="00047339" w:rsidRPr="000A2DED" w:rsidP="00A343C5" w14:paraId="666F571F" w14:textId="77777777">
            <w:pPr>
              <w:pStyle w:val="RollCallTable"/>
            </w:pPr>
            <w:r>
              <w:t>PfE</w:t>
            </w:r>
          </w:p>
        </w:tc>
        <w:tc>
          <w:tcPr>
            <w:tcW w:w="7371" w:type="dxa"/>
            <w:shd w:val="clear" w:color="auto" w:fill="FFFFFF"/>
          </w:tcPr>
          <w:p w:rsidR="00047339" w:rsidRPr="000A2DED" w:rsidP="00A343C5" w14:paraId="586E3D64" w14:textId="77777777">
            <w:pPr>
              <w:pStyle w:val="RollCallTable"/>
            </w:pPr>
            <w:r>
              <w:t>Valérie Deloge, Aleksandar Nikolic</w:t>
            </w:r>
          </w:p>
        </w:tc>
      </w:tr>
      <w:tr w14:paraId="10E452CD" w14:textId="77777777" w:rsidTr="00A343C5">
        <w:tblPrEx>
          <w:tblW w:w="0" w:type="auto"/>
          <w:tblInd w:w="145" w:type="dxa"/>
          <w:tblLayout w:type="fixed"/>
          <w:tblCellMar>
            <w:left w:w="145" w:type="dxa"/>
            <w:right w:w="145" w:type="dxa"/>
          </w:tblCellMar>
          <w:tblLook w:val="0000"/>
        </w:tblPrEx>
        <w:trPr>
          <w:cantSplit/>
        </w:trPr>
        <w:tc>
          <w:tcPr>
            <w:tcW w:w="1701" w:type="dxa"/>
            <w:shd w:val="clear" w:color="auto" w:fill="FFFFFF"/>
          </w:tcPr>
          <w:p w:rsidR="00047339" w:rsidRPr="000A2DED" w:rsidP="00A343C5" w14:paraId="6C7F0FCA" w14:textId="77777777">
            <w:pPr>
              <w:pStyle w:val="RollCallTable"/>
            </w:pPr>
            <w:r>
              <w:t>The Left</w:t>
            </w:r>
          </w:p>
        </w:tc>
        <w:tc>
          <w:tcPr>
            <w:tcW w:w="7371" w:type="dxa"/>
            <w:shd w:val="clear" w:color="auto" w:fill="FFFFFF"/>
          </w:tcPr>
          <w:p w:rsidR="00047339" w:rsidRPr="000A2DED" w:rsidP="00A343C5" w14:paraId="618D9D9C" w14:textId="77777777">
            <w:pPr>
              <w:pStyle w:val="RollCallTable"/>
            </w:pPr>
            <w:r>
              <w:t>João Oliveira</w:t>
            </w:r>
          </w:p>
        </w:tc>
      </w:tr>
    </w:tbl>
    <w:p w:rsidR="00047339" w:rsidRPr="000A2DED" w:rsidP="00047339" w14:paraId="22492FE2"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3E4C0ED" w14:textId="77777777" w:rsidTr="00A343C5">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047339" w:rsidRPr="000A2DED" w:rsidP="00A343C5" w14:paraId="6CBEA76C" w14:textId="77777777">
            <w:pPr>
              <w:pStyle w:val="RollCallVotes"/>
            </w:pPr>
            <w:r>
              <w:t>3</w:t>
            </w:r>
          </w:p>
        </w:tc>
        <w:tc>
          <w:tcPr>
            <w:tcW w:w="7371" w:type="dxa"/>
            <w:shd w:val="pct10" w:color="000000" w:fill="FFFFFF"/>
          </w:tcPr>
          <w:p w:rsidR="00047339" w:rsidRPr="000A2DED" w:rsidP="00A343C5" w14:paraId="6929CE85" w14:textId="77777777">
            <w:pPr>
              <w:pStyle w:val="RollCallSymbols14pt"/>
            </w:pPr>
            <w:r>
              <w:t>0</w:t>
            </w:r>
          </w:p>
        </w:tc>
      </w:tr>
      <w:tr w14:paraId="3A7CF08A" w14:textId="77777777" w:rsidTr="00A343C5">
        <w:tblPrEx>
          <w:tblW w:w="0" w:type="auto"/>
          <w:tblInd w:w="145" w:type="dxa"/>
          <w:tblLayout w:type="fixed"/>
          <w:tblCellMar>
            <w:left w:w="145" w:type="dxa"/>
            <w:right w:w="145" w:type="dxa"/>
          </w:tblCellMar>
          <w:tblLook w:val="0000"/>
        </w:tblPrEx>
        <w:trPr>
          <w:cantSplit/>
        </w:trPr>
        <w:tc>
          <w:tcPr>
            <w:tcW w:w="1701" w:type="dxa"/>
            <w:shd w:val="clear" w:color="auto" w:fill="FFFFFF"/>
          </w:tcPr>
          <w:p w:rsidR="00047339" w:rsidRPr="000A2DED" w:rsidP="00A343C5" w14:paraId="79C9FA31" w14:textId="77777777">
            <w:pPr>
              <w:pStyle w:val="RollCallTable"/>
            </w:pPr>
            <w:r>
              <w:t>PfE</w:t>
            </w:r>
          </w:p>
        </w:tc>
        <w:tc>
          <w:tcPr>
            <w:tcW w:w="7371" w:type="dxa"/>
            <w:shd w:val="clear" w:color="auto" w:fill="FFFFFF"/>
          </w:tcPr>
          <w:p w:rsidR="00047339" w:rsidRPr="000A2DED" w:rsidP="00A343C5" w14:paraId="54902F8C" w14:textId="77777777">
            <w:pPr>
              <w:pStyle w:val="RollCallTable"/>
            </w:pPr>
            <w:r>
              <w:t>Tomasz Buczek, Tamás Deutsch, Antonín Staněk</w:t>
            </w:r>
          </w:p>
        </w:tc>
      </w:tr>
    </w:tbl>
    <w:p w:rsidR="00047339" w:rsidP="00147FBF" w14:paraId="6624C070" w14:textId="77777777">
      <w:pPr>
        <w:pStyle w:val="Normal12a"/>
      </w:pPr>
    </w:p>
    <w:p w:rsidR="00047339" w:rsidP="00B735E3" w14:paraId="2AF76E84" w14:textId="77777777">
      <w:r>
        <w:t>Sutartiniai ženklai:</w:t>
      </w:r>
    </w:p>
    <w:p w:rsidR="00047339" w:rsidP="003858C5" w14:paraId="71579205" w14:textId="77777777">
      <w:pPr>
        <w:pStyle w:val="RollCallTabs"/>
      </w:pPr>
      <w:r>
        <w:t>+</w:t>
      </w:r>
      <w:r>
        <w:tab/>
        <w:t>:</w:t>
      </w:r>
      <w:r>
        <w:tab/>
        <w:t>už</w:t>
      </w:r>
    </w:p>
    <w:p w:rsidR="00047339" w:rsidP="003858C5" w14:paraId="4789C260" w14:textId="77777777">
      <w:pPr>
        <w:pStyle w:val="RollCallTabs"/>
      </w:pPr>
      <w:r>
        <w:t>-</w:t>
      </w:r>
      <w:r>
        <w:tab/>
        <w:t>:</w:t>
      </w:r>
      <w:r>
        <w:tab/>
      </w:r>
      <w:r>
        <w:t>prieš</w:t>
      </w:r>
    </w:p>
    <w:p w:rsidR="00047339" w:rsidP="003858C5" w14:paraId="0AF2C0C2" w14:textId="77777777">
      <w:pPr>
        <w:pStyle w:val="RollCallTabs"/>
      </w:pPr>
      <w:r>
        <w:t>0</w:t>
      </w:r>
      <w:r>
        <w:tab/>
        <w:t>:</w:t>
      </w:r>
      <w:r>
        <w:tab/>
        <w:t>susilaikė</w:t>
      </w:r>
    </w:p>
    <w:p w:rsidR="00047339" w:rsidP="00207509" w14:paraId="1DD98AD3" w14:textId="77777777"/>
    <w:bookmarkEnd w:id="2"/>
    <w:p w:rsidR="00C300FD" w:rsidRPr="00047339" w:rsidP="00C300FD" w14:paraId="3DAF8AE8" w14:textId="77777777"/>
    <w:sectPr w:rsidSect="00047339">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ąSVbN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46C" w:rsidRPr="005A146C" w:rsidP="005A146C" w14:paraId="16545081" w14:textId="77777777">
    <w:pPr>
      <w:pStyle w:val="EPFooter"/>
    </w:pPr>
    <w:r w:rsidRPr="005A146C">
      <w:t>PE</w:t>
    </w:r>
    <w:r w:rsidRPr="005A146C">
      <w:rPr>
        <w:rStyle w:val="HideTWBExt"/>
      </w:rPr>
      <w:t>&lt;NoPE&gt;</w:t>
    </w:r>
    <w:r w:rsidRPr="005A146C">
      <w:t>787.644</w:t>
    </w:r>
    <w:r w:rsidRPr="005A146C">
      <w:rPr>
        <w:rStyle w:val="HideTWBExt"/>
      </w:rPr>
      <w:t>&lt;/NoPE&gt;&lt;Version&gt;</w:t>
    </w:r>
    <w:r w:rsidRPr="005A146C">
      <w:t>v04-00</w:t>
    </w:r>
    <w:r w:rsidRPr="005A146C">
      <w:rPr>
        <w:rStyle w:val="HideTWBExt"/>
      </w:rPr>
      <w:t>&lt;/Version&gt;</w:t>
    </w:r>
    <w:r w:rsidRPr="005A146C">
      <w:tab/>
    </w:r>
    <w:r w:rsidRPr="005A146C">
      <w:fldChar w:fldCharType="begin"/>
    </w:r>
    <w:r w:rsidRPr="005A146C">
      <w:instrText xml:space="preserve"> PAGE  \* MERGEFORMAT </w:instrText>
    </w:r>
    <w:r w:rsidRPr="005A146C">
      <w:fldChar w:fldCharType="separate"/>
    </w:r>
    <w:r w:rsidRPr="005A146C">
      <w:rPr>
        <w:noProof/>
      </w:rPr>
      <w:t>2</w:t>
    </w:r>
    <w:r w:rsidRPr="005A146C">
      <w:fldChar w:fldCharType="end"/>
    </w:r>
    <w:r w:rsidRPr="005A146C">
      <w:t>/</w:t>
    </w:r>
    <w:r w:rsidRPr="005A146C">
      <w:fldChar w:fldCharType="begin"/>
    </w:r>
    <w:r>
      <w:instrText xml:space="preserve"> NUMPAGES  \* MERGEFORMAT </w:instrText>
    </w:r>
    <w:r w:rsidRPr="005A146C">
      <w:fldChar w:fldCharType="separate"/>
    </w:r>
    <w:r w:rsidRPr="005A146C">
      <w:rPr>
        <w:noProof/>
      </w:rPr>
      <w:t>1</w:t>
    </w:r>
    <w:r w:rsidRPr="005A146C">
      <w:rPr>
        <w:noProof/>
      </w:rPr>
      <w:fldChar w:fldCharType="end"/>
    </w:r>
    <w:r w:rsidRPr="005A146C">
      <w:tab/>
    </w:r>
    <w:r w:rsidRPr="005A146C">
      <w:rPr>
        <w:rStyle w:val="HideTWBExt"/>
      </w:rPr>
      <w:t>&lt;PathFdR&gt;</w:t>
    </w:r>
    <w:r w:rsidRPr="005A146C">
      <w:t>AD\1347975LT.docx</w:t>
    </w:r>
    <w:r w:rsidRPr="005A146C">
      <w:rPr>
        <w:rStyle w:val="HideTWBExt"/>
      </w:rPr>
      <w:t>&lt;/PathFdR&gt;</w:t>
    </w:r>
  </w:p>
  <w:p w:rsidR="007F621D" w:rsidRPr="005A146C" w:rsidP="005A146C" w14:paraId="3BA12142" w14:textId="77777777">
    <w:pPr>
      <w:pStyle w:val="EPFooter2"/>
    </w:pPr>
    <w:r w:rsidRPr="005A146C">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46C" w:rsidRPr="005A146C" w:rsidP="005A146C" w14:paraId="34ED1D2C" w14:textId="77777777">
    <w:pPr>
      <w:pStyle w:val="EPFooter"/>
    </w:pPr>
    <w:r w:rsidRPr="005A146C">
      <w:rPr>
        <w:rStyle w:val="HideTWBExt"/>
      </w:rPr>
      <w:t>&lt;PathFdR&gt;</w:t>
    </w:r>
    <w:r w:rsidRPr="005A146C">
      <w:t>AD\1347975LT.docx</w:t>
    </w:r>
    <w:r w:rsidRPr="005A146C">
      <w:rPr>
        <w:rStyle w:val="HideTWBExt"/>
      </w:rPr>
      <w:t>&lt;/PathFdR&gt;</w:t>
    </w:r>
    <w:r w:rsidRPr="005A146C">
      <w:tab/>
    </w:r>
    <w:r w:rsidRPr="005A146C">
      <w:fldChar w:fldCharType="begin"/>
    </w:r>
    <w:r w:rsidRPr="005A146C">
      <w:instrText xml:space="preserve"> PAGE  \* MERGEFORMAT </w:instrText>
    </w:r>
    <w:r w:rsidRPr="005A146C">
      <w:fldChar w:fldCharType="separate"/>
    </w:r>
    <w:r w:rsidRPr="005A146C">
      <w:rPr>
        <w:noProof/>
      </w:rPr>
      <w:t>2</w:t>
    </w:r>
    <w:r w:rsidRPr="005A146C">
      <w:fldChar w:fldCharType="end"/>
    </w:r>
    <w:r w:rsidRPr="005A146C">
      <w:t>/</w:t>
    </w:r>
    <w:r w:rsidRPr="005A146C">
      <w:fldChar w:fldCharType="begin"/>
    </w:r>
    <w:r>
      <w:instrText xml:space="preserve"> NUMPAGES  \* MERGEFORMAT </w:instrText>
    </w:r>
    <w:r w:rsidRPr="005A146C">
      <w:fldChar w:fldCharType="separate"/>
    </w:r>
    <w:r w:rsidRPr="005A146C">
      <w:rPr>
        <w:noProof/>
      </w:rPr>
      <w:t>1</w:t>
    </w:r>
    <w:r w:rsidRPr="005A146C">
      <w:rPr>
        <w:noProof/>
      </w:rPr>
      <w:fldChar w:fldCharType="end"/>
    </w:r>
    <w:r w:rsidRPr="005A146C">
      <w:tab/>
      <w:t>PE</w:t>
    </w:r>
    <w:r w:rsidRPr="005A146C">
      <w:rPr>
        <w:rStyle w:val="HideTWBExt"/>
      </w:rPr>
      <w:t>&lt;NoPE&gt;</w:t>
    </w:r>
    <w:r w:rsidRPr="005A146C">
      <w:t>787.644</w:t>
    </w:r>
    <w:r w:rsidRPr="005A146C">
      <w:rPr>
        <w:rStyle w:val="HideTWBExt"/>
      </w:rPr>
      <w:t>&lt;/NoPE&gt;&lt;Version&gt;</w:t>
    </w:r>
    <w:r w:rsidRPr="005A146C">
      <w:t>v04-00</w:t>
    </w:r>
    <w:r w:rsidRPr="005A146C">
      <w:rPr>
        <w:rStyle w:val="HideTWBExt"/>
      </w:rPr>
      <w:t>&lt;/Version&gt;</w:t>
    </w:r>
  </w:p>
  <w:p w:rsidR="007F621D" w:rsidRPr="005A146C" w:rsidP="005A146C" w14:paraId="0784F56F" w14:textId="77777777">
    <w:pPr>
      <w:pStyle w:val="EPFooter2"/>
    </w:pPr>
    <w:r w:rsidRPr="005A146C">
      <w:tab/>
    </w:r>
    <w:r w:rsidRPr="005A146C">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A146C" w:rsidRPr="005A146C" w:rsidP="005A146C" w14:paraId="73736764" w14:textId="77777777">
    <w:pPr>
      <w:pStyle w:val="EPFooter"/>
    </w:pPr>
    <w:r w:rsidRPr="005A146C">
      <w:rPr>
        <w:rStyle w:val="HideTWBExt"/>
      </w:rPr>
      <w:t>&lt;PathFdR&gt;</w:t>
    </w:r>
    <w:r w:rsidRPr="005A146C">
      <w:t>AD\1347975LT.docx</w:t>
    </w:r>
    <w:r w:rsidRPr="005A146C">
      <w:rPr>
        <w:rStyle w:val="HideTWBExt"/>
      </w:rPr>
      <w:t>&lt;/PathFdR&gt;</w:t>
    </w:r>
    <w:r w:rsidRPr="005A146C">
      <w:tab/>
    </w:r>
    <w:r w:rsidRPr="005A146C">
      <w:tab/>
      <w:t>PE</w:t>
    </w:r>
    <w:r w:rsidRPr="005A146C">
      <w:rPr>
        <w:rStyle w:val="HideTWBExt"/>
      </w:rPr>
      <w:t>&lt;NoPE&gt;</w:t>
    </w:r>
    <w:r w:rsidRPr="005A146C">
      <w:t>787.644</w:t>
    </w:r>
    <w:r w:rsidRPr="005A146C">
      <w:rPr>
        <w:rStyle w:val="HideTWBExt"/>
      </w:rPr>
      <w:t>&lt;/NoPE&gt;&lt;Version&gt;</w:t>
    </w:r>
    <w:r w:rsidRPr="005A146C">
      <w:t>v04-00</w:t>
    </w:r>
    <w:r w:rsidRPr="005A146C">
      <w:rPr>
        <w:rStyle w:val="HideTWBExt"/>
      </w:rPr>
      <w:t>&lt;/Version&gt;</w:t>
    </w:r>
  </w:p>
  <w:p w:rsidR="007F621D" w:rsidRPr="005A146C" w:rsidP="005A146C" w14:paraId="2D524D15" w14:textId="77777777">
    <w:pPr>
      <w:pStyle w:val="EPFooter2"/>
    </w:pPr>
    <w:r w:rsidRPr="005A146C">
      <w:t>LT</w:t>
    </w:r>
    <w:r w:rsidRPr="005A146C">
      <w:tab/>
    </w:r>
    <w:r w:rsidRPr="005A146C">
      <w:rPr>
        <w:b w:val="0"/>
        <w:i/>
        <w:color w:val="C0C0C0"/>
        <w:sz w:val="22"/>
      </w:rPr>
      <w:t>Suvienijusi įvairovę</w:t>
    </w:r>
    <w:r w:rsidRPr="005A146C">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B2D7E" w:rsidRPr="005A146C" w14:paraId="1FEB24D1" w14:textId="77777777">
      <w:r w:rsidRPr="005A146C">
        <w:separator/>
      </w:r>
    </w:p>
  </w:footnote>
  <w:footnote w:type="continuationSeparator" w:id="1">
    <w:p w:rsidR="00CB2D7E" w:rsidRPr="005A146C" w14:paraId="0A195E6D" w14:textId="77777777">
      <w:r w:rsidRPr="005A146C">
        <w:continuationSeparator/>
      </w:r>
    </w:p>
  </w:footnote>
  <w:footnote w:id="2">
    <w:p w:rsidR="00047339" w:rsidRPr="009400BD" w:rsidP="00047339" w14:paraId="1F15BD77" w14:textId="279D523F">
      <w:pPr>
        <w:pStyle w:val="FootnoteText"/>
      </w:pPr>
      <w:r>
        <w:rPr>
          <w:rStyle w:val="FootnoteReference"/>
        </w:rPr>
        <w:footnoteRef/>
      </w:r>
      <w:r>
        <w:t xml:space="preserve"> 2024 m. rugsėjo 23 d. Europos Parlamento ir Tarybos reglamentas (ES, Euratomas) 2024/2509 dėl Sąjungos bendrajam biudžetui taikomų finansinių taisyklių (OL L, 2024/2509, 2024 9 26, ELI: </w:t>
      </w:r>
      <w:hyperlink r:id="rId1" w:tgtFrame="_blank" w:tooltip="Dokumento ELI URI nuoroda" w:history="1">
        <w:r>
          <w:rPr>
            <w:rStyle w:val="Hyperlink"/>
          </w:rPr>
          <w:t>http://data.europa.eu/eli/reg/2024/2509/oj</w:t>
        </w:r>
      </w:hyperlink>
      <w:r>
        <w:t>).</w:t>
      </w:r>
    </w:p>
  </w:footnote>
  <w:footnote w:id="3">
    <w:p w:rsidR="00047339" w:rsidRPr="009400BD" w:rsidP="00047339" w14:paraId="201233E2" w14:textId="2E6F9F34">
      <w:pPr>
        <w:pStyle w:val="FootnoteText"/>
      </w:pPr>
      <w:r>
        <w:rPr>
          <w:rStyle w:val="FootnoteReference"/>
        </w:rPr>
        <w:footnoteRef/>
      </w:r>
      <w:r>
        <w:t xml:space="preserve"> 2021 m. kovo 24 d. Europos Parlamento ir Tarybos reglamentas (ES) 2021/523, kuriuo nustatoma programa „InvestEU“ ir iš dalies keičiamas Reglamentas (ES) 2015/1017, (OL L 107, 2021 3 26, p. 30, ELI: </w:t>
      </w:r>
      <w:hyperlink r:id="rId2" w:tooltip="Dokumento ELI URI nuoroda" w:history="1">
        <w:r>
          <w:rPr>
            <w:rStyle w:val="Hyperlink"/>
          </w:rPr>
          <w:t>http://data.europa.eu/eli/reg/2021/523/oj</w:t>
        </w:r>
      </w:hyperlink>
      <w:r>
        <w:t>).</w:t>
      </w:r>
    </w:p>
  </w:footnote>
  <w:footnote w:id="4">
    <w:p w:rsidR="00047339" w14:paraId="755D1AAC" w14:textId="7CC5D39E">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ELI: </w:t>
      </w:r>
      <w:hyperlink r:id="rId3" w:tooltip="http://data.europa.eu/eli/agree_interinstit/2021/611/oj" w:history="1">
        <w:r>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39" w14:paraId="023088A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39" w14:paraId="1D885F2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47339" w14:paraId="290A7B6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nsid w:val="15CC7365"/>
    <w:multiLevelType w:val="hybridMultilevel"/>
    <w:tmpl w:val="C2CA7152"/>
    <w:lvl w:ilvl="0">
      <w:start w:val="1"/>
      <w:numFmt w:val="decimal"/>
      <w:pStyle w:val="Paragraph0"/>
      <w:lvlText w:val="%1."/>
      <w:lvlJc w:val="left"/>
      <w:pPr>
        <w:ind w:left="360" w:hanging="360"/>
      </w:pPr>
      <w:rPr>
        <w:rFonts w:hint="default"/>
      </w:rPr>
    </w:lvl>
    <w:lvl w:ilvl="1">
      <w:start w:val="1"/>
      <w:numFmt w:val="lowerLetter"/>
      <w:pStyle w:val="Subparagraph"/>
      <w:lvlText w:val="(%2)"/>
      <w:lvlJc w:val="left"/>
      <w:pPr>
        <w:ind w:left="1080" w:hanging="360"/>
      </w:pPr>
      <w:rPr>
        <w:rFonts w:hint="default"/>
      </w:rPr>
    </w:lvl>
    <w:lvl w:ilvl="2">
      <w:start w:val="1"/>
      <w:numFmt w:val="lowerRoman"/>
      <w:pStyle w:val="Subsubparagraph"/>
      <w:lvlText w:val="(%3)"/>
      <w:lvlJc w:val="right"/>
      <w:pPr>
        <w:ind w:left="1800" w:hanging="180"/>
      </w:pPr>
      <w:rPr>
        <w:rFonts w:hint="default"/>
      </w:r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7">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8">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5">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6">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7">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18">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19">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1">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2">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3">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4">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5">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nsid w:val="65040A8C"/>
    <w:multiLevelType w:val="hybridMultilevel"/>
    <w:tmpl w:val="09CADE60"/>
    <w:styleLink w:val="LFO14"/>
    <w:lvl w:ilvl="0">
      <w:start w:val="1"/>
      <w:numFmt w:val="decimal"/>
      <w:pStyle w:val="Recital"/>
      <w:lvlText w:val="(%1)"/>
      <w:lvlJc w:val="left"/>
      <w:pPr>
        <w:ind w:left="108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8">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28"/>
  </w:num>
  <w:num w:numId="7">
    <w:abstractNumId w:val="25"/>
  </w:num>
  <w:num w:numId="8">
    <w:abstractNumId w:val="29"/>
  </w:num>
  <w:num w:numId="9">
    <w:abstractNumId w:val="30"/>
  </w:num>
  <w:num w:numId="10">
    <w:abstractNumId w:val="1"/>
  </w:num>
  <w:num w:numId="11">
    <w:abstractNumId w:val="11"/>
  </w:num>
  <w:num w:numId="12">
    <w:abstractNumId w:val="2"/>
  </w:num>
  <w:num w:numId="13">
    <w:abstractNumId w:val="12"/>
  </w:num>
  <w:num w:numId="14">
    <w:abstractNumId w:val="10"/>
  </w:num>
  <w:num w:numId="15">
    <w:abstractNumId w:val="19"/>
  </w:num>
  <w:num w:numId="16">
    <w:abstractNumId w:val="8"/>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num>
  <w:num w:numId="20">
    <w:abstractNumId w:val="3"/>
  </w:num>
  <w:num w:numId="21">
    <w:abstractNumId w:val="26"/>
  </w:num>
  <w:num w:numId="22">
    <w:abstractNumId w:val="24"/>
    <w:lvlOverride w:ilvl="0">
      <w:startOverride w:val="1"/>
    </w:lvlOverride>
  </w:num>
  <w:num w:numId="23">
    <w:abstractNumId w:val="27"/>
  </w:num>
  <w:num w:numId="24">
    <w:abstractNumId w:val="7"/>
  </w:num>
  <w:num w:numId="25">
    <w:abstractNumId w:val="14"/>
  </w:num>
  <w:num w:numId="26">
    <w:abstractNumId w:val="15"/>
  </w:num>
  <w:num w:numId="27">
    <w:abstractNumId w:val="16"/>
  </w:num>
  <w:num w:numId="28">
    <w:abstractNumId w:val="22"/>
  </w:num>
  <w:num w:numId="29">
    <w:abstractNumId w:val="23"/>
  </w:num>
  <w:num w:numId="30">
    <w:abstractNumId w:val="6"/>
  </w:num>
  <w:num w:numId="31">
    <w:abstractNumId w:val="20"/>
  </w:num>
  <w:num w:numId="32">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578"/>
    <w:rsid w:val="00006F54"/>
    <w:rsid w:val="000074F9"/>
    <w:rsid w:val="00007C5D"/>
    <w:rsid w:val="0003367A"/>
    <w:rsid w:val="00037518"/>
    <w:rsid w:val="00047339"/>
    <w:rsid w:val="0005228C"/>
    <w:rsid w:val="00095B6D"/>
    <w:rsid w:val="000A1BD7"/>
    <w:rsid w:val="000A2DED"/>
    <w:rsid w:val="000E37E1"/>
    <w:rsid w:val="000E7EBF"/>
    <w:rsid w:val="00120A27"/>
    <w:rsid w:val="00123709"/>
    <w:rsid w:val="00124F60"/>
    <w:rsid w:val="00135121"/>
    <w:rsid w:val="00140BE6"/>
    <w:rsid w:val="001449F5"/>
    <w:rsid w:val="00147F4E"/>
    <w:rsid w:val="00147FBF"/>
    <w:rsid w:val="0015504C"/>
    <w:rsid w:val="00164578"/>
    <w:rsid w:val="0016635E"/>
    <w:rsid w:val="00173215"/>
    <w:rsid w:val="001746D0"/>
    <w:rsid w:val="001B7393"/>
    <w:rsid w:val="001D2ED9"/>
    <w:rsid w:val="001D79F7"/>
    <w:rsid w:val="001E272D"/>
    <w:rsid w:val="001E42AF"/>
    <w:rsid w:val="001F21C1"/>
    <w:rsid w:val="00207509"/>
    <w:rsid w:val="002172E3"/>
    <w:rsid w:val="002407F9"/>
    <w:rsid w:val="002410A3"/>
    <w:rsid w:val="002B2C72"/>
    <w:rsid w:val="002D28A7"/>
    <w:rsid w:val="002E2F2E"/>
    <w:rsid w:val="002E4AA3"/>
    <w:rsid w:val="002E6F98"/>
    <w:rsid w:val="002F1F5C"/>
    <w:rsid w:val="002F2D70"/>
    <w:rsid w:val="002F46CC"/>
    <w:rsid w:val="00325BCB"/>
    <w:rsid w:val="00331944"/>
    <w:rsid w:val="00332AD9"/>
    <w:rsid w:val="003402B9"/>
    <w:rsid w:val="00347254"/>
    <w:rsid w:val="00347D2C"/>
    <w:rsid w:val="00362463"/>
    <w:rsid w:val="00367A50"/>
    <w:rsid w:val="0037356F"/>
    <w:rsid w:val="003858C5"/>
    <w:rsid w:val="00390EB2"/>
    <w:rsid w:val="00391AC1"/>
    <w:rsid w:val="00396A0E"/>
    <w:rsid w:val="003E2402"/>
    <w:rsid w:val="00450A7E"/>
    <w:rsid w:val="00452DFC"/>
    <w:rsid w:val="004667D1"/>
    <w:rsid w:val="00485C5C"/>
    <w:rsid w:val="00491675"/>
    <w:rsid w:val="00492915"/>
    <w:rsid w:val="004B12C4"/>
    <w:rsid w:val="004B379C"/>
    <w:rsid w:val="004C28FB"/>
    <w:rsid w:val="004C44C0"/>
    <w:rsid w:val="0052544E"/>
    <w:rsid w:val="00573B37"/>
    <w:rsid w:val="00593056"/>
    <w:rsid w:val="005940C3"/>
    <w:rsid w:val="00594C48"/>
    <w:rsid w:val="005A146C"/>
    <w:rsid w:val="005A5888"/>
    <w:rsid w:val="005B2F11"/>
    <w:rsid w:val="005C0BDF"/>
    <w:rsid w:val="005D60C6"/>
    <w:rsid w:val="005D6788"/>
    <w:rsid w:val="005D6C18"/>
    <w:rsid w:val="005F31B8"/>
    <w:rsid w:val="006102E7"/>
    <w:rsid w:val="00610E96"/>
    <w:rsid w:val="00615CCE"/>
    <w:rsid w:val="00624D91"/>
    <w:rsid w:val="00627581"/>
    <w:rsid w:val="0063302C"/>
    <w:rsid w:val="00640C1B"/>
    <w:rsid w:val="00657AFB"/>
    <w:rsid w:val="006A4D26"/>
    <w:rsid w:val="006A658B"/>
    <w:rsid w:val="006D5BF7"/>
    <w:rsid w:val="006D6C3E"/>
    <w:rsid w:val="00711697"/>
    <w:rsid w:val="00732498"/>
    <w:rsid w:val="00757C4C"/>
    <w:rsid w:val="007638D0"/>
    <w:rsid w:val="00787F96"/>
    <w:rsid w:val="007B0A0D"/>
    <w:rsid w:val="007B5CC7"/>
    <w:rsid w:val="007C35EE"/>
    <w:rsid w:val="007E3447"/>
    <w:rsid w:val="007F621D"/>
    <w:rsid w:val="00802975"/>
    <w:rsid w:val="00825069"/>
    <w:rsid w:val="008313E7"/>
    <w:rsid w:val="00852263"/>
    <w:rsid w:val="00854CAC"/>
    <w:rsid w:val="00873BF3"/>
    <w:rsid w:val="008A32C5"/>
    <w:rsid w:val="008B4173"/>
    <w:rsid w:val="008C6203"/>
    <w:rsid w:val="008D61E7"/>
    <w:rsid w:val="008E2BE3"/>
    <w:rsid w:val="008F33FC"/>
    <w:rsid w:val="008F7002"/>
    <w:rsid w:val="00903C55"/>
    <w:rsid w:val="00935936"/>
    <w:rsid w:val="009400BD"/>
    <w:rsid w:val="00944A7D"/>
    <w:rsid w:val="009626A8"/>
    <w:rsid w:val="009651C5"/>
    <w:rsid w:val="0099178F"/>
    <w:rsid w:val="0099493F"/>
    <w:rsid w:val="009D5DB8"/>
    <w:rsid w:val="009D75B3"/>
    <w:rsid w:val="00A16BEA"/>
    <w:rsid w:val="00A312B3"/>
    <w:rsid w:val="00A343C5"/>
    <w:rsid w:val="00A47E2F"/>
    <w:rsid w:val="00A56164"/>
    <w:rsid w:val="00A72C35"/>
    <w:rsid w:val="00A953AD"/>
    <w:rsid w:val="00AB5733"/>
    <w:rsid w:val="00AC5AAD"/>
    <w:rsid w:val="00AE180F"/>
    <w:rsid w:val="00AE5581"/>
    <w:rsid w:val="00AE616C"/>
    <w:rsid w:val="00AE679E"/>
    <w:rsid w:val="00AE79AF"/>
    <w:rsid w:val="00B362F7"/>
    <w:rsid w:val="00B5456B"/>
    <w:rsid w:val="00B60B2D"/>
    <w:rsid w:val="00B60BF2"/>
    <w:rsid w:val="00B735E3"/>
    <w:rsid w:val="00B74B53"/>
    <w:rsid w:val="00B87BB2"/>
    <w:rsid w:val="00BA41A6"/>
    <w:rsid w:val="00BA6913"/>
    <w:rsid w:val="00BC26E4"/>
    <w:rsid w:val="00BD1EAA"/>
    <w:rsid w:val="00BF0AFC"/>
    <w:rsid w:val="00BF6786"/>
    <w:rsid w:val="00C300FD"/>
    <w:rsid w:val="00C36610"/>
    <w:rsid w:val="00C52739"/>
    <w:rsid w:val="00C81823"/>
    <w:rsid w:val="00C827FF"/>
    <w:rsid w:val="00C8553D"/>
    <w:rsid w:val="00C85D0F"/>
    <w:rsid w:val="00C96F0A"/>
    <w:rsid w:val="00CB2D7E"/>
    <w:rsid w:val="00CB5CA5"/>
    <w:rsid w:val="00CD34AC"/>
    <w:rsid w:val="00CE6558"/>
    <w:rsid w:val="00D006EE"/>
    <w:rsid w:val="00D318E7"/>
    <w:rsid w:val="00D64928"/>
    <w:rsid w:val="00D7202C"/>
    <w:rsid w:val="00D7238E"/>
    <w:rsid w:val="00D8432D"/>
    <w:rsid w:val="00D90FF0"/>
    <w:rsid w:val="00DC4F54"/>
    <w:rsid w:val="00DE19FF"/>
    <w:rsid w:val="00DE7874"/>
    <w:rsid w:val="00E00418"/>
    <w:rsid w:val="00E43B2F"/>
    <w:rsid w:val="00E81BA6"/>
    <w:rsid w:val="00E856D2"/>
    <w:rsid w:val="00E929A7"/>
    <w:rsid w:val="00E9312B"/>
    <w:rsid w:val="00E952FB"/>
    <w:rsid w:val="00EB761F"/>
    <w:rsid w:val="00F06332"/>
    <w:rsid w:val="00F42F07"/>
    <w:rsid w:val="00F8054D"/>
    <w:rsid w:val="00FC2049"/>
    <w:rsid w:val="00FC228C"/>
    <w:rsid w:val="00FC42F1"/>
    <w:rsid w:val="00FC6460"/>
    <w:rsid w:val="00FD0D14"/>
    <w:rsid w:val="00FD4BC4"/>
    <w:rsid w:val="00FE24DE"/>
    <w:rsid w:val="00FE761F"/>
    <w:rsid w:val="00FF3DDF"/>
    <w:rsid w:val="00FF4B50"/>
  </w:rsids>
  <w:docVars>
    <w:docVar w:name="ADOPTIONMNU" w:val=" 1"/>
    <w:docVar w:name="AMACT2MNU" w:val=" 5"/>
    <w:docVar w:name="AMACTMNU" w:val=" 1"/>
    <w:docVar w:name="AMPLURMNU" w:val=" 1"/>
    <w:docVar w:name="AUTHORMFMNU" w:val=" 2"/>
    <w:docVar w:name="AUTHORMFPMNU" w:val=" 2"/>
    <w:docVar w:name="CJMNU" w:val="1"/>
    <w:docVar w:name="CODEMNU" w:val=" 3"/>
    <w:docVar w:name="COM2KEY" w:val="BUDG"/>
    <w:docVar w:name="COMKEY" w:val="BUDG"/>
    <w:docVar w:name="CONTRIBUTIONMNU" w:val=" 1"/>
    <w:docVar w:name="CopyToNetwork" w:val="-1"/>
    <w:docVar w:name="CVar" w:val="1"/>
    <w:docVar w:name="DOCDT" w:val="16/04/2026"/>
    <w:docVar w:name="DOCMNU" w:val=" 1"/>
    <w:docVar w:name="FONCTIONMNU" w:val=" 1"/>
    <w:docVar w:name="iNoAmend" w:val="1"/>
    <w:docVar w:name="LastEditedSection" w:val=" 1"/>
    <w:docVar w:name="ORLANGKEY" w:val="EN"/>
    <w:docVar w:name="ORLANGMNU" w:val=" 1"/>
    <w:docVar w:name="PROPOSALCODMNU" w:val=" 1"/>
    <w:docVar w:name="RepeatBlock-AmendEN" w:val="{\rtf1\adeflang1025\ansi\ansicpg1252\uc1\adeff0\deff0\stshfdbch0\stshfloch0\stshfhich0\stshfbi0\deflang2057\deflangfe2052\themelang2057\themelangfe2052\themelangcs1108{\fonttbl{\f0\fbidi \froman\fcharset0\fprq2{\*\panose 02020603050405020304}Times New Roman;}{\f1\fbidi \fswiss\fcharset0\fprq2{\*\panose 020b0604020202020204}Arial;}&#13;_x000a_{\f34\fbidi \froman\fcharset0\fprq2{\*\panose 02040503050406030204}Cambria Math;}{\f43\fbidi \fnil\fcharset134\fprq2{\*\panose 02010600030101010101}DengXian Light{\*\falt \'b5\'c8\'cf\'df Light};}{\f325\fbidi \fnil\fcharset134\fprq2 @DengXian Light;}&#13;_x000a_{\flomajor\f31500\fbidi \froman\fcharset0\fprq2{\*\panose 02020603050405020304}Times New Roman;}{\fdbmajor\f31501\fbidi \fnil\fcharset134\fprq2{\*\panose 02010600030101010101}DengXian Light{\*\falt \'b5\'c8\'cf\'df Light};}&#13;_x000a_{\fhimajor\f31502\fbidi \fswiss\fcharset0\fprq2{\*\panose 020f0302020204030204}Calibri Light;}{\fbimajor\f31503\fbidi \fswiss\fcharset222\fprq2 DokChampa{\*\falt Leelawadee UI};}&#13;_x000a_{\flominor\f31504\fbidi \froman\fcharset0\fprq2{\*\panose 02020603050405020304}Times New Roman;}{\fdbminor\f31505\fbidi \fnil\fcharset134\fprq2{\*\panose 02010600030101010101}DengXian{\*\falt \'b5\'c8\'cf\'df};}&#13;_x000a_{\fhiminor\f31506\fbidi \fswiss\fcharset0\fprq2{\*\panose 020f0502020204030204}Calibri;}{\fbiminor\f31507\fbidi \fswiss\fcharset222\fprq2 DokChampa{\*\falt Leelawadee UI};}{\f1380\fbidi \froman\fcharset238\fprq2 Times New Roman CE;}&#13;_x000a_{\f1381\fbidi \froman\fcharset204\fprq2 Times New Roman Cyr;}{\f1383\fbidi \froman\fcharset161\fprq2 Times New Roman Greek;}{\f1384\fbidi \froman\fcharset162\fprq2 Times New Roman Tur;}{\f1385\fbidi \froman\fcharset177\fprq2 Times New Roman (Hebrew);}&#13;_x000a_{\f1386\fbidi \froman\fcharset178\fprq2 Times New Roman (Arabic);}{\f1387\fbidi \froman\fcharset186\fprq2 Times New Roman Baltic;}{\f1388\fbidi \froman\fcharset163\fprq2 Times New Roman (Vietnamese);}{\f1390\fbidi \fswiss\fcharset238\fprq2 Arial CE;}&#13;_x000a_{\f1391\fbidi \fswiss\fcharset204\fprq2 Arial Cyr;}{\f1393\fbidi \fswiss\fcharset161\fprq2 Arial Greek;}{\f1394\fbidi \fswiss\fcharset162\fprq2 Arial Tur;}{\f1395\fbidi \fswiss\fcharset177\fprq2 Arial (Hebrew);}&#13;_x000a_{\f1396\fbidi \fswiss\fcharset178\fprq2 Arial (Arabic);}{\f1397\fbidi \fswiss\fcharset186\fprq2 Arial Baltic;}{\f1398\fbidi \fswiss\fcharset163\fprq2 Arial (Vietnamese);}{\f1720\fbidi \froman\fcharset238\fprq2 Cambria Math CE;}&#13;_x000a_{\f1721\fbidi \froman\fcharset204\fprq2 Cambria Math Cyr;}{\f1723\fbidi \froman\fcharset161\fprq2 Cambria Math Greek;}{\f1724\fbidi \froman\fcharset162\fprq2 Cambria Math Tur;}{\f1727\fbidi \froman\fcharset186\fprq2 Cambria Math Baltic;}&#13;_x000a_{\f1728\fbidi \froman\fcharset163\fprq2 Cambria Math (Vietnamese);}{\f1812\fbidi \fnil\fcharset0\fprq2 DengXian Light Western{\*\falt \'b5\'c8\'cf\'df Light};}{\f1810\fbidi \fnil\fcharset238\fprq2 DengXian Light CE{\*\falt \'b5\'c8\'cf\'df Light};}&#13;_x000a_{\f1811\fbidi \fnil\fcharset204\fprq2 DengXian Light Cyr{\*\falt \'b5\'c8\'cf\'df Light};}{\f1813\fbidi \fnil\fcharset161\fprq2 DengXian Light Greek{\*\falt \'b5\'c8\'cf\'df Light};}{\f4632\fbidi \fnil\fcharset0\fprq2 @DengXian Light Western;}&#13;_x000a_{\f4630\fbidi \fnil\fcharset238\fprq2 @DengXian Light CE;}{\f4631\fbidi \fnil\fcharset204\fprq2 @DengXian Light Cyr;}{\f4633\fbidi \fnil\fcharset161\fprq2 @DengXian Light Greek;}{\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nil\fcharset0\fprq2 DengXian Light Western{\*\falt \'b5\'c8\'cf\'df Light};}&#13;_x000a_{\fdbmajor\f31518\fbidi \fnil\fcharset238\fprq2 DengXian Light CE{\*\falt \'b5\'c8\'cf\'df Light};}{\fdbmajor\f31519\fbidi \fnil\fcharset204\fprq2 DengXian Light Cyr{\*\falt \'b5\'c8\'cf\'df Light};}&#13;_x000a_{\fdbmajor\f31521\fbidi \fnil\fcharset161\fprq2 DengXian Light Greek{\*\falt \'b5\'c8\'cf\'df Light};}{\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60\fbidi \fnil\fcharset0\fprq2 DengXian Western{\*\falt \'b5\'c8\'cf\'df};}{\fdbminor\f31558\fbidi \fnil\fcharset238\fprq2 DengXian CE{\*\falt \'b5\'c8\'cf\'df};}&#13;_x000a_{\fdbminor\f31559\fbidi \fnil\fcharset204\fprq2 DengXian Cyr{\*\falt \'b5\'c8\'cf\'df};}{\fdbminor\f31561\fbidi \fnil\fcharset161\fprq2 DengXian Greek{\*\falt \'b5\'c8\'cf\'df};}{\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lang2057\langfe2057\langfenp2057 }{\*\defpap &#13;_x000a_\ql \li0\ri0\widctlpar\wrapdefault\aspalpha\aspnum\faauto\adjustright\rin0\lin0\itap0 }\noqfpromote {\stylesheet{\ql \li0\ri0\widctlpar\wrapdefault\aspalpha\aspnum\faauto\adjustright\rin0\lin0\itap0 \rtlch\fcs1 \af0\afs20\alang1025 \ltrch\fcs0 &#13;_x000a_\fs24\lang2057\langfe2057\cgrid\langnp2057\langfenp2057 \snext0 \sqformat \spriority0 \styrsid7823322 Normal;}{\s1\ql \li0\ri0\sb240\keep\keepn\widctlpar\wrapdefault\aspalpha\aspnum\faauto\outlinelevel0\adjustright\rin0\lin0\itap0 \rtlch\fcs1 &#13;_x000a_\af31503\afs32\alang1025 \ltrch\fcs0 \fs32\cf19\lang2057\langfe2057\loch\f31502\hich\af31502\dbch\af31501\cgrid\langnp2057\langfenp2057 \sbasedon0 \snext0 \slink15 \ssemihidden \sqformat \spriority0 \styrsid223860 heading 1;}{\*\cs10 \additive &#13;_x000a_\ssemihidden \sunhideused \spriority1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8669353 HideTWBExt;}{\*\cs18 \additive \v\f1\fs20\cf15 &#13;_x000a_\spriority0 \styrsid8669353 HideTWBInt;}{\s19\ql \li0\ri0\nowidctlpar\wrapdefault\aspalpha\aspnum\faauto\adjustright\rin0\lin0\itap0 \rtlch\fcs1 \af0\afs20\alang1025 \ltrch\fcs0 \b\fs24\lang2057\langfe2057\cgrid\langnp2057\langfenp2057 &#13;_x000a_\sbasedon0 \snext19 \spriority0 \styrsid8669353 NormalBold;}{\s20\ql \li0\ri0\sa120\nowidctlpar\wrapdefault\aspalpha\aspnum\faauto\adjustright\rin0\lin0\itap0 \rtlch\fcs1 \af0\afs20\alang1025 \ltrch\fcs0 &#13;_x000a_\fs24\lang2057\langfe2057\cgrid\langnp2057\langfenp2057 \sbasedon0 \snext20 \spriority0 \styrsid8669353 Normal6a;}{\s21\qc \li0\ri0\sa240\nowidctlpar\wrapdefault\aspalpha\aspnum\faauto\adjustright\rin0\lin0\itap0 \rtlch\fcs1 \af0\afs20\alang1025 &#13;_x000a_\ltrch\fcs0 \i\fs24\lang2057\langfe2057\cgrid\langnp2057\langfenp2057 \sbasedon0 \snext21 \spriority0 \styrsid8669353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8669353 AmNumberTabs;}{\s23\ql \li0\ri0\sa240\nowidctlpar\wrapdefault\aspalpha\aspnum\faauto\adjustright\rin0\lin0\itap0 \rtlch\fcs1 &#13;_x000a_\af0\afs20\alang1025 \ltrch\fcs0 \i\fs24\lang2057\langfe2057\cgrid\langnp2057\langfenp2057 \sbasedon0 \snext23 \spriority0 \styrsid8669353 AmJustText;}{&#13;_x000a_\s24\qc \li0\ri0\sb240\sa240\nowidctlpar\wrapdefault\aspalpha\aspnum\faauto\adjustright\rin0\lin0\itap0 \rtlch\fcs1 \af0\afs20\alang1025 \ltrch\fcs0 \i\fs24\lang2057\langfe2057\cgrid\langnp2057\langfenp2057 \sbasedon0 \snext24 \spriority0 \styrsid8669353 &#13;_x000a_AmCrossRef;}{\s25\qc \li0\ri0\sb240\sa240\keepn\nowidctlpar\wrapdefault\aspalpha\aspnum\faauto\adjustright\rin0\lin0\itap0 \rtlch\fcs1 \af0\afs20\alang1025 \ltrch\fcs0 \i\fs24\lang2057\langfe2057\cgrid\langnp2057\langfenp2057 &#13;_x000a_\sbasedon0 \snext23 \spriority0 \styrsid8669353 AmJustTitle;}{\s26\ql \li0\ri0\sb240\nowidctlpar\wrapdefault\aspalpha\aspnum\faauto\adjustright\rin0\lin0\itap0 \rtlch\fcs1 \af0\afs20\alang1025 \ltrch\fcs0 &#13;_x000a_\b\fs24\lang2057\langfe2057\cgrid\langnp2057\langfenp2057 \sbasedon0 \snext26 \spriority0 \styrsid8669353 NormalBold12b;}}{\*\rsidtbl \rsid24658\rsid223860\rsid735077\rsid1718133\rsid2035649\rsid2892074\rsid3565327\rsid4666813\rsid6641733\rsid7823322&#13;_x000a_\rsid8669353\rsid9636012\rsid10377208\rsid11215221\rsid11429790\rsid11549030\rsid12154954\rsid14382809\rsid14424199\rsid15204470\rsid15285974\rsid15950462\rsid16324206\rsid16662270}{\mmathPr\mmathFont34\mbrkBin0\mbrkBinSub0\msmallFrac0\mdispDef1\mlMargin0&#13;_x000a_\mrMargin0\mdefJc1\mwrapIndent1440\mintLim0\mnaryLim1}{\info{\upr{\author LIEKYT? Laura}{\*\ud\uc0{\author LIEKYT{\uc1\u278 E Laura}}}}{\upr{\operator LIEKYT? Laura}{\*\ud\uc0{\operator LIEKYT{\uc1\u278 E Laura}}}}{\creatim\yr2026\mo7\dy29\hr11\min58}&#13;_x000a_{\revtim\yr2026\mo7\dy29\hr11\min58}{\version1}{\edmins0}{\nofpages1}{\nofwords104}{\nofchars597}{\nofcharsws700}{\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669353\newtblstyruls\nogrowautofit\usenormstyforlist\noindnmbrts\felnbrelev\nocxsptable\indrlsweleven\noafcnsttbl\afelev\utinl\hwelev\spltpgpar\notcvasp\notbrkcnstfrctbl\notvatxbx\krnprsnet\cachedcolbal &#13;_x000a_\donotshowinsdel1\nouicompat \fet0{\*\wgrffmtfilter 013f}\nofeaturethrottle1\ilfomacatclnup0{\*\template C:\\Users\\lliekyte\\AppData\\Local\\Temp\\Blank1.dotx}{\*\ftnsep \ltrpar \pard\plain \ltrpar&#13;_x000a_\ql \li0\ri0\widctlpar\wrapdefault\aspalpha\aspnum\faauto\adjustright\rin0\lin0\itap0 \rtlch\fcs1 \af0\afs20\alang1025 \ltrch\fcs0 \fs24\lang2057\langfe2057\cgrid\langnp2057\langfenp2057 {\rtlch\fcs1 \af0 \ltrch\fcs0 \insrsid2035649 \chftnsep &#13;_x000a_\par }}{\*\ftnsepc \ltrpar \pard\plain \ltrpar\ql \li0\ri0\widctlpar\wrapdefault\aspalpha\aspnum\faauto\adjustright\rin0\lin0\itap0 \rtlch\fcs1 \af0\afs20\alang1025 \ltrch\fcs0 \fs24\lang2057\langfe2057\cgrid\langnp2057\langfenp2057 {\rtlch\fcs1 \af0 &#13;_x000a_\ltrch\fcs0 \insrsid2035649 \chftnsepc &#13;_x000a_\par }}{\*\aftnsep \ltrpar \pard\plain \ltrpar\ql \li0\ri0\widctlpar\wrapdefault\aspalpha\aspnum\faauto\adjustright\rin0\lin0\itap0 \rtlch\fcs1 \af0\afs20\alang1025 \ltrch\fcs0 \fs24\lang2057\langfe2057\cgrid\langnp2057\langfenp2057 {\rtlch\fcs1 \af0 &#13;_x000a_\ltrch\fcs0 \insrsid2035649 \chftnsep &#13;_x000a_\par }}{\*\aftnsepc \ltrpar \pard\plain \ltrpar\ql \li0\ri0\widctlpar\wrapdefault\aspalpha\aspnum\faauto\adjustright\rin0\lin0\itap0 \rtlch\fcs1 \af0\afs20\alang1025 \ltrch\fcs0 \fs24\lang2057\langfe2057\cgrid\langnp2057\langfenp2057 {\rtlch\fcs1 \af0 &#13;_x000a_\ltrch\fcs0 \insrsid2035649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8260084 \rtlch\fcs1 &#13;_x000a_\af0\afs20\alang1025 \ltrch\fcs0 \b\fs24\lang2057\langfe2057\cgrid\langnp2057\langfenp2057 {\rtlch\fcs1 \af0 \ltrch\fcs0 \cs17\b0\v\fs20\cf9\lang1024\langfe1024\loch\af1\hich\af1\dbch\af31501\noproof\insrsid8669353\charrsid1459576 {\*\bkmkstart restart}&#13;_x000a_\hich\af1\dbch\af31501\loch\f1 &lt;Amend&gt;}{\rtlch\fcs1 \af0 \ltrch\fcs0 \insrsid8669353\charrsid1459576 Amendment\tab \tab }{\rtlch\fcs1 \af0 \ltrch\fcs0 &#13;_x000a_\cs17\b0\v\fs20\cf9\lang1024\langfe1024\loch\af1\hich\af1\dbch\af31501\noproof\insrsid8669353\charrsid1459576 \hich\af1\dbch\af31501\loch\f1 &lt;NumAm&gt;}{\rtlch\fcs1 \af0 \ltrch\fcs0 \insrsid8669353\charrsid1459576 #}{\rtlch\fcs1 \af0 \ltrch\fcs0 &#13;_x000a_\cs18\v\f1\fs20\cf15\insrsid8669353\charrsid1459576 ENMIENDA@NRAM@}{\rtlch\fcs1 \af0 \ltrch\fcs0 \insrsid8669353\charrsid1459576 #}{\rtlch\fcs1 \af0 \ltrch\fcs0 &#13;_x000a_\cs17\b0\v\fs20\cf9\lang1024\langfe1024\loch\af1\hich\af1\dbch\af31501\noproof\insrsid8669353\charrsid1459576 \hich\af1\dbch\af31501\loch\f1 &lt;/NumAm&gt;}{\rtlch\fcs1 \af0 \ltrch\fcs0 \insrsid8669353\charrsid1459576 &#13;_x000a_\par }\pard\plain \ltrpar\s26\ql \li0\ri0\sb240\keepn\nowidctlpar\wrapdefault\aspalpha\aspnum\faauto\adjustright\rin0\lin0\itap0\pararsid8260084 \rtlch\fcs1 \af0\afs20\alang1025 \ltrch\fcs0 \b\fs24\lang2057\langfe2057\cgrid\langnp2057\langfenp2057 {&#13;_x000a_\rtlch\fcs1 \af0 \ltrch\fcs0 \cs17\b0\v\fs20\cf9\lang1024\langfe1024\loch\af1\hich\af1\dbch\af31501\noproof\insrsid8669353\charrsid1459576 \hich\af1\dbch\af31501\loch\f1 &lt;DocAmend&gt;}{\rtlch\fcs1 \af0 \ltrch\fcs0 \insrsid8669353\charrsid1459576 #}{&#13;_x000a_\rtlch\fcs1 \af0 \ltrch\fcs0 \cs18\v\f1\fs20\cf15\insrsid8669353\charrsid1459576 MNU[PROPCOM][PROPCOUNC]@CHOICE@TITLEMNU}{\rtlch\fcs1 \af0 \ltrch\fcs0 \insrsid8669353\charrsid1459576 ##}{\rtlch\fcs1 \af0 \ltrch\fcs0 &#13;_x000a_\cs18\v\f1\fs20\cf15\insrsid8669353\charrsid1459576 MNU[AMACTYES][NOTAPP]@CHOICE@AMACTMNU}{\rtlch\fcs1 \af0 \ltrch\fcs0 \insrsid8669353\charrsid1459576 #}{\rtlch\fcs1 \af0 \ltrch\fcs0 &#13;_x000a_\cs17\b0\v\fs20\cf9\lang1024\langfe1024\loch\af1\hich\af1\dbch\af31501\noproof\insrsid8669353\charrsid1459576 \hich\af1\dbch\af31501\loch\f1 &lt;/DocAmend&gt;}{\rtlch\fcs1 \af0 \ltrch\fcs0 \insrsid8669353\charrsid1459576 &#13;_x000a_\par }\pard\plain \ltrpar\s19\ql \li0\ri0\nowidctlpar\wrapdefault\aspalpha\aspnum\faauto\adjustright\rin0\lin0\itap0\pararsid8260084 \rtlch\fcs1 \af0\afs20\alang1025 \ltrch\fcs0 \b\fs24\lang2057\langfe2057\cgrid\langnp2057\langfenp2057 {\rtlch\fcs1 \af0 &#13;_x000a_\ltrch\fcs0 \cs17\b0\v\fs20\cf9\lang1024\langfe1024\loch\af1\hich\af1\dbch\af31501\noproof\insrsid8669353\charrsid1459576 \hich\af1\dbch\af31501\loch\f1 &lt;Article&gt;}{\rtlch\fcs1 \af0 \ltrch\fcs0 \insrsid8669353\charrsid1459576 #}{\rtlch\fcs1 \af0 &#13;_x000a_\ltrch\fcs0 \cs18\v\f1\fs20\cf15\insrsid8669353\charrsid1459576 MNU[AMACTPARTYES][AMACTPARTNO]@CHOICE@AMACTMNU}{\rtlch\fcs1 \af0 \ltrch\fcs0 \insrsid8669353\charrsid1459576 #}{\rtlch\fcs1 \af0 \ltrch\fcs0 &#13;_x000a_\cs17\b0\v\fs20\cf9\lang1024\langfe1024\loch\af1\hich\af1\dbch\af31501\noproof\insrsid8669353\charrsid1459576 \hich\af1\dbch\af31501\loch\f1 &lt;/Article&gt;}{\rtlch\fcs1 \af0 \ltrch\fcs0 \insrsid8669353\charrsid1459576 &#13;_x000a_\par }\pard\plain \ltrpar\ql \li0\ri0\keepn\widctlpar\wrapdefault\aspalpha\aspnum\faauto\adjustright\rin0\lin0\itap0\pararsid8260084 \rtlch\fcs1 \af0\afs20\alang1025 \ltrch\fcs0 \fs24\lang2057\langfe2057\cgrid\langnp2057\langfenp2057 {\rtlch\fcs1 \af0 &#13;_x000a_\ltrch\fcs0 \cs17\v\fs20\cf9\lang1024\langfe1024\loch\af1\hich\af1\dbch\af31501\noproof\insrsid8669353\charrsid1459576 \hich\af1\dbch\af31501\loch\f1 &lt;DocAmend2&gt;&lt;OptDel&gt;}{\rtlch\fcs1 \af0 \ltrch\fcs0 \insrsid8669353\charrsid1459576 #}{\rtlch\fcs1 \af0 &#13;_x000a_\ltrch\fcs0 \cs18\v\f1\fs20\cf15\insrsid8669353\charrsid1459576 MNU[OPTNRACTYES][NOTAPP]@CHOICE@AMACTMNU}{\rtlch\fcs1 \af0 \ltrch\fcs0 \insrsid8669353\charrsid1459576 #}{\rtlch\fcs1 \af0 \ltrch\fcs0 &#13;_x000a_\cs17\v\fs20\cf9\lang1024\langfe1024\loch\af1\hich\af1\dbch\af31501\noproof\insrsid8669353\charrsid1459576 \hich\af1\dbch\af31501\loch\f1 &lt;/OptDel&gt;&lt;/DocAmend2&gt;}{\rtlch\fcs1 \af0 \ltrch\fcs0 \insrsid8669353\charrsid1459576 &#13;_x000a_\par }\pard \ltrpar\ql \li0\ri0\widctlpar\wrapdefault\aspalpha\aspnum\faauto\adjustright\rin0\lin0\itap0\pararsid8260084 {\rtlch\fcs1 \af0 \ltrch\fcs0 \cs17\v\fs20\cf9\lang1024\langfe1024\loch\af1\hich\af1\dbch\af31501\noproof\insrsid8669353\charrsid1459576 &#13;_x000a_\hich\af1\dbch\af31501\loch\f1 &lt;Article2&gt;&lt;OptDel&gt;}{\rtlch\fcs1 \af0 \ltrch\fcs0 \insrsid8669353\charrsid1459576 #}{\rtlch\fcs1 \af0 \ltrch\fcs0 \cs18\v\f1\fs20\cf15\insrsid8669353\charrsid1459576 MNU[OPTACTPARTYES][NOTAPP]@CHOICE@AMACTMNU}{\rtlch\fcs1 &#13;_x000a_\af0 \ltrch\fcs0 \insrsid8669353\charrsid1459576 #}{\rtlch\fcs1 \af0 \ltrch\fcs0 \cs17\v\fs20\cf9\lang1024\langfe1024\loch\af1\hich\af1\dbch\af31501\noproof\insrsid8669353\charrsid1459576 \hich\af1\dbch\af31501\loch\f1 &lt;/OptDel&gt;&lt;/Article2&gt;}{\rtlch\fcs1 &#13;_x000a_\af0 \ltrch\fcs0 \insrsid8669353\charrsid1459576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insrsid8669353\charrsid1459576 \cell }\pard \ltrpar\ql \li0\ri0\widctlpar\intbl\wrapdefault\aspalpha\aspnum\faauto\adjustright\rin0\lin0 {\rtlch\fcs1 \af0 \ltrch\fcs0 \insrsid8669353\charrsid1459576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1\qc \li0\ri0\sa240\keepn\nowidctlpar\intbl\wrapdefault\aspalpha\aspnum\faauto\adjustright\rin0\lin0\pararsid11085200 \rtlch\fcs1 \af0\afs20\alang1025 \ltrch\fcs0 \i\fs24\lang2057\langfe2057\cgrid\langnp2057\langfenp2057 {&#13;_x000a_\rtlch\fcs1 \af0 \ltrch\fcs0 \insrsid8669353\charrsid1459576 #}{\rtlch\fcs1 \af0 \ltrch\fcs0 \cs18\v\f1\fs20\cf15\insrsid8669353\charrsid1459576 MNU[OPTLEFTAMACT][LEFTPROP]@CHOICE@AMACTMNU}{\rtlch\fcs1 \af0 \ltrch\fcs0 \insrsid8669353\charrsid1459576 #&#13;_x000a_\cell Amendment\cell }\pard\plain \ltrpar\ql \li0\ri0\widctlpar\intbl\wrapdefault\aspalpha\aspnum\faauto\adjustright\rin0\lin0 \rtlch\fcs1 \af0\afs20\alang1025 \ltrch\fcs0 \fs24\lang2057\langfe2057\cgrid\langnp2057\langfenp2057 {\rtlch\fcs1 \af0 &#13;_x000a_\ltrch\fcs0 \insrsid8669353\charrsid1459576 \trowd \ltrrow\ts11\trqc\trgaph340\trleft-340\trftsWidth3\trftsWidthB3\trpaddl340\trpaddr340\trpaddfl3\trpaddft3\trpaddfb3\trpaddfr3\tblrsid11085200\tbllkhdrrows\tbllkhdrcols\tbllknocolband\tblind0\tblindtype3 &#13;_x000a_\clvertalt\clbrdrt\brdrtbl \clbrdrl\brdrtbl \clbrdrb\brdrtbl \clbrdrr\brdrtbl \cltxlrtb\clftsWidth3\clwWidth4876\clshdrawnil\clhidemark \cellx4536\clvertalt\clbrdrt\brdrtbl \clbrdrl\brdrtbl \clbrdrb\brdrtbl \clbrdrr\brdrtbl &#13;_x000a_\cltxlrtb\clftsWidth3\clwWidth4876\clshdrawnil\clhidemark \cellx9412\row \ltrrow}\pard\plain \ltrpar\s20\ql \li0\ri0\sa120\nowidctlpar\intbl\wrapdefault\aspalpha\aspnum\faauto\adjustright\rin0\lin0\pararsid11085200 \rtlch\fcs1 \af0\afs20\alang1025 &#13;_x000a_\ltrch\fcs0 \fs24\lang2057\langfe2057\cgrid\langnp2057\langfenp2057 {\rtlch\fcs1 \af0 \ltrch\fcs0 \insrsid8669353\charrsid1459576 #}{\rtlch\fcs1 \af0 \ltrch\fcs0 \cs18\v\f1\fs20\cf15\insrsid8669353\charrsid1459576 MNU[TEXTLEVA][TEXTLOTHER]@CHOICE@TEXTRMNU&#13;_x000a_}{\rtlch\fcs1 \af0 \ltrch\fcs0 \insrsid8669353\charrsid1459576 #\cell #}{\rtlch\fcs1 \af0 \ltrch\fcs0 \cs18\v\f1\fs20\cf15\insrsid8669353\charrsid1459576 MNU[TEXTREVA][TEXTROTHER]@CHOICE@TEXTRMNU}{\rtlch\fcs1 \af0 \ltrch\fcs0 &#13;_x000a_\insrsid8669353\charrsid1459576 #\cell }\pard\plain \ltrpar\ql \li0\ri0\widctlpar\intbl\wrapdefault\aspalpha\aspnum\faauto\adjustright\rin0\lin0 \rtlch\fcs1 \af0\afs20\alang1025 \ltrch\fcs0 \fs24\lang2057\langfe2057\cgrid\langnp2057\langfenp2057 {&#13;_x000a_\rtlch\fcs1 \af0 \ltrch\fcs0 \insrsid8669353\charrsid1459576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4\qc \li0\ri0\sb240\sa240\nowidctlpar\wrapdefault\aspalpha\aspnum\faauto\adjustright\rin0\lin0\itap0\pararsid8260084 \rtlch\fcs1 \af0\afs20\alang1025 \ltrch\fcs0 \i\fs24\lang2057\langfe2057\cgrid\langnp2057\langfenp2057 {&#13;_x000a_\rtlch\fcs1 \af0 \ltrch\fcs0 \cs17\i0\v\fs20\cf9\lang1024\langfe1024\loch\af1\hich\af1\dbch\af31501\noproof\insrsid8669353\charrsid1459576 \hich\af1\dbch\af31501\loch\f1 &lt;OptDel&gt;}{\rtlch\fcs1 \af0 \ltrch\fcs0 \insrsid8669353\charrsid1459576 #}{&#13;_x000a_\rtlch\fcs1 \af0 \ltrch\fcs0 \cs18\v\f1\fs20\cf15\insrsid8669353\charrsid1459576 MNU[CROSSREFNO][CROSSREFYES]@CHOICE@}{\rtlch\fcs1 \af0 \ltrch\fcs0 \insrsid8669353\charrsid1459576 #}{\rtlch\fcs1 \af0 \ltrch\fcs0 &#13;_x000a_\cs17\i0\v\fs20\cf9\lang1024\langfe1024\loch\af1\hich\af1\dbch\af31501\noproof\insrsid8669353\charrsid1459576 \hich\af1\dbch\af31501\loch\f1 &lt;/OptDel&gt;}{\rtlch\fcs1 \af0 \ltrch\fcs0 \insrsid8669353\charrsid1459576 &#13;_x000a_\par }\pard\plain \ltrpar\s25\qc \li0\ri0\sb240\sa240\keepn\nowidctlpar\wrapdefault\aspalpha\aspnum\faauto\adjustright\rin0\lin0\itap0\pararsid8260084 \rtlch\fcs1 \af0\afs20\alang1025 \ltrch\fcs0 \i\fs24\lang2057\langfe2057\cgrid\langnp2057\langfenp2057 {&#13;_x000a_\rtlch\fcs1 \af0 \ltrch\fcs0 \cs17\i0\v\fs20\cf9\lang1024\langfe1024\loch\af1\hich\af1\dbch\af31501\noproof\insrsid8669353\charrsid1459576 \hich\af1\dbch\af31501\loch\f1 &lt;TitreJust&gt;}{\rtlch\fcs1 \af0 \ltrch\fcs0 \insrsid8669353\charrsid1459576 &#13;_x000a_Justification}{\rtlch\fcs1 \af0 \ltrch\fcs0 \cs17\i0\v\fs20\cf9\lang1024\langfe1024\loch\af1\hich\af1\dbch\af31501\noproof\insrsid8669353\charrsid1459576 \hich\af1\dbch\af31501\loch\f1 &lt;/TitreJust&gt;}{\rtlch\fcs1 \af0 \ltrch\fcs0 &#13;_x000a_\insrsid8669353\charrsid1459576 &#13;_x000a_\par }\pard\plain \ltrpar\s23\ql \li0\ri0\sa240\nowidctlpar\wrapdefault\aspalpha\aspnum\faauto\adjustright\rin0\lin0\itap0\pararsid8260084 \rtlch\fcs1 \af0\afs20\alang1025 \ltrch\fcs0 \i\fs24\lang2057\langfe2057\cgrid\langnp2057\langfenp2057 {\rtlch\fcs1 \af0 &#13;_x000a_\ltrch\fcs0 \cs17\i0\v\fs20\cf9\lang1024\langfe1024\loch\af1\hich\af1\dbch\af31501\noproof\insrsid8669353\charrsid1459576 \hich\af1\dbch\af31501\loch\f1 &lt;OptDelPrev&gt;}{\rtlch\fcs1 \af0 \ltrch\fcs0 \insrsid8669353\charrsid1459576 #}{\rtlch\fcs1 \af0 &#13;_x000a_\ltrch\fcs0 \cs18\v\f1\fs20\cf15\insrsid8669353\charrsid1459576 MNU[TEXTJUSTYES][TEXTJUSTNO]@CHOICE@}{\rtlch\fcs1 \af0 \ltrch\fcs0 \insrsid8669353\charrsid1459576 #}{\rtlch\fcs1 \af0 \ltrch\fcs0 &#13;_x000a_\cs17\i0\v\fs20\cf9\lang1024\langfe1024\loch\af1\hich\af1\dbch\af31501\noproof\insrsid8669353\charrsid1459576 \hich\af1\dbch\af31501\loch\f1 &lt;/OptDelPrev&gt;}{\rtlch\fcs1 \af0 \ltrch\fcs0 \insrsid8669353\charrsid1459576 &#13;_x000a_\par }\pard\plain \ltrpar\ql \li0\ri0\widctlpar\wrapdefault\aspalpha\aspnum\faauto\adjustright\rin0\lin0\itap0\pararsid8260084 \rtlch\fcs1 \af0\afs20\alang1025 \ltrch\fcs0 \fs24\lang2057\langfe2057\cgrid\langnp2057\langfenp2057 {\rtlch\fcs1 \af0 \ltrch\fcs0 &#13;_x000a_\cs17\v\fs20\cf9\lang1024\langfe1024\loch\af1\hich\af1\dbch\af31501\noproof\insrsid8669353\charrsid1459576 \hich\af1\dbch\af31501\loch\f1 &lt;/Amend&gt;}{\rtlch\fcs1 \af0 \ltrch\fcs0 \insrsid8669353\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d8&#13;_x000a_08cd401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2\themelang2057\themelangfe2052\themelangcs1108{\fonttbl{\f0\fbidi \froman\fcharset0\fprq2{\*\panose 02020603050405020304}Times New Roman;}{\f1\fbidi \fswiss\fcharset0\fprq2{\*\panose 020b0604020202020204}Arial;}&#13;_x000a_{\f34\fbidi \froman\fcharset0\fprq2{\*\panose 02040503050406030204}Cambria Math;}{\f43\fbidi \fnil\fcharset134\fprq2{\*\panose 02010600030101010101}DengXian Light{\*\falt \'b5\'c8\'cf\'df Light};}{\f325\fbidi \fnil\fcharset134\fprq2 @DengXian Light;}&#13;_x000a_{\flomajor\f31500\fbidi \froman\fcharset0\fprq2{\*\panose 02020603050405020304}Times New Roman;}{\fdbmajor\f31501\fbidi \fnil\fcharset134\fprq2{\*\panose 02010600030101010101}DengXian Light{\*\falt \'b5\'c8\'cf\'df Light};}&#13;_x000a_{\fhimajor\f31502\fbidi \fswiss\fcharset0\fprq2{\*\panose 020f0302020204030204}Calibri Light;}{\fbimajor\f31503\fbidi \fswiss\fcharset222\fprq2 DokChampa{\*\falt Leelawadee UI};}&#13;_x000a_{\flominor\f31504\fbidi \froman\fcharset0\fprq2{\*\panose 02020603050405020304}Times New Roman;}{\fdbminor\f31505\fbidi \fnil\fcharset134\fprq2{\*\panose 02010600030101010101}DengXian{\*\falt \'b5\'c8\'cf\'df};}&#13;_x000a_{\fhiminor\f31506\fbidi \fswiss\fcharset0\fprq2{\*\panose 020f0502020204030204}Calibri;}{\fbiminor\f31507\fbidi \fswiss\fcharset222\fprq2 DokChampa{\*\falt Leelawadee UI};}{\f1380\fbidi \froman\fcharset238\fprq2 Times New Roman CE;}&#13;_x000a_{\f1381\fbidi \froman\fcharset204\fprq2 Times New Roman Cyr;}{\f1383\fbidi \froman\fcharset161\fprq2 Times New Roman Greek;}{\f1384\fbidi \froman\fcharset162\fprq2 Times New Roman Tur;}{\f1385\fbidi \froman\fcharset177\fprq2 Times New Roman (Hebrew);}&#13;_x000a_{\f1386\fbidi \froman\fcharset178\fprq2 Times New Roman (Arabic);}{\f1387\fbidi \froman\fcharset186\fprq2 Times New Roman Baltic;}{\f1388\fbidi \froman\fcharset163\fprq2 Times New Roman (Vietnamese);}{\f1390\fbidi \fswiss\fcharset238\fprq2 Arial CE;}&#13;_x000a_{\f1391\fbidi \fswiss\fcharset204\fprq2 Arial Cyr;}{\f1393\fbidi \fswiss\fcharset161\fprq2 Arial Greek;}{\f1394\fbidi \fswiss\fcharset162\fprq2 Arial Tur;}{\f1395\fbidi \fswiss\fcharset177\fprq2 Arial (Hebrew);}&#13;_x000a_{\f1396\fbidi \fswiss\fcharset178\fprq2 Arial (Arabic);}{\f1397\fbidi \fswiss\fcharset186\fprq2 Arial Baltic;}{\f1398\fbidi \fswiss\fcharset163\fprq2 Arial (Vietnamese);}{\f1720\fbidi \froman\fcharset238\fprq2 Cambria Math CE;}&#13;_x000a_{\f1721\fbidi \froman\fcharset204\fprq2 Cambria Math Cyr;}{\f1723\fbidi \froman\fcharset161\fprq2 Cambria Math Greek;}{\f1724\fbidi \froman\fcharset162\fprq2 Cambria Math Tur;}{\f1727\fbidi \froman\fcharset186\fprq2 Cambria Math Baltic;}&#13;_x000a_{\f1728\fbidi \froman\fcharset163\fprq2 Cambria Math (Vietnamese);}{\f1812\fbidi \fnil\fcharset0\fprq2 DengXian Light Western{\*\falt \'b5\'c8\'cf\'df Light};}{\f1810\fbidi \fnil\fcharset238\fprq2 DengXian Light CE{\*\falt \'b5\'c8\'cf\'df Light};}&#13;_x000a_{\f1811\fbidi \fnil\fcharset204\fprq2 DengXian Light Cyr{\*\falt \'b5\'c8\'cf\'df Light};}{\f1813\fbidi \fnil\fcharset161\fprq2 DengXian Light Greek{\*\falt \'b5\'c8\'cf\'df Light};}{\f4632\fbidi \fnil\fcharset0\fprq2 @DengXian Light Western;}&#13;_x000a_{\f4630\fbidi \fnil\fcharset238\fprq2 @DengXian Light CE;}{\f4631\fbidi \fnil\fcharset204\fprq2 @DengXian Light Cyr;}{\f4633\fbidi \fnil\fcharset161\fprq2 @DengXian Light Greek;}{\flomajor\f31508\fbidi \froman\fcharset238\fprq2 Times New Roman CE;}&#13;_x000a_{\flomajor\f31509\fbidi \froman\fcharset204\fprq2 Times New Roman Cyr;}{\flomajor\f31511\fbidi \froman\fcharset161\fprq2 Times New Roman Greek;}{\flomajor\f31512\fbidi \froman\fcharset162\fprq2 Times New Roman Tur;}&#13;_x000a_{\flomajor\f31513\fbidi \froman\fcharset177\fprq2 Times New Roman (Hebrew);}{\flomajor\f31514\fbidi \froman\fcharset178\fprq2 Times New Roman (Arabic);}{\flomajor\f31515\fbidi \froman\fcharset186\fprq2 Times New Roman Baltic;}&#13;_x000a_{\flomajor\f31516\fbidi \froman\fcharset163\fprq2 Times New Roman (Vietnamese);}{\fdbmajor\f31520\fbidi \fnil\fcharset0\fprq2 DengXian Light Western{\*\falt \'b5\'c8\'cf\'df Light};}&#13;_x000a_{\fdbmajor\f31518\fbidi \fnil\fcharset238\fprq2 DengXian Light CE{\*\falt \'b5\'c8\'cf\'df Light};}{\fdbmajor\f31519\fbidi \fnil\fcharset204\fprq2 DengXian Light Cyr{\*\falt \'b5\'c8\'cf\'df Light};}&#13;_x000a_{\fdbmajor\f31521\fbidi \fnil\fcharset161\fprq2 DengXian Light Greek{\*\falt \'b5\'c8\'cf\'df Light};}{\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60\fbidi \fnil\fcharset0\fprq2 DengXian Western{\*\falt \'b5\'c8\'cf\'df};}{\fdbminor\f31558\fbidi \fnil\fcharset238\fprq2 DengXian CE{\*\falt \'b5\'c8\'cf\'df};}&#13;_x000a_{\fdbminor\f31559\fbidi \fnil\fcharset204\fprq2 DengXian Cyr{\*\falt \'b5\'c8\'cf\'df};}{\fdbminor\f31561\fbidi \fnil\fcharset161\fprq2 DengXian Greek{\*\falt \'b5\'c8\'cf\'df};}{\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lang2057\langfe2057\langfenp2057 }{\*\defpap &#13;_x000a_\ql \li0\ri0\widctlpar\wrapdefault\aspalpha\aspnum\faauto\adjustright\rin0\lin0\itap0 }\noqfpromote {\stylesheet{\ql \li0\ri0\widctlpar\wrapdefault\aspalpha\aspnum\faauto\adjustright\rin0\lin0\itap0 \rtlch\fcs1 \af0\afs20\alang1025 \ltrch\fcs0 &#13;_x000a_\fs24\lang2057\langfe2057\cgrid\langnp2057\langfenp2057 \snext0 \sqformat \spriority0 \styrsid7823322 Normal;}{\s1\ql \li0\ri0\sb240\keep\keepn\widctlpar\wrapdefault\aspalpha\aspnum\faauto\outlinelevel0\adjustright\rin0\lin0\itap0 \rtlch\fcs1 &#13;_x000a_\af31503\afs32\alang1025 \ltrch\fcs0 \fs32\cf19\lang2057\langfe2057\loch\f31502\hich\af31502\dbch\af31501\cgrid\langnp2057\langfenp2057 \sbasedon0 \snext0 \slink15 \ssemihidden \sqformat \spriority0 \styrsid223860 heading 1;}{\*\cs10 \additive &#13;_x000a_\ssemihidden \sunhideused \spriority1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799763 HideTWBExt;}{&#13;_x000a_\s18\ql \li0\ri0\nowidctlpar\wrapdefault\aspalpha\aspnum\faauto\adjustright\rin0\lin0\itap0 \rtlch\fcs1 \af0\afs20\alang1025 \ltrch\fcs0 \b\fs24\lang2057\langfe2057\cgrid\langnp2057\langfenp2057 \sbasedon0 \snext18 \spriority0 \styrsid15799763 &#13;_x000a_NormalBold;}{\s19\ql \li0\ri0\sa120\nowidctlpar\wrapdefault\aspalpha\aspnum\faauto\adjustright\rin0\lin0\itap0 \rtlch\fcs1 \af0\afs20\alang1025 \ltrch\fcs0 \fs24\lang2057\langfe2057\cgrid\langnp2057\langfenp2057 &#13;_x000a_\sbasedon0 \snext19 \spriority0 \styrsid15799763 Normal6a;}{\s20\qc \li0\ri0\sa240\nowidctlpar\wrapdefault\aspalpha\aspnum\faauto\adjustright\rin0\lin0\itap0 \rtlch\fcs1 \af0\afs20\alang1025 \ltrch\fcs0 &#13;_x000a_\i\fs24\lang2057\langfe2057\cgrid\langnp2057\langfenp2057 \sbasedon0 \snext20 \spriority0 \styrsid15799763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15799763 AmNumberTabs;}{\s22\ql \li0\ri0\sa240\nowidctlpar\wrapdefault\aspalpha\aspnum\faauto\adjustright\rin0\lin0\itap0 \rtlch\fcs1 &#13;_x000a_\af0\afs20\alang1025 \ltrch\fcs0 \i\fs24\lang2057\langfe2057\cgrid\langnp2057\langfenp2057 \sbasedon0 \snext22 \spriority0 \styrsid15799763 AmJustText;}{&#13;_x000a_\s23\qc \li0\ri0\sb240\sa240\nowidctlpar\wrapdefault\aspalpha\aspnum\faauto\adjustright\rin0\lin0\itap0 \rtlch\fcs1 \af0\afs20\alang1025 \ltrch\fcs0 \i\fs24\lang2057\langfe2057\cgrid\langnp2057\langfenp2057 &#13;_x000a_\sbasedon0 \snext23 \spriority0 \styrsid15799763 AmCrossRef;}{\s24\qc \li0\ri0\sb240\sa240\keepn\nowidctlpar\wrapdefault\aspalpha\aspnum\faauto\adjustright\rin0\lin0\itap0 \rtlch\fcs1 \af0\afs20\alang1025 \ltrch\fcs0 &#13;_x000a_\i\fs24\lang2057\langfe2057\cgrid\langnp2057\langfenp2057 \sbasedon0 \snext22 \spriority0 \styrsid15799763 AmJustTitle;}{\s25\ql \li0\ri0\sb240\nowidctlpar\wrapdefault\aspalpha\aspnum\faauto\adjustright\rin0\lin0\itap0 \rtlch\fcs1 \af0\afs20\alang1025 &#13;_x000a_\ltrch\fcs0 \b\fs24\lang2057\langfe2057\cgrid\langnp2057\langfenp2057 \sbasedon0 \snext25 \spriority0 \styrsid15799763 NormalBold12b;}}{\*\rsidtbl \rsid24658\rsid223860\rsid735077\rsid1718133\rsid2892074\rsid3565327\rsid4666813\rsid6641733\rsid7823322&#13;_x000a_\rsid9636012\rsid10377208\rsid11215221\rsid11429790\rsid11549030\rsid12154954\rsid14382809\rsid14424199\rsid14705491\rsid15204470\rsid15285974\rsid15799763\rsid15950462\rsid16324206\rsid16662270}{\mmathPr\mmathFont34\mbrkBin0\mbrkBinSub0\msmallFrac0&#13;_x000a_\mdispDef1\mlMargin0\mrMargin0\mdefJc1\mwrapIndent1440\mintLim0\mnaryLim1}{\info{\upr{\author LIEKYT? Laura}{\*\ud\uc0{\author LIEKYT{\uc1\u278 E Laura}}}}{\upr{\operator LIEKYT? Laura}{\*\ud\uc0{\operator LIEKYT{\uc1\u278 E Laura}}}}&#13;_x000a_{\creatim\yr2026\mo7\dy29\hr11\min58}{\revtim\yr2026\mo7\dy29\hr11\min58}{\version1}{\edmins0}{\nofpages1}{\nofwords54}{\nofchars313}{\nofcharsws366}{\vern12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799763\newtblstyruls\nogrowautofit\usenormstyforlist\noindnmbrts\felnbrelev\nocxsptable\indrlsweleven\noafcnsttbl\afelev\utinl\hwelev\spltpgpar\notcvasp\notbrkcnstfrctbl\notvatxbx\krnprsnet\cachedcolbal &#13;_x000a_\donotshowinsdel1\nouicompat \fet0{\*\wgrffmtfilter 013f}\nofeaturethrottle1\ilfomacatclnup0{\*\template C:\\Users\\lliekyte\\AppData\\Local\\Temp\\Blank1.dotx}{\*\ftnsep \ltrpar \pard\plain \ltrpar&#13;_x000a_\ql \li0\ri0\widctlpar\wrapdefault\aspalpha\aspnum\faauto\adjustright\rin0\lin0\itap0 \rtlch\fcs1 \af0\afs20\alang1025 \ltrch\fcs0 \fs24\lang2057\langfe2057\cgrid\langnp2057\langfenp2057 {\rtlch\fcs1 \af0 \ltrch\fcs0 \insrsid14705491 \chftnsep &#13;_x000a_\par }}{\*\ftnsepc \ltrpar \pard\plain \ltrpar\ql \li0\ri0\widctlpar\wrapdefault\aspalpha\aspnum\faauto\adjustright\rin0\lin0\itap0 \rtlch\fcs1 \af0\afs20\alang1025 \ltrch\fcs0 \fs24\lang2057\langfe2057\cgrid\langnp2057\langfenp2057 {\rtlch\fcs1 \af0 &#13;_x000a_\ltrch\fcs0 \insrsid14705491 \chftnsepc &#13;_x000a_\par }}{\*\aftnsep \ltrpar \pard\plain \ltrpar\ql \li0\ri0\widctlpar\wrapdefault\aspalpha\aspnum\faauto\adjustright\rin0\lin0\itap0 \rtlch\fcs1 \af0\afs20\alang1025 \ltrch\fcs0 \fs24\lang2057\langfe2057\cgrid\langnp2057\langfenp2057 {\rtlch\fcs1 \af0 &#13;_x000a_\ltrch\fcs0 \insrsid14705491 \chftnsep &#13;_x000a_\par }}{\*\aftnsepc \ltrpar \pard\plain \ltrpar\ql \li0\ri0\widctlpar\wrapdefault\aspalpha\aspnum\faauto\adjustright\rin0\lin0\itap0 \rtlch\fcs1 \af0\afs20\alang1025 \ltrch\fcs0 \fs24\lang2057\langfe2057\cgrid\langnp2057\langfenp2057 {\rtlch\fcs1 \af0 &#13;_x000a_\ltrch\fcs0 \insrsid1470549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15799763 {\*\bkmkstart restart}&#13;_x000a_\hich\af1\dbch\af31501\loch\f1 &lt;Amend&gt;}{\rtlch\fcs1 \af0 \ltrch\fcs0 \lang1030\langfe2057\langnp1030\insrsid15799763 [ZAMENDMENT]\tab \tab }{\rtlch\fcs1 \af0 \ltrch\fcs0 &#13;_x000a_\cs17\b0\v\fs20\cf9\lang1024\langfe1024\loch\af1\hich\af1\dbch\af31501\noproof\langnp1030\insrsid15799763 \hich\af1\dbch\af31501\loch\f1 &lt;NumAm&gt;}{\rtlch\fcs1 \af0 \ltrch\fcs0 \lang1030\langfe2057\langnp1030\insrsid15799763 [ZNRAM]}{\rtlch\fcs1 \af0 &#13;_x000a_\ltrch\fcs0 \cs17\b0\v\fs20\cf9\lang1024\langfe1024\loch\af1\hich\af1\dbch\af31501\noproof\langnp1030\insrsid15799763 \hich\af1\dbch\af31501\loch\f1 &lt;/NumAm&gt;}{\rtlch\fcs1 \af0 \ltrch\fcs0 \lang1030\langfe2057\langnp1030\insrsid15799763 &#13;_x000a_\par }\pard\plain \ltrpar\s25\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15799763 \hich\af1\dbch\af31501\loch\f1 &lt;DocAmend&gt;}{\rtlch\fcs1 \af0 \ltrch\fcs0 \lang1030\langfe2057\langnp1030\insrsid15799763 &#13;_x000a_[ZPROPOSAL][ZAMACT]}{\rtlch\fcs1 \af0 \ltrch\fcs0 \cs17\b0\v\fs20\cf9\lang1024\langfe1024\loch\af1\hich\af1\dbch\af31501\noproof\langnp1030\insrsid15799763 \hich\af1\dbch\af31501\loch\f1 &lt;/DocAmend&gt;}{\rtlch\fcs1 \af0 \ltrch\fcs0 &#13;_x000a_\lang1030\langfe2057\langnp1030\insrsid15799763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15799763 \hich\af1\dbch\af31501\loch\f1 &lt;Article&gt;}{\rtlch\fcs1 \af0 \ltrch\fcs0 \lang1030\langfe2057\langnp1030\insrsid15799763 [ZAMPART]}{&#13;_x000a_\rtlch\fcs1 \af0 \ltrch\fcs0 \cs17\b0\v\fs20\cf9\lang1024\langfe1024\loch\af1\hich\af1\dbch\af31501\noproof\langnp1030\insrsid15799763 \hich\af1\dbch\af31501\loch\f1 &lt;/Article&gt;}{\rtlch\fcs1 \af0 \ltrch\fcs0 \lang1030\langfe2057\langnp1030\insrsid15799763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15799763 \hich\af1\dbch\af31501\loch\f1 &lt;DocAmend2&gt;&lt;OptDel&gt;}{\rtlch\fcs1 \af0 \ltrch\fcs0 \lang1030\langfe2057\langnp1030\insrsid15799763 [ZNRACT]}{&#13;_x000a_\rtlch\fcs1 \af0 \ltrch\fcs0 \cs17\v\fs20\cf9\lang1024\langfe1024\loch\af1\hich\af1\dbch\af31501\noproof\langnp1030\insrsid15799763 \hich\af1\dbch\af31501\loch\f1 &lt;/OptDel&gt;&lt;/DocAmend2&gt;}{\rtlch\fcs1 \af0 \ltrch\fcs0 &#13;_x000a_\lang1030\langfe2057\langnp1030\insrsid15799763 &#13;_x000a_\par }\pard \ltrpar\ql \li0\ri0\widctlpar\wrapdefault\aspalpha\aspnum\faauto\adjustright\rin0\lin0\itap0\pararsid6293919 {\rtlch\fcs1 \af0 \ltrch\fcs0 \cs17\v\fs20\cf9\lang1024\langfe1024\loch\af1\hich\af1\dbch\af31501\noproof\langnp1036\insrsid15799763 &#13;_x000a_\hich\af1\dbch\af31501\loch\f1 &lt;Article2&gt;&lt;OptDel&gt;}{\rtlch\fcs1 \af0 \ltrch\fcs0 \lang1036\langfe2057\langnp1036\insrsid15799763 [ZACTPART]}{\rtlch\fcs1 \af0 \ltrch\fcs0 &#13;_x000a_\cs17\v\fs20\cf9\lang1024\langfe1024\loch\af1\hich\af1\dbch\af31501\noproof\langnp1036\insrsid15799763 \hich\af1\dbch\af31501\loch\f1 &lt;/OptDel&gt;&lt;/Article2&gt;}{\rtlch\fcs1 \af0 \ltrch\fcs0 \lang1036\langfe2057\langnp1036\insrsid15799763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lang1036\langfe2057\langnp1036\insrsid15799763 \cell }\pard \ltrpar\ql \li0\ri0\widctlpar\intbl\wrapdefault\aspalpha\aspnum\faauto\adjustright\rin0\lin0 {\rtlch\fcs1 \af0 \ltrch\fcs0 \insrsid15799763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0\qc \li0\ri0\sa240\keepn\nowidctlpar\intbl\wrapdefault\aspalpha\aspnum\faauto\adjustright\rin0\lin0\pararsid11085200 \rtlch\fcs1 \af0\afs20\alang1025 \ltrch\fcs0 \i\fs24\lang2057\langfe2057\cgrid\langnp2057\langfenp2057 {&#13;_x000a_\rtlch\fcs1 \af0 \ltrch\fcs0 \insrsid15799763 [ZLEFT]\cell [ZRIGHT]\cell }\pard\plain \ltrpar\ql \li0\ri0\widctlpar\intbl\wrapdefault\aspalpha\aspnum\faauto\adjustright\rin0\lin0 \rtlch\fcs1 \af0\afs20\alang1025 \ltrch\fcs0 &#13;_x000a_\fs24\lang2057\langfe2057\cgrid\langnp2057\langfenp2057 {\rtlch\fcs1 \af0 \ltrch\fcs0 \insrsid15799763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ltrrow&#13;_x000a_}\pard\plain \ltrpar\s19\ql \li0\ri0\sa120\nowidctlpar\intbl\wrapdefault\aspalpha\aspnum\faauto\adjustright\rin0\lin0\pararsid11085200 \rtlch\fcs1 \af0\afs20\alang1025 \ltrch\fcs0 \fs24\lang2057\langfe2057\cgrid\langnp2057\langfenp2057 {\rtlch\fcs1 \af0 &#13;_x000a_\ltrch\fcs0 \insrsid15799763 [ZTEXTL]\cell [ZTEXTR]\cell }\pard\plain \ltrpar\ql \li0\ri0\widctlpar\intbl\wrapdefault\aspalpha\aspnum\faauto\adjustright\rin0\lin0 \rtlch\fcs1 \af0\afs20\alang1025 \ltrch\fcs0 &#13;_x000a_\fs24\lang2057\langfe2057\cgrid\langnp2057\langfenp2057 {\rtlch\fcs1 \af0 \ltrch\fcs0 \insrsid15799763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3\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15799763 \hich\af1\dbch\af31501\loch\f1 &lt;OptDel&gt;}{\rtlch\fcs1 \af0 \ltrch\fcs0 \insrsid15799763 [ZCROSSREF]}{\rtlch\fcs1 \af0 \ltrch\fcs0 &#13;_x000a_\cs17\i0\v\fs20\cf9\lang1024\langfe1024\loch\af1\hich\af1\dbch\af31501\noproof\insrsid15799763 \hich\af1\dbch\af31501\loch\f1 &lt;/OptDel&gt;}{\rtlch\fcs1 \af0 \ltrch\fcs0 \insrsid15799763 &#13;_x000a_\par }\pard\plain \ltrpar\s24\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15799763 \hich\af1\dbch\af31501\loch\f1 &lt;TitreJust&gt;}{\rtlch\fcs1 \af0 \ltrch\fcs0 \insrsid15799763 [ZJUSTIFICATION]}{\rtlch\fcs1 \af0 &#13;_x000a_\ltrch\fcs0 \cs17\i0\v\fs20\cf9\lang1024\langfe1024\loch\af1\hich\af1\dbch\af31501\noproof\insrsid15799763 \hich\af1\dbch\af31501\loch\f1 &lt;/TitreJust&gt;}{\rtlch\fcs1 \af0 \ltrch\fcs0 \insrsid15799763 &#13;_x000a_\par }\pard\plain \ltrpar\s22\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15799763 \hich\af1\dbch\af31501\loch\f1 &lt;OptDelPrev&gt;}{\rtlch\fcs1 \af0 \ltrch\fcs0 \insrsid15799763 [ZTEXTJUST]}{\rtlch\fcs1 \af0 \ltrch\fcs0 &#13;_x000a_\cs17\i0\v\fs20\cf9\lang1024\langfe1024\loch\af1\hich\af1\dbch\af31501\noproof\insrsid15799763 \hich\af1\dbch\af31501\loch\f1 &lt;/OptDelPrev&gt;}{\rtlch\fcs1 \af0 \ltrch\fcs0 \insrsid15799763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15799763 \hich\af1\dbch\af31501\loch\f1 &lt;/Amend&gt;}{\rtlch\fcs1 \af0 \ltrch\fcs0 \insrsid15799763\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99&#13;_x000a_fecf401f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47"/>
    <w:docVar w:name="TEXTRMNU" w:val="2"/>
    <w:docVar w:name="TITLECODMNU" w:val=" 1"/>
    <w:docVar w:name="TITLEMNU" w:val=" 1"/>
    <w:docVar w:name="TVTAMACTPART" w:val="xx"/>
    <w:docVar w:name="TXTAUTHOR" w:val="Stine Bosse"/>
    <w:docVar w:name="TXTLANGUE" w:val="LT"/>
    <w:docVar w:name="TXTLANGUEMIN" w:val="lt"/>
    <w:docVar w:name="TXTNRC" w:val="0165/2025"/>
    <w:docVar w:name="TXTNRCOM" w:val="(2025)0555"/>
    <w:docVar w:name="TXTNRFIRSTAM" w:val="1"/>
    <w:docVar w:name="TXTNRLASTAM" w:val="1"/>
    <w:docVar w:name="TXTNRPE" w:val="787.644"/>
    <w:docVar w:name="TXTNRPROC" w:val="2025/0555"/>
    <w:docVar w:name="TXTPEorAP" w:val="PE"/>
    <w:docVar w:name="TXTROUTE" w:val="AD\1347975LT.docx"/>
    <w:docVar w:name="TXTTITLE" w:val="regulation of the European Parliament and of the Council on establishing the European Competitiveness Fund ('ECF’), including the specific programme for defence research and innovation activities, repealing Regulations (EU) 2021/522, (EU) 2021/694, (EU) 2021/697, (EU) 2021/783, and amending Regulations (EU) 2021/696, (EU) 2023/588, (EU) [EDIP]"/>
    <w:docVar w:name="TXTVERSION" w:val="04-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F1BA0D8-C2CD-4D30-B6E8-AB2FB575E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semiHidden="1"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autoRedefine/>
    <w:rsid w:val="006A4D26"/>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uiPriority w:val="39"/>
    <w:semiHidden/>
  </w:style>
  <w:style w:type="paragraph" w:styleId="TOCHeading">
    <w:name w:val="TOC Heading"/>
    <w:basedOn w:val="Normal"/>
    <w:next w:val="Normal"/>
    <w:uiPriority w:val="39"/>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uiPriority w:val="99"/>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99"/>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link w:val="NormalBoldChar"/>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935936"/>
    <w:rPr>
      <w:sz w:val="20"/>
    </w:rPr>
  </w:style>
  <w:style w:type="character" w:customStyle="1" w:styleId="FootnoteTextChar">
    <w:name w:val="Footnote Text Char"/>
    <w:basedOn w:val="DefaultParagraphFont"/>
    <w:link w:val="FootnoteText"/>
    <w:rsid w:val="00935936"/>
  </w:style>
  <w:style w:type="character" w:styleId="FootnoteReference">
    <w:name w:val="footnote reference"/>
    <w:basedOn w:val="DefaultParagraphFont"/>
    <w:rsid w:val="00935936"/>
    <w:rPr>
      <w:vertAlign w:val="superscript"/>
    </w:rPr>
  </w:style>
  <w:style w:type="character" w:styleId="Hyperlink">
    <w:name w:val="Hyperlink"/>
    <w:basedOn w:val="DefaultParagraphFont"/>
    <w:rsid w:val="00935936"/>
    <w:rPr>
      <w:color w:val="0563C1" w:themeColor="hyperlink"/>
      <w:u w:val="single"/>
    </w:rPr>
  </w:style>
  <w:style w:type="character" w:customStyle="1" w:styleId="UnresolvedMention">
    <w:name w:val="Unresolved Mention"/>
    <w:basedOn w:val="DefaultParagraphFont"/>
    <w:uiPriority w:val="99"/>
    <w:semiHidden/>
    <w:unhideWhenUsed/>
    <w:rsid w:val="00935936"/>
    <w:rPr>
      <w:color w:val="605E5C"/>
      <w:shd w:val="clear" w:color="auto" w:fill="E1DFDD"/>
    </w:rPr>
  </w:style>
  <w:style w:type="paragraph" w:styleId="Footer">
    <w:name w:val="footer"/>
    <w:basedOn w:val="Normal"/>
    <w:link w:val="FooterChar"/>
    <w:uiPriority w:val="99"/>
    <w:rsid w:val="00935936"/>
    <w:pPr>
      <w:tabs>
        <w:tab w:val="center" w:pos="4513"/>
        <w:tab w:val="right" w:pos="9026"/>
      </w:tabs>
    </w:pPr>
  </w:style>
  <w:style w:type="character" w:customStyle="1" w:styleId="FooterChar">
    <w:name w:val="Footer Char"/>
    <w:basedOn w:val="DefaultParagraphFont"/>
    <w:link w:val="Footer"/>
    <w:uiPriority w:val="99"/>
    <w:rsid w:val="00935936"/>
    <w:rPr>
      <w:sz w:val="24"/>
    </w:rPr>
  </w:style>
  <w:style w:type="paragraph" w:styleId="ListBullet4">
    <w:name w:val="List Bullet 4"/>
    <w:basedOn w:val="Normal"/>
    <w:rsid w:val="00492915"/>
    <w:pPr>
      <w:widowControl/>
      <w:numPr>
        <w:numId w:val="2"/>
      </w:numPr>
      <w:tabs>
        <w:tab w:val="num" w:pos="360"/>
        <w:tab w:val="clear" w:pos="1134"/>
      </w:tabs>
      <w:spacing w:before="120" w:after="120"/>
      <w:ind w:left="0" w:firstLine="0"/>
      <w:jc w:val="both"/>
    </w:pPr>
    <w:rPr>
      <w:szCs w:val="22"/>
      <w:lang w:eastAsia="de-DE"/>
    </w:rPr>
  </w:style>
  <w:style w:type="paragraph" w:styleId="ListNumber">
    <w:name w:val="List Number"/>
    <w:basedOn w:val="Normal"/>
    <w:rsid w:val="00492915"/>
    <w:pPr>
      <w:widowControl/>
      <w:numPr>
        <w:numId w:val="6"/>
      </w:numPr>
      <w:tabs>
        <w:tab w:val="clear" w:pos="709"/>
      </w:tabs>
      <w:spacing w:before="120" w:after="120"/>
      <w:ind w:left="0" w:firstLine="0"/>
      <w:jc w:val="both"/>
    </w:pPr>
    <w:rPr>
      <w:szCs w:val="22"/>
      <w:lang w:eastAsia="de-DE"/>
    </w:rPr>
  </w:style>
  <w:style w:type="paragraph" w:customStyle="1" w:styleId="ListBullet1">
    <w:name w:val="List Bullet 1"/>
    <w:basedOn w:val="Normal"/>
    <w:rsid w:val="00492915"/>
    <w:pPr>
      <w:widowControl/>
      <w:numPr>
        <w:numId w:val="1"/>
      </w:numPr>
      <w:tabs>
        <w:tab w:val="num" w:pos="360"/>
        <w:tab w:val="clear" w:pos="1134"/>
      </w:tabs>
      <w:spacing w:before="120" w:after="120"/>
      <w:ind w:left="0" w:firstLine="0"/>
      <w:jc w:val="both"/>
    </w:pPr>
    <w:rPr>
      <w:szCs w:val="22"/>
      <w:lang w:eastAsia="de-DE"/>
    </w:rPr>
  </w:style>
  <w:style w:type="paragraph" w:customStyle="1" w:styleId="ListDash">
    <w:name w:val="List Dash"/>
    <w:basedOn w:val="Normal"/>
    <w:rsid w:val="00492915"/>
    <w:pPr>
      <w:widowControl/>
      <w:numPr>
        <w:numId w:val="3"/>
      </w:numPr>
      <w:tabs>
        <w:tab w:val="clear" w:pos="283"/>
      </w:tabs>
      <w:spacing w:before="120" w:after="120"/>
      <w:ind w:left="0" w:firstLine="0"/>
      <w:jc w:val="both"/>
    </w:pPr>
    <w:rPr>
      <w:szCs w:val="22"/>
      <w:lang w:eastAsia="de-DE"/>
    </w:rPr>
  </w:style>
  <w:style w:type="paragraph" w:customStyle="1" w:styleId="ListDash1">
    <w:name w:val="List Dash 1"/>
    <w:basedOn w:val="Normal"/>
    <w:rsid w:val="00492915"/>
    <w:pPr>
      <w:widowControl/>
      <w:numPr>
        <w:numId w:val="4"/>
      </w:numPr>
      <w:tabs>
        <w:tab w:val="clear" w:pos="1134"/>
      </w:tabs>
      <w:spacing w:before="120" w:after="120"/>
      <w:ind w:left="0" w:firstLine="0"/>
      <w:jc w:val="both"/>
    </w:pPr>
    <w:rPr>
      <w:szCs w:val="22"/>
      <w:lang w:eastAsia="de-DE"/>
    </w:rPr>
  </w:style>
  <w:style w:type="paragraph" w:customStyle="1" w:styleId="ListDash2">
    <w:name w:val="List Dash 2"/>
    <w:basedOn w:val="Normal"/>
    <w:rsid w:val="00492915"/>
    <w:pPr>
      <w:widowControl/>
      <w:numPr>
        <w:numId w:val="5"/>
      </w:numPr>
      <w:tabs>
        <w:tab w:val="num" w:pos="360"/>
        <w:tab w:val="clear" w:pos="1134"/>
      </w:tabs>
      <w:spacing w:before="120" w:after="120"/>
      <w:ind w:left="0" w:firstLine="0"/>
      <w:jc w:val="both"/>
    </w:pPr>
    <w:rPr>
      <w:szCs w:val="22"/>
      <w:lang w:eastAsia="de-DE"/>
    </w:rPr>
  </w:style>
  <w:style w:type="paragraph" w:customStyle="1" w:styleId="ListNumberLevel2">
    <w:name w:val="List Number (Level 2)"/>
    <w:basedOn w:val="Normal"/>
    <w:rsid w:val="00492915"/>
    <w:pPr>
      <w:widowControl/>
      <w:numPr>
        <w:ilvl w:val="1"/>
        <w:numId w:val="6"/>
      </w:numPr>
      <w:tabs>
        <w:tab w:val="num" w:pos="360"/>
        <w:tab w:val="clear" w:pos="1417"/>
      </w:tabs>
      <w:spacing w:before="120" w:after="120"/>
      <w:ind w:left="0" w:firstLine="0"/>
      <w:jc w:val="both"/>
    </w:pPr>
    <w:rPr>
      <w:szCs w:val="22"/>
      <w:lang w:eastAsia="de-DE"/>
    </w:rPr>
  </w:style>
  <w:style w:type="paragraph" w:customStyle="1" w:styleId="ListNumberLevel3">
    <w:name w:val="List Number (Level 3)"/>
    <w:basedOn w:val="Normal"/>
    <w:rsid w:val="00492915"/>
    <w:pPr>
      <w:widowControl/>
      <w:numPr>
        <w:ilvl w:val="2"/>
        <w:numId w:val="6"/>
      </w:numPr>
      <w:tabs>
        <w:tab w:val="clear" w:pos="2126"/>
      </w:tabs>
      <w:spacing w:before="120" w:after="120"/>
      <w:ind w:left="0" w:firstLine="0"/>
      <w:jc w:val="both"/>
    </w:pPr>
    <w:rPr>
      <w:szCs w:val="22"/>
      <w:lang w:eastAsia="de-DE"/>
    </w:rPr>
  </w:style>
  <w:style w:type="paragraph" w:customStyle="1" w:styleId="ListNumberLevel4">
    <w:name w:val="List Number (Level 4)"/>
    <w:basedOn w:val="Normal"/>
    <w:rsid w:val="00492915"/>
    <w:pPr>
      <w:widowControl/>
      <w:numPr>
        <w:ilvl w:val="3"/>
        <w:numId w:val="6"/>
      </w:numPr>
      <w:tabs>
        <w:tab w:val="clear" w:pos="2835"/>
      </w:tabs>
      <w:spacing w:before="120" w:after="120"/>
      <w:ind w:left="0" w:firstLine="0"/>
      <w:jc w:val="both"/>
    </w:pPr>
    <w:rPr>
      <w:szCs w:val="22"/>
      <w:lang w:eastAsia="de-DE"/>
    </w:rPr>
  </w:style>
  <w:style w:type="paragraph" w:styleId="ListBullet">
    <w:name w:val="List Bullet"/>
    <w:basedOn w:val="Normal"/>
    <w:rsid w:val="00492915"/>
    <w:pPr>
      <w:widowControl/>
      <w:numPr>
        <w:numId w:val="7"/>
      </w:numPr>
      <w:tabs>
        <w:tab w:val="clear" w:pos="283"/>
      </w:tabs>
      <w:spacing w:before="120" w:after="120"/>
      <w:ind w:left="0" w:firstLine="0"/>
      <w:jc w:val="both"/>
    </w:pPr>
    <w:rPr>
      <w:szCs w:val="22"/>
    </w:rPr>
  </w:style>
  <w:style w:type="paragraph" w:styleId="ListBullet2">
    <w:name w:val="List Bullet 2"/>
    <w:basedOn w:val="Normal"/>
    <w:rsid w:val="00492915"/>
    <w:pPr>
      <w:widowControl/>
      <w:numPr>
        <w:numId w:val="8"/>
      </w:numPr>
      <w:tabs>
        <w:tab w:val="clear" w:pos="1134"/>
      </w:tabs>
      <w:spacing w:before="120" w:after="120"/>
      <w:ind w:left="0" w:firstLine="0"/>
      <w:jc w:val="both"/>
    </w:pPr>
    <w:rPr>
      <w:szCs w:val="22"/>
    </w:rPr>
  </w:style>
  <w:style w:type="paragraph" w:styleId="ListBullet3">
    <w:name w:val="List Bullet 3"/>
    <w:basedOn w:val="Normal"/>
    <w:rsid w:val="00492915"/>
    <w:pPr>
      <w:widowControl/>
      <w:numPr>
        <w:numId w:val="9"/>
      </w:numPr>
      <w:tabs>
        <w:tab w:val="clear" w:pos="1134"/>
      </w:tabs>
      <w:spacing w:before="120" w:after="120"/>
      <w:ind w:left="0" w:firstLine="0"/>
      <w:jc w:val="both"/>
    </w:pPr>
    <w:rPr>
      <w:szCs w:val="22"/>
    </w:rPr>
  </w:style>
  <w:style w:type="paragraph" w:styleId="ListNumber2">
    <w:name w:val="List Number 2"/>
    <w:basedOn w:val="Normal"/>
    <w:rsid w:val="00492915"/>
    <w:pPr>
      <w:widowControl/>
      <w:numPr>
        <w:numId w:val="13"/>
      </w:numPr>
      <w:tabs>
        <w:tab w:val="clear" w:pos="1560"/>
      </w:tabs>
      <w:spacing w:before="120" w:after="120"/>
      <w:ind w:left="0" w:firstLine="0"/>
      <w:jc w:val="both"/>
    </w:pPr>
    <w:rPr>
      <w:szCs w:val="22"/>
    </w:rPr>
  </w:style>
  <w:style w:type="paragraph" w:styleId="ListNumber3">
    <w:name w:val="List Number 3"/>
    <w:basedOn w:val="Normal"/>
    <w:rsid w:val="00492915"/>
    <w:pPr>
      <w:widowControl/>
      <w:numPr>
        <w:numId w:val="14"/>
      </w:numPr>
      <w:tabs>
        <w:tab w:val="clear" w:pos="1560"/>
      </w:tabs>
      <w:spacing w:before="120" w:after="120"/>
      <w:ind w:left="0" w:firstLine="0"/>
      <w:jc w:val="both"/>
    </w:pPr>
    <w:rPr>
      <w:szCs w:val="22"/>
    </w:rPr>
  </w:style>
  <w:style w:type="paragraph" w:styleId="ListNumber4">
    <w:name w:val="List Number 4"/>
    <w:basedOn w:val="Normal"/>
    <w:rsid w:val="00492915"/>
    <w:pPr>
      <w:widowControl/>
      <w:numPr>
        <w:numId w:val="15"/>
      </w:numPr>
      <w:tabs>
        <w:tab w:val="clear" w:pos="1560"/>
      </w:tabs>
      <w:spacing w:before="120" w:after="120"/>
      <w:ind w:left="0" w:firstLine="0"/>
      <w:jc w:val="both"/>
    </w:pPr>
    <w:rPr>
      <w:szCs w:val="22"/>
    </w:rPr>
  </w:style>
  <w:style w:type="paragraph" w:customStyle="1" w:styleId="ListDash3">
    <w:name w:val="List Dash 3"/>
    <w:basedOn w:val="Normal"/>
    <w:rsid w:val="00492915"/>
    <w:pPr>
      <w:widowControl/>
      <w:numPr>
        <w:numId w:val="10"/>
      </w:numPr>
      <w:tabs>
        <w:tab w:val="clear" w:pos="1134"/>
      </w:tabs>
      <w:spacing w:before="120" w:after="120"/>
      <w:ind w:left="0" w:firstLine="0"/>
      <w:jc w:val="both"/>
    </w:pPr>
    <w:rPr>
      <w:szCs w:val="22"/>
    </w:rPr>
  </w:style>
  <w:style w:type="paragraph" w:customStyle="1" w:styleId="ListDash4">
    <w:name w:val="List Dash 4"/>
    <w:basedOn w:val="Normal"/>
    <w:rsid w:val="00492915"/>
    <w:pPr>
      <w:widowControl/>
      <w:numPr>
        <w:numId w:val="11"/>
      </w:numPr>
      <w:tabs>
        <w:tab w:val="clear" w:pos="1134"/>
      </w:tabs>
      <w:spacing w:before="120" w:after="120"/>
      <w:ind w:left="0" w:firstLine="0"/>
      <w:jc w:val="both"/>
    </w:pPr>
    <w:rPr>
      <w:szCs w:val="22"/>
    </w:rPr>
  </w:style>
  <w:style w:type="paragraph" w:customStyle="1" w:styleId="ListNumber1">
    <w:name w:val="List Number 1"/>
    <w:basedOn w:val="Text1"/>
    <w:rsid w:val="00492915"/>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rsid w:val="00492915"/>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rsid w:val="00492915"/>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rsid w:val="00492915"/>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rsid w:val="00492915"/>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rsid w:val="00492915"/>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rsid w:val="00492915"/>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rsid w:val="00492915"/>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rsid w:val="00492915"/>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rsid w:val="00492915"/>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rsid w:val="00492915"/>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rsid w:val="00492915"/>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rsid w:val="00492915"/>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rsid w:val="00492915"/>
    <w:pPr>
      <w:widowControl/>
      <w:spacing w:before="120" w:after="120"/>
      <w:jc w:val="center"/>
    </w:pPr>
    <w:rPr>
      <w:b/>
      <w:szCs w:val="22"/>
      <w:u w:val="single"/>
    </w:rPr>
  </w:style>
  <w:style w:type="paragraph" w:customStyle="1" w:styleId="Annexetitreexposglobal">
    <w:name w:val="Annexe titre (exposé global)"/>
    <w:basedOn w:val="Normal"/>
    <w:next w:val="Normal"/>
    <w:rsid w:val="00492915"/>
    <w:pPr>
      <w:widowControl/>
      <w:spacing w:before="120" w:after="120"/>
      <w:jc w:val="center"/>
    </w:pPr>
    <w:rPr>
      <w:b/>
      <w:szCs w:val="22"/>
      <w:u w:val="single"/>
    </w:rPr>
  </w:style>
  <w:style w:type="paragraph" w:customStyle="1" w:styleId="Annexetitrefichefinacte">
    <w:name w:val="Annexe titre (fiche fin. acte)"/>
    <w:basedOn w:val="Normal"/>
    <w:next w:val="Normal"/>
    <w:rsid w:val="00492915"/>
    <w:pPr>
      <w:widowControl/>
      <w:spacing w:before="120" w:after="120"/>
      <w:jc w:val="center"/>
    </w:pPr>
    <w:rPr>
      <w:b/>
      <w:szCs w:val="22"/>
      <w:u w:val="single"/>
    </w:rPr>
  </w:style>
  <w:style w:type="paragraph" w:customStyle="1" w:styleId="Annexetitrefichefinglobale">
    <w:name w:val="Annexe titre (fiche fin. globale)"/>
    <w:basedOn w:val="Normal"/>
    <w:next w:val="Normal"/>
    <w:rsid w:val="00492915"/>
    <w:pPr>
      <w:widowControl/>
      <w:spacing w:before="120" w:after="120"/>
      <w:jc w:val="center"/>
    </w:pPr>
    <w:rPr>
      <w:b/>
      <w:szCs w:val="22"/>
      <w:u w:val="single"/>
    </w:rPr>
  </w:style>
  <w:style w:type="paragraph" w:customStyle="1" w:styleId="Annexetitreglobale">
    <w:name w:val="Annexe titre (globale)"/>
    <w:basedOn w:val="Normal"/>
    <w:next w:val="Normal"/>
    <w:rsid w:val="00492915"/>
    <w:pPr>
      <w:widowControl/>
      <w:spacing w:before="120" w:after="120"/>
      <w:jc w:val="center"/>
    </w:pPr>
    <w:rPr>
      <w:b/>
      <w:szCs w:val="22"/>
      <w:u w:val="single"/>
    </w:rPr>
  </w:style>
  <w:style w:type="paragraph" w:customStyle="1" w:styleId="Exposdesmotifstitreglobal">
    <w:name w:val="Exposé des motifs titre (global)"/>
    <w:basedOn w:val="Normal"/>
    <w:next w:val="Normal"/>
    <w:rsid w:val="00492915"/>
    <w:pPr>
      <w:widowControl/>
      <w:spacing w:before="120" w:after="120"/>
      <w:jc w:val="center"/>
    </w:pPr>
    <w:rPr>
      <w:b/>
      <w:szCs w:val="22"/>
      <w:u w:val="single"/>
    </w:rPr>
  </w:style>
  <w:style w:type="paragraph" w:customStyle="1" w:styleId="Langueoriginale">
    <w:name w:val="Langue originale"/>
    <w:basedOn w:val="Normal"/>
    <w:rsid w:val="00492915"/>
    <w:pPr>
      <w:widowControl/>
      <w:spacing w:before="360" w:after="120"/>
      <w:jc w:val="center"/>
    </w:pPr>
    <w:rPr>
      <w:caps/>
      <w:szCs w:val="22"/>
    </w:rPr>
  </w:style>
  <w:style w:type="paragraph" w:customStyle="1" w:styleId="Phrasefinale">
    <w:name w:val="Phrase finale"/>
    <w:basedOn w:val="Normal"/>
    <w:next w:val="Normal"/>
    <w:rsid w:val="00492915"/>
    <w:pPr>
      <w:widowControl/>
      <w:spacing w:before="360"/>
      <w:jc w:val="center"/>
    </w:pPr>
    <w:rPr>
      <w:szCs w:val="22"/>
    </w:rPr>
  </w:style>
  <w:style w:type="paragraph" w:customStyle="1" w:styleId="Prliminairetitre">
    <w:name w:val="Préliminaire titre"/>
    <w:basedOn w:val="Normal"/>
    <w:next w:val="Normal"/>
    <w:rsid w:val="00492915"/>
    <w:pPr>
      <w:widowControl/>
      <w:spacing w:before="360" w:after="360"/>
      <w:jc w:val="center"/>
    </w:pPr>
    <w:rPr>
      <w:b/>
      <w:szCs w:val="22"/>
    </w:rPr>
  </w:style>
  <w:style w:type="paragraph" w:customStyle="1" w:styleId="Prliminairetype">
    <w:name w:val="Préliminaire type"/>
    <w:basedOn w:val="Normal"/>
    <w:next w:val="Normal"/>
    <w:rsid w:val="00492915"/>
    <w:pPr>
      <w:widowControl/>
      <w:spacing w:before="360"/>
      <w:jc w:val="center"/>
    </w:pPr>
    <w:rPr>
      <w:b/>
      <w:szCs w:val="22"/>
    </w:rPr>
  </w:style>
  <w:style w:type="paragraph" w:customStyle="1" w:styleId="Rfrenceinstitutionelle">
    <w:name w:val="Référence institutionelle"/>
    <w:basedOn w:val="Normal"/>
    <w:next w:val="Statut"/>
    <w:rsid w:val="00492915"/>
    <w:pPr>
      <w:widowControl/>
      <w:spacing w:after="240"/>
      <w:ind w:left="5103"/>
    </w:pPr>
    <w:rPr>
      <w:szCs w:val="22"/>
    </w:rPr>
  </w:style>
  <w:style w:type="paragraph" w:customStyle="1" w:styleId="Rfrenceinterinstitutionelle">
    <w:name w:val="Référence interinstitutionelle"/>
    <w:basedOn w:val="Normal"/>
    <w:next w:val="Statut"/>
    <w:rsid w:val="00492915"/>
    <w:pPr>
      <w:widowControl/>
      <w:ind w:left="5103"/>
    </w:pPr>
    <w:rPr>
      <w:szCs w:val="22"/>
    </w:rPr>
  </w:style>
  <w:style w:type="paragraph" w:customStyle="1" w:styleId="Rfrenceinterinstitutionelleprliminaire">
    <w:name w:val="Référence interinstitutionelle (préliminaire)"/>
    <w:basedOn w:val="Normal"/>
    <w:next w:val="Normal"/>
    <w:rsid w:val="00492915"/>
    <w:pPr>
      <w:widowControl/>
      <w:ind w:left="5103"/>
    </w:pPr>
    <w:rPr>
      <w:szCs w:val="22"/>
    </w:rPr>
  </w:style>
  <w:style w:type="paragraph" w:customStyle="1" w:styleId="Sous-titreobjetprliminaire">
    <w:name w:val="Sous-titre objet (préliminaire)"/>
    <w:basedOn w:val="Normal"/>
    <w:rsid w:val="00492915"/>
    <w:pPr>
      <w:widowControl/>
      <w:jc w:val="center"/>
    </w:pPr>
    <w:rPr>
      <w:b/>
      <w:szCs w:val="22"/>
    </w:rPr>
  </w:style>
  <w:style w:type="paragraph" w:customStyle="1" w:styleId="Statutprliminaire">
    <w:name w:val="Statut (préliminaire)"/>
    <w:basedOn w:val="Normal"/>
    <w:next w:val="Normal"/>
    <w:rsid w:val="00492915"/>
    <w:pPr>
      <w:widowControl/>
      <w:spacing w:before="360"/>
      <w:jc w:val="center"/>
    </w:pPr>
    <w:rPr>
      <w:szCs w:val="22"/>
    </w:rPr>
  </w:style>
  <w:style w:type="paragraph" w:customStyle="1" w:styleId="Titreobjetprliminaire">
    <w:name w:val="Titre objet (préliminaire)"/>
    <w:basedOn w:val="Normal"/>
    <w:next w:val="Normal"/>
    <w:rsid w:val="00492915"/>
    <w:pPr>
      <w:widowControl/>
      <w:spacing w:before="360" w:after="360"/>
      <w:jc w:val="center"/>
    </w:pPr>
    <w:rPr>
      <w:b/>
      <w:szCs w:val="22"/>
    </w:rPr>
  </w:style>
  <w:style w:type="paragraph" w:customStyle="1" w:styleId="Typedudocumentprliminaire">
    <w:name w:val="Type du document (préliminaire)"/>
    <w:basedOn w:val="Normal"/>
    <w:next w:val="Normal"/>
    <w:rsid w:val="00492915"/>
    <w:pPr>
      <w:widowControl/>
      <w:spacing w:before="360"/>
      <w:jc w:val="center"/>
    </w:pPr>
    <w:rPr>
      <w:b/>
      <w:szCs w:val="22"/>
    </w:rPr>
  </w:style>
  <w:style w:type="paragraph" w:customStyle="1" w:styleId="Fichefinancirestandardtitre">
    <w:name w:val="Fiche financière (standard) titre"/>
    <w:basedOn w:val="Normal"/>
    <w:next w:val="Normal"/>
    <w:rsid w:val="00492915"/>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492915"/>
    <w:pPr>
      <w:widowControl/>
      <w:spacing w:before="120" w:after="120"/>
      <w:jc w:val="center"/>
    </w:pPr>
    <w:rPr>
      <w:b/>
      <w:szCs w:val="22"/>
      <w:u w:val="single"/>
    </w:rPr>
  </w:style>
  <w:style w:type="paragraph" w:customStyle="1" w:styleId="Fichefinanciretravailtitre">
    <w:name w:val="Fiche financière (travail) titre"/>
    <w:basedOn w:val="Normal"/>
    <w:next w:val="Normal"/>
    <w:rsid w:val="00492915"/>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492915"/>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492915"/>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492915"/>
    <w:pPr>
      <w:widowControl/>
      <w:spacing w:before="120" w:after="120"/>
      <w:jc w:val="center"/>
    </w:pPr>
    <w:rPr>
      <w:b/>
      <w:szCs w:val="22"/>
      <w:u w:val="single"/>
    </w:rPr>
  </w:style>
  <w:style w:type="character" w:styleId="CommentReference">
    <w:name w:val="annotation reference"/>
    <w:rsid w:val="00492915"/>
    <w:rPr>
      <w:rFonts w:cs="Times New Roman"/>
      <w:sz w:val="16"/>
      <w:szCs w:val="16"/>
    </w:rPr>
  </w:style>
  <w:style w:type="paragraph" w:styleId="CommentText">
    <w:name w:val="annotation text"/>
    <w:basedOn w:val="Normal"/>
    <w:link w:val="CommentTextChar"/>
    <w:rsid w:val="00492915"/>
    <w:pPr>
      <w:widowControl/>
      <w:spacing w:before="120" w:after="120"/>
      <w:jc w:val="both"/>
    </w:pPr>
    <w:rPr>
      <w:sz w:val="20"/>
    </w:rPr>
  </w:style>
  <w:style w:type="character" w:customStyle="1" w:styleId="CommentTextChar">
    <w:name w:val="Comment Text Char"/>
    <w:basedOn w:val="DefaultParagraphFont"/>
    <w:link w:val="CommentText"/>
    <w:rsid w:val="00492915"/>
    <w:rPr>
      <w:lang w:val="lt-LT"/>
    </w:rPr>
  </w:style>
  <w:style w:type="paragraph" w:styleId="CommentSubject">
    <w:name w:val="annotation subject"/>
    <w:basedOn w:val="CommentText"/>
    <w:next w:val="CommentText"/>
    <w:link w:val="CommentSubjectChar"/>
    <w:rsid w:val="00492915"/>
    <w:rPr>
      <w:b/>
      <w:bCs/>
    </w:rPr>
  </w:style>
  <w:style w:type="character" w:customStyle="1" w:styleId="CommentSubjectChar">
    <w:name w:val="Comment Subject Char"/>
    <w:basedOn w:val="CommentTextChar"/>
    <w:link w:val="CommentSubject"/>
    <w:rsid w:val="00492915"/>
    <w:rPr>
      <w:b/>
      <w:bCs/>
      <w:lang w:val="lt-LT"/>
    </w:rPr>
  </w:style>
  <w:style w:type="paragraph" w:styleId="BalloonText">
    <w:name w:val="Balloon Text"/>
    <w:basedOn w:val="Normal"/>
    <w:link w:val="BalloonTextChar"/>
    <w:rsid w:val="00492915"/>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492915"/>
    <w:rPr>
      <w:rFonts w:ascii="Tahoma" w:hAnsi="Tahoma" w:cs="Tahoma"/>
      <w:sz w:val="16"/>
      <w:szCs w:val="16"/>
      <w:lang w:val="lt-LT"/>
    </w:rPr>
  </w:style>
  <w:style w:type="paragraph" w:styleId="Caption">
    <w:name w:val="caption"/>
    <w:basedOn w:val="Normal"/>
    <w:next w:val="Normal"/>
    <w:qFormat/>
    <w:rsid w:val="00492915"/>
    <w:pPr>
      <w:widowControl/>
      <w:spacing w:before="120" w:after="120"/>
      <w:jc w:val="both"/>
    </w:pPr>
    <w:rPr>
      <w:b/>
      <w:bCs/>
      <w:sz w:val="20"/>
    </w:rPr>
  </w:style>
  <w:style w:type="paragraph" w:styleId="TableofFigures">
    <w:name w:val="table of figures"/>
    <w:basedOn w:val="Normal"/>
    <w:next w:val="Normal"/>
    <w:rsid w:val="00492915"/>
    <w:pPr>
      <w:widowControl/>
      <w:spacing w:before="120" w:after="120"/>
      <w:jc w:val="both"/>
    </w:pPr>
    <w:rPr>
      <w:szCs w:val="22"/>
    </w:rPr>
  </w:style>
  <w:style w:type="character" w:styleId="PageNumber">
    <w:name w:val="page number"/>
    <w:rsid w:val="00492915"/>
  </w:style>
  <w:style w:type="character" w:customStyle="1" w:styleId="tw4winMark">
    <w:name w:val="tw4winMark"/>
    <w:rsid w:val="00492915"/>
    <w:rPr>
      <w:vanish/>
      <w:color w:val="800080"/>
      <w:vertAlign w:val="subscript"/>
    </w:rPr>
  </w:style>
  <w:style w:type="character" w:styleId="FollowedHyperlink">
    <w:name w:val="FollowedHyperlink"/>
    <w:rsid w:val="00492915"/>
    <w:rPr>
      <w:color w:val="800080"/>
      <w:u w:val="single"/>
    </w:rPr>
  </w:style>
  <w:style w:type="paragraph" w:customStyle="1" w:styleId="Sous-titreobjet">
    <w:name w:val="Sous-titre objet"/>
    <w:basedOn w:val="Normal"/>
    <w:rsid w:val="00492915"/>
    <w:pPr>
      <w:widowControl/>
      <w:jc w:val="center"/>
    </w:pPr>
    <w:rPr>
      <w:b/>
      <w:szCs w:val="22"/>
    </w:rPr>
  </w:style>
  <w:style w:type="paragraph" w:customStyle="1" w:styleId="Sous-titreobjetPagedecouverture">
    <w:name w:val="Sous-titre objet (Page de couverture)"/>
    <w:basedOn w:val="Sous-titreobjet"/>
    <w:rsid w:val="00492915"/>
  </w:style>
  <w:style w:type="paragraph" w:styleId="Revision">
    <w:name w:val="Revision"/>
    <w:hidden/>
    <w:uiPriority w:val="99"/>
    <w:semiHidden/>
    <w:rsid w:val="00492915"/>
    <w:pPr>
      <w:spacing w:after="200" w:line="276" w:lineRule="auto"/>
    </w:pPr>
    <w:rPr>
      <w:rFonts w:ascii="Calibri" w:eastAsia="Calibri" w:hAnsi="Calibri"/>
      <w:sz w:val="24"/>
      <w:szCs w:val="22"/>
    </w:rPr>
  </w:style>
  <w:style w:type="paragraph" w:customStyle="1" w:styleId="FooterCoverPage">
    <w:name w:val="Footer Cover Page"/>
    <w:basedOn w:val="Normal"/>
    <w:link w:val="FooterCoverPageChar"/>
    <w:rsid w:val="00492915"/>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492915"/>
    <w:rPr>
      <w:rFonts w:eastAsia="Calibri"/>
      <w:sz w:val="24"/>
      <w:szCs w:val="22"/>
    </w:rPr>
  </w:style>
  <w:style w:type="paragraph" w:customStyle="1" w:styleId="HeaderCoverPage">
    <w:name w:val="Header Cover Page"/>
    <w:basedOn w:val="Normal"/>
    <w:link w:val="HeaderCoverPageChar"/>
    <w:rsid w:val="00492915"/>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492915"/>
    <w:rPr>
      <w:rFonts w:eastAsia="Calibri"/>
      <w:sz w:val="24"/>
      <w:szCs w:val="22"/>
    </w:rPr>
  </w:style>
  <w:style w:type="paragraph" w:customStyle="1" w:styleId="LegalNumPar">
    <w:name w:val="LegalNumPar"/>
    <w:basedOn w:val="Normal"/>
    <w:rsid w:val="00492915"/>
    <w:pPr>
      <w:widowControl/>
      <w:numPr>
        <w:numId w:val="16"/>
      </w:numPr>
      <w:spacing w:before="120" w:after="120" w:line="360" w:lineRule="auto"/>
      <w:ind w:left="0" w:firstLine="0"/>
      <w:jc w:val="both"/>
    </w:pPr>
    <w:rPr>
      <w:szCs w:val="22"/>
    </w:rPr>
  </w:style>
  <w:style w:type="paragraph" w:customStyle="1" w:styleId="LegalNumPar2">
    <w:name w:val="LegalNumPar2"/>
    <w:basedOn w:val="Normal"/>
    <w:rsid w:val="00492915"/>
    <w:pPr>
      <w:widowControl/>
      <w:numPr>
        <w:ilvl w:val="1"/>
        <w:numId w:val="16"/>
      </w:numPr>
      <w:spacing w:before="120" w:after="120" w:line="360" w:lineRule="auto"/>
      <w:ind w:left="0" w:firstLine="0"/>
      <w:jc w:val="both"/>
    </w:pPr>
    <w:rPr>
      <w:szCs w:val="22"/>
    </w:rPr>
  </w:style>
  <w:style w:type="paragraph" w:customStyle="1" w:styleId="LegalNumPar3">
    <w:name w:val="LegalNumPar3"/>
    <w:basedOn w:val="Normal"/>
    <w:rsid w:val="00492915"/>
    <w:pPr>
      <w:widowControl/>
      <w:numPr>
        <w:ilvl w:val="2"/>
        <w:numId w:val="16"/>
      </w:numPr>
      <w:spacing w:before="120" w:after="120" w:line="360" w:lineRule="auto"/>
      <w:ind w:left="0" w:firstLine="0"/>
      <w:jc w:val="both"/>
    </w:pPr>
    <w:rPr>
      <w:szCs w:val="22"/>
    </w:rPr>
  </w:style>
  <w:style w:type="character" w:customStyle="1" w:styleId="UnresolvedMention1">
    <w:name w:val="Unresolved Mention1"/>
    <w:basedOn w:val="DefaultParagraphFont"/>
    <w:uiPriority w:val="99"/>
    <w:unhideWhenUsed/>
    <w:rsid w:val="00492915"/>
    <w:rPr>
      <w:color w:val="605E5C"/>
      <w:shd w:val="clear" w:color="auto" w:fill="E1DFDD"/>
    </w:rPr>
  </w:style>
  <w:style w:type="character" w:styleId="Strong">
    <w:name w:val="Strong"/>
    <w:basedOn w:val="DefaultParagraphFont"/>
    <w:qFormat/>
    <w:rsid w:val="00492915"/>
    <w:rPr>
      <w:b/>
      <w:bCs/>
    </w:rPr>
  </w:style>
  <w:style w:type="character" w:styleId="Emphasis">
    <w:name w:val="Emphasis"/>
    <w:basedOn w:val="DefaultParagraphFont"/>
    <w:qFormat/>
    <w:rsid w:val="00492915"/>
    <w:rPr>
      <w:i/>
      <w:iCs/>
    </w:rPr>
  </w:style>
  <w:style w:type="character" w:customStyle="1" w:styleId="Mention1">
    <w:name w:val="Mention1"/>
    <w:basedOn w:val="DefaultParagraphFont"/>
    <w:uiPriority w:val="99"/>
    <w:unhideWhenUsed/>
    <w:rsid w:val="00492915"/>
    <w:rPr>
      <w:color w:val="2B579A"/>
      <w:shd w:val="clear" w:color="auto" w:fill="E1DFDD"/>
    </w:rPr>
  </w:style>
  <w:style w:type="character" w:customStyle="1" w:styleId="normaltextrun">
    <w:name w:val="normaltextrun"/>
    <w:basedOn w:val="DefaultParagraphFont"/>
    <w:rsid w:val="00492915"/>
  </w:style>
  <w:style w:type="character" w:customStyle="1" w:styleId="eop">
    <w:name w:val="eop"/>
    <w:basedOn w:val="DefaultParagraphFont"/>
    <w:rsid w:val="00492915"/>
  </w:style>
  <w:style w:type="character" w:customStyle="1" w:styleId="Instructions">
    <w:name w:val="Instructions"/>
    <w:basedOn w:val="SubtleEmphasis"/>
    <w:uiPriority w:val="1"/>
    <w:qFormat/>
    <w:rsid w:val="00492915"/>
    <w:rPr>
      <w:rFonts w:eastAsia="Times New Roman" w:asciiTheme="minorHAnsi" w:hAnsiTheme="minorHAnsi" w:cstheme="majorHAnsi"/>
      <w:i/>
      <w:iCs/>
      <w:color w:val="009900"/>
      <w:kern w:val="0"/>
      <w:sz w:val="20"/>
      <w:szCs w:val="20"/>
      <w:lang w:val="lt-LT" w:eastAsia="en-IE"/>
      <w14:ligatures w14:val="none"/>
    </w:rPr>
  </w:style>
  <w:style w:type="character" w:styleId="SubtleEmphasis">
    <w:name w:val="Subtle Emphasis"/>
    <w:basedOn w:val="DefaultParagraphFont"/>
    <w:uiPriority w:val="19"/>
    <w:qFormat/>
    <w:rsid w:val="00492915"/>
    <w:rPr>
      <w:i/>
      <w:iCs/>
      <w:color w:val="404040" w:themeColor="text1" w:themeTint="BF"/>
    </w:rPr>
  </w:style>
  <w:style w:type="paragraph" w:customStyle="1" w:styleId="Titlearticle">
    <w:name w:val="Title article"/>
    <w:basedOn w:val="ManualHeading2"/>
    <w:rsid w:val="00492915"/>
  </w:style>
  <w:style w:type="paragraph" w:customStyle="1" w:styleId="Article">
    <w:name w:val="Article"/>
    <w:basedOn w:val="Normal"/>
    <w:rsid w:val="00492915"/>
    <w:pPr>
      <w:widowControl/>
      <w:spacing w:before="120" w:after="120"/>
      <w:jc w:val="both"/>
    </w:pPr>
    <w:rPr>
      <w:rFonts w:eastAsiaTheme="minorHAnsi"/>
      <w:szCs w:val="22"/>
      <w:lang w:eastAsia="en-US"/>
    </w:rPr>
  </w:style>
  <w:style w:type="paragraph" w:customStyle="1" w:styleId="Legal">
    <w:name w:val="Legal"/>
    <w:basedOn w:val="LegalNumPar"/>
    <w:rsid w:val="00492915"/>
  </w:style>
  <w:style w:type="paragraph" w:customStyle="1" w:styleId="paragraph">
    <w:name w:val="paragraph"/>
    <w:basedOn w:val="Normal"/>
    <w:rsid w:val="00492915"/>
    <w:pPr>
      <w:widowControl/>
      <w:spacing w:before="120" w:beforeAutospacing="1" w:after="120" w:afterAutospacing="1"/>
      <w:jc w:val="both"/>
    </w:pPr>
    <w:rPr>
      <w:rFonts w:asciiTheme="minorHAnsi" w:eastAsiaTheme="minorEastAsia" w:hAnsiTheme="minorHAnsi" w:cstheme="minorBidi"/>
      <w:szCs w:val="22"/>
      <w:lang w:eastAsia="en-US"/>
    </w:rPr>
  </w:style>
  <w:style w:type="paragraph" w:customStyle="1" w:styleId="Paragraph0">
    <w:name w:val="Paragraph"/>
    <w:basedOn w:val="Normal"/>
    <w:link w:val="ParagraphChar"/>
    <w:qFormat/>
    <w:rsid w:val="00492915"/>
    <w:pPr>
      <w:widowControl/>
      <w:numPr>
        <w:numId w:val="20"/>
      </w:numPr>
      <w:spacing w:before="100" w:beforeAutospacing="1" w:after="120"/>
      <w:ind w:left="0" w:firstLine="0"/>
      <w:jc w:val="both"/>
    </w:pPr>
    <w:rPr>
      <w:rFonts w:asciiTheme="majorHAnsi" w:hAnsiTheme="majorHAnsi" w:cstheme="majorHAnsi"/>
      <w:color w:val="000000" w:themeColor="text1"/>
      <w:sz w:val="20"/>
      <w:lang w:eastAsia="en-IE"/>
    </w:rPr>
  </w:style>
  <w:style w:type="paragraph" w:customStyle="1" w:styleId="Subparagraph">
    <w:name w:val="Subparagraph"/>
    <w:basedOn w:val="Paragraph0"/>
    <w:qFormat/>
    <w:rsid w:val="00492915"/>
    <w:pPr>
      <w:numPr>
        <w:ilvl w:val="1"/>
      </w:numPr>
      <w:ind w:left="0" w:firstLine="0"/>
    </w:pPr>
  </w:style>
  <w:style w:type="character" w:customStyle="1" w:styleId="ParagraphChar">
    <w:name w:val="Paragraph Char"/>
    <w:basedOn w:val="DefaultParagraphFont"/>
    <w:link w:val="Paragraph0"/>
    <w:rsid w:val="00492915"/>
    <w:rPr>
      <w:rFonts w:asciiTheme="majorHAnsi" w:hAnsiTheme="majorHAnsi" w:cstheme="majorHAnsi"/>
      <w:color w:val="000000" w:themeColor="text1"/>
      <w:lang w:val="lt-LT" w:eastAsia="en-IE"/>
    </w:rPr>
  </w:style>
  <w:style w:type="paragraph" w:customStyle="1" w:styleId="Subsubparagraph">
    <w:name w:val="Subsubparagraph"/>
    <w:basedOn w:val="Subparagraph"/>
    <w:link w:val="SubsubparagraphChar"/>
    <w:qFormat/>
    <w:rsid w:val="00492915"/>
    <w:pPr>
      <w:numPr>
        <w:ilvl w:val="2"/>
      </w:numPr>
      <w:ind w:left="0" w:firstLine="0"/>
    </w:pPr>
  </w:style>
  <w:style w:type="character" w:customStyle="1" w:styleId="SubsubparagraphChar">
    <w:name w:val="Subsubparagraph Char"/>
    <w:basedOn w:val="DefaultParagraphFont"/>
    <w:link w:val="Subsubparagraph"/>
    <w:rsid w:val="00492915"/>
    <w:rPr>
      <w:rFonts w:asciiTheme="majorHAnsi" w:hAnsiTheme="majorHAnsi" w:cstheme="majorHAnsi"/>
      <w:color w:val="000000" w:themeColor="text1"/>
      <w:lang w:val="lt-LT" w:eastAsia="en-IE"/>
    </w:rPr>
  </w:style>
  <w:style w:type="paragraph" w:customStyle="1" w:styleId="Recital">
    <w:name w:val="Recital"/>
    <w:basedOn w:val="Paragraph0"/>
    <w:next w:val="Paragraph0"/>
    <w:link w:val="RecitalChar"/>
    <w:qFormat/>
    <w:rsid w:val="00492915"/>
    <w:pPr>
      <w:framePr w:hSpace="180" w:wrap="around" w:vAnchor="text" w:hAnchor="text" w:y="1"/>
      <w:numPr>
        <w:numId w:val="21"/>
      </w:numPr>
      <w:spacing w:after="0"/>
      <w:ind w:left="0" w:firstLine="0"/>
      <w:suppressOverlap/>
    </w:pPr>
  </w:style>
  <w:style w:type="character" w:customStyle="1" w:styleId="RecitalChar">
    <w:name w:val="Recital Char"/>
    <w:basedOn w:val="ParagraphChar"/>
    <w:link w:val="Recital"/>
    <w:rsid w:val="00492915"/>
    <w:rPr>
      <w:rFonts w:asciiTheme="majorHAnsi" w:hAnsiTheme="majorHAnsi" w:cstheme="majorHAnsi"/>
      <w:color w:val="000000" w:themeColor="text1"/>
      <w:lang w:val="lt-LT" w:eastAsia="en-IE"/>
    </w:rPr>
  </w:style>
  <w:style w:type="numbering" w:customStyle="1" w:styleId="LFO14">
    <w:name w:val="LFO14"/>
    <w:basedOn w:val="NoList"/>
    <w:rsid w:val="00492915"/>
    <w:pPr>
      <w:numPr>
        <w:numId w:val="21"/>
      </w:numPr>
    </w:pPr>
  </w:style>
  <w:style w:type="paragraph" w:styleId="NormalWeb">
    <w:name w:val="Normal (Web)"/>
    <w:basedOn w:val="Normal"/>
    <w:uiPriority w:val="99"/>
    <w:unhideWhenUsed/>
    <w:rsid w:val="00492915"/>
    <w:pPr>
      <w:widowControl/>
      <w:spacing w:before="120" w:after="120"/>
      <w:jc w:val="both"/>
    </w:pPr>
    <w:rPr>
      <w:rFonts w:eastAsiaTheme="minorHAnsi"/>
      <w:szCs w:val="24"/>
      <w:lang w:eastAsia="en-US"/>
    </w:rPr>
  </w:style>
  <w:style w:type="character" w:customStyle="1" w:styleId="Bodytext1">
    <w:name w:val="Body text|1_"/>
    <w:basedOn w:val="DefaultParagraphFont"/>
    <w:link w:val="Bodytext10"/>
    <w:rsid w:val="00492915"/>
  </w:style>
  <w:style w:type="paragraph" w:customStyle="1" w:styleId="Bodytext10">
    <w:name w:val="Body text|1"/>
    <w:basedOn w:val="Normal"/>
    <w:link w:val="Bodytext1"/>
    <w:rsid w:val="00492915"/>
    <w:pPr>
      <w:spacing w:after="100"/>
    </w:pPr>
    <w:rPr>
      <w:sz w:val="20"/>
    </w:rPr>
  </w:style>
  <w:style w:type="numbering" w:customStyle="1" w:styleId="LFO141">
    <w:name w:val="LFO141"/>
    <w:basedOn w:val="NoList"/>
    <w:rsid w:val="00492915"/>
  </w:style>
  <w:style w:type="character" w:customStyle="1" w:styleId="Heading1Char">
    <w:name w:val="Heading 1 Char"/>
    <w:basedOn w:val="DefaultParagraphFont"/>
    <w:link w:val="Heading1"/>
    <w:uiPriority w:val="9"/>
    <w:rsid w:val="00492915"/>
    <w:rPr>
      <w:rFonts w:ascii="Arial" w:hAnsi="Arial"/>
      <w:b/>
      <w:kern w:val="28"/>
      <w:sz w:val="28"/>
    </w:rPr>
  </w:style>
  <w:style w:type="character" w:customStyle="1" w:styleId="Heading2Char">
    <w:name w:val="Heading 2 Char"/>
    <w:basedOn w:val="DefaultParagraphFont"/>
    <w:link w:val="Heading2"/>
    <w:uiPriority w:val="9"/>
    <w:semiHidden/>
    <w:rsid w:val="00492915"/>
    <w:rPr>
      <w:rFonts w:ascii="Arial" w:hAnsi="Arial"/>
      <w:b/>
      <w:i/>
      <w:sz w:val="24"/>
    </w:rPr>
  </w:style>
  <w:style w:type="character" w:customStyle="1" w:styleId="Heading3Char">
    <w:name w:val="Heading 3 Char"/>
    <w:basedOn w:val="DefaultParagraphFont"/>
    <w:link w:val="Heading3"/>
    <w:uiPriority w:val="9"/>
    <w:semiHidden/>
    <w:rsid w:val="00492915"/>
    <w:rPr>
      <w:rFonts w:ascii="Arial" w:hAnsi="Arial"/>
      <w:sz w:val="24"/>
    </w:rPr>
  </w:style>
  <w:style w:type="character" w:customStyle="1" w:styleId="Heading4Char">
    <w:name w:val="Heading 4 Char"/>
    <w:basedOn w:val="DefaultParagraphFont"/>
    <w:link w:val="Heading4"/>
    <w:uiPriority w:val="9"/>
    <w:semiHidden/>
    <w:rsid w:val="00492915"/>
    <w:rPr>
      <w:rFonts w:ascii="Arial" w:hAnsi="Arial"/>
      <w:b/>
      <w:sz w:val="24"/>
    </w:rPr>
  </w:style>
  <w:style w:type="character" w:customStyle="1" w:styleId="Heading5Char">
    <w:name w:val="Heading 5 Char"/>
    <w:basedOn w:val="DefaultParagraphFont"/>
    <w:link w:val="Heading5"/>
    <w:uiPriority w:val="9"/>
    <w:semiHidden/>
    <w:rsid w:val="00492915"/>
    <w:rPr>
      <w:sz w:val="22"/>
    </w:rPr>
  </w:style>
  <w:style w:type="character" w:customStyle="1" w:styleId="Heading6Char">
    <w:name w:val="Heading 6 Char"/>
    <w:basedOn w:val="DefaultParagraphFont"/>
    <w:link w:val="Heading6"/>
    <w:uiPriority w:val="9"/>
    <w:semiHidden/>
    <w:rsid w:val="00492915"/>
    <w:rPr>
      <w:i/>
      <w:sz w:val="22"/>
    </w:rPr>
  </w:style>
  <w:style w:type="character" w:customStyle="1" w:styleId="Heading7Char">
    <w:name w:val="Heading 7 Char"/>
    <w:basedOn w:val="DefaultParagraphFont"/>
    <w:link w:val="Heading7"/>
    <w:uiPriority w:val="9"/>
    <w:semiHidden/>
    <w:rsid w:val="00492915"/>
    <w:rPr>
      <w:rFonts w:ascii="Arial" w:hAnsi="Arial"/>
      <w:sz w:val="24"/>
    </w:rPr>
  </w:style>
  <w:style w:type="paragraph" w:styleId="TOC2">
    <w:name w:val="toc 2"/>
    <w:basedOn w:val="Normal"/>
    <w:next w:val="Normal"/>
    <w:uiPriority w:val="39"/>
    <w:unhideWhenUsed/>
    <w:rsid w:val="00492915"/>
    <w:pPr>
      <w:widowControl/>
      <w:tabs>
        <w:tab w:val="right" w:leader="dot" w:pos="9071"/>
      </w:tabs>
      <w:spacing w:before="60" w:after="120"/>
      <w:ind w:left="850" w:hanging="850"/>
    </w:pPr>
    <w:rPr>
      <w:rFonts w:eastAsiaTheme="minorHAnsi"/>
      <w:szCs w:val="22"/>
      <w:lang w:eastAsia="en-US"/>
    </w:rPr>
  </w:style>
  <w:style w:type="paragraph" w:styleId="TOC3">
    <w:name w:val="toc 3"/>
    <w:basedOn w:val="Normal"/>
    <w:next w:val="Normal"/>
    <w:uiPriority w:val="39"/>
    <w:unhideWhenUsed/>
    <w:rsid w:val="00492915"/>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uiPriority w:val="39"/>
    <w:unhideWhenUsed/>
    <w:rsid w:val="00492915"/>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492915"/>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492915"/>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492915"/>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492915"/>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492915"/>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492915"/>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492915"/>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492915"/>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492915"/>
    <w:pPr>
      <w:widowControl/>
      <w:spacing w:after="120"/>
      <w:jc w:val="right"/>
    </w:pPr>
    <w:rPr>
      <w:rFonts w:eastAsiaTheme="minorHAnsi"/>
      <w:sz w:val="28"/>
      <w:szCs w:val="22"/>
      <w:lang w:eastAsia="en-US"/>
    </w:rPr>
  </w:style>
  <w:style w:type="paragraph" w:customStyle="1" w:styleId="FooterSensitivity">
    <w:name w:val="Footer Sensitivity"/>
    <w:basedOn w:val="Normal"/>
    <w:rsid w:val="00492915"/>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492915"/>
    <w:pPr>
      <w:widowControl/>
      <w:spacing w:before="120" w:after="120"/>
      <w:ind w:left="850"/>
      <w:jc w:val="both"/>
    </w:pPr>
    <w:rPr>
      <w:rFonts w:eastAsiaTheme="minorHAnsi"/>
      <w:szCs w:val="22"/>
      <w:lang w:eastAsia="en-US"/>
    </w:rPr>
  </w:style>
  <w:style w:type="paragraph" w:customStyle="1" w:styleId="Text2">
    <w:name w:val="Text 2"/>
    <w:basedOn w:val="Normal"/>
    <w:rsid w:val="00492915"/>
    <w:pPr>
      <w:widowControl/>
      <w:spacing w:before="120" w:after="120"/>
      <w:ind w:left="1417"/>
      <w:jc w:val="both"/>
    </w:pPr>
    <w:rPr>
      <w:rFonts w:eastAsiaTheme="minorHAnsi"/>
      <w:szCs w:val="22"/>
      <w:lang w:eastAsia="en-US"/>
    </w:rPr>
  </w:style>
  <w:style w:type="paragraph" w:customStyle="1" w:styleId="Text3">
    <w:name w:val="Text 3"/>
    <w:basedOn w:val="Normal"/>
    <w:rsid w:val="00492915"/>
    <w:pPr>
      <w:widowControl/>
      <w:spacing w:before="120" w:after="120"/>
      <w:ind w:left="1984"/>
      <w:jc w:val="both"/>
    </w:pPr>
    <w:rPr>
      <w:rFonts w:eastAsiaTheme="minorHAnsi"/>
      <w:szCs w:val="22"/>
      <w:lang w:eastAsia="en-US"/>
    </w:rPr>
  </w:style>
  <w:style w:type="paragraph" w:customStyle="1" w:styleId="Text4">
    <w:name w:val="Text 4"/>
    <w:basedOn w:val="Normal"/>
    <w:rsid w:val="00492915"/>
    <w:pPr>
      <w:widowControl/>
      <w:spacing w:before="120" w:after="120"/>
      <w:ind w:left="2551"/>
      <w:jc w:val="both"/>
    </w:pPr>
    <w:rPr>
      <w:rFonts w:eastAsiaTheme="minorHAnsi"/>
      <w:szCs w:val="22"/>
      <w:lang w:eastAsia="en-US"/>
    </w:rPr>
  </w:style>
  <w:style w:type="paragraph" w:customStyle="1" w:styleId="Text5">
    <w:name w:val="Text 5"/>
    <w:basedOn w:val="Normal"/>
    <w:rsid w:val="00492915"/>
    <w:pPr>
      <w:widowControl/>
      <w:spacing w:before="120" w:after="120"/>
      <w:ind w:left="3118"/>
      <w:jc w:val="both"/>
    </w:pPr>
    <w:rPr>
      <w:rFonts w:eastAsiaTheme="minorHAnsi"/>
      <w:szCs w:val="22"/>
      <w:lang w:eastAsia="en-US"/>
    </w:rPr>
  </w:style>
  <w:style w:type="paragraph" w:customStyle="1" w:styleId="Text6">
    <w:name w:val="Text 6"/>
    <w:basedOn w:val="Normal"/>
    <w:rsid w:val="00492915"/>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492915"/>
    <w:pPr>
      <w:widowControl/>
      <w:spacing w:before="120" w:after="120"/>
      <w:jc w:val="center"/>
    </w:pPr>
    <w:rPr>
      <w:rFonts w:eastAsiaTheme="minorHAnsi"/>
      <w:szCs w:val="22"/>
      <w:lang w:eastAsia="en-US"/>
    </w:rPr>
  </w:style>
  <w:style w:type="paragraph" w:customStyle="1" w:styleId="NormalLeft">
    <w:name w:val="Normal Left"/>
    <w:basedOn w:val="Normal"/>
    <w:rsid w:val="00492915"/>
    <w:pPr>
      <w:widowControl/>
      <w:spacing w:before="120" w:after="120"/>
    </w:pPr>
    <w:rPr>
      <w:rFonts w:eastAsiaTheme="minorHAnsi"/>
      <w:szCs w:val="22"/>
      <w:lang w:eastAsia="en-US"/>
    </w:rPr>
  </w:style>
  <w:style w:type="paragraph" w:customStyle="1" w:styleId="NormalRight">
    <w:name w:val="Normal Right"/>
    <w:basedOn w:val="Normal"/>
    <w:rsid w:val="00492915"/>
    <w:pPr>
      <w:widowControl/>
      <w:spacing w:before="120" w:after="120"/>
      <w:jc w:val="right"/>
    </w:pPr>
    <w:rPr>
      <w:rFonts w:eastAsiaTheme="minorHAnsi"/>
      <w:szCs w:val="22"/>
      <w:lang w:eastAsia="en-US"/>
    </w:rPr>
  </w:style>
  <w:style w:type="paragraph" w:customStyle="1" w:styleId="QuotedText">
    <w:name w:val="Quoted Text"/>
    <w:basedOn w:val="Normal"/>
    <w:rsid w:val="00492915"/>
    <w:pPr>
      <w:widowControl/>
      <w:spacing w:before="120" w:after="120"/>
      <w:ind w:left="1417"/>
      <w:jc w:val="both"/>
    </w:pPr>
    <w:rPr>
      <w:rFonts w:eastAsiaTheme="minorHAnsi"/>
      <w:szCs w:val="22"/>
      <w:lang w:eastAsia="en-US"/>
    </w:rPr>
  </w:style>
  <w:style w:type="paragraph" w:customStyle="1" w:styleId="Point0">
    <w:name w:val="Point 0"/>
    <w:basedOn w:val="Normal"/>
    <w:rsid w:val="00492915"/>
    <w:pPr>
      <w:widowControl/>
      <w:spacing w:before="120" w:after="120"/>
      <w:ind w:left="850" w:hanging="850"/>
      <w:jc w:val="both"/>
    </w:pPr>
    <w:rPr>
      <w:rFonts w:eastAsiaTheme="minorHAnsi"/>
      <w:szCs w:val="22"/>
      <w:lang w:eastAsia="en-US"/>
    </w:rPr>
  </w:style>
  <w:style w:type="paragraph" w:customStyle="1" w:styleId="Point1">
    <w:name w:val="Point 1"/>
    <w:basedOn w:val="Normal"/>
    <w:rsid w:val="0049291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49291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492915"/>
    <w:pPr>
      <w:widowControl/>
      <w:spacing w:before="120" w:after="120"/>
      <w:ind w:left="2551" w:hanging="567"/>
      <w:jc w:val="both"/>
    </w:pPr>
    <w:rPr>
      <w:rFonts w:eastAsiaTheme="minorHAnsi"/>
      <w:szCs w:val="22"/>
      <w:lang w:eastAsia="en-US"/>
    </w:rPr>
  </w:style>
  <w:style w:type="paragraph" w:customStyle="1" w:styleId="Point4">
    <w:name w:val="Point 4"/>
    <w:basedOn w:val="Normal"/>
    <w:rsid w:val="00492915"/>
    <w:pPr>
      <w:widowControl/>
      <w:spacing w:before="120" w:after="120"/>
      <w:ind w:left="3118" w:hanging="567"/>
      <w:jc w:val="both"/>
    </w:pPr>
    <w:rPr>
      <w:rFonts w:eastAsiaTheme="minorHAnsi"/>
      <w:szCs w:val="22"/>
      <w:lang w:eastAsia="en-US"/>
    </w:rPr>
  </w:style>
  <w:style w:type="paragraph" w:customStyle="1" w:styleId="Point5">
    <w:name w:val="Point 5"/>
    <w:basedOn w:val="Normal"/>
    <w:rsid w:val="00492915"/>
    <w:pPr>
      <w:widowControl/>
      <w:spacing w:before="120" w:after="120"/>
      <w:ind w:left="3685" w:hanging="567"/>
      <w:jc w:val="both"/>
    </w:pPr>
    <w:rPr>
      <w:rFonts w:eastAsiaTheme="minorHAnsi"/>
      <w:szCs w:val="22"/>
      <w:lang w:eastAsia="en-US"/>
    </w:rPr>
  </w:style>
  <w:style w:type="paragraph" w:customStyle="1" w:styleId="Tiret0">
    <w:name w:val="Tiret 0"/>
    <w:basedOn w:val="Point0"/>
    <w:rsid w:val="00492915"/>
    <w:pPr>
      <w:numPr>
        <w:numId w:val="22"/>
      </w:numPr>
      <w:tabs>
        <w:tab w:val="clear" w:pos="850"/>
      </w:tabs>
      <w:ind w:left="0" w:firstLine="0"/>
    </w:pPr>
  </w:style>
  <w:style w:type="paragraph" w:customStyle="1" w:styleId="Tiret1">
    <w:name w:val="Tiret 1"/>
    <w:basedOn w:val="Point1"/>
    <w:rsid w:val="00492915"/>
    <w:pPr>
      <w:numPr>
        <w:numId w:val="19"/>
      </w:numPr>
      <w:tabs>
        <w:tab w:val="clear" w:pos="1417"/>
      </w:tabs>
      <w:ind w:left="0" w:firstLine="0"/>
    </w:pPr>
  </w:style>
  <w:style w:type="paragraph" w:customStyle="1" w:styleId="Tiret2">
    <w:name w:val="Tiret 2"/>
    <w:basedOn w:val="Point2"/>
    <w:rsid w:val="00492915"/>
    <w:pPr>
      <w:numPr>
        <w:numId w:val="23"/>
      </w:numPr>
      <w:tabs>
        <w:tab w:val="clear" w:pos="1984"/>
      </w:tabs>
      <w:ind w:left="0" w:firstLine="0"/>
    </w:pPr>
  </w:style>
  <w:style w:type="paragraph" w:customStyle="1" w:styleId="Tiret3">
    <w:name w:val="Tiret 3"/>
    <w:basedOn w:val="Point3"/>
    <w:rsid w:val="00492915"/>
    <w:pPr>
      <w:numPr>
        <w:numId w:val="24"/>
      </w:numPr>
      <w:tabs>
        <w:tab w:val="clear" w:pos="2551"/>
      </w:tabs>
      <w:ind w:left="0" w:firstLine="0"/>
    </w:pPr>
  </w:style>
  <w:style w:type="paragraph" w:customStyle="1" w:styleId="Tiret4">
    <w:name w:val="Tiret 4"/>
    <w:basedOn w:val="Point4"/>
    <w:rsid w:val="00492915"/>
    <w:pPr>
      <w:numPr>
        <w:numId w:val="25"/>
      </w:numPr>
      <w:tabs>
        <w:tab w:val="clear" w:pos="3118"/>
      </w:tabs>
      <w:ind w:left="0" w:firstLine="0"/>
    </w:pPr>
  </w:style>
  <w:style w:type="paragraph" w:customStyle="1" w:styleId="Tiret5">
    <w:name w:val="Tiret 5"/>
    <w:basedOn w:val="Point5"/>
    <w:rsid w:val="00492915"/>
    <w:pPr>
      <w:numPr>
        <w:numId w:val="26"/>
      </w:numPr>
      <w:tabs>
        <w:tab w:val="clear" w:pos="3685"/>
      </w:tabs>
      <w:ind w:left="0" w:firstLine="0"/>
    </w:pPr>
  </w:style>
  <w:style w:type="paragraph" w:customStyle="1" w:styleId="PointDouble0">
    <w:name w:val="PointDouble 0"/>
    <w:basedOn w:val="Normal"/>
    <w:rsid w:val="00492915"/>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492915"/>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492915"/>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492915"/>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492915"/>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492915"/>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492915"/>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492915"/>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492915"/>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492915"/>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492915"/>
    <w:pPr>
      <w:widowControl/>
      <w:numPr>
        <w:numId w:val="17"/>
      </w:numPr>
      <w:tabs>
        <w:tab w:val="clear" w:pos="850"/>
      </w:tabs>
      <w:spacing w:before="120" w:after="120"/>
      <w:ind w:left="0" w:firstLine="0"/>
      <w:jc w:val="both"/>
    </w:pPr>
    <w:rPr>
      <w:rFonts w:eastAsiaTheme="minorHAnsi"/>
      <w:szCs w:val="22"/>
      <w:lang w:eastAsia="en-US"/>
    </w:rPr>
  </w:style>
  <w:style w:type="paragraph" w:customStyle="1" w:styleId="NumPar2">
    <w:name w:val="NumPar 2"/>
    <w:basedOn w:val="Normal"/>
    <w:next w:val="Text1"/>
    <w:rsid w:val="00492915"/>
    <w:pPr>
      <w:widowControl/>
      <w:numPr>
        <w:ilvl w:val="1"/>
        <w:numId w:val="17"/>
      </w:numPr>
      <w:tabs>
        <w:tab w:val="clear" w:pos="850"/>
      </w:tabs>
      <w:spacing w:before="120" w:after="120"/>
      <w:ind w:left="0" w:firstLine="0"/>
      <w:jc w:val="both"/>
    </w:pPr>
    <w:rPr>
      <w:rFonts w:eastAsiaTheme="minorHAnsi"/>
      <w:szCs w:val="22"/>
      <w:lang w:eastAsia="en-US"/>
    </w:rPr>
  </w:style>
  <w:style w:type="paragraph" w:customStyle="1" w:styleId="NumPar3">
    <w:name w:val="NumPar 3"/>
    <w:basedOn w:val="Normal"/>
    <w:next w:val="Text1"/>
    <w:rsid w:val="00492915"/>
    <w:pPr>
      <w:widowControl/>
      <w:numPr>
        <w:ilvl w:val="2"/>
        <w:numId w:val="17"/>
      </w:numPr>
      <w:tabs>
        <w:tab w:val="clear" w:pos="850"/>
      </w:tabs>
      <w:spacing w:before="120" w:after="120"/>
      <w:ind w:left="0" w:firstLine="0"/>
      <w:jc w:val="both"/>
    </w:pPr>
    <w:rPr>
      <w:rFonts w:eastAsiaTheme="minorHAnsi"/>
      <w:szCs w:val="22"/>
      <w:lang w:eastAsia="en-US"/>
    </w:rPr>
  </w:style>
  <w:style w:type="paragraph" w:customStyle="1" w:styleId="NumPar4">
    <w:name w:val="NumPar 4"/>
    <w:basedOn w:val="Normal"/>
    <w:next w:val="Text1"/>
    <w:rsid w:val="00492915"/>
    <w:pPr>
      <w:widowControl/>
      <w:numPr>
        <w:ilvl w:val="3"/>
        <w:numId w:val="17"/>
      </w:numPr>
      <w:tabs>
        <w:tab w:val="clear" w:pos="850"/>
      </w:tabs>
      <w:spacing w:before="120" w:after="120"/>
      <w:ind w:left="0" w:firstLine="0"/>
      <w:jc w:val="both"/>
    </w:pPr>
    <w:rPr>
      <w:rFonts w:eastAsiaTheme="minorHAnsi"/>
      <w:szCs w:val="22"/>
      <w:lang w:eastAsia="en-US"/>
    </w:rPr>
  </w:style>
  <w:style w:type="paragraph" w:customStyle="1" w:styleId="NumPar5">
    <w:name w:val="NumPar 5"/>
    <w:basedOn w:val="Normal"/>
    <w:next w:val="Text2"/>
    <w:rsid w:val="00492915"/>
    <w:pPr>
      <w:widowControl/>
      <w:numPr>
        <w:ilvl w:val="4"/>
        <w:numId w:val="17"/>
      </w:numPr>
      <w:tabs>
        <w:tab w:val="clear" w:pos="1417"/>
      </w:tabs>
      <w:spacing w:before="120" w:after="120"/>
      <w:ind w:left="0" w:firstLine="0"/>
      <w:jc w:val="both"/>
    </w:pPr>
    <w:rPr>
      <w:rFonts w:eastAsiaTheme="minorHAnsi"/>
      <w:szCs w:val="22"/>
      <w:lang w:eastAsia="en-US"/>
    </w:rPr>
  </w:style>
  <w:style w:type="paragraph" w:customStyle="1" w:styleId="NumPar6">
    <w:name w:val="NumPar 6"/>
    <w:basedOn w:val="Normal"/>
    <w:next w:val="Text2"/>
    <w:rsid w:val="00492915"/>
    <w:pPr>
      <w:widowControl/>
      <w:numPr>
        <w:ilvl w:val="5"/>
        <w:numId w:val="17"/>
      </w:numPr>
      <w:tabs>
        <w:tab w:val="clear" w:pos="1417"/>
      </w:tabs>
      <w:spacing w:before="120" w:after="120"/>
      <w:ind w:left="0" w:firstLine="0"/>
      <w:jc w:val="both"/>
    </w:pPr>
    <w:rPr>
      <w:rFonts w:eastAsiaTheme="minorHAnsi"/>
      <w:szCs w:val="22"/>
      <w:lang w:eastAsia="en-US"/>
    </w:rPr>
  </w:style>
  <w:style w:type="paragraph" w:customStyle="1" w:styleId="NumPar7">
    <w:name w:val="NumPar 7"/>
    <w:basedOn w:val="Normal"/>
    <w:next w:val="Text2"/>
    <w:rsid w:val="00492915"/>
    <w:pPr>
      <w:widowControl/>
      <w:numPr>
        <w:ilvl w:val="6"/>
        <w:numId w:val="17"/>
      </w:numPr>
      <w:tabs>
        <w:tab w:val="clear" w:pos="1417"/>
      </w:tabs>
      <w:spacing w:before="120" w:after="120"/>
      <w:ind w:left="0" w:firstLine="0"/>
      <w:jc w:val="both"/>
    </w:pPr>
    <w:rPr>
      <w:rFonts w:eastAsiaTheme="minorHAnsi"/>
      <w:szCs w:val="22"/>
      <w:lang w:eastAsia="en-US"/>
    </w:rPr>
  </w:style>
  <w:style w:type="paragraph" w:customStyle="1" w:styleId="ManualNumPar1">
    <w:name w:val="Manual NumPar 1"/>
    <w:basedOn w:val="Normal"/>
    <w:next w:val="Text1"/>
    <w:rsid w:val="00492915"/>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492915"/>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492915"/>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492915"/>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492915"/>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492915"/>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492915"/>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492915"/>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492915"/>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492915"/>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492915"/>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492915"/>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492915"/>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492915"/>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492915"/>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492915"/>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492915"/>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492915"/>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492915"/>
    <w:pPr>
      <w:widowControl/>
      <w:spacing w:before="120" w:after="120"/>
      <w:jc w:val="center"/>
    </w:pPr>
    <w:rPr>
      <w:rFonts w:eastAsiaTheme="minorHAnsi"/>
      <w:b/>
      <w:szCs w:val="22"/>
      <w:lang w:eastAsia="en-US"/>
    </w:rPr>
  </w:style>
  <w:style w:type="character" w:customStyle="1" w:styleId="Marker">
    <w:name w:val="Marker"/>
    <w:basedOn w:val="DefaultParagraphFont"/>
    <w:rsid w:val="00492915"/>
    <w:rPr>
      <w:color w:val="0000FF"/>
      <w:shd w:val="clear" w:color="auto" w:fill="auto"/>
    </w:rPr>
  </w:style>
  <w:style w:type="character" w:customStyle="1" w:styleId="Marker1">
    <w:name w:val="Marker1"/>
    <w:basedOn w:val="DefaultParagraphFont"/>
    <w:rsid w:val="00492915"/>
    <w:rPr>
      <w:color w:val="008000"/>
      <w:shd w:val="clear" w:color="auto" w:fill="auto"/>
    </w:rPr>
  </w:style>
  <w:style w:type="character" w:customStyle="1" w:styleId="Marker2">
    <w:name w:val="Marker2"/>
    <w:basedOn w:val="DefaultParagraphFont"/>
    <w:rsid w:val="00492915"/>
    <w:rPr>
      <w:color w:val="FF0000"/>
      <w:shd w:val="clear" w:color="auto" w:fill="auto"/>
    </w:rPr>
  </w:style>
  <w:style w:type="paragraph" w:customStyle="1" w:styleId="Point0number">
    <w:name w:val="Point 0 (number)"/>
    <w:basedOn w:val="Normal"/>
    <w:rsid w:val="00492915"/>
    <w:pPr>
      <w:widowControl/>
      <w:numPr>
        <w:numId w:val="18"/>
      </w:numPr>
      <w:tabs>
        <w:tab w:val="clear" w:pos="850"/>
      </w:tabs>
      <w:spacing w:before="120" w:after="120"/>
      <w:ind w:left="0" w:firstLine="0"/>
      <w:jc w:val="both"/>
    </w:pPr>
    <w:rPr>
      <w:rFonts w:eastAsiaTheme="minorHAnsi"/>
      <w:szCs w:val="22"/>
      <w:lang w:eastAsia="en-US"/>
    </w:rPr>
  </w:style>
  <w:style w:type="paragraph" w:customStyle="1" w:styleId="Point1number">
    <w:name w:val="Point 1 (number)"/>
    <w:basedOn w:val="Normal"/>
    <w:rsid w:val="00492915"/>
    <w:pPr>
      <w:widowControl/>
      <w:numPr>
        <w:ilvl w:val="2"/>
        <w:numId w:val="18"/>
      </w:numPr>
      <w:tabs>
        <w:tab w:val="clear" w:pos="1417"/>
      </w:tabs>
      <w:spacing w:before="120" w:after="120"/>
      <w:ind w:left="0" w:firstLine="0"/>
      <w:jc w:val="both"/>
    </w:pPr>
    <w:rPr>
      <w:rFonts w:eastAsiaTheme="minorHAnsi"/>
      <w:szCs w:val="22"/>
      <w:lang w:eastAsia="en-US"/>
    </w:rPr>
  </w:style>
  <w:style w:type="paragraph" w:customStyle="1" w:styleId="Point2number">
    <w:name w:val="Point 2 (number)"/>
    <w:basedOn w:val="Normal"/>
    <w:rsid w:val="00492915"/>
    <w:pPr>
      <w:widowControl/>
      <w:numPr>
        <w:ilvl w:val="4"/>
        <w:numId w:val="18"/>
      </w:numPr>
      <w:tabs>
        <w:tab w:val="clear" w:pos="1984"/>
      </w:tabs>
      <w:spacing w:before="120" w:after="120"/>
      <w:ind w:left="0" w:firstLine="0"/>
      <w:jc w:val="both"/>
    </w:pPr>
    <w:rPr>
      <w:rFonts w:eastAsiaTheme="minorHAnsi"/>
      <w:szCs w:val="22"/>
      <w:lang w:eastAsia="en-US"/>
    </w:rPr>
  </w:style>
  <w:style w:type="paragraph" w:customStyle="1" w:styleId="Point3number">
    <w:name w:val="Point 3 (number)"/>
    <w:basedOn w:val="Normal"/>
    <w:rsid w:val="00492915"/>
    <w:pPr>
      <w:widowControl/>
      <w:numPr>
        <w:ilvl w:val="6"/>
        <w:numId w:val="18"/>
      </w:numPr>
      <w:tabs>
        <w:tab w:val="clear" w:pos="2551"/>
      </w:tabs>
      <w:spacing w:before="120" w:after="120"/>
      <w:ind w:left="0" w:firstLine="0"/>
      <w:jc w:val="both"/>
    </w:pPr>
    <w:rPr>
      <w:rFonts w:eastAsiaTheme="minorHAnsi"/>
      <w:szCs w:val="22"/>
      <w:lang w:eastAsia="en-US"/>
    </w:rPr>
  </w:style>
  <w:style w:type="paragraph" w:customStyle="1" w:styleId="Point0letter">
    <w:name w:val="Point 0 (letter)"/>
    <w:basedOn w:val="Normal"/>
    <w:rsid w:val="00492915"/>
    <w:pPr>
      <w:widowControl/>
      <w:numPr>
        <w:ilvl w:val="1"/>
        <w:numId w:val="18"/>
      </w:numPr>
      <w:tabs>
        <w:tab w:val="clear" w:pos="850"/>
      </w:tabs>
      <w:spacing w:before="120" w:after="120"/>
      <w:ind w:left="0" w:firstLine="0"/>
      <w:jc w:val="both"/>
    </w:pPr>
    <w:rPr>
      <w:rFonts w:eastAsiaTheme="minorHAnsi"/>
      <w:szCs w:val="22"/>
      <w:lang w:eastAsia="en-US"/>
    </w:rPr>
  </w:style>
  <w:style w:type="paragraph" w:customStyle="1" w:styleId="Point1letter">
    <w:name w:val="Point 1 (letter)"/>
    <w:basedOn w:val="Normal"/>
    <w:rsid w:val="00492915"/>
    <w:pPr>
      <w:widowControl/>
      <w:numPr>
        <w:ilvl w:val="3"/>
        <w:numId w:val="18"/>
      </w:numPr>
      <w:tabs>
        <w:tab w:val="clear" w:pos="1417"/>
      </w:tabs>
      <w:spacing w:before="120" w:after="120"/>
      <w:ind w:left="0" w:firstLine="0"/>
      <w:jc w:val="both"/>
    </w:pPr>
    <w:rPr>
      <w:rFonts w:eastAsiaTheme="minorHAnsi"/>
      <w:szCs w:val="22"/>
      <w:lang w:eastAsia="en-US"/>
    </w:rPr>
  </w:style>
  <w:style w:type="paragraph" w:customStyle="1" w:styleId="Point2letter">
    <w:name w:val="Point 2 (letter)"/>
    <w:basedOn w:val="Normal"/>
    <w:rsid w:val="00492915"/>
    <w:pPr>
      <w:widowControl/>
      <w:numPr>
        <w:ilvl w:val="5"/>
        <w:numId w:val="18"/>
      </w:numPr>
      <w:tabs>
        <w:tab w:val="clear" w:pos="1984"/>
      </w:tabs>
      <w:spacing w:before="120" w:after="120"/>
      <w:ind w:left="0" w:firstLine="0"/>
      <w:jc w:val="both"/>
    </w:pPr>
    <w:rPr>
      <w:rFonts w:eastAsiaTheme="minorHAnsi"/>
      <w:szCs w:val="22"/>
      <w:lang w:eastAsia="en-US"/>
    </w:rPr>
  </w:style>
  <w:style w:type="paragraph" w:customStyle="1" w:styleId="Point3letter">
    <w:name w:val="Point 3 (letter)"/>
    <w:basedOn w:val="Normal"/>
    <w:rsid w:val="00492915"/>
    <w:pPr>
      <w:widowControl/>
      <w:numPr>
        <w:ilvl w:val="7"/>
        <w:numId w:val="18"/>
      </w:numPr>
      <w:tabs>
        <w:tab w:val="clear" w:pos="2551"/>
      </w:tabs>
      <w:spacing w:before="120" w:after="120"/>
      <w:ind w:left="0" w:firstLine="0"/>
      <w:jc w:val="both"/>
    </w:pPr>
    <w:rPr>
      <w:rFonts w:eastAsiaTheme="minorHAnsi"/>
      <w:szCs w:val="22"/>
      <w:lang w:eastAsia="en-US"/>
    </w:rPr>
  </w:style>
  <w:style w:type="paragraph" w:customStyle="1" w:styleId="Point4letter">
    <w:name w:val="Point 4 (letter)"/>
    <w:basedOn w:val="Normal"/>
    <w:rsid w:val="00492915"/>
    <w:pPr>
      <w:widowControl/>
      <w:numPr>
        <w:ilvl w:val="8"/>
        <w:numId w:val="18"/>
      </w:numPr>
      <w:tabs>
        <w:tab w:val="clear" w:pos="3118"/>
      </w:tabs>
      <w:spacing w:before="120" w:after="120"/>
      <w:ind w:left="0" w:firstLine="0"/>
      <w:jc w:val="both"/>
    </w:pPr>
    <w:rPr>
      <w:rFonts w:eastAsiaTheme="minorHAnsi"/>
      <w:szCs w:val="22"/>
      <w:lang w:eastAsia="en-US"/>
    </w:rPr>
  </w:style>
  <w:style w:type="paragraph" w:customStyle="1" w:styleId="Bullet0">
    <w:name w:val="Bullet 0"/>
    <w:basedOn w:val="Normal"/>
    <w:rsid w:val="00492915"/>
    <w:pPr>
      <w:widowControl/>
      <w:numPr>
        <w:numId w:val="27"/>
      </w:numPr>
      <w:tabs>
        <w:tab w:val="clear" w:pos="850"/>
      </w:tabs>
      <w:spacing w:before="120" w:after="120"/>
      <w:ind w:left="0" w:firstLine="0"/>
      <w:jc w:val="both"/>
    </w:pPr>
    <w:rPr>
      <w:rFonts w:eastAsiaTheme="minorHAnsi"/>
      <w:szCs w:val="22"/>
      <w:lang w:eastAsia="en-US"/>
    </w:rPr>
  </w:style>
  <w:style w:type="paragraph" w:customStyle="1" w:styleId="Bullet1">
    <w:name w:val="Bullet 1"/>
    <w:basedOn w:val="Normal"/>
    <w:rsid w:val="00492915"/>
    <w:pPr>
      <w:widowControl/>
      <w:numPr>
        <w:numId w:val="28"/>
      </w:numPr>
      <w:tabs>
        <w:tab w:val="clear" w:pos="1417"/>
      </w:tabs>
      <w:spacing w:before="120" w:after="120"/>
      <w:ind w:left="0" w:firstLine="0"/>
      <w:jc w:val="both"/>
    </w:pPr>
    <w:rPr>
      <w:rFonts w:eastAsiaTheme="minorHAnsi"/>
      <w:szCs w:val="22"/>
      <w:lang w:eastAsia="en-US"/>
    </w:rPr>
  </w:style>
  <w:style w:type="paragraph" w:customStyle="1" w:styleId="Bullet2">
    <w:name w:val="Bullet 2"/>
    <w:basedOn w:val="Normal"/>
    <w:rsid w:val="00492915"/>
    <w:pPr>
      <w:widowControl/>
      <w:numPr>
        <w:numId w:val="29"/>
      </w:numPr>
      <w:tabs>
        <w:tab w:val="clear" w:pos="1984"/>
      </w:tabs>
      <w:spacing w:before="120" w:after="120"/>
      <w:ind w:left="0" w:firstLine="0"/>
      <w:jc w:val="both"/>
    </w:pPr>
    <w:rPr>
      <w:rFonts w:eastAsiaTheme="minorHAnsi"/>
      <w:szCs w:val="22"/>
      <w:lang w:eastAsia="en-US"/>
    </w:rPr>
  </w:style>
  <w:style w:type="paragraph" w:customStyle="1" w:styleId="Bullet3">
    <w:name w:val="Bullet 3"/>
    <w:basedOn w:val="Normal"/>
    <w:rsid w:val="00492915"/>
    <w:pPr>
      <w:widowControl/>
      <w:numPr>
        <w:numId w:val="30"/>
      </w:numPr>
      <w:tabs>
        <w:tab w:val="clear" w:pos="2551"/>
      </w:tabs>
      <w:spacing w:before="120" w:after="120"/>
      <w:ind w:left="0" w:firstLine="0"/>
      <w:jc w:val="both"/>
    </w:pPr>
    <w:rPr>
      <w:rFonts w:eastAsiaTheme="minorHAnsi"/>
      <w:szCs w:val="22"/>
      <w:lang w:eastAsia="en-US"/>
    </w:rPr>
  </w:style>
  <w:style w:type="paragraph" w:customStyle="1" w:styleId="Bullet4">
    <w:name w:val="Bullet 4"/>
    <w:basedOn w:val="Normal"/>
    <w:rsid w:val="00492915"/>
    <w:pPr>
      <w:widowControl/>
      <w:numPr>
        <w:numId w:val="31"/>
      </w:numPr>
      <w:tabs>
        <w:tab w:val="clear" w:pos="3118"/>
      </w:tabs>
      <w:spacing w:before="120" w:after="120"/>
      <w:ind w:left="0" w:firstLine="0"/>
      <w:jc w:val="both"/>
    </w:pPr>
    <w:rPr>
      <w:rFonts w:eastAsiaTheme="minorHAnsi"/>
      <w:szCs w:val="22"/>
      <w:lang w:eastAsia="en-US"/>
    </w:rPr>
  </w:style>
  <w:style w:type="paragraph" w:customStyle="1" w:styleId="Langue">
    <w:name w:val="Langue"/>
    <w:basedOn w:val="Normal"/>
    <w:next w:val="Rfrenceinterne"/>
    <w:rsid w:val="00492915"/>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492915"/>
    <w:pPr>
      <w:widowControl/>
    </w:pPr>
    <w:rPr>
      <w:rFonts w:ascii="Arial" w:hAnsi="Arial" w:eastAsiaTheme="minorHAnsi" w:cs="Arial"/>
      <w:szCs w:val="22"/>
      <w:lang w:eastAsia="en-US"/>
    </w:rPr>
  </w:style>
  <w:style w:type="paragraph" w:customStyle="1" w:styleId="Emission">
    <w:name w:val="Emission"/>
    <w:basedOn w:val="Normal"/>
    <w:next w:val="Rfrenceinstitutionnelle"/>
    <w:rsid w:val="00492915"/>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492915"/>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492915"/>
    <w:pPr>
      <w:widowControl/>
      <w:jc w:val="both"/>
    </w:pPr>
    <w:rPr>
      <w:rFonts w:eastAsiaTheme="minorHAnsi"/>
      <w:szCs w:val="22"/>
      <w:lang w:eastAsia="en-US"/>
    </w:rPr>
  </w:style>
  <w:style w:type="paragraph" w:customStyle="1" w:styleId="Declassification">
    <w:name w:val="Declassification"/>
    <w:basedOn w:val="Normal"/>
    <w:next w:val="Normal"/>
    <w:rsid w:val="00492915"/>
    <w:pPr>
      <w:widowControl/>
      <w:jc w:val="both"/>
    </w:pPr>
    <w:rPr>
      <w:rFonts w:eastAsiaTheme="minorHAnsi"/>
      <w:szCs w:val="22"/>
      <w:lang w:eastAsia="en-US"/>
    </w:rPr>
  </w:style>
  <w:style w:type="paragraph" w:customStyle="1" w:styleId="Disclaimer">
    <w:name w:val="Disclaimer"/>
    <w:basedOn w:val="Normal"/>
    <w:rsid w:val="0049291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492915"/>
    <w:pPr>
      <w:widowControl/>
      <w:spacing w:line="276" w:lineRule="auto"/>
      <w:ind w:left="5103"/>
    </w:pPr>
    <w:rPr>
      <w:rFonts w:eastAsiaTheme="minorHAnsi"/>
      <w:sz w:val="28"/>
      <w:szCs w:val="22"/>
      <w:lang w:eastAsia="en-US"/>
    </w:rPr>
  </w:style>
  <w:style w:type="paragraph" w:customStyle="1" w:styleId="DateMarking">
    <w:name w:val="DateMarking"/>
    <w:basedOn w:val="Normal"/>
    <w:rsid w:val="00492915"/>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492915"/>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492915"/>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492915"/>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492915"/>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492915"/>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492915"/>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492915"/>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492915"/>
    <w:pPr>
      <w:widowControl/>
      <w:spacing w:before="240" w:after="240"/>
      <w:ind w:left="5103"/>
    </w:pPr>
    <w:rPr>
      <w:rFonts w:eastAsiaTheme="minorHAnsi"/>
      <w:i/>
      <w:sz w:val="32"/>
      <w:szCs w:val="22"/>
      <w:lang w:eastAsia="en-US"/>
    </w:rPr>
  </w:style>
  <w:style w:type="paragraph" w:customStyle="1" w:styleId="Considrant">
    <w:name w:val="Considérant"/>
    <w:basedOn w:val="Normal"/>
    <w:rsid w:val="00492915"/>
    <w:pPr>
      <w:widowControl/>
      <w:numPr>
        <w:numId w:val="32"/>
      </w:numPr>
      <w:tabs>
        <w:tab w:val="clear" w:pos="709"/>
      </w:tabs>
      <w:spacing w:before="120" w:after="120"/>
      <w:ind w:left="0" w:firstLine="0"/>
      <w:jc w:val="both"/>
    </w:pPr>
    <w:rPr>
      <w:rFonts w:eastAsiaTheme="minorHAnsi"/>
      <w:szCs w:val="22"/>
      <w:lang w:eastAsia="en-US"/>
    </w:rPr>
  </w:style>
  <w:style w:type="paragraph" w:customStyle="1" w:styleId="Corrigendum">
    <w:name w:val="Corrigendum"/>
    <w:basedOn w:val="Normal"/>
    <w:next w:val="Normal"/>
    <w:rsid w:val="00492915"/>
    <w:pPr>
      <w:widowControl/>
      <w:spacing w:after="240"/>
    </w:pPr>
    <w:rPr>
      <w:rFonts w:eastAsiaTheme="minorHAnsi"/>
      <w:szCs w:val="22"/>
      <w:lang w:eastAsia="en-US"/>
    </w:rPr>
  </w:style>
  <w:style w:type="paragraph" w:customStyle="1" w:styleId="Datedadoption">
    <w:name w:val="Date d'adoption"/>
    <w:basedOn w:val="Normal"/>
    <w:next w:val="Titreobjet"/>
    <w:rsid w:val="00492915"/>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492915"/>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492915"/>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49291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92915"/>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492915"/>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492915"/>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492915"/>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492915"/>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492915"/>
    <w:pPr>
      <w:widowControl/>
      <w:ind w:left="5103"/>
    </w:pPr>
    <w:rPr>
      <w:rFonts w:eastAsiaTheme="minorHAnsi"/>
      <w:szCs w:val="22"/>
      <w:lang w:eastAsia="en-US"/>
    </w:rPr>
  </w:style>
  <w:style w:type="paragraph" w:customStyle="1" w:styleId="Statut">
    <w:name w:val="Statut"/>
    <w:basedOn w:val="Normal"/>
    <w:next w:val="Typedudocument"/>
    <w:rsid w:val="00492915"/>
    <w:pPr>
      <w:widowControl/>
      <w:spacing w:before="360"/>
      <w:jc w:val="center"/>
    </w:pPr>
    <w:rPr>
      <w:rFonts w:eastAsiaTheme="minorHAnsi"/>
      <w:szCs w:val="22"/>
      <w:lang w:eastAsia="en-US"/>
    </w:rPr>
  </w:style>
  <w:style w:type="paragraph" w:customStyle="1" w:styleId="Titrearticle">
    <w:name w:val="Titre article"/>
    <w:basedOn w:val="Normal"/>
    <w:next w:val="Normal"/>
    <w:rsid w:val="00492915"/>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492915"/>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492915"/>
    <w:pPr>
      <w:widowControl/>
      <w:spacing w:before="360"/>
      <w:jc w:val="center"/>
    </w:pPr>
    <w:rPr>
      <w:rFonts w:eastAsiaTheme="minorHAnsi"/>
      <w:b/>
      <w:szCs w:val="22"/>
      <w:lang w:eastAsia="en-US"/>
    </w:rPr>
  </w:style>
  <w:style w:type="character" w:customStyle="1" w:styleId="Added">
    <w:name w:val="Added"/>
    <w:basedOn w:val="DefaultParagraphFont"/>
    <w:rsid w:val="00492915"/>
    <w:rPr>
      <w:b/>
      <w:u w:val="single"/>
      <w:shd w:val="clear" w:color="auto" w:fill="auto"/>
    </w:rPr>
  </w:style>
  <w:style w:type="character" w:customStyle="1" w:styleId="Deleted">
    <w:name w:val="Deleted"/>
    <w:basedOn w:val="DefaultParagraphFont"/>
    <w:rsid w:val="00492915"/>
    <w:rPr>
      <w:strike/>
      <w:dstrike w:val="0"/>
      <w:shd w:val="clear" w:color="auto" w:fill="auto"/>
    </w:rPr>
  </w:style>
  <w:style w:type="paragraph" w:customStyle="1" w:styleId="Address">
    <w:name w:val="Address"/>
    <w:basedOn w:val="Normal"/>
    <w:next w:val="Normal"/>
    <w:rsid w:val="00492915"/>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492915"/>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492915"/>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492915"/>
    <w:pPr>
      <w:widowControl/>
      <w:spacing w:before="360"/>
      <w:jc w:val="center"/>
    </w:pPr>
    <w:rPr>
      <w:rFonts w:eastAsiaTheme="minorHAnsi"/>
      <w:szCs w:val="22"/>
      <w:lang w:eastAsia="en-US"/>
    </w:rPr>
  </w:style>
  <w:style w:type="paragraph" w:customStyle="1" w:styleId="Rfrencecroise">
    <w:name w:val="Référence croisée"/>
    <w:basedOn w:val="Normal"/>
    <w:rsid w:val="00492915"/>
    <w:pPr>
      <w:widowControl/>
      <w:jc w:val="center"/>
    </w:pPr>
    <w:rPr>
      <w:rFonts w:eastAsiaTheme="minorHAnsi"/>
      <w:szCs w:val="22"/>
      <w:lang w:eastAsia="en-US"/>
    </w:rPr>
  </w:style>
  <w:style w:type="paragraph" w:customStyle="1" w:styleId="Fichefinanciretitre">
    <w:name w:val="Fiche financière titre"/>
    <w:basedOn w:val="Normal"/>
    <w:next w:val="Normal"/>
    <w:rsid w:val="00492915"/>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492915"/>
  </w:style>
  <w:style w:type="paragraph" w:customStyle="1" w:styleId="RfrenceinterinstitutionnellePagedecouverture">
    <w:name w:val="Référence interinstitutionnelle (Page de couverture)"/>
    <w:basedOn w:val="Rfrenceinterinstitutionnelle"/>
    <w:next w:val="Confidentialit"/>
    <w:rsid w:val="00492915"/>
  </w:style>
  <w:style w:type="paragraph" w:customStyle="1" w:styleId="StatutPagedecouverture">
    <w:name w:val="Statut (Page de couverture)"/>
    <w:basedOn w:val="Statut"/>
    <w:next w:val="TypedudocumentPagedecouverture"/>
    <w:rsid w:val="00492915"/>
  </w:style>
  <w:style w:type="paragraph" w:customStyle="1" w:styleId="TitreobjetPagedecouverture">
    <w:name w:val="Titre objet (Page de couverture)"/>
    <w:basedOn w:val="Titreobjet"/>
    <w:next w:val="IntrtEEEPagedecouverture"/>
    <w:rsid w:val="00492915"/>
  </w:style>
  <w:style w:type="paragraph" w:customStyle="1" w:styleId="TypedudocumentPagedecouverture">
    <w:name w:val="Type du document (Page de couverture)"/>
    <w:basedOn w:val="Typedudocument"/>
    <w:next w:val="TitreobjetPagedecouverture"/>
    <w:rsid w:val="00492915"/>
  </w:style>
  <w:style w:type="paragraph" w:customStyle="1" w:styleId="Volume">
    <w:name w:val="Volume"/>
    <w:basedOn w:val="Normal"/>
    <w:next w:val="Confidentialit"/>
    <w:rsid w:val="00492915"/>
    <w:pPr>
      <w:widowControl/>
      <w:spacing w:after="240"/>
      <w:ind w:left="5103"/>
    </w:pPr>
    <w:rPr>
      <w:rFonts w:eastAsiaTheme="minorHAnsi"/>
      <w:szCs w:val="22"/>
      <w:lang w:eastAsia="en-US"/>
    </w:rPr>
  </w:style>
  <w:style w:type="paragraph" w:customStyle="1" w:styleId="IntrtEEE">
    <w:name w:val="Intérêt EEE"/>
    <w:basedOn w:val="Languesfaisantfoi"/>
    <w:next w:val="Normal"/>
    <w:rsid w:val="00492915"/>
    <w:pPr>
      <w:spacing w:after="240"/>
    </w:pPr>
  </w:style>
  <w:style w:type="paragraph" w:customStyle="1" w:styleId="Accompagnant">
    <w:name w:val="Accompagnant"/>
    <w:basedOn w:val="Normal"/>
    <w:next w:val="Typeacteprincipal"/>
    <w:rsid w:val="00492915"/>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492915"/>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492915"/>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492915"/>
  </w:style>
  <w:style w:type="paragraph" w:customStyle="1" w:styleId="AccompagnantPagedecouverture">
    <w:name w:val="Accompagnant (Page de couverture)"/>
    <w:basedOn w:val="Accompagnant"/>
    <w:next w:val="TypeacteprincipalPagedecouverture"/>
    <w:rsid w:val="00492915"/>
  </w:style>
  <w:style w:type="paragraph" w:customStyle="1" w:styleId="TypeacteprincipalPagedecouverture">
    <w:name w:val="Type acte principal (Page de couverture)"/>
    <w:basedOn w:val="Typeacteprincipal"/>
    <w:next w:val="ObjetacteprincipalPagedecouverture"/>
    <w:rsid w:val="00492915"/>
  </w:style>
  <w:style w:type="paragraph" w:customStyle="1" w:styleId="ObjetacteprincipalPagedecouverture">
    <w:name w:val="Objet acte principal (Page de couverture)"/>
    <w:basedOn w:val="Objetacteprincipal"/>
    <w:next w:val="Rfrencecroise"/>
    <w:rsid w:val="00492915"/>
  </w:style>
  <w:style w:type="paragraph" w:customStyle="1" w:styleId="LanguesfaisantfoiPagedecouverture">
    <w:name w:val="Langues faisant foi (Page de couverture)"/>
    <w:basedOn w:val="Normal"/>
    <w:next w:val="Normal"/>
    <w:rsid w:val="00492915"/>
    <w:pPr>
      <w:widowControl/>
      <w:spacing w:before="360"/>
      <w:jc w:val="center"/>
    </w:pPr>
    <w:rPr>
      <w:rFonts w:eastAsiaTheme="minorHAnsi"/>
      <w:szCs w:val="22"/>
      <w:lang w:eastAsia="en-US"/>
    </w:rPr>
  </w:style>
  <w:style w:type="paragraph" w:customStyle="1" w:styleId="Normal6">
    <w:name w:val="Normal6"/>
    <w:basedOn w:val="Normal"/>
    <w:link w:val="Normal6Char"/>
    <w:rsid w:val="0015504C"/>
    <w:pPr>
      <w:spacing w:after="120"/>
    </w:pPr>
  </w:style>
  <w:style w:type="character" w:customStyle="1" w:styleId="NormalBoldChar">
    <w:name w:val="NormalBold Char"/>
    <w:basedOn w:val="DefaultParagraphFont"/>
    <w:link w:val="NormalBold"/>
    <w:rsid w:val="0015504C"/>
    <w:rPr>
      <w:b/>
      <w:sz w:val="24"/>
    </w:rPr>
  </w:style>
  <w:style w:type="character" w:customStyle="1" w:styleId="Normal6Char">
    <w:name w:val="Normal6 Char"/>
    <w:basedOn w:val="DefaultParagraphFont"/>
    <w:link w:val="Normal6"/>
    <w:rsid w:val="0015504C"/>
    <w:rPr>
      <w:sz w:val="24"/>
      <w:lang w:val="lt-LT"/>
    </w:rPr>
  </w:style>
  <w:style w:type="paragraph" w:customStyle="1" w:styleId="ColumnHeading">
    <w:name w:val="ColumnHeading"/>
    <w:basedOn w:val="Normal"/>
    <w:rsid w:val="0015504C"/>
    <w:pPr>
      <w:spacing w:after="240"/>
      <w:jc w:val="center"/>
    </w:pPr>
    <w:rPr>
      <w:i/>
    </w:rPr>
  </w:style>
  <w:style w:type="paragraph" w:customStyle="1" w:styleId="AMNumberTabs0">
    <w:name w:val="AMNumberTabs"/>
    <w:basedOn w:val="Normal"/>
    <w:rsid w:val="0015504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5504C"/>
    <w:pPr>
      <w:jc w:val="right"/>
    </w:pPr>
  </w:style>
  <w:style w:type="paragraph" w:customStyle="1" w:styleId="RollCallSymbols14pt">
    <w:name w:val="RollCallSymbols14pt"/>
    <w:basedOn w:val="Normal"/>
    <w:rsid w:val="0004733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047339"/>
    <w:pPr>
      <w:tabs>
        <w:tab w:val="center" w:pos="284"/>
        <w:tab w:val="left" w:pos="426"/>
      </w:tabs>
    </w:pPr>
    <w:rPr>
      <w:snapToGrid w:val="0"/>
      <w:lang w:eastAsia="en-US"/>
    </w:rPr>
  </w:style>
  <w:style w:type="paragraph" w:customStyle="1" w:styleId="RollCallVotes">
    <w:name w:val="RollCallVotes"/>
    <w:basedOn w:val="Normal"/>
    <w:rsid w:val="00047339"/>
    <w:pPr>
      <w:spacing w:before="120" w:after="120"/>
      <w:jc w:val="center"/>
    </w:pPr>
    <w:rPr>
      <w:b/>
      <w:bCs/>
      <w:snapToGrid w:val="0"/>
      <w:sz w:val="16"/>
      <w:lang w:eastAsia="en-US"/>
    </w:rPr>
  </w:style>
  <w:style w:type="paragraph" w:customStyle="1" w:styleId="RollCallTable">
    <w:name w:val="RollCallTable"/>
    <w:basedOn w:val="Normal"/>
    <w:rsid w:val="00047339"/>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yperlink" Target="http://data.europa.eu/eli/reg/2024/2509/oj" TargetMode="External" /><Relationship Id="rId13" Type="http://schemas.openxmlformats.org/officeDocument/2006/relationships/hyperlink" Target="https://www.europarl.europa.eu/data-protect/index.do"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data.europa.eu/eli/reg/2021/523/oj" TargetMode="External" /><Relationship Id="rId3"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5254</Words>
  <Characters>37045</Characters>
  <Application>Microsoft Office Word</Application>
  <DocSecurity>0</DocSecurity>
  <Lines>1089</Lines>
  <Paragraphs>327</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41972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2004-10-28T10:33:00Z</cp:lastPrinted>
  <dcterms:created xsi:type="dcterms:W3CDTF">2026-07-29T10:22:00Z</dcterms:created>
  <dcterms:modified xsi:type="dcterms:W3CDTF">2026-07-29T10:22:00Z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1347975</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AD</vt:lpwstr>
  </property>
  <property fmtid="{D5CDD505-2E9C-101B-9397-08002B2CF9AE}" pid="8" name="Bookout">
    <vt:lpwstr>OK - 2026/07/29 12:22</vt:lpwstr>
  </property>
  <property fmtid="{D5CDD505-2E9C-101B-9397-08002B2CF9AE}" pid="9" name="Created with">
    <vt:lpwstr>10.2.1 Build [20260301]</vt:lpwstr>
  </property>
  <property fmtid="{D5CDD505-2E9C-101B-9397-08002B2CF9AE}" pid="10" name="FooterPath">
    <vt:lpwstr>AD\1347975LT.docx</vt:lpwstr>
  </property>
  <property fmtid="{D5CDD505-2E9C-101B-9397-08002B2CF9AE}" pid="11" name="LastEdited with">
    <vt:lpwstr>10.3.1 Build [20260701]</vt:lpwstr>
  </property>
  <property fmtid="{D5CDD505-2E9C-101B-9397-08002B2CF9AE}" pid="12" name="PE number">
    <vt:lpwstr>787.644</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- 2026/06/02 18:04</vt:lpwstr>
  </property>
</Properties>
</file>