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95BF0" w:rsidRPr="00711362" w:rsidTr="00C85D0F">
        <w:trPr>
          <w:trHeight w:hRule="exact" w:val="1418"/>
        </w:trPr>
        <w:tc>
          <w:tcPr>
            <w:tcW w:w="6804" w:type="dxa"/>
            <w:shd w:val="clear" w:color="auto" w:fill="auto"/>
            <w:vAlign w:val="center"/>
          </w:tcPr>
          <w:p w:rsidR="00895BF0" w:rsidRPr="00711362" w:rsidRDefault="00244E2A" w:rsidP="00C85D0F">
            <w:pPr>
              <w:pStyle w:val="EPName"/>
            </w:pPr>
            <w:bookmarkStart w:id="0" w:name="_GoBack"/>
            <w:bookmarkEnd w:id="0"/>
            <w:r>
              <w:t>Parlament Ewropew</w:t>
            </w:r>
          </w:p>
          <w:p w:rsidR="00895BF0" w:rsidRPr="00711362" w:rsidRDefault="00D56DF6" w:rsidP="00D56DF6">
            <w:pPr>
              <w:pStyle w:val="EPTerm"/>
            </w:pPr>
            <w:r>
              <w:t>2019-2024</w:t>
            </w:r>
          </w:p>
        </w:tc>
        <w:tc>
          <w:tcPr>
            <w:tcW w:w="2268" w:type="dxa"/>
            <w:shd w:val="clear" w:color="auto" w:fill="auto"/>
          </w:tcPr>
          <w:p w:rsidR="00895BF0" w:rsidRPr="00711362" w:rsidRDefault="00895BF0" w:rsidP="00C85D0F">
            <w:pPr>
              <w:pStyle w:val="EPLogo"/>
            </w:pPr>
            <w:r w:rsidRPr="00711362">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700A24" w:rsidRPr="00711362" w:rsidRDefault="00700A24" w:rsidP="00700A24">
      <w:pPr>
        <w:pStyle w:val="LineTop"/>
      </w:pPr>
    </w:p>
    <w:p w:rsidR="00700A24" w:rsidRPr="00711362" w:rsidRDefault="00700A24" w:rsidP="00700A24">
      <w:pPr>
        <w:pStyle w:val="EPBody"/>
      </w:pPr>
      <w:r>
        <w:rPr>
          <w:rStyle w:val="HideTWBExt"/>
        </w:rPr>
        <w:t>&lt;</w:t>
      </w:r>
      <w:r>
        <w:rPr>
          <w:rStyle w:val="HideTWBExt"/>
          <w:i w:val="0"/>
        </w:rPr>
        <w:t>Commission</w:t>
      </w:r>
      <w:r>
        <w:rPr>
          <w:rStyle w:val="HideTWBExt"/>
        </w:rPr>
        <w:t>&gt;</w:t>
      </w:r>
      <w:r>
        <w:rPr>
          <w:rStyle w:val="HideTWBInt"/>
        </w:rPr>
        <w:t>{ECON}</w:t>
      </w:r>
      <w:r>
        <w:t>Kumitat għall-Affarijiet Ekonomiċi u Monetarji</w:t>
      </w:r>
      <w:r>
        <w:rPr>
          <w:rStyle w:val="HideTWBExt"/>
        </w:rPr>
        <w:t>&lt;/</w:t>
      </w:r>
      <w:r>
        <w:rPr>
          <w:rStyle w:val="HideTWBExt"/>
          <w:i w:val="0"/>
        </w:rPr>
        <w:t>Commission</w:t>
      </w:r>
      <w:r>
        <w:rPr>
          <w:rStyle w:val="HideTWBExt"/>
        </w:rPr>
        <w:t>&gt;</w:t>
      </w:r>
    </w:p>
    <w:p w:rsidR="00700A24" w:rsidRPr="00711362" w:rsidRDefault="00700A24" w:rsidP="00700A24">
      <w:pPr>
        <w:pStyle w:val="LineBottom"/>
      </w:pPr>
    </w:p>
    <w:p w:rsidR="005650E4" w:rsidRPr="00711362" w:rsidRDefault="005650E4">
      <w:pPr>
        <w:pStyle w:val="CoverReference"/>
      </w:pPr>
      <w:r>
        <w:rPr>
          <w:rStyle w:val="HideTWBExt"/>
          <w:b w:val="0"/>
        </w:rPr>
        <w:t>&lt;RefProc&gt;</w:t>
      </w:r>
      <w:r>
        <w:t>2023/0368</w:t>
      </w:r>
      <w:r>
        <w:rPr>
          <w:rStyle w:val="HideTWBExt"/>
          <w:b w:val="0"/>
        </w:rPr>
        <w:t>&lt;/RefProc&gt;&lt;RefTypeProc&gt;</w:t>
      </w:r>
      <w:r>
        <w:t>(COD)</w:t>
      </w:r>
      <w:r>
        <w:rPr>
          <w:rStyle w:val="HideTWBExt"/>
          <w:b w:val="0"/>
        </w:rPr>
        <w:t>&lt;/RefTypeProc&gt;</w:t>
      </w:r>
    </w:p>
    <w:p w:rsidR="005650E4" w:rsidRPr="00711362" w:rsidRDefault="005650E4">
      <w:pPr>
        <w:pStyle w:val="CoverDate"/>
      </w:pPr>
      <w:r>
        <w:rPr>
          <w:rStyle w:val="HideTWBExt"/>
        </w:rPr>
        <w:t>&lt;Date&gt;</w:t>
      </w:r>
      <w:r>
        <w:rPr>
          <w:rStyle w:val="HideTWBInt"/>
        </w:rPr>
        <w:t>{12/01/2024}</w:t>
      </w:r>
      <w:r>
        <w:t>12.1.2024</w:t>
      </w:r>
      <w:r>
        <w:rPr>
          <w:rStyle w:val="HideTWBExt"/>
        </w:rPr>
        <w:t>&lt;/Date&gt;</w:t>
      </w:r>
    </w:p>
    <w:p w:rsidR="005650E4" w:rsidRPr="00711362" w:rsidRDefault="005650E4">
      <w:pPr>
        <w:pStyle w:val="CoverDocType24a"/>
      </w:pPr>
      <w:r>
        <w:rPr>
          <w:rStyle w:val="HideTWBExt"/>
          <w:b w:val="0"/>
        </w:rPr>
        <w:t>&lt;TitreType&gt;</w:t>
      </w:r>
      <w:r>
        <w:t>OPINJONI</w:t>
      </w:r>
      <w:r>
        <w:rPr>
          <w:rStyle w:val="HideTWBExt"/>
          <w:b w:val="0"/>
        </w:rPr>
        <w:t>&lt;/TitreType&gt;</w:t>
      </w:r>
    </w:p>
    <w:p w:rsidR="005650E4" w:rsidRPr="00711362" w:rsidRDefault="005650E4">
      <w:pPr>
        <w:pStyle w:val="CoverNormal24a"/>
      </w:pPr>
      <w:r>
        <w:rPr>
          <w:rStyle w:val="HideTWBExt"/>
        </w:rPr>
        <w:t>&lt;CommissionResp&gt;</w:t>
      </w:r>
      <w:r>
        <w:t>tal-Kumitat għall-Affarijiet Ekonomiċi u Monetarji</w:t>
      </w:r>
      <w:r>
        <w:rPr>
          <w:rStyle w:val="HideTWBExt"/>
        </w:rPr>
        <w:t>&lt;/CommissionResp&gt;</w:t>
      </w:r>
    </w:p>
    <w:p w:rsidR="005650E4" w:rsidRPr="00711362" w:rsidRDefault="005650E4">
      <w:pPr>
        <w:pStyle w:val="CoverNormal24a"/>
      </w:pPr>
      <w:r>
        <w:rPr>
          <w:rStyle w:val="HideTWBExt"/>
        </w:rPr>
        <w:t>&lt;CommissionInt&gt;</w:t>
      </w:r>
      <w:r>
        <w:t>għall-Kumitat għall-Affarijiet Legali</w:t>
      </w:r>
      <w:r>
        <w:rPr>
          <w:rStyle w:val="HideTWBExt"/>
        </w:rPr>
        <w:t>&lt;/CommissionInt&gt;</w:t>
      </w:r>
    </w:p>
    <w:p w:rsidR="00D56DF6" w:rsidRPr="00711362" w:rsidRDefault="00D56DF6" w:rsidP="00D56DF6">
      <w:pPr>
        <w:pStyle w:val="CoverNormal"/>
      </w:pPr>
      <w:r>
        <w:rPr>
          <w:rStyle w:val="HideTWBExt"/>
        </w:rPr>
        <w:t>&lt;Titre&gt;</w:t>
      </w:r>
      <w:r>
        <w:t>dwar il-proposta għal deċiżjoni tal-Parlament Ewropew u tal-Kunsill li temenda d-Direttiva 2013/34/UE fir-rigward tal-limiti ta’ żmien għall-adozzjoni ta’ standards tar-rapportar dwar is-sostenibbiltà għal ċerti setturi u għal ċerti impriżi ta’ pajjiżi terzi</w:t>
      </w:r>
      <w:r>
        <w:rPr>
          <w:rStyle w:val="HideTWBExt"/>
        </w:rPr>
        <w:t>&lt;/Titre&gt;</w:t>
      </w:r>
    </w:p>
    <w:p w:rsidR="005650E4" w:rsidRPr="00711362" w:rsidRDefault="00D56DF6" w:rsidP="00D56DF6">
      <w:pPr>
        <w:pStyle w:val="CoverNormal24a"/>
      </w:pPr>
      <w:r>
        <w:rPr>
          <w:rStyle w:val="HideTWBExt"/>
        </w:rPr>
        <w:t>&lt;DocRef&gt;</w:t>
      </w:r>
      <w:r>
        <w:t>(COM(2023)0596 – C9</w:t>
      </w:r>
      <w:r>
        <w:noBreakHyphen/>
        <w:t>0386/2023 – 2023/0368(COD))</w:t>
      </w:r>
      <w:r>
        <w:rPr>
          <w:rStyle w:val="HideTWBExt"/>
        </w:rPr>
        <w:t>&lt;/DocRef&gt;</w:t>
      </w:r>
    </w:p>
    <w:p w:rsidR="00486259" w:rsidRPr="00711362" w:rsidRDefault="00244E2A" w:rsidP="00486259">
      <w:pPr>
        <w:pStyle w:val="CoverNormal24a"/>
      </w:pPr>
      <w:r>
        <w:t xml:space="preserve">Rapporteur għal opinjoni: </w:t>
      </w:r>
      <w:r>
        <w:rPr>
          <w:rStyle w:val="HideTWBExt"/>
        </w:rPr>
        <w:t>&lt;Depute&gt;</w:t>
      </w:r>
      <w:r>
        <w:t>Jessica Polfjärd</w:t>
      </w:r>
      <w:r>
        <w:rPr>
          <w:rStyle w:val="HideTWBExt"/>
        </w:rPr>
        <w:t>&lt;/Depute&gt;</w:t>
      </w:r>
    </w:p>
    <w:p w:rsidR="00486259" w:rsidRPr="00711362" w:rsidRDefault="00486259" w:rsidP="00486259">
      <w:pPr>
        <w:pStyle w:val="CoverNormal"/>
      </w:pPr>
    </w:p>
    <w:p w:rsidR="005650E4" w:rsidRPr="00711362" w:rsidRDefault="005650E4" w:rsidP="00FD4694">
      <w:r>
        <w:br w:type="page"/>
      </w:r>
      <w:r>
        <w:lastRenderedPageBreak/>
        <w:t>PA_Legapp</w:t>
      </w:r>
    </w:p>
    <w:p w:rsidR="00D56DF6" w:rsidRPr="00711362" w:rsidRDefault="005650E4">
      <w:pPr>
        <w:pStyle w:val="PageHeadingNotTOC"/>
      </w:pPr>
      <w:r>
        <w:br w:type="page"/>
      </w:r>
      <w:r>
        <w:lastRenderedPageBreak/>
        <w:t>ĠUSTIFIKAZZJONI FIL-QOSOR</w:t>
      </w:r>
    </w:p>
    <w:p w:rsidR="00D56DF6" w:rsidRPr="00711362" w:rsidRDefault="00D56DF6">
      <w:pPr>
        <w:widowControl/>
      </w:pPr>
    </w:p>
    <w:p w:rsidR="00D56DF6" w:rsidRPr="00711362" w:rsidRDefault="00D56DF6" w:rsidP="00D56DF6">
      <w:pPr>
        <w:pStyle w:val="Normal12a"/>
      </w:pPr>
      <w:r>
        <w:t>Id-Direttiva dwar ir-Rapportar Korporattiv dwar is-Sostenibbiltà (CSRD) tobbliga lill-kumpaniji kbar, il-kumpaniji żgħar u ta’ daqs medju elenkati, u l-kumpaniji omm ta’ gruppi kbar jirrapportaw ċerta informazzjoni dwar is-sostenibbiltà.</w:t>
      </w:r>
    </w:p>
    <w:p w:rsidR="00D56DF6" w:rsidRPr="00711362" w:rsidRDefault="00D56DF6" w:rsidP="00D56DF6">
      <w:pPr>
        <w:pStyle w:val="Normal12a"/>
      </w:pPr>
      <w:r>
        <w:t xml:space="preserve">Dan ir-rapportar irid isegwi standards li għandhom jiġu adottati mill-Kummissjoni permezz ta’ atti delegati. L-ewwel sett ġenerali ta’ tali standards ġie adottat mill-Kummissjoni f’Lulju 2023. It-tieni sett ta’ standards speċifiċi għas-settur huwa skedat li jiġi adottat sa Ġunju 2024. </w:t>
      </w:r>
    </w:p>
    <w:p w:rsidR="00D56DF6" w:rsidRPr="00711362" w:rsidRDefault="00D56DF6" w:rsidP="00D56DF6">
      <w:pPr>
        <w:pStyle w:val="Normal12a"/>
      </w:pPr>
      <w:r>
        <w:t>Bħala parti mill-aġenda tal-kompetittività tagħha, il-Kummissjoni impenjat ruħha li tissimplifika r-rekwiżiti ta’ rapportar għall-kumpaniji. Il-Kummissjoni għalhekk ipproponiet li tipposponi l-adozzjoni tat-tieni sett ta’ standards skont is-CSRD b’sentejn. Dan ikun ifisser li dawn l-istandards jiġu adottati f’Ġunju 2026 minflok f’Ġunju 2024, kif previst bħalissa.</w:t>
      </w:r>
    </w:p>
    <w:p w:rsidR="00D56DF6" w:rsidRPr="00711362" w:rsidRDefault="00D56DF6" w:rsidP="00D56DF6">
      <w:pPr>
        <w:pStyle w:val="Normal12a"/>
      </w:pPr>
      <w:r>
        <w:t>Ir-rapporteur hija tal-fehma li dan il-posponiment se jagħti lill-kumpaniji l-ispazju meħtieġ biex jieħdu nifs filwaqt li jiżgura l-implimentazzjoni xierqa u sħiħa tar-rekwiżiti l-ġodda ta’ sostenibbiltà skont is-CSRD. Għalhekk mhi proposta l-ebda emenda għad-deċiżjoni tal-Kummissjoni.</w:t>
      </w:r>
    </w:p>
    <w:p w:rsidR="00D56DF6" w:rsidRPr="00711362" w:rsidRDefault="00D56DF6" w:rsidP="00D56DF6">
      <w:pPr>
        <w:pStyle w:val="NormalCenter12a"/>
        <w:rPr>
          <w:noProof/>
        </w:rPr>
      </w:pPr>
      <w:r>
        <w:t>******</w:t>
      </w:r>
    </w:p>
    <w:p w:rsidR="00D56DF6" w:rsidRPr="00711362" w:rsidRDefault="00D56DF6" w:rsidP="00D56DF6">
      <w:pPr>
        <w:pStyle w:val="Normal12a"/>
      </w:pPr>
      <w:r>
        <w:t>Il-Kumitat għall-Affarijiet Ekonomiċi u Monetarji jistieden lill-Kumitat għall-Affarijiet Legali, bħala l-kumitat responsabbli, biex jipproponi li l-Parlament Ewropew jadotta l-pożizzjoni tiegħu fl-ewwel qari billi jinkorpora l-proposta tal-Kummissjoni.</w:t>
      </w:r>
    </w:p>
    <w:p w:rsidR="00D56DF6" w:rsidRPr="00711362" w:rsidRDefault="00D56DF6" w:rsidP="00D56DF6">
      <w:pPr>
        <w:widowControl/>
      </w:pPr>
      <w:r>
        <w:br w:type="page"/>
      </w:r>
    </w:p>
    <w:p w:rsidR="00D56DF6" w:rsidRPr="00711362" w:rsidRDefault="00D56DF6">
      <w:pPr>
        <w:widowControl/>
        <w:sectPr w:rsidR="00D56DF6" w:rsidRPr="00711362" w:rsidSect="00711362">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D56DF6" w:rsidRPr="00711362" w:rsidRDefault="00D56DF6">
      <w:pPr>
        <w:widowControl/>
        <w:rPr>
          <w:rFonts w:ascii="Arial" w:hAnsi="Arial" w:cs="Arial"/>
          <w:b/>
        </w:rPr>
      </w:pPr>
    </w:p>
    <w:p w:rsidR="00D56DF6" w:rsidRPr="00711362" w:rsidRDefault="00D56DF6" w:rsidP="002B2C72">
      <w:pPr>
        <w:pStyle w:val="PageHeadingNotTOC"/>
        <w:rPr>
          <w:noProof/>
        </w:rPr>
      </w:pPr>
      <w:bookmarkStart w:id="1" w:name="FootprintPageAD"/>
      <w:r>
        <w:t>ANNESS: ENTITAJIET JEW PERSUNI</w:t>
      </w:r>
      <w:r>
        <w:br/>
        <w:t>LI R-RAPPORTEUR GĦAL OPINJONI RĊEVIET KONTRIBUT MINGĦANDHOM</w:t>
      </w:r>
    </w:p>
    <w:p w:rsidR="00D56DF6" w:rsidRPr="00711362" w:rsidRDefault="00D56DF6" w:rsidP="00037518">
      <w:pPr>
        <w:pStyle w:val="Normal24a"/>
      </w:pPr>
      <w:r>
        <w:rPr>
          <w:rStyle w:val="HideTWBExt"/>
        </w:rPr>
        <w:t>&lt;FootprintIntro&gt;</w:t>
      </w:r>
      <w:r>
        <w:t>Ir-rapporteur għal opinjoni tiddikjara, taħt ir-responsabbiltà esklużiva tagħha, li ma rċeviet l-ebda kontribut minn entità jew persuna li jrid jissemma f’dan l-Anness f’konformità mal-Artikolu 8 tal-Anness I tar-Regoli ta’ Proċedura.</w:t>
      </w:r>
      <w:r>
        <w:rPr>
          <w:rStyle w:val="HideTWBExt"/>
        </w:rPr>
        <w:t>&lt;/FootprintIntro&gt;</w:t>
      </w:r>
    </w:p>
    <w:p w:rsidR="00D56DF6" w:rsidRPr="00711362" w:rsidRDefault="00D56DF6" w:rsidP="00AD5932"/>
    <w:p w:rsidR="00D56DF6" w:rsidRPr="00711362" w:rsidRDefault="00D56DF6" w:rsidP="00D56DF6"/>
    <w:bookmarkEnd w:id="1"/>
    <w:p w:rsidR="00D56DF6" w:rsidRPr="00711362" w:rsidRDefault="00D56DF6">
      <w:pPr>
        <w:pStyle w:val="PageHeadingNotTOC"/>
        <w:sectPr w:rsidR="00D56DF6" w:rsidRPr="00711362" w:rsidSect="00D56DF6">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650E4" w:rsidRPr="00711362" w:rsidRDefault="005650E4">
      <w:pPr>
        <w:pStyle w:val="PageHeadingNotTOC"/>
      </w:pPr>
    </w:p>
    <w:p w:rsidR="00D56DF6" w:rsidRPr="00711362" w:rsidRDefault="00D56DF6" w:rsidP="00D56DF6">
      <w:pPr>
        <w:pStyle w:val="PageHeadingNotTOC"/>
      </w:pPr>
      <w:bookmarkStart w:id="2" w:name="ProcPageAD"/>
      <w:r>
        <w:t>PROĊEDURA TAL-KUMITAT LI JINTALAB JAGĦTI OPINJONI</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56DF6" w:rsidRPr="007113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b/>
                <w:bCs/>
                <w:color w:val="000000"/>
                <w:sz w:val="20"/>
              </w:rPr>
            </w:pPr>
            <w:r>
              <w:rPr>
                <w:b/>
                <w:color w:val="000000"/>
                <w:sz w:val="20"/>
              </w:rPr>
              <w:t>Titolu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color w:val="000000"/>
                <w:sz w:val="20"/>
              </w:rPr>
            </w:pPr>
            <w:r>
              <w:rPr>
                <w:color w:val="000000"/>
                <w:sz w:val="20"/>
              </w:rPr>
              <w:t>Emenda tad-Direttiva 2013/34/UE fir-rigward tal-limiti ta’ żmien għall-adozzjoni ta’ standards tar-rapportar dwar is-sostenibbiltà għal ċerti setturi u għal ċerti impriżi ta’ pajjiżi terzi</w:t>
            </w:r>
          </w:p>
        </w:tc>
      </w:tr>
      <w:tr w:rsidR="00D56DF6" w:rsidRPr="007113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b/>
                <w:bCs/>
                <w:color w:val="000000"/>
                <w:sz w:val="20"/>
              </w:rPr>
            </w:pPr>
            <w:r>
              <w:rPr>
                <w:b/>
                <w:color w:val="000000"/>
                <w:sz w:val="20"/>
              </w:rPr>
              <w:t>Referenzi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color w:val="000000"/>
                <w:sz w:val="20"/>
              </w:rPr>
            </w:pPr>
            <w:r>
              <w:rPr>
                <w:color w:val="000000"/>
                <w:sz w:val="20"/>
              </w:rPr>
              <w:t>COM(2023)0596 – C9-0386/2023 – 2023/0368(COD)</w:t>
            </w:r>
          </w:p>
        </w:tc>
      </w:tr>
      <w:tr w:rsidR="00D56DF6" w:rsidRPr="007113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b/>
                <w:bCs/>
                <w:color w:val="000000"/>
                <w:sz w:val="20"/>
              </w:rPr>
            </w:pPr>
            <w:r>
              <w:rPr>
                <w:b/>
                <w:color w:val="000000"/>
                <w:sz w:val="20"/>
              </w:rPr>
              <w:t>Kumitat responsabbli</w:t>
            </w:r>
          </w:p>
          <w:p w:rsidR="00D56DF6" w:rsidRPr="00711362" w:rsidRDefault="00D56DF6">
            <w:pPr>
              <w:autoSpaceDE w:val="0"/>
              <w:autoSpaceDN w:val="0"/>
              <w:adjustRightInd w:val="0"/>
              <w:rPr>
                <w:color w:val="000000"/>
                <w:sz w:val="20"/>
              </w:rPr>
            </w:pPr>
            <w:r>
              <w:rPr>
                <w:color w:val="000000"/>
                <w:sz w:val="20"/>
              </w:rPr>
              <w:t>       Data tat-tħabbir fis-seduta plenarja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6DF6" w:rsidRPr="00711362" w:rsidRDefault="00D56DF6">
            <w:pPr>
              <w:autoSpaceDE w:val="0"/>
              <w:autoSpaceDN w:val="0"/>
              <w:adjustRightInd w:val="0"/>
              <w:rPr>
                <w:color w:val="000000"/>
                <w:sz w:val="20"/>
              </w:rPr>
            </w:pPr>
            <w:r>
              <w:rPr>
                <w:color w:val="000000"/>
                <w:sz w:val="20"/>
              </w:rPr>
              <w:t>JURI</w:t>
            </w:r>
          </w:p>
          <w:p w:rsidR="00D56DF6" w:rsidRPr="00711362" w:rsidRDefault="00D56DF6">
            <w:pPr>
              <w:autoSpaceDE w:val="0"/>
              <w:autoSpaceDN w:val="0"/>
              <w:adjustRightInd w:val="0"/>
              <w:rPr>
                <w:color w:val="000000"/>
                <w:sz w:val="20"/>
              </w:rPr>
            </w:pPr>
            <w:r>
              <w:rPr>
                <w:color w:val="000000"/>
                <w:sz w:val="20"/>
              </w:rPr>
              <w:t>20.11.2023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6DF6" w:rsidRPr="00711362" w:rsidRDefault="00D56DF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6DF6" w:rsidRPr="00711362" w:rsidRDefault="00D56DF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rFonts w:ascii="sans-serif" w:hAnsi="sans-serif" w:cs="sans-serif"/>
                <w:color w:val="000000"/>
                <w:szCs w:val="24"/>
              </w:rPr>
            </w:pPr>
          </w:p>
        </w:tc>
      </w:tr>
      <w:tr w:rsidR="00D56DF6" w:rsidRPr="007113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b/>
                <w:bCs/>
                <w:color w:val="000000"/>
                <w:sz w:val="20"/>
              </w:rPr>
            </w:pPr>
            <w:r>
              <w:rPr>
                <w:b/>
                <w:color w:val="000000"/>
                <w:sz w:val="20"/>
              </w:rPr>
              <w:t>Opinjoni(jiet) mogħtija minn</w:t>
            </w:r>
          </w:p>
          <w:p w:rsidR="00D56DF6" w:rsidRPr="00711362" w:rsidRDefault="00D56DF6">
            <w:pPr>
              <w:autoSpaceDE w:val="0"/>
              <w:autoSpaceDN w:val="0"/>
              <w:adjustRightInd w:val="0"/>
              <w:rPr>
                <w:color w:val="000000"/>
                <w:sz w:val="20"/>
              </w:rPr>
            </w:pPr>
            <w:r>
              <w:rPr>
                <w:color w:val="000000"/>
                <w:sz w:val="20"/>
              </w:rPr>
              <w:t>       Data tat-tħabbir fis-seduta plenarja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color w:val="000000"/>
                <w:sz w:val="20"/>
              </w:rPr>
            </w:pPr>
            <w:r>
              <w:rPr>
                <w:color w:val="000000"/>
                <w:sz w:val="20"/>
              </w:rPr>
              <w:t>ECON</w:t>
            </w:r>
          </w:p>
          <w:p w:rsidR="00D56DF6" w:rsidRPr="00711362" w:rsidRDefault="00D56DF6">
            <w:pPr>
              <w:autoSpaceDE w:val="0"/>
              <w:autoSpaceDN w:val="0"/>
              <w:adjustRightInd w:val="0"/>
              <w:rPr>
                <w:color w:val="000000"/>
                <w:sz w:val="20"/>
              </w:rPr>
            </w:pPr>
            <w:r>
              <w:rPr>
                <w:color w:val="000000"/>
                <w:sz w:val="20"/>
              </w:rPr>
              <w:t>20.11.2023</w:t>
            </w:r>
          </w:p>
        </w:tc>
      </w:tr>
      <w:tr w:rsidR="00D56DF6" w:rsidRPr="007113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b/>
                <w:bCs/>
                <w:color w:val="000000"/>
                <w:sz w:val="20"/>
              </w:rPr>
            </w:pPr>
            <w:r>
              <w:rPr>
                <w:b/>
                <w:color w:val="000000"/>
                <w:sz w:val="20"/>
              </w:rPr>
              <w:t>Rapporteur għal opinjoni</w:t>
            </w:r>
          </w:p>
          <w:p w:rsidR="00D56DF6" w:rsidRPr="00711362" w:rsidRDefault="00D56DF6">
            <w:pPr>
              <w:autoSpaceDE w:val="0"/>
              <w:autoSpaceDN w:val="0"/>
              <w:adjustRightInd w:val="0"/>
              <w:rPr>
                <w:color w:val="000000"/>
                <w:sz w:val="20"/>
              </w:rPr>
            </w:pPr>
            <w:r>
              <w:rPr>
                <w:color w:val="000000"/>
                <w:sz w:val="20"/>
              </w:rPr>
              <w:t>       Data tal-ħatra</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color w:val="000000"/>
                <w:sz w:val="20"/>
              </w:rPr>
            </w:pPr>
            <w:r>
              <w:rPr>
                <w:color w:val="000000"/>
                <w:sz w:val="20"/>
              </w:rPr>
              <w:t>Jessica Polfjärd</w:t>
            </w:r>
          </w:p>
          <w:p w:rsidR="00D56DF6" w:rsidRPr="00711362" w:rsidRDefault="00D56DF6">
            <w:pPr>
              <w:autoSpaceDE w:val="0"/>
              <w:autoSpaceDN w:val="0"/>
              <w:adjustRightInd w:val="0"/>
              <w:rPr>
                <w:color w:val="000000"/>
                <w:sz w:val="20"/>
              </w:rPr>
            </w:pPr>
            <w:r>
              <w:rPr>
                <w:color w:val="000000"/>
                <w:sz w:val="20"/>
              </w:rPr>
              <w:t>25.10.2023</w:t>
            </w:r>
          </w:p>
        </w:tc>
      </w:tr>
      <w:tr w:rsidR="00D56DF6" w:rsidRPr="007113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b/>
                <w:bCs/>
                <w:color w:val="000000"/>
                <w:sz w:val="20"/>
              </w:rPr>
            </w:pPr>
            <w:r>
              <w:rPr>
                <w:b/>
                <w:color w:val="000000"/>
                <w:sz w:val="20"/>
              </w:rPr>
              <w:t>Data tal-adozzjoni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6DF6" w:rsidRPr="00711362" w:rsidRDefault="00D56DF6">
            <w:pPr>
              <w:autoSpaceDE w:val="0"/>
              <w:autoSpaceDN w:val="0"/>
              <w:adjustRightInd w:val="0"/>
              <w:rPr>
                <w:color w:val="000000"/>
                <w:sz w:val="20"/>
              </w:rPr>
            </w:pPr>
            <w:r>
              <w:rPr>
                <w:color w:val="000000"/>
                <w:sz w:val="20"/>
              </w:rPr>
              <w:t>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6DF6" w:rsidRPr="00711362" w:rsidRDefault="00D56DF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6DF6" w:rsidRPr="00711362" w:rsidRDefault="00D56DF6">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rFonts w:ascii="sans-serif" w:hAnsi="sans-serif" w:cs="sans-serif"/>
                <w:color w:val="000000"/>
                <w:szCs w:val="24"/>
              </w:rPr>
            </w:pPr>
          </w:p>
        </w:tc>
      </w:tr>
      <w:tr w:rsidR="00D56DF6" w:rsidRPr="007113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b/>
                <w:bCs/>
                <w:color w:val="000000"/>
                <w:sz w:val="20"/>
              </w:rPr>
            </w:pPr>
            <w:r>
              <w:rPr>
                <w:b/>
                <w:color w:val="000000"/>
                <w:sz w:val="20"/>
              </w:rPr>
              <w:t>Riżultat tal-votazzjoni finali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6DF6" w:rsidRPr="00711362" w:rsidRDefault="00D56DF6">
            <w:pPr>
              <w:autoSpaceDE w:val="0"/>
              <w:autoSpaceDN w:val="0"/>
              <w:adjustRightInd w:val="0"/>
              <w:rPr>
                <w:color w:val="000000"/>
                <w:sz w:val="20"/>
              </w:rPr>
            </w:pPr>
            <w:r>
              <w:rPr>
                <w:color w:val="000000"/>
                <w:sz w:val="20"/>
              </w:rPr>
              <w:t>+:</w:t>
            </w:r>
          </w:p>
          <w:p w:rsidR="00D56DF6" w:rsidRPr="00711362" w:rsidRDefault="00D56DF6">
            <w:pPr>
              <w:autoSpaceDE w:val="0"/>
              <w:autoSpaceDN w:val="0"/>
              <w:adjustRightInd w:val="0"/>
              <w:rPr>
                <w:color w:val="000000"/>
                <w:sz w:val="20"/>
              </w:rPr>
            </w:pPr>
            <w:r>
              <w:rPr>
                <w:color w:val="000000"/>
                <w:sz w:val="20"/>
              </w:rPr>
              <w:t>–:</w:t>
            </w:r>
          </w:p>
          <w:p w:rsidR="00D56DF6" w:rsidRPr="00711362" w:rsidRDefault="00D56DF6">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color w:val="000000"/>
                <w:sz w:val="20"/>
              </w:rPr>
            </w:pPr>
            <w:r>
              <w:rPr>
                <w:color w:val="000000"/>
                <w:sz w:val="20"/>
              </w:rPr>
              <w:t>19</w:t>
            </w:r>
          </w:p>
          <w:p w:rsidR="00D56DF6" w:rsidRPr="00711362" w:rsidRDefault="00D56DF6">
            <w:pPr>
              <w:autoSpaceDE w:val="0"/>
              <w:autoSpaceDN w:val="0"/>
              <w:adjustRightInd w:val="0"/>
              <w:rPr>
                <w:color w:val="000000"/>
                <w:sz w:val="20"/>
              </w:rPr>
            </w:pPr>
            <w:r>
              <w:rPr>
                <w:color w:val="000000"/>
                <w:sz w:val="20"/>
              </w:rPr>
              <w:t>5</w:t>
            </w:r>
          </w:p>
          <w:p w:rsidR="00D56DF6" w:rsidRPr="00711362" w:rsidRDefault="00D56DF6">
            <w:pPr>
              <w:autoSpaceDE w:val="0"/>
              <w:autoSpaceDN w:val="0"/>
              <w:adjustRightInd w:val="0"/>
              <w:rPr>
                <w:color w:val="000000"/>
                <w:sz w:val="20"/>
              </w:rPr>
            </w:pPr>
            <w:r>
              <w:rPr>
                <w:color w:val="000000"/>
                <w:sz w:val="20"/>
              </w:rPr>
              <w:t>12</w:t>
            </w:r>
          </w:p>
        </w:tc>
      </w:tr>
      <w:tr w:rsidR="00D56DF6" w:rsidRPr="00711362">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b/>
                <w:bCs/>
                <w:color w:val="000000"/>
                <w:sz w:val="20"/>
              </w:rPr>
            </w:pPr>
            <w:r>
              <w:rPr>
                <w:b/>
                <w:color w:val="000000"/>
                <w:sz w:val="20"/>
              </w:rPr>
              <w:t>Membri preżenti għall-votazzjoni finali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color w:val="000000"/>
                <w:sz w:val="20"/>
              </w:rPr>
            </w:pPr>
            <w:r>
              <w:rPr>
                <w:color w:val="000000"/>
                <w:sz w:val="20"/>
              </w:rPr>
              <w:t>Anna-Michelle Asimakopoulou, Marek Belka, Isabel Benjumea Benjumea, Stefan Berger, Gilles Boyer, Engin Eroglu, Markus Ferber, Jonás Fernández, Claude Gruffat, Enikő Győri, Eero Heinäluoma, Michiel Hoogeveen, Danuta Maria Hübner, Stasys Jakeliūnas, France Jamet, Othmar Karas, Georgios Kyrtsos, Aurore Lalucq, Aušra Maldeikienė, Csaba Molnár, Denis Nesci, Lefteris Nikolaou-Alavanos, Piernicola Pedicini, Lídia Pereira, Eva Maria Poptcheva, Antonio Maria Rinaldi, Alfred Sant, Paul Tang, Irene Tinagli, Marco Zanni</w:t>
            </w:r>
          </w:p>
        </w:tc>
      </w:tr>
      <w:tr w:rsidR="00D56DF6" w:rsidRPr="007113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b/>
                <w:bCs/>
                <w:color w:val="000000"/>
                <w:sz w:val="20"/>
              </w:rPr>
            </w:pPr>
            <w:r>
              <w:rPr>
                <w:b/>
                <w:color w:val="000000"/>
                <w:sz w:val="20"/>
              </w:rPr>
              <w:t>Sostituti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color w:val="000000"/>
                <w:sz w:val="20"/>
              </w:rPr>
            </w:pPr>
            <w:r>
              <w:rPr>
                <w:color w:val="000000"/>
                <w:sz w:val="20"/>
              </w:rPr>
              <w:t>Monika Hohlmeier, Margarida Marques, René Repasi, Andreas Schwab</w:t>
            </w:r>
          </w:p>
        </w:tc>
      </w:tr>
      <w:tr w:rsidR="00D56DF6" w:rsidRPr="00711362">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b/>
                <w:bCs/>
                <w:color w:val="000000"/>
                <w:sz w:val="20"/>
              </w:rPr>
            </w:pPr>
            <w:r>
              <w:rPr>
                <w:b/>
                <w:color w:val="000000"/>
                <w:sz w:val="20"/>
              </w:rPr>
              <w:t>Sostituti (skont l-Artikolu 209(7)) preżenti għall-votazzjoni finali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6DF6" w:rsidRPr="00711362" w:rsidRDefault="00D56DF6">
            <w:pPr>
              <w:autoSpaceDE w:val="0"/>
              <w:autoSpaceDN w:val="0"/>
              <w:adjustRightInd w:val="0"/>
              <w:rPr>
                <w:color w:val="000000"/>
                <w:sz w:val="20"/>
              </w:rPr>
            </w:pPr>
            <w:r>
              <w:rPr>
                <w:color w:val="000000"/>
                <w:sz w:val="20"/>
              </w:rPr>
              <w:t>Clara Aguilera, Dietmar Köster</w:t>
            </w:r>
          </w:p>
        </w:tc>
      </w:tr>
    </w:tbl>
    <w:p w:rsidR="00D56DF6" w:rsidRPr="00711362" w:rsidRDefault="00D56DF6"/>
    <w:bookmarkEnd w:id="2"/>
    <w:p w:rsidR="00D56DF6" w:rsidRPr="00711362" w:rsidRDefault="00D56DF6">
      <w:pPr>
        <w:widowControl/>
      </w:pPr>
      <w:r>
        <w:br w:type="page"/>
      </w:r>
    </w:p>
    <w:p w:rsidR="00D56DF6" w:rsidRPr="00711362" w:rsidRDefault="00D56DF6" w:rsidP="00D56DF6">
      <w:pPr>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center"/>
        <w:outlineLvl w:val="0"/>
        <w:rPr>
          <w:rFonts w:ascii="Arial" w:hAnsi="Arial"/>
          <w:b/>
        </w:rPr>
      </w:pPr>
      <w:r>
        <w:rPr>
          <w:rFonts w:ascii="Arial" w:hAnsi="Arial"/>
          <w:b/>
        </w:rPr>
        <w:lastRenderedPageBreak/>
        <w:t>VOTAZZJONI FINALI B'SEJĦA TAL-ISMIJIET</w:t>
      </w:r>
    </w:p>
    <w:p w:rsidR="00D56DF6" w:rsidRPr="00711362" w:rsidRDefault="00D56DF6" w:rsidP="00D56DF6">
      <w:pPr>
        <w:pStyle w:val="PageHeadingNotTOC"/>
      </w:pPr>
      <w:r>
        <w:t>FIL-KUMITAT LI JINTALAB JAGĦTI OPINJONI</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56DF6" w:rsidRPr="00711362" w:rsidTr="005F7F7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56DF6" w:rsidRPr="00711362" w:rsidRDefault="00D56DF6" w:rsidP="005F7F7B">
            <w:pPr>
              <w:pStyle w:val="RollCallVotes"/>
            </w:pPr>
            <w:r>
              <w:t>19</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56DF6" w:rsidRPr="00711362" w:rsidRDefault="00D56DF6" w:rsidP="005F7F7B">
            <w:pPr>
              <w:pStyle w:val="RollCallSymbols14pt"/>
            </w:pPr>
            <w:r>
              <w:t>+</w:t>
            </w:r>
          </w:p>
        </w:tc>
      </w:tr>
      <w:tr w:rsidR="00D56DF6" w:rsidRPr="00711362" w:rsidTr="005F7F7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56DF6" w:rsidRPr="00711362" w:rsidRDefault="00D56DF6" w:rsidP="005F7F7B">
            <w:pPr>
              <w:pStyle w:val="RollCallTable"/>
            </w:pPr>
            <w:r>
              <w:t>ECR</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56DF6" w:rsidRPr="00711362" w:rsidRDefault="00D56DF6" w:rsidP="005F7F7B">
            <w:pPr>
              <w:pStyle w:val="RollCallTable"/>
            </w:pPr>
            <w:r>
              <w:t>Michiel Hoogeveen, Dorien Rookmaker</w:t>
            </w:r>
          </w:p>
        </w:tc>
      </w:tr>
      <w:tr w:rsidR="00D56DF6" w:rsidRPr="00711362" w:rsidTr="005F7F7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D56DF6" w:rsidRPr="00711362" w:rsidRDefault="00D56DF6" w:rsidP="005F7F7B">
            <w:pPr>
              <w:pStyle w:val="RollCallTable"/>
            </w:pPr>
            <w:r>
              <w:t>ID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D56DF6" w:rsidRPr="00711362" w:rsidRDefault="00D56DF6" w:rsidP="005F7F7B">
            <w:pPr>
              <w:pStyle w:val="RollCallTable"/>
            </w:pPr>
            <w:r>
              <w:t>France Jamet, Antonio Maria Rinaldi, Marco Zanni</w:t>
            </w:r>
          </w:p>
        </w:tc>
      </w:tr>
      <w:tr w:rsidR="00D56DF6" w:rsidRPr="00711362" w:rsidTr="005F7F7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D56DF6" w:rsidRPr="00711362" w:rsidRDefault="00D56DF6" w:rsidP="005F7F7B">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D56DF6" w:rsidRPr="00711362" w:rsidRDefault="00D56DF6" w:rsidP="005F7F7B">
            <w:pPr>
              <w:pStyle w:val="RollCallTable"/>
            </w:pPr>
            <w:r>
              <w:t>Enikő Győri</w:t>
            </w:r>
          </w:p>
        </w:tc>
      </w:tr>
      <w:tr w:rsidR="00D56DF6" w:rsidRPr="00711362" w:rsidTr="005F7F7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56DF6" w:rsidRPr="00711362" w:rsidRDefault="00D56DF6" w:rsidP="005F7F7B">
            <w:pPr>
              <w:pStyle w:val="RollCallTable"/>
            </w:pPr>
            <w:r>
              <w:t>PPE</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D56DF6" w:rsidRPr="00711362" w:rsidRDefault="00D56DF6" w:rsidP="005F7F7B">
            <w:pPr>
              <w:pStyle w:val="RollCallTable"/>
            </w:pPr>
            <w:r>
              <w:t>Anna</w:t>
            </w:r>
            <w:r>
              <w:noBreakHyphen/>
              <w:t>Michelle Asimakopoulou, Isabel Benjumea Benjumea, Stefan Berger, Markus Ferber, Monika Hohlmeier, Danuta Maria Hübner, Othmar Karas, Aušra Maldeikienė, Lídia Pereira, Andreas Schwab</w:t>
            </w:r>
          </w:p>
        </w:tc>
      </w:tr>
      <w:tr w:rsidR="00D56DF6" w:rsidRPr="00711362" w:rsidTr="005F7F7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56DF6" w:rsidRPr="00711362" w:rsidRDefault="00D56DF6" w:rsidP="005F7F7B">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D56DF6" w:rsidRPr="00711362" w:rsidRDefault="00D56DF6" w:rsidP="005F7F7B">
            <w:pPr>
              <w:pStyle w:val="RollCallTable"/>
            </w:pPr>
            <w:r>
              <w:t>Gilles Boyer, Georgios Kyrtsos, Eva Maria Poptcheva</w:t>
            </w:r>
          </w:p>
        </w:tc>
      </w:tr>
    </w:tbl>
    <w:p w:rsidR="00D56DF6" w:rsidRPr="00711362" w:rsidRDefault="00D56DF6" w:rsidP="00D56DF6"/>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56DF6" w:rsidRPr="00711362" w:rsidTr="005F7F7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56DF6" w:rsidRPr="00711362" w:rsidRDefault="00D56DF6" w:rsidP="005F7F7B">
            <w:pPr>
              <w:pStyle w:val="RollCallVotes"/>
            </w:pPr>
            <w:r>
              <w:t>5</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56DF6" w:rsidRPr="00711362" w:rsidRDefault="00D56DF6" w:rsidP="005F7F7B">
            <w:pPr>
              <w:pStyle w:val="RollCallSymbols14pt"/>
            </w:pPr>
            <w:r>
              <w:t>-</w:t>
            </w:r>
          </w:p>
        </w:tc>
      </w:tr>
      <w:tr w:rsidR="00D56DF6" w:rsidRPr="00711362" w:rsidTr="005F7F7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D56DF6" w:rsidRPr="00711362" w:rsidRDefault="00D56DF6" w:rsidP="005F7F7B">
            <w:pPr>
              <w:pStyle w:val="RollCallTable"/>
            </w:pPr>
            <w:r>
              <w:t>NI</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D56DF6" w:rsidRPr="00711362" w:rsidRDefault="00D56DF6" w:rsidP="005F7F7B">
            <w:pPr>
              <w:pStyle w:val="RollCallTable"/>
            </w:pPr>
            <w:r>
              <w:t>Lefteris Nikolaou</w:t>
            </w:r>
            <w:r>
              <w:noBreakHyphen/>
              <w:t>Alavanos</w:t>
            </w:r>
          </w:p>
        </w:tc>
      </w:tr>
      <w:tr w:rsidR="00D56DF6" w:rsidRPr="00711362" w:rsidTr="005F7F7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tcPr>
          <w:p w:rsidR="00D56DF6" w:rsidRPr="00711362" w:rsidRDefault="00D56DF6" w:rsidP="005F7F7B">
            <w:pPr>
              <w:pStyle w:val="RollCallTable"/>
            </w:pPr>
            <w:r>
              <w:t>Renew</w:t>
            </w:r>
          </w:p>
        </w:tc>
        <w:tc>
          <w:tcPr>
            <w:tcW w:w="7371" w:type="dxa"/>
            <w:tcBorders>
              <w:top w:val="single" w:sz="2" w:space="0" w:color="000000"/>
              <w:left w:val="single" w:sz="2" w:space="0" w:color="000000"/>
              <w:bottom w:val="single" w:sz="2" w:space="0" w:color="000000"/>
              <w:right w:val="double" w:sz="2" w:space="0" w:color="000000"/>
            </w:tcBorders>
            <w:shd w:val="clear" w:color="auto" w:fill="FFFFFF"/>
          </w:tcPr>
          <w:p w:rsidR="00D56DF6" w:rsidRPr="00711362" w:rsidRDefault="00D56DF6" w:rsidP="005F7F7B">
            <w:pPr>
              <w:pStyle w:val="RollCallTable"/>
            </w:pPr>
            <w:r>
              <w:t>Engin Eroglu</w:t>
            </w:r>
          </w:p>
        </w:tc>
      </w:tr>
      <w:tr w:rsidR="00D56DF6" w:rsidRPr="00711362" w:rsidTr="005F7F7B">
        <w:trPr>
          <w:cantSplit/>
        </w:trPr>
        <w:tc>
          <w:tcPr>
            <w:tcW w:w="1701" w:type="dxa"/>
            <w:tcBorders>
              <w:top w:val="single" w:sz="2" w:space="0" w:color="000000"/>
              <w:left w:val="double" w:sz="2" w:space="0" w:color="000000"/>
              <w:bottom w:val="double" w:sz="2" w:space="0" w:color="000000"/>
              <w:right w:val="single" w:sz="2" w:space="0" w:color="000000"/>
            </w:tcBorders>
            <w:shd w:val="clear" w:color="auto" w:fill="FFFFFF"/>
          </w:tcPr>
          <w:p w:rsidR="00D56DF6" w:rsidRPr="00711362" w:rsidRDefault="00D56DF6" w:rsidP="005F7F7B">
            <w:pPr>
              <w:pStyle w:val="RollCallTable"/>
            </w:pPr>
            <w:r>
              <w:t>Verts/ALE</w:t>
            </w:r>
          </w:p>
        </w:tc>
        <w:tc>
          <w:tcPr>
            <w:tcW w:w="7371" w:type="dxa"/>
            <w:tcBorders>
              <w:top w:val="single" w:sz="2" w:space="0" w:color="000000"/>
              <w:left w:val="single" w:sz="2" w:space="0" w:color="000000"/>
              <w:bottom w:val="double" w:sz="2" w:space="0" w:color="000000"/>
              <w:right w:val="double" w:sz="2" w:space="0" w:color="000000"/>
            </w:tcBorders>
            <w:shd w:val="clear" w:color="auto" w:fill="FFFFFF"/>
          </w:tcPr>
          <w:p w:rsidR="00D56DF6" w:rsidRPr="00711362" w:rsidRDefault="00D56DF6" w:rsidP="005F7F7B">
            <w:pPr>
              <w:pStyle w:val="RollCallTable"/>
            </w:pPr>
            <w:r>
              <w:t>Claude Gruffat, Stasys Jakeliūnas, Piernicola Pedicini</w:t>
            </w:r>
          </w:p>
        </w:tc>
      </w:tr>
    </w:tbl>
    <w:p w:rsidR="00D56DF6" w:rsidRPr="00711362" w:rsidRDefault="00D56DF6" w:rsidP="00D56DF6"/>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4A0" w:firstRow="1" w:lastRow="0" w:firstColumn="1" w:lastColumn="0" w:noHBand="0" w:noVBand="1"/>
      </w:tblPr>
      <w:tblGrid>
        <w:gridCol w:w="1701"/>
        <w:gridCol w:w="7371"/>
      </w:tblGrid>
      <w:tr w:rsidR="00D56DF6" w:rsidRPr="00711362" w:rsidTr="005F7F7B">
        <w:trPr>
          <w:cantSplit/>
        </w:trPr>
        <w:tc>
          <w:tcPr>
            <w:tcW w:w="1701" w:type="dxa"/>
            <w:tcBorders>
              <w:top w:val="double" w:sz="2" w:space="0" w:color="000000"/>
              <w:left w:val="double" w:sz="2" w:space="0" w:color="000000"/>
              <w:bottom w:val="single" w:sz="2" w:space="0" w:color="000000"/>
              <w:right w:val="single" w:sz="2" w:space="0" w:color="000000"/>
            </w:tcBorders>
            <w:shd w:val="pct10" w:color="000000" w:fill="FFFFFF"/>
            <w:vAlign w:val="center"/>
            <w:hideMark/>
          </w:tcPr>
          <w:p w:rsidR="00D56DF6" w:rsidRPr="00711362" w:rsidRDefault="00D56DF6" w:rsidP="005F7F7B">
            <w:pPr>
              <w:pStyle w:val="RollCallVotes"/>
            </w:pPr>
            <w:r>
              <w:t>12</w:t>
            </w:r>
          </w:p>
        </w:tc>
        <w:tc>
          <w:tcPr>
            <w:tcW w:w="7371" w:type="dxa"/>
            <w:tcBorders>
              <w:top w:val="double" w:sz="2" w:space="0" w:color="000000"/>
              <w:left w:val="single" w:sz="2" w:space="0" w:color="000000"/>
              <w:bottom w:val="single" w:sz="2" w:space="0" w:color="000000"/>
              <w:right w:val="double" w:sz="2" w:space="0" w:color="000000"/>
            </w:tcBorders>
            <w:shd w:val="pct10" w:color="000000" w:fill="FFFFFF"/>
            <w:hideMark/>
          </w:tcPr>
          <w:p w:rsidR="00D56DF6" w:rsidRPr="00711362" w:rsidRDefault="00D56DF6" w:rsidP="005F7F7B">
            <w:pPr>
              <w:pStyle w:val="RollCallSymbols14pt"/>
            </w:pPr>
            <w:r>
              <w:t>0</w:t>
            </w:r>
          </w:p>
        </w:tc>
      </w:tr>
      <w:tr w:rsidR="00D56DF6" w:rsidRPr="00711362" w:rsidTr="005F7F7B">
        <w:trPr>
          <w:cantSplit/>
        </w:trPr>
        <w:tc>
          <w:tcPr>
            <w:tcW w:w="1701" w:type="dxa"/>
            <w:tcBorders>
              <w:top w:val="single" w:sz="2" w:space="0" w:color="000000"/>
              <w:left w:val="double" w:sz="2" w:space="0" w:color="000000"/>
              <w:bottom w:val="single" w:sz="2" w:space="0" w:color="000000"/>
              <w:right w:val="single" w:sz="2" w:space="0" w:color="000000"/>
            </w:tcBorders>
            <w:shd w:val="clear" w:color="auto" w:fill="FFFFFF"/>
            <w:hideMark/>
          </w:tcPr>
          <w:p w:rsidR="00D56DF6" w:rsidRPr="00711362" w:rsidRDefault="00D56DF6" w:rsidP="005F7F7B">
            <w:pPr>
              <w:pStyle w:val="RollCallTable"/>
            </w:pPr>
            <w:r>
              <w:t>S&amp;D</w:t>
            </w:r>
          </w:p>
        </w:tc>
        <w:tc>
          <w:tcPr>
            <w:tcW w:w="7371" w:type="dxa"/>
            <w:tcBorders>
              <w:top w:val="single" w:sz="2" w:space="0" w:color="000000"/>
              <w:left w:val="single" w:sz="2" w:space="0" w:color="000000"/>
              <w:bottom w:val="single" w:sz="2" w:space="0" w:color="000000"/>
              <w:right w:val="double" w:sz="2" w:space="0" w:color="000000"/>
            </w:tcBorders>
            <w:shd w:val="clear" w:color="auto" w:fill="FFFFFF"/>
            <w:hideMark/>
          </w:tcPr>
          <w:p w:rsidR="00D56DF6" w:rsidRPr="00711362" w:rsidRDefault="00D56DF6" w:rsidP="005F7F7B">
            <w:pPr>
              <w:pStyle w:val="RollCallTable"/>
            </w:pPr>
            <w:r>
              <w:t>Clara Aguilera, Marek Belka, Jonás Fernández, Eero Heinäluoma, Dietmar Köster, Aurore Lalucq, Margarida Marques, Csaba Molnár, René Repasi, Alfred Sant, Paul Tang, Irene Tinagli</w:t>
            </w:r>
          </w:p>
        </w:tc>
      </w:tr>
    </w:tbl>
    <w:p w:rsidR="00D56DF6" w:rsidRPr="00711362" w:rsidRDefault="00D56DF6" w:rsidP="00D56DF6">
      <w:pPr>
        <w:pStyle w:val="Normal12a"/>
      </w:pPr>
    </w:p>
    <w:p w:rsidR="00D56DF6" w:rsidRPr="00711362" w:rsidRDefault="00D56DF6" w:rsidP="00D56DF6">
      <w:pPr>
        <w:rPr>
          <w:szCs w:val="24"/>
        </w:rPr>
      </w:pPr>
      <w:r>
        <w:t xml:space="preserve">Tifsira tas-simboli użati: </w:t>
      </w:r>
    </w:p>
    <w:p w:rsidR="00D56DF6" w:rsidRPr="00711362" w:rsidRDefault="00D56DF6" w:rsidP="00D56DF6">
      <w:pPr>
        <w:tabs>
          <w:tab w:val="center" w:pos="284"/>
          <w:tab w:val="left" w:pos="426"/>
        </w:tabs>
        <w:rPr>
          <w:szCs w:val="24"/>
        </w:rPr>
      </w:pPr>
      <w:r>
        <w:t>+</w:t>
      </w:r>
      <w:r>
        <w:tab/>
        <w:t>:</w:t>
      </w:r>
      <w:r>
        <w:tab/>
        <w:t>favur</w:t>
      </w:r>
    </w:p>
    <w:p w:rsidR="00D56DF6" w:rsidRPr="00711362" w:rsidRDefault="00D56DF6" w:rsidP="00D56DF6">
      <w:pPr>
        <w:tabs>
          <w:tab w:val="center" w:pos="284"/>
          <w:tab w:val="left" w:pos="426"/>
        </w:tabs>
        <w:rPr>
          <w:szCs w:val="24"/>
        </w:rPr>
      </w:pPr>
      <w:r>
        <w:t>-</w:t>
      </w:r>
      <w:r>
        <w:tab/>
        <w:t>:</w:t>
      </w:r>
      <w:r>
        <w:tab/>
        <w:t>kontra</w:t>
      </w:r>
    </w:p>
    <w:p w:rsidR="00D56DF6" w:rsidRPr="00711362" w:rsidRDefault="00D56DF6" w:rsidP="00D56DF6">
      <w:pPr>
        <w:pStyle w:val="RollCallTabs"/>
      </w:pPr>
      <w:r>
        <w:t>0</w:t>
      </w:r>
      <w:r>
        <w:tab/>
        <w:t>:</w:t>
      </w:r>
      <w:r>
        <w:tab/>
        <w:t>astensjoni</w:t>
      </w:r>
    </w:p>
    <w:p w:rsidR="00D56DF6" w:rsidRPr="00711362" w:rsidRDefault="00D56DF6" w:rsidP="00D56DF6"/>
    <w:p w:rsidR="00D56DF6" w:rsidRPr="00711362" w:rsidRDefault="00D56DF6" w:rsidP="00D56DF6"/>
    <w:p w:rsidR="001E0D42" w:rsidRPr="00711362" w:rsidRDefault="001E0D42" w:rsidP="00D56DF6"/>
    <w:sectPr w:rsidR="001E0D42" w:rsidRPr="00711362" w:rsidSect="00D56DF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E2A" w:rsidRPr="00711362" w:rsidRDefault="00244E2A">
      <w:r w:rsidRPr="00711362">
        <w:separator/>
      </w:r>
    </w:p>
  </w:endnote>
  <w:endnote w:type="continuationSeparator" w:id="0">
    <w:p w:rsidR="00244E2A" w:rsidRPr="00711362" w:rsidRDefault="00244E2A">
      <w:r w:rsidRPr="007113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362" w:rsidRPr="00711362" w:rsidRDefault="00711362" w:rsidP="00711362">
    <w:pPr>
      <w:pStyle w:val="EPFooter"/>
    </w:pPr>
    <w:r w:rsidRPr="00711362">
      <w:t>PE</w:t>
    </w:r>
    <w:r w:rsidRPr="00711362">
      <w:rPr>
        <w:rStyle w:val="HideTWBExt"/>
      </w:rPr>
      <w:t>&lt;NoPE&gt;</w:t>
    </w:r>
    <w:r w:rsidRPr="00711362">
      <w:t>757.192</w:t>
    </w:r>
    <w:r w:rsidRPr="00711362">
      <w:rPr>
        <w:rStyle w:val="HideTWBExt"/>
      </w:rPr>
      <w:t>&lt;/NoPE&gt;&lt;Version&gt;</w:t>
    </w:r>
    <w:r w:rsidRPr="00711362">
      <w:t>v02-00</w:t>
    </w:r>
    <w:r w:rsidRPr="00711362">
      <w:rPr>
        <w:rStyle w:val="HideTWBExt"/>
      </w:rPr>
      <w:t>&lt;/Version&gt;</w:t>
    </w:r>
    <w:r w:rsidRPr="00711362">
      <w:tab/>
    </w:r>
    <w:r w:rsidRPr="00711362">
      <w:fldChar w:fldCharType="begin"/>
    </w:r>
    <w:r w:rsidRPr="00711362">
      <w:instrText xml:space="preserve"> PAGE  \* MERGEFORMAT </w:instrText>
    </w:r>
    <w:r w:rsidRPr="00711362">
      <w:fldChar w:fldCharType="separate"/>
    </w:r>
    <w:r w:rsidR="00EC0623">
      <w:rPr>
        <w:noProof/>
      </w:rPr>
      <w:t>2</w:t>
    </w:r>
    <w:r w:rsidRPr="00711362">
      <w:fldChar w:fldCharType="end"/>
    </w:r>
    <w:r w:rsidRPr="00711362">
      <w:t>/</w:t>
    </w:r>
    <w:r w:rsidR="00EC0623">
      <w:fldChar w:fldCharType="begin"/>
    </w:r>
    <w:r w:rsidR="00EC0623">
      <w:instrText xml:space="preserve"> NUMPAGES  \* MERGEFORMAT </w:instrText>
    </w:r>
    <w:r w:rsidR="00EC0623">
      <w:fldChar w:fldCharType="separate"/>
    </w:r>
    <w:r w:rsidR="00EC0623">
      <w:rPr>
        <w:noProof/>
      </w:rPr>
      <w:t>6</w:t>
    </w:r>
    <w:r w:rsidR="00EC0623">
      <w:rPr>
        <w:noProof/>
      </w:rPr>
      <w:fldChar w:fldCharType="end"/>
    </w:r>
    <w:r w:rsidRPr="00711362">
      <w:tab/>
    </w:r>
    <w:r w:rsidRPr="00711362">
      <w:rPr>
        <w:rStyle w:val="HideTWBExt"/>
      </w:rPr>
      <w:t>&lt;PathFdR&gt;</w:t>
    </w:r>
    <w:r w:rsidRPr="00711362">
      <w:t>AD\1293657MT.docx</w:t>
    </w:r>
    <w:r w:rsidRPr="00711362">
      <w:rPr>
        <w:rStyle w:val="HideTWBExt"/>
      </w:rPr>
      <w:t>&lt;/PathFdR&gt;</w:t>
    </w:r>
  </w:p>
  <w:p w:rsidR="00E13DD7" w:rsidRPr="00711362" w:rsidRDefault="00711362" w:rsidP="00711362">
    <w:pPr>
      <w:pStyle w:val="EPFooter2"/>
    </w:pPr>
    <w:r w:rsidRPr="00711362">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362" w:rsidRPr="00711362" w:rsidRDefault="00711362" w:rsidP="00711362">
    <w:pPr>
      <w:pStyle w:val="EPFooter"/>
    </w:pPr>
    <w:r w:rsidRPr="00711362">
      <w:rPr>
        <w:rStyle w:val="HideTWBExt"/>
      </w:rPr>
      <w:t>&lt;PathFdR&gt;</w:t>
    </w:r>
    <w:r w:rsidRPr="00711362">
      <w:t>AD\1293657MT.docx</w:t>
    </w:r>
    <w:r w:rsidRPr="00711362">
      <w:rPr>
        <w:rStyle w:val="HideTWBExt"/>
      </w:rPr>
      <w:t>&lt;/PathFdR&gt;</w:t>
    </w:r>
    <w:r w:rsidRPr="00711362">
      <w:tab/>
    </w:r>
    <w:r w:rsidRPr="00711362">
      <w:fldChar w:fldCharType="begin"/>
    </w:r>
    <w:r w:rsidRPr="00711362">
      <w:instrText xml:space="preserve"> PAGE  \* MERGEFORMAT </w:instrText>
    </w:r>
    <w:r w:rsidRPr="00711362">
      <w:fldChar w:fldCharType="separate"/>
    </w:r>
    <w:r w:rsidR="00EC0623">
      <w:rPr>
        <w:noProof/>
      </w:rPr>
      <w:t>6</w:t>
    </w:r>
    <w:r w:rsidRPr="00711362">
      <w:fldChar w:fldCharType="end"/>
    </w:r>
    <w:r w:rsidRPr="00711362">
      <w:t>/</w:t>
    </w:r>
    <w:r w:rsidR="00EC0623">
      <w:fldChar w:fldCharType="begin"/>
    </w:r>
    <w:r w:rsidR="00EC0623">
      <w:instrText xml:space="preserve"> NUMPAGES  \* MERGEFORMAT </w:instrText>
    </w:r>
    <w:r w:rsidR="00EC0623">
      <w:fldChar w:fldCharType="separate"/>
    </w:r>
    <w:r w:rsidR="00EC0623">
      <w:rPr>
        <w:noProof/>
      </w:rPr>
      <w:t>6</w:t>
    </w:r>
    <w:r w:rsidR="00EC0623">
      <w:rPr>
        <w:noProof/>
      </w:rPr>
      <w:fldChar w:fldCharType="end"/>
    </w:r>
    <w:r w:rsidRPr="00711362">
      <w:tab/>
      <w:t>PE</w:t>
    </w:r>
    <w:r w:rsidRPr="00711362">
      <w:rPr>
        <w:rStyle w:val="HideTWBExt"/>
      </w:rPr>
      <w:t>&lt;NoPE&gt;</w:t>
    </w:r>
    <w:r w:rsidRPr="00711362">
      <w:t>757.192</w:t>
    </w:r>
    <w:r w:rsidRPr="00711362">
      <w:rPr>
        <w:rStyle w:val="HideTWBExt"/>
      </w:rPr>
      <w:t>&lt;/NoPE&gt;&lt;Version&gt;</w:t>
    </w:r>
    <w:r w:rsidRPr="00711362">
      <w:t>v02-00</w:t>
    </w:r>
    <w:r w:rsidRPr="00711362">
      <w:rPr>
        <w:rStyle w:val="HideTWBExt"/>
      </w:rPr>
      <w:t>&lt;/Version&gt;</w:t>
    </w:r>
  </w:p>
  <w:p w:rsidR="00E13DD7" w:rsidRPr="00711362" w:rsidRDefault="00711362" w:rsidP="00711362">
    <w:pPr>
      <w:pStyle w:val="EPFooter2"/>
    </w:pPr>
    <w:r w:rsidRPr="00711362">
      <w:tab/>
    </w:r>
    <w:r w:rsidRPr="00711362">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362" w:rsidRPr="00711362" w:rsidRDefault="00711362" w:rsidP="00711362">
    <w:pPr>
      <w:pStyle w:val="EPFooter"/>
    </w:pPr>
    <w:r w:rsidRPr="00711362">
      <w:rPr>
        <w:rStyle w:val="HideTWBExt"/>
      </w:rPr>
      <w:t>&lt;PathFdR&gt;</w:t>
    </w:r>
    <w:r w:rsidRPr="00711362">
      <w:t>AD\1293657MT.docx</w:t>
    </w:r>
    <w:r w:rsidRPr="00711362">
      <w:rPr>
        <w:rStyle w:val="HideTWBExt"/>
      </w:rPr>
      <w:t>&lt;/PathFdR&gt;</w:t>
    </w:r>
    <w:r w:rsidRPr="00711362">
      <w:tab/>
    </w:r>
    <w:r w:rsidRPr="00711362">
      <w:tab/>
      <w:t>PE</w:t>
    </w:r>
    <w:r w:rsidRPr="00711362">
      <w:rPr>
        <w:rStyle w:val="HideTWBExt"/>
      </w:rPr>
      <w:t>&lt;NoPE&gt;</w:t>
    </w:r>
    <w:r w:rsidRPr="00711362">
      <w:t>757.192</w:t>
    </w:r>
    <w:r w:rsidRPr="00711362">
      <w:rPr>
        <w:rStyle w:val="HideTWBExt"/>
      </w:rPr>
      <w:t>&lt;/NoPE&gt;&lt;Version&gt;</w:t>
    </w:r>
    <w:r w:rsidRPr="00711362">
      <w:t>v02-00</w:t>
    </w:r>
    <w:r w:rsidRPr="00711362">
      <w:rPr>
        <w:rStyle w:val="HideTWBExt"/>
      </w:rPr>
      <w:t>&lt;/Version&gt;</w:t>
    </w:r>
  </w:p>
  <w:p w:rsidR="00E13DD7" w:rsidRPr="00711362" w:rsidRDefault="00711362" w:rsidP="00711362">
    <w:pPr>
      <w:pStyle w:val="EPFooter2"/>
    </w:pPr>
    <w:r w:rsidRPr="00711362">
      <w:t>MT</w:t>
    </w:r>
    <w:r w:rsidRPr="00711362">
      <w:tab/>
    </w:r>
    <w:r w:rsidRPr="00711362">
      <w:rPr>
        <w:b w:val="0"/>
        <w:i/>
        <w:color w:val="C0C0C0"/>
        <w:sz w:val="22"/>
      </w:rPr>
      <w:t>Magħquda fid-diversità</w:t>
    </w:r>
    <w:r w:rsidRPr="00711362">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E2A" w:rsidRPr="00711362" w:rsidRDefault="00244E2A">
      <w:r w:rsidRPr="00711362">
        <w:separator/>
      </w:r>
    </w:p>
  </w:footnote>
  <w:footnote w:type="continuationSeparator" w:id="0">
    <w:p w:rsidR="00244E2A" w:rsidRPr="00711362" w:rsidRDefault="00244E2A">
      <w:r w:rsidRPr="007113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2FC" w:rsidRDefault="008962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2FC" w:rsidRDefault="008962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2FC" w:rsidRDefault="008962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DEMNU" w:val=" 1"/>
    <w:docVar w:name="COM2KEY" w:val="JURI"/>
    <w:docVar w:name="COMKEY" w:val="ECON"/>
    <w:docVar w:name="CONTRIBUTIONMNU" w:val=" 2"/>
    <w:docVar w:name="FONCTIONMNU" w:val=" 1"/>
    <w:docVar w:name="LastEditedSection" w:val=" 1"/>
    <w:docVar w:name="strDocTypeID" w:val="PA_Legapp"/>
    <w:docVar w:name="strSubDir" w:val="1293"/>
    <w:docVar w:name="TXTLANGUE" w:val="MT"/>
    <w:docVar w:name="TXTLANGUEMIN" w:val="mt"/>
    <w:docVar w:name="TXTNRPE" w:val="757.192"/>
    <w:docVar w:name="TXTNRPROC" w:val="2023/0368"/>
    <w:docVar w:name="TXTPEorAP" w:val="PE"/>
    <w:docVar w:name="TXTROUTE" w:val="AD\1293657MT.docx"/>
    <w:docVar w:name="TXTVERSION" w:val="02-00"/>
  </w:docVars>
  <w:rsids>
    <w:rsidRoot w:val="00244E2A"/>
    <w:rsid w:val="000679F8"/>
    <w:rsid w:val="00083B62"/>
    <w:rsid w:val="00085FEA"/>
    <w:rsid w:val="0015390C"/>
    <w:rsid w:val="0017203A"/>
    <w:rsid w:val="0019510E"/>
    <w:rsid w:val="0019771E"/>
    <w:rsid w:val="001A2563"/>
    <w:rsid w:val="001D0CFC"/>
    <w:rsid w:val="001D7BE3"/>
    <w:rsid w:val="001E0D42"/>
    <w:rsid w:val="001E7AB8"/>
    <w:rsid w:val="002203D4"/>
    <w:rsid w:val="00244E2A"/>
    <w:rsid w:val="00262065"/>
    <w:rsid w:val="00264742"/>
    <w:rsid w:val="002A549C"/>
    <w:rsid w:val="00313CE6"/>
    <w:rsid w:val="00330184"/>
    <w:rsid w:val="00347939"/>
    <w:rsid w:val="003A7C6C"/>
    <w:rsid w:val="003D40DB"/>
    <w:rsid w:val="00431775"/>
    <w:rsid w:val="0043505F"/>
    <w:rsid w:val="004672EF"/>
    <w:rsid w:val="004676D1"/>
    <w:rsid w:val="00486259"/>
    <w:rsid w:val="004A4183"/>
    <w:rsid w:val="004A5887"/>
    <w:rsid w:val="00517E61"/>
    <w:rsid w:val="00522388"/>
    <w:rsid w:val="00557D45"/>
    <w:rsid w:val="005650E4"/>
    <w:rsid w:val="005B7564"/>
    <w:rsid w:val="005D6177"/>
    <w:rsid w:val="00664A3C"/>
    <w:rsid w:val="0068775C"/>
    <w:rsid w:val="006B1FB2"/>
    <w:rsid w:val="006B4A14"/>
    <w:rsid w:val="006E72C2"/>
    <w:rsid w:val="006F66F9"/>
    <w:rsid w:val="00700A24"/>
    <w:rsid w:val="00711362"/>
    <w:rsid w:val="00720C57"/>
    <w:rsid w:val="00724AF7"/>
    <w:rsid w:val="007A0058"/>
    <w:rsid w:val="0086371D"/>
    <w:rsid w:val="008729B8"/>
    <w:rsid w:val="00895BF0"/>
    <w:rsid w:val="008962FC"/>
    <w:rsid w:val="009265F1"/>
    <w:rsid w:val="009E2133"/>
    <w:rsid w:val="00A157B1"/>
    <w:rsid w:val="00A32BD2"/>
    <w:rsid w:val="00A36CB3"/>
    <w:rsid w:val="00AA48DC"/>
    <w:rsid w:val="00AA48E7"/>
    <w:rsid w:val="00AB59AF"/>
    <w:rsid w:val="00AC5E3A"/>
    <w:rsid w:val="00B24AC9"/>
    <w:rsid w:val="00BB046B"/>
    <w:rsid w:val="00BB0B8D"/>
    <w:rsid w:val="00C114D6"/>
    <w:rsid w:val="00C472F4"/>
    <w:rsid w:val="00C85ECC"/>
    <w:rsid w:val="00C87EB8"/>
    <w:rsid w:val="00CE3EA1"/>
    <w:rsid w:val="00CF7B4B"/>
    <w:rsid w:val="00D345A7"/>
    <w:rsid w:val="00D56DF6"/>
    <w:rsid w:val="00D646AE"/>
    <w:rsid w:val="00D81350"/>
    <w:rsid w:val="00DC0596"/>
    <w:rsid w:val="00DC13DC"/>
    <w:rsid w:val="00DE5D6C"/>
    <w:rsid w:val="00E13DD7"/>
    <w:rsid w:val="00E6161D"/>
    <w:rsid w:val="00E66D77"/>
    <w:rsid w:val="00EA649D"/>
    <w:rsid w:val="00EC0623"/>
    <w:rsid w:val="00F40E2F"/>
    <w:rsid w:val="00FD469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BE3C6E-AB6A-468D-84E9-ADBB43781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mt-M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semiHidden="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45A7"/>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link w:val="PageHeadingNotTOCChar"/>
    <w:pPr>
      <w:keepNext/>
      <w:spacing w:after="480"/>
      <w:jc w:val="center"/>
    </w:pPr>
    <w:rPr>
      <w:rFonts w:ascii="Arial" w:hAnsi="Arial" w:cs="Arial"/>
      <w:b/>
    </w:rPr>
  </w:style>
  <w:style w:type="paragraph" w:customStyle="1" w:styleId="EPName">
    <w:name w:val="EPName"/>
    <w:basedOn w:val="Normal"/>
    <w:rsid w:val="00DC0596"/>
    <w:pPr>
      <w:spacing w:before="80" w:after="80"/>
    </w:pPr>
    <w:rPr>
      <w:rFonts w:ascii="Arial Narrow" w:hAnsi="Arial Narrow" w:cs="Arial"/>
      <w:b/>
      <w:sz w:val="32"/>
      <w:szCs w:val="22"/>
    </w:rPr>
  </w:style>
  <w:style w:type="paragraph" w:customStyle="1" w:styleId="CoverNormal24a">
    <w:name w:val="CoverNormal24a"/>
    <w:basedOn w:val="Normal"/>
    <w:rsid w:val="00B24AC9"/>
    <w:pPr>
      <w:spacing w:after="480"/>
      <w:ind w:left="1417"/>
    </w:pPr>
  </w:style>
  <w:style w:type="paragraph" w:customStyle="1" w:styleId="CoverNormal">
    <w:name w:val="CoverNormal"/>
    <w:basedOn w:val="Normal"/>
    <w:pPr>
      <w:ind w:left="1418"/>
    </w:pPr>
  </w:style>
  <w:style w:type="paragraph" w:customStyle="1" w:styleId="NormalCenter12a">
    <w:name w:val="NormalCenter12a"/>
    <w:basedOn w:val="Normal"/>
    <w:rsid w:val="00313CE6"/>
    <w:pPr>
      <w:spacing w:after="240"/>
      <w:jc w:val="center"/>
    </w:pPr>
  </w:style>
  <w:style w:type="paragraph" w:customStyle="1" w:styleId="CoverReference">
    <w:name w:val="CoverReference"/>
    <w:basedOn w:val="Normal"/>
    <w:rsid w:val="00664A3C"/>
    <w:pPr>
      <w:spacing w:before="1080"/>
      <w:jc w:val="right"/>
    </w:pPr>
    <w:rPr>
      <w:rFonts w:ascii="Arial" w:hAnsi="Arial" w:cs="Arial"/>
      <w:b/>
    </w:rPr>
  </w:style>
  <w:style w:type="paragraph" w:customStyle="1" w:styleId="CoverDocType24a">
    <w:name w:val="CoverDocType24a"/>
    <w:basedOn w:val="Normal"/>
    <w:rsid w:val="00B24AC9"/>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700A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00A24"/>
    <w:pPr>
      <w:jc w:val="center"/>
    </w:pPr>
    <w:rPr>
      <w:rFonts w:ascii="Arial" w:hAnsi="Arial" w:cs="Arial"/>
      <w:i/>
      <w:sz w:val="22"/>
      <w:szCs w:val="22"/>
    </w:rPr>
  </w:style>
  <w:style w:type="paragraph" w:customStyle="1" w:styleId="LineTop">
    <w:name w:val="LineTop"/>
    <w:basedOn w:val="Normal"/>
    <w:next w:val="Normal"/>
    <w:rsid w:val="00700A2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00A2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C0596"/>
    <w:pPr>
      <w:spacing w:after="80"/>
    </w:pPr>
    <w:rPr>
      <w:rFonts w:ascii="Arial" w:hAnsi="Arial" w:cs="Arial"/>
      <w:sz w:val="20"/>
      <w:szCs w:val="22"/>
    </w:rPr>
  </w:style>
  <w:style w:type="paragraph" w:customStyle="1" w:styleId="EPLogo">
    <w:name w:val="EPLogo"/>
    <w:basedOn w:val="Normal"/>
    <w:qFormat/>
    <w:rsid w:val="00DC0596"/>
    <w:pPr>
      <w:jc w:val="right"/>
    </w:pPr>
  </w:style>
  <w:style w:type="paragraph" w:customStyle="1" w:styleId="EPFooter">
    <w:name w:val="EPFooter"/>
    <w:basedOn w:val="Normal"/>
    <w:rsid w:val="00B24AC9"/>
    <w:pPr>
      <w:tabs>
        <w:tab w:val="center" w:pos="4535"/>
        <w:tab w:val="right" w:pos="9071"/>
      </w:tabs>
      <w:spacing w:before="240" w:after="240"/>
    </w:pPr>
    <w:rPr>
      <w:color w:val="010000"/>
      <w:sz w:val="22"/>
    </w:rPr>
  </w:style>
  <w:style w:type="paragraph" w:styleId="Header">
    <w:name w:val="header"/>
    <w:basedOn w:val="Normal"/>
    <w:link w:val="HeaderChar"/>
    <w:semiHidden/>
    <w:rsid w:val="00724AF7"/>
    <w:pPr>
      <w:tabs>
        <w:tab w:val="center" w:pos="4513"/>
        <w:tab w:val="right" w:pos="9026"/>
      </w:tabs>
    </w:pPr>
  </w:style>
  <w:style w:type="character" w:customStyle="1" w:styleId="HeaderChar">
    <w:name w:val="Header Char"/>
    <w:basedOn w:val="DefaultParagraphFont"/>
    <w:link w:val="Header"/>
    <w:semiHidden/>
    <w:rsid w:val="00724AF7"/>
    <w:rPr>
      <w:sz w:val="24"/>
    </w:rPr>
  </w:style>
  <w:style w:type="character" w:customStyle="1" w:styleId="PageHeadingNotTOCChar">
    <w:name w:val="PageHeadingNotTOC Char"/>
    <w:basedOn w:val="DefaultParagraphFont"/>
    <w:link w:val="PageHeadingNotTOC"/>
    <w:locked/>
    <w:rsid w:val="00D56DF6"/>
    <w:rPr>
      <w:rFonts w:ascii="Arial" w:hAnsi="Arial" w:cs="Arial"/>
      <w:b/>
      <w:sz w:val="24"/>
      <w:lang w:val="mt-MT"/>
    </w:rPr>
  </w:style>
  <w:style w:type="paragraph" w:customStyle="1" w:styleId="RollCallSymbols14pt">
    <w:name w:val="RollCallSymbols14pt"/>
    <w:basedOn w:val="Normal"/>
    <w:rsid w:val="00D56DF6"/>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D56DF6"/>
    <w:pPr>
      <w:tabs>
        <w:tab w:val="center" w:pos="284"/>
        <w:tab w:val="left" w:pos="426"/>
      </w:tabs>
      <w:snapToGrid w:val="0"/>
    </w:pPr>
    <w:rPr>
      <w:lang w:eastAsia="en-US"/>
    </w:rPr>
  </w:style>
  <w:style w:type="paragraph" w:customStyle="1" w:styleId="RollCallVotes">
    <w:name w:val="RollCallVotes"/>
    <w:basedOn w:val="Normal"/>
    <w:rsid w:val="00D56DF6"/>
    <w:pPr>
      <w:snapToGrid w:val="0"/>
      <w:spacing w:before="120" w:after="120"/>
      <w:jc w:val="center"/>
    </w:pPr>
    <w:rPr>
      <w:b/>
      <w:bCs/>
      <w:sz w:val="16"/>
      <w:lang w:eastAsia="en-US"/>
    </w:rPr>
  </w:style>
  <w:style w:type="paragraph" w:customStyle="1" w:styleId="RollCallTable">
    <w:name w:val="RollCallTable"/>
    <w:basedOn w:val="Normal"/>
    <w:rsid w:val="00D56DF6"/>
    <w:pPr>
      <w:snapToGrid w:val="0"/>
      <w:spacing w:before="120" w:after="120"/>
    </w:pPr>
    <w:rPr>
      <w:sz w:val="16"/>
      <w:lang w:eastAsia="en-US"/>
    </w:rPr>
  </w:style>
  <w:style w:type="paragraph" w:styleId="Index1">
    <w:name w:val="index 1"/>
    <w:basedOn w:val="Normal"/>
    <w:next w:val="Normal"/>
    <w:autoRedefine/>
    <w:rsid w:val="00D56DF6"/>
    <w:pPr>
      <w:tabs>
        <w:tab w:val="right" w:leader="dot" w:pos="9360"/>
      </w:tabs>
      <w:suppressAutoHyphens/>
      <w:ind w:left="1440" w:right="720" w:hanging="1440"/>
    </w:pPr>
    <w:rPr>
      <w:snapToGrid w:val="0"/>
      <w:sz w:val="20"/>
      <w:lang w:eastAsia="mt-MT" w:bidi="mt-MT"/>
    </w:rPr>
  </w:style>
  <w:style w:type="character" w:customStyle="1" w:styleId="FormatAM">
    <w:name w:val="FormatAM"/>
    <w:basedOn w:val="DefaultParagraphFont"/>
    <w:rsid w:val="00D56DF6"/>
    <w:rPr>
      <w:rFonts w:ascii="Times New Roman" w:hAnsi="Times New Roman"/>
      <w:noProof w:val="0"/>
      <w:sz w:val="24"/>
      <w:lang w:val="mt-MT"/>
    </w:rPr>
  </w:style>
  <w:style w:type="paragraph" w:customStyle="1" w:styleId="Normal24a">
    <w:name w:val="Normal24a"/>
    <w:basedOn w:val="Normal"/>
    <w:rsid w:val="00D56DF6"/>
    <w:pPr>
      <w:spacing w:after="480"/>
    </w:pPr>
  </w:style>
  <w:style w:type="paragraph" w:customStyle="1" w:styleId="NormalBoldCenter">
    <w:name w:val="NormalBoldCenter"/>
    <w:basedOn w:val="Normal"/>
    <w:rsid w:val="00D56DF6"/>
    <w:pPr>
      <w:jc w:val="center"/>
    </w:pPr>
    <w:rPr>
      <w:b/>
    </w:rPr>
  </w:style>
  <w:style w:type="paragraph" w:styleId="Footer">
    <w:name w:val="footer"/>
    <w:basedOn w:val="Normal"/>
    <w:link w:val="FooterChar"/>
    <w:semiHidden/>
    <w:rsid w:val="00EC0623"/>
    <w:pPr>
      <w:tabs>
        <w:tab w:val="center" w:pos="4513"/>
        <w:tab w:val="right" w:pos="9026"/>
      </w:tabs>
    </w:pPr>
  </w:style>
  <w:style w:type="character" w:customStyle="1" w:styleId="FooterChar">
    <w:name w:val="Footer Char"/>
    <w:basedOn w:val="DefaultParagraphFont"/>
    <w:link w:val="Footer"/>
    <w:semiHidden/>
    <w:rsid w:val="00EC06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548</Words>
  <Characters>3969</Characters>
  <Application>Microsoft Office Word</Application>
  <DocSecurity>0</DocSecurity>
  <Lines>140</Lines>
  <Paragraphs>83</Paragraphs>
  <ScaleCrop>false</ScaleCrop>
  <HeadingPairs>
    <vt:vector size="2" baseType="variant">
      <vt:variant>
        <vt:lpstr>Title</vt:lpstr>
      </vt:variant>
      <vt:variant>
        <vt:i4>1</vt:i4>
      </vt:variant>
    </vt:vector>
  </HeadingPairs>
  <TitlesOfParts>
    <vt:vector size="1" baseType="lpstr">
      <vt:lpstr>PA_Legapp</vt:lpstr>
    </vt:vector>
  </TitlesOfParts>
  <Company/>
  <LinksUpToDate>false</LinksUpToDate>
  <CharactersWithSpaces>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PA_Legapp</dc:title>
  <dc:subject/>
  <dc:creator>European Parliament</dc:creator>
  <cp:keywords/>
  <dc:description/>
  <cp:lastModifiedBy>European Parliament</cp:lastModifiedBy>
  <cp:revision>2</cp:revision>
  <cp:lastPrinted>2004-10-28T10:33:00Z</cp:lastPrinted>
  <dcterms:created xsi:type="dcterms:W3CDTF">2024-01-15T16:06:00Z</dcterms:created>
  <dcterms:modified xsi:type="dcterms:W3CDTF">2024-01-15T16:06:00Z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9.17.0 Build [20231101]</vt:lpwstr>
  </property>
  <property fmtid="{D5CDD505-2E9C-101B-9397-08002B2CF9AE}" pid="4" name="LastEdited with">
    <vt:lpwstr>9.17.0 Build [20231101]</vt:lpwstr>
  </property>
  <property fmtid="{D5CDD505-2E9C-101B-9397-08002B2CF9AE}" pid="5" name="&lt;FdR&gt;">
    <vt:lpwstr>1293657</vt:lpwstr>
  </property>
  <property fmtid="{D5CDD505-2E9C-101B-9397-08002B2CF9AE}" pid="6" name="&lt;Type&gt;">
    <vt:lpwstr>AD</vt:lpwstr>
  </property>
  <property fmtid="{D5CDD505-2E9C-101B-9397-08002B2CF9AE}" pid="7" name="&lt;ModelCod&gt;">
    <vt:lpwstr>\\eiciBRUpr1\pdocep$\DocEP\DOCS\General\PA\PA_Leg\PA_Legapp.dotx(19/12/2022 06:51:18)</vt:lpwstr>
  </property>
  <property fmtid="{D5CDD505-2E9C-101B-9397-08002B2CF9AE}" pid="8" name="&lt;ModelTra&gt;">
    <vt:lpwstr>\\eiciBRUpr1\pdocep$\DocEP\TRANSFIL\MT\PA_Legapp.MT(25/05/2023 15:04:38)</vt:lpwstr>
  </property>
  <property fmtid="{D5CDD505-2E9C-101B-9397-08002B2CF9AE}" pid="9" name="&lt;Model&gt;">
    <vt:lpwstr>PA_Legapp</vt:lpwstr>
  </property>
  <property fmtid="{D5CDD505-2E9C-101B-9397-08002B2CF9AE}" pid="10" name="FooterPath">
    <vt:lpwstr>AD\1293657MT.docx</vt:lpwstr>
  </property>
  <property fmtid="{D5CDD505-2E9C-101B-9397-08002B2CF9AE}" pid="11" name="PE number">
    <vt:lpwstr>757.192</vt:lpwstr>
  </property>
  <property fmtid="{D5CDD505-2E9C-101B-9397-08002B2CF9AE}" pid="12" name="SDLStudio">
    <vt:lpwstr/>
  </property>
  <property fmtid="{D5CDD505-2E9C-101B-9397-08002B2CF9AE}" pid="13" name="Bookout">
    <vt:lpwstr>OK - 2024/01/15 17:06</vt:lpwstr>
  </property>
</Properties>
</file>