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9A2B78" w:rsidTr="00904864">
        <w:trPr>
          <w:trHeight w:hRule="exact" w:val="1418"/>
        </w:trPr>
        <w:tc>
          <w:tcPr>
            <w:tcW w:w="6804" w:type="dxa"/>
            <w:shd w:val="clear" w:color="auto" w:fill="auto"/>
            <w:vAlign w:val="center"/>
          </w:tcPr>
          <w:p w:rsidR="00522B51" w:rsidRPr="009A2B78" w:rsidRDefault="001E7100" w:rsidP="00904864">
            <w:pPr>
              <w:pStyle w:val="EPName"/>
            </w:pPr>
            <w:r w:rsidRPr="009A2B78">
              <w:t>Europos Parlamentas</w:t>
            </w:r>
          </w:p>
          <w:p w:rsidR="00522B51" w:rsidRPr="009A2B78" w:rsidRDefault="00A96054" w:rsidP="00A96054">
            <w:pPr>
              <w:pStyle w:val="EPTerm"/>
              <w:rPr>
                <w:rStyle w:val="HideTWBExt"/>
                <w:noProof w:val="0"/>
                <w:vanish w:val="0"/>
                <w:color w:val="auto"/>
              </w:rPr>
            </w:pPr>
            <w:r w:rsidRPr="009A2B78">
              <w:t>2014-2019</w:t>
            </w:r>
          </w:p>
        </w:tc>
        <w:tc>
          <w:tcPr>
            <w:tcW w:w="2268" w:type="dxa"/>
            <w:shd w:val="clear" w:color="auto" w:fill="auto"/>
          </w:tcPr>
          <w:p w:rsidR="00522B51" w:rsidRPr="009A2B78" w:rsidRDefault="00FC2F48" w:rsidP="0090486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EP logo RGB_Mute"/>
                </v:shape>
              </w:pict>
            </w:r>
          </w:p>
        </w:tc>
      </w:tr>
    </w:tbl>
    <w:p w:rsidR="00F24D40" w:rsidRPr="009A2B78" w:rsidRDefault="00F24D40" w:rsidP="00F24D40">
      <w:pPr>
        <w:pStyle w:val="LineTop"/>
      </w:pPr>
    </w:p>
    <w:p w:rsidR="00F24D40" w:rsidRPr="009A2B78" w:rsidRDefault="00F24D40" w:rsidP="00F24D40">
      <w:pPr>
        <w:pStyle w:val="ZCommittee"/>
      </w:pPr>
      <w:r w:rsidRPr="009A2B78">
        <w:rPr>
          <w:rStyle w:val="HideTWBExt"/>
          <w:noProof w:val="0"/>
        </w:rPr>
        <w:t>&lt;</w:t>
      </w:r>
      <w:r w:rsidRPr="009A2B78">
        <w:rPr>
          <w:rStyle w:val="HideTWBExt"/>
          <w:i w:val="0"/>
          <w:noProof w:val="0"/>
        </w:rPr>
        <w:t>Commission</w:t>
      </w:r>
      <w:r w:rsidRPr="009A2B78">
        <w:rPr>
          <w:rStyle w:val="HideTWBExt"/>
          <w:noProof w:val="0"/>
        </w:rPr>
        <w:t>&gt;</w:t>
      </w:r>
      <w:r w:rsidRPr="009A2B78">
        <w:rPr>
          <w:rStyle w:val="HideTWBInt"/>
          <w:color w:val="auto"/>
        </w:rPr>
        <w:t>{EMPL}</w:t>
      </w:r>
      <w:r w:rsidRPr="009A2B78">
        <w:t>Užimtumo ir socialinių reikalų komitetas</w:t>
      </w:r>
      <w:r w:rsidRPr="009A2B78">
        <w:rPr>
          <w:rStyle w:val="HideTWBExt"/>
          <w:noProof w:val="0"/>
        </w:rPr>
        <w:t>&lt;/</w:t>
      </w:r>
      <w:r w:rsidRPr="009A2B78">
        <w:rPr>
          <w:rStyle w:val="HideTWBExt"/>
          <w:i w:val="0"/>
          <w:noProof w:val="0"/>
        </w:rPr>
        <w:t>Commission</w:t>
      </w:r>
      <w:r w:rsidRPr="009A2B78">
        <w:rPr>
          <w:rStyle w:val="HideTWBExt"/>
          <w:noProof w:val="0"/>
        </w:rPr>
        <w:t>&gt;</w:t>
      </w:r>
    </w:p>
    <w:p w:rsidR="00F24D40" w:rsidRPr="009A2B78" w:rsidRDefault="00F24D40" w:rsidP="00F24D40">
      <w:pPr>
        <w:pStyle w:val="LineBottom"/>
      </w:pPr>
    </w:p>
    <w:p w:rsidR="00DB56E4" w:rsidRPr="009A2B78" w:rsidRDefault="00DB56E4" w:rsidP="00DB56E4">
      <w:pPr>
        <w:pStyle w:val="RefProc"/>
      </w:pPr>
      <w:r w:rsidRPr="009A2B78">
        <w:rPr>
          <w:rStyle w:val="HideTWBExt"/>
          <w:b w:val="0"/>
          <w:noProof w:val="0"/>
        </w:rPr>
        <w:t>&lt;</w:t>
      </w:r>
      <w:r w:rsidRPr="009A2B78">
        <w:rPr>
          <w:rStyle w:val="HideTWBExt"/>
          <w:b w:val="0"/>
          <w:caps w:val="0"/>
          <w:noProof w:val="0"/>
        </w:rPr>
        <w:t>RefProc</w:t>
      </w:r>
      <w:r w:rsidRPr="009A2B78">
        <w:rPr>
          <w:rStyle w:val="HideTWBExt"/>
          <w:b w:val="0"/>
          <w:noProof w:val="0"/>
        </w:rPr>
        <w:t>&gt;</w:t>
      </w:r>
      <w:r w:rsidRPr="009A2B78">
        <w:t>2016/0223</w:t>
      </w:r>
      <w:r w:rsidRPr="009A2B78">
        <w:rPr>
          <w:rStyle w:val="HideTWBExt"/>
          <w:b w:val="0"/>
          <w:noProof w:val="0"/>
        </w:rPr>
        <w:t>&lt;/</w:t>
      </w:r>
      <w:r w:rsidRPr="009A2B78">
        <w:rPr>
          <w:rStyle w:val="HideTWBExt"/>
          <w:b w:val="0"/>
          <w:caps w:val="0"/>
          <w:noProof w:val="0"/>
        </w:rPr>
        <w:t>RefProc</w:t>
      </w:r>
      <w:r w:rsidRPr="009A2B78">
        <w:rPr>
          <w:rStyle w:val="HideTWBExt"/>
          <w:b w:val="0"/>
          <w:noProof w:val="0"/>
        </w:rPr>
        <w:t>&gt;&lt;</w:t>
      </w:r>
      <w:r w:rsidRPr="009A2B78">
        <w:rPr>
          <w:rStyle w:val="HideTWBExt"/>
          <w:b w:val="0"/>
          <w:caps w:val="0"/>
          <w:noProof w:val="0"/>
        </w:rPr>
        <w:t>RefTypeProc</w:t>
      </w:r>
      <w:r w:rsidRPr="009A2B78">
        <w:rPr>
          <w:rStyle w:val="HideTWBExt"/>
          <w:b w:val="0"/>
          <w:noProof w:val="0"/>
        </w:rPr>
        <w:t>&gt;</w:t>
      </w:r>
      <w:r w:rsidRPr="009A2B78">
        <w:t>(COD)</w:t>
      </w:r>
      <w:r w:rsidRPr="009A2B78">
        <w:rPr>
          <w:rStyle w:val="HideTWBExt"/>
          <w:b w:val="0"/>
          <w:noProof w:val="0"/>
        </w:rPr>
        <w:t>&lt;/</w:t>
      </w:r>
      <w:r w:rsidRPr="009A2B78">
        <w:rPr>
          <w:rStyle w:val="HideTWBExt"/>
          <w:b w:val="0"/>
          <w:caps w:val="0"/>
          <w:noProof w:val="0"/>
        </w:rPr>
        <w:t>RefTypeProc</w:t>
      </w:r>
      <w:r w:rsidRPr="009A2B78">
        <w:rPr>
          <w:rStyle w:val="HideTWBExt"/>
          <w:b w:val="0"/>
          <w:noProof w:val="0"/>
        </w:rPr>
        <w:t>&gt;</w:t>
      </w:r>
    </w:p>
    <w:p w:rsidR="00DB56E4" w:rsidRPr="009A2B78" w:rsidRDefault="00DB56E4" w:rsidP="00DB56E4">
      <w:pPr>
        <w:pStyle w:val="ZDate"/>
      </w:pPr>
      <w:r w:rsidRPr="009A2B78">
        <w:rPr>
          <w:rStyle w:val="HideTWBExt"/>
          <w:noProof w:val="0"/>
        </w:rPr>
        <w:t>&lt;Date&gt;</w:t>
      </w:r>
      <w:r w:rsidRPr="009A2B78">
        <w:rPr>
          <w:rStyle w:val="HideTWBInt"/>
          <w:color w:val="auto"/>
        </w:rPr>
        <w:t>{08/05/2017}</w:t>
      </w:r>
      <w:r w:rsidRPr="009A2B78">
        <w:t>8.5.2017</w:t>
      </w:r>
      <w:r w:rsidRPr="009A2B78">
        <w:rPr>
          <w:rStyle w:val="HideTWBExt"/>
          <w:noProof w:val="0"/>
        </w:rPr>
        <w:t>&lt;/Date&gt;</w:t>
      </w:r>
    </w:p>
    <w:p w:rsidR="00DB56E4" w:rsidRPr="009A2B78" w:rsidRDefault="00DB56E4" w:rsidP="00DB56E4">
      <w:pPr>
        <w:pStyle w:val="TypeDoc"/>
      </w:pPr>
      <w:r w:rsidRPr="009A2B78">
        <w:rPr>
          <w:rStyle w:val="HideTWBExt"/>
          <w:b w:val="0"/>
          <w:noProof w:val="0"/>
        </w:rPr>
        <w:t>&lt;TitreType&gt;</w:t>
      </w:r>
      <w:r w:rsidRPr="009A2B78">
        <w:t>NUOMONĖ</w:t>
      </w:r>
      <w:r w:rsidRPr="009A2B78">
        <w:rPr>
          <w:rStyle w:val="HideTWBExt"/>
          <w:b w:val="0"/>
          <w:noProof w:val="0"/>
        </w:rPr>
        <w:t>&lt;/TitreType&gt;</w:t>
      </w:r>
    </w:p>
    <w:p w:rsidR="00DB56E4" w:rsidRPr="009A2B78" w:rsidRDefault="00DB56E4" w:rsidP="00DB56E4">
      <w:pPr>
        <w:pStyle w:val="Cover24"/>
      </w:pPr>
      <w:r w:rsidRPr="009A2B78">
        <w:rPr>
          <w:rStyle w:val="HideTWBExt"/>
          <w:noProof w:val="0"/>
        </w:rPr>
        <w:t>&lt;CommissionResp&gt;</w:t>
      </w:r>
      <w:r w:rsidRPr="009A2B78">
        <w:t>Užimtumo ir socialinių reikalų komiteto</w:t>
      </w:r>
      <w:r w:rsidRPr="009A2B78">
        <w:rPr>
          <w:rStyle w:val="HideTWBExt"/>
          <w:noProof w:val="0"/>
        </w:rPr>
        <w:t>&lt;/CommissionResp&gt;</w:t>
      </w:r>
    </w:p>
    <w:p w:rsidR="00DB56E4" w:rsidRPr="009A2B78" w:rsidRDefault="00DB56E4" w:rsidP="00DB56E4">
      <w:pPr>
        <w:pStyle w:val="Cover24"/>
      </w:pPr>
      <w:r w:rsidRPr="009A2B78">
        <w:rPr>
          <w:rStyle w:val="HideTWBExt"/>
          <w:noProof w:val="0"/>
        </w:rPr>
        <w:t>&lt;CommissionInt&gt;</w:t>
      </w:r>
      <w:r w:rsidRPr="009A2B78">
        <w:t>pateikta Piliečių laisvių, teisingumo ir vidaus reikalų komitetui</w:t>
      </w:r>
      <w:r w:rsidRPr="009A2B78">
        <w:rPr>
          <w:rStyle w:val="HideTWBExt"/>
          <w:noProof w:val="0"/>
        </w:rPr>
        <w:t>&lt;/CommissionInt&gt;</w:t>
      </w:r>
    </w:p>
    <w:p w:rsidR="00DB56E4" w:rsidRPr="009A2B78" w:rsidRDefault="00DB56E4" w:rsidP="00DB56E4">
      <w:pPr>
        <w:pStyle w:val="CoverNormal"/>
      </w:pPr>
      <w:r w:rsidRPr="009A2B78">
        <w:rPr>
          <w:rStyle w:val="HideTWBExt"/>
          <w:noProof w:val="0"/>
        </w:rPr>
        <w:t>&lt;Titre&gt;</w:t>
      </w:r>
      <w:r w:rsidRPr="009A2B78">
        <w:t>dėl pasiūlymo dėl Europos Parlamento ir Tarybos reglamento dėl trečiųjų šalių piliečių ar asmenų be pilietybės priskyrimo prie tarptautinės apsaugos gavėjų, vienodo pabėgėlių arba papildomą apsaugą galinčių gauti asmenų statuso ir suteikiamos apsaugos pobūdžio standartų, kuriuo iš dalies keičiama 2003 m. lapkričio 25 d. Tarybos direktyva 2003/109/EB dėl trečiųjų valstybių piliečių, kurie yra ilgalaikiai gyventojai, statuso</w:t>
      </w:r>
      <w:r w:rsidRPr="009A2B78">
        <w:rPr>
          <w:rStyle w:val="HideTWBExt"/>
          <w:noProof w:val="0"/>
        </w:rPr>
        <w:t>&lt;/Titre&gt;</w:t>
      </w:r>
    </w:p>
    <w:p w:rsidR="00DB56E4" w:rsidRPr="009A2B78" w:rsidRDefault="00DB56E4" w:rsidP="00DB56E4">
      <w:pPr>
        <w:pStyle w:val="Cover24"/>
      </w:pPr>
      <w:r w:rsidRPr="009A2B78">
        <w:rPr>
          <w:rStyle w:val="HideTWBExt"/>
          <w:noProof w:val="0"/>
        </w:rPr>
        <w:t>&lt;DocRef&gt;</w:t>
      </w:r>
      <w:r w:rsidRPr="009A2B78">
        <w:t>(COM(2016) 0466 – C8-0324/2016 – 2016/0223(COD))</w:t>
      </w:r>
      <w:r w:rsidRPr="009A2B78">
        <w:rPr>
          <w:rStyle w:val="HideTWBExt"/>
          <w:noProof w:val="0"/>
        </w:rPr>
        <w:t>&lt;/DocRef&gt;</w:t>
      </w:r>
    </w:p>
    <w:p w:rsidR="00DB56E4" w:rsidRPr="009A2B78" w:rsidRDefault="00A96054" w:rsidP="00DB56E4">
      <w:pPr>
        <w:pStyle w:val="Cover24"/>
      </w:pPr>
      <w:r w:rsidRPr="009A2B78">
        <w:t xml:space="preserve">Nuomonės referentas: </w:t>
      </w:r>
      <w:r w:rsidRPr="009A2B78">
        <w:rPr>
          <w:rStyle w:val="HideTWBExt"/>
          <w:noProof w:val="0"/>
        </w:rPr>
        <w:t>&lt;Depute&gt;</w:t>
      </w:r>
      <w:r w:rsidRPr="009A2B78">
        <w:t>Brando Benifei</w:t>
      </w:r>
      <w:r w:rsidRPr="009A2B78">
        <w:rPr>
          <w:rStyle w:val="HideTWBExt"/>
          <w:noProof w:val="0"/>
        </w:rPr>
        <w:t>&lt;/Depute&gt;</w:t>
      </w:r>
    </w:p>
    <w:p w:rsidR="00487596" w:rsidRPr="009A2B78" w:rsidRDefault="00487596" w:rsidP="00487596">
      <w:pPr>
        <w:pStyle w:val="CoverNormal"/>
      </w:pPr>
    </w:p>
    <w:p w:rsidR="00DB56E4" w:rsidRPr="009A2B78" w:rsidRDefault="00DB56E4" w:rsidP="0004474F">
      <w:pPr>
        <w:tabs>
          <w:tab w:val="center" w:pos="4677"/>
        </w:tabs>
      </w:pPr>
      <w:r w:rsidRPr="009A2B78">
        <w:br w:type="page"/>
      </w:r>
      <w:r w:rsidRPr="009A2B78">
        <w:lastRenderedPageBreak/>
        <w:t>PA_Legam</w:t>
      </w:r>
    </w:p>
    <w:p w:rsidR="00DB56E4" w:rsidRPr="009A2B78" w:rsidRDefault="00DB56E4" w:rsidP="00DB56E4">
      <w:pPr>
        <w:pStyle w:val="PageHeadingNotTOC"/>
      </w:pPr>
      <w:r w:rsidRPr="009A2B78">
        <w:br w:type="page"/>
      </w:r>
      <w:r w:rsidRPr="009A2B78">
        <w:lastRenderedPageBreak/>
        <w:t>TRUMPAS PAGRINDIMAS</w:t>
      </w:r>
    </w:p>
    <w:p w:rsidR="007C78BD" w:rsidRPr="009A2B78" w:rsidRDefault="007C78BD" w:rsidP="007C78BD">
      <w:pPr>
        <w:spacing w:after="240"/>
      </w:pPr>
      <w:r w:rsidRPr="009A2B78">
        <w:t>Siūloma bendros Europos prieglobsčio sistemos reforma siekiama suformuoti tvaresnę, sąžiningesnę ir labiau kompleksinę ES migracijos politiką, pagrįstą sąžiningu valstybių narių tarpusavio atsakomybės pasidalijimu ir solidarumu.</w:t>
      </w:r>
    </w:p>
    <w:p w:rsidR="007C78BD" w:rsidRPr="009A2B78" w:rsidRDefault="007C78BD" w:rsidP="007C78BD">
      <w:pPr>
        <w:spacing w:after="240"/>
      </w:pPr>
      <w:r w:rsidRPr="009A2B78">
        <w:t>Nepaisant pastaraisiais metais Europos ir valstybių narių mastu dėtų teisėkūros srities ir politinių pastangų, siekiant veiksmingai reaguoti į pabėgėlių krizę, dar reikia atsižvelgti į keletą aspektų, susijusių su tinkamu prieglobsčio sistemos veikimu. Vis dar esama skirtumų, ypač susijusių su pabėgėlio statuso ir papildomos apsaugos suteikimo taisyklėmis ir kriterijais, patenkintų prieglobsčių prašymų procentu, taip pat su prieglobstį gavusių asmenų teisėmis ir prievolėmis. Komisija siūlo šiuo reglamentu panaikinti ankstesnės Priskyrimo prie tarptautinės apsaugos gavėjų direktyvos naują redakciją, taip padidinant naujų bendrų Europos priemonių suderinimo galimybes. Nuomonės referentas mano, jog svarbu, kad reformos šioje srityje pasiektų bendrą dabartinės padėties pagerinimo tikslą, ir jos turėtų būti įgyvendinamos tam, kad asmenims, kuriems reikalinga apsauga, tikrai būtų suteiktos teisės, o ne tiesiog siekiant atlikti funkcinę administracinę reorganizaciją ar supaprastinti taisykles, praktiką ir procedūras.</w:t>
      </w:r>
    </w:p>
    <w:p w:rsidR="007C78BD" w:rsidRPr="009A2B78" w:rsidRDefault="007C78BD" w:rsidP="007C78BD">
      <w:pPr>
        <w:spacing w:after="240"/>
      </w:pPr>
      <w:r w:rsidRPr="009A2B78">
        <w:t>Atsižvelgiant į tai, ypač svarbu tarptautinės apsaugos gavėjams užtikrinti socialinės įtraukties ir integracijos į darbo rinką galimybę.</w:t>
      </w:r>
    </w:p>
    <w:p w:rsidR="007C78BD" w:rsidRPr="009A2B78" w:rsidRDefault="007C78BD" w:rsidP="007C78BD">
      <w:pPr>
        <w:spacing w:after="240"/>
      </w:pPr>
      <w:r w:rsidRPr="009A2B78">
        <w:t>Šiame nuomonės projekte nuomonės referentas siūlo pakeitimus, kuriais siekiama užtikrinti, kad ES teisės aktai sudarytų sąlygas kuo geriau išnaudoti šias integracijos galimybes. Tai visų pirma reiškia, kad reikia suderinti pabėgėliams ir papildomos apsaugos gavėjams suteikiamas teises, kaip jau padaryta kai kuriose valstybėse narėse, nes jų skirtumai dažnai grindžiami ginčytina prielaida, kad antruoju atveju apsauga reikalinga tik laikinai. Tai praktikoje ne tik lemia nereikalingus administracinius sunkumus, bet ir gali tiesiogiai pakenkti jų integracijos galimybėms, pvz., dėl pernelyg trumpos jų leidimų gyventi ar dirbti šalyje – jie dažnai būna iš esmės susiję – trukmės arba dėl to, kad leidimo gyventi atnaujinimas susiejamas su apsaugos statuso peržiūra, o ji irgi brangi ir nereikalinga. Dėl panašių priežasčių nuomonės referentas siūlo išbraukti iš teksto valstybių narių galimybę riboti socialinės paramos teikimą papildomos apsaugos gavėjams ir</w:t>
      </w:r>
      <w:r w:rsidR="006A5AFB">
        <w:t xml:space="preserve"> skirti tik būtinąsias išmokas.</w:t>
      </w:r>
    </w:p>
    <w:p w:rsidR="007C78BD" w:rsidRPr="009A2B78" w:rsidRDefault="007C78BD" w:rsidP="007C78BD">
      <w:pPr>
        <w:spacing w:after="240"/>
      </w:pPr>
      <w:r w:rsidRPr="009A2B78">
        <w:t>Komisija leidžia valstybėms narėms nustatyti, kad dalyvauti integracijos programose, pvz., lankyti kalbos, profesinio mokymo ir kitus su įsidarbinimu susijusius kursus, apsaugos gavėjams būtų privaloma, kad jiems būtų lengviau integruotis į visuomenę. Tai galima laikyti vertinga priemone, kuria integracijos trumpojo laikotarpio problemos paverčiamos galimybėmis visai visuomenei, tačiau tuo pat metu reikia atkreipti dėmesį į tai, kad šios programos turi būti nemokamos, fiziškai ir kitaip lengvai prieinamos ir jomis visada turi būti atsižvelgiama į apsaugos gavėjo teises ir vertybes. Be to, būtina užtikrinti, nedalyvavimas arba tik dalinis dalyvavimas tokiose programose niekada neturi kelti pavojaus asmens apsaugos statusui, nes tai būtų tiesioginis tarptautin</w:t>
      </w:r>
      <w:r w:rsidR="006A5AFB">
        <w:t>ės pabėgėlių teisės pažeidimas.</w:t>
      </w:r>
    </w:p>
    <w:p w:rsidR="00DB56E4" w:rsidRPr="009A2B78" w:rsidRDefault="007C78BD" w:rsidP="007C78BD">
      <w:pPr>
        <w:pStyle w:val="Normal12"/>
      </w:pPr>
      <w:r w:rsidRPr="009A2B78">
        <w:t>Nuomonės referentas nesutinka su Komisijos pasirinktu baudžiamaisiais veiksmais grindžiamu požiūriu reglamentuojant antrinį judėjimą ir mano, kad galimų paskatų likti apsaugą suteikusioje valstybėje sistema yra tinkamesnė.</w:t>
      </w:r>
    </w:p>
    <w:p w:rsidR="00DB56E4" w:rsidRPr="009A2B78" w:rsidRDefault="001E7100" w:rsidP="00DB56E4">
      <w:pPr>
        <w:pStyle w:val="ConclusionsPA"/>
      </w:pPr>
      <w:r w:rsidRPr="009A2B78">
        <w:lastRenderedPageBreak/>
        <w:t>PAKEITIMAI</w:t>
      </w:r>
    </w:p>
    <w:p w:rsidR="00DB56E4" w:rsidRPr="009A2B78" w:rsidRDefault="00A96054" w:rsidP="00DB56E4">
      <w:pPr>
        <w:pStyle w:val="Normal12Tab"/>
      </w:pPr>
      <w:bookmarkStart w:id="0" w:name="IntroA"/>
      <w:r w:rsidRPr="009A2B78">
        <w:t xml:space="preserve">Užimtumo ir socialinių reikalų komitetas ragina </w:t>
      </w:r>
      <w:bookmarkStart w:id="1" w:name="DocEPTmp"/>
      <w:bookmarkEnd w:id="1"/>
      <w:r w:rsidRPr="009A2B78">
        <w:t>atsakingą Piliečių laisvių, teisingumo ir vidaus reikalų komitetą</w:t>
      </w:r>
      <w:bookmarkStart w:id="2" w:name="DocEPTmp2"/>
      <w:bookmarkEnd w:id="2"/>
      <w:r w:rsidRPr="009A2B78">
        <w:t xml:space="preserve"> atsižvelgti į šiuos pakeitimus:</w:t>
      </w:r>
    </w:p>
    <w:p w:rsidR="00DB56E4" w:rsidRPr="009A2B78" w:rsidRDefault="00DB56E4" w:rsidP="00DB56E4">
      <w:bookmarkStart w:id="3" w:name="EndA"/>
      <w:bookmarkEnd w:id="0"/>
    </w:p>
    <w:p w:rsidR="007C78BD" w:rsidRPr="009A2B78" w:rsidRDefault="007C78BD" w:rsidP="007C78BD">
      <w:pPr>
        <w:pStyle w:val="AMNumberTabs"/>
        <w:keepNext/>
      </w:pPr>
      <w:bookmarkStart w:id="4" w:name="IntroB"/>
      <w:bookmarkEnd w:id="3"/>
      <w:r w:rsidRPr="009A2B78">
        <w:rPr>
          <w:rStyle w:val="HideTWBExt"/>
          <w:b w:val="0"/>
          <w:noProof w:val="0"/>
        </w:rPr>
        <w:t>&lt;RepeatBlock-Amend</w:t>
      </w:r>
      <w:bookmarkStart w:id="5" w:name="EndB"/>
      <w:bookmarkEnd w:id="4"/>
      <w:r w:rsidRPr="009A2B78">
        <w:rPr>
          <w:rStyle w:val="HideTWBExt"/>
          <w:b w:val="0"/>
          <w:noProof w:val="0"/>
        </w:rPr>
        <w:t>&gt;&lt;Amend&gt;</w:t>
      </w:r>
      <w:r w:rsidRPr="009A2B78">
        <w:t>Pakeitimas</w:t>
      </w:r>
      <w:r w:rsidRPr="009A2B78">
        <w:tab/>
      </w:r>
      <w:r w:rsidRPr="009A2B78">
        <w:tab/>
      </w:r>
      <w:r w:rsidRPr="009A2B78">
        <w:rPr>
          <w:rStyle w:val="HideTWBExt"/>
          <w:b w:val="0"/>
          <w:noProof w:val="0"/>
        </w:rPr>
        <w:t>&lt;NumAm&gt;</w:t>
      </w:r>
      <w:r w:rsidRPr="009A2B78">
        <w:t>1</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1 konstatuojamoji dalis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(1)</w:t>
            </w:r>
            <w:r w:rsidRPr="009A2B78">
              <w:tab/>
              <w:t>turi būti atlikta 2011 m. gruodžio 13 d. Tarybos direktyvos 2011/95/ES dėl trečiųjų šalių piliečių ar asmenų be pilietybės priskyrimo prie tarptautinės apsaugos gavėjų, vienodo statuso pabėgėliams arba papildomą apsaugą galintiems gauti asmenims ir suteikiamos apsaugos pobūdžio reikalavimų</w:t>
            </w:r>
            <w:r w:rsidRPr="009A2B78">
              <w:rPr>
                <w:vertAlign w:val="superscript"/>
              </w:rPr>
              <w:t>31</w:t>
            </w:r>
            <w:r w:rsidRPr="009A2B78">
              <w:t xml:space="preserve"> (naujos redakcijos) esminių pakeitimų. Siekiant suderinti sprendimus dėl prieglobsčio bei tarptautinės apsaugos pobūdžio aspektus ir užtikrinti didesnę jų konvergenciją, kad būtų </w:t>
            </w:r>
            <w:r w:rsidRPr="009A2B78">
              <w:rPr>
                <w:b/>
                <w:i/>
              </w:rPr>
              <w:t>sumažinta paskatų judėti Europos Sąjungoje</w:t>
            </w:r>
            <w:r w:rsidRPr="009A2B78">
              <w:t>, taip pat užtikrinti, kad su tarptautinės apsaugos gavėjais būtų elgiamasi vienodai, tą direktyvą reikėtų panaikinti ir pakeisti reglamentu;</w:t>
            </w:r>
          </w:p>
        </w:tc>
        <w:tc>
          <w:tcPr>
            <w:tcW w:w="4876" w:type="dxa"/>
            <w:hideMark/>
          </w:tcPr>
          <w:p w:rsidR="007C78BD" w:rsidRPr="009A2B78" w:rsidRDefault="007C78BD">
            <w:pPr>
              <w:pStyle w:val="Normal6"/>
              <w:rPr>
                <w:szCs w:val="24"/>
              </w:rPr>
            </w:pPr>
            <w:r w:rsidRPr="009A2B78">
              <w:t>(1)</w:t>
            </w:r>
            <w:r w:rsidRPr="009A2B78">
              <w:tab/>
              <w:t>turi būti atlikta 2011 m. gruodžio 13 d. Tarybos direktyvos 2011/95/ES dėl trečiųjų šalių piliečių ar asmenų be pilietybės priskyrimo prie tarptautinės apsaugos gavėjų, vienodo statuso pabėgėliams arba papildomą apsaugą galintiems gauti asmenims ir suteikiamos apsaugos pobūdžio reikalavimų</w:t>
            </w:r>
            <w:r w:rsidRPr="009A2B78">
              <w:rPr>
                <w:vertAlign w:val="superscript"/>
              </w:rPr>
              <w:t>31</w:t>
            </w:r>
            <w:r w:rsidRPr="009A2B78">
              <w:t xml:space="preserve"> (naujos redakcijos) esminių pakeitimų. Siekiant suderinti sprendimus dėl prieglobsčio bei tarptautinės apsaugos pobūdžio aspektus ir užtikrinti didesnę jų konvergenciją, kad </w:t>
            </w:r>
            <w:r w:rsidRPr="009A2B78">
              <w:rPr>
                <w:b/>
                <w:i/>
              </w:rPr>
              <w:t xml:space="preserve">tarptautinės apsaugos gavėjai </w:t>
            </w:r>
            <w:r w:rsidRPr="009A2B78">
              <w:t xml:space="preserve">būtų </w:t>
            </w:r>
            <w:r w:rsidRPr="009A2B78">
              <w:rPr>
                <w:b/>
                <w:i/>
              </w:rPr>
              <w:t>skatinami likti jiems tokią apsaugą suteikusioje valstybėje narėje</w:t>
            </w:r>
            <w:r w:rsidRPr="009A2B78">
              <w:t>, taip pat užtikrinti, kad su tarptautinės apsaugos gavėjais būtų elgiamasi vienodai, tą direktyvą reikėtų panaikinti ir pakeisti reglamentu;</w:t>
            </w:r>
          </w:p>
        </w:tc>
      </w:tr>
      <w:tr w:rsidR="007C78BD" w:rsidRPr="009A2B78" w:rsidTr="007C78BD">
        <w:trPr>
          <w:jc w:val="center"/>
        </w:trPr>
        <w:tc>
          <w:tcPr>
            <w:tcW w:w="4876" w:type="dxa"/>
            <w:hideMark/>
          </w:tcPr>
          <w:p w:rsidR="007C78BD" w:rsidRPr="009A2B78" w:rsidRDefault="007C78BD">
            <w:pPr>
              <w:pStyle w:val="Normal6"/>
            </w:pPr>
            <w:r w:rsidRPr="009A2B78">
              <w:t>__________________</w:t>
            </w:r>
          </w:p>
        </w:tc>
        <w:tc>
          <w:tcPr>
            <w:tcW w:w="4876" w:type="dxa"/>
            <w:hideMark/>
          </w:tcPr>
          <w:p w:rsidR="007C78BD" w:rsidRPr="009A2B78" w:rsidRDefault="007C78BD">
            <w:pPr>
              <w:pStyle w:val="Normal6"/>
              <w:rPr>
                <w:szCs w:val="24"/>
              </w:rPr>
            </w:pPr>
            <w:r w:rsidRPr="009A2B78">
              <w:t>__________________</w:t>
            </w:r>
          </w:p>
        </w:tc>
      </w:tr>
      <w:tr w:rsidR="007C78BD" w:rsidRPr="009A2B78" w:rsidTr="007C78BD">
        <w:trPr>
          <w:jc w:val="center"/>
        </w:trPr>
        <w:tc>
          <w:tcPr>
            <w:tcW w:w="4876" w:type="dxa"/>
            <w:hideMark/>
          </w:tcPr>
          <w:p w:rsidR="007C78BD" w:rsidRPr="009A2B78" w:rsidRDefault="007C78BD">
            <w:pPr>
              <w:pStyle w:val="Normal6"/>
            </w:pPr>
            <w:r w:rsidRPr="009A2B78">
              <w:rPr>
                <w:vertAlign w:val="superscript"/>
              </w:rPr>
              <w:t>31</w:t>
            </w:r>
            <w:r w:rsidRPr="009A2B78">
              <w:t xml:space="preserve"> OL L 337, 2011 12 20, p. 9.</w:t>
            </w:r>
          </w:p>
        </w:tc>
        <w:tc>
          <w:tcPr>
            <w:tcW w:w="4876" w:type="dxa"/>
            <w:hideMark/>
          </w:tcPr>
          <w:p w:rsidR="007C78BD" w:rsidRPr="009A2B78" w:rsidRDefault="007C78BD">
            <w:pPr>
              <w:pStyle w:val="Normal6"/>
              <w:rPr>
                <w:szCs w:val="24"/>
              </w:rPr>
            </w:pPr>
            <w:r w:rsidRPr="009A2B78">
              <w:rPr>
                <w:vertAlign w:val="superscript"/>
              </w:rPr>
              <w:t>31</w:t>
            </w:r>
            <w:r w:rsidRPr="009A2B78">
              <w:t xml:space="preserve"> OL L 337, 2011 12 20, p. 9.</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2</w:t>
      </w:r>
      <w:r w:rsidRPr="009A2B78">
        <w:rPr>
          <w:rStyle w:val="HideTWBExt"/>
          <w:b w:val="0"/>
          <w:noProof w:val="0"/>
        </w:rPr>
        <w:t>&lt;/NumAm&gt;</w:t>
      </w:r>
    </w:p>
    <w:p w:rsidR="007C78BD" w:rsidRPr="009A2B78" w:rsidRDefault="007C78BD" w:rsidP="007C78BD">
      <w:pPr>
        <w:pStyle w:val="NormalBold12b"/>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6A5AFB">
      <w:pPr>
        <w:pStyle w:val="NormalBold"/>
        <w:keepNext/>
      </w:pPr>
      <w:r w:rsidRPr="009A2B78">
        <w:rPr>
          <w:rStyle w:val="HideTWBExt"/>
          <w:b w:val="0"/>
          <w:noProof w:val="0"/>
        </w:rPr>
        <w:t>&lt;Article&gt;</w:t>
      </w:r>
      <w:r w:rsidRPr="009A2B78">
        <w:t>3 konstatuojamoji dalis</w:t>
      </w:r>
      <w:r w:rsidRPr="009A2B78">
        <w:rPr>
          <w:rStyle w:val="HideTWBExt"/>
          <w:b w:val="0"/>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(3)</w:t>
            </w:r>
            <w:r w:rsidRPr="009A2B78">
              <w:tab/>
              <w:t xml:space="preserve">BEPS grindžiama bendrais prieglobsčio procedūrų, pripažinimo ir Sąjungos lygmeniu suteikiamos apsaugos, priėmimo sąlygų ir sistemos, pagal kurią nustatoma už prieglobsčio prašytojus </w:t>
            </w:r>
            <w:r w:rsidRPr="009A2B78">
              <w:lastRenderedPageBreak/>
              <w:t xml:space="preserve">atsakinga valstybė narė, standartais. Nors iki šiol laipsniškai plėtojant BEPS padaryta pažanga, valstybėse narėse taikomų procedūrų tipai, pripažinimo rodikliai, suteikiamos apsaugos pobūdis, materialinių priėmimo sąlygų lygis ir tarptautinės apsaugos prašytojams ir gavėjams skiriamos išmokos vis dar gerokai skiriasi. Šie skirtumai </w:t>
            </w:r>
            <w:r w:rsidRPr="009A2B78">
              <w:rPr>
                <w:b/>
                <w:i/>
              </w:rPr>
              <w:t>yra reikšmingos antrinio judėjimo paskatos ir trukdo užtikrinti, kad su visais prašytojais būtų elgiamasi vienodai</w:t>
            </w:r>
            <w:r w:rsidRPr="009A2B78">
              <w:t xml:space="preserve">, </w:t>
            </w:r>
            <w:r w:rsidRPr="009A2B78">
              <w:rPr>
                <w:b/>
                <w:i/>
              </w:rPr>
              <w:t>kad ir kur Sąjungoje</w:t>
            </w:r>
            <w:r w:rsidRPr="009A2B78">
              <w:t xml:space="preserve"> jie </w:t>
            </w:r>
            <w:r w:rsidRPr="009A2B78">
              <w:rPr>
                <w:b/>
                <w:i/>
              </w:rPr>
              <w:t>pateiktų</w:t>
            </w:r>
            <w:r w:rsidRPr="009A2B78">
              <w:t xml:space="preserve"> prašymą;</w:t>
            </w:r>
          </w:p>
        </w:tc>
        <w:tc>
          <w:tcPr>
            <w:tcW w:w="4876" w:type="dxa"/>
            <w:hideMark/>
          </w:tcPr>
          <w:p w:rsidR="007C78BD" w:rsidRPr="009A2B78" w:rsidRDefault="007C78BD">
            <w:pPr>
              <w:pStyle w:val="Normal6"/>
              <w:rPr>
                <w:szCs w:val="24"/>
              </w:rPr>
            </w:pPr>
            <w:r w:rsidRPr="009A2B78">
              <w:lastRenderedPageBreak/>
              <w:t>(3)</w:t>
            </w:r>
            <w:r w:rsidRPr="009A2B78">
              <w:tab/>
              <w:t xml:space="preserve">BEPS grindžiama bendrais prieglobsčio procedūrų, pripažinimo ir Sąjungos lygmeniu suteikiamos apsaugos, priėmimo sąlygų ir sistemos, pagal kurią nustatoma už prieglobsčio prašytojus </w:t>
            </w:r>
            <w:r w:rsidRPr="009A2B78">
              <w:lastRenderedPageBreak/>
              <w:t xml:space="preserve">atsakinga valstybė narė, standartais. Nors iki šiol laipsniškai plėtojant BEPS padaryta pažanga, valstybėse narėse taikomų procedūrų tipai, pripažinimo rodikliai, suteikiamos apsaugos pobūdis, materialinių priėmimo sąlygų lygis ir tarptautinės apsaugos prašytojams ir gavėjams skiriamos išmokos vis dar gerokai skiriasi. Šie skirtumai </w:t>
            </w:r>
            <w:r w:rsidRPr="009A2B78">
              <w:rPr>
                <w:b/>
                <w:i/>
              </w:rPr>
              <w:t>ir labai skirtinga makroekonominė bei darbo rinkų padėtis valstybėse narėse trukdo siekti standartizuotų priėmimo sąlygų visiems prašytojams</w:t>
            </w:r>
            <w:r w:rsidRPr="009A2B78">
              <w:t xml:space="preserve">, </w:t>
            </w:r>
            <w:r w:rsidRPr="009A2B78">
              <w:rPr>
                <w:b/>
                <w:i/>
              </w:rPr>
              <w:t>nesvarbu kurioje Sąjungos vietoje</w:t>
            </w:r>
            <w:r w:rsidRPr="009A2B78">
              <w:t xml:space="preserve"> jie </w:t>
            </w:r>
            <w:r w:rsidRPr="009A2B78">
              <w:rPr>
                <w:b/>
                <w:i/>
              </w:rPr>
              <w:t>pateikia</w:t>
            </w:r>
            <w:r w:rsidRPr="009A2B78">
              <w:t xml:space="preserve"> prašymą</w:t>
            </w:r>
            <w:r w:rsidRPr="009A2B78">
              <w:rPr>
                <w:b/>
                <w:i/>
              </w:rPr>
              <w:t>, tikslo</w:t>
            </w:r>
            <w:r w:rsidRPr="009A2B78">
              <w:t>;</w:t>
            </w:r>
          </w:p>
        </w:tc>
      </w:tr>
    </w:tbl>
    <w:p w:rsidR="007C78BD" w:rsidRPr="009A2B78" w:rsidRDefault="007C78BD" w:rsidP="007C78BD">
      <w:r w:rsidRPr="009A2B78">
        <w:rPr>
          <w:rStyle w:val="HideTWBExt"/>
          <w:noProof w:val="0"/>
        </w:rPr>
        <w:lastRenderedPageBreak/>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3</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5 konstatuojamoji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(5)</w:t>
            </w:r>
            <w:r w:rsidRPr="009A2B78">
              <w:tab/>
              <w:t xml:space="preserve">kad BEPS, taip pat Dublino sistema gerai veiktų, reikėtų padaryti nemažą pažangą užtikrinant nacionalinių prieglobsčio sistemų konvergenciją, </w:t>
            </w:r>
            <w:r w:rsidRPr="009A2B78">
              <w:rPr>
                <w:b/>
                <w:i/>
              </w:rPr>
              <w:t>ir ypač daug dėmesio skirti skirtingiems</w:t>
            </w:r>
            <w:r w:rsidRPr="009A2B78">
              <w:t xml:space="preserve"> pripažinimo </w:t>
            </w:r>
            <w:r w:rsidRPr="009A2B78">
              <w:rPr>
                <w:b/>
                <w:i/>
              </w:rPr>
              <w:t>rodikliams</w:t>
            </w:r>
            <w:r w:rsidRPr="009A2B78">
              <w:t xml:space="preserve"> ir valstybėse narėse suteikiamo apsaugos statuso </w:t>
            </w:r>
            <w:r w:rsidRPr="009A2B78">
              <w:rPr>
                <w:b/>
                <w:i/>
              </w:rPr>
              <w:t>tipams</w:t>
            </w:r>
            <w:r w:rsidRPr="009A2B78">
              <w:t>. Be to, siekiant užtikrinti, kad apsauga būtų suteikiama tik tiems, kuriems jos reikia, ir tol, kol ji būtina, reikėtų sugriežtinti statuso peržiūros taisykles. Taip pat reikėtų vengti taikyti skirtingą leidimų gyventi šalyje galiojimo trukmės nustatymo tvarką, o tarptautinės apsaugos gavėjams suteikiamos teisės turėtų būti dar aiškiau apibrėžtos ir suvienodintos;</w:t>
            </w:r>
          </w:p>
        </w:tc>
        <w:tc>
          <w:tcPr>
            <w:tcW w:w="4876" w:type="dxa"/>
            <w:hideMark/>
          </w:tcPr>
          <w:p w:rsidR="007C78BD" w:rsidRPr="009A2B78" w:rsidRDefault="007C78BD">
            <w:pPr>
              <w:pStyle w:val="Normal6"/>
            </w:pPr>
            <w:r w:rsidRPr="009A2B78">
              <w:t>(5)</w:t>
            </w:r>
            <w:r w:rsidRPr="009A2B78">
              <w:tab/>
              <w:t xml:space="preserve">kad BEPS, taip pat Dublino sistema gerai veiktų, reikėtų padaryti nemažą pažangą užtikrinant nacionalinių prieglobsčio sistemų konvergenciją, </w:t>
            </w:r>
            <w:r w:rsidRPr="009A2B78">
              <w:rPr>
                <w:b/>
                <w:i/>
              </w:rPr>
              <w:t>visų pirma kalbant apie skirtingus</w:t>
            </w:r>
            <w:r w:rsidRPr="009A2B78">
              <w:t xml:space="preserve"> pripažinimo </w:t>
            </w:r>
            <w:r w:rsidRPr="009A2B78">
              <w:rPr>
                <w:b/>
                <w:i/>
              </w:rPr>
              <w:t>rodiklius</w:t>
            </w:r>
            <w:r w:rsidRPr="009A2B78">
              <w:t xml:space="preserve"> ir valstybėse narėse suteikiamo apsaugos statuso </w:t>
            </w:r>
            <w:r w:rsidRPr="009A2B78">
              <w:rPr>
                <w:b/>
                <w:i/>
              </w:rPr>
              <w:t>tipus</w:t>
            </w:r>
            <w:r w:rsidRPr="009A2B78">
              <w:t>. Be to, siekiant užtikrinti, kad apsauga būtų suteikiama tik tiems, kuriems jos reikia, ir tol, kol ji būtina, reikėtų sugriežtinti statuso peržiūros taisykles. Taip pat reikėtų vengti taikyti skirtingą leidimų gyventi šalyje galiojimo trukmės nustatymo tvarką, o tarptautinės apsaugos gavėjams suteikiamos teisės turėtų būti dar aiškiau apibrėžtos ir suvienodintos;</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4</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6 konstatuojamoji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(6)</w:t>
            </w:r>
            <w:r w:rsidRPr="009A2B78">
              <w:tab/>
              <w:t xml:space="preserve">todėl, siekiant visoje Sąjungoje </w:t>
            </w:r>
            <w:r w:rsidRPr="009A2B78">
              <w:lastRenderedPageBreak/>
              <w:t>užtikrinti vienodesnį suderinimo lygį ir suteikti daugiau teisinio tikrumo ir skaidrumo, būtinas reglamentas;</w:t>
            </w:r>
          </w:p>
        </w:tc>
        <w:tc>
          <w:tcPr>
            <w:tcW w:w="4876" w:type="dxa"/>
            <w:hideMark/>
          </w:tcPr>
          <w:p w:rsidR="007C78BD" w:rsidRPr="009A2B78" w:rsidRDefault="007C78BD">
            <w:pPr>
              <w:pStyle w:val="Normal6"/>
            </w:pPr>
            <w:r w:rsidRPr="009A2B78">
              <w:lastRenderedPageBreak/>
              <w:t>(6)</w:t>
            </w:r>
            <w:r w:rsidRPr="009A2B78">
              <w:tab/>
              <w:t xml:space="preserve">todėl, siekiant visoje Sąjungoje </w:t>
            </w:r>
            <w:r w:rsidRPr="009A2B78">
              <w:lastRenderedPageBreak/>
              <w:t xml:space="preserve">užtikrinti </w:t>
            </w:r>
            <w:r w:rsidRPr="009A2B78">
              <w:rPr>
                <w:b/>
                <w:i/>
              </w:rPr>
              <w:t xml:space="preserve">greitesnį ir </w:t>
            </w:r>
            <w:r w:rsidRPr="009A2B78">
              <w:t>vienodesnį suderinimo lygį ir suteikti daugiau teisinio tikrumo ir skaidrumo, būtinas reglamentas;</w:t>
            </w:r>
          </w:p>
        </w:tc>
      </w:tr>
    </w:tbl>
    <w:p w:rsidR="007C78BD" w:rsidRPr="009A2B78" w:rsidRDefault="007C78BD" w:rsidP="007C78BD">
      <w:r w:rsidRPr="009A2B78">
        <w:rPr>
          <w:rStyle w:val="HideTWBExt"/>
          <w:noProof w:val="0"/>
        </w:rPr>
        <w:lastRenderedPageBreak/>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5</w:t>
      </w:r>
      <w:r w:rsidRPr="009A2B78">
        <w:rPr>
          <w:rStyle w:val="HideTWBExt"/>
          <w:b w:val="0"/>
          <w:noProof w:val="0"/>
        </w:rPr>
        <w:t>&lt;/NumAm&gt;</w:t>
      </w:r>
    </w:p>
    <w:p w:rsidR="007C78BD" w:rsidRPr="009A2B78" w:rsidRDefault="007C78BD" w:rsidP="007C78BD">
      <w:pPr>
        <w:pStyle w:val="NormalBold12b"/>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6A5AFB">
      <w:pPr>
        <w:pStyle w:val="NormalBold"/>
        <w:keepNext/>
      </w:pPr>
      <w:r w:rsidRPr="009A2B78">
        <w:rPr>
          <w:rStyle w:val="HideTWBExt"/>
          <w:b w:val="0"/>
          <w:noProof w:val="0"/>
        </w:rPr>
        <w:t>&lt;Article&gt;</w:t>
      </w:r>
      <w:r w:rsidRPr="009A2B78">
        <w:t>8 konstatuojamoji dalis</w:t>
      </w:r>
      <w:r w:rsidRPr="009A2B78">
        <w:rPr>
          <w:rStyle w:val="HideTWBExt"/>
          <w:b w:val="0"/>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(8)</w:t>
            </w:r>
            <w:r w:rsidRPr="009A2B78">
              <w:tab/>
              <w:t xml:space="preserve">dar labiau suvienodinus pripažinimo ir su pabėgėlio bei papildomos apsaugos statusų pobūdžiu susijusias taisykles, taip </w:t>
            </w:r>
            <w:r w:rsidRPr="009A2B78">
              <w:rPr>
                <w:b/>
                <w:i/>
              </w:rPr>
              <w:t xml:space="preserve">pat </w:t>
            </w:r>
            <w:r w:rsidRPr="009A2B78">
              <w:t>turėtų būti labiau apribotas tarptautinės apsaugos prašytojų ir gavėjų antrinis judėjimas tarp valstybių narių</w:t>
            </w:r>
            <w:r w:rsidRPr="009A2B78">
              <w:rPr>
                <w:b/>
                <w:i/>
              </w:rPr>
              <w:t>, galbūt kylantis dėl to, kad skiriasi nacionalinės teisinės priemonės, kurių imtasi Priskyrimo prie tarptautinės</w:t>
            </w:r>
            <w:r w:rsidRPr="009A2B78">
              <w:t xml:space="preserve"> apsaugos </w:t>
            </w:r>
            <w:r w:rsidRPr="009A2B78">
              <w:rPr>
                <w:b/>
                <w:i/>
              </w:rPr>
              <w:t>gavėjų direktyvai (kuri pakeičiama šiuo reglamentu) perkelti į nacionalinę teisę</w:t>
            </w:r>
            <w:r w:rsidRPr="009A2B78">
              <w:t>;</w:t>
            </w:r>
          </w:p>
        </w:tc>
        <w:tc>
          <w:tcPr>
            <w:tcW w:w="4876" w:type="dxa"/>
            <w:hideMark/>
          </w:tcPr>
          <w:p w:rsidR="007C78BD" w:rsidRPr="009A2B78" w:rsidRDefault="007C78BD">
            <w:pPr>
              <w:pStyle w:val="Normal6"/>
              <w:rPr>
                <w:szCs w:val="24"/>
              </w:rPr>
            </w:pPr>
            <w:r w:rsidRPr="009A2B78">
              <w:t>(8)</w:t>
            </w:r>
            <w:r w:rsidRPr="009A2B78">
              <w:tab/>
              <w:t xml:space="preserve">dar labiau suvienodinus pripažinimo ir su pabėgėlio bei papildomos apsaugos </w:t>
            </w:r>
            <w:bookmarkStart w:id="6" w:name="_GoBack"/>
            <w:r w:rsidRPr="009A2B78">
              <w:t>s</w:t>
            </w:r>
            <w:bookmarkEnd w:id="6"/>
            <w:r w:rsidRPr="009A2B78">
              <w:t>tatusų pobūdžiu susijusias taisykles, taip turėtų būti labiau apribotas tarptautinės apsaugos prašytojų ir gavėjų antrinis judėjimas tarp valstybių narių</w:t>
            </w:r>
            <w:r w:rsidRPr="009A2B78">
              <w:rPr>
                <w:b/>
                <w:i/>
              </w:rPr>
              <w:t xml:space="preserve"> ir užtikrintas aukštų</w:t>
            </w:r>
            <w:r w:rsidRPr="009A2B78">
              <w:t xml:space="preserve"> apsaugos </w:t>
            </w:r>
            <w:r w:rsidRPr="009A2B78">
              <w:rPr>
                <w:b/>
                <w:i/>
              </w:rPr>
              <w:t>standartų laikymasis visoje Sąjungoje</w:t>
            </w:r>
            <w:r w:rsidRPr="009A2B78">
              <w:t>;</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6</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10 konstatuojamoji dalis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(10)</w:t>
            </w:r>
            <w:r w:rsidRPr="009A2B78">
              <w:tab/>
              <w:t>kandidatams, kuriuos nuspręsta perkelti į ES, reikėtų suteikti tarptautinę apsaugą. Taigi jiems turėtų būti taikomos šio reglamento nuostatos dėl tarptautinės apsaugos pobūdžio</w:t>
            </w:r>
            <w:r w:rsidRPr="009A2B78">
              <w:rPr>
                <w:b/>
                <w:i/>
              </w:rPr>
              <w:t>, įskaitant taisykles, skirtas atgrasyti nuo antrinio judėjimo</w:t>
            </w:r>
            <w:r w:rsidRPr="009A2B78">
              <w:t>;</w:t>
            </w:r>
          </w:p>
        </w:tc>
        <w:tc>
          <w:tcPr>
            <w:tcW w:w="4876" w:type="dxa"/>
            <w:hideMark/>
          </w:tcPr>
          <w:p w:rsidR="007C78BD" w:rsidRPr="009A2B78" w:rsidRDefault="007C78BD">
            <w:pPr>
              <w:pStyle w:val="Normal6"/>
              <w:rPr>
                <w:szCs w:val="24"/>
              </w:rPr>
            </w:pPr>
            <w:r w:rsidRPr="009A2B78">
              <w:t>(10)</w:t>
            </w:r>
            <w:r w:rsidRPr="009A2B78">
              <w:tab/>
              <w:t>kandidatams, kuriuos nuspręsta perkelti į ES, reikėtų suteikti tarptautinę apsaugą. Taigi jiems turėtų būti taikomos šio reglamento nuostatos dėl tarptautinės apsaugos pobūdžio;</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7</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11 konstatuojamoji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(11)</w:t>
            </w:r>
            <w:r w:rsidRPr="009A2B78">
              <w:tab/>
              <w:t xml:space="preserve">šiame reglamente paisoma </w:t>
            </w:r>
            <w:r w:rsidRPr="009A2B78">
              <w:lastRenderedPageBreak/>
              <w:t xml:space="preserve">pagrindinių teisių ir laikomasi principų, pripažįstamų </w:t>
            </w:r>
            <w:r w:rsidRPr="009A2B78">
              <w:rPr>
                <w:b/>
                <w:i/>
              </w:rPr>
              <w:t xml:space="preserve">visų pirma </w:t>
            </w:r>
            <w:r w:rsidRPr="009A2B78">
              <w:t>Europos Sąjungos pagrindinių teisių chartijoje (toliau</w:t>
            </w:r>
            <w:r w:rsidRPr="009A2B78">
              <w:rPr>
                <w:b/>
                <w:i/>
              </w:rPr>
              <w:t xml:space="preserve"> </w:t>
            </w:r>
            <w:r w:rsidRPr="009A2B78">
              <w:t xml:space="preserve">– Chartija). Visų pirma šiuo reglamentu siekiama užtikrinti visišką pagarbą žmogaus orumui ir prieglobsčio prašytojų bei juos lydinčių šeimos narių teisę į prieglobstį, taip pat sudaryti sąlygas taikyti Chartijos straipsnius, susijusius su žmogaus orumu, teise į privatų ir šeimos gyvenimą, saviraiškos ir informacijos laisve, teise į mokslą, laisve pasirinkti profesiją ir teise dirbti, laisve užsiimti verslu, teise į prieglobstį, nediskriminavimu, vaiko teisėmis, </w:t>
            </w:r>
            <w:r w:rsidRPr="009A2B78">
              <w:rPr>
                <w:b/>
                <w:i/>
              </w:rPr>
              <w:t>socialine apsauga</w:t>
            </w:r>
            <w:r w:rsidRPr="009A2B78">
              <w:t xml:space="preserve"> bei </w:t>
            </w:r>
            <w:r w:rsidRPr="009A2B78">
              <w:rPr>
                <w:b/>
                <w:i/>
              </w:rPr>
              <w:t>socialine parama</w:t>
            </w:r>
            <w:r w:rsidRPr="009A2B78">
              <w:t xml:space="preserve"> ir sveikatos priežiūra, taigi jis turėtų būti atitinkamai įgyvendinamas;</w:t>
            </w:r>
          </w:p>
        </w:tc>
        <w:tc>
          <w:tcPr>
            <w:tcW w:w="4876" w:type="dxa"/>
            <w:hideMark/>
          </w:tcPr>
          <w:p w:rsidR="007C78BD" w:rsidRPr="009A2B78" w:rsidRDefault="007C78BD">
            <w:pPr>
              <w:pStyle w:val="Normal6"/>
            </w:pPr>
            <w:r w:rsidRPr="009A2B78">
              <w:lastRenderedPageBreak/>
              <w:t>(11)</w:t>
            </w:r>
            <w:r w:rsidRPr="009A2B78">
              <w:tab/>
              <w:t xml:space="preserve">šiame reglamente paisoma </w:t>
            </w:r>
            <w:r w:rsidRPr="009A2B78">
              <w:lastRenderedPageBreak/>
              <w:t>pagrindinių teisių ir laikomasi principų, pripažįstamų Europos Sąjungos pagrindinių teisių chartijoje (toliau</w:t>
            </w:r>
            <w:r w:rsidRPr="009A2B78">
              <w:rPr>
                <w:b/>
                <w:i/>
              </w:rPr>
              <w:t> </w:t>
            </w:r>
            <w:r w:rsidRPr="009A2B78">
              <w:t>– Chartija)</w:t>
            </w:r>
            <w:r w:rsidRPr="009A2B78">
              <w:rPr>
                <w:b/>
                <w:i/>
              </w:rPr>
              <w:t>, 1950 m. Žmogaus teisių ir pagrindinių laisvių apsaugos konvencijoje, 1961 m. Europos socialinėje chartijoje, 1948 m. Visuotinėje žmogaus teisių deklaracijoje ir 1951 m. Ženevos konvencijoje ir jos 1967 m. protokole</w:t>
            </w:r>
            <w:r w:rsidRPr="009A2B78">
              <w:t xml:space="preserve">. Visų pirma šiuo reglamentu siekiama užtikrinti visišką pagarbą žmogaus orumui ir prieglobsčio prašytojų bei juos lydinčių šeimos narių teisę į prieglobstį, taip pat sudaryti sąlygas taikyti Chartijos straipsnius, susijusius su žmogaus orumu, teise į privatų ir šeimos gyvenimą, saviraiškos ir informacijos laisve, teise į mokslą, laisve pasirinkti profesiją ir teise dirbti, laisve užsiimti verslu, teise į prieglobstį, nediskriminavimu, vaiko teisėmis, </w:t>
            </w:r>
            <w:r w:rsidRPr="009A2B78">
              <w:rPr>
                <w:b/>
                <w:i/>
              </w:rPr>
              <w:t>naudojimusi socialinėmis teisėmis, įskaitant socialinę apsaugą</w:t>
            </w:r>
            <w:r w:rsidRPr="009A2B78">
              <w:t xml:space="preserve"> bei </w:t>
            </w:r>
            <w:r w:rsidRPr="009A2B78">
              <w:rPr>
                <w:b/>
                <w:i/>
              </w:rPr>
              <w:t>socialinę paramą,</w:t>
            </w:r>
            <w:r w:rsidRPr="009A2B78">
              <w:t xml:space="preserve"> ir sveikatos priežiūra, taigi jis turėtų būti atitinkamai įgyvendinamas;</w:t>
            </w:r>
          </w:p>
        </w:tc>
      </w:tr>
    </w:tbl>
    <w:p w:rsidR="007C78BD" w:rsidRPr="009A2B78" w:rsidRDefault="007C78BD" w:rsidP="007C78BD">
      <w:r w:rsidRPr="009A2B78">
        <w:rPr>
          <w:rStyle w:val="HideTWBExt"/>
          <w:noProof w:val="0"/>
        </w:rPr>
        <w:lastRenderedPageBreak/>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8</w:t>
      </w:r>
      <w:r w:rsidRPr="009A2B78">
        <w:rPr>
          <w:rStyle w:val="HideTWBExt"/>
          <w:b w:val="0"/>
          <w:noProof w:val="0"/>
        </w:rPr>
        <w:t>&lt;/NumAm&gt;</w:t>
      </w:r>
    </w:p>
    <w:p w:rsidR="007C78BD" w:rsidRPr="009A2B78" w:rsidRDefault="007C78BD" w:rsidP="007C78BD">
      <w:pPr>
        <w:pStyle w:val="NormalBold12b"/>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6A5AFB">
      <w:pPr>
        <w:pStyle w:val="NormalBold"/>
        <w:keepNext/>
      </w:pPr>
      <w:r w:rsidRPr="009A2B78">
        <w:rPr>
          <w:rStyle w:val="HideTWBExt"/>
          <w:b w:val="0"/>
          <w:noProof w:val="0"/>
        </w:rPr>
        <w:t>&lt;Article&gt;</w:t>
      </w:r>
      <w:r w:rsidRPr="009A2B78">
        <w:t>13 konstatuojamoji dalis</w:t>
      </w:r>
      <w:r w:rsidRPr="009A2B78">
        <w:rPr>
          <w:rStyle w:val="HideTWBExt"/>
          <w:b w:val="0"/>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(13)</w:t>
            </w:r>
            <w:r w:rsidRPr="009A2B78">
              <w:tab/>
              <w:t xml:space="preserve">kad būtų tinkamai remiamos valstybių narių pastangos įgyvendinti reglamentu nustatytus standartus, visų pirma </w:t>
            </w:r>
            <w:r w:rsidRPr="009A2B78">
              <w:rPr>
                <w:b/>
                <w:i/>
              </w:rPr>
              <w:t>parama teikiama</w:t>
            </w:r>
            <w:r w:rsidRPr="009A2B78">
              <w:t xml:space="preserve"> toms valstybėms narėms, </w:t>
            </w:r>
            <w:r w:rsidRPr="009A2B78">
              <w:rPr>
                <w:b/>
                <w:i/>
              </w:rPr>
              <w:t xml:space="preserve">kurių prieglobsčio sistemoms </w:t>
            </w:r>
            <w:r w:rsidRPr="009A2B78">
              <w:t>– ypač dėl jų geografinės arba demografinės padėties</w:t>
            </w:r>
            <w:r w:rsidRPr="009A2B78">
              <w:rPr>
                <w:b/>
                <w:i/>
              </w:rPr>
              <w:t xml:space="preserve"> – tenka ypatingas ir neproporcingas krūvis</w:t>
            </w:r>
            <w:r w:rsidRPr="009A2B78">
              <w:t xml:space="preserve">, turėtų būti naudojami Prieglobsčio, migracijos ir </w:t>
            </w:r>
            <w:r w:rsidRPr="009A2B78">
              <w:rPr>
                <w:b/>
                <w:i/>
              </w:rPr>
              <w:t>pabėgėlių</w:t>
            </w:r>
            <w:r w:rsidRPr="009A2B78">
              <w:t xml:space="preserve"> fondo ištekliai;</w:t>
            </w:r>
          </w:p>
        </w:tc>
        <w:tc>
          <w:tcPr>
            <w:tcW w:w="4876" w:type="dxa"/>
            <w:hideMark/>
          </w:tcPr>
          <w:p w:rsidR="007C78BD" w:rsidRPr="009A2B78" w:rsidRDefault="007C78BD">
            <w:pPr>
              <w:pStyle w:val="Normal6"/>
              <w:rPr>
                <w:b/>
                <w:i/>
              </w:rPr>
            </w:pPr>
            <w:r w:rsidRPr="009A2B78">
              <w:t>(13)</w:t>
            </w:r>
            <w:r w:rsidRPr="009A2B78">
              <w:tab/>
              <w:t xml:space="preserve">kad būtų tinkamai remiamos valstybių narių pastangos įgyvendinti reglamentu nustatytus standartus, visų pirma </w:t>
            </w:r>
            <w:r w:rsidRPr="009A2B78">
              <w:rPr>
                <w:b/>
                <w:i/>
              </w:rPr>
              <w:t>susijusius su tvarios tarptautinės apsaugos gavėjų integracijos skatinimu ir paramos teikimu</w:t>
            </w:r>
            <w:r w:rsidRPr="009A2B78">
              <w:t xml:space="preserve"> toms valstybėms narėms, </w:t>
            </w:r>
            <w:r w:rsidRPr="009A2B78">
              <w:rPr>
                <w:b/>
                <w:i/>
              </w:rPr>
              <w:t>kurios susiduria su sunkumais </w:t>
            </w:r>
            <w:r w:rsidRPr="009A2B78">
              <w:t xml:space="preserve">– ypač dėl jų </w:t>
            </w:r>
            <w:r w:rsidRPr="009A2B78">
              <w:rPr>
                <w:b/>
                <w:i/>
              </w:rPr>
              <w:t xml:space="preserve">socialinės, </w:t>
            </w:r>
            <w:r w:rsidRPr="009A2B78">
              <w:t>geografinės arba demografinės padėties</w:t>
            </w:r>
            <w:r w:rsidRPr="009A2B78">
              <w:rPr>
                <w:b/>
                <w:i/>
              </w:rPr>
              <w:t>, susijusius su jų prieglobsčio sistemomis</w:t>
            </w:r>
            <w:r w:rsidRPr="009A2B78">
              <w:t xml:space="preserve">, turėtų būti naudojami Prieglobsčio, migracijos ir </w:t>
            </w:r>
            <w:r w:rsidRPr="009A2B78">
              <w:rPr>
                <w:b/>
                <w:i/>
              </w:rPr>
              <w:t>integracijos</w:t>
            </w:r>
            <w:r w:rsidRPr="009A2B78">
              <w:t xml:space="preserve"> fondo ištekliai</w:t>
            </w:r>
            <w:r w:rsidRPr="009A2B78">
              <w:rPr>
                <w:b/>
                <w:i/>
              </w:rPr>
              <w:t>.</w:t>
            </w:r>
            <w:r w:rsidRPr="009A2B78">
              <w:t xml:space="preserve"> </w:t>
            </w:r>
            <w:r w:rsidRPr="009A2B78">
              <w:rPr>
                <w:b/>
                <w:i/>
              </w:rPr>
              <w:t xml:space="preserve">Tam vietos ir regionų valdžios institucijoms, taip pat tarptautinėms ir pilietinės visuomenės organizacijoms turėtų būti teikiamas </w:t>
            </w:r>
            <w:r w:rsidRPr="009A2B78">
              <w:rPr>
                <w:b/>
                <w:i/>
              </w:rPr>
              <w:lastRenderedPageBreak/>
              <w:t>pakankamas finansavimas, įskaitant galimybę vietos ir regionų valdžios institucijoms tiesiogiai ir veiksmingiau naudotis Prieglobsčio, migracijos ir integracijos fondo bei kitų fondų lėšomis jų kompetencijai tiesiogiai priklausantiems veiksmams finansuoti</w:t>
            </w:r>
            <w:r w:rsidRPr="006A5AFB">
              <w:t>;</w:t>
            </w:r>
          </w:p>
        </w:tc>
      </w:tr>
    </w:tbl>
    <w:p w:rsidR="007C78BD" w:rsidRPr="009A2B78" w:rsidRDefault="007C78BD" w:rsidP="007C78BD">
      <w:r w:rsidRPr="009A2B78">
        <w:rPr>
          <w:rStyle w:val="HideTWBExt"/>
          <w:noProof w:val="0"/>
        </w:rPr>
        <w:lastRenderedPageBreak/>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9</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15 konstatuojamoji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(15)</w:t>
            </w:r>
            <w:r w:rsidRPr="009A2B78">
              <w:tab/>
              <w:t>taikant šį reglamentą, pagal 1989 m. Jungtinių Tautų Vaiko teisių konvenciją svarbiausia turėtų būti vaiko interesai. Vertindamos, kas geriausiai atitinka vaiko interesus, valstybių narių institucijos visų pirma turėtų tinkamai atsižvelgti į šeimos vientisumo principą, nepilnamečio gerovę ir socialinę raidą, saugumo ir apsaugos aspektus ir į nepilnamečio nuomonę pagal jo amžių ir brandą;</w:t>
            </w:r>
          </w:p>
        </w:tc>
        <w:tc>
          <w:tcPr>
            <w:tcW w:w="4876" w:type="dxa"/>
            <w:hideMark/>
          </w:tcPr>
          <w:p w:rsidR="007C78BD" w:rsidRPr="009A2B78" w:rsidRDefault="007C78BD">
            <w:pPr>
              <w:pStyle w:val="Normal6"/>
            </w:pPr>
            <w:r w:rsidRPr="009A2B78">
              <w:t>(15)</w:t>
            </w:r>
            <w:r w:rsidRPr="009A2B78">
              <w:tab/>
              <w:t xml:space="preserve">taikant šį reglamentą, pagal 1989 m. Jungtinių Tautų Vaiko teisių konvenciją svarbiausia turėtų būti vaiko interesai. Vertindamos, kas geriausiai atitinka vaiko interesus, valstybių narių institucijos visų pirma turėtų tinkamai atsižvelgti į šeimos vientisumo principą, nepilnamečio gerovę ir socialinę raidą, </w:t>
            </w:r>
            <w:r w:rsidRPr="009A2B78">
              <w:rPr>
                <w:b/>
                <w:i/>
              </w:rPr>
              <w:t xml:space="preserve">kultūrinę kilmę ir kalbos įgūdžius, </w:t>
            </w:r>
            <w:r w:rsidRPr="009A2B78">
              <w:t>saugumo ir apsaugos aspektus ir į nepilnamečio nuomonę pagal jo amžių ir brandą;</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10</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29 konstatuojamoji dalis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(29)</w:t>
            </w:r>
            <w:r w:rsidRPr="009A2B78">
              <w:tab/>
              <w:t xml:space="preserve">pagal susijusią Europos Sąjungos Teisingumo Teismo praktiką, vertindamos tarptautinės apsaugos prašymus, valstybių narių kompetentingos institucijos turėtų prašytojo patikimumą vertinti tokiais metodais, kad būtų paisoma pagal Chartiją užtikrinamų asmens teisių, visų pirma teisės į pagarbą žmogaus orumui ir teisės į privatų ir šeimos gyvenimą. Visų pirma dėl </w:t>
            </w:r>
            <w:r w:rsidRPr="009A2B78">
              <w:rPr>
                <w:b/>
                <w:i/>
              </w:rPr>
              <w:t>homoseksualumo</w:t>
            </w:r>
            <w:r w:rsidRPr="009A2B78">
              <w:t xml:space="preserve"> konkretaus prašytojo patikimumas neturėtų būti vertinamas remiantis stereotipinėmis pažiūromis į </w:t>
            </w:r>
            <w:r w:rsidRPr="009A2B78">
              <w:rPr>
                <w:b/>
                <w:i/>
              </w:rPr>
              <w:lastRenderedPageBreak/>
              <w:t>homoseksualus</w:t>
            </w:r>
            <w:r w:rsidRPr="009A2B78">
              <w:t xml:space="preserve"> ir prašytojo neturėtų būti išsamiai klausinėjama apie jo lytinį gyvenimą arba atliekami su tuo susiję tyrimai;</w:t>
            </w:r>
          </w:p>
        </w:tc>
        <w:tc>
          <w:tcPr>
            <w:tcW w:w="4876" w:type="dxa"/>
            <w:hideMark/>
          </w:tcPr>
          <w:p w:rsidR="007C78BD" w:rsidRPr="009A2B78" w:rsidRDefault="007C78BD">
            <w:pPr>
              <w:pStyle w:val="Normal6"/>
              <w:rPr>
                <w:szCs w:val="24"/>
              </w:rPr>
            </w:pPr>
            <w:r w:rsidRPr="009A2B78">
              <w:lastRenderedPageBreak/>
              <w:t>(29)</w:t>
            </w:r>
            <w:r w:rsidRPr="009A2B78">
              <w:tab/>
              <w:t xml:space="preserve">pagal susijusią Europos Sąjungos Teisingumo Teismo praktiką, vertindamos tarptautinės apsaugos prašymus, valstybių narių kompetentingos institucijos turėtų prašytojo patikimumą vertinti tokiais metodais, kad būtų paisoma pagal Chartiją užtikrinamų asmens teisių, visų pirma teisės į pagarbą žmogaus orumui ir teisės į privatų ir šeimos gyvenimą. Visų pirma dėl </w:t>
            </w:r>
            <w:r w:rsidRPr="009A2B78">
              <w:rPr>
                <w:b/>
                <w:i/>
              </w:rPr>
              <w:t>seksualinės orientacijos ir lytinės tapatybės</w:t>
            </w:r>
            <w:r w:rsidRPr="009A2B78">
              <w:t xml:space="preserve"> konkretaus prašytojo patikimumas neturėtų būti vertinamas </w:t>
            </w:r>
            <w:r w:rsidRPr="009A2B78">
              <w:lastRenderedPageBreak/>
              <w:t xml:space="preserve">remiantis stereotipinėmis pažiūromis į </w:t>
            </w:r>
            <w:r w:rsidRPr="009A2B78">
              <w:rPr>
                <w:b/>
                <w:i/>
              </w:rPr>
              <w:t>seksualinę orientaciją ir lytinę tapatybę</w:t>
            </w:r>
            <w:r w:rsidRPr="009A2B78">
              <w:t xml:space="preserve"> ir prašytojo neturėtų būti išsamiai klausinėjama apie jo lytinį gyvenimą arba atliekami su tuo susiję tyrimai</w:t>
            </w:r>
            <w:r w:rsidRPr="009A2B78">
              <w:rPr>
                <w:b/>
                <w:i/>
              </w:rPr>
              <w:t>.</w:t>
            </w:r>
            <w:r w:rsidRPr="009A2B78">
              <w:t xml:space="preserve"> </w:t>
            </w:r>
            <w:r w:rsidRPr="009A2B78">
              <w:rPr>
                <w:b/>
                <w:i/>
              </w:rPr>
              <w:t>Be to, kompetentingos nacionalinės institucijos prašytojų teiginių neturėtų laikyti nepatikimais vien dėl to, kad prašytojas, pirmą kartą išdėstydamas išsamią informaciją apie savo persekiojimą, nesirėmė savo seksualine orientacija, lytine tapatybe, lyties raiška ar lytinėmis savybėmis</w:t>
            </w:r>
            <w:r w:rsidRPr="006A5AFB">
              <w:t>;</w:t>
            </w:r>
          </w:p>
        </w:tc>
      </w:tr>
    </w:tbl>
    <w:p w:rsidR="007C78BD" w:rsidRPr="009A2B78" w:rsidRDefault="007C78BD" w:rsidP="007C78BD">
      <w:r w:rsidRPr="009A2B78">
        <w:rPr>
          <w:rStyle w:val="HideTWBExt"/>
          <w:noProof w:val="0"/>
        </w:rPr>
        <w:lastRenderedPageBreak/>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11</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34 konstatuojamoji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(34)</w:t>
            </w:r>
            <w:r w:rsidRPr="009A2B78">
              <w:tab/>
              <w:t>vertinant didelę žalą, dėl kurios prašytojai gali įgyti teisę gauti papildomą apsaugą, neselektyviojo smurto sąvoka pagal susijusią Europos Sąjungos Teisingumo Teismo praktiką turėtų apimti smurtą, kurį žmonės gali patirti, kad ir kokios būtų jų asmeninės aplinkybės;</w:t>
            </w:r>
          </w:p>
        </w:tc>
        <w:tc>
          <w:tcPr>
            <w:tcW w:w="4876" w:type="dxa"/>
            <w:hideMark/>
          </w:tcPr>
          <w:p w:rsidR="007C78BD" w:rsidRPr="009A2B78" w:rsidRDefault="007C78BD">
            <w:pPr>
              <w:pStyle w:val="Normal6"/>
            </w:pPr>
            <w:r w:rsidRPr="009A2B78">
              <w:t>(34)</w:t>
            </w:r>
            <w:r w:rsidRPr="009A2B78">
              <w:tab/>
              <w:t xml:space="preserve">vertinant didelę žalą, dėl kurios prašytojai gali įgyti teisę gauti papildomą apsaugą, neselektyviojo smurto sąvoka pagal susijusią Europos Sąjungos Teisingumo Teismo </w:t>
            </w:r>
            <w:r w:rsidRPr="009A2B78">
              <w:rPr>
                <w:b/>
                <w:i/>
              </w:rPr>
              <w:t xml:space="preserve">ir Europos Žmogaus Teisių Teismo </w:t>
            </w:r>
            <w:r w:rsidRPr="009A2B78">
              <w:t>praktiką turėtų apimti smurtą, kurį žmonės gali patirti, kad ir kokios būtų jų asmeninės aplinkybės</w:t>
            </w:r>
            <w:r w:rsidRPr="009A2B78">
              <w:rPr>
                <w:b/>
                <w:i/>
              </w:rPr>
              <w:t>.</w:t>
            </w:r>
            <w:r w:rsidRPr="009A2B78">
              <w:t xml:space="preserve"> </w:t>
            </w:r>
            <w:r w:rsidRPr="009A2B78">
              <w:rPr>
                <w:b/>
                <w:i/>
              </w:rPr>
              <w:t>Nustatant neselektyviojo smurto buvimą būtų galima atsižvelgti į įvairius veiksnius, pvz., išorinę agresiją, okupaciją, užsienio dominavimą, vidinius konfliktus, šiukščius žmogaus teisių pažeidimus arba įvykius, smarkiai trikdančius viešąją tvarką kilmės šalyje arba jos dalyje</w:t>
            </w:r>
            <w:r w:rsidRPr="006A5AFB">
              <w:t>;</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12</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37 konstatuojamoji dalis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(37)</w:t>
            </w:r>
            <w:r w:rsidRPr="009A2B78">
              <w:tab/>
              <w:t xml:space="preserve">leidimas gyventi šalyje ir kelionės dokumentai, </w:t>
            </w:r>
            <w:r w:rsidRPr="009A2B78">
              <w:rPr>
                <w:b/>
                <w:i/>
              </w:rPr>
              <w:t>kurie</w:t>
            </w:r>
            <w:r w:rsidRPr="009A2B78">
              <w:t xml:space="preserve"> tarptautinės apsaugos </w:t>
            </w:r>
            <w:r w:rsidRPr="009A2B78">
              <w:lastRenderedPageBreak/>
              <w:t xml:space="preserve">gavėjams </w:t>
            </w:r>
            <w:r w:rsidRPr="009A2B78">
              <w:rPr>
                <w:b/>
                <w:i/>
              </w:rPr>
              <w:t xml:space="preserve">pirmą kartą išduoti arba jų galiojimas pratęstas </w:t>
            </w:r>
            <w:r w:rsidRPr="009A2B78">
              <w:t>įsigaliojus šiam reglamentui, turėtų atitikti atitinkamai Reglamente (EB) Nr. 1030/2002 ir Tarybos reglamente (EB) Nr. 2252/2004 nustatytas taisykles;</w:t>
            </w:r>
          </w:p>
        </w:tc>
        <w:tc>
          <w:tcPr>
            <w:tcW w:w="4876" w:type="dxa"/>
            <w:hideMark/>
          </w:tcPr>
          <w:p w:rsidR="007C78BD" w:rsidRPr="009A2B78" w:rsidRDefault="007C78BD">
            <w:pPr>
              <w:pStyle w:val="Normal6"/>
              <w:rPr>
                <w:szCs w:val="24"/>
              </w:rPr>
            </w:pPr>
            <w:r w:rsidRPr="009A2B78">
              <w:lastRenderedPageBreak/>
              <w:t>(37)</w:t>
            </w:r>
            <w:r w:rsidRPr="009A2B78">
              <w:tab/>
              <w:t xml:space="preserve">leidimas gyventi šalyje ir kelionės dokumentai, </w:t>
            </w:r>
            <w:r w:rsidRPr="009A2B78">
              <w:rPr>
                <w:b/>
                <w:i/>
              </w:rPr>
              <w:t>išduoti</w:t>
            </w:r>
            <w:r w:rsidRPr="009A2B78">
              <w:t xml:space="preserve"> tarptautinės apsaugos </w:t>
            </w:r>
            <w:r w:rsidRPr="009A2B78">
              <w:lastRenderedPageBreak/>
              <w:t>gavėjams įsigaliojus šiam reglamentui, turėtų atitikti atitinkamai Reglamente (EB) Nr. 1030/2002 ir Tarybos reglamente (EB) Nr. 2252/2004 nustatytas taisykles;</w:t>
            </w:r>
          </w:p>
        </w:tc>
      </w:tr>
    </w:tbl>
    <w:p w:rsidR="007C78BD" w:rsidRPr="009A2B78" w:rsidRDefault="007C78BD" w:rsidP="007C78BD">
      <w:r w:rsidRPr="009A2B78">
        <w:rPr>
          <w:rStyle w:val="HideTWBExt"/>
          <w:noProof w:val="0"/>
        </w:rPr>
        <w:lastRenderedPageBreak/>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13</w:t>
      </w:r>
      <w:r w:rsidRPr="009A2B78">
        <w:rPr>
          <w:rStyle w:val="HideTWBExt"/>
          <w:b w:val="0"/>
          <w:noProof w:val="0"/>
        </w:rPr>
        <w:t>&lt;/NumAm&gt;</w:t>
      </w:r>
    </w:p>
    <w:p w:rsidR="007C78BD" w:rsidRPr="009A2B78" w:rsidRDefault="007C78BD" w:rsidP="007C78BD">
      <w:pPr>
        <w:pStyle w:val="NormalBold12b"/>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6A5AFB">
      <w:pPr>
        <w:pStyle w:val="NormalBold"/>
        <w:keepNext/>
      </w:pPr>
      <w:r w:rsidRPr="009A2B78">
        <w:rPr>
          <w:rStyle w:val="HideTWBExt"/>
          <w:b w:val="0"/>
          <w:noProof w:val="0"/>
        </w:rPr>
        <w:t>&lt;Article&gt;</w:t>
      </w:r>
      <w:r w:rsidRPr="009A2B78">
        <w:t>39 konstatuojamoji dalis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(39)</w:t>
            </w:r>
            <w:r w:rsidRPr="009A2B78">
              <w:tab/>
              <w:t xml:space="preserve">kad įsitikintų, jog tarptautinės apsaugos gavėjams tokios apsaugos vis dar reikia, sprendžiančiosios institucijos </w:t>
            </w:r>
            <w:r w:rsidRPr="009A2B78">
              <w:rPr>
                <w:b/>
                <w:i/>
              </w:rPr>
              <w:t>turėtų</w:t>
            </w:r>
            <w:r w:rsidRPr="009A2B78">
              <w:t xml:space="preserve"> peržiūrėti suteiktą statusą</w:t>
            </w:r>
            <w:r w:rsidRPr="009A2B78">
              <w:rPr>
                <w:b/>
                <w:i/>
              </w:rPr>
              <w:t>, kai turi būti pratęstas leidimo gyventi šalyje galiojimas: pabėgėliams – pirmą kartą, papildomos apsaugos gavėjams – pirmą ir antrą kartus, taip pat</w:t>
            </w:r>
            <w:r w:rsidRPr="009A2B78">
              <w:t xml:space="preserve"> apsaugos gavėjų kilmės šalyje įvykus susijusiam reikšmingam pokyčiui, nurodomam Agentūros ir naudojantis europiniais kilmės šalių informacijos tinklais pagal Reglamento</w:t>
            </w:r>
            <w:r w:rsidRPr="009A2B78">
              <w:rPr>
                <w:rStyle w:val="Sup"/>
                <w:color w:val="auto"/>
              </w:rPr>
              <w:t>37</w:t>
            </w:r>
            <w:r w:rsidRPr="009A2B78">
              <w:t xml:space="preserve"> 8 ir 10 straipsnius Sąjungos lygmeniu atliktoje padėties kilmės šalyje bendroje analizėje ir pateiktose atitinkamose gairėse;</w:t>
            </w:r>
          </w:p>
        </w:tc>
        <w:tc>
          <w:tcPr>
            <w:tcW w:w="4876" w:type="dxa"/>
            <w:hideMark/>
          </w:tcPr>
          <w:p w:rsidR="007C78BD" w:rsidRPr="009A2B78" w:rsidRDefault="007C78BD">
            <w:pPr>
              <w:pStyle w:val="Normal6"/>
            </w:pPr>
            <w:r w:rsidRPr="009A2B78">
              <w:t>(39)</w:t>
            </w:r>
            <w:r w:rsidRPr="009A2B78">
              <w:tab/>
              <w:t xml:space="preserve">kad įsitikintų, jog tarptautinės apsaugos gavėjams tokios apsaugos vis dar reikia, sprendžiančiosios institucijos </w:t>
            </w:r>
            <w:r w:rsidRPr="009A2B78">
              <w:rPr>
                <w:b/>
                <w:i/>
              </w:rPr>
              <w:t>gali</w:t>
            </w:r>
            <w:r w:rsidRPr="009A2B78">
              <w:t xml:space="preserve"> peržiūrėti suteiktą statusą apsaugos gavėjų kilmės šalyje įvykus susijusiam reikšmingam pokyčiui, nurodomam Agentūros ir naudojantis europiniais kilmės šalių informacijos tinklais pagal Reglamento</w:t>
            </w:r>
            <w:r w:rsidRPr="009A2B78">
              <w:rPr>
                <w:rStyle w:val="Sup"/>
                <w:color w:val="auto"/>
              </w:rPr>
              <w:t>37</w:t>
            </w:r>
            <w:r w:rsidRPr="009A2B78">
              <w:t xml:space="preserve"> 8 ir 10 straipsnius Sąjungos lygmeniu atliktoje padėties kilmės šalyje bendroje analizėje ir pateiktose atitinkamose gairėse;</w:t>
            </w:r>
          </w:p>
        </w:tc>
      </w:tr>
      <w:tr w:rsidR="007C78BD" w:rsidRPr="009A2B78" w:rsidTr="007C78BD">
        <w:trPr>
          <w:jc w:val="center"/>
        </w:trPr>
        <w:tc>
          <w:tcPr>
            <w:tcW w:w="4876" w:type="dxa"/>
            <w:hideMark/>
          </w:tcPr>
          <w:p w:rsidR="007C78BD" w:rsidRPr="009A2B78" w:rsidRDefault="007C78BD">
            <w:pPr>
              <w:pStyle w:val="Normal6"/>
            </w:pPr>
            <w:r w:rsidRPr="009A2B78">
              <w:t>_________________</w:t>
            </w:r>
          </w:p>
        </w:tc>
        <w:tc>
          <w:tcPr>
            <w:tcW w:w="4876" w:type="dxa"/>
            <w:hideMark/>
          </w:tcPr>
          <w:p w:rsidR="007C78BD" w:rsidRPr="009A2B78" w:rsidRDefault="007C78BD">
            <w:pPr>
              <w:pStyle w:val="Normal6"/>
            </w:pPr>
            <w:r w:rsidRPr="009A2B78">
              <w:t>_________________</w:t>
            </w:r>
          </w:p>
        </w:tc>
      </w:tr>
      <w:tr w:rsidR="007C78BD" w:rsidRPr="009A2B78" w:rsidTr="007C78BD">
        <w:trPr>
          <w:jc w:val="center"/>
        </w:trPr>
        <w:tc>
          <w:tcPr>
            <w:tcW w:w="4876" w:type="dxa"/>
            <w:hideMark/>
          </w:tcPr>
          <w:p w:rsidR="007C78BD" w:rsidRPr="009A2B78" w:rsidRDefault="007C78BD">
            <w:pPr>
              <w:pStyle w:val="Normal6"/>
            </w:pPr>
            <w:r w:rsidRPr="009A2B78">
              <w:rPr>
                <w:rStyle w:val="Sup"/>
                <w:color w:val="auto"/>
              </w:rPr>
              <w:t>37</w:t>
            </w:r>
            <w:r w:rsidRPr="009A2B78">
              <w:t xml:space="preserve"> COM(2016)</w:t>
            </w:r>
            <w:r w:rsidR="006A5AFB">
              <w:t> </w:t>
            </w:r>
            <w:r w:rsidRPr="009A2B78">
              <w:t xml:space="preserve">271 </w:t>
            </w:r>
            <w:r w:rsidRPr="006A5AFB">
              <w:rPr>
                <w:i/>
              </w:rPr>
              <w:t>final</w:t>
            </w:r>
            <w:r w:rsidRPr="009A2B78">
              <w:t>.</w:t>
            </w:r>
          </w:p>
        </w:tc>
        <w:tc>
          <w:tcPr>
            <w:tcW w:w="4876" w:type="dxa"/>
            <w:hideMark/>
          </w:tcPr>
          <w:p w:rsidR="007C78BD" w:rsidRPr="009A2B78" w:rsidRDefault="007C78BD">
            <w:pPr>
              <w:pStyle w:val="Normal6"/>
            </w:pPr>
            <w:r w:rsidRPr="009A2B78">
              <w:rPr>
                <w:rStyle w:val="Sup"/>
                <w:color w:val="auto"/>
              </w:rPr>
              <w:t>37</w:t>
            </w:r>
            <w:r w:rsidRPr="009A2B78">
              <w:t xml:space="preserve"> COM(2016)</w:t>
            </w:r>
            <w:r w:rsidR="006A5AFB">
              <w:t> </w:t>
            </w:r>
            <w:r w:rsidRPr="009A2B78">
              <w:t xml:space="preserve">271 </w:t>
            </w:r>
            <w:r w:rsidRPr="006A5AFB">
              <w:rPr>
                <w:i/>
              </w:rPr>
              <w:t>final</w:t>
            </w:r>
            <w:r w:rsidRPr="009A2B78">
              <w:t>.</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14</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41 konstatuojamoji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(41)</w:t>
            </w:r>
            <w:r w:rsidRPr="009A2B78">
              <w:tab/>
              <w:t xml:space="preserve">praradus pabėgėlio arba papildomos apsaugos statusą, sprendimo, kuriuo valstybės narės sprendžiančioji institucija panaikina statusą arba nutraukia ar atsisako pratęsti jo galiojimą, taikymas turėtų būti atidėtas pagrįstam laikotarpiui po </w:t>
            </w:r>
            <w:r w:rsidRPr="009A2B78">
              <w:lastRenderedPageBreak/>
              <w:t>priėmimo, kad atitinkamas trečiosios šalies pilietis arba asmuo be pilietybės pagal susijusią Sąjungos ir nacionalinę teisę galėtų prašyti leidimo gyventi šalyje dėl kitų priežasčių, nei tos, dėl kurių jam buvo suteikta tarptautinė apsauga, t. y. dėl priežasčių, susijusių su šeima, darbu ar mokymusi;</w:t>
            </w:r>
          </w:p>
        </w:tc>
        <w:tc>
          <w:tcPr>
            <w:tcW w:w="4876" w:type="dxa"/>
            <w:hideMark/>
          </w:tcPr>
          <w:p w:rsidR="007C78BD" w:rsidRPr="009A2B78" w:rsidRDefault="007C78BD">
            <w:pPr>
              <w:pStyle w:val="Normal6"/>
            </w:pPr>
            <w:r w:rsidRPr="009A2B78">
              <w:lastRenderedPageBreak/>
              <w:t>(41)</w:t>
            </w:r>
            <w:r w:rsidRPr="009A2B78">
              <w:tab/>
              <w:t xml:space="preserve">praradus pabėgėlio arba papildomos apsaugos statusą, sprendimo, kuriuo valstybės narės sprendžiančioji institucija panaikina statusą arba nutraukia ar atsisako pratęsti jo galiojimą, taikymas turėtų būti atidėtas pagrįstam laikotarpiui po </w:t>
            </w:r>
            <w:r w:rsidRPr="009A2B78">
              <w:lastRenderedPageBreak/>
              <w:t>priėmimo, kad atitinkamas trečiosios šalies pilietis arba asmuo be pilietybės pagal susijusią Sąjungos ir nacionalinę teisę galėtų prašyti leidimo gyventi šalyje dėl kitų priežasčių, nei tos, dėl kurių jam buvo suteikta tarptautinė apsauga, t.</w:t>
            </w:r>
            <w:r w:rsidRPr="009A2B78">
              <w:rPr>
                <w:b/>
                <w:i/>
              </w:rPr>
              <w:t> </w:t>
            </w:r>
            <w:r w:rsidRPr="009A2B78">
              <w:t>y. dėl priežasčių, susijusių su šeima</w:t>
            </w:r>
            <w:r w:rsidRPr="009A2B78">
              <w:rPr>
                <w:b/>
                <w:i/>
              </w:rPr>
              <w:t>, gydymu</w:t>
            </w:r>
            <w:r w:rsidRPr="009A2B78">
              <w:t>, darbu ar mokymusi;</w:t>
            </w:r>
          </w:p>
        </w:tc>
      </w:tr>
    </w:tbl>
    <w:p w:rsidR="007C78BD" w:rsidRPr="009A2B78" w:rsidRDefault="007C78BD" w:rsidP="007C78BD">
      <w:r w:rsidRPr="009A2B78">
        <w:rPr>
          <w:rStyle w:val="HideTWBExt"/>
          <w:noProof w:val="0"/>
        </w:rPr>
        <w:lastRenderedPageBreak/>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15</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43 konstatuojamoji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(43)</w:t>
            </w:r>
            <w:r w:rsidRPr="009A2B78">
              <w:tab/>
              <w:t xml:space="preserve">siekiant </w:t>
            </w:r>
            <w:r w:rsidRPr="009A2B78">
              <w:rPr>
                <w:b/>
                <w:i/>
              </w:rPr>
              <w:t>užkirsti kelią antriniam judėjimui</w:t>
            </w:r>
            <w:r w:rsidRPr="009A2B78">
              <w:t xml:space="preserve"> Europos Sąjungoje, nustačius, kad tarptautinės apsaugos gavėjai yra kitoje valstybėje narėje nei ta, kuri jiems suteikė apsaugą, nors neatitinka buvimo ar gyvenimo joje sąlygų, jie turėtų būti sugrąžinti į atsakingąją valstybę narę laikantis Reglamente</w:t>
            </w:r>
            <w:r w:rsidRPr="009A2B78">
              <w:rPr>
                <w:rStyle w:val="Sup"/>
                <w:color w:val="auto"/>
              </w:rPr>
              <w:t>41</w:t>
            </w:r>
            <w:r w:rsidRPr="009A2B78">
              <w:t xml:space="preserve"> nustatytos tvarkos;</w:t>
            </w:r>
          </w:p>
        </w:tc>
        <w:tc>
          <w:tcPr>
            <w:tcW w:w="4876" w:type="dxa"/>
            <w:hideMark/>
          </w:tcPr>
          <w:p w:rsidR="007C78BD" w:rsidRPr="009A2B78" w:rsidRDefault="007C78BD">
            <w:pPr>
              <w:pStyle w:val="Normal6"/>
            </w:pPr>
            <w:r w:rsidRPr="009A2B78">
              <w:t>(43)</w:t>
            </w:r>
            <w:r w:rsidRPr="009A2B78">
              <w:tab/>
              <w:t xml:space="preserve">siekiant </w:t>
            </w:r>
            <w:r w:rsidRPr="009A2B78">
              <w:rPr>
                <w:b/>
                <w:i/>
              </w:rPr>
              <w:t>atgrasyti nuo antrinio judėjimo</w:t>
            </w:r>
            <w:r w:rsidRPr="009A2B78">
              <w:t xml:space="preserve"> Europos Sąjungoje, nustačius, kad tarptautinės apsaugos gavėjai yra kitoje valstybėje narėje nei ta, kuri jiems suteikė apsaugą, nors neatitinka buvimo ar gyvenimo joje sąlygų, jie turėtų būti sugrąžinti į atsakingąją valstybę narę laikantis Reglamente</w:t>
            </w:r>
            <w:r w:rsidRPr="009A2B78">
              <w:rPr>
                <w:rStyle w:val="Sup"/>
                <w:color w:val="auto"/>
              </w:rPr>
              <w:t>41</w:t>
            </w:r>
            <w:r w:rsidRPr="009A2B78">
              <w:t xml:space="preserve"> nustatytos tvarkos;</w:t>
            </w:r>
          </w:p>
        </w:tc>
      </w:tr>
      <w:tr w:rsidR="007C78BD" w:rsidRPr="009A2B78" w:rsidTr="007C78BD">
        <w:trPr>
          <w:jc w:val="center"/>
        </w:trPr>
        <w:tc>
          <w:tcPr>
            <w:tcW w:w="4876" w:type="dxa"/>
            <w:hideMark/>
          </w:tcPr>
          <w:p w:rsidR="007C78BD" w:rsidRPr="009A2B78" w:rsidRDefault="007C78BD">
            <w:pPr>
              <w:pStyle w:val="Normal6"/>
            </w:pPr>
            <w:r w:rsidRPr="009A2B78">
              <w:t>_________________</w:t>
            </w:r>
          </w:p>
        </w:tc>
        <w:tc>
          <w:tcPr>
            <w:tcW w:w="4876" w:type="dxa"/>
            <w:hideMark/>
          </w:tcPr>
          <w:p w:rsidR="007C78BD" w:rsidRPr="009A2B78" w:rsidRDefault="007C78BD">
            <w:pPr>
              <w:pStyle w:val="Normal6"/>
            </w:pPr>
            <w:r w:rsidRPr="009A2B78">
              <w:t>_________________</w:t>
            </w:r>
          </w:p>
        </w:tc>
      </w:tr>
      <w:tr w:rsidR="007C78BD" w:rsidRPr="009A2B78" w:rsidTr="007C78BD">
        <w:trPr>
          <w:jc w:val="center"/>
        </w:trPr>
        <w:tc>
          <w:tcPr>
            <w:tcW w:w="4876" w:type="dxa"/>
            <w:hideMark/>
          </w:tcPr>
          <w:p w:rsidR="007C78BD" w:rsidRPr="009A2B78" w:rsidRDefault="007C78BD">
            <w:pPr>
              <w:pStyle w:val="Normal6"/>
            </w:pPr>
            <w:r w:rsidRPr="009A2B78">
              <w:rPr>
                <w:rStyle w:val="Sup"/>
                <w:color w:val="auto"/>
              </w:rPr>
              <w:t>41</w:t>
            </w:r>
            <w:r w:rsidRPr="009A2B78">
              <w:t xml:space="preserve"> Reglamentas (ES) [XXX/XXX – Naujasis Dublino reglamentas].</w:t>
            </w:r>
          </w:p>
        </w:tc>
        <w:tc>
          <w:tcPr>
            <w:tcW w:w="4876" w:type="dxa"/>
            <w:hideMark/>
          </w:tcPr>
          <w:p w:rsidR="007C78BD" w:rsidRPr="009A2B78" w:rsidRDefault="007C78BD">
            <w:pPr>
              <w:pStyle w:val="Normal6"/>
            </w:pPr>
            <w:r w:rsidRPr="009A2B78">
              <w:rPr>
                <w:rStyle w:val="Sup"/>
                <w:color w:val="auto"/>
              </w:rPr>
              <w:t>41</w:t>
            </w:r>
            <w:r w:rsidRPr="009A2B78">
              <w:t xml:space="preserve"> Reglamentas (ES) [XXX/XXX – Naujasis Dublino reglamentas].</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16</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44 konstatuojamoji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rPr>
                <w:b/>
                <w:i/>
              </w:rPr>
              <w:t>(44)</w:t>
            </w:r>
            <w:r w:rsidRPr="009A2B78">
              <w:tab/>
            </w:r>
            <w:r w:rsidRPr="009A2B78">
              <w:rPr>
                <w:b/>
                <w:i/>
              </w:rPr>
              <w:t xml:space="preserve">siekiant atgrasyti nuo antrinio judėjimo Europos Sąjungoje, reikėtų iš dalies pakeisti Ilgalaikių gyventojų direktyvą </w:t>
            </w:r>
            <w:r w:rsidR="006A5AFB">
              <w:rPr>
                <w:b/>
                <w:i/>
              </w:rPr>
              <w:t>2003/109/EB ir nustatyti, kad 5 </w:t>
            </w:r>
            <w:r w:rsidRPr="009A2B78">
              <w:rPr>
                <w:b/>
                <w:i/>
              </w:rPr>
              <w:t xml:space="preserve">metų laikotarpis, kuriam pasibaigus tarptautinės apsaugos gavėjai gali gauti ilgalaikio gyventojo statusą, būtų skaičiuojamas iš naujo kaskart, kai tik būtų nustatoma, kad asmuo yra kitoje valstybėje narėje nei ta, kuri jam suteikė tarptautinę apsaugą, nors pagal susijusią </w:t>
            </w:r>
            <w:r w:rsidRPr="009A2B78">
              <w:rPr>
                <w:b/>
                <w:i/>
              </w:rPr>
              <w:lastRenderedPageBreak/>
              <w:t>Sąjungos ar nacionalinę teisę ten būti ar gyventi neturi teisės;</w:t>
            </w:r>
          </w:p>
        </w:tc>
        <w:tc>
          <w:tcPr>
            <w:tcW w:w="4876" w:type="dxa"/>
            <w:hideMark/>
          </w:tcPr>
          <w:p w:rsidR="007C78BD" w:rsidRPr="009A2B78" w:rsidRDefault="007C78BD">
            <w:pPr>
              <w:pStyle w:val="Normal6"/>
            </w:pPr>
            <w:r w:rsidRPr="009A2B78">
              <w:rPr>
                <w:b/>
                <w:i/>
              </w:rPr>
              <w:lastRenderedPageBreak/>
              <w:t>Išbraukta.</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17</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47 konstatuojamoji dalis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(47)</w:t>
            </w:r>
            <w:r w:rsidRPr="009A2B78">
              <w:tab/>
              <w:t>nepažeidžiant tarptautiniais įsipareigojimais nustatytų apribojimų, skiriant su galimybe įsidarbinti ir socialine apsauga susijusias išmokas reikalaujama, kad pirmiau būtų išduotas leidimas gyventi šalyje;</w:t>
            </w:r>
          </w:p>
        </w:tc>
        <w:tc>
          <w:tcPr>
            <w:tcW w:w="4876" w:type="dxa"/>
            <w:hideMark/>
          </w:tcPr>
          <w:p w:rsidR="007C78BD" w:rsidRPr="009A2B78" w:rsidRDefault="007C78BD">
            <w:pPr>
              <w:pStyle w:val="Normal6"/>
              <w:rPr>
                <w:szCs w:val="24"/>
              </w:rPr>
            </w:pPr>
            <w:r w:rsidRPr="009A2B78">
              <w:t>(47)</w:t>
            </w:r>
            <w:r w:rsidRPr="009A2B78">
              <w:tab/>
              <w:t xml:space="preserve">nepažeidžiant tarptautiniais įsipareigojimais nustatytų apribojimų, skiriant su galimybe įsidarbinti ir socialine apsauga susijusias išmokas </w:t>
            </w:r>
            <w:r w:rsidRPr="009A2B78">
              <w:rPr>
                <w:b/>
                <w:i/>
              </w:rPr>
              <w:t xml:space="preserve">gali būti </w:t>
            </w:r>
            <w:r w:rsidRPr="009A2B78">
              <w:t>reikalaujama, kad pirmiau būtų išduotas leidimas gyventi šalyje;</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18</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48 konstatuojamoji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(48)</w:t>
            </w:r>
            <w:r w:rsidRPr="009A2B78">
              <w:tab/>
              <w:t xml:space="preserve">kompetentingos institucijos gali riboti galimybę pagal darbo sutartį arba savarankiškai dirbti einant pareigas, susijusias su viešosios valdžios funkcijų vykdymu ir atsakomybe už valstybės ar kitų valdžios institucijų bendrųjų interesų užtikrinimą. </w:t>
            </w:r>
            <w:r w:rsidRPr="009A2B78">
              <w:rPr>
                <w:b/>
                <w:i/>
              </w:rPr>
              <w:t>Atsižvelgiant į galimybę naudotis savo teise į vienodą požiūrį, susijusia su naryste darbuotojams atstovaujančioje organizacijoje arba vertimusi konkrečia profesija, tarptautinės apsaugos gavėjams taip pat gali būti neleidžiama dalyvauti viešosios teisės reglamentuojamų įstaigų valdyme ir eiti viešosios teisės reglamentuojamas pareigas</w:t>
            </w:r>
            <w:r w:rsidRPr="00091BC7">
              <w:t>;</w:t>
            </w:r>
          </w:p>
        </w:tc>
        <w:tc>
          <w:tcPr>
            <w:tcW w:w="4876" w:type="dxa"/>
            <w:hideMark/>
          </w:tcPr>
          <w:p w:rsidR="007C78BD" w:rsidRPr="009A2B78" w:rsidRDefault="007C78BD">
            <w:pPr>
              <w:pStyle w:val="Normal6"/>
            </w:pPr>
            <w:r w:rsidRPr="009A2B78">
              <w:t>(48)</w:t>
            </w:r>
            <w:r w:rsidRPr="009A2B78">
              <w:tab/>
              <w:t>kompetentingos institucijos gali riboti galimybę pagal darbo sutartį arba savarankiškai dirbti einant pareigas, susijusias su viešosios valdžios funkcijų vykdymu ir atsakomybe už valstybės ar kitų valdžios institucij</w:t>
            </w:r>
            <w:r w:rsidR="00091BC7">
              <w:t>ų bendrųjų interesų užtikrinimą;</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19</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49 konstatuojamoji dalis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(49)</w:t>
            </w:r>
            <w:r w:rsidRPr="009A2B78">
              <w:tab/>
              <w:t>kad tarptautinės apsaugos gavėjai galėtų veiksmingiau naudotis šiuo reglamentu nustatytomis teisėmis ir gauti išmokas, būtina atsižvelgti į jų specialius poreikius ir jiems kylančius konkrečius integracijos sunkumus ir jiems sudaryti palankesnes sąlygas naudotis su integracija susijusiomis teisėmis, visų pirma su įsidarbinimu susijusiomis mokymosi ir profesinio mokymo galimybėmis, taip pat užsienio diplomų, sertifikatų ir kitų oficialios kvalifikacijos įrodymų pripažinimo procedūromis, ypač atsižvelgiant į tai, kad trūksta dokumentais pagrįstų įrodymų ir su pripažinimo procedūromis susijusios išlaidos jiems yra per didelės;</w:t>
            </w:r>
          </w:p>
        </w:tc>
        <w:tc>
          <w:tcPr>
            <w:tcW w:w="4876" w:type="dxa"/>
            <w:hideMark/>
          </w:tcPr>
          <w:p w:rsidR="007C78BD" w:rsidRPr="009A2B78" w:rsidRDefault="007C78BD">
            <w:pPr>
              <w:pStyle w:val="Normal6"/>
              <w:rPr>
                <w:szCs w:val="24"/>
              </w:rPr>
            </w:pPr>
            <w:r w:rsidRPr="009A2B78">
              <w:t>(49)</w:t>
            </w:r>
            <w:r w:rsidRPr="009A2B78">
              <w:tab/>
              <w:t>kad tarptautinės apsaugos gavėjai galėtų veiksmingiau naudotis šiuo reglamentu nustatytomis teisėmis ir gauti išmokas, būtina atsižvelgti į jų specialius poreikius ir jiems kylančius konkrečius integracijos sunkumus ir jiems sudaryti palankesnes sąlygas naudotis su integracija susijusiomis teisėmis</w:t>
            </w:r>
            <w:r w:rsidRPr="009A2B78">
              <w:rPr>
                <w:b/>
                <w:i/>
              </w:rPr>
              <w:t xml:space="preserve"> ir priemonėmis</w:t>
            </w:r>
            <w:r w:rsidRPr="009A2B78">
              <w:t>, visų pirma su</w:t>
            </w:r>
            <w:r w:rsidRPr="009A2B78">
              <w:rPr>
                <w:b/>
                <w:i/>
              </w:rPr>
              <w:t xml:space="preserve"> švietimu ir</w:t>
            </w:r>
            <w:r w:rsidRPr="009A2B78">
              <w:t xml:space="preserve"> įsidarbinimu susijusiomis mokymosi ir profesinio mokymo galimybėmis, taip pat užsienio diplomų, sertifikatų ir kitų oficialios kvalifikacijos įrodymų pripažinimo procedūromis, ypač atsižvelgiant į tai, kad trūksta dokumentais pagrįstų įrodymų ir su pripažinimo procedūromis susijusios išlaidos jiems yra per didelės;</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20</w:t>
      </w:r>
      <w:r w:rsidRPr="009A2B78">
        <w:rPr>
          <w:rStyle w:val="HideTWBExt"/>
          <w:b w:val="0"/>
          <w:noProof w:val="0"/>
        </w:rPr>
        <w:t>&lt;/NumAm&gt;</w:t>
      </w:r>
    </w:p>
    <w:p w:rsidR="007C78BD" w:rsidRPr="009A2B78" w:rsidRDefault="007C78BD" w:rsidP="007C78BD">
      <w:pPr>
        <w:pStyle w:val="NormalBold12b"/>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6A5AFB">
      <w:pPr>
        <w:pStyle w:val="NormalBold"/>
        <w:keepNext/>
      </w:pPr>
      <w:r w:rsidRPr="009A2B78">
        <w:rPr>
          <w:rStyle w:val="HideTWBExt"/>
          <w:b w:val="0"/>
          <w:noProof w:val="0"/>
        </w:rPr>
        <w:t>&lt;Article&gt;</w:t>
      </w:r>
      <w:r w:rsidRPr="009A2B78">
        <w:t>50 konstatuojamoji dalis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(50)</w:t>
            </w:r>
            <w:r w:rsidRPr="009A2B78">
              <w:tab/>
              <w:t xml:space="preserve">socialinės apsaugos srityje </w:t>
            </w:r>
            <w:r w:rsidRPr="009A2B78">
              <w:rPr>
                <w:b/>
                <w:i/>
              </w:rPr>
              <w:t xml:space="preserve">su </w:t>
            </w:r>
            <w:r w:rsidRPr="009A2B78">
              <w:t xml:space="preserve">tarptautinės apsaugos </w:t>
            </w:r>
            <w:r w:rsidRPr="009A2B78">
              <w:rPr>
                <w:b/>
                <w:i/>
              </w:rPr>
              <w:t>gavėjais</w:t>
            </w:r>
            <w:r w:rsidRPr="009A2B78">
              <w:t xml:space="preserve"> turėtų būti </w:t>
            </w:r>
            <w:r w:rsidRPr="009A2B78">
              <w:rPr>
                <w:b/>
                <w:i/>
              </w:rPr>
              <w:t>elgiamasi taip</w:t>
            </w:r>
            <w:r w:rsidRPr="009A2B78">
              <w:t xml:space="preserve"> pat </w:t>
            </w:r>
            <w:r w:rsidRPr="009A2B78">
              <w:rPr>
                <w:b/>
                <w:i/>
              </w:rPr>
              <w:t>kaip su</w:t>
            </w:r>
            <w:r w:rsidRPr="009A2B78">
              <w:t xml:space="preserve"> apsaugą suteikusios valstybės narės piliečiais;</w:t>
            </w:r>
          </w:p>
        </w:tc>
        <w:tc>
          <w:tcPr>
            <w:tcW w:w="4876" w:type="dxa"/>
            <w:hideMark/>
          </w:tcPr>
          <w:p w:rsidR="007C78BD" w:rsidRPr="009A2B78" w:rsidRDefault="007C78BD">
            <w:pPr>
              <w:pStyle w:val="Normal6"/>
            </w:pPr>
            <w:r w:rsidRPr="009A2B78">
              <w:t>(50)</w:t>
            </w:r>
            <w:r w:rsidRPr="009A2B78">
              <w:tab/>
              <w:t xml:space="preserve">socialinės apsaugos srityje tarptautinės apsaugos </w:t>
            </w:r>
            <w:r w:rsidRPr="009A2B78">
              <w:rPr>
                <w:b/>
                <w:i/>
              </w:rPr>
              <w:t>gavėjams</w:t>
            </w:r>
            <w:r w:rsidRPr="009A2B78">
              <w:t xml:space="preserve"> turėtų būti </w:t>
            </w:r>
            <w:r w:rsidRPr="009A2B78">
              <w:rPr>
                <w:b/>
                <w:i/>
              </w:rPr>
              <w:t>taikomas tokių</w:t>
            </w:r>
            <w:r w:rsidRPr="009A2B78">
              <w:t xml:space="preserve"> pat </w:t>
            </w:r>
            <w:r w:rsidRPr="009A2B78">
              <w:rPr>
                <w:b/>
                <w:i/>
              </w:rPr>
              <w:t>sąlygų kaip</w:t>
            </w:r>
            <w:r w:rsidRPr="009A2B78">
              <w:t xml:space="preserve"> apsaugą suteikusios valstybės narės piliečiais</w:t>
            </w:r>
            <w:r w:rsidRPr="009A2B78">
              <w:rPr>
                <w:b/>
                <w:i/>
              </w:rPr>
              <w:t xml:space="preserve"> taikymo ir jų nediskriminavimo principas</w:t>
            </w:r>
            <w:r w:rsidRPr="009A2B78">
              <w:t>;</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21</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51 konstatuojamoji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(51)</w:t>
            </w:r>
            <w:r w:rsidRPr="009A2B78">
              <w:tab/>
              <w:t>be to, ypač siekiant išvengti socialinių sunkumų</w:t>
            </w:r>
            <w:r w:rsidRPr="009A2B78">
              <w:rPr>
                <w:b/>
                <w:i/>
              </w:rPr>
              <w:t>, tikslinga tarptautinės apsaugos gavėjams nediskriminacinėmis sąlygomis skirti socialinę paramą. Tačiau valstybėms narėms turėtų būti suteikta galimybė su</w:t>
            </w:r>
            <w:r w:rsidRPr="009A2B78">
              <w:t xml:space="preserve"> tarptautinės apsaugos</w:t>
            </w:r>
            <w:r w:rsidRPr="009A2B78">
              <w:rPr>
                <w:b/>
                <w:i/>
              </w:rPr>
              <w:t xml:space="preserve"> gavėjais </w:t>
            </w:r>
            <w:r w:rsidRPr="009A2B78">
              <w:rPr>
                <w:b/>
                <w:i/>
              </w:rPr>
              <w:lastRenderedPageBreak/>
              <w:t>elgtis šiek tiek lanksčiau</w:t>
            </w:r>
            <w:r w:rsidRPr="009A2B78">
              <w:t xml:space="preserve"> ir </w:t>
            </w:r>
            <w:r w:rsidRPr="009A2B78">
              <w:rPr>
                <w:b/>
                <w:i/>
              </w:rPr>
              <w:t>apriboti tokias teises skiriant tik būtinąsias išmokas</w:t>
            </w:r>
            <w:r w:rsidRPr="009A2B78">
              <w:t xml:space="preserve">, </w:t>
            </w:r>
            <w:r w:rsidRPr="009A2B78">
              <w:rPr>
                <w:b/>
                <w:i/>
              </w:rPr>
              <w:t>kurios apima bent minimalias remiamas pajamas, taip pat paramą ligos arba nėštumo atveju</w:t>
            </w:r>
            <w:r w:rsidRPr="009A2B78">
              <w:t xml:space="preserve"> ir </w:t>
            </w:r>
            <w:r w:rsidRPr="009A2B78">
              <w:rPr>
                <w:b/>
                <w:i/>
              </w:rPr>
              <w:t>tėvystės</w:t>
            </w:r>
            <w:r w:rsidRPr="009A2B78">
              <w:t xml:space="preserve"> paramą</w:t>
            </w:r>
            <w:r w:rsidRPr="009A2B78">
              <w:rPr>
                <w:b/>
                <w:i/>
              </w:rPr>
              <w:t>, jeigu pagal nacionalinę teisę tokios išmokos yra skiriamos piliečiams. Kad būtų palengvinta tokių asmenų integracija, valstybėms narėms turėtų būti suteikta galimybė pagal nacionalinę teisę nustatytos tam tikros socialinės paramos teikimą pabėgėliams ir papildomos apsaugos gavėjams susieti su šių tarptautinės apsaugos gavėjų veiksmingu dalyvavimu integracijos programose</w:t>
            </w:r>
            <w:r w:rsidRPr="009A2B78">
              <w:t>;</w:t>
            </w:r>
          </w:p>
        </w:tc>
        <w:tc>
          <w:tcPr>
            <w:tcW w:w="4876" w:type="dxa"/>
            <w:hideMark/>
          </w:tcPr>
          <w:p w:rsidR="007C78BD" w:rsidRPr="009A2B78" w:rsidRDefault="007C78BD">
            <w:pPr>
              <w:pStyle w:val="Normal6"/>
            </w:pPr>
            <w:r w:rsidRPr="009A2B78">
              <w:lastRenderedPageBreak/>
              <w:t>(51)</w:t>
            </w:r>
            <w:r w:rsidRPr="009A2B78">
              <w:tab/>
              <w:t>be to, ypač siekiant išvengti socialinių sunkumų</w:t>
            </w:r>
            <w:r w:rsidRPr="009A2B78">
              <w:rPr>
                <w:b/>
                <w:i/>
              </w:rPr>
              <w:t xml:space="preserve"> ir palengvinti</w:t>
            </w:r>
            <w:r w:rsidRPr="009A2B78">
              <w:t xml:space="preserve"> tarptautinės apsaugos ir </w:t>
            </w:r>
            <w:r w:rsidRPr="009A2B78">
              <w:rPr>
                <w:b/>
                <w:i/>
              </w:rPr>
              <w:t>papildomos apsaugos gavėjų integraciją</w:t>
            </w:r>
            <w:r w:rsidRPr="009A2B78">
              <w:t xml:space="preserve">, </w:t>
            </w:r>
            <w:r w:rsidRPr="009A2B78">
              <w:rPr>
                <w:b/>
                <w:i/>
              </w:rPr>
              <w:t>tikslinga nediskriminacinėmis sąlygomis skirti jiems socialinę</w:t>
            </w:r>
            <w:r w:rsidRPr="009A2B78">
              <w:t xml:space="preserve"> ir </w:t>
            </w:r>
            <w:r w:rsidRPr="009A2B78">
              <w:rPr>
                <w:b/>
                <w:i/>
              </w:rPr>
              <w:t>teisinę</w:t>
            </w:r>
            <w:r w:rsidRPr="009A2B78">
              <w:t xml:space="preserve"> paramą;</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22</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52 konstatuojamoji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(52)</w:t>
            </w:r>
            <w:r w:rsidRPr="009A2B78">
              <w:tab/>
              <w:t xml:space="preserve">tarptautinės apsaugos gavėjams turėtų būti užtikrinta galimybė naudotis sveikatos priežiūros paslaugomis, įskaitant ir </w:t>
            </w:r>
            <w:r w:rsidRPr="009A2B78">
              <w:rPr>
                <w:b/>
                <w:i/>
              </w:rPr>
              <w:t>fizinės</w:t>
            </w:r>
            <w:r w:rsidRPr="009A2B78">
              <w:t xml:space="preserve">, ir </w:t>
            </w:r>
            <w:r w:rsidRPr="009A2B78">
              <w:rPr>
                <w:b/>
                <w:i/>
              </w:rPr>
              <w:t>psichinės</w:t>
            </w:r>
            <w:r w:rsidRPr="009A2B78">
              <w:t xml:space="preserve"> sveikatos priežiūrą;</w:t>
            </w:r>
          </w:p>
        </w:tc>
        <w:tc>
          <w:tcPr>
            <w:tcW w:w="4876" w:type="dxa"/>
            <w:hideMark/>
          </w:tcPr>
          <w:p w:rsidR="007C78BD" w:rsidRPr="009A2B78" w:rsidRDefault="007C78BD">
            <w:pPr>
              <w:pStyle w:val="Normal6"/>
            </w:pPr>
            <w:r w:rsidRPr="009A2B78">
              <w:t>(52)</w:t>
            </w:r>
            <w:r w:rsidRPr="009A2B78">
              <w:tab/>
              <w:t xml:space="preserve">tarptautinės apsaugos gavėjams turėtų būti užtikrinta galimybė naudotis sveikatos priežiūros paslaugomis, įskaitant </w:t>
            </w:r>
            <w:r w:rsidRPr="009A2B78">
              <w:rPr>
                <w:b/>
                <w:i/>
              </w:rPr>
              <w:t xml:space="preserve">fizinės </w:t>
            </w:r>
            <w:r w:rsidRPr="009A2B78">
              <w:t xml:space="preserve">ir </w:t>
            </w:r>
            <w:r w:rsidRPr="009A2B78">
              <w:rPr>
                <w:b/>
                <w:i/>
              </w:rPr>
              <w:t>psichinės sveikatos priežiūrą</w:t>
            </w:r>
            <w:r w:rsidRPr="009A2B78">
              <w:t xml:space="preserve">, </w:t>
            </w:r>
            <w:r w:rsidRPr="009A2B78">
              <w:rPr>
                <w:b/>
                <w:i/>
              </w:rPr>
              <w:t xml:space="preserve">taip pat lytinės </w:t>
            </w:r>
            <w:r w:rsidRPr="009A2B78">
              <w:t xml:space="preserve">ir </w:t>
            </w:r>
            <w:r w:rsidRPr="009A2B78">
              <w:rPr>
                <w:b/>
                <w:i/>
              </w:rPr>
              <w:t>reprodukcinės</w:t>
            </w:r>
            <w:r w:rsidRPr="009A2B78">
              <w:t xml:space="preserve"> sveikatos priežiūrą;</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23</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52 a konstatuojamoji dalis (nauja)</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tcPr>
          <w:p w:rsidR="007C78BD" w:rsidRPr="009A2B78" w:rsidRDefault="007C78BD">
            <w:pPr>
              <w:pStyle w:val="Normal6"/>
            </w:pPr>
          </w:p>
        </w:tc>
        <w:tc>
          <w:tcPr>
            <w:tcW w:w="4876" w:type="dxa"/>
            <w:hideMark/>
          </w:tcPr>
          <w:p w:rsidR="007C78BD" w:rsidRPr="009A2B78" w:rsidRDefault="007C78BD">
            <w:pPr>
              <w:pStyle w:val="Normal6"/>
            </w:pPr>
            <w:r w:rsidRPr="009A2B78">
              <w:rPr>
                <w:b/>
                <w:i/>
              </w:rPr>
              <w:t>(52a)</w:t>
            </w:r>
            <w:r w:rsidRPr="009A2B78">
              <w:tab/>
            </w:r>
            <w:r w:rsidRPr="009A2B78">
              <w:rPr>
                <w:b/>
                <w:i/>
              </w:rPr>
              <w:t>tarptautinės apsaugos gavėjai taip pat turėtų naudotis prekėmis ir paslaugomis bei visuomenei prieinamų prekių ir paslaugų pasiūla, įskaitant įdarbinimo tarnybų teikiamą informaciją ir konsultavimo paslaugas;</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lastRenderedPageBreak/>
        <w:t>&lt;Amend&gt;</w:t>
      </w:r>
      <w:r w:rsidRPr="009A2B78">
        <w:t>Pakeitimas</w:t>
      </w:r>
      <w:r w:rsidRPr="009A2B78">
        <w:tab/>
      </w:r>
      <w:r w:rsidRPr="009A2B78">
        <w:tab/>
      </w:r>
      <w:r w:rsidRPr="009A2B78">
        <w:rPr>
          <w:rStyle w:val="HideTWBExt"/>
          <w:b w:val="0"/>
          <w:noProof w:val="0"/>
        </w:rPr>
        <w:t>&lt;NumAm&gt;</w:t>
      </w:r>
      <w:r w:rsidRPr="009A2B78">
        <w:t>24</w:t>
      </w:r>
      <w:r w:rsidRPr="009A2B78">
        <w:rPr>
          <w:rStyle w:val="HideTWBExt"/>
          <w:b w:val="0"/>
          <w:noProof w:val="0"/>
        </w:rPr>
        <w:t>&lt;/NumAm&gt;</w:t>
      </w:r>
    </w:p>
    <w:p w:rsidR="007C78BD" w:rsidRPr="009A2B78" w:rsidRDefault="007C78BD" w:rsidP="007C78BD">
      <w:pPr>
        <w:pStyle w:val="NormalBold12b"/>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6A5AFB">
      <w:pPr>
        <w:pStyle w:val="NormalBold"/>
        <w:keepNext/>
      </w:pPr>
      <w:r w:rsidRPr="009A2B78">
        <w:rPr>
          <w:rStyle w:val="HideTWBExt"/>
          <w:b w:val="0"/>
          <w:noProof w:val="0"/>
        </w:rPr>
        <w:t>&lt;Article&gt;</w:t>
      </w:r>
      <w:r w:rsidRPr="009A2B78">
        <w:t>53 konstatuojamoji dalis</w:t>
      </w:r>
      <w:r w:rsidRPr="009A2B78">
        <w:rPr>
          <w:rStyle w:val="HideTWBExt"/>
          <w:b w:val="0"/>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(53)</w:t>
            </w:r>
            <w:r w:rsidRPr="009A2B78">
              <w:tab/>
              <w:t>siekiant palengvinti tarptautinės apsaugos gavėjų integraciją į visuomenę, tarptautinės apsaugos gavėjams suteikiama galimybė dalyvauti integracijos programose, o sąlygas nustato valstybės narės. Valstybės narės gali nustatyti, kad dalyvauti tokiose integracijos programose, pvz., lankyti kalbos, pilietinės integracijos, profesinio mokymo ir kitus su įsidarbinimu susijusius kursus, yra privaloma</w:t>
            </w:r>
            <w:r w:rsidRPr="006A5AFB">
              <w:t>;</w:t>
            </w:r>
          </w:p>
        </w:tc>
        <w:tc>
          <w:tcPr>
            <w:tcW w:w="4876" w:type="dxa"/>
            <w:hideMark/>
          </w:tcPr>
          <w:p w:rsidR="007C78BD" w:rsidRPr="009A2B78" w:rsidRDefault="007C78BD">
            <w:pPr>
              <w:pStyle w:val="Normal6"/>
              <w:rPr>
                <w:szCs w:val="24"/>
              </w:rPr>
            </w:pPr>
            <w:r w:rsidRPr="009A2B78">
              <w:t>(53)</w:t>
            </w:r>
            <w:r w:rsidRPr="009A2B78">
              <w:tab/>
              <w:t xml:space="preserve">siekiant palengvinti tarptautinės apsaugos gavėjų integraciją į visuomenę, tarptautinės apsaugos gavėjams </w:t>
            </w:r>
            <w:r w:rsidRPr="009A2B78">
              <w:rPr>
                <w:b/>
                <w:i/>
              </w:rPr>
              <w:t xml:space="preserve">turėtų būti </w:t>
            </w:r>
            <w:r w:rsidRPr="009A2B78">
              <w:t>suteikiama galimybė</w:t>
            </w:r>
            <w:r w:rsidRPr="009A2B78">
              <w:rPr>
                <w:b/>
                <w:i/>
              </w:rPr>
              <w:t xml:space="preserve"> nemokamai ir veiksmingai</w:t>
            </w:r>
            <w:r w:rsidRPr="009A2B78">
              <w:t xml:space="preserve"> dalyvauti integracijos programose, o sąlygas nustato valstybės narės. Valstybės narės gali nustatyti, kad dalyvauti tokiose integracijos programose, pvz., lankyti kalbos, pilietinės integracijos, profesinio mokymo ir kitus su įsidarbinimu susijusius kursus, yra privaloma</w:t>
            </w:r>
            <w:r w:rsidRPr="009A2B78">
              <w:rPr>
                <w:b/>
                <w:i/>
              </w:rPr>
              <w:t>, jeigu tos integracijos programos yra lengvai prieinamos ir nemokamos. Dalyvavimas šiose programose niekada neturi turėti įtakos šiame reglamente nustatytoms teisėms ir prievolėms ir niekada neturi suteikti pagrindo peržiūrėti, panaikinti pabėgėlio arba papildomos apsaugos statusą, nutraukti jo galiojimą, atsisakyti jį suteikti arba atsisakyti pratęsti jo galiojimą. Valstybių narių nacionalinėje teisėje nustatytos sankcijos už privalomų integracijos priemonių nesilaikymą visada turėtų būti proporcingos</w:t>
            </w:r>
            <w:r w:rsidR="006A5AFB" w:rsidRPr="006A5AFB">
              <w:t>;</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25</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 xml:space="preserve">15 straipsnio 1 </w:t>
      </w:r>
      <w:r w:rsidR="006A5AFB">
        <w:t>pastraipos</w:t>
      </w:r>
      <w:r w:rsidR="006A5AFB" w:rsidRPr="009A2B78">
        <w:t xml:space="preserve"> </w:t>
      </w:r>
      <w:r w:rsidRPr="009A2B78">
        <w:t>b punktas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rPr>
                <w:b/>
                <w:i/>
              </w:rPr>
              <w:t>b)</w:t>
            </w:r>
            <w:r w:rsidRPr="009A2B78">
              <w:rPr>
                <w:b/>
                <w:i/>
              </w:rPr>
              <w:tab/>
              <w:t>pirmą kartą pratęsia pabėgėliui išduoto leidimo gyventi šalyje galiojimą.</w:t>
            </w:r>
          </w:p>
        </w:tc>
        <w:tc>
          <w:tcPr>
            <w:tcW w:w="4876" w:type="dxa"/>
            <w:hideMark/>
          </w:tcPr>
          <w:p w:rsidR="007C78BD" w:rsidRPr="009A2B78" w:rsidRDefault="007C78BD">
            <w:pPr>
              <w:pStyle w:val="Normal6"/>
              <w:rPr>
                <w:szCs w:val="24"/>
              </w:rPr>
            </w:pPr>
            <w:r w:rsidRPr="009A2B78">
              <w:rPr>
                <w:b/>
                <w:i/>
              </w:rPr>
              <w:t>Išbraukta.</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26</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 xml:space="preserve">21 straipsnio 1 </w:t>
      </w:r>
      <w:r w:rsidR="006A5AFB">
        <w:t>pastraipos</w:t>
      </w:r>
      <w:r w:rsidRPr="009A2B78">
        <w:t xml:space="preserve"> b punktas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rPr>
                <w:b/>
                <w:i/>
              </w:rPr>
              <w:t>b)</w:t>
            </w:r>
            <w:r w:rsidRPr="009A2B78">
              <w:rPr>
                <w:b/>
                <w:i/>
              </w:rPr>
              <w:tab/>
              <w:t>pirmą ir antrą kartus pratęsia papildomos apsaugos gavėjui išduoto leidimo gyventi šalyje galiojimą.</w:t>
            </w:r>
          </w:p>
        </w:tc>
        <w:tc>
          <w:tcPr>
            <w:tcW w:w="4876" w:type="dxa"/>
            <w:hideMark/>
          </w:tcPr>
          <w:p w:rsidR="007C78BD" w:rsidRPr="009A2B78" w:rsidRDefault="007C78BD">
            <w:pPr>
              <w:pStyle w:val="Normal6"/>
              <w:rPr>
                <w:szCs w:val="24"/>
              </w:rPr>
            </w:pPr>
            <w:r w:rsidRPr="009A2B78">
              <w:rPr>
                <w:b/>
                <w:i/>
              </w:rPr>
              <w:t>Išbraukta.</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27</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22 straipsnio 3 dalis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3.</w:t>
            </w:r>
            <w:r w:rsidRPr="009A2B78">
              <w:tab/>
              <w:t>Nepažeidžiant tarptautiniais įsipareigojimais nustatytų apribojimų, skiriant su galimybe įsidarbinti ir socialine apsauga susijusias išmokas reikalaujama, kad pirmiau būtų išduotas leidimas gyventi šalyje.</w:t>
            </w:r>
          </w:p>
        </w:tc>
        <w:tc>
          <w:tcPr>
            <w:tcW w:w="4876" w:type="dxa"/>
            <w:hideMark/>
          </w:tcPr>
          <w:p w:rsidR="007C78BD" w:rsidRPr="009A2B78" w:rsidRDefault="007C78BD">
            <w:pPr>
              <w:pStyle w:val="Normal6"/>
              <w:rPr>
                <w:szCs w:val="24"/>
              </w:rPr>
            </w:pPr>
            <w:r w:rsidRPr="009A2B78">
              <w:t>3.</w:t>
            </w:r>
            <w:r w:rsidRPr="009A2B78">
              <w:tab/>
              <w:t xml:space="preserve">Nepažeidžiant tarptautiniais įsipareigojimais nustatytų apribojimų, skiriant su galimybe įsidarbinti ir socialine apsauga susijusias išmokas </w:t>
            </w:r>
            <w:r w:rsidRPr="009A2B78">
              <w:rPr>
                <w:b/>
                <w:i/>
              </w:rPr>
              <w:t xml:space="preserve">gali būti </w:t>
            </w:r>
            <w:r w:rsidRPr="009A2B78">
              <w:t>reikalaujama, kad pirmiau būtų išduotas leidimas gyventi šalyje.</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28</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22 straipsnio 4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4.</w:t>
            </w:r>
            <w:r w:rsidRPr="009A2B78">
              <w:tab/>
              <w:t xml:space="preserve">Taikant šio skyriaus nuostatas atsižvelgiama į konkrečią specialių poreikių turinčių asmenų, pvz., nepilnamečių, nelydimų nepilnamečių, neįgaliųjų, pagyvenusių žmonių, nėščiųjų, </w:t>
            </w:r>
            <w:r w:rsidRPr="009A2B78">
              <w:rPr>
                <w:b/>
                <w:i/>
              </w:rPr>
              <w:t xml:space="preserve">nepilnamečių </w:t>
            </w:r>
            <w:r w:rsidRPr="009A2B78">
              <w:t>vaikų turinčių vienišų tėvų, prekybos žmonėmis aukų, psichikos sutrikimų turinčių asmenų ir asmenų, kurie buvo kankinami, prievartaujami ar patyrė kitokį sunkų psichologinį, fizinį ar seksualinį smurtą, padėtį, jeigu atskirai įvertinus jų padėtį nustatoma, kad jie turi specialių poreikių.</w:t>
            </w:r>
          </w:p>
        </w:tc>
        <w:tc>
          <w:tcPr>
            <w:tcW w:w="4876" w:type="dxa"/>
            <w:hideMark/>
          </w:tcPr>
          <w:p w:rsidR="007C78BD" w:rsidRPr="009A2B78" w:rsidRDefault="007C78BD">
            <w:pPr>
              <w:pStyle w:val="Normal6"/>
            </w:pPr>
            <w:r w:rsidRPr="009A2B78">
              <w:t>4.</w:t>
            </w:r>
            <w:r w:rsidRPr="009A2B78">
              <w:tab/>
              <w:t>Taikant šio skyriaus nuostatas atsižvelgiama į konkrečią specialių poreikių turinčių asmenų, pvz., nepilnamečių, nelydimų nepilnamečių, neįgaliųjų, pagyvenusių žmonių, nėščiųjų, vaikų turinčių vienišų tėvų, prekybos žmonėmis aukų, psichikos sutrikimų turinčių asmenų ir asmenų, kurie buvo kankinami, prievartaujami ar patyrė kitokį sunkų psichologinį, fizinį ar seksualinį smurtą, padėtį, jeigu atskirai įvertinus jų padėtį nustatoma, kad jie turi specialių poreikių.</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29</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24 straipsnio 1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 xml:space="preserve">Kompetentingos institucijos tarptautinės apsaugos gavėjams kuo greičiau suteikia informacijos apie teises ir pareigas, susijusias su pabėgėlio arba papildomos apsaugos statusu, kai tik toks statusas suteikiamas. Tokia informacija teikiama kalba, kurią apsaugos gavėjas supranta arba, kaip pagrįstai manoma, turėtų suprasti; joje aiškiai nurodomos pasekmės, jeigu bus nevykdomos </w:t>
            </w:r>
            <w:r w:rsidRPr="009A2B78">
              <w:rPr>
                <w:b/>
                <w:i/>
              </w:rPr>
              <w:t>28</w:t>
            </w:r>
            <w:r w:rsidRPr="009A2B78">
              <w:t xml:space="preserve"> straipsnyje dėl judėjimo Sąjungoje išdėstytos prievolės.</w:t>
            </w:r>
          </w:p>
        </w:tc>
        <w:tc>
          <w:tcPr>
            <w:tcW w:w="4876" w:type="dxa"/>
            <w:hideMark/>
          </w:tcPr>
          <w:p w:rsidR="007C78BD" w:rsidRPr="009A2B78" w:rsidRDefault="007C78BD">
            <w:pPr>
              <w:pStyle w:val="Normal6"/>
            </w:pPr>
            <w:r w:rsidRPr="009A2B78">
              <w:t xml:space="preserve">Kompetentingos institucijos tarptautinės apsaugos gavėjams kuo greičiau suteikia informacijos apie teises ir pareigas, susijusias su pabėgėlio arba papildomos apsaugos statusu, kai tik toks statusas suteikiamas. Tokia informacija </w:t>
            </w:r>
            <w:r w:rsidRPr="009A2B78">
              <w:rPr>
                <w:b/>
                <w:i/>
              </w:rPr>
              <w:t xml:space="preserve">raštu </w:t>
            </w:r>
            <w:r w:rsidRPr="009A2B78">
              <w:t xml:space="preserve">teikiama kalba, kurią apsaugos gavėjas supranta arba, kaip pagrįstai manoma, turėtų suprasti; joje aiškiai nurodomos pasekmės, jeigu bus nevykdomos </w:t>
            </w:r>
            <w:r w:rsidRPr="009A2B78">
              <w:rPr>
                <w:b/>
                <w:i/>
              </w:rPr>
              <w:t>29</w:t>
            </w:r>
            <w:r w:rsidRPr="009A2B78">
              <w:t xml:space="preserve"> straipsnyje dėl judėjimo Sąjungoje išdėstytos prievolės.</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30</w:t>
      </w:r>
      <w:r w:rsidRPr="009A2B78">
        <w:rPr>
          <w:rStyle w:val="HideTWBExt"/>
          <w:b w:val="0"/>
          <w:noProof w:val="0"/>
        </w:rPr>
        <w:t>&lt;/NumAm&gt;</w:t>
      </w:r>
    </w:p>
    <w:p w:rsidR="007C78BD" w:rsidRPr="009A2B78" w:rsidRDefault="007C78BD" w:rsidP="007C78BD">
      <w:pPr>
        <w:pStyle w:val="NormalBold12b"/>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6A5AFB">
      <w:pPr>
        <w:pStyle w:val="NormalBold"/>
        <w:keepNext/>
      </w:pPr>
      <w:r w:rsidRPr="009A2B78">
        <w:rPr>
          <w:rStyle w:val="HideTWBExt"/>
          <w:b w:val="0"/>
          <w:noProof w:val="0"/>
        </w:rPr>
        <w:t>&lt;Article&gt;</w:t>
      </w:r>
      <w:r w:rsidRPr="009A2B78">
        <w:t>26 straipsnio 1 dalies a punktas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a)</w:t>
            </w:r>
            <w:r w:rsidRPr="009A2B78">
              <w:tab/>
              <w:t xml:space="preserve">Pabėgėlio statuso turėtojams išduotas leidimas gyventi šalyje galioja </w:t>
            </w:r>
            <w:r w:rsidRPr="009A2B78">
              <w:rPr>
                <w:b/>
                <w:i/>
              </w:rPr>
              <w:t>trejus</w:t>
            </w:r>
            <w:r w:rsidRPr="009A2B78">
              <w:t xml:space="preserve"> metus ir jo galiojimas gali būti pratęsiamas </w:t>
            </w:r>
            <w:r w:rsidRPr="009A2B78">
              <w:rPr>
                <w:b/>
                <w:i/>
              </w:rPr>
              <w:t>trejų</w:t>
            </w:r>
            <w:r w:rsidRPr="009A2B78">
              <w:t xml:space="preserve"> metų laikotarpiams.</w:t>
            </w:r>
          </w:p>
        </w:tc>
        <w:tc>
          <w:tcPr>
            <w:tcW w:w="4876" w:type="dxa"/>
            <w:hideMark/>
          </w:tcPr>
          <w:p w:rsidR="007C78BD" w:rsidRPr="009A2B78" w:rsidRDefault="007C78BD">
            <w:pPr>
              <w:pStyle w:val="Normal6"/>
            </w:pPr>
            <w:r w:rsidRPr="009A2B78">
              <w:t>a)</w:t>
            </w:r>
            <w:r w:rsidRPr="009A2B78">
              <w:tab/>
              <w:t xml:space="preserve">Pabėgėlio statuso turėtojams išduotas leidimas gyventi šalyje galioja </w:t>
            </w:r>
            <w:r w:rsidRPr="009A2B78">
              <w:rPr>
                <w:b/>
                <w:i/>
              </w:rPr>
              <w:t>penkerius</w:t>
            </w:r>
            <w:r w:rsidRPr="009A2B78">
              <w:t xml:space="preserve"> metus ir jo galiojimas gali būti pratęsiamas </w:t>
            </w:r>
            <w:r w:rsidRPr="009A2B78">
              <w:rPr>
                <w:b/>
                <w:i/>
              </w:rPr>
              <w:t>penkerių</w:t>
            </w:r>
            <w:r w:rsidRPr="009A2B78">
              <w:t xml:space="preserve"> metų laikotarpiams.</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31</w:t>
      </w:r>
      <w:r w:rsidRPr="009A2B78">
        <w:rPr>
          <w:rStyle w:val="HideTWBExt"/>
          <w:b w:val="0"/>
          <w:noProof w:val="0"/>
        </w:rPr>
        <w:t>&lt;/NumAm&gt;</w:t>
      </w:r>
    </w:p>
    <w:p w:rsidR="007C78BD" w:rsidRPr="009A2B78" w:rsidRDefault="007C78BD" w:rsidP="007C78BD">
      <w:pPr>
        <w:pStyle w:val="NormalBold12b"/>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6A5AFB">
      <w:pPr>
        <w:pStyle w:val="NormalBold"/>
        <w:keepNext/>
      </w:pPr>
      <w:r w:rsidRPr="009A2B78">
        <w:rPr>
          <w:rStyle w:val="HideTWBExt"/>
          <w:b w:val="0"/>
          <w:noProof w:val="0"/>
        </w:rPr>
        <w:t>&lt;Article&gt;</w:t>
      </w:r>
      <w:r w:rsidRPr="009A2B78">
        <w:t>26 straipsnio 1 dalies b punktas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483"/>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b)</w:t>
            </w:r>
            <w:r w:rsidRPr="009A2B78">
              <w:tab/>
              <w:t xml:space="preserve">Papildomos apsaugos statuso turėtojams išduotas leidimas gyventi šalyje galioja </w:t>
            </w:r>
            <w:r w:rsidRPr="009A2B78">
              <w:rPr>
                <w:b/>
                <w:i/>
              </w:rPr>
              <w:t>vienus</w:t>
            </w:r>
            <w:r w:rsidRPr="009A2B78">
              <w:t xml:space="preserve"> metus ir jo galiojimas gali būti pratęsiamas </w:t>
            </w:r>
            <w:r w:rsidRPr="009A2B78">
              <w:rPr>
                <w:b/>
                <w:i/>
              </w:rPr>
              <w:t>dvejų</w:t>
            </w:r>
            <w:r w:rsidRPr="009A2B78">
              <w:t xml:space="preserve"> metų laikotarpiams.</w:t>
            </w:r>
          </w:p>
        </w:tc>
        <w:tc>
          <w:tcPr>
            <w:tcW w:w="4876" w:type="dxa"/>
            <w:hideMark/>
          </w:tcPr>
          <w:p w:rsidR="007C78BD" w:rsidRPr="009A2B78" w:rsidRDefault="007C78BD">
            <w:pPr>
              <w:pStyle w:val="Normal6"/>
            </w:pPr>
            <w:r w:rsidRPr="009A2B78">
              <w:t>b)</w:t>
            </w:r>
            <w:r w:rsidRPr="009A2B78">
              <w:tab/>
              <w:t xml:space="preserve">Papildomos apsaugos statuso turėtojams išduotas leidimas gyventi šalyje galioja </w:t>
            </w:r>
            <w:r w:rsidRPr="009A2B78">
              <w:rPr>
                <w:b/>
                <w:i/>
              </w:rPr>
              <w:t>penkerius</w:t>
            </w:r>
            <w:r w:rsidRPr="009A2B78">
              <w:t xml:space="preserve"> metus ir jo galiojimas gali būti pratęsiamas </w:t>
            </w:r>
            <w:r w:rsidRPr="009A2B78">
              <w:rPr>
                <w:b/>
                <w:i/>
              </w:rPr>
              <w:t>penkerių</w:t>
            </w:r>
            <w:r w:rsidRPr="009A2B78">
              <w:t xml:space="preserve"> metų laikotarpiams.</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32</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28 straipsnio 1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lastRenderedPageBreak/>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1.</w:t>
            </w:r>
            <w:r w:rsidRPr="009A2B78">
              <w:tab/>
              <w:t>Tarptautinės apsaugos gavėjai turi teisę laisvai judėti tarptautinę apsaugą suteikusios valstybės narės teritorijoje, taip pat teisę toje teritorijoje pasirinkti gyvenamąją vietą tokiomis pat sąlygomis ir laikydamiesi tokių pat apribojimų, kokie yra nustatyti kitiems jos teritorijoje teisėtai gyvenantiems trečiųjų šalių piliečiams</w:t>
            </w:r>
            <w:r w:rsidRPr="009A2B78">
              <w:rPr>
                <w:b/>
                <w:i/>
              </w:rPr>
              <w:t>, kurių padėtis panaši</w:t>
            </w:r>
            <w:r w:rsidRPr="009A2B78">
              <w:t>.</w:t>
            </w:r>
          </w:p>
        </w:tc>
        <w:tc>
          <w:tcPr>
            <w:tcW w:w="4876" w:type="dxa"/>
            <w:hideMark/>
          </w:tcPr>
          <w:p w:rsidR="007C78BD" w:rsidRPr="009A2B78" w:rsidRDefault="007C78BD">
            <w:pPr>
              <w:pStyle w:val="Normal6"/>
            </w:pPr>
            <w:r w:rsidRPr="009A2B78">
              <w:t>1.</w:t>
            </w:r>
            <w:r w:rsidRPr="009A2B78">
              <w:tab/>
              <w:t>Tarptautinės apsaugos gavėjai turi teisę laisvai judėti tarptautinę apsaugą suteikusios valstybės narės teritorijoje, taip pat teisę toje teritorijoje pasirinkti gyvenamąją vietą tokiomis pat sąlygomis ir laikydamiesi tokių pat apribojimų, kokie yra nustatyti kitiems jos teritorijoje teisėtai gyvenantiems trečiųjų šalių piliečiams.</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33</w:t>
      </w:r>
      <w:r w:rsidRPr="009A2B78">
        <w:rPr>
          <w:rStyle w:val="HideTWBExt"/>
          <w:b w:val="0"/>
          <w:noProof w:val="0"/>
        </w:rPr>
        <w:t>&lt;/NumAm&gt;</w:t>
      </w:r>
    </w:p>
    <w:p w:rsidR="007C78BD" w:rsidRPr="009A2B78" w:rsidRDefault="007C78BD" w:rsidP="007C78BD">
      <w:pPr>
        <w:pStyle w:val="NormalBold12b"/>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6A5AFB">
      <w:pPr>
        <w:pStyle w:val="NormalBold"/>
        <w:keepNext/>
      </w:pPr>
      <w:r w:rsidRPr="009A2B78">
        <w:rPr>
          <w:rStyle w:val="HideTWBExt"/>
          <w:b w:val="0"/>
          <w:noProof w:val="0"/>
        </w:rPr>
        <w:t>&lt;Article&gt;</w:t>
      </w:r>
      <w:r w:rsidRPr="009A2B78">
        <w:t>30 straipsnio 2 dalies a punktas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a)</w:t>
            </w:r>
            <w:r w:rsidRPr="009A2B78">
              <w:tab/>
              <w:t>darbo sąlygų, įskaitant darbo užmokestį ir atleidimą iš darbo, darbo valandas, atostogas ir poilsio dienas, taip pat su sveikata ir sauga darbo vietoje susijusių reikalavimų;</w:t>
            </w:r>
          </w:p>
        </w:tc>
        <w:tc>
          <w:tcPr>
            <w:tcW w:w="4876" w:type="dxa"/>
            <w:hideMark/>
          </w:tcPr>
          <w:p w:rsidR="007C78BD" w:rsidRPr="009A2B78" w:rsidRDefault="007C78BD">
            <w:pPr>
              <w:pStyle w:val="Normal6"/>
            </w:pPr>
            <w:r w:rsidRPr="009A2B78">
              <w:t>a)</w:t>
            </w:r>
            <w:r w:rsidRPr="009A2B78">
              <w:tab/>
              <w:t xml:space="preserve">darbo sąlygų, įskaitant darbo užmokestį ir atleidimą iš darbo, darbo valandas, atostogas ir poilsio dienas, </w:t>
            </w:r>
            <w:r w:rsidRPr="009A2B78">
              <w:rPr>
                <w:b/>
                <w:i/>
              </w:rPr>
              <w:t xml:space="preserve">atostogos dėl šeiminių priežasčių, </w:t>
            </w:r>
            <w:r w:rsidRPr="009A2B78">
              <w:t>taip pat su sveikata ir sauga darbo vietoje susijusių reikalavimų;</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34</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30 straipsnio 2 dalies b punktas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b)</w:t>
            </w:r>
            <w:r w:rsidRPr="009A2B78">
              <w:tab/>
              <w:t xml:space="preserve">asociacijų laisvės ir laisvės jungtis į sąjungas, taip pat stoti į darbuotojams ar darbdaviams atstovaujančias organizacijas ar į bet kurias kitas organizacijas, kurių nariai yra konkrečios profesijos atstovai, įskaitant </w:t>
            </w:r>
            <w:r w:rsidRPr="009A2B78">
              <w:rPr>
                <w:b/>
                <w:i/>
              </w:rPr>
              <w:t xml:space="preserve">teisę naudotis </w:t>
            </w:r>
            <w:r w:rsidRPr="009A2B78">
              <w:t xml:space="preserve">tokių organizacijų </w:t>
            </w:r>
            <w:r w:rsidRPr="009A2B78">
              <w:rPr>
                <w:b/>
                <w:i/>
              </w:rPr>
              <w:t>teikiamomis privilegijomis</w:t>
            </w:r>
            <w:r w:rsidRPr="009A2B78">
              <w:t>;</w:t>
            </w:r>
          </w:p>
        </w:tc>
        <w:tc>
          <w:tcPr>
            <w:tcW w:w="4876" w:type="dxa"/>
            <w:hideMark/>
          </w:tcPr>
          <w:p w:rsidR="007C78BD" w:rsidRPr="009A2B78" w:rsidRDefault="007C78BD">
            <w:pPr>
              <w:pStyle w:val="Normal6"/>
              <w:rPr>
                <w:szCs w:val="24"/>
              </w:rPr>
            </w:pPr>
            <w:r w:rsidRPr="009A2B78">
              <w:t>b)</w:t>
            </w:r>
            <w:r w:rsidRPr="009A2B78">
              <w:tab/>
              <w:t xml:space="preserve">asociacijų laisvės ir laisvės jungtis į sąjungas, taip pat stoti į darbuotojams ar darbdaviams atstovaujančias organizacijas ar į bet kurias kitas organizacijas, kurių nariai yra konkrečios profesijos atstovai, įskaitant tokių organizacijų </w:t>
            </w:r>
            <w:r w:rsidRPr="009A2B78">
              <w:rPr>
                <w:b/>
                <w:i/>
              </w:rPr>
              <w:t>teikiamas teises ir privilegijas</w:t>
            </w:r>
            <w:r w:rsidRPr="009A2B78">
              <w:t>;</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35</w:t>
      </w:r>
      <w:r w:rsidRPr="009A2B78">
        <w:rPr>
          <w:rStyle w:val="HideTWBExt"/>
          <w:b w:val="0"/>
          <w:noProof w:val="0"/>
        </w:rPr>
        <w:t>&lt;/NumAm&gt;</w:t>
      </w:r>
    </w:p>
    <w:p w:rsidR="007C78BD" w:rsidRPr="009A2B78" w:rsidRDefault="007C78BD" w:rsidP="007C78BD">
      <w:pPr>
        <w:pStyle w:val="NormalBold12b"/>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6A5AFB">
      <w:pPr>
        <w:pStyle w:val="NormalBold"/>
        <w:keepNext/>
      </w:pPr>
      <w:r w:rsidRPr="009A2B78">
        <w:rPr>
          <w:rStyle w:val="HideTWBExt"/>
          <w:b w:val="0"/>
          <w:noProof w:val="0"/>
        </w:rPr>
        <w:lastRenderedPageBreak/>
        <w:t>&lt;Article&gt;</w:t>
      </w:r>
      <w:r w:rsidRPr="009A2B78">
        <w:t>30 straipsnio 2 dalies c punktas</w:t>
      </w:r>
      <w:r w:rsidRPr="009A2B78">
        <w:rPr>
          <w:rStyle w:val="HideTWBExt"/>
          <w:b w:val="0"/>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c)</w:t>
            </w:r>
            <w:r w:rsidRPr="009A2B78">
              <w:tab/>
              <w:t xml:space="preserve">su įsidarbinimu susijusių </w:t>
            </w:r>
            <w:r w:rsidRPr="009A2B78">
              <w:rPr>
                <w:b/>
                <w:i/>
              </w:rPr>
              <w:t>suaugusiųjų</w:t>
            </w:r>
            <w:r w:rsidRPr="009A2B78">
              <w:t xml:space="preserve"> švietimo galimybių, profesinio mokymo, įskaitant kvalifikacijos kėlimo kursus, taip pat galimybių įgyti praktinės patirties darbo vietoje;</w:t>
            </w:r>
          </w:p>
        </w:tc>
        <w:tc>
          <w:tcPr>
            <w:tcW w:w="4876" w:type="dxa"/>
            <w:hideMark/>
          </w:tcPr>
          <w:p w:rsidR="007C78BD" w:rsidRPr="009A2B78" w:rsidRDefault="007C78BD">
            <w:pPr>
              <w:pStyle w:val="Normal6"/>
            </w:pPr>
            <w:r w:rsidRPr="009A2B78">
              <w:t>c)</w:t>
            </w:r>
            <w:r w:rsidRPr="009A2B78">
              <w:tab/>
            </w:r>
            <w:r w:rsidRPr="009A2B78">
              <w:rPr>
                <w:b/>
                <w:i/>
              </w:rPr>
              <w:t>su švietimu ir</w:t>
            </w:r>
            <w:r w:rsidRPr="009A2B78">
              <w:t xml:space="preserve"> įsidarbinimu susijusių švietimo galimybių, profesinio mokymo, įskaitant kvalifikacijos kėlimo kursus, taip pat galimybių įgyti praktinės patirties darbo vietoje;</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36</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30 straipsnio 2 dalies d punktas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d)</w:t>
            </w:r>
            <w:r w:rsidRPr="009A2B78">
              <w:tab/>
              <w:t>įdarbinimo tarnybų teikiamų konsultavimo paslaugų.</w:t>
            </w:r>
          </w:p>
        </w:tc>
        <w:tc>
          <w:tcPr>
            <w:tcW w:w="4876" w:type="dxa"/>
            <w:hideMark/>
          </w:tcPr>
          <w:p w:rsidR="007C78BD" w:rsidRPr="009A2B78" w:rsidRDefault="007C78BD">
            <w:pPr>
              <w:pStyle w:val="Normal6"/>
            </w:pPr>
            <w:r w:rsidRPr="009A2B78">
              <w:t>d)</w:t>
            </w:r>
            <w:r w:rsidRPr="009A2B78">
              <w:tab/>
              <w:t xml:space="preserve">įdarbinimo tarnybų teikiamų konsultavimo </w:t>
            </w:r>
            <w:r w:rsidRPr="009A2B78">
              <w:rPr>
                <w:b/>
                <w:i/>
              </w:rPr>
              <w:t xml:space="preserve">ir stebėjimo </w:t>
            </w:r>
            <w:r w:rsidRPr="009A2B78">
              <w:t>paslaugų.</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37</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30 straipsnio 3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3.</w:t>
            </w:r>
            <w:r w:rsidRPr="009A2B78">
              <w:tab/>
              <w:t xml:space="preserve">Kompetentingos institucijos </w:t>
            </w:r>
            <w:r w:rsidRPr="009A2B78">
              <w:rPr>
                <w:b/>
                <w:i/>
              </w:rPr>
              <w:t xml:space="preserve">prireikus </w:t>
            </w:r>
            <w:r w:rsidRPr="009A2B78">
              <w:t>sudaro palankesnes sąlygas visapus</w:t>
            </w:r>
            <w:r w:rsidR="006A5AFB">
              <w:t>iškai dalyvauti 2 dalies c ir d </w:t>
            </w:r>
            <w:r w:rsidRPr="009A2B78">
              <w:t>punktuose nurodytų rūšių veikloje.</w:t>
            </w:r>
          </w:p>
        </w:tc>
        <w:tc>
          <w:tcPr>
            <w:tcW w:w="4876" w:type="dxa"/>
            <w:hideMark/>
          </w:tcPr>
          <w:p w:rsidR="007C78BD" w:rsidRPr="009A2B78" w:rsidRDefault="007C78BD">
            <w:pPr>
              <w:pStyle w:val="Normal6"/>
            </w:pPr>
            <w:r w:rsidRPr="009A2B78">
              <w:t>3.</w:t>
            </w:r>
            <w:r w:rsidRPr="009A2B78">
              <w:tab/>
              <w:t>Kompetentingos institucijos sudaro palankesnes sąlygas visapusiškai dalyvauti 2 dalies c ir d punktuose nurodytų rūšių veikloje.</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38</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31 straipsnio 2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2.</w:t>
            </w:r>
            <w:r w:rsidRPr="009A2B78">
              <w:tab/>
              <w:t xml:space="preserve">Suaugusiesiems, kuriems suteikta tarptautinė apsauga, sudaromos sąlygos naudotis bendrąja švietimo sistema ir tolesnio profesinio mokymo ar perkvalifikavimo galimybėmis tokiomis pat sąlygomis kaip </w:t>
            </w:r>
            <w:r w:rsidRPr="009A2B78">
              <w:rPr>
                <w:b/>
                <w:i/>
              </w:rPr>
              <w:t xml:space="preserve">toje valstybėje narėje teisėtai gyvenantiems trečiųjų šalių </w:t>
            </w:r>
            <w:r w:rsidRPr="009A2B78">
              <w:t>piliečiams</w:t>
            </w:r>
            <w:r w:rsidRPr="009A2B78">
              <w:rPr>
                <w:b/>
                <w:i/>
              </w:rPr>
              <w:t>, kurių padėtis panaši</w:t>
            </w:r>
            <w:r w:rsidRPr="009A2B78">
              <w:t>.</w:t>
            </w:r>
          </w:p>
        </w:tc>
        <w:tc>
          <w:tcPr>
            <w:tcW w:w="4876" w:type="dxa"/>
            <w:hideMark/>
          </w:tcPr>
          <w:p w:rsidR="007C78BD" w:rsidRPr="009A2B78" w:rsidRDefault="007C78BD">
            <w:pPr>
              <w:pStyle w:val="Normal6"/>
            </w:pPr>
            <w:r w:rsidRPr="009A2B78">
              <w:t>2.</w:t>
            </w:r>
            <w:r w:rsidRPr="009A2B78">
              <w:tab/>
              <w:t>Suaugusiesiems, kuriems suteikta tarptautinė apsauga, sudaromos sąlygos naudotis bendrąja švietimo sistema ir tolesnio profesinio mokymo ar perkvalifikavimo galimybėmis tokiomis pat sąlygomis kaip piliečiams.</w:t>
            </w:r>
          </w:p>
        </w:tc>
      </w:tr>
    </w:tbl>
    <w:p w:rsidR="007C78BD" w:rsidRPr="009A2B78" w:rsidRDefault="007C78BD" w:rsidP="007C78BD">
      <w:r w:rsidRPr="009A2B78">
        <w:rPr>
          <w:rStyle w:val="HideTWBExt"/>
          <w:noProof w:val="0"/>
        </w:rPr>
        <w:lastRenderedPageBreak/>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39</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34 straipsnio 1 dalies 2 pastraipa</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Galimybė naudotis pagal nacionalinę teisę nustatyta tam tikra socialine parama gali būti susieta su tarptautinės apsaugos gavėjo veiksmingu dalyvavimu integracijos programose.</w:t>
            </w:r>
          </w:p>
        </w:tc>
        <w:tc>
          <w:tcPr>
            <w:tcW w:w="4876" w:type="dxa"/>
            <w:hideMark/>
          </w:tcPr>
          <w:p w:rsidR="007C78BD" w:rsidRPr="009A2B78" w:rsidRDefault="007C78BD">
            <w:pPr>
              <w:pStyle w:val="Normal6"/>
              <w:rPr>
                <w:szCs w:val="24"/>
              </w:rPr>
            </w:pPr>
            <w:r w:rsidRPr="009A2B78">
              <w:t xml:space="preserve">Galimybė naudotis pagal nacionalinę teisę nustatyta tam tikra socialine parama gali būti susieta su tarptautinės apsaugos gavėjo veiksmingu dalyvavimu </w:t>
            </w:r>
            <w:r w:rsidRPr="009A2B78">
              <w:rPr>
                <w:b/>
                <w:i/>
              </w:rPr>
              <w:t xml:space="preserve">nemokamose bei fiziškai ir kitaip lengvai prieinamose </w:t>
            </w:r>
            <w:r w:rsidRPr="009A2B78">
              <w:t>integracijos programose.</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40</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34 straipsnio 2 dalis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rPr>
                <w:b/>
                <w:i/>
              </w:rPr>
              <w:t>2.</w:t>
            </w:r>
            <w:r w:rsidRPr="009A2B78">
              <w:rPr>
                <w:b/>
                <w:i/>
              </w:rPr>
              <w:tab/>
              <w:t>Papildomos apsaugos statuso turėtojams valstybės narės gali riboti socialinės paramos teikimą ir skirti tik būtinąsias išmokas.</w:t>
            </w:r>
          </w:p>
        </w:tc>
        <w:tc>
          <w:tcPr>
            <w:tcW w:w="4876" w:type="dxa"/>
            <w:hideMark/>
          </w:tcPr>
          <w:p w:rsidR="007C78BD" w:rsidRPr="009A2B78" w:rsidRDefault="007C78BD">
            <w:pPr>
              <w:pStyle w:val="Normal6"/>
              <w:rPr>
                <w:szCs w:val="24"/>
              </w:rPr>
            </w:pPr>
            <w:r w:rsidRPr="009A2B78">
              <w:rPr>
                <w:b/>
                <w:i/>
              </w:rPr>
              <w:t>Išbraukta.</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41</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35 straipsnio 2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2.</w:t>
            </w:r>
            <w:r w:rsidRPr="009A2B78">
              <w:tab/>
              <w:t xml:space="preserve">Specialių poreikių turintiems tarptautinės apsaugos gavėjams, pvz., nėščiosioms, neįgaliesiems, asmenims, kurie buvo kankinami, prievartaujami ar patyrė kitokį sunkų psichologinį, fizinį ar seksualinį smurtą, arba nepilnamečiams, kurie patyrė bet kokį smurtą, nepriežiūrą, išnaudojimą, kankinimą, žiaurų, nežmonišką ir žeminantį elgesį arba nukentėjo nuo ginkluoto konflikto, </w:t>
            </w:r>
            <w:r w:rsidRPr="009A2B78">
              <w:rPr>
                <w:b/>
                <w:i/>
              </w:rPr>
              <w:t>tinkamos</w:t>
            </w:r>
            <w:r w:rsidRPr="009A2B78">
              <w:t xml:space="preserve"> sveikatos priežiūros paslaugos, įskaitant, jei reikia, psichinių sutrikimų gydymą, teikiamos tokiomis pat </w:t>
            </w:r>
            <w:r w:rsidRPr="009A2B78">
              <w:lastRenderedPageBreak/>
              <w:t>reikalavimų atitikimu grindžiamomis sąlygomis kaip apsaugą suteikusios valstybės narės piliečiams.</w:t>
            </w:r>
          </w:p>
        </w:tc>
        <w:tc>
          <w:tcPr>
            <w:tcW w:w="4876" w:type="dxa"/>
            <w:hideMark/>
          </w:tcPr>
          <w:p w:rsidR="007C78BD" w:rsidRPr="009A2B78" w:rsidRDefault="007C78BD">
            <w:pPr>
              <w:pStyle w:val="Normal6"/>
            </w:pPr>
            <w:r w:rsidRPr="009A2B78">
              <w:lastRenderedPageBreak/>
              <w:t>2.</w:t>
            </w:r>
            <w:r w:rsidRPr="009A2B78">
              <w:tab/>
              <w:t xml:space="preserve">Specialių poreikių turintiems tarptautinės apsaugos gavėjams, pvz., nėščiosioms, neįgaliesiems, asmenims, kurie buvo kankinami, prievartaujami ar patyrė kitokį sunkų psichologinį, fizinį ar seksualinį smurtą, arba nepilnamečiams, kurie patyrė bet kokį smurtą, nepriežiūrą, išnaudojimą, kankinimą, žiaurų, nežmonišką ir žeminantį elgesį arba nukentėjo nuo ginkluoto konflikto, </w:t>
            </w:r>
            <w:r w:rsidRPr="009A2B78">
              <w:rPr>
                <w:b/>
                <w:i/>
              </w:rPr>
              <w:t>atitinkamos</w:t>
            </w:r>
            <w:r w:rsidRPr="009A2B78">
              <w:t xml:space="preserve"> sveikatos priežiūros paslaugos, įskaitant, jei reikia, psichinių sutrikimų gydymą, teikiamos tokiomis pat </w:t>
            </w:r>
            <w:r w:rsidRPr="009A2B78">
              <w:lastRenderedPageBreak/>
              <w:t>reikalavimų atitikimu grindžiamomis sąlygomis kaip apsaugą suteikusios valstybės narės piliečiams.</w:t>
            </w:r>
          </w:p>
        </w:tc>
      </w:tr>
    </w:tbl>
    <w:p w:rsidR="007C78BD" w:rsidRPr="009A2B78" w:rsidRDefault="007C78BD" w:rsidP="007C78BD">
      <w:r w:rsidRPr="009A2B78">
        <w:rPr>
          <w:rStyle w:val="HideTWBExt"/>
          <w:noProof w:val="0"/>
        </w:rPr>
        <w:lastRenderedPageBreak/>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42</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36 straipsnio 1 dalies 1 pastraipa</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rPr>
                <w:b/>
                <w:i/>
              </w:rPr>
              <w:t xml:space="preserve">Suteikus tarptautinę apsaugą, </w:t>
            </w:r>
            <w:r w:rsidRPr="009A2B78">
              <w:t>kuo greičiau ir ne vėliau kaip per penkias</w:t>
            </w:r>
            <w:r w:rsidRPr="009A2B78">
              <w:rPr>
                <w:b/>
                <w:i/>
              </w:rPr>
              <w:t xml:space="preserve"> darbo</w:t>
            </w:r>
            <w:r w:rsidRPr="009A2B78">
              <w:t xml:space="preserve"> dienas, kaip nurodyta Reglamento (ES) XX</w:t>
            </w:r>
            <w:r w:rsidR="006A5AFB">
              <w:t>X/XXX [Procedūrų reglamento] 22 </w:t>
            </w:r>
            <w:r w:rsidRPr="009A2B78">
              <w:t>straipsnio 1 dalyje, kompetentingos institucijos imasi reikiamų priemonių užtikrinti, kad nelydimiems nepilnamečiams atstovautų teisinis globėjas, ar, jei reikia, už nepilnamečių priežiūrą ir gerovę atsakinga organizacija arba būtų atstovaujama bet kokiu kitu tinkamu būdu, įskaitant atstovavimą remiantis teisės aktais arba teismo sprendimu.</w:t>
            </w:r>
          </w:p>
        </w:tc>
        <w:tc>
          <w:tcPr>
            <w:tcW w:w="4876" w:type="dxa"/>
            <w:hideMark/>
          </w:tcPr>
          <w:p w:rsidR="007C78BD" w:rsidRPr="009A2B78" w:rsidRDefault="007C78BD">
            <w:pPr>
              <w:pStyle w:val="Normal6"/>
            </w:pPr>
            <w:r w:rsidRPr="009A2B78">
              <w:t>Kuo greičiau ir ne vėliau kaip per penkias dienas, kaip nurodyta Reglamento (ES) XXX/XXX [Proced</w:t>
            </w:r>
            <w:r w:rsidR="006A5AFB">
              <w:t>ūrų reglamento] 22 </w:t>
            </w:r>
            <w:r w:rsidRPr="009A2B78">
              <w:t>straipsnio 1 dalyje, kompetentingos institucijos imasi reikiamų priemonių užtikrinti, kad nelydimiems nepilnamečiams atstovautų teisinis globėjas, ar, jei reikia, už nepilnamečių priežiūrą ir gerovę atsakinga organizacija arba būtų atstovaujama bet kokiu kitu tinkamu būdu, įskaitant atstovavimą remiantis teisės aktais arba teismo sprendimu.</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43</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36 straipsnio 3 dalies 1 pastraipos d punktas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rPr>
                <w:b/>
                <w:i/>
              </w:rPr>
              <w:t>d)</w:t>
            </w:r>
            <w:r w:rsidRPr="009A2B78">
              <w:tab/>
            </w:r>
            <w:r w:rsidRPr="009A2B78">
              <w:rPr>
                <w:b/>
                <w:i/>
              </w:rPr>
              <w:t>kitose nepilnamečiams gyventi tinkamose vietose.</w:t>
            </w:r>
          </w:p>
        </w:tc>
        <w:tc>
          <w:tcPr>
            <w:tcW w:w="4876" w:type="dxa"/>
            <w:hideMark/>
          </w:tcPr>
          <w:p w:rsidR="007C78BD" w:rsidRPr="009A2B78" w:rsidRDefault="007C78BD">
            <w:pPr>
              <w:pStyle w:val="Normal6"/>
            </w:pPr>
            <w:r w:rsidRPr="009A2B78">
              <w:rPr>
                <w:b/>
                <w:i/>
              </w:rPr>
              <w:t>Išbraukta.</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44</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36 straipsnio 4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4.</w:t>
            </w:r>
            <w:r w:rsidRPr="009A2B78">
              <w:tab/>
              <w:t xml:space="preserve">Jei įmanoma, broliai ir (arba) seserys neišskiriami, atsižvelgiant į atitinkamo nepilnamečio interesus, ypač į </w:t>
            </w:r>
            <w:r w:rsidRPr="009A2B78">
              <w:lastRenderedPageBreak/>
              <w:t>jo amžių ir brandą. Nelydimų nepilnamečių gyvenamoji vieta keičiama kuo rečiau.</w:t>
            </w:r>
          </w:p>
        </w:tc>
        <w:tc>
          <w:tcPr>
            <w:tcW w:w="4876" w:type="dxa"/>
            <w:hideMark/>
          </w:tcPr>
          <w:p w:rsidR="007C78BD" w:rsidRPr="009A2B78" w:rsidRDefault="007C78BD">
            <w:pPr>
              <w:pStyle w:val="Normal6"/>
            </w:pPr>
            <w:r w:rsidRPr="009A2B78">
              <w:lastRenderedPageBreak/>
              <w:t>4.</w:t>
            </w:r>
            <w:r w:rsidRPr="009A2B78">
              <w:tab/>
              <w:t xml:space="preserve">Jei įmanoma, broliai ir (arba) seserys neišskiriami, atsižvelgiant į atitinkamo nepilnamečio interesus, ypač į </w:t>
            </w:r>
            <w:r w:rsidRPr="009A2B78">
              <w:lastRenderedPageBreak/>
              <w:t>jo amžių ir brandą. Nelydimų nepilnamečių gyvenamoji vieta keičiama kuo rečiau</w:t>
            </w:r>
            <w:r w:rsidRPr="009A2B78">
              <w:rPr>
                <w:b/>
                <w:i/>
              </w:rPr>
              <w:t xml:space="preserve"> ir vengiama juos paskirti į administracines sulaikymo įstaigas</w:t>
            </w:r>
            <w:r w:rsidRPr="009A2B78">
              <w:t>.</w:t>
            </w:r>
          </w:p>
        </w:tc>
      </w:tr>
    </w:tbl>
    <w:p w:rsidR="007C78BD" w:rsidRPr="009A2B78" w:rsidRDefault="007C78BD" w:rsidP="007C78BD">
      <w:r w:rsidRPr="009A2B78">
        <w:rPr>
          <w:rStyle w:val="HideTWBExt"/>
          <w:noProof w:val="0"/>
        </w:rPr>
        <w:lastRenderedPageBreak/>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45</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37 straipsnio 1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1.</w:t>
            </w:r>
            <w:r w:rsidRPr="009A2B78">
              <w:tab/>
              <w:t xml:space="preserve">Tarptautinės apsaugos gavėjams suteikiama galimybė būti apgyvendintiems tokiomis pat sąlygomis kaip </w:t>
            </w:r>
            <w:r w:rsidRPr="009A2B78">
              <w:rPr>
                <w:b/>
                <w:i/>
              </w:rPr>
              <w:t xml:space="preserve">kitiems valstybių narių teritorijose teisėtai gyvenantiems trečiųjų šalių </w:t>
            </w:r>
            <w:r w:rsidRPr="009A2B78">
              <w:t>piliečiams</w:t>
            </w:r>
            <w:r w:rsidRPr="009A2B78">
              <w:rPr>
                <w:b/>
                <w:i/>
              </w:rPr>
              <w:t>, kurių padėtis panaši</w:t>
            </w:r>
            <w:r w:rsidRPr="009A2B78">
              <w:t>.</w:t>
            </w:r>
          </w:p>
        </w:tc>
        <w:tc>
          <w:tcPr>
            <w:tcW w:w="4876" w:type="dxa"/>
            <w:hideMark/>
          </w:tcPr>
          <w:p w:rsidR="007C78BD" w:rsidRPr="009A2B78" w:rsidRDefault="007C78BD">
            <w:pPr>
              <w:pStyle w:val="Normal6"/>
            </w:pPr>
            <w:r w:rsidRPr="009A2B78">
              <w:t>1.</w:t>
            </w:r>
            <w:r w:rsidRPr="009A2B78">
              <w:tab/>
              <w:t>Tarptautinės apsaugos gavėjams suteikiama galimybė būti apgyvendintiems tokiomis pat sąlygomis kaip piliečiams.</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46</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37 straipsnio 2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2.</w:t>
            </w:r>
            <w:r w:rsidRPr="009A2B78">
              <w:tab/>
              <w:t>Nacionalinė tarptautinės apsaugos gavėjų paskirstymo tvarka taikoma</w:t>
            </w:r>
            <w:r w:rsidRPr="009A2B78">
              <w:rPr>
                <w:b/>
                <w:i/>
              </w:rPr>
              <w:t>, kiek įmanoma,</w:t>
            </w:r>
            <w:r w:rsidRPr="009A2B78">
              <w:t xml:space="preserve"> nediskriminuojant tarptautinės apsaugos gavėjų ir užtikrinant lygias galimybes būti apgyvendintiems.</w:t>
            </w:r>
          </w:p>
        </w:tc>
        <w:tc>
          <w:tcPr>
            <w:tcW w:w="4876" w:type="dxa"/>
            <w:hideMark/>
          </w:tcPr>
          <w:p w:rsidR="007C78BD" w:rsidRPr="009A2B78" w:rsidRDefault="007C78BD">
            <w:pPr>
              <w:pStyle w:val="Normal6"/>
            </w:pPr>
            <w:r w:rsidRPr="009A2B78">
              <w:t>2.</w:t>
            </w:r>
            <w:r w:rsidRPr="009A2B78">
              <w:tab/>
              <w:t>Nacionalinė tarptautinės apsaugos gavėjų paskirstymo tvarka taikoma nediskriminuojant tarptautinės apsaugos gavėjų ir užtikrinant lygias galimybes būti apgyvendintiems.</w:t>
            </w:r>
          </w:p>
        </w:tc>
      </w:tr>
    </w:tbl>
    <w:p w:rsidR="007C78BD" w:rsidRPr="009A2B78" w:rsidRDefault="007C78BD" w:rsidP="007C78BD">
      <w:r w:rsidRPr="009A2B78">
        <w:rPr>
          <w:rStyle w:val="HideTWBExt"/>
          <w:noProof w:val="0"/>
        </w:rPr>
        <w:t>&lt;/Amend&gt;</w:t>
      </w:r>
    </w:p>
    <w:p w:rsidR="007C78BD" w:rsidRPr="009A2B78" w:rsidRDefault="007C78BD" w:rsidP="007C78BD">
      <w:pPr>
        <w:pStyle w:val="AMNumberTabs"/>
      </w:pPr>
      <w:r w:rsidRPr="009A2B78">
        <w:rPr>
          <w:rStyle w:val="HideTWBExt"/>
          <w:noProof w:val="0"/>
        </w:rPr>
        <w:t>&lt;Amend&gt;</w:t>
      </w:r>
      <w:r w:rsidRPr="009A2B78">
        <w:t xml:space="preserve">Pakeitimas </w:t>
      </w:r>
      <w:r w:rsidRPr="009A2B78">
        <w:tab/>
      </w:r>
      <w:r w:rsidRPr="009A2B78">
        <w:tab/>
      </w:r>
      <w:r w:rsidRPr="009A2B78">
        <w:rPr>
          <w:rStyle w:val="HideTWBExt"/>
          <w:noProof w:val="0"/>
        </w:rPr>
        <w:t>&lt;NumAm&gt;</w:t>
      </w:r>
      <w:r w:rsidRPr="009A2B78">
        <w:t>47</w:t>
      </w:r>
      <w:r w:rsidRPr="009A2B78">
        <w:rPr>
          <w:rStyle w:val="HideTWBExt"/>
          <w:noProof w:val="0"/>
        </w:rPr>
        <w:t>&lt;/NumAm&gt;</w:t>
      </w:r>
    </w:p>
    <w:p w:rsidR="007C78BD" w:rsidRPr="009A2B78" w:rsidRDefault="007C78BD" w:rsidP="007C78BD">
      <w:pPr>
        <w:pStyle w:val="NormalBold12b"/>
      </w:pPr>
      <w:r w:rsidRPr="009A2B78">
        <w:rPr>
          <w:rStyle w:val="HideTWBExt"/>
          <w:noProof w:val="0"/>
        </w:rPr>
        <w:t>&lt;DocAmend&gt;</w:t>
      </w:r>
      <w:r w:rsidRPr="009A2B78">
        <w:t>Pasiūlymas dėl reglamento</w:t>
      </w:r>
      <w:r w:rsidRPr="009A2B78">
        <w:rPr>
          <w:rStyle w:val="HideTWBExt"/>
          <w:noProof w:val="0"/>
        </w:rPr>
        <w:t>&lt;/DocAmend&gt;</w:t>
      </w:r>
    </w:p>
    <w:p w:rsidR="007C78BD" w:rsidRPr="009A2B78" w:rsidRDefault="007C78BD" w:rsidP="007C78BD">
      <w:pPr>
        <w:pStyle w:val="NormalBold"/>
      </w:pPr>
      <w:r w:rsidRPr="009A2B78">
        <w:rPr>
          <w:rStyle w:val="HideTWBExt"/>
          <w:noProof w:val="0"/>
        </w:rPr>
        <w:t>&lt;Article&gt;</w:t>
      </w:r>
      <w:r w:rsidRPr="009A2B78">
        <w:t>38 straipsnio 1 dalis</w:t>
      </w:r>
      <w:r w:rsidRPr="009A2B7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trHeight w:val="240"/>
          <w:jc w:val="center"/>
        </w:trPr>
        <w:tc>
          <w:tcPr>
            <w:tcW w:w="9752" w:type="dxa"/>
            <w:gridSpan w:val="2"/>
          </w:tcPr>
          <w:p w:rsidR="007C78BD" w:rsidRPr="009A2B78" w:rsidRDefault="007C78BD"/>
        </w:tc>
      </w:tr>
      <w:tr w:rsidR="007C78BD" w:rsidRPr="009A2B78" w:rsidTr="007C78BD">
        <w:trPr>
          <w:trHeight w:val="240"/>
          <w:jc w:val="center"/>
        </w:trPr>
        <w:tc>
          <w:tcPr>
            <w:tcW w:w="4876" w:type="dxa"/>
            <w:hideMark/>
          </w:tcPr>
          <w:p w:rsidR="007C78BD" w:rsidRPr="009A2B78" w:rsidRDefault="007C78BD">
            <w:pPr>
              <w:pStyle w:val="ColumnHeading"/>
            </w:pPr>
            <w:r w:rsidRPr="009A2B78">
              <w:t>Komisijos siūlomas tekstas</w:t>
            </w:r>
          </w:p>
        </w:tc>
        <w:tc>
          <w:tcPr>
            <w:tcW w:w="4876" w:type="dxa"/>
            <w:hideMark/>
          </w:tcPr>
          <w:p w:rsidR="007C78BD" w:rsidRPr="009A2B78" w:rsidRDefault="007C78BD">
            <w:pPr>
              <w:pStyle w:val="ColumnHeading"/>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1.</w:t>
            </w:r>
            <w:r w:rsidRPr="009A2B78">
              <w:tab/>
              <w:t xml:space="preserve">Siekiant palengvinti tarptautinės apsaugos gavėjų integraciją į visuomenę, tarptautinės apsaugos gavėjams suteikiama galimybė dalyvauti valstybių narių rengiamose jų specialius poreikius atitinkančiose integracijos programose, visų pirma lankyti kalbos kursus, dalyvauti </w:t>
            </w:r>
            <w:r w:rsidRPr="009A2B78">
              <w:lastRenderedPageBreak/>
              <w:t>pilietinio ugdymo ir integracijos programose ir gauti profesinį mokymą.</w:t>
            </w:r>
          </w:p>
        </w:tc>
        <w:tc>
          <w:tcPr>
            <w:tcW w:w="4876" w:type="dxa"/>
            <w:hideMark/>
          </w:tcPr>
          <w:p w:rsidR="007C78BD" w:rsidRPr="009A2B78" w:rsidRDefault="007C78BD">
            <w:pPr>
              <w:pStyle w:val="Normal6"/>
            </w:pPr>
            <w:r w:rsidRPr="009A2B78">
              <w:lastRenderedPageBreak/>
              <w:t>1.</w:t>
            </w:r>
            <w:r w:rsidRPr="009A2B78">
              <w:tab/>
              <w:t xml:space="preserve">Siekiant palengvinti tarptautinės apsaugos gavėjų integraciją į visuomenę, tarptautinės apsaugos gavėjams suteikiama galimybė dalyvauti valstybių narių rengiamose </w:t>
            </w:r>
            <w:r w:rsidRPr="009A2B78">
              <w:rPr>
                <w:b/>
                <w:i/>
              </w:rPr>
              <w:t xml:space="preserve">nemokamose, lengvai prieinamose ir </w:t>
            </w:r>
            <w:r w:rsidRPr="009A2B78">
              <w:t xml:space="preserve">jų specialius poreikius atitinkančiose integracijos programose, </w:t>
            </w:r>
            <w:r w:rsidRPr="009A2B78">
              <w:lastRenderedPageBreak/>
              <w:t>visų pirma lankyti kalbos kursus, dalyvauti pilietinio ugdymo ir integracijos programose ir gauti profesinį mokymą.</w:t>
            </w:r>
          </w:p>
        </w:tc>
      </w:tr>
    </w:tbl>
    <w:p w:rsidR="007C78BD" w:rsidRPr="009A2B78" w:rsidRDefault="007C78BD" w:rsidP="007C78BD">
      <w:r w:rsidRPr="009A2B78">
        <w:rPr>
          <w:rStyle w:val="HideTWBExt"/>
          <w:noProof w:val="0"/>
        </w:rPr>
        <w:lastRenderedPageBreak/>
        <w:t>&lt;/Amend&gt;</w:t>
      </w:r>
    </w:p>
    <w:p w:rsidR="007C78BD" w:rsidRPr="009A2B78" w:rsidRDefault="007C78BD" w:rsidP="007C78BD">
      <w:pPr>
        <w:pStyle w:val="AMNumberTabs"/>
        <w:keepNext/>
      </w:pPr>
      <w:r w:rsidRPr="009A2B78">
        <w:rPr>
          <w:rStyle w:val="HideTWBExt"/>
          <w:b w:val="0"/>
          <w:noProof w:val="0"/>
        </w:rPr>
        <w:t>&lt;Amend&gt;</w:t>
      </w:r>
      <w:r w:rsidRPr="009A2B78">
        <w:t>Pakeitimas</w:t>
      </w:r>
      <w:r w:rsidRPr="009A2B78">
        <w:tab/>
      </w:r>
      <w:r w:rsidRPr="009A2B78">
        <w:tab/>
      </w:r>
      <w:r w:rsidRPr="009A2B78">
        <w:rPr>
          <w:rStyle w:val="HideTWBExt"/>
          <w:b w:val="0"/>
          <w:noProof w:val="0"/>
        </w:rPr>
        <w:t>&lt;NumAm&gt;</w:t>
      </w:r>
      <w:r w:rsidRPr="009A2B78">
        <w:t>48</w:t>
      </w:r>
      <w:r w:rsidRPr="009A2B78">
        <w:rPr>
          <w:rStyle w:val="HideTWBExt"/>
          <w:b w:val="0"/>
          <w:noProof w:val="0"/>
        </w:rPr>
        <w:t>&lt;/NumAm&gt;</w:t>
      </w:r>
    </w:p>
    <w:p w:rsidR="007C78BD" w:rsidRPr="009A2B78" w:rsidRDefault="007C78BD" w:rsidP="007C78BD">
      <w:pPr>
        <w:pStyle w:val="NormalBold12b"/>
        <w:keepNext/>
      </w:pPr>
      <w:r w:rsidRPr="009A2B78">
        <w:rPr>
          <w:rStyle w:val="HideTWBExt"/>
          <w:b w:val="0"/>
          <w:noProof w:val="0"/>
        </w:rPr>
        <w:t>&lt;DocAmend&gt;</w:t>
      </w:r>
      <w:r w:rsidRPr="009A2B78">
        <w:t>Pasiūlymas dėl reglamento</w:t>
      </w:r>
      <w:r w:rsidRPr="009A2B78">
        <w:rPr>
          <w:rStyle w:val="HideTWBExt"/>
          <w:b w:val="0"/>
          <w:noProof w:val="0"/>
        </w:rPr>
        <w:t>&lt;/DocAmend&gt;</w:t>
      </w:r>
    </w:p>
    <w:p w:rsidR="007C78BD" w:rsidRPr="009A2B78" w:rsidRDefault="007C78BD" w:rsidP="007C78BD">
      <w:pPr>
        <w:pStyle w:val="NormalBold"/>
      </w:pPr>
      <w:r w:rsidRPr="009A2B78">
        <w:rPr>
          <w:rStyle w:val="HideTWBExt"/>
          <w:b w:val="0"/>
          <w:noProof w:val="0"/>
        </w:rPr>
        <w:t>&lt;Article&gt;</w:t>
      </w:r>
      <w:r w:rsidRPr="009A2B78">
        <w:t>38 straipsnio 2 dalis</w:t>
      </w:r>
      <w:r w:rsidRPr="009A2B7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8BD" w:rsidRPr="009A2B78" w:rsidTr="007C78BD">
        <w:trPr>
          <w:jc w:val="center"/>
        </w:trPr>
        <w:tc>
          <w:tcPr>
            <w:tcW w:w="9752" w:type="dxa"/>
            <w:gridSpan w:val="2"/>
          </w:tcPr>
          <w:p w:rsidR="007C78BD" w:rsidRPr="009A2B78" w:rsidRDefault="007C78BD">
            <w:pPr>
              <w:keepNext/>
            </w:pPr>
          </w:p>
        </w:tc>
      </w:tr>
      <w:tr w:rsidR="007C78BD" w:rsidRPr="009A2B78" w:rsidTr="007C78BD">
        <w:trPr>
          <w:jc w:val="center"/>
        </w:trPr>
        <w:tc>
          <w:tcPr>
            <w:tcW w:w="4876" w:type="dxa"/>
            <w:hideMark/>
          </w:tcPr>
          <w:p w:rsidR="007C78BD" w:rsidRPr="009A2B78" w:rsidRDefault="007C78BD">
            <w:pPr>
              <w:pStyle w:val="ColumnHeading"/>
              <w:keepNext/>
            </w:pPr>
            <w:r w:rsidRPr="009A2B78">
              <w:t>Komisijos siūlomas tekstas</w:t>
            </w:r>
          </w:p>
        </w:tc>
        <w:tc>
          <w:tcPr>
            <w:tcW w:w="4876" w:type="dxa"/>
            <w:hideMark/>
          </w:tcPr>
          <w:p w:rsidR="007C78BD" w:rsidRPr="009A2B78" w:rsidRDefault="007C78BD">
            <w:pPr>
              <w:pStyle w:val="ColumnHeading"/>
              <w:keepNext/>
            </w:pPr>
            <w:r w:rsidRPr="009A2B78">
              <w:t>Pakeitimas</w:t>
            </w:r>
          </w:p>
        </w:tc>
      </w:tr>
      <w:tr w:rsidR="007C78BD" w:rsidRPr="009A2B78" w:rsidTr="007C78BD">
        <w:trPr>
          <w:jc w:val="center"/>
        </w:trPr>
        <w:tc>
          <w:tcPr>
            <w:tcW w:w="4876" w:type="dxa"/>
            <w:hideMark/>
          </w:tcPr>
          <w:p w:rsidR="007C78BD" w:rsidRPr="009A2B78" w:rsidRDefault="007C78BD">
            <w:pPr>
              <w:pStyle w:val="Normal6"/>
            </w:pPr>
            <w:r w:rsidRPr="009A2B78">
              <w:t>2.</w:t>
            </w:r>
            <w:r w:rsidRPr="009A2B78">
              <w:tab/>
              <w:t>Valstybės narės gali nustatyti, kad dalyvauti integracijos programose yra privaloma.</w:t>
            </w:r>
          </w:p>
        </w:tc>
        <w:tc>
          <w:tcPr>
            <w:tcW w:w="4876" w:type="dxa"/>
            <w:hideMark/>
          </w:tcPr>
          <w:p w:rsidR="007C78BD" w:rsidRPr="009A2B78" w:rsidRDefault="007C78BD">
            <w:pPr>
              <w:pStyle w:val="Normal6"/>
              <w:rPr>
                <w:szCs w:val="24"/>
              </w:rPr>
            </w:pPr>
            <w:r w:rsidRPr="009A2B78">
              <w:t>2.</w:t>
            </w:r>
            <w:r w:rsidRPr="009A2B78">
              <w:tab/>
              <w:t>Valstybės narės gali nustatyti, kad dalyvauti integracijos programose yra privaloma</w:t>
            </w:r>
            <w:r w:rsidRPr="009A2B78">
              <w:rPr>
                <w:b/>
                <w:i/>
              </w:rPr>
              <w:t>, jeigu atitinkamos integracijos programos yra nemokamos, lengvai prieinamos ir jomis atsižvelgiama į konkrečius tarptautinės apsaugos gavėjo poreikius. Dalyvavimas integracijos programose neturi įtakos šiame reglamente nustatytoms teisėms ir prievolėms ir nesuteikia pagrindo peržiūrėti, panaikinti pabėgėlio arba papildomos apsaugos statusą ir su juo susijusias teises ir pareigas, nutraukti jo galiojimą, atsisakyti jį suteikti arba atsisakyti pratęsti jo galiojimą</w:t>
            </w:r>
            <w:r w:rsidRPr="009A2B78">
              <w:t>.</w:t>
            </w:r>
          </w:p>
        </w:tc>
      </w:tr>
    </w:tbl>
    <w:p w:rsidR="007C78BD" w:rsidRPr="006A5AFB" w:rsidRDefault="007C78BD" w:rsidP="007C78BD">
      <w:pPr>
        <w:pStyle w:val="AMNumberTabs"/>
        <w:keepNext/>
      </w:pPr>
      <w:r w:rsidRPr="009A2B78">
        <w:rPr>
          <w:rStyle w:val="HideTWBExt"/>
          <w:noProof w:val="0"/>
        </w:rPr>
        <w:t>&lt;/Amend&gt;</w:t>
      </w:r>
    </w:p>
    <w:p w:rsidR="007C78BD" w:rsidRPr="009A2B78" w:rsidRDefault="007C78BD" w:rsidP="007C78BD">
      <w:r w:rsidRPr="009A2B78">
        <w:rPr>
          <w:rStyle w:val="HideTWBExt"/>
          <w:noProof w:val="0"/>
        </w:rPr>
        <w:t>&lt;/RepeatBlock-Amend&gt;</w:t>
      </w:r>
      <w:bookmarkEnd w:id="5"/>
    </w:p>
    <w:p w:rsidR="00B65EB7" w:rsidRPr="009A2B78" w:rsidRDefault="00B65EB7" w:rsidP="00B65EB7">
      <w:pPr>
        <w:pStyle w:val="PageHeadingNotTOC"/>
      </w:pPr>
      <w:r w:rsidRPr="009A2B78">
        <w:br w:type="page"/>
      </w:r>
      <w:bookmarkStart w:id="7" w:name="ProcPageAD"/>
      <w:r w:rsidRPr="009A2B78">
        <w:lastRenderedPageBreak/>
        <w:t>NUOMONĘ TEIKIANČIO KOMITETO PROCEDŪRA</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65EB7" w:rsidRPr="009A2B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b/>
                <w:bCs/>
                <w:color w:val="000000"/>
                <w:sz w:val="20"/>
                <w:szCs w:val="20"/>
              </w:rPr>
            </w:pPr>
            <w:r w:rsidRPr="009A2B78">
              <w:rPr>
                <w:b/>
                <w:bCs/>
                <w:color w:val="000000"/>
                <w:sz w:val="20"/>
                <w:szCs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EB7" w:rsidRPr="009A2B78" w:rsidRDefault="00B65EB7" w:rsidP="006A5AFB">
            <w:pPr>
              <w:widowControl w:val="0"/>
              <w:autoSpaceDE w:val="0"/>
              <w:autoSpaceDN w:val="0"/>
              <w:adjustRightInd w:val="0"/>
              <w:rPr>
                <w:color w:val="000000"/>
                <w:sz w:val="20"/>
                <w:szCs w:val="20"/>
              </w:rPr>
            </w:pPr>
            <w:r w:rsidRPr="009A2B78">
              <w:rPr>
                <w:color w:val="000000"/>
                <w:sz w:val="20"/>
                <w:szCs w:val="20"/>
              </w:rPr>
              <w:t>Trečiųjų šalių piliečių ar asmenų be pilietybės priskyrimo prie tarptautinės apsaugos gavėjų, vienodo statuso pabėgėliams arba papildomą apsaugą galintiems gauti asmenims ir suteikiamos apsaugos pobūdžio reikalavimai ir 2003</w:t>
            </w:r>
            <w:r w:rsidR="006A5AFB">
              <w:rPr>
                <w:color w:val="000000"/>
                <w:sz w:val="20"/>
                <w:szCs w:val="20"/>
              </w:rPr>
              <w:t> m. lapkričio 25 </w:t>
            </w:r>
            <w:r w:rsidRPr="009A2B78">
              <w:rPr>
                <w:color w:val="000000"/>
                <w:sz w:val="20"/>
                <w:szCs w:val="20"/>
              </w:rPr>
              <w:t>d. Tarybos direktyvos 2003/109/EB dėl trečiųjų valstybių piliečių, kurie yra ilgalaikiai gyventojai, statuso dalinis keitimas</w:t>
            </w:r>
          </w:p>
        </w:tc>
      </w:tr>
      <w:tr w:rsidR="00B65EB7" w:rsidRPr="009A2B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b/>
                <w:bCs/>
                <w:color w:val="000000"/>
                <w:sz w:val="20"/>
                <w:szCs w:val="20"/>
              </w:rPr>
            </w:pPr>
            <w:r w:rsidRPr="009A2B78">
              <w:rPr>
                <w:b/>
                <w:bCs/>
                <w:color w:val="000000"/>
                <w:sz w:val="20"/>
                <w:szCs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color w:val="000000"/>
                <w:sz w:val="20"/>
                <w:szCs w:val="20"/>
              </w:rPr>
            </w:pPr>
            <w:r w:rsidRPr="009A2B78">
              <w:rPr>
                <w:color w:val="000000"/>
                <w:sz w:val="20"/>
                <w:szCs w:val="20"/>
              </w:rPr>
              <w:t>COM(2016)</w:t>
            </w:r>
            <w:r w:rsidR="006A5AFB">
              <w:rPr>
                <w:color w:val="000000"/>
                <w:sz w:val="20"/>
                <w:szCs w:val="20"/>
              </w:rPr>
              <w:t> </w:t>
            </w:r>
            <w:r w:rsidRPr="009A2B78">
              <w:rPr>
                <w:color w:val="000000"/>
                <w:sz w:val="20"/>
                <w:szCs w:val="20"/>
              </w:rPr>
              <w:t>0466 – C8-0324/2016 – 2016/0223(COD)</w:t>
            </w:r>
          </w:p>
        </w:tc>
      </w:tr>
      <w:tr w:rsidR="00B65EB7" w:rsidRPr="009A2B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b/>
                <w:bCs/>
                <w:color w:val="000000"/>
                <w:sz w:val="20"/>
                <w:szCs w:val="20"/>
              </w:rPr>
            </w:pPr>
            <w:r w:rsidRPr="009A2B78">
              <w:rPr>
                <w:b/>
                <w:bCs/>
                <w:color w:val="000000"/>
                <w:sz w:val="20"/>
                <w:szCs w:val="20"/>
              </w:rPr>
              <w:t>Atsakingas komitetas</w:t>
            </w:r>
          </w:p>
          <w:p w:rsidR="00B65EB7" w:rsidRPr="009A2B78" w:rsidRDefault="00B65EB7">
            <w:pPr>
              <w:widowControl w:val="0"/>
              <w:autoSpaceDE w:val="0"/>
              <w:autoSpaceDN w:val="0"/>
              <w:adjustRightInd w:val="0"/>
              <w:rPr>
                <w:color w:val="000000"/>
                <w:sz w:val="20"/>
                <w:szCs w:val="20"/>
              </w:rPr>
            </w:pPr>
            <w:r w:rsidRPr="009A2B78">
              <w:rPr>
                <w:color w:val="000000"/>
                <w:sz w:val="20"/>
                <w:szCs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65EB7" w:rsidRPr="009A2B78" w:rsidRDefault="00B65EB7">
            <w:pPr>
              <w:widowControl w:val="0"/>
              <w:autoSpaceDE w:val="0"/>
              <w:autoSpaceDN w:val="0"/>
              <w:adjustRightInd w:val="0"/>
              <w:rPr>
                <w:color w:val="000000"/>
                <w:sz w:val="20"/>
                <w:szCs w:val="20"/>
              </w:rPr>
            </w:pPr>
            <w:r w:rsidRPr="009A2B78">
              <w:rPr>
                <w:color w:val="000000"/>
                <w:sz w:val="20"/>
                <w:szCs w:val="20"/>
              </w:rPr>
              <w:t>LIBE</w:t>
            </w:r>
          </w:p>
          <w:p w:rsidR="00B65EB7" w:rsidRPr="009A2B78" w:rsidRDefault="00B65EB7">
            <w:pPr>
              <w:widowControl w:val="0"/>
              <w:autoSpaceDE w:val="0"/>
              <w:autoSpaceDN w:val="0"/>
              <w:adjustRightInd w:val="0"/>
              <w:rPr>
                <w:color w:val="000000"/>
                <w:sz w:val="20"/>
                <w:szCs w:val="20"/>
              </w:rPr>
            </w:pPr>
            <w:r w:rsidRPr="009A2B78">
              <w:rPr>
                <w:color w:val="000000"/>
                <w:sz w:val="20"/>
                <w:szCs w:val="20"/>
              </w:rPr>
              <w:t>12.9.2016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65EB7" w:rsidRPr="009A2B78" w:rsidRDefault="00B65EB7">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65EB7" w:rsidRPr="009A2B78" w:rsidRDefault="00B65EB7">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rFonts w:ascii="sans-serif" w:hAnsi="sans-serif" w:cs="sans-serif"/>
                <w:color w:val="000000"/>
              </w:rPr>
            </w:pPr>
          </w:p>
        </w:tc>
      </w:tr>
      <w:tr w:rsidR="00B65EB7" w:rsidRPr="009A2B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b/>
                <w:bCs/>
                <w:color w:val="000000"/>
                <w:sz w:val="20"/>
                <w:szCs w:val="20"/>
              </w:rPr>
            </w:pPr>
            <w:r w:rsidRPr="009A2B78">
              <w:rPr>
                <w:b/>
                <w:bCs/>
                <w:color w:val="000000"/>
                <w:sz w:val="20"/>
                <w:szCs w:val="20"/>
              </w:rPr>
              <w:t>Nuomonę pateikė</w:t>
            </w:r>
          </w:p>
          <w:p w:rsidR="00B65EB7" w:rsidRPr="009A2B78" w:rsidRDefault="00B65EB7">
            <w:pPr>
              <w:widowControl w:val="0"/>
              <w:autoSpaceDE w:val="0"/>
              <w:autoSpaceDN w:val="0"/>
              <w:adjustRightInd w:val="0"/>
              <w:rPr>
                <w:color w:val="000000"/>
                <w:sz w:val="20"/>
                <w:szCs w:val="20"/>
              </w:rPr>
            </w:pPr>
            <w:r w:rsidRPr="009A2B78">
              <w:rPr>
                <w:color w:val="000000"/>
                <w:sz w:val="20"/>
                <w:szCs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color w:val="000000"/>
                <w:sz w:val="20"/>
                <w:szCs w:val="20"/>
              </w:rPr>
            </w:pPr>
            <w:r w:rsidRPr="009A2B78">
              <w:rPr>
                <w:color w:val="000000"/>
                <w:sz w:val="20"/>
                <w:szCs w:val="20"/>
              </w:rPr>
              <w:t>EMPL</w:t>
            </w:r>
          </w:p>
          <w:p w:rsidR="00B65EB7" w:rsidRPr="009A2B78" w:rsidRDefault="00B65EB7">
            <w:pPr>
              <w:widowControl w:val="0"/>
              <w:autoSpaceDE w:val="0"/>
              <w:autoSpaceDN w:val="0"/>
              <w:adjustRightInd w:val="0"/>
              <w:rPr>
                <w:color w:val="000000"/>
                <w:sz w:val="20"/>
                <w:szCs w:val="20"/>
              </w:rPr>
            </w:pPr>
            <w:r w:rsidRPr="009A2B78">
              <w:rPr>
                <w:color w:val="000000"/>
                <w:sz w:val="20"/>
                <w:szCs w:val="20"/>
              </w:rPr>
              <w:t>12.9.2016</w:t>
            </w:r>
          </w:p>
        </w:tc>
      </w:tr>
      <w:tr w:rsidR="00B65EB7" w:rsidRPr="009A2B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b/>
                <w:bCs/>
                <w:color w:val="000000"/>
                <w:sz w:val="20"/>
                <w:szCs w:val="20"/>
              </w:rPr>
            </w:pPr>
            <w:r w:rsidRPr="009A2B78">
              <w:rPr>
                <w:b/>
                <w:bCs/>
                <w:color w:val="000000"/>
                <w:sz w:val="20"/>
                <w:szCs w:val="20"/>
              </w:rPr>
              <w:t>Nuomonės referentas (-ė)</w:t>
            </w:r>
          </w:p>
          <w:p w:rsidR="00B65EB7" w:rsidRPr="009A2B78" w:rsidRDefault="00B65EB7">
            <w:pPr>
              <w:widowControl w:val="0"/>
              <w:autoSpaceDE w:val="0"/>
              <w:autoSpaceDN w:val="0"/>
              <w:adjustRightInd w:val="0"/>
              <w:rPr>
                <w:color w:val="000000"/>
                <w:sz w:val="20"/>
                <w:szCs w:val="20"/>
              </w:rPr>
            </w:pPr>
            <w:r w:rsidRPr="009A2B78">
              <w:rPr>
                <w:color w:val="000000"/>
                <w:sz w:val="20"/>
                <w:szCs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color w:val="000000"/>
                <w:sz w:val="20"/>
                <w:szCs w:val="20"/>
              </w:rPr>
            </w:pPr>
            <w:r w:rsidRPr="009A2B78">
              <w:rPr>
                <w:color w:val="000000"/>
                <w:sz w:val="20"/>
                <w:szCs w:val="20"/>
              </w:rPr>
              <w:t>Brando Benifei</w:t>
            </w:r>
          </w:p>
          <w:p w:rsidR="00B65EB7" w:rsidRPr="009A2B78" w:rsidRDefault="00B65EB7">
            <w:pPr>
              <w:widowControl w:val="0"/>
              <w:autoSpaceDE w:val="0"/>
              <w:autoSpaceDN w:val="0"/>
              <w:adjustRightInd w:val="0"/>
              <w:rPr>
                <w:color w:val="000000"/>
                <w:sz w:val="20"/>
                <w:szCs w:val="20"/>
              </w:rPr>
            </w:pPr>
            <w:r w:rsidRPr="009A2B78">
              <w:rPr>
                <w:color w:val="000000"/>
                <w:sz w:val="20"/>
                <w:szCs w:val="20"/>
              </w:rPr>
              <w:t>9.9.2016</w:t>
            </w:r>
          </w:p>
        </w:tc>
      </w:tr>
      <w:tr w:rsidR="00B65EB7" w:rsidRPr="009A2B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b/>
                <w:bCs/>
                <w:color w:val="000000"/>
                <w:sz w:val="20"/>
                <w:szCs w:val="20"/>
              </w:rPr>
            </w:pPr>
            <w:r w:rsidRPr="009A2B78">
              <w:rPr>
                <w:b/>
                <w:bCs/>
                <w:color w:val="000000"/>
                <w:sz w:val="20"/>
                <w:szCs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65EB7" w:rsidRPr="009A2B78" w:rsidRDefault="00B65EB7">
            <w:pPr>
              <w:widowControl w:val="0"/>
              <w:autoSpaceDE w:val="0"/>
              <w:autoSpaceDN w:val="0"/>
              <w:adjustRightInd w:val="0"/>
              <w:rPr>
                <w:color w:val="000000"/>
                <w:sz w:val="20"/>
                <w:szCs w:val="20"/>
              </w:rPr>
            </w:pPr>
            <w:r w:rsidRPr="009A2B78">
              <w:rPr>
                <w:color w:val="000000"/>
                <w:sz w:val="20"/>
                <w:szCs w:val="20"/>
              </w:rPr>
              <w:t>22.3.2017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65EB7" w:rsidRPr="009A2B78" w:rsidRDefault="00B65EB7">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65EB7" w:rsidRPr="009A2B78" w:rsidRDefault="00B65EB7">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rFonts w:ascii="sans-serif" w:hAnsi="sans-serif" w:cs="sans-serif"/>
                <w:color w:val="000000"/>
              </w:rPr>
            </w:pPr>
          </w:p>
        </w:tc>
      </w:tr>
      <w:tr w:rsidR="00B65EB7" w:rsidRPr="009A2B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b/>
                <w:bCs/>
                <w:color w:val="000000"/>
                <w:sz w:val="20"/>
                <w:szCs w:val="20"/>
              </w:rPr>
            </w:pPr>
            <w:r w:rsidRPr="009A2B78">
              <w:rPr>
                <w:b/>
                <w:bCs/>
                <w:color w:val="000000"/>
                <w:sz w:val="20"/>
                <w:szCs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B65EB7" w:rsidRPr="009A2B78" w:rsidRDefault="00B65EB7">
            <w:pPr>
              <w:widowControl w:val="0"/>
              <w:autoSpaceDE w:val="0"/>
              <w:autoSpaceDN w:val="0"/>
              <w:adjustRightInd w:val="0"/>
              <w:rPr>
                <w:color w:val="000000"/>
                <w:sz w:val="20"/>
                <w:szCs w:val="20"/>
              </w:rPr>
            </w:pPr>
            <w:r w:rsidRPr="009A2B78">
              <w:rPr>
                <w:color w:val="000000"/>
                <w:sz w:val="20"/>
                <w:szCs w:val="20"/>
              </w:rPr>
              <w:t>3.5.2017</w:t>
            </w:r>
          </w:p>
        </w:tc>
        <w:tc>
          <w:tcPr>
            <w:tcW w:w="1474" w:type="dxa"/>
            <w:tcBorders>
              <w:top w:val="nil"/>
              <w:left w:val="nil"/>
              <w:bottom w:val="single" w:sz="8" w:space="0" w:color="000000"/>
              <w:right w:val="nil"/>
            </w:tcBorders>
            <w:tcMar>
              <w:top w:w="79" w:type="dxa"/>
              <w:left w:w="79" w:type="dxa"/>
              <w:bottom w:w="79" w:type="dxa"/>
              <w:right w:w="79" w:type="dxa"/>
            </w:tcMar>
          </w:tcPr>
          <w:p w:rsidR="00B65EB7" w:rsidRPr="009A2B78" w:rsidRDefault="00B65EB7">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65EB7" w:rsidRPr="009A2B78" w:rsidRDefault="00B65EB7">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rFonts w:ascii="sans-serif" w:hAnsi="sans-serif" w:cs="sans-serif"/>
                <w:color w:val="000000"/>
              </w:rPr>
            </w:pPr>
          </w:p>
        </w:tc>
      </w:tr>
      <w:tr w:rsidR="00B65EB7" w:rsidRPr="009A2B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b/>
                <w:bCs/>
                <w:color w:val="000000"/>
                <w:sz w:val="20"/>
                <w:szCs w:val="20"/>
              </w:rPr>
            </w:pPr>
            <w:r w:rsidRPr="009A2B78">
              <w:rPr>
                <w:b/>
                <w:bCs/>
                <w:color w:val="000000"/>
                <w:sz w:val="20"/>
                <w:szCs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65EB7" w:rsidRPr="009A2B78" w:rsidRDefault="00B65EB7">
            <w:pPr>
              <w:widowControl w:val="0"/>
              <w:autoSpaceDE w:val="0"/>
              <w:autoSpaceDN w:val="0"/>
              <w:adjustRightInd w:val="0"/>
              <w:rPr>
                <w:color w:val="000000"/>
                <w:sz w:val="20"/>
                <w:szCs w:val="20"/>
              </w:rPr>
            </w:pPr>
            <w:r w:rsidRPr="009A2B78">
              <w:rPr>
                <w:color w:val="000000"/>
                <w:sz w:val="20"/>
                <w:szCs w:val="20"/>
              </w:rPr>
              <w:t>+:</w:t>
            </w:r>
          </w:p>
          <w:p w:rsidR="00B65EB7" w:rsidRPr="009A2B78" w:rsidRDefault="00B65EB7">
            <w:pPr>
              <w:widowControl w:val="0"/>
              <w:autoSpaceDE w:val="0"/>
              <w:autoSpaceDN w:val="0"/>
              <w:adjustRightInd w:val="0"/>
              <w:rPr>
                <w:color w:val="000000"/>
                <w:sz w:val="20"/>
                <w:szCs w:val="20"/>
              </w:rPr>
            </w:pPr>
            <w:r w:rsidRPr="009A2B78">
              <w:rPr>
                <w:color w:val="000000"/>
                <w:sz w:val="20"/>
                <w:szCs w:val="20"/>
              </w:rPr>
              <w:t>–:</w:t>
            </w:r>
          </w:p>
          <w:p w:rsidR="00B65EB7" w:rsidRPr="009A2B78" w:rsidRDefault="00B65EB7">
            <w:pPr>
              <w:widowControl w:val="0"/>
              <w:autoSpaceDE w:val="0"/>
              <w:autoSpaceDN w:val="0"/>
              <w:adjustRightInd w:val="0"/>
              <w:rPr>
                <w:color w:val="000000"/>
                <w:sz w:val="20"/>
                <w:szCs w:val="20"/>
              </w:rPr>
            </w:pPr>
            <w:r w:rsidRPr="009A2B78">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color w:val="000000"/>
                <w:sz w:val="20"/>
                <w:szCs w:val="20"/>
              </w:rPr>
            </w:pPr>
            <w:r w:rsidRPr="009A2B78">
              <w:rPr>
                <w:color w:val="000000"/>
                <w:sz w:val="20"/>
                <w:szCs w:val="20"/>
              </w:rPr>
              <w:t>41</w:t>
            </w:r>
          </w:p>
          <w:p w:rsidR="00B65EB7" w:rsidRPr="009A2B78" w:rsidRDefault="00B65EB7">
            <w:pPr>
              <w:widowControl w:val="0"/>
              <w:autoSpaceDE w:val="0"/>
              <w:autoSpaceDN w:val="0"/>
              <w:adjustRightInd w:val="0"/>
              <w:rPr>
                <w:color w:val="000000"/>
                <w:sz w:val="20"/>
                <w:szCs w:val="20"/>
              </w:rPr>
            </w:pPr>
            <w:r w:rsidRPr="009A2B78">
              <w:rPr>
                <w:color w:val="000000"/>
                <w:sz w:val="20"/>
                <w:szCs w:val="20"/>
              </w:rPr>
              <w:t>7</w:t>
            </w:r>
          </w:p>
          <w:p w:rsidR="00B65EB7" w:rsidRPr="009A2B78" w:rsidRDefault="00B65EB7">
            <w:pPr>
              <w:widowControl w:val="0"/>
              <w:autoSpaceDE w:val="0"/>
              <w:autoSpaceDN w:val="0"/>
              <w:adjustRightInd w:val="0"/>
              <w:rPr>
                <w:color w:val="000000"/>
                <w:sz w:val="20"/>
                <w:szCs w:val="20"/>
              </w:rPr>
            </w:pPr>
            <w:r w:rsidRPr="009A2B78">
              <w:rPr>
                <w:color w:val="000000"/>
                <w:sz w:val="20"/>
                <w:szCs w:val="20"/>
              </w:rPr>
              <w:t>4</w:t>
            </w:r>
          </w:p>
        </w:tc>
      </w:tr>
      <w:tr w:rsidR="00B65EB7" w:rsidRPr="009A2B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b/>
                <w:bCs/>
                <w:color w:val="000000"/>
                <w:sz w:val="20"/>
                <w:szCs w:val="20"/>
              </w:rPr>
            </w:pPr>
            <w:r w:rsidRPr="009A2B78">
              <w:rPr>
                <w:b/>
                <w:bCs/>
                <w:color w:val="000000"/>
                <w:sz w:val="20"/>
                <w:szCs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color w:val="000000"/>
                <w:sz w:val="20"/>
                <w:szCs w:val="20"/>
              </w:rPr>
            </w:pPr>
            <w:r w:rsidRPr="009A2B78">
              <w:rPr>
                <w:color w:val="000000"/>
                <w:sz w:val="20"/>
                <w:szCs w:val="20"/>
              </w:rPr>
              <w:t>Laura Agea, Guillaume Balas, Brando Benifei, Mara Bizzotto, Vilija Blinkevičiūtė, Enrique Calvet Chambon, Ole Christensen, Lampros Fountoulis, Elena Gentile, Arne Gericke, Marian Harkin, Czesław Hoc, Danuta Jazłowiecka, Agnes Jongerius, Rina Ronja Kari, Jan Keller, Ádám Kósa, Kostadinka Kuneva, Jean Lambert, Jérôme Lavrilleux, Jeroen Lenaers, Verónica Lope Fontagné, Javi López, Thomas Mann, Dominique Martin, Anthea McIntyre, Elisabeth Morin-Chartier, Emilian Pavel, Marek Plura, Sofia Ribeiro, Robert Rochefort, Maria João Rodrigues, Claude Rolin, Anne Sander, Sven Schulze, Romana Tomc, Yana Toom, Ulrike Trebesius, Marita Ulvskog, Renate Weber, Tatjana Ždanoka, Jana Žitňanská</w:t>
            </w:r>
          </w:p>
        </w:tc>
      </w:tr>
      <w:tr w:rsidR="00B65EB7" w:rsidRPr="009A2B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b/>
                <w:bCs/>
                <w:color w:val="000000"/>
                <w:sz w:val="20"/>
                <w:szCs w:val="20"/>
              </w:rPr>
            </w:pPr>
            <w:r w:rsidRPr="009A2B78">
              <w:rPr>
                <w:b/>
                <w:bCs/>
                <w:color w:val="000000"/>
                <w:sz w:val="20"/>
                <w:szCs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color w:val="000000"/>
                <w:sz w:val="20"/>
                <w:szCs w:val="20"/>
              </w:rPr>
            </w:pPr>
            <w:r w:rsidRPr="009A2B78">
              <w:rPr>
                <w:color w:val="000000"/>
                <w:sz w:val="20"/>
                <w:szCs w:val="20"/>
              </w:rPr>
              <w:t>Georges Bach, Heinz K. Becker, Lynn Boylan, Rosa D’Amato, Tania González Peñas, Paloma López Bermejo, Edouard Martin, Tamás Meszerics, Flavio Zanonato</w:t>
            </w:r>
          </w:p>
        </w:tc>
      </w:tr>
      <w:tr w:rsidR="00B65EB7" w:rsidRPr="009A2B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b/>
                <w:bCs/>
                <w:color w:val="000000"/>
                <w:sz w:val="20"/>
                <w:szCs w:val="20"/>
              </w:rPr>
            </w:pPr>
            <w:r w:rsidRPr="009A2B78">
              <w:rPr>
                <w:b/>
                <w:bCs/>
                <w:color w:val="000000"/>
                <w:sz w:val="20"/>
                <w:szCs w:val="20"/>
              </w:rPr>
              <w:t>Posėdyje per galutinį balsavimą dalyvavę pavaduojantys nariai (200 straipsnio 2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65EB7" w:rsidRPr="009A2B78" w:rsidRDefault="00B65EB7">
            <w:pPr>
              <w:widowControl w:val="0"/>
              <w:autoSpaceDE w:val="0"/>
              <w:autoSpaceDN w:val="0"/>
              <w:adjustRightInd w:val="0"/>
              <w:rPr>
                <w:color w:val="000000"/>
                <w:sz w:val="20"/>
                <w:szCs w:val="20"/>
              </w:rPr>
            </w:pPr>
            <w:r w:rsidRPr="009A2B78">
              <w:rPr>
                <w:color w:val="000000"/>
                <w:sz w:val="20"/>
                <w:szCs w:val="20"/>
              </w:rPr>
              <w:t>Petra Kammerevert</w:t>
            </w:r>
          </w:p>
        </w:tc>
      </w:tr>
    </w:tbl>
    <w:p w:rsidR="00B65EB7" w:rsidRPr="009A2B78" w:rsidRDefault="00B65EB7">
      <w:pPr>
        <w:widowControl w:val="0"/>
        <w:autoSpaceDE w:val="0"/>
        <w:autoSpaceDN w:val="0"/>
        <w:adjustRightInd w:val="0"/>
        <w:rPr>
          <w:rFonts w:ascii="Arial" w:hAnsi="Arial" w:cs="Arial"/>
        </w:rPr>
      </w:pPr>
    </w:p>
    <w:bookmarkEnd w:id="7"/>
    <w:p w:rsidR="007C78BD" w:rsidRPr="009A2B78" w:rsidRDefault="007C78BD" w:rsidP="007C78BD">
      <w:pPr>
        <w:pStyle w:val="PageHeadingNotTOC"/>
      </w:pPr>
      <w:r w:rsidRPr="009A2B78">
        <w:br w:type="page"/>
      </w:r>
      <w:bookmarkStart w:id="8" w:name="RollCallPageAD"/>
      <w:r w:rsidRPr="009A2B78">
        <w:lastRenderedPageBreak/>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C78BD" w:rsidRPr="009A2B78" w:rsidTr="007C78BD">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7C78BD" w:rsidRPr="009A2B78" w:rsidRDefault="007C78BD">
            <w:pPr>
              <w:spacing w:before="120" w:after="120"/>
              <w:jc w:val="center"/>
              <w:rPr>
                <w:b/>
                <w:sz w:val="20"/>
                <w:szCs w:val="20"/>
              </w:rPr>
            </w:pPr>
            <w:r w:rsidRPr="009A2B78">
              <w:rPr>
                <w:b/>
                <w:sz w:val="20"/>
                <w:szCs w:val="20"/>
              </w:rPr>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7C78BD" w:rsidRPr="009A2B78" w:rsidRDefault="007C78BD">
            <w:pPr>
              <w:spacing w:before="120" w:after="120"/>
              <w:jc w:val="center"/>
              <w:rPr>
                <w:sz w:val="28"/>
                <w:szCs w:val="28"/>
              </w:rPr>
            </w:pPr>
            <w:r w:rsidRPr="009A2B78">
              <w:rPr>
                <w:rFonts w:ascii="Arial" w:hAnsi="Arial"/>
                <w:b/>
                <w:sz w:val="28"/>
                <w:szCs w:val="28"/>
              </w:rPr>
              <w:t>+</w:t>
            </w:r>
          </w:p>
        </w:tc>
      </w:tr>
      <w:tr w:rsidR="007C78BD" w:rsidRPr="009A2B78" w:rsidTr="007C78BD">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7C78BD" w:rsidRPr="009A2B78" w:rsidRDefault="007C78BD">
            <w:pPr>
              <w:spacing w:before="120" w:after="120"/>
              <w:rPr>
                <w:sz w:val="16"/>
              </w:rPr>
            </w:pPr>
            <w:r w:rsidRPr="009A2B78">
              <w:rPr>
                <w:sz w:val="16"/>
              </w:rPr>
              <w:t>ALDE</w:t>
            </w:r>
          </w:p>
          <w:p w:rsidR="007C78BD" w:rsidRPr="009A2B78" w:rsidRDefault="007C78BD">
            <w:pPr>
              <w:spacing w:before="120" w:after="120"/>
              <w:rPr>
                <w:sz w:val="16"/>
              </w:rPr>
            </w:pPr>
            <w:r w:rsidRPr="009A2B78">
              <w:rPr>
                <w:sz w:val="16"/>
              </w:rPr>
              <w:t>PP</w:t>
            </w:r>
            <w:r w:rsidR="00FC2F48">
              <w:rPr>
                <w:sz w:val="16"/>
              </w:rPr>
              <w:t>E</w:t>
            </w:r>
          </w:p>
          <w:p w:rsidR="007C78BD" w:rsidRPr="009A2B78" w:rsidRDefault="00FC2F48">
            <w:pPr>
              <w:spacing w:before="480" w:after="120"/>
              <w:rPr>
                <w:sz w:val="16"/>
              </w:rPr>
            </w:pPr>
            <w:r>
              <w:rPr>
                <w:sz w:val="16"/>
              </w:rPr>
              <w:t>Verts/ALE</w:t>
            </w:r>
          </w:p>
          <w:p w:rsidR="007C78BD" w:rsidRPr="009A2B78" w:rsidRDefault="007C78BD">
            <w:pPr>
              <w:spacing w:before="120" w:after="120"/>
              <w:rPr>
                <w:sz w:val="16"/>
              </w:rPr>
            </w:pPr>
            <w:r w:rsidRPr="009A2B78">
              <w:rPr>
                <w:sz w:val="16"/>
              </w:rPr>
              <w:t>GUE/NGL</w:t>
            </w:r>
          </w:p>
          <w:p w:rsidR="007C78BD" w:rsidRPr="009A2B78" w:rsidRDefault="007C78BD">
            <w:pPr>
              <w:spacing w:before="120" w:after="120"/>
              <w:rPr>
                <w:sz w:val="16"/>
                <w:szCs w:val="20"/>
              </w:rPr>
            </w:pPr>
            <w:r w:rsidRPr="009A2B78">
              <w:rPr>
                <w:sz w:val="16"/>
              </w:rPr>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7C78BD" w:rsidRPr="009A2B78" w:rsidRDefault="007C78BD">
            <w:pPr>
              <w:spacing w:before="120" w:after="120"/>
              <w:rPr>
                <w:sz w:val="16"/>
              </w:rPr>
            </w:pPr>
            <w:r w:rsidRPr="009A2B78">
              <w:rPr>
                <w:sz w:val="16"/>
              </w:rPr>
              <w:t>Enrique Calvet Chambon, Marian Harkin, Robert Rochefort, Yana Toom, Renate Weber</w:t>
            </w:r>
          </w:p>
          <w:p w:rsidR="007C78BD" w:rsidRPr="009A2B78" w:rsidRDefault="007C78BD">
            <w:pPr>
              <w:spacing w:before="120" w:after="120"/>
              <w:rPr>
                <w:sz w:val="16"/>
              </w:rPr>
            </w:pPr>
            <w:r w:rsidRPr="009A2B78">
              <w:rPr>
                <w:sz w:val="16"/>
              </w:rPr>
              <w:t>Georges Bach, Heinz K. Becker, Danuta Jazłowiecka, Jérôme Lavrilleux, Jeroen Lenaers, Verónica Lope Fontagné, Thomas Mann, Elisabeth Morin-Chartier, Marek Plura, Sofia Ribeiro, Claude Rolin, Anne Sander, Sven Schulze, Romana Tomc</w:t>
            </w:r>
          </w:p>
          <w:p w:rsidR="007C78BD" w:rsidRPr="009A2B78" w:rsidRDefault="007C78BD">
            <w:pPr>
              <w:spacing w:before="120" w:after="120"/>
              <w:rPr>
                <w:sz w:val="16"/>
              </w:rPr>
            </w:pPr>
            <w:r w:rsidRPr="009A2B78">
              <w:rPr>
                <w:sz w:val="16"/>
              </w:rPr>
              <w:t>Jean Lambert, Tamás Meszerics, Tatjana Ždanoka</w:t>
            </w:r>
          </w:p>
          <w:p w:rsidR="007C78BD" w:rsidRPr="009A2B78" w:rsidRDefault="007C78BD">
            <w:pPr>
              <w:spacing w:before="120" w:after="120"/>
              <w:rPr>
                <w:sz w:val="16"/>
              </w:rPr>
            </w:pPr>
            <w:r w:rsidRPr="009A2B78">
              <w:rPr>
                <w:sz w:val="16"/>
              </w:rPr>
              <w:t>Lynn Boylan, Tania González Peñas, Rina Ronja Kari, Kostadinka Kuneva, Paloma López Bermejo</w:t>
            </w:r>
          </w:p>
          <w:p w:rsidR="007C78BD" w:rsidRPr="009A2B78" w:rsidRDefault="007C78BD">
            <w:pPr>
              <w:spacing w:before="120" w:after="120"/>
              <w:rPr>
                <w:sz w:val="16"/>
              </w:rPr>
            </w:pPr>
            <w:r w:rsidRPr="009A2B78">
              <w:rPr>
                <w:sz w:val="16"/>
              </w:rPr>
              <w:t>Guillaume Balas, Brando Benifei, Vilija Blinkevičiūtė, Ole Christensen, Elena Gentile, Agnes Jongerius, Petra Kammerevert, Jan Keller, Javi López, Edouard Martin, Emilian Pavel, Maria João Rodrigues, Marita Ulvskog, Flavio Zanonato</w:t>
            </w:r>
          </w:p>
        </w:tc>
      </w:tr>
    </w:tbl>
    <w:p w:rsidR="007C78BD" w:rsidRPr="009A2B78" w:rsidRDefault="007C78BD" w:rsidP="007C78BD">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C78BD" w:rsidRPr="009A2B78" w:rsidTr="007C78BD">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7C78BD" w:rsidRPr="009A2B78" w:rsidRDefault="007C78BD">
            <w:pPr>
              <w:spacing w:before="120" w:after="120"/>
              <w:jc w:val="center"/>
              <w:rPr>
                <w:b/>
                <w:sz w:val="20"/>
                <w:szCs w:val="20"/>
              </w:rPr>
            </w:pPr>
            <w:r w:rsidRPr="009A2B78">
              <w:rPr>
                <w:b/>
                <w:sz w:val="20"/>
                <w:szCs w:val="20"/>
              </w:rPr>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7C78BD" w:rsidRPr="009A2B78" w:rsidRDefault="007C78BD">
            <w:pPr>
              <w:spacing w:before="120" w:after="120"/>
              <w:jc w:val="center"/>
              <w:rPr>
                <w:sz w:val="28"/>
                <w:szCs w:val="28"/>
              </w:rPr>
            </w:pPr>
            <w:r w:rsidRPr="009A2B78">
              <w:rPr>
                <w:rFonts w:ascii="Arial" w:hAnsi="Arial"/>
                <w:b/>
                <w:sz w:val="28"/>
                <w:szCs w:val="28"/>
              </w:rPr>
              <w:t>-</w:t>
            </w:r>
          </w:p>
        </w:tc>
      </w:tr>
      <w:tr w:rsidR="007C78BD" w:rsidRPr="009A2B78" w:rsidTr="007C78BD">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7C78BD" w:rsidRPr="009A2B78" w:rsidRDefault="007C78BD">
            <w:pPr>
              <w:spacing w:before="120" w:after="120"/>
              <w:rPr>
                <w:sz w:val="16"/>
              </w:rPr>
            </w:pPr>
            <w:r w:rsidRPr="009A2B78">
              <w:rPr>
                <w:sz w:val="16"/>
              </w:rPr>
              <w:t>ECR</w:t>
            </w:r>
          </w:p>
          <w:p w:rsidR="007C78BD" w:rsidRPr="009A2B78" w:rsidRDefault="007C78BD">
            <w:pPr>
              <w:spacing w:before="120" w:after="120"/>
              <w:rPr>
                <w:sz w:val="16"/>
                <w:szCs w:val="20"/>
              </w:rPr>
            </w:pPr>
            <w:r w:rsidRPr="009A2B78">
              <w:rPr>
                <w:sz w:val="16"/>
                <w:szCs w:val="20"/>
              </w:rPr>
              <w:t>ENF</w:t>
            </w:r>
          </w:p>
          <w:p w:rsidR="007C78BD" w:rsidRPr="009A2B78" w:rsidRDefault="007C78BD">
            <w:pPr>
              <w:spacing w:before="120" w:after="120"/>
              <w:rPr>
                <w:sz w:val="16"/>
                <w:szCs w:val="20"/>
              </w:rPr>
            </w:pPr>
            <w:r w:rsidRPr="009A2B78">
              <w:rPr>
                <w:sz w:val="16"/>
              </w:rP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7C78BD" w:rsidRPr="009A2B78" w:rsidRDefault="007C78BD">
            <w:pPr>
              <w:spacing w:before="120" w:after="120"/>
              <w:rPr>
                <w:sz w:val="16"/>
              </w:rPr>
            </w:pPr>
            <w:r w:rsidRPr="009A2B78">
              <w:rPr>
                <w:sz w:val="16"/>
              </w:rPr>
              <w:t>Arne Gericke, Czesław Hoc, Anthea McIntyre, Ulrike Trebesius, Jana Žitňanská</w:t>
            </w:r>
          </w:p>
          <w:p w:rsidR="007C78BD" w:rsidRPr="009A2B78" w:rsidRDefault="007C78BD">
            <w:pPr>
              <w:spacing w:before="120" w:after="120"/>
              <w:rPr>
                <w:sz w:val="16"/>
              </w:rPr>
            </w:pPr>
            <w:r w:rsidRPr="009A2B78">
              <w:rPr>
                <w:sz w:val="16"/>
              </w:rPr>
              <w:t>Mara Bizzotto</w:t>
            </w:r>
          </w:p>
          <w:p w:rsidR="007C78BD" w:rsidRPr="009A2B78" w:rsidRDefault="007C78BD">
            <w:pPr>
              <w:spacing w:before="120" w:after="120"/>
              <w:rPr>
                <w:sz w:val="16"/>
              </w:rPr>
            </w:pPr>
            <w:r w:rsidRPr="009A2B78">
              <w:rPr>
                <w:sz w:val="16"/>
              </w:rPr>
              <w:t>Lampros Fountoulis</w:t>
            </w:r>
          </w:p>
        </w:tc>
      </w:tr>
    </w:tbl>
    <w:p w:rsidR="007C78BD" w:rsidRPr="009A2B78" w:rsidRDefault="007C78BD" w:rsidP="007C78BD">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C78BD" w:rsidRPr="009A2B78" w:rsidTr="007C78BD">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7C78BD" w:rsidRPr="009A2B78" w:rsidRDefault="007C78BD">
            <w:pPr>
              <w:spacing w:before="120" w:after="120"/>
              <w:jc w:val="center"/>
              <w:rPr>
                <w:b/>
                <w:sz w:val="20"/>
                <w:szCs w:val="20"/>
              </w:rPr>
            </w:pPr>
            <w:r w:rsidRPr="009A2B78">
              <w:rPr>
                <w:b/>
                <w:sz w:val="20"/>
                <w:szCs w:val="20"/>
              </w:rPr>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7C78BD" w:rsidRPr="009A2B78" w:rsidRDefault="007C78BD">
            <w:pPr>
              <w:spacing w:before="120" w:after="120"/>
              <w:jc w:val="center"/>
              <w:rPr>
                <w:sz w:val="28"/>
                <w:szCs w:val="28"/>
              </w:rPr>
            </w:pPr>
            <w:r w:rsidRPr="009A2B78">
              <w:rPr>
                <w:rFonts w:ascii="Arial" w:hAnsi="Arial"/>
                <w:b/>
                <w:sz w:val="28"/>
                <w:szCs w:val="28"/>
              </w:rPr>
              <w:t>0</w:t>
            </w:r>
          </w:p>
        </w:tc>
      </w:tr>
      <w:tr w:rsidR="007C78BD" w:rsidRPr="009A2B78" w:rsidTr="007C78BD">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7C78BD" w:rsidRPr="009A2B78" w:rsidRDefault="007C78BD">
            <w:pPr>
              <w:spacing w:before="120" w:after="120"/>
              <w:rPr>
                <w:sz w:val="16"/>
              </w:rPr>
            </w:pPr>
            <w:bookmarkStart w:id="9" w:name="DocEPLastPosition"/>
            <w:bookmarkEnd w:id="9"/>
            <w:r w:rsidRPr="009A2B78">
              <w:rPr>
                <w:sz w:val="16"/>
              </w:rPr>
              <w:t>EFDD</w:t>
            </w:r>
          </w:p>
          <w:p w:rsidR="007C78BD" w:rsidRPr="009A2B78" w:rsidRDefault="007C78BD">
            <w:pPr>
              <w:spacing w:before="120" w:after="120"/>
              <w:rPr>
                <w:sz w:val="16"/>
                <w:szCs w:val="20"/>
              </w:rPr>
            </w:pPr>
            <w:r w:rsidRPr="009A2B78">
              <w:rPr>
                <w:sz w:val="16"/>
                <w:szCs w:val="20"/>
              </w:rPr>
              <w:t>ENF</w:t>
            </w:r>
          </w:p>
          <w:p w:rsidR="007C78BD" w:rsidRPr="009A2B78" w:rsidRDefault="007C78BD">
            <w:pPr>
              <w:spacing w:before="120" w:after="120"/>
              <w:rPr>
                <w:sz w:val="16"/>
                <w:szCs w:val="20"/>
              </w:rPr>
            </w:pPr>
            <w:r w:rsidRPr="009A2B78">
              <w:rPr>
                <w:sz w:val="16"/>
                <w:szCs w:val="20"/>
              </w:rPr>
              <w:t>PP</w:t>
            </w:r>
            <w:r w:rsidR="00FC2F48">
              <w:rPr>
                <w:sz w:val="16"/>
                <w:szCs w:val="20"/>
              </w:rPr>
              <w:t>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7C78BD" w:rsidRPr="009A2B78" w:rsidRDefault="007C78BD">
            <w:pPr>
              <w:spacing w:before="120" w:after="120"/>
              <w:rPr>
                <w:sz w:val="16"/>
              </w:rPr>
            </w:pPr>
            <w:r w:rsidRPr="009A2B78">
              <w:rPr>
                <w:sz w:val="16"/>
              </w:rPr>
              <w:t>Laura Agea</w:t>
            </w:r>
          </w:p>
          <w:p w:rsidR="007C78BD" w:rsidRPr="009A2B78" w:rsidRDefault="007C78BD">
            <w:pPr>
              <w:spacing w:before="120" w:after="120"/>
              <w:rPr>
                <w:sz w:val="16"/>
              </w:rPr>
            </w:pPr>
            <w:r w:rsidRPr="009A2B78">
              <w:rPr>
                <w:sz w:val="16"/>
              </w:rPr>
              <w:t>Mireille D'Ornano, Dominique Martin</w:t>
            </w:r>
          </w:p>
          <w:p w:rsidR="007C78BD" w:rsidRPr="009A2B78" w:rsidRDefault="007C78BD">
            <w:pPr>
              <w:spacing w:before="120" w:after="120"/>
              <w:rPr>
                <w:sz w:val="16"/>
              </w:rPr>
            </w:pPr>
            <w:r w:rsidRPr="009A2B78">
              <w:rPr>
                <w:sz w:val="16"/>
              </w:rPr>
              <w:t>Ádám Kósa</w:t>
            </w:r>
          </w:p>
        </w:tc>
      </w:tr>
    </w:tbl>
    <w:p w:rsidR="007C78BD" w:rsidRPr="009A2B78" w:rsidRDefault="007C78BD" w:rsidP="007C78BD">
      <w:pPr>
        <w:pStyle w:val="Normal12"/>
      </w:pPr>
    </w:p>
    <w:p w:rsidR="007C78BD" w:rsidRPr="009A2B78" w:rsidRDefault="007C78BD" w:rsidP="007C78BD">
      <w:r w:rsidRPr="009A2B78">
        <w:t>Sutartiniai ženklai:</w:t>
      </w:r>
    </w:p>
    <w:p w:rsidR="007C78BD" w:rsidRPr="009A2B78" w:rsidRDefault="007C78BD" w:rsidP="007C78BD">
      <w:pPr>
        <w:pStyle w:val="NormalTabs"/>
      </w:pPr>
      <w:r w:rsidRPr="009A2B78">
        <w:t>+</w:t>
      </w:r>
      <w:r w:rsidRPr="009A2B78">
        <w:tab/>
        <w:t>:</w:t>
      </w:r>
      <w:r w:rsidRPr="009A2B78">
        <w:tab/>
        <w:t>už</w:t>
      </w:r>
    </w:p>
    <w:p w:rsidR="007C78BD" w:rsidRPr="009A2B78" w:rsidRDefault="007C78BD" w:rsidP="007C78BD">
      <w:pPr>
        <w:pStyle w:val="NormalTabs"/>
      </w:pPr>
      <w:r w:rsidRPr="009A2B78">
        <w:t>-</w:t>
      </w:r>
      <w:r w:rsidRPr="009A2B78">
        <w:tab/>
        <w:t>:</w:t>
      </w:r>
      <w:r w:rsidRPr="009A2B78">
        <w:tab/>
        <w:t>prieš</w:t>
      </w:r>
    </w:p>
    <w:p w:rsidR="007C78BD" w:rsidRPr="009A2B78" w:rsidRDefault="007C78BD" w:rsidP="007C78BD">
      <w:pPr>
        <w:pStyle w:val="NormalTabs"/>
      </w:pPr>
      <w:r w:rsidRPr="009A2B78">
        <w:t>0</w:t>
      </w:r>
      <w:r w:rsidRPr="009A2B78">
        <w:tab/>
        <w:t>:</w:t>
      </w:r>
      <w:r w:rsidRPr="009A2B78">
        <w:tab/>
        <w:t>susilaikė</w:t>
      </w:r>
    </w:p>
    <w:bookmarkEnd w:id="8"/>
    <w:p w:rsidR="007C78BD" w:rsidRPr="009A2B78" w:rsidRDefault="007C78BD" w:rsidP="007C78BD"/>
    <w:p w:rsidR="00BE20CF" w:rsidRPr="009A2B78" w:rsidRDefault="00BE20CF" w:rsidP="00B65EB7"/>
    <w:sectPr w:rsidR="00BE20CF" w:rsidRPr="009A2B78" w:rsidSect="009A2B78">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F48" w:rsidRPr="009A2B78" w:rsidRDefault="00FC2F48">
      <w:r w:rsidRPr="009A2B78">
        <w:separator/>
      </w:r>
    </w:p>
  </w:endnote>
  <w:endnote w:type="continuationSeparator" w:id="0">
    <w:p w:rsidR="00FC2F48" w:rsidRPr="009A2B78" w:rsidRDefault="00FC2F48">
      <w:r w:rsidRPr="009A2B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F48" w:rsidRPr="009A2B78" w:rsidRDefault="00FC2F48" w:rsidP="009A2B78">
    <w:pPr>
      <w:pStyle w:val="Footer"/>
    </w:pPr>
    <w:r w:rsidRPr="009A2B78">
      <w:t>PE</w:t>
    </w:r>
    <w:r w:rsidRPr="009A2B78">
      <w:rPr>
        <w:rStyle w:val="HideTWBExt"/>
        <w:noProof w:val="0"/>
      </w:rPr>
      <w:t>&lt;NoPE&gt;</w:t>
    </w:r>
    <w:r w:rsidRPr="009A2B78">
      <w:t>601.064</w:t>
    </w:r>
    <w:r w:rsidRPr="009A2B78">
      <w:rPr>
        <w:rStyle w:val="HideTWBExt"/>
        <w:noProof w:val="0"/>
      </w:rPr>
      <w:t>&lt;/NoPE&gt;&lt;Version&gt;</w:t>
    </w:r>
    <w:r w:rsidRPr="009A2B78">
      <w:t>v02-00</w:t>
    </w:r>
    <w:r w:rsidRPr="009A2B78">
      <w:rPr>
        <w:rStyle w:val="HideTWBExt"/>
        <w:noProof w:val="0"/>
      </w:rPr>
      <w:t>&lt;/Version&gt;</w:t>
    </w:r>
    <w:r w:rsidRPr="009A2B78">
      <w:tab/>
    </w:r>
    <w:r w:rsidRPr="009A2B78">
      <w:fldChar w:fldCharType="begin"/>
    </w:r>
    <w:r w:rsidRPr="009A2B78">
      <w:instrText xml:space="preserve"> PAGE  \* MERGEFORMAT </w:instrText>
    </w:r>
    <w:r w:rsidRPr="009A2B78">
      <w:fldChar w:fldCharType="separate"/>
    </w:r>
    <w:r w:rsidR="00091BC7">
      <w:rPr>
        <w:noProof/>
      </w:rPr>
      <w:t>6</w:t>
    </w:r>
    <w:r w:rsidRPr="009A2B78">
      <w:fldChar w:fldCharType="end"/>
    </w:r>
    <w:r w:rsidRPr="009A2B78">
      <w:t>/</w:t>
    </w:r>
    <w:fldSimple w:instr=" NUMPAGES  \* MERGEFORMAT ">
      <w:r w:rsidR="00091BC7">
        <w:rPr>
          <w:noProof/>
        </w:rPr>
        <w:t>25</w:t>
      </w:r>
    </w:fldSimple>
    <w:r w:rsidRPr="009A2B78">
      <w:tab/>
    </w:r>
    <w:r w:rsidRPr="009A2B78">
      <w:rPr>
        <w:rStyle w:val="HideTWBExt"/>
        <w:noProof w:val="0"/>
      </w:rPr>
      <w:t>&lt;PathFdR&gt;</w:t>
    </w:r>
    <w:r w:rsidRPr="009A2B78">
      <w:t>AD\1124746LT.docx</w:t>
    </w:r>
    <w:r w:rsidRPr="009A2B78">
      <w:rPr>
        <w:rStyle w:val="HideTWBExt"/>
        <w:noProof w:val="0"/>
      </w:rPr>
      <w:t>&lt;/PathFdR&gt;</w:t>
    </w:r>
  </w:p>
  <w:p w:rsidR="00FC2F48" w:rsidRPr="009A2B78" w:rsidRDefault="00FC2F48" w:rsidP="009A2B78">
    <w:pPr>
      <w:pStyle w:val="Footer2"/>
    </w:pPr>
    <w:r w:rsidRPr="009A2B78">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F48" w:rsidRPr="009A2B78" w:rsidRDefault="00FC2F48" w:rsidP="009A2B78">
    <w:pPr>
      <w:pStyle w:val="Footer"/>
    </w:pPr>
    <w:r w:rsidRPr="009A2B78">
      <w:rPr>
        <w:rStyle w:val="HideTWBExt"/>
        <w:noProof w:val="0"/>
      </w:rPr>
      <w:t>&lt;PathFdR&gt;</w:t>
    </w:r>
    <w:r w:rsidRPr="009A2B78">
      <w:t>AD\1124746LT.docx</w:t>
    </w:r>
    <w:r w:rsidRPr="009A2B78">
      <w:rPr>
        <w:rStyle w:val="HideTWBExt"/>
        <w:noProof w:val="0"/>
      </w:rPr>
      <w:t>&lt;/PathFdR&gt;</w:t>
    </w:r>
    <w:r w:rsidRPr="009A2B78">
      <w:tab/>
    </w:r>
    <w:r w:rsidRPr="009A2B78">
      <w:fldChar w:fldCharType="begin"/>
    </w:r>
    <w:r w:rsidRPr="009A2B78">
      <w:instrText xml:space="preserve"> PAGE  \* MERGEFORMAT </w:instrText>
    </w:r>
    <w:r w:rsidRPr="009A2B78">
      <w:fldChar w:fldCharType="separate"/>
    </w:r>
    <w:r w:rsidR="00091BC7">
      <w:rPr>
        <w:noProof/>
      </w:rPr>
      <w:t>5</w:t>
    </w:r>
    <w:r w:rsidRPr="009A2B78">
      <w:fldChar w:fldCharType="end"/>
    </w:r>
    <w:r w:rsidRPr="009A2B78">
      <w:t>/</w:t>
    </w:r>
    <w:fldSimple w:instr=" NUMPAGES  \* MERGEFORMAT ">
      <w:r w:rsidR="00091BC7">
        <w:rPr>
          <w:noProof/>
        </w:rPr>
        <w:t>25</w:t>
      </w:r>
    </w:fldSimple>
    <w:r w:rsidRPr="009A2B78">
      <w:tab/>
      <w:t>PE</w:t>
    </w:r>
    <w:r w:rsidRPr="009A2B78">
      <w:rPr>
        <w:rStyle w:val="HideTWBExt"/>
        <w:noProof w:val="0"/>
      </w:rPr>
      <w:t>&lt;NoPE&gt;</w:t>
    </w:r>
    <w:r w:rsidRPr="009A2B78">
      <w:t>601.064</w:t>
    </w:r>
    <w:r w:rsidRPr="009A2B78">
      <w:rPr>
        <w:rStyle w:val="HideTWBExt"/>
        <w:noProof w:val="0"/>
      </w:rPr>
      <w:t>&lt;/NoPE&gt;&lt;Version&gt;</w:t>
    </w:r>
    <w:r w:rsidRPr="009A2B78">
      <w:t>v02-00</w:t>
    </w:r>
    <w:r w:rsidRPr="009A2B78">
      <w:rPr>
        <w:rStyle w:val="HideTWBExt"/>
        <w:noProof w:val="0"/>
      </w:rPr>
      <w:t>&lt;/Version&gt;</w:t>
    </w:r>
  </w:p>
  <w:p w:rsidR="00FC2F48" w:rsidRPr="009A2B78" w:rsidRDefault="00FC2F48" w:rsidP="009A2B78">
    <w:pPr>
      <w:pStyle w:val="Footer2"/>
    </w:pPr>
    <w:r w:rsidRPr="009A2B78">
      <w:tab/>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F48" w:rsidRPr="009A2B78" w:rsidRDefault="00FC2F48" w:rsidP="009A2B78">
    <w:pPr>
      <w:pStyle w:val="Footer"/>
    </w:pPr>
    <w:r w:rsidRPr="009A2B78">
      <w:rPr>
        <w:rStyle w:val="HideTWBExt"/>
        <w:noProof w:val="0"/>
      </w:rPr>
      <w:t>&lt;PathFdR&gt;</w:t>
    </w:r>
    <w:r w:rsidRPr="009A2B78">
      <w:t>AD\1124746LT.docx</w:t>
    </w:r>
    <w:r w:rsidRPr="009A2B78">
      <w:rPr>
        <w:rStyle w:val="HideTWBExt"/>
        <w:noProof w:val="0"/>
      </w:rPr>
      <w:t>&lt;/PathFdR&gt;</w:t>
    </w:r>
    <w:r w:rsidRPr="009A2B78">
      <w:tab/>
    </w:r>
    <w:r w:rsidRPr="009A2B78">
      <w:tab/>
      <w:t>PE</w:t>
    </w:r>
    <w:r w:rsidRPr="009A2B78">
      <w:rPr>
        <w:rStyle w:val="HideTWBExt"/>
        <w:noProof w:val="0"/>
      </w:rPr>
      <w:t>&lt;NoPE&gt;</w:t>
    </w:r>
    <w:r w:rsidRPr="009A2B78">
      <w:t>601.064</w:t>
    </w:r>
    <w:r w:rsidRPr="009A2B78">
      <w:rPr>
        <w:rStyle w:val="HideTWBExt"/>
        <w:noProof w:val="0"/>
      </w:rPr>
      <w:t>&lt;/NoPE&gt;&lt;Version&gt;</w:t>
    </w:r>
    <w:r w:rsidRPr="009A2B78">
      <w:t>v02-00</w:t>
    </w:r>
    <w:r w:rsidRPr="009A2B78">
      <w:rPr>
        <w:rStyle w:val="HideTWBExt"/>
        <w:noProof w:val="0"/>
      </w:rPr>
      <w:t>&lt;/Version&gt;</w:t>
    </w:r>
  </w:p>
  <w:p w:rsidR="00FC2F48" w:rsidRPr="009A2B78" w:rsidRDefault="00FC2F48" w:rsidP="009A2B78">
    <w:pPr>
      <w:pStyle w:val="Footer2"/>
      <w:tabs>
        <w:tab w:val="center" w:pos="4535"/>
      </w:tabs>
    </w:pPr>
    <w:r w:rsidRPr="009A2B78">
      <w:t>LT</w:t>
    </w:r>
    <w:r w:rsidRPr="009A2B78">
      <w:tab/>
    </w:r>
    <w:r w:rsidRPr="009A2B78">
      <w:rPr>
        <w:b w:val="0"/>
        <w:i/>
        <w:color w:val="C0C0C0"/>
        <w:sz w:val="22"/>
      </w:rPr>
      <w:t>Suvienijusi įvairovę</w:t>
    </w:r>
    <w:r w:rsidRPr="009A2B78">
      <w:tab/>
      <w:t>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F48" w:rsidRPr="009A2B78" w:rsidRDefault="00FC2F48">
      <w:r w:rsidRPr="009A2B78">
        <w:separator/>
      </w:r>
    </w:p>
  </w:footnote>
  <w:footnote w:type="continuationSeparator" w:id="0">
    <w:p w:rsidR="00FC2F48" w:rsidRPr="009A2B78" w:rsidRDefault="00FC2F48">
      <w:r w:rsidRPr="009A2B7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BC7" w:rsidRDefault="00091B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BC7" w:rsidRDefault="00091B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BC7" w:rsidRDefault="00091B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JMNU" w:val="1"/>
    <w:docVar w:name="CODEMNU" w:val=" 1"/>
    <w:docVar w:name="COM2KEY" w:val="LIBE"/>
    <w:docVar w:name="COMKEY" w:val="EMPL"/>
    <w:docVar w:name="CopyToNetwork" w:val="-1"/>
    <w:docVar w:name="DOCCODMNU" w:val=" 1"/>
    <w:docVar w:name="End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609427 HideTWBExt;}}{\*\latentstyles\lsdstimax156\lsdlockeddef0}{\*\rsidtbl \rsid609427}{\*\generator Microsoft Word 11.0.0000;}{\info{\title #@&gt;ZOTHAMA&lt;@#}{\author hvuillaume}_x000d__x000a_{\operator hvuillaume}{\creatim\yr2010\mo11\dy26\hr9\min44}{\revtim\yr2010\mo11\dy26\hr9\min44}{\version1}{\edmins0}{\nofpages1}{\nofwords5}{\nofchars34}{\*\company European Parliament}{\nofcharsws38}{\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rsidroot609427\newtblstyruls\nogrowautofit _x000d__x000a_\fet0{\*\wgrffmtfilter 013f}\ilfomacatclnup0\ltrpar \sectd \ltrsect\linex0\headery708\footery708\colsx708\endnhere\sectlinegrid360\sectdefaultcl\sftnbj {\*\pnseclvl1\pnucrm\pnstart1\pnindent720\pnhang {\pntxta .}}{\*\pnseclvl2_x000d__x000a_\pnucltr\pnstart1\pnindent720\pnhang {\pntxta .}}{\*\pnseclvl3\pndec\pnstart1\pnindent720\pnhang {\pntxta .}}{\*\pnseclvl4\pnlcltr\pnstart1\pnindent720\pnhang {\pntxta )}}{\*\pnseclvl5\pndec\pnstart1\pnindent720\pnhang {\pntxtb (}{\pntxta )}}{\*\pnseclvl6_x000d__x000a_\pnlcltr\pnstart1\pnindent720\pnhang {\pntxtb (}{\pntxta )}}{\*\pnseclvl7\pnlcrm\pnstart1\pnindent720\pnhang {\pntxtb (}{\pntxta )}}{\*\pnseclvl8\pnlcltr\pnstart1\pnindent720\pnhang {\pntxtb (}{\pntxta )}}{\*\pnseclvl9\pnlcrm\pnstart1\pnindent720\pnhang _x000d__x000a_{\pntxtb (}{\pntxta )}}\pard\plain \ltrpar\ql \li0\ri0\widctlpar\wrapdefault\aspalpha\aspnum\faauto\adjustright\rin0\lin0\itap0\pararsid14374628 \rtlch\fcs1 \af0\afs24\alang1025 \ltrch\fcs0 \fs24\lang2057\langfe2057\cgrid\langnp2057\langfenp2057 {_x000d__x000a_\rtlch\fcs1 \af0 \ltrch\fcs0 \cs15\v\f1\fs20\cf9\insrsid609427\charrsid15879488 {\*\bkmkstart EndA}&lt;&lt;&lt;}{\rtlch\fcs1 \af0 \ltrch\fcs0 \insrsid609427\charrsid15879488 #@&gt;ZOTHAMA&lt;@#}{\rtlch\fcs1 \af0 \ltrch\fcs0 _x000d__x000a_\cs15\v\f1\fs20\cf9\insrsid609427\charrsid15879488 &lt;/RepeatBlock-AmendA&gt;}{\rtlch\fcs1 \af0 \ltrch\fcs0 \insrsid609427\charrsid15879488 _x000d__x000a_\par }\pard \ltrpar\ql \li0\ri0\widctlpar\wrapdefault\aspalpha\aspnum\faauto\adjustright\rin0\lin0\itap0 {\rtlch\fcs1 \af0 \ltrch\fcs0 \insrsid609427 {\*\bkmkend EndA}_x000d__x000a_\par }}"/>
    <w:docVar w:name="End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3841234 HideTWBExt;}}{\*\latentstyles\lsdstimax156\lsdlockeddef0}{\*\rsidtbl \rsid13841234}{\*\generator Microsoft Word 11.0.0000;}{\info{\title #@&gt;ZOTHAMB&lt;@#}{\author hvuillaume}_x000d__x000a_{\operator hvuillaume}{\creatim\yr2010\mo11\dy26\hr9\min44}{\revtim\yr2010\mo11\dy26\hr9\min44}{\version1}{\edmins0}{\nofpages1}{\nofwords4}{\nofchars34}{\*\company European Parliament}{\nofcharsws37}{\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3841234\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v\f1\fs20\cf9\insrsid13841234\charrsid15879488 {\*\bkmkstart EndB}&lt;&lt;&lt;}{\rtlch\fcs1 \af0 \ltrch\fcs0 \insrsid13841234\charrsid15879488 #@&gt;ZOTHAMB&lt;@#}{\rtlch\fcs1 _x000d__x000a_\af0 \ltrch\fcs0 \cs15\v\f1\fs20\cf9\insrsid13841234\charrsid15879488 &lt;/RepeatBlock-AmendB&gt;}{\rtlch\fcs1 \af0 \ltrch\fcs0 \insrsid13841234 {\*\bkmkend EndB}_x000d__x000a_\par }}"/>
    <w:docVar w:name="Intro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3308725 HideTWBExt;}{\s16\ql \li0\ri0\sa240\nowidctlpar\tx357\wrapdefault\aspalpha\aspnum\faauto\adjustright\rin0\lin0\itap0 \rtlch\fcs1 \af0\afs20\alang1025 \ltrch\fcs0 _x000d__x000a_\fs24\lang2057\langfe2057\cgrid\langnp2057\langfenp2057 \sbasedon0 \snext16 \styrsid3308725 Normal12Tab;}}{\*\latentstyles\lsdstimax156\lsdlockeddef0}{\*\rsidtbl \rsid3308725}{\*\generator Microsoft Word 11.0.0000;}{\info{\author hvuillaume}_x000d__x000a_{\operator hvuillaume}{\creatim\yr2010\mo11\dy26\hr9\min44}{\revtim\yr2010\mo11\dy26\hr9\min44}{\version1}{\edmins0}{\nofpages1}{\nofwords2}{\nofchars20}{\*\company European Parliament}{\nofcharsws21}{\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3308725\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s16\ql \li0\ri0\sa240\nowidctlpar\tx357\wrapdefault\aspalpha\aspnum\faauto\adjustright\rin0\lin0\itap0\pararsid14374628 \rtlch\fcs1 \af0\afs20\alang1025 \ltrch\fcs0 _x000d__x000a_\fs24\lang2057\langfe2057\cgrid\langnp2057\langfenp2057 {\rtlch\fcs1 \af0 \ltrch\fcs0 \insrsid3308725\charrsid15879488 {\*\bkmkstart IntroA}_x000d__x000a_\par }\pard\plain \ltrpar\ql \li0\ri0\widctlpar\wrapdefault\aspalpha\aspnum\faauto\adjustright\rin0\lin0\itap0 \rtlch\fcs1 \af0\afs24\alang1025 \ltrch\fcs0 \fs24\lang2057\langfe2057\cgrid\langnp2057\langfenp2057 {\rtlch\fcs1 \af0 \ltrch\fcs0 _x000d__x000a_\cs15\b\v\f1\fs20\cf9\insrsid3308725\charrsid15879488 &lt;RepeatBlock-AmendA&gt;}{\rtlch\fcs1 \af0 \ltrch\fcs0 \insrsid3308725 {\*\bkmkend IntroA}_x000d__x000a_\par }}"/>
    <w:docVar w:name="Intro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5870569 HideTWBExt;}}{\*\latentstyles\lsdstimax156\lsdlockeddef0}{\*\rsidtbl \rsid15870569}{\*\generator Microsoft Word 11.0.0000;}{\info{\author hvuillaume}{\operator hvuillaume}_x000d__x000a_{\creatim\yr2010\mo11\dy26\hr9\min44}{\revtim\yr2010\mo11\dy26\hr9\min44}{\version1}{\edmins0}{\nofpages1}{\nofwords2}{\nofchars19}{\*\company European Parliament}{\nofcharsws20}{\vern24615}{\*\password 00000000}}{\*\xmlnstbl {\xmlns1 http://schemas.micro_x000d__x000a_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5870569\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b\v\f1\fs20\cf9\insrsid15870569\charrsid15879488 {\*\bkmkstart IntroB}&lt;RepeatBlock-AmendB&gt;}{\rtlch\fcs1 \af0 \ltrch\fcs0 \insrsid15870569 {\*\bkmkend IntroB}_x000d__x000a__x000d__x000a_\par }}"/>
    <w:docVar w:name="LastEditedSection" w:val=" 1"/>
    <w:docVar w:name="RepeatBlock-AmendAL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976203 HideTWBExt;}{\s16\ql \li0\ri0\sa120\nowidctlpar\wrapdefault\aspalpha\aspnum\faauto\adjustright\rin0\lin0\itap0 \rtlch\fcs1 \af0\afs20\alang1025 \ltrch\fcs0 _x000d__x000a_\fs24\lang1063\langfe2057\cgrid\langnp1063\langfenp2057 \sbasedon0 \snext16 \slink17 \spriority0 \styrsid12976203 Normal6;}{\*\cs17 \additive \fs24\lang1063\langfe0\langnp1063 \slink16 \slocked \spriority0 \styrsid12976203 Normal6 Char;}{_x000d__x000a_\s18\ql \li0\ri0\nowidctlpar\wrapdefault\aspalpha\aspnum\faauto\adjustright\rin0\lin0\itap0 \rtlch\fcs1 \af0\afs20\alang1025 \ltrch\fcs0 \b\fs24\lang1063\langfe2057\cgrid\langnp1063\langfenp2057 \sbasedon0 \snext18 \slink19 \spriority0 \styrsid12976203 _x000d__x000a_NormalBold;}{\*\cs19 \additive \b\fs24\lang1063\langfe0\langnp1063 \slink18 \slocked \spriority0 \styrsid12976203 NormalBold Char;}{\s20\ql \li0\ri0\sb240\nowidctlpar\wrapdefault\aspalpha\aspnum\faauto\adjustright\rin0\lin0\itap0 \rtlch\fcs1 _x000d__x000a_\af0\afs20\alang1025 \ltrch\fcs0 \i\fs24\lang1063\langfe2057\cgrid\langnp1063\langfenp2057 \sbasedon0 \snext20 \spriority0 \styrsid12976203 Normal12Italic;}{\*\cs21 \additive \v\cf15 \spriority0 \styrsid12976203 HideTWBInt;}{_x000d__x000a_\s22\qc \li0\ri0\sb240\keepn\nowidctlpar\wrapdefault\aspalpha\aspnum\faauto\adjustright\rin0\lin0\itap0 \rtlch\fcs1 \af0\afs20\alang1025 \ltrch\fcs0 \i\fs24\lang1063\langfe2057\cgrid\langnp1063\langfenp2057 \sbasedon0 \snext0 \spriority0 \styrsid12976203 _x000d__x000a_JustificationTitle;}{\s23\qc \li0\ri0\sa240\nowidctlpar\wrapdefault\aspalpha\aspnum\faauto\adjustright\rin0\lin0\itap0 \rtlch\fcs1 \af0\afs20\alang1025 \ltrch\fcs0 \i\fs24\lang1063\langfe2057\cgrid\langnp1063\langfenp2057 _x000d__x000a_\sbasedon0 \snext23 \spriority0 \styrsid12976203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4 \spriority0 \styrsid12976203 AMNumberTabs;}{\s25\ql \li0\ri0\sb240\nowidctlpar\wrapdefault\aspalpha\aspnum\faauto\adjustright\rin0\lin0\itap0 \rtlch\fcs1 _x000d__x000a_\af0\afs20\alang1025 \ltrch\fcs0 \b\fs24\lang1063\langfe2057\cgrid\langnp1063\langfenp2057 \sbasedon0 \snext25 \spriority0 \styrsid12976203 NormalBold12b;}}{\*\rsidtbl \rsid24658\rsid735077\rsid2892074\rsid4666813\rsid6641733\rsid9636012\rsid11215221_x000d__x000a_\rsid12154954\rsid12976203\rsid14424199\rsid14705294\rsid15204470\rsid15285974\rsid15950462\rsid16324206\rsid16662270}{\mmathPr\mmathFont34\mbrkBin0\mbrkBinSub0\msmallFrac0\mdispDef1\mlMargin0\mrMargin0\mdefJc1\mwrapIndent1440\mintLim0\mnaryLim1}{\info_x000d__x000a_{\author MANCIUNSKAS Dalius}{\operator MANCIUNSKAS Dalius}{\creatim\yr2017\mo5\dy16\hr10\min27}{\revtim\yr2017\mo5\dy16\hr10\min27}{\version1}{\edmins0}{\nofpages1}{\nofwords41}{\nofchars288}{\*\company European Parliament}{\nofcharsws326}{\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976203\utinl \fet0{\*\wgrffmtfilter 013f}\ilfomacatclnup0{\*\template C:\\Users\\DMANCI~1\\AppData\\Local\\Temp\\Blank1.dot}{\*\ftnsep \ltrpar \pard\plain \ltrpar_x000d__x000a_\ql \li0\ri0\widctlpar\wrapdefault\aspalpha\aspnum\faauto\adjustright\rin0\lin0\itap0 \rtlch\fcs1 \af0\afs20\alang1025 \ltrch\fcs0 \fs24\lang2057\langfe2057\cgrid\langnp2057\langfenp2057 {\rtlch\fcs1 \af0 \ltrch\fcs0 \insrsid14705294 \chftnsep _x000d__x000a_\par }}{\*\ftnsepc \ltrpar \pard\plain \ltrpar\ql \li0\ri0\widctlpar\wrapdefault\aspalpha\aspnum\faauto\adjustright\rin0\lin0\itap0 \rtlch\fcs1 \af0\afs20\alang1025 \ltrch\fcs0 \fs24\lang2057\langfe2057\cgrid\langnp2057\langfenp2057 {\rtlch\fcs1 \af0 _x000d__x000a_\ltrch\fcs0 \insrsid14705294 \chftnsepc _x000d__x000a_\par }}{\*\aftnsep \ltrpar \pard\plain \ltrpar\ql \li0\ri0\widctlpar\wrapdefault\aspalpha\aspnum\faauto\adjustright\rin0\lin0\itap0 \rtlch\fcs1 \af0\afs20\alang1025 \ltrch\fcs0 \fs24\lang2057\langfe2057\cgrid\langnp2057\langfenp2057 {\rtlch\fcs1 \af0 _x000d__x000a_\ltrch\fcs0 \insrsid14705294 \chftnsep _x000d__x000a_\par }}{\*\aftnsepc \ltrpar \pard\plain \ltrpar\ql \li0\ri0\widctlpar\wrapdefault\aspalpha\aspnum\faauto\adjustright\rin0\lin0\itap0 \rtlch\fcs1 \af0\afs20\alang1025 \ltrch\fcs0 \fs24\lang2057\langfe2057\cgrid\langnp2057\langfenp2057 {\rtlch\fcs1 \af0 _x000d__x000a_\ltrch\fcs0 \insrsid1470529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1063\langfe2057\cgrid\langnp1063\langfenp2057 {\rtlch\fcs1 \af0 \ltrch\fcs0 \cs15\b0\v\f1\fs20\cf9\insrsid12976203\charrsid16676939 {\*\bkmkstart restartA}&lt;AmendA&gt;}{_x000d__x000a_\rtlch\fcs1 \af0 \ltrch\fcs0 \insrsid12976203\charrsid16676939 Pakeitimas\tab \tab }{\rtlch\fcs1 \af0 \ltrch\fcs0 \cs15\b0\v\f1\fs20\cf9\insrsid12976203\charrsid16676939 &lt;NumAmA&gt;}{\rtlch\fcs1 \af0 \ltrch\fcs0 \insrsid12976203\charrsid16676939 #}{_x000d__x000a_\rtlch\fcs1 \af0 \ltrch\fcs0 \cs21\v\cf15\insrsid12976203\charrsid16676939 ENMIENDA@NRAM@}{\rtlch\fcs1 \af0 \ltrch\fcs0 \insrsid12976203\charrsid16676939 #}{\rtlch\fcs1 \af0 \ltrch\fcs0 \cs15\b0\v\f1\fs20\cf9\insrsid12976203\charrsid16676939 &lt;/NumAmA&gt;}{_x000d__x000a_\rtlch\fcs1 \af0 \ltrch\fcs0 \insrsid12976203\charrsid16676939 _x000d__x000a_\par }\pard\plain \ltrpar\s25\ql \li0\ri0\sb240\keepn\nowidctlpar\wrapdefault\aspalpha\aspnum\faauto\adjustright\rin0\lin0\itap0\pararsid14374628 \rtlch\fcs1 \af0\afs20\alang1025 \ltrch\fcs0 \b\fs24\lang1063\langfe2057\cgrid\langnp1063\langfenp2057 {_x000d__x000a_\rtlch\fcs1 \af0 \ltrch\fcs0 \cs15\b0\v\f1\fs20\cf9\insrsid12976203\charrsid16676939 &lt;DocAmend&gt;}{\rtlch\fcs1 \af317 \ltrch\fcs0 \f317\insrsid12976203\charrsid16676939 Teis\'ebk\'fbros rezoliucjos projektas}{\rtlch\fcs1 \af0 \ltrch\fcs0 _x000d__x000a_\cs15\b0\v\f1\fs20\cf9\insrsid12976203\charrsid16676939 &lt;/DocAmend&gt;}{\rtlch\fcs1 \af0 \ltrch\fcs0 \insrsid12976203\charrsid16676939 _x000d__x000a_\par }\pard\plain \ltrpar\s18\ql \li0\ri0\nowidctlpar\wrapdefault\aspalpha\aspnum\faauto\adjustright\rin0\lin0\itap0\pararsid14374628 \rtlch\fcs1 \af0\afs20\alang1025 \ltrch\fcs0 \b\fs24\lang1063\langfe2057\cgrid\langnp1063\langfenp2057 {\rtlch\fcs1 \af0 _x000d__x000a_\ltrch\fcs0 \cs15\b0\v\f1\fs20\cf9\insrsid12976203\charrsid16676939 &lt;Article&gt;}{\rtlch\fcs1 \af0 \ltrch\fcs0 \cf10\insrsid12976203\charrsid3081842 \u9668\'3f}{\rtlch\fcs1 \af0 \ltrch\fcs0 \insrsid12976203\charrsid16676939 #}{\rtlch\fcs1 \af0 \ltrch\fcs0 _x000d__x000a_\cs21\v\cf15\insrsid12976203\charrsid16676939 TVTRESPART@RESPART@}{\rtlch\fcs1 \af0 \ltrch\fcs0 \insrsid12976203\charrsid16676939 #}{\rtlch\fcs1 \af0 \ltrch\fcs0 \cf10\insrsid12976203\charrsid3081842 \u9658\'3f}{\rtlch\fcs1 \af0 \ltrch\fcs0 _x000d__x000a_\cs15\b0\v\f1\fs20\cf9\insrsid12976203\charrsid16676939 &lt;/Article&gt;}{\rtlch\fcs1 \af0 \ltrch\fcs0 \cs19\b0\insrsid12976203\charrsid16676939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63\langfe2057\langnp1063\insrsid12976203\charrsid16676939 \cell }\pard \ltrpar_x000d__x000a_\ql \li0\ri0\widctlpar\intbl\wrapdefault\aspalpha\aspnum\faauto\adjustright\rin0\lin0 {\rtlch\fcs1 \af0 \ltrch\fcs0 \lang1063\langfe2057\langnp1063\insrsid12976203\charrsid16676939 \trowd \ltrrow_x000d__x000a_\ts11\trqc\trgaph340\trleft-340\trftsWidth1\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1\trftsWidthB3\trftsWidthA3\trpaddl340\trpaddr340\trpaddfl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4374628 \rtlch\fcs1 \af0\afs20\alang1025 \ltrch\fcs0 \i\fs24\lang1063\langfe2057\cgrid\langnp1063\langfenp2057 {_x000d__x000a_\rtlch\fcs1 \af317 \ltrch\fcs0 \f317\insrsid12976203\charrsid16676939 Teis\'ebk\'fbros rezoliucjos projektas\cell }{\rtlch\fcs1 \af0 \ltrch\fcs0 \insrsid12976203\charrsid16676939 Pakeitimas\cell }\pard\plain \ltrpar_x000d__x000a_\ql \li0\ri0\widctlpar\intbl\wrapdefault\aspalpha\aspnum\faauto\adjustright\rin0\lin0 \rtlch\fcs1 \af0\afs20\alang1025 \ltrch\fcs0 \fs24\lang2057\langfe2057\cgrid\langnp2057\langfenp2057 {\rtlch\fcs1 \af0 \ltrch\fcs0 _x000d__x000a_\lang1063\langfe2057\langnp1063\insrsid12976203\charrsid16676939 \trowd \ltrrow\ts11\trqc\trgaph340\trleft-340\trftsWidth1\trftsWidthB3\trftsWidthA3\trpaddl340\trpaddr340\trpaddfl3\trpaddfr3\tblrsid14374628\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1063\langfe2057\cgrid\langnp1063\langfenp2057 {\rtlch\fcs1 \af0 _x000d__x000a_\ltrch\fcs0 \insrsid12976203\charrsid16676939 #}{\rtlch\fcs1 \af0 \ltrch\fcs0 \cs21\v\cf15\insrsid12976203\charrsid16676939 Tekstas}{\rtlch\fcs1 \af0 \ltrch\fcs0 \insrsid12976203\charrsid16676939 #\cell #}{\rtlch\fcs1 \af0 \ltrch\fcs0 _x000d__x000a_\cs21\v\cf15\insrsid12976203\charrsid16676939 Tekstas}{\rtlch\fcs1 \af0 \ltrch\fcs0 \insrsid12976203\charrsid16676939 #}{\rtlch\fcs1 \af0\afs24 \ltrch\fcs0 \insrsid12976203\charrsid16676939 \cell }\pard\plain \ltrpar_x000d__x000a_\ql \li0\ri0\widctlpar\intbl\wrapdefault\aspalpha\aspnum\faauto\adjustright\rin0\lin0 \rtlch\fcs1 \af0\afs20\alang1025 \ltrch\fcs0 \fs24\lang2057\langfe2057\cgrid\langnp2057\langfenp2057 {\rtlch\fcs1 \af0 \ltrch\fcs0 _x000d__x000a_\lang1063\langfe2057\langnp1063\insrsid12976203\charrsid16676939 \trowd \lastrow \ltrrow\ts11\trqc\trgaph340\trleft-340\trftsWidth1\trftsWidthB3\trftsWidthA3\trpaddl340\trpaddr340\trpaddfl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pard\plain \ltrpar\s22\qc \li0\ri0\sb240\keepn\nowidctlpar\wrapdefault\aspalpha\aspnum\faauto\adjustright\rin0\lin0\itap0\pararsid14374628 \rtlch\fcs1 \af0\afs20\alang1025 \ltrch\fcs0 \i\fs24\lang1063\langfe2057\cgrid\langnp1063\langfenp2057 {_x000d__x000a_\rtlch\fcs1 \af0 \ltrch\fcs0 \cs15\i0\v\f1\fs20\cf9\insrsid12976203\charrsid16676939 &lt;TitreJust&gt;}{\rtlch\fcs1 \af0 \ltrch\fcs0 \insrsid12976203\charrsid16676939 Pagrindimas}{\rtlch\fcs1 \af0 \ltrch\fcs0 _x000d__x000a_\cs15\i0\v\f1\fs20\cf9\insrsid12976203\charrsid16676939 &lt;/TitreJust&gt;}{\rtlch\fcs1 \af0 \ltrch\fcs0 \insrsid12976203\charrsid16676939 _x000d__x000a_\par }\pard\plain \ltrpar\s20\ql \li0\ri0\sb240\nowidctlpar\wrapdefault\aspalpha\aspnum\faauto\adjustright\rin0\lin0\itap0\pararsid14374628 \rtlch\fcs1 \af0\afs20\alang1025 \ltrch\fcs0 \i\fs24\lang1063\langfe2057\cgrid\langnp1063\langfenp2057 {\rtlch\fcs1 _x000d__x000a_\af0 \ltrch\fcs0 \cs15\i0\v\f1\fs20\cf9\insrsid12976203\charrsid16676939 &lt;OptDelPrev&gt;}{\rtlch\fcs1 \af0 \ltrch\fcs0 \insrsid12976203\charrsid16676939 #}{\rtlch\fcs1 \af0 \ltrch\fcs0 \cs21\v\cf15\insrsid12976203\charrsid16676939 _x000d__x000a_MNU[TEXTJUSTYES][TEXTJUSTNO]@CHOICE@}{\rtlch\fcs1 \af0 \ltrch\fcs0 \insrsid12976203\charrsid16676939 #}{\rtlch\fcs1 \af0 \ltrch\fcs0 \cs15\i0\v\f1\fs20\cf9\insrsid12976203\charrsid16676939 &lt;/OptDelPrev&gt;}{\rtlch\fcs1 \af0 \ltrch\fcs0 _x000d__x000a_\insrsid12976203\charrsid16676939 _x000d__x000a_\par }\pard\plain \ltrpar\ql \li0\ri0\widctlpar\wrapdefault\aspalpha\aspnum\faauto\adjustright\rin0\lin0\itap0\pararsid16324206 \rtlch\fcs1 \af0\afs20\alang1025 \ltrch\fcs0 \fs24\lang2057\langfe2057\cgrid\langnp2057\langfenp2057 {\rtlch\fcs1 \af0 \ltrch\fcs0 _x000d__x000a_\cs15\v\f1\fs20\cf9\lang1063\langfe2057\langnp1063\insrsid12976203\charrsid16676939 &lt;/AmendA&gt;}{\rtlch\fcs1 \af0 \ltrch\fcs0 \insrsid12976203\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ed_x000d__x000a_d14d1ece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6064322 HideTWBExt;}{\s16\ql \li0\ri0\sa120\nowidctlpar\wrapdefault\aspalpha\aspnum\faauto\adjustright\rin0\lin0\itap0 \rtlch\fcs1 \af0\afs20\alang1025 \ltrch\fcs0 _x000d__x000a_\fs24\lang1063\langfe2057\cgrid\langnp1063\langfenp2057 \sbasedon0 \snext16 \slink17 \spriority0 \styrsid16064322 Normal6;}{\*\cs17 \additive \fs24\lang1063\langfe0\langnp1063 \slink16 \slocked \spriority0 \styrsid16064322 Normal6 Char;}{_x000d__x000a_\s18\ql \li0\ri0\nowidctlpar\wrapdefault\aspalpha\aspnum\faauto\adjustright\rin0\lin0\itap0 \rtlch\fcs1 \af0\afs20\alang1025 \ltrch\fcs0 \b\fs24\lang1063\langfe2057\cgrid\langnp1063\langfenp2057 \sbasedon0 \snext18 \slink19 \spriority0 \styrsid16064322 _x000d__x000a_NormalBold;}{\*\cs19 \additive \b\fs24\lang1063\langfe0\langnp1063 \slink18 \slocked \spriority0 \styrsid16064322 NormalBold Char;}{\s20\ql \li0\ri0\sb240\nowidctlpar\wrapdefault\aspalpha\aspnum\faauto\adjustright\rin0\lin0\itap0 \rtlch\fcs1 _x000d__x000a_\af0\afs20\alang1025 \ltrch\fcs0 \i\fs24\lang1063\langfe2057\cgrid\langnp1063\langfenp2057 \sbasedon0 \snext20 \spriority0 \styrsid16064322 Normal12Italic;}{\s21\qc \li0\ri0\sb240\nowidctlpar\wrapdefault\aspalpha\aspnum\faauto\adjustright\rin0\lin0\itap0 _x000d__x000a_\rtlch\fcs1 \af0\afs20\alang1025 \ltrch\fcs0 \i\fs24\lang1063\langfe2057\cgrid\langnp1063\langfenp2057 \sbasedon0 \snext21 \spriority0 \styrsid16064322 CrossRef;}{\*\cs22 \additive \v\cf15 \spriority0 \styrsid16064322 HideTWBInt;}{_x000d__x000a_\s23\qc \li0\ri0\sb240\keepn\nowidctlpar\wrapdefault\aspalpha\aspnum\faauto\adjustright\rin0\lin0\itap0 \rtlch\fcs1 \af0\afs20\alang1025 \ltrch\fcs0 \i\fs24\lang1063\langfe2057\cgrid\langnp1063\langfenp2057 \sbasedon0 \snext0 \spriority0 \styrsid16064322 _x000d__x000a_JustificationTitle;}{\s24\qc \li0\ri0\sa240\nowidctlpar\wrapdefault\aspalpha\aspnum\faauto\adjustright\rin0\lin0\itap0 \rtlch\fcs1 \af0\afs20\alang1025 \ltrch\fcs0 \i\fs24\lang1063\langfe2057\cgrid\langnp1063\langfenp2057 _x000d__x000a_\sbasedon0 \snext24 \spriority0 \styrsid16064322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5 \spriority0 \styrsid16064322 AMNumberTabs;}{\s26\ql \li0\ri0\sb240\nowidctlpar\wrapdefault\aspalpha\aspnum\faauto\adjustright\rin0\lin0\itap0 \rtlch\fcs1 _x000d__x000a_\af0\afs20\alang1025 \ltrch\fcs0 \b\fs24\lang1063\langfe2057\cgrid\langnp1063\langfenp2057 \sbasedon0 \snext26 \spriority0 \styrsid16064322 NormalBold12b;}}{\*\rsidtbl \rsid24658\rsid735077\rsid1199618\rsid2892074\rsid4666813\rsid6641733\rsid9636012_x000d__x000a_\rsid11215221\rsid12154954\rsid14424199\rsid15204470\rsid15285974\rsid15950462\rsid16064322\rsid16324206\rsid16662270}{\mmathPr\mmathFont34\mbrkBin0\mbrkBinSub0\msmallFrac0\mdispDef1\mlMargin0\mrMargin0\mdefJc1\mwrapIndent1440\mintLim0\mnaryLim1}{\info_x000d__x000a_{\author MANCIUNSKAS Dalius}{\operator MANCIUNSKAS Dalius}{\creatim\yr2017\mo5\dy16\hr10\min27}{\revtim\yr2017\mo5\dy16\hr10\min27}{\version1}{\edmins0}{\nofpages1}{\nofwords83}{\nofchars581}{\*\company European Parliament}{\nofcharsws658}{\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6064322\utinl \fet0{\*\wgrffmtfilter 013f}\ilfomacatclnup0{\*\template C:\\Users\\DMANCI~1\\AppData\\Local\\Temp\\Blank1.dot}{\*\ftnsep \ltrpar \pard\plain \ltrpar_x000d__x000a_\ql \li0\ri0\widctlpar\wrapdefault\aspalpha\aspnum\faauto\adjustright\rin0\lin0\itap0 \rtlch\fcs1 \af0\afs20\alang1025 \ltrch\fcs0 \fs24\lang2057\langfe2057\cgrid\langnp2057\langfenp2057 {\rtlch\fcs1 \af0 \ltrch\fcs0 \insrsid1199618 \chftnsep _x000d__x000a_\par }}{\*\ftnsepc \ltrpar \pard\plain \ltrpar\ql \li0\ri0\widctlpar\wrapdefault\aspalpha\aspnum\faauto\adjustright\rin0\lin0\itap0 \rtlch\fcs1 \af0\afs20\alang1025 \ltrch\fcs0 \fs24\lang2057\langfe2057\cgrid\langnp2057\langfenp2057 {\rtlch\fcs1 \af0 _x000d__x000a_\ltrch\fcs0 \insrsid1199618 \chftnsepc _x000d__x000a_\par }}{\*\aftnsep \ltrpar \pard\plain \ltrpar\ql \li0\ri0\widctlpar\wrapdefault\aspalpha\aspnum\faauto\adjustright\rin0\lin0\itap0 \rtlch\fcs1 \af0\afs20\alang1025 \ltrch\fcs0 \fs24\lang2057\langfe2057\cgrid\langnp2057\langfenp2057 {\rtlch\fcs1 \af0 _x000d__x000a_\ltrch\fcs0 \insrsid1199618 \chftnsep _x000d__x000a_\par }}{\*\aftnsepc \ltrpar \pard\plain \ltrpar\ql \li0\ri0\widctlpar\wrapdefault\aspalpha\aspnum\faauto\adjustright\rin0\lin0\itap0 \rtlch\fcs1 \af0\afs20\alang1025 \ltrch\fcs0 \fs24\lang2057\langfe2057\cgrid\langnp2057\langfenp2057 {\rtlch\fcs1 \af0 _x000d__x000a_\ltrch\fcs0 \insrsid119961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1063\langfe2057\cgrid\langnp1063\langfenp2057 {\rtlch\fcs1 \af0 \ltrch\fcs0 \cs15\b0\v\f1\fs20\cf9\insrsid16064322\charrsid16676939 {\*\bkmkstart restartB}&lt;AmendB&gt;}{_x000d__x000a_\rtlch\fcs1 \af0 \ltrch\fcs0 \insrsid16064322\charrsid16676939 Pakeitimas\tab \tab }{\rtlch\fcs1 \af0 \ltrch\fcs0 \cs15\b0\v\f1\fs20\cf9\insrsid16064322\charrsid16676939 &lt;NumAmB&gt;}{\rtlch\fcs1 \af0 \ltrch\fcs0 \insrsid16064322\charrsid16676939 #}{_x000d__x000a_\rtlch\fcs1 \af0 \ltrch\fcs0 \cs22\v\cf15\insrsid16064322\charrsid16676939 ENMIENDA@NRAM@}{\rtlch\fcs1 \af0 \ltrch\fcs0 \insrsid16064322\charrsid16676939 #}{\rtlch\fcs1 \af0 \ltrch\fcs0 \cs15\b0\v\f1\fs20\cf9\insrsid16064322\charrsid16676939 &lt;/NumAmB&gt;}{_x000d__x000a_\rtlch\fcs1 \af0 \ltrch\fcs0 \insrsid16064322\charrsid16676939 _x000d__x000a_\par }\pard\plain \ltrpar\s26\ql \li0\ri0\sb240\keepn\nowidctlpar\wrapdefault\aspalpha\aspnum\faauto\adjustright\rin0\lin0\itap0\pararsid14374628 \rtlch\fcs1 \af0\afs20\alang1025 \ltrch\fcs0 \b\fs24\lang1063\langfe2057\cgrid\langnp1063\langfenp2057 {_x000d__x000a_\rtlch\fcs1 \af0 \ltrch\fcs0 \cs15\b0\v\f1\fs20\cf9\insrsid16064322\charrsid16676939 &lt;DocAmend&gt;}{\rtlch\fcs1 \af0 \ltrch\fcs0 \insrsid16064322\charrsid16676939 #}{\rtlch\fcs1 \af0 \ltrch\fcs0 \cs22\v\cf15\insrsid16064322\charrsid16676939 _x000d__x000a_MNU[OPTPROPOSALCOD][OPTPROPOSALCNS][OPTPROPOSALNLE]@CHOICE@CODEMNU}{\rtlch\fcs1 \af0 \ltrch\fcs0 \insrsid16064322\charrsid16676939 ##}{\rtlch\fcs1 \af0 \ltrch\fcs0 \cs22\v\cf15\insrsid16064322\charrsid16676939 MNU[AMACTYES][NOTAPP]@CHOICE@AMACTMNU}{_x000d__x000a_\rtlch\fcs1 \af0 \ltrch\fcs0 \insrsid16064322\charrsid16676939 #}{\rtlch\fcs1 \af0 \ltrch\fcs0 \cs15\b0\v\f1\fs20\cf9\insrsid16064322\charrsid16676939 &lt;/DocAmend&gt;}{\rtlch\fcs1 \af0 \ltrch\fcs0 \insrsid16064322\charrsid16676939 _x000d__x000a_\par }\pard\plain \ltrpar\s18\ql \li0\ri0\keepn\nowidctlpar\wrapdefault\aspalpha\aspnum\faauto\adjustright\rin0\lin0\itap0\pararsid14374628 \rtlch\fcs1 \af0\afs20\alang1025 \ltrch\fcs0 \b\fs24\lang1063\langfe2057\cgrid\langnp1063\langfenp2057 {\rtlch\fcs1 _x000d__x000a_\af0 \ltrch\fcs0 \cs15\b0\v\f1\fs20\cf9\insrsid16064322\charrsid16676939 &lt;Article&gt;}{\rtlch\fcs1 \af0 \ltrch\fcs0 \insrsid16064322\charrsid16676939 #}{\rtlch\fcs1 \af0 \ltrch\fcs0 \cs22\v\cf15\insrsid16064322\charrsid16676939 _x000d__x000a_MNU[AMACTPARTYES][AMACTPARTNO]@CHOICE@AMACTMNU}{\rtlch\fcs1 \af0 \ltrch\fcs0 \insrsid16064322\charrsid16676939 #}{\rtlch\fcs1 \af0 \ltrch\fcs0 \cs15\b0\v\f1\fs20\cf9\insrsid16064322\charrsid16676939 &lt;/Article&gt;}{\rtlch\fcs1 \af0 \ltrch\fcs0 _x000d__x000a_\insrsid16064322\charrsid16676939 _x000d__x000a_\par }\pard\plain \ltrpar\ql \li0\ri0\keepn\widctlpar\wrapdefault\aspalpha\aspnum\faauto\adjustright\rin0\lin0\itap0\pararsid14374628 \rtlch\fcs1 \af0\afs20\alang1025 \ltrch\fcs0 \fs24\lang2057\langfe2057\cgrid\langnp2057\langfenp2057 {\rtlch\fcs1 \af0 _x000d__x000a_\ltrch\fcs0 \cs15\v\f1\fs20\cf9\lang1063\langfe2057\langnp1063\insrsid16064322\charrsid16676939 &lt;DocAmend2&gt;&lt;OptDel&gt;}{\rtlch\fcs1 \af0 \ltrch\fcs0 \lang1063\langfe2057\langnp1063\insrsid16064322\charrsid16676939 #}{\rtlch\fcs1 \af0 \ltrch\fcs0 _x000d__x000a_\cs22\v\cf15\lang1063\langfe2057\langnp1063\insrsid16064322\charrsid16676939 MNU[OPTNRACTYES][NOTAPP]@CHOICE@AMACTMNU}{\rtlch\fcs1 \af0 \ltrch\fcs0 \lang1063\langfe2057\langnp1063\insrsid16064322\charrsid16676939 #}{\rtlch\fcs1 \af0 \ltrch\fcs0 _x000d__x000a_\cs15\v\f1\fs20\cf9\lang1063\langfe2057\langnp1063\insrsid16064322\charrsid16676939 &lt;/OptDel&gt;&lt;/DocAmend2&gt;}{\rtlch\fcs1 \af0 \ltrch\fcs0 \lang1063\langfe2057\langnp1063\insrsid16064322\charrsid16676939 _x000d__x000a_\par }\pard \ltrpar\ql \li0\ri0\widctlpar\wrapdefault\aspalpha\aspnum\faauto\adjustright\rin0\lin0\itap0\pararsid14374628 {\rtlch\fcs1 \af0 \ltrch\fcs0 \cs15\v\f1\fs20\cf9\lang1063\langfe2057\langnp1063\insrsid16064322\charrsid16676939 &lt;Article2&gt;&lt;OptDel&gt;}{_x000d__x000a_\rtlch\fcs1 \af0 \ltrch\fcs0 \lang1063\langfe2057\langnp1063\insrsid16064322\charrsid16676939 #}{\rtlch\fcs1 \af0 \ltrch\fcs0 \cs22\v\cf15\lang1063\langfe2057\langnp1063\insrsid16064322\charrsid16676939 MNU[OPTACTPARTYES][NOTAPP]@CHOICE@AMACTMNU}{_x000d__x000a_\rtlch\fcs1 \af0 \ltrch\fcs0 \lang1063\langfe2057\langnp1063\insrsid16064322\charrsid16676939 #}{\rtlch\fcs1 \af0 \ltrch\fcs0 \cs15\v\f1\fs20\cf9\lang1063\langfe2057\langnp1063\insrsid16064322\charrsid16676939 &lt;/OptDel&gt;&lt;/Article2&gt;}{\rtlch\fcs1 \af0 _x000d__x000a_\ltrch\fcs0 \lang1063\langfe2057\langnp1063\insrsid16064322\charrsid16676939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_x000d__x000a_\lang1063\langfe2057\langnp1063\insrsid16064322\charrsid16676939 \cell }\pard \ltrpar\ql \li0\ri0\widctlpar\intbl\wrapdefault\aspalpha\aspnum\faauto\adjustright\rin0\lin0 {\rtlch\fcs1 \af0 \ltrch\fcs0 _x000d__x000a_\lang1063\langfe2057\langnp1063\insrsid16064322\charrsid16676939 \trowd \ltrrow\ts11\trqc\trgaph340\trleft-340\trftsWidth3\trwWidth9752\trftsWidthB3\trftsWidthA3\trpaddl340\trpaddr340\trpaddfl3\trpaddfr3\tblrsid14374628\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63\langfe2057\cgrid\langnp1063\langfenp2057 {\rtlch\fcs1 \af0 \ltrch\fcs0 _x000d__x000a_\insrsid16064322\charrsid16676939 #}{\rtlch\fcs1 \af0 \ltrch\fcs0 \cs22\v\cf15\insrsid16064322\charrsid16676939 MNU[OPTLEFTAMACT][LEFTPROP]@CHOICE@AMACTMNU}{\rtlch\fcs1 \af0 \ltrch\fcs0 \insrsid16064322\charrsid16676939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6064322\charrsid16676939 \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6\ql \li0\ri0\sa120\nowidctlpar\intbl\wrapdefault\aspalpha\aspnum\faauto\adjustright\rin0\lin0\pararsid14374628 \rtlch\fcs1 \af0\afs20\alang1025 \ltrch\fcs0 _x000d__x000a_\fs24\lang1063\langfe2057\cgrid\langnp1063\langfenp2057 {\rtlch\fcs1 \af0 \ltrch\fcs0 \insrsid16064322\charrsid16676939 #}{\rtlch\fcs1 \af0 \ltrch\fcs0 \cs22\v\cf15\insrsid16064322\charrsid16676939 Tekstas}{\rtlch\fcs1 \af0 \ltrch\fcs0 _x000d__x000a_\insrsid16064322\charrsid16676939 #\cell #}{\rtlch\fcs1 \af0 \ltrch\fcs0 \cs22\v\cf15\insrsid16064322\charrsid16676939 Tekstas}{\rtlch\fcs1 \af0 \ltrch\fcs0 \insrsid16064322\charrsid16676939 #}{\rtlch\fcs1 \af0\afs24 \ltrch\fcs0 _x000d__x000a_\insrsid16064322\charrsid16676939 \cell }\pard\plain \ltrpar\ql \li0\ri0\widctlpar\intbl\wrapdefault\aspalpha\aspnum\faauto\adjustright\rin0\lin0 \rtlch\fcs1 \af0\afs20\alang1025 \ltrch\fcs0 \fs24\lang2057\langfe2057\cgrid\langnp2057\langfenp2057 {_x000d__x000a_\rtlch\fcs1 \af0 \ltrch\fcs0 \lang1063\langfe2057\langnp1063\insrsid16064322\charrsid16676939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14374628 \rtlch\fcs1 \af0\afs20\alang1025 \ltrch\fcs0 \i\fs24\lang1063\langfe2057\cgrid\langnp1063\langfenp2057 {\rtlch\fcs1 \af0 \ltrch\fcs0 _x000d__x000a_\cs15\i0\v\f1\fs20\cf9\insrsid16064322\charrsid16676939 &lt;OptDel&gt;}{\rtlch\fcs1 \af0 \ltrch\fcs0 \insrsid16064322\charrsid16676939 #}{\rtlch\fcs1 \af0 \ltrch\fcs0 \cs22\v\cf15\insrsid16064322\charrsid16676939 MNU[CROSSREFNO][CROSSREFYES]@CHOICE@}{_x000d__x000a_\rtlch\fcs1 \af0 \ltrch\fcs0 \insrsid16064322\charrsid16676939 #}{\rtlch\fcs1 \af0 \ltrch\fcs0 \cs15\i0\v\f1\fs20\cf9\insrsid16064322\charrsid16676939 &lt;/OptDel&gt;}{\rtlch\fcs1 \af0 \ltrch\fcs0 \insrsid16064322\charrsid16676939 _x000d__x000a_\par }\pard\plain \ltrpar\s23\qc \li0\ri0\sb240\keepn\nowidctlpar\wrapdefault\aspalpha\aspnum\faauto\adjustright\rin0\lin0\itap0\pararsid14374628 \rtlch\fcs1 \af0\afs20\alang1025 \ltrch\fcs0 \i\fs24\lang1063\langfe2057\cgrid\langnp1063\langfenp2057 {_x000d__x000a_\rtlch\fcs1 \af0 \ltrch\fcs0 \cs15\i0\v\f1\fs20\cf9\insrsid16064322\charrsid16676939 &lt;TitreJust&gt;}{\rtlch\fcs1 \af0 \ltrch\fcs0 \insrsid16064322\charrsid16676939 Pagrindimas}{\rtlch\fcs1 \af0 \ltrch\fcs0 _x000d__x000a_\cs15\i0\v\f1\fs20\cf9\insrsid16064322\charrsid16676939 &lt;/TitreJust&gt;}{\rtlch\fcs1 \af0 \ltrch\fcs0 \insrsid16064322\charrsid16676939 _x000d__x000a_\par }\pard\plain \ltrpar\s20\ql \li0\ri0\sb240\nowidctlpar\wrapdefault\aspalpha\aspnum\faauto\adjustright\rin0\lin0\itap0\pararsid14374628 \rtlch\fcs1 \af0\afs20\alang1025 \ltrch\fcs0 \i\fs24\lang1063\langfe2057\cgrid\langnp1063\langfenp2057 {\rtlch\fcs1 _x000d__x000a_\af0 \ltrch\fcs0 \cs15\i0\v\f1\fs20\cf9\insrsid16064322\charrsid16676939 &lt;OptDelPrev&gt;}{\rtlch\fcs1 \af0 \ltrch\fcs0 \insrsid16064322\charrsid16676939 #}{\rtlch\fcs1 \af0 \ltrch\fcs0 \cs22\v\cf15\insrsid16064322\charrsid16676939 _x000d__x000a_MNU[TEXTJUSTYES][TEXTJUSTNO]@CHOICE@}{\rtlch\fcs1 \af0 \ltrch\fcs0 \insrsid16064322\charrsid16676939 #}{\rtlch\fcs1 \af0 \ltrch\fcs0 \cs15\i0\v\f1\fs20\cf9\insrsid16064322\charrsid16676939 &lt;/OptDelPrev&gt;}{\rtlch\fcs1 \af0 \ltrch\fcs0 _x000d__x000a_\insrsid16064322\charrsid16676939 _x000d__x000a_\par }\pard\plain \ltrpar\ql \li0\ri0\widctlpar\wrapdefault\aspalpha\aspnum\faauto\adjustright\rin0\lin0\itap0\pararsid16324206 \rtlch\fcs1 \af0\afs20\alang1025 \ltrch\fcs0 \fs24\lang2057\langfe2057\cgrid\langnp2057\langfenp2057 {\rtlch\fcs1 \af0 \ltrch\fcs0 _x000d__x000a_\cs15\v\f1\fs20\cf9\lang1063\langfe2057\langnp1063\insrsid16064322\charrsid16676939 &lt;/AmendB&gt;}{\rtlch\fcs1 \af0 \ltrch\fcs0 \insrsid16064322\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4_x000d__x000a_2c4f1ece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12786015 HideTWBExt;}{\s16\ql \li0\ri0\sa120\nowidctlpar\wrapdefault\aspalpha\aspnum\faauto\adjustright\rin0\lin0\itap0 \rtlch\fcs1 \af0\afs20\alang1025 _x000d__x000a_\ltrch\fcs0 \fs24\lang2057\langfe2057\cgrid\langnp2057\langfenp2057 \sbasedon0 \snext16 \slink21 \styrsid12786015 Normal6;}{\s17\ql \li0\ri0\nowidctlpar\wrapdefault\aspalpha\aspnum\faauto\adjustright\rin0\lin0\itap0 \rtlch\fcs1 \af0\afs20\alang1025 _x000d__x000a_\ltrch\fcs0 \b\fs24\lang2057\langfe2057\cgrid\langnp2057\langfenp2057 \sbasedon0 \snext17 \slink20 \styrsid12786015 NormalBold;}{\s18\ql \li0\ri0\sb240\nowidctlpar\wrapdefault\aspalpha\aspnum\faauto\adjustright\rin0\lin0\itap0 \rtlch\fcs1 _x000d__x000a_\af0\afs20\alang1025 \ltrch\fcs0 \i\fs24\lang2057\langfe2057\cgrid\langnp2057\langfenp2057 \sbasedon0 \snext18 \styrsid12786015 Normal12Italic;}{\s19\qc \li0\ri0\sb240\keepn\nowidctlpar\wrapdefault\aspalpha\aspnum\faauto\adjustright\rin0\lin0\itap0 _x000d__x000a_\rtlch\fcs1 \af0\afs20\alang1025 \ltrch\fcs0 \i\fs24\lang2057\langfe2057\cgrid\langnp2057\langfenp2057 \sbasedon0 \snext0 \styrsid12786015 JustificationTitle;}{\*\cs20 \additive \rtlch\fcs1 \af0 \ltrch\fcs0 \b\fs24 _x000d__x000a_\sbasedon10 \slink17 \slocked \styrsid12786015 NormalBold Char;}{\*\cs21 \additive \rtlch\fcs1 \af0 \ltrch\fcs0 \fs24 \sbasedon10 \slink16 \slocked \styrsid12786015 Normal6 Char;}{_x000d__x000a_\s22\qc \li0\ri0\sa240\nowidctlpar\wrapdefault\aspalpha\aspnum\faauto\adjustright\rin0\lin0\itap0 \rtlch\fcs1 \af0\afs20\alang1025 \ltrch\fcs0 \i\fs24\lang2057\langfe2057\cgrid\langnp2057\langfenp2057 \sbasedon0 \snext22 \styrsid12786015 ColumnHeading;}{_x000d__x000a_\s23\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3 \styrsid12786015 AMNumberTabs;}{\s24\ql \li0\ri0\sb240\nowidctlpar\wrapdefault\aspalpha\aspnum\faauto\adjustright\rin0\lin0\itap0 _x000d__x000a_\rtlch\fcs1 \af0\afs20\alang1025 \ltrch\fcs0 \b\fs24\lang2057\langfe2057\cgrid\langnp2057\langfenp2057 \sbasedon0 \snext24 \styrsid12786015 NormalBold12b;}}{\*\rsidtbl \rsid24658\rsid68792\rsid735077\rsid2892074\rsid4666813\rsid6641733\rsid9636012_x000d__x000a_\rsid11215221\rsid12154954\rsid12786015\rsid14424199\rsid15204470\rsid15285974\rsid15950462\rsid16324206\rsid16662270}{\mmathPr\mmathFont34\mbrkBin0\mbrkBinSub0\msmallFrac0\mdispDef1\mlMargin0\mrMargin0\mdefJc1\mwrapIndent1440\mintLim0\mnaryLim1}{\info_x000d__x000a_{\author MANCIUNSKAS Dalius}{\operator MANCIUNSKAS Dalius}{\creatim\yr2017\mo5\dy16\hr10\min27}{\revtim\yr2017\mo5\dy16\hr10\min27}{\version1}{\edmins0}{\nofpages1}{\nofwords30}{\nofchars210}{\*\company European Parliament}{\nofcharsws238}{\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786015\utinl \fet0{\*\wgrffmtfilter 013f}\ilfomacatclnup0{\*\template C:\\Users\\DMANCI~1\\AppData\\Local\\Temp\\Blank1.dot}{\*\ftnsep \ltrpar \pard\plain \ltrpar_x000d__x000a_\ql \li0\ri0\widctlpar\wrapdefault\aspalpha\aspnum\faauto\adjustright\rin0\lin0\itap0 \rtlch\fcs1 \af0\afs20\alang1025 \ltrch\fcs0 \fs24\lang2057\langfe2057\cgrid\langnp2057\langfenp2057 {\rtlch\fcs1 \af0 \ltrch\fcs0 \insrsid68792 \chftnsep _x000d__x000a_\par }}{\*\ftnsepc \ltrpar \pard\plain \ltrpar\ql \li0\ri0\widctlpar\wrapdefault\aspalpha\aspnum\faauto\adjustright\rin0\lin0\itap0 \rtlch\fcs1 \af0\afs20\alang1025 \ltrch\fcs0 \fs24\lang2057\langfe2057\cgrid\langnp2057\langfenp2057 {\rtlch\fcs1 \af0 _x000d__x000a_\ltrch\fcs0 \insrsid68792 \chftnsepc _x000d__x000a_\par }}{\*\aftnsep \ltrpar \pard\plain \ltrpar\ql \li0\ri0\widctlpar\wrapdefault\aspalpha\aspnum\faauto\adjustright\rin0\lin0\itap0 \rtlch\fcs1 \af0\afs20\alang1025 \ltrch\fcs0 \fs24\lang2057\langfe2057\cgrid\langnp2057\langfenp2057 {\rtlch\fcs1 \af0 _x000d__x000a_\ltrch\fcs0 \insrsid68792 \chftnsep _x000d__x000a_\par }}{\*\aftnsepc \ltrpar \pard\plain \ltrpar\ql \li0\ri0\widctlpar\wrapdefault\aspalpha\aspnum\faauto\adjustright\rin0\lin0\itap0 \rtlch\fcs1 \af0\afs20\alang1025 \ltrch\fcs0 \fs24\lang2057\langfe2057\cgrid\langnp2057\langfenp2057 {\rtlch\fcs1 \af0 _x000d__x000a_\ltrch\fcs0 \insrsid6879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2786015\charrsid15879488 {\*\bkmkstart restartA}&lt;AmendA&gt;}{_x000d__x000a_\rtlch\fcs1 \af0 \ltrch\fcs0 \insrsid12786015\charrsid15879488 [ZAMENDMENT]\tab \tab }{\rtlch\fcs1 \af0 \ltrch\fcs0 \cs15\b0\v\f1\fs20\cf9\insrsid12786015\charrsid15879488 &lt;NumAmA&gt;}{\rtlch\fcs1 \af0 \ltrch\fcs0 \insrsid12786015\charrsid15879488 [ZNRAM]}{_x000d__x000a_\rtlch\fcs1 \af0 \ltrch\fcs0 \cs15\b0\v\f1\fs20\cf9\insrsid12786015\charrsid15879488 &lt;/NumAmA&gt;}{\rtlch\fcs1 \af0 \ltrch\fcs0 \insrsid12786015\charrsid15879488 _x000d__x000a_\par }\pard\plain \ltrpar\s24\ql \li0\ri0\sb240\keepn\nowidctlpar\wrapdefault\aspalpha\aspnum\faauto\adjustright\rin0\lin0\itap0\pararsid14374628 \rtlch\fcs1 \af0\afs20\alang1025 \ltrch\fcs0 \b\fs24\lang2057\langfe2057\cgrid\langnp2057\langfenp2057 {_x000d__x000a_\rtlch\fcs1 \af0 \ltrch\fcs0 \cs15\b0\v\f1\fs20\cf9\insrsid12786015\charrsid15879488 &lt;DocAmend&gt;}{\rtlch\fcs1 \af0 \ltrch\fcs0 \insrsid12786015\charrsid15879488 [ZRESOLUTION]}{\rtlch\fcs1 \af0 \ltrch\fcs0 _x000d__x000a_\cs15\b0\v\f1\fs20\cf9\insrsid12786015\charrsid15879488 &lt;/DocAmend&gt;}{\rtlch\fcs1 \af0 \ltrch\fcs0 \insrsid12786015\charrsid15879488 _x000d__x000a_\par }\pard\plain \ltrpar\s17\ql \li0\ri0\nowidctlpar\wrapdefault\aspalpha\aspnum\faauto\adjustright\rin0\lin0\itap0\pararsid14374628 \rtlch\fcs1 \af0\afs20\alang1025 \ltrch\fcs0 \b\fs24\lang2057\langfe2057\cgrid\langnp2057\langfenp2057 {\rtlch\fcs1 \af0 _x000d__x000a_\ltrch\fcs0 \cs15\b0\v\f1\fs20\cf9\insrsid12786015\charrsid15879488 &lt;Article&gt;}{\rtlch\fcs1 \af0 \ltrch\fcs0 \insrsid12786015\charrsid15879488 [ZRESPART]}{\rtlch\fcs1 \af0 \ltrch\fcs0 \cs15\b0\v\f1\fs20\cf9\insrsid12786015\charrsid15879488 &lt;/Article&gt;}{_x000d__x000a_\rtlch\fcs1 \af0 \ltrch\fcs0 \cs20\insrsid12786015\charrsid15879488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2786015\charrsid15879488 \cell }\pard \ltrpar\ql \li0\ri0\widctlpar\intbl\wrapdefault\aspalpha\aspnum\faauto\adjustright\rin0\lin0 {\rtlch\fcs1 \af0 _x000d__x000a_\ltrch\fcs0 \insrsid12786015\charrsid15879488 \trowd \ltrrow\ts11\trqc\trgaph340\trleft-340\trftsWidth1\trftsWidthB3\trftsWidthA3\trpaddl340\trpaddr340\trpaddfl3\trpaddfr3\tblrsid14374628\tblind0\tblindtype3 \clvertalt\clbrdrt\brdrtbl \clbrdrl\brdrtbl _x000d__x000a_\clbrdrb\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2786015\charrsid15879488 [ZLEFTA]\cell [ZRIGHT]\cell }\pard\plain \ltrpar\ql \li0\ri0\widctlpar\intbl\wrapdefault\aspalpha\aspnum\faauto\adjustright\rin0\lin0 \rtlch\fcs1 \af0\afs20\alang1025 \ltrch\fcs0 _x000d__x000a_\fs24\lang2057\langfe2057\cgrid\langnp2057\langfenp2057 {\rtlch\fcs1 \af0 \ltrch\fcs0 \insrsid12786015\charrsid15879488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2786015\charrsid15879488 [ZTEXTL]\cell [ZTEXTR]}{\rtlch\fcs1 \af0\afs24 \ltrch\fcs0 \insrsid12786015\charrsid15879488 \cell }\pard\plain \ltrpar\ql \li0\ri0\widctlpar\intbl\wrapdefault\aspalpha\aspnum\faauto\adjustright\rin0\lin0 \rtlch\fcs1 _x000d__x000a_\af0\afs20\alang1025 \ltrch\fcs0 \fs24\lang2057\langfe2057\cgrid\langnp2057\langfenp2057 {\rtlch\fcs1 \af0 \ltrch\fcs0 \insrsid12786015\charrsid15879488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keepn\nowidctlpar\wrapdefault\aspalpha\aspnum\faauto\adjustright\rin0\lin0\itap0\pararsid14374628 \rtlch\fcs1 \af0\afs20\alang1025 \ltrch\fcs0 \i\fs24\lang2057\langfe2057\cgrid\langnp2057\langfenp2057 {\rtlch\fcs1 \af0 \ltrch\fcs0 _x000d__x000a_\cs15\i0\v\f1\fs20\cf9\insrsid12786015\charrsid15879488 &lt;TitreJust&gt;}{\rtlch\fcs1 \af0 \ltrch\fcs0 \insrsid12786015\charrsid15879488 [ZJUSTIFICATION]}{\rtlch\fcs1 \af0 \ltrch\fcs0 \cs15\i0\v\f1\fs20\cf9\insrsid12786015\charrsid15879488 &lt;/TitreJust&gt;}{_x000d__x000a_\rtlch\fcs1 \af0 \ltrch\fcs0 \insrsid12786015\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12786015\charrsid15879488 &lt;OptDelPrev&gt;}{\rtlch\fcs1 \af0 \ltrch\fcs0 \insrsid12786015\charrsid15879488 [ZTEXTJUST]}{\rtlch\fcs1 \af0 \ltrch\fcs0 \cs15\i0\v\f1\fs20\cf9\insrsid12786015\charrsid15879488 _x000d__x000a_&lt;/OptDelPrev&gt;}{\rtlch\fcs1 \af0 \ltrch\fcs0 \insrsid12786015\charrsid15879488 _x000d__x000a_\par }\pard\plain \ltrpar\ql \li0\ri0\widctlpar\wrapdefault\aspalpha\aspnum\faauto\adjustright\rin0\lin0\itap0 \rtlch\fcs1 \af0\afs20\alang1025 \ltrch\fcs0 \fs24\lang2057\langfe2057\cgrid\langnp2057\langfenp2057 {\rtlch\fcs1 \af0 \ltrch\fcs0 _x000d__x000a_\cs15\v\f1\fs20\cf9\insrsid12786015\charrsid15879488 &lt;/AmendA&gt;}{\rtlch\fcs1 \af0 \ltrch\fcs0 \insrsid12786015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5_x000d__x000a_84501ece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553790 HideTWBExt;}{\s16\ql \li0\ri0\sa120\nowidctlpar\wrapdefault\aspalpha\aspnum\faauto\adjustright\rin0\lin0\itap0 \rtlch\fcs1 \af0\afs20\alang1025 \ltrch\fcs0 _x000d__x000a_\fs24\lang2057\langfe2057\cgrid\langnp2057\langfenp2057 \sbasedon0 \snext16 \slink22 \styrsid553790 Normal6;}{\s17\ql \li0\ri0\nowidctlpar\wrapdefault\aspalpha\aspnum\faauto\adjustright\rin0\lin0\itap0 \rtlch\fcs1 \af0\afs20\alang1025 \ltrch\fcs0 _x000d__x000a_\b\fs24\lang2057\langfe2057\cgrid\langnp2057\langfenp2057 \sbasedon0 \snext17 \slink21 \styrsid553790 NormalBold;}{\s18\ql \li0\ri0\sb240\nowidctlpar\wrapdefault\aspalpha\aspnum\faauto\adjustright\rin0\lin0\itap0 \rtlch\fcs1 \af0\afs20\alang1025 _x000d__x000a_\ltrch\fcs0 \i\fs24\lang2057\langfe2057\cgrid\langnp2057\langfenp2057 \sbasedon0 \snext18 \styrsid553790 Normal12Italic;}{\s19\qc \li0\ri0\sb240\nowidctlpar\wrapdefault\aspalpha\aspnum\faauto\adjustright\rin0\lin0\itap0 \rtlch\fcs1 \af0\afs20\alang1025 _x000d__x000a_\ltrch\fcs0 \i\fs24\lang2057\langfe2057\cgrid\langnp2057\langfenp2057 \sbasedon0 \snext19 \styrsid553790 CrossRef;}{\s20\qc \li0\ri0\sb240\keepn\nowidctlpar\wrapdefault\aspalpha\aspnum\faauto\adjustright\rin0\lin0\itap0 \rtlch\fcs1 \af0\afs20\alang1025 _x000d__x000a_\ltrch\fcs0 \i\fs24\lang2057\langfe2057\cgrid\langnp2057\langfenp2057 \sbasedon0 \snext0 \styrsid553790 JustificationTitle;}{\*\cs21 \additive \rtlch\fcs1 \af0 \ltrch\fcs0 \b\fs24 \sbasedon10 \slink17 \slocked \styrsid553790 NormalBold Char;}{\*\cs22 _x000d__x000a_\additive \rtlch\fcs1 \af0 \ltrch\fcs0 \fs24 \sbasedon10 \slink16 \slocked \styrsid553790 Normal6 Char;}{\s23\qc \li0\ri0\sa240\nowidctlpar\wrapdefault\aspalpha\aspnum\faauto\adjustright\rin0\lin0\itap0 \rtlch\fcs1 \af0\afs20\alang1025 \ltrch\fcs0 _x000d__x000a_\i\fs24\lang2057\langfe2057\cgrid\langnp2057\langfenp2057 \sbasedon0 \snext23 \styrsid55379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tyrsid553790 AMNumberTabs;}{\s25\ql \li0\ri0\sb240\nowidctlpar\wrapdefault\aspalpha\aspnum\faauto\adjustright\rin0\lin0\itap0 \rtlch\fcs1 \af0\afs20\alang1025 _x000d__x000a_\ltrch\fcs0 \b\fs24\lang2057\langfe2057\cgrid\langnp2057\langfenp2057 \sbasedon0 \snext25 \styrsid553790 NormalBold12b;}}{\*\rsidtbl \rsid24658\rsid553790\rsid735077\rsid2383932\rsid2892074\rsid4666813\rsid6641733\rsid9636012\rsid11215221\rsid12154954_x000d__x000a_\rsid14424199\rsid15204470\rsid15285974\rsid15950462\rsid16324206\rsid16662270}{\mmathPr\mmathFont34\mbrkBin0\mbrkBinSub0\msmallFrac0\mdispDef1\mlMargin0\mrMargin0\mdefJc1\mwrapIndent1440\mintLim0\mnaryLim1}{\info{\author MANCIUNSKAS Dalius}_x000d__x000a_{\operator MANCIUNSKAS Dalius}{\creatim\yr2017\mo5\dy16\hr10\min27}{\revtim\yr2017\mo5\dy16\hr10\min27}{\version1}{\edmins0}{\nofpages1}{\nofwords46}{\nofchars326}{\*\company European Parliament}{\nofcharsws369}{\vern57443}}{\*\xmlnstbl {\xmlns1 http://sc_x000d__x000a_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53790\utinl \fet0{\*\wgrffmtfilter 013f}\ilfomacatclnup0{\*\template C:\\Users\\DMANCI~1\\AppData\\Local\\Temp\\Blank1.dot}{\*\ftnsep \ltrpar \pard\plain \ltrpar_x000d__x000a_\ql \li0\ri0\widctlpar\wrapdefault\aspalpha\aspnum\faauto\adjustright\rin0\lin0\itap0 \rtlch\fcs1 \af0\afs20\alang1025 \ltrch\fcs0 \fs24\lang2057\langfe2057\cgrid\langnp2057\langfenp2057 {\rtlch\fcs1 \af0 \ltrch\fcs0 \insrsid2383932 \chftnsep _x000d__x000a_\par }}{\*\ftnsepc \ltrpar \pard\plain \ltrpar\ql \li0\ri0\widctlpar\wrapdefault\aspalpha\aspnum\faauto\adjustright\rin0\lin0\itap0 \rtlch\fcs1 \af0\afs20\alang1025 \ltrch\fcs0 \fs24\lang2057\langfe2057\cgrid\langnp2057\langfenp2057 {\rtlch\fcs1 \af0 _x000d__x000a_\ltrch\fcs0 \insrsid2383932 \chftnsepc _x000d__x000a_\par }}{\*\aftnsep \ltrpar \pard\plain \ltrpar\ql \li0\ri0\widctlpar\wrapdefault\aspalpha\aspnum\faauto\adjustright\rin0\lin0\itap0 \rtlch\fcs1 \af0\afs20\alang1025 \ltrch\fcs0 \fs24\lang2057\langfe2057\cgrid\langnp2057\langfenp2057 {\rtlch\fcs1 \af0 _x000d__x000a_\ltrch\fcs0 \insrsid2383932 \chftnsep _x000d__x000a_\par }}{\*\aftnsepc \ltrpar \pard\plain \ltrpar\ql \li0\ri0\widctlpar\wrapdefault\aspalpha\aspnum\faauto\adjustright\rin0\lin0\itap0 \rtlch\fcs1 \af0\afs20\alang1025 \ltrch\fcs0 \fs24\lang2057\langfe2057\cgrid\langnp2057\langfenp2057 {\rtlch\fcs1 \af0 _x000d__x000a_\ltrch\fcs0 \insrsid238393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553790\charrsid15879488 {\*\bkmkstart restartB}&lt;AmendB&gt;}{_x000d__x000a_\rtlch\fcs1 \af0 \ltrch\fcs0 \insrsid553790\charrsid15879488 [ZAMENDMENT]\tab \tab }{\rtlch\fcs1 \af0 \ltrch\fcs0 \cs15\b0\v\f1\fs20\cf9\insrsid553790\charrsid15879488 &lt;NumAmB&gt;}{\rtlch\fcs1 \af0 \ltrch\fcs0 \insrsid553790\charrsid15879488 [ZNRAM]}{_x000d__x000a_\rtlch\fcs1 \af0 \ltrch\fcs0 \cs15\b0\v\f1\fs20\cf9\insrsid553790\charrsid15879488 &lt;/NumAmB&gt;}{\rtlch\fcs1 \af0 \ltrch\fcs0 \insrsid553790\charrsid15879488 _x000d__x000a_\par }\pard\plain \ltrpar\s25\ql \li0\ri0\sb240\keepn\nowidctlpar\wrapdefault\aspalpha\aspnum\faauto\adjustright\rin0\lin0\itap0\pararsid14374628 \rtlch\fcs1 \af0\afs20\alang1025 \ltrch\fcs0 \b\fs24\lang2057\langfe2057\cgrid\langnp2057\langfenp2057 {_x000d__x000a_\rtlch\fcs1 \af0 \ltrch\fcs0 \cs15\b0\v\f1\fs20\cf9\insrsid553790\charrsid15879488 &lt;DocAmend&gt;}{\rtlch\fcs1 \af0 \ltrch\fcs0 \insrsid553790\charrsid15879488 [ZPROPOSAL][ZAMACT]}{\rtlch\fcs1 \af0 \ltrch\fcs0 _x000d__x000a_\cs15\b0\v\f1\fs20\cf9\insrsid553790\charrsid15879488 &lt;/DocAmend&gt;}{\rtlch\fcs1 \af0 \ltrch\fcs0 \insrsid553790\charrsid15879488 _x000d__x000a_\par }\pard\plain \ltrpar\s17\ql \li0\ri0\keepn\nowidctlpar\wrapdefault\aspalpha\aspnum\faauto\adjustright\rin0\lin0\itap0\pararsid14374628 \rtlch\fcs1 \af0\afs20\alang1025 \ltrch\fcs0 \b\fs24\lang2057\langfe2057\cgrid\langnp2057\langfenp2057 {\rtlch\fcs1 _x000d__x000a_\af0 \ltrch\fcs0 \cs15\b0\v\f1\fs20\cf9\insrsid553790\charrsid15879488 &lt;Article&gt;}{\rtlch\fcs1 \af0 \ltrch\fcs0 \insrsid553790\charrsid15879488 [ZAMPART]}{\rtlch\fcs1 \af0 \ltrch\fcs0 \cs15\b0\v\f1\fs20\cf9\insrsid553790\charrsid15879488 &lt;/Article&gt;}{_x000d__x000a_\rtlch\fcs1 \af0 \ltrch\fcs0 \insrsid553790\charrsid15879488 _x000d__x000a_\par }\pard\plain \ltrpar\ql \li0\ri0\keepn\widctlpar\wrapdefault\aspalpha\aspnum\faauto\adjustright\rin0\lin0\itap0\pararsid14374628 \rtlch\fcs1 \af0\afs20\alang1025 \ltrch\fcs0 \fs24\lang2057\langfe2057\cgrid\langnp2057\langfenp2057 {\rtlch\fcs1 \af0 _x000d__x000a_\ltrch\fcs0 \cs15\v\f1\fs20\cf9\insrsid553790\charrsid15879488 &lt;DocAmend2&gt;&lt;OptDel&gt;}{\rtlch\fcs1 \af0 \ltrch\fcs0 \insrsid553790\charrsid15879488 [ZNRACT]}{\rtlch\fcs1 \af0 \ltrch\fcs0 \cs15\v\f1\fs20\cf9\insrsid553790\charrsid15879488 _x000d__x000a_&lt;/OptDel&gt;&lt;/DocAmend2&gt;}{\rtlch\fcs1 \af0 \ltrch\fcs0 \insrsid553790\charrsid15879488 _x000d__x000a_\par }\pard \ltrpar\ql \li0\ri0\widctlpar\wrapdefault\aspalpha\aspnum\faauto\adjustright\rin0\lin0\itap0\pararsid14374628 {\rtlch\fcs1 \af0 \ltrch\fcs0 \cs15\v\f1\fs20\cf9\insrsid553790\charrsid15879488 &lt;Article2&gt;&lt;OptDel&gt;}{\rtlch\fcs1 \af0 \ltrch\fcs0 _x000d__x000a_\insrsid553790\charrsid15879488 [ZACTPART]}{\rtlch\fcs1 \af0 \ltrch\fcs0 \cs15\v\f1\fs20\cf9\insrsid553790\charrsid15879488 &lt;/OptDel&gt;&lt;/Article2&gt;}{\rtlch\fcs1 \af0 \ltrch\fcs0 \insrsid553790\charrsid1587948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553790\charrsid15879488 _x000d__x000a_\cell }\pard \ltrpar\ql \li0\ri0\widctlpar\intbl\wrapdefault\aspalpha\aspnum\faauto\adjustright\rin0\lin0 {\rtlch\fcs1 \af0 \ltrch\fcs0 \insrsid553790\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3\qc \li0\ri0\sa240\keepn\nowidctlpar\intbl\wrapdefault\aspalpha\aspnum\faauto\adjustright\rin0\lin0\pararsid14374628 \rtlch\fcs1 \af0\afs20\alang1025 \ltrch\fcs0 \i\fs24\lang2057\langfe2057\cgrid\langnp2057\langfenp2057 {_x000d__x000a_\rtlch\fcs1 \af0 \ltrch\fcs0 \insrsid553790\charrsid15879488 [ZLEFTB]\cell [ZRIGHT]\cell }\pard\plain \ltrpar\ql \li0\ri0\widctlpar\intbl\wrapdefault\aspalpha\aspnum\faauto\adjustright\rin0\lin0 \rtlch\fcs1 \af0\afs20\alang1025 \ltrch\fcs0 _x000d__x000a_\fs24\lang2057\langfe2057\cgrid\langnp2057\langfenp2057 {\rtlch\fcs1 \af0 \ltrch\fcs0 \insrsid553790\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553790\charrsid15879488 [ZTEXTL]\cell [ZTEXTR]}{\rtlch\fcs1 \af0\afs24 \ltrch\fcs0 \insrsid553790\charrsid15879488 \cell }\pard\plain \ltrpar\ql \li0\ri0\widctlpar\intbl\wrapdefault\aspalpha\aspnum\faauto\adjustright\rin0\lin0 \rtlch\fcs1 _x000d__x000a_\af0\afs20\alang1025 \ltrch\fcs0 \fs24\lang2057\langfe2057\cgrid\langnp2057\langfenp2057 {\rtlch\fcs1 \af0 \ltrch\fcs0 \insrsid553790\charrsid1587948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nowidctlpar\wrapdefault\aspalpha\aspnum\faauto\adjustright\rin0\lin0\itap0\pararsid14374628 \rtlch\fcs1 \af0\afs20\alang1025 \ltrch\fcs0 \i\fs24\lang2057\langfe2057\cgrid\langnp2057\langfenp2057 {\rtlch\fcs1 \af0 \ltrch\fcs0 _x000d__x000a_\cs15\i0\v\f1\fs20\cf9\insrsid553790\charrsid15879488 &lt;OptDel&gt;}{\rtlch\fcs1 \af0 \ltrch\fcs0 \insrsid553790\charrsid15879488 [ZCROSSREF]}{\rtlch\fcs1 \af0 \ltrch\fcs0 \cs15\i0\v\f1\fs20\cf9\insrsid553790\charrsid15879488 &lt;/OptDel&gt;}{\rtlch\fcs1 \af0 _x000d__x000a_\ltrch\fcs0 \insrsid553790\charrsid15879488 _x000d__x000a_\par }\pard\plain \ltrpar\s20\qc \li0\ri0\sb240\keepn\nowidctlpar\wrapdefault\aspalpha\aspnum\faauto\adjustright\rin0\lin0\itap0\pararsid14374628 \rtlch\fcs1 \af0\afs20\alang1025 \ltrch\fcs0 \i\fs24\lang2057\langfe2057\cgrid\langnp2057\langfenp2057 {_x000d__x000a_\rtlch\fcs1 \af0 \ltrch\fcs0 \cs15\i0\v\f1\fs20\cf9\insrsid553790\charrsid15879488 &lt;TitreJust&gt;}{\rtlch\fcs1 \af0 \ltrch\fcs0 \insrsid553790\charrsid15879488 [ZJUSTIFICATION]}{\rtlch\fcs1 \af0 \ltrch\fcs0 _x000d__x000a_\cs15\i0\v\f1\fs20\cf9\insrsid553790\charrsid15879488 &lt;/TitreJust&gt;}{\rtlch\fcs1 \af0 \ltrch\fcs0 \insrsid553790\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553790\charrsid15879488 &lt;OptDelPrev&gt;}{\rtlch\fcs1 \af0 \ltrch\fcs0 \insrsid553790\charrsid15879488 [ZTEXTJUST]}{\rtlch\fcs1 \af0 \ltrch\fcs0 \cs15\i0\v\f1\fs20\cf9\insrsid553790\charrsid15879488 &lt;/OptDelPrev&gt;_x000d__x000a_}{\rtlch\fcs1 \af0 \ltrch\fcs0 \insrsid553790\charrsid15879488 _x000d__x000a_\par }\pard\plain \ltrpar\ql \li0\ri0\widctlpar\wrapdefault\aspalpha\aspnum\faauto\adjustright\rin0\lin0\itap0 \rtlch\fcs1 \af0\afs20\alang1025 \ltrch\fcs0 \fs24\lang2057\langfe2057\cgrid\langnp2057\langfenp2057 {\rtlch\fcs1 \af0 \ltrch\fcs0 _x000d__x000a_\cs15\v\f1\fs20\cf9\insrsid553790\charrsid15879488 &lt;/AmendB&gt;}{\rtlch\fcs1 \af0 \ltrch\fcs0 \insrsid553790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9_x000d__x000a_e3511ece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124"/>
    <w:docVar w:name="TITLECODMNU" w:val=" 1"/>
    <w:docVar w:name="TXTLANGUE" w:val="LT"/>
    <w:docVar w:name="TXTLANGUEMIN" w:val="lt"/>
    <w:docVar w:name="TXTNRC" w:val="0324/2016"/>
    <w:docVar w:name="TXTNRCOM" w:val="(2016)0466"/>
    <w:docVar w:name="TXTNRPE" w:val="601.064"/>
    <w:docVar w:name="TXTNRPROC" w:val="2016/0223"/>
    <w:docVar w:name="TXTPEorAP" w:val="PE"/>
    <w:docVar w:name="TXTROUTE" w:val="AD\1124746LT.docx"/>
    <w:docVar w:name="TXTVERSION" w:val="02-00"/>
  </w:docVars>
  <w:rsids>
    <w:rsidRoot w:val="001E7100"/>
    <w:rsid w:val="00026559"/>
    <w:rsid w:val="0004474F"/>
    <w:rsid w:val="00055709"/>
    <w:rsid w:val="00091BC7"/>
    <w:rsid w:val="00134974"/>
    <w:rsid w:val="00141CD7"/>
    <w:rsid w:val="001820A9"/>
    <w:rsid w:val="001914C8"/>
    <w:rsid w:val="001B0A1E"/>
    <w:rsid w:val="001E7100"/>
    <w:rsid w:val="00341A99"/>
    <w:rsid w:val="003436D2"/>
    <w:rsid w:val="0038294E"/>
    <w:rsid w:val="003A2F84"/>
    <w:rsid w:val="003C7390"/>
    <w:rsid w:val="0040055C"/>
    <w:rsid w:val="00464164"/>
    <w:rsid w:val="00487596"/>
    <w:rsid w:val="004C2A0D"/>
    <w:rsid w:val="00522B51"/>
    <w:rsid w:val="00613134"/>
    <w:rsid w:val="00691B1C"/>
    <w:rsid w:val="006A0F0A"/>
    <w:rsid w:val="006A48AA"/>
    <w:rsid w:val="006A5AFB"/>
    <w:rsid w:val="006B1267"/>
    <w:rsid w:val="006D292E"/>
    <w:rsid w:val="00712462"/>
    <w:rsid w:val="00766CDE"/>
    <w:rsid w:val="0078548A"/>
    <w:rsid w:val="007C78BD"/>
    <w:rsid w:val="007F187F"/>
    <w:rsid w:val="00817D13"/>
    <w:rsid w:val="00820C7D"/>
    <w:rsid w:val="00833D11"/>
    <w:rsid w:val="00836FD3"/>
    <w:rsid w:val="008E4F3D"/>
    <w:rsid w:val="00904864"/>
    <w:rsid w:val="009052FE"/>
    <w:rsid w:val="00924555"/>
    <w:rsid w:val="00982B83"/>
    <w:rsid w:val="009857B4"/>
    <w:rsid w:val="009A2B78"/>
    <w:rsid w:val="00A45B28"/>
    <w:rsid w:val="00A64477"/>
    <w:rsid w:val="00A96054"/>
    <w:rsid w:val="00AC568C"/>
    <w:rsid w:val="00AE72A8"/>
    <w:rsid w:val="00B10471"/>
    <w:rsid w:val="00B556CD"/>
    <w:rsid w:val="00B65EB7"/>
    <w:rsid w:val="00BB1A32"/>
    <w:rsid w:val="00BD1F76"/>
    <w:rsid w:val="00BE20CF"/>
    <w:rsid w:val="00C800EB"/>
    <w:rsid w:val="00C86CE9"/>
    <w:rsid w:val="00CE6386"/>
    <w:rsid w:val="00D25CF2"/>
    <w:rsid w:val="00D6254D"/>
    <w:rsid w:val="00D74FD1"/>
    <w:rsid w:val="00D9301F"/>
    <w:rsid w:val="00D943A5"/>
    <w:rsid w:val="00DB56E4"/>
    <w:rsid w:val="00E117C8"/>
    <w:rsid w:val="00E2568E"/>
    <w:rsid w:val="00E27F01"/>
    <w:rsid w:val="00E34735"/>
    <w:rsid w:val="00EF33D5"/>
    <w:rsid w:val="00F15744"/>
    <w:rsid w:val="00F24D40"/>
    <w:rsid w:val="00FC2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1C2D28B3-F4E7-43EA-B7D7-4F18D535E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lt-LT"/>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styleId="Footer">
    <w:name w:val="footer"/>
    <w:basedOn w:val="Normal"/>
    <w:link w:val="FooterChar"/>
    <w:rsid w:val="00DB56E4"/>
    <w:pPr>
      <w:widowControl w:val="0"/>
      <w:tabs>
        <w:tab w:val="center" w:pos="4535"/>
        <w:tab w:val="right" w:pos="9071"/>
      </w:tabs>
      <w:spacing w:before="240" w:after="240"/>
    </w:pPr>
    <w:rPr>
      <w:sz w:val="22"/>
      <w:szCs w:val="20"/>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rsid w:val="00DB56E4"/>
    <w:pPr>
      <w:widowControl w:val="0"/>
      <w:spacing w:after="240"/>
    </w:pPr>
    <w:rPr>
      <w:szCs w:val="20"/>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lt-LT" w:eastAsia="lt-LT" w:bidi="lt-LT"/>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lt-LT" w:eastAsia="lt-LT" w:bidi="lt-LT"/>
    </w:rPr>
  </w:style>
  <w:style w:type="paragraph" w:customStyle="1" w:styleId="Normal12Italic">
    <w:name w:val="Normal12Italic"/>
    <w:basedOn w:val="Normal"/>
    <w:rsid w:val="00DB56E4"/>
    <w:pPr>
      <w:widowControl w:val="0"/>
      <w:spacing w:before="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rsid w:val="006A48AA"/>
    <w:rPr>
      <w:vanish/>
      <w:color w:val="808080"/>
    </w:rPr>
  </w:style>
  <w:style w:type="paragraph" w:customStyle="1" w:styleId="JustificationTitle">
    <w:name w:val="JustificationTitle"/>
    <w:basedOn w:val="Normal"/>
    <w:next w:val="Normal12"/>
    <w:rsid w:val="00DB56E4"/>
    <w:pPr>
      <w:keepNext/>
      <w:widowControl w:val="0"/>
      <w:spacing w:before="240"/>
      <w:jc w:val="center"/>
    </w:pPr>
    <w:rPr>
      <w:i/>
      <w:szCs w:val="20"/>
    </w:rPr>
  </w:style>
  <w:style w:type="paragraph" w:customStyle="1" w:styleId="Normal12Tab">
    <w:name w:val="Normal12Tab"/>
    <w:basedOn w:val="Normal12"/>
    <w:rsid w:val="00DB56E4"/>
    <w:pPr>
      <w:tabs>
        <w:tab w:val="left" w:pos="357"/>
      </w:tabs>
    </w:p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link w:val="HeaderChar"/>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paragraph" w:styleId="CommentText">
    <w:name w:val="annotation text"/>
    <w:basedOn w:val="Normal"/>
    <w:link w:val="CommentTextChar1"/>
    <w:semiHidden/>
    <w:unhideWhenUsed/>
    <w:rPr>
      <w:sz w:val="20"/>
      <w:szCs w:val="20"/>
    </w:rPr>
  </w:style>
  <w:style w:type="character" w:styleId="CommentReference">
    <w:name w:val="annotation reference"/>
    <w:basedOn w:val="DefaultParagraphFont"/>
    <w:semiHidden/>
    <w:unhideWhenUsed/>
    <w:rPr>
      <w:sz w:val="16"/>
      <w:szCs w:val="16"/>
    </w:rPr>
  </w:style>
  <w:style w:type="character" w:customStyle="1" w:styleId="CommentTextChar">
    <w:name w:val="Comment Text Char"/>
    <w:semiHidden/>
    <w:rsid w:val="007C78BD"/>
    <w:rPr>
      <w:lang w:val="lt-LT" w:eastAsia="en-GB" w:bidi="ar-SA"/>
    </w:rPr>
  </w:style>
  <w:style w:type="character" w:customStyle="1" w:styleId="HeaderChar">
    <w:name w:val="Header Char"/>
    <w:link w:val="Header"/>
    <w:rsid w:val="007C78BD"/>
    <w:rPr>
      <w:sz w:val="24"/>
      <w:szCs w:val="24"/>
    </w:rPr>
  </w:style>
  <w:style w:type="character" w:customStyle="1" w:styleId="FooterChar">
    <w:name w:val="Footer Char"/>
    <w:link w:val="Footer"/>
    <w:rsid w:val="007C78BD"/>
    <w:rPr>
      <w:sz w:val="22"/>
    </w:rPr>
  </w:style>
  <w:style w:type="paragraph" w:styleId="CommentSubject">
    <w:name w:val="annotation subject"/>
    <w:basedOn w:val="CommentText"/>
    <w:next w:val="CommentText"/>
    <w:link w:val="CommentSubjectChar"/>
    <w:unhideWhenUsed/>
    <w:rsid w:val="007C78BD"/>
    <w:rPr>
      <w:b/>
      <w:bCs/>
      <w:lang w:eastAsia="en-GB" w:bidi="ar-SA"/>
    </w:rPr>
  </w:style>
  <w:style w:type="character" w:customStyle="1" w:styleId="CommentTextChar1">
    <w:name w:val="Comment Text Char1"/>
    <w:basedOn w:val="DefaultParagraphFont"/>
    <w:link w:val="CommentText"/>
    <w:semiHidden/>
    <w:rsid w:val="007C78BD"/>
  </w:style>
  <w:style w:type="character" w:customStyle="1" w:styleId="CommentSubjectChar">
    <w:name w:val="Comment Subject Char"/>
    <w:basedOn w:val="CommentTextChar1"/>
    <w:link w:val="CommentSubject"/>
    <w:rsid w:val="007C78BD"/>
    <w:rPr>
      <w:b/>
      <w:bCs/>
      <w:lang w:val="lt-LT" w:eastAsia="en-GB" w:bidi="ar-SA"/>
    </w:rPr>
  </w:style>
  <w:style w:type="paragraph" w:styleId="BalloonText">
    <w:name w:val="Balloon Text"/>
    <w:basedOn w:val="Normal"/>
    <w:link w:val="BalloonTextChar"/>
    <w:unhideWhenUsed/>
    <w:rsid w:val="007C78BD"/>
    <w:rPr>
      <w:rFonts w:ascii="Segoe UI" w:hAnsi="Segoe UI" w:cs="Segoe UI"/>
      <w:sz w:val="18"/>
      <w:szCs w:val="18"/>
      <w:lang w:eastAsia="en-GB" w:bidi="ar-SA"/>
    </w:rPr>
  </w:style>
  <w:style w:type="character" w:customStyle="1" w:styleId="BalloonTextChar">
    <w:name w:val="Balloon Text Char"/>
    <w:basedOn w:val="DefaultParagraphFont"/>
    <w:link w:val="BalloonText"/>
    <w:rsid w:val="007C78BD"/>
    <w:rPr>
      <w:rFonts w:ascii="Segoe UI" w:hAnsi="Segoe UI" w:cs="Segoe UI"/>
      <w:sz w:val="18"/>
      <w:szCs w:val="18"/>
      <w:lang w:val="lt-LT" w:eastAsia="en-GB" w:bidi="ar-SA"/>
    </w:rPr>
  </w:style>
  <w:style w:type="paragraph" w:styleId="Revision">
    <w:name w:val="Revision"/>
    <w:uiPriority w:val="99"/>
    <w:semiHidden/>
    <w:rsid w:val="007C78BD"/>
    <w:rPr>
      <w:sz w:val="24"/>
      <w:szCs w:val="24"/>
      <w:lang w:eastAsia="en-GB" w:bidi="ar-SA"/>
    </w:rPr>
  </w:style>
  <w:style w:type="character" w:customStyle="1" w:styleId="Normal12Char">
    <w:name w:val="Normal12 Char"/>
    <w:link w:val="Normal12"/>
    <w:locked/>
    <w:rsid w:val="007C78BD"/>
    <w:rPr>
      <w:sz w:val="24"/>
    </w:rPr>
  </w:style>
  <w:style w:type="paragraph" w:customStyle="1" w:styleId="NormalTabs">
    <w:name w:val="NormalTabs"/>
    <w:basedOn w:val="Normal"/>
    <w:qFormat/>
    <w:rsid w:val="007C78BD"/>
    <w:pPr>
      <w:widowControl w:val="0"/>
      <w:tabs>
        <w:tab w:val="center" w:pos="284"/>
        <w:tab w:val="left" w:pos="426"/>
      </w:tabs>
      <w:snapToGrid w:val="0"/>
    </w:pPr>
    <w:rPr>
      <w:szCs w:val="20"/>
      <w:lang w:eastAsia="en-US" w:bidi="ar-SA"/>
    </w:rPr>
  </w:style>
  <w:style w:type="character" w:customStyle="1" w:styleId="Sup">
    <w:name w:val="Sup"/>
    <w:rsid w:val="007C78BD"/>
    <w:rPr>
      <w:color w:val="00000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012657">
      <w:bodyDiv w:val="1"/>
      <w:marLeft w:val="0"/>
      <w:marRight w:val="0"/>
      <w:marTop w:val="0"/>
      <w:marBottom w:val="0"/>
      <w:divBdr>
        <w:top w:val="none" w:sz="0" w:space="0" w:color="auto"/>
        <w:left w:val="none" w:sz="0" w:space="0" w:color="auto"/>
        <w:bottom w:val="none" w:sz="0" w:space="0" w:color="auto"/>
        <w:right w:val="none" w:sz="0" w:space="0" w:color="auto"/>
      </w:divBdr>
    </w:div>
    <w:div w:id="759837263">
      <w:bodyDiv w:val="1"/>
      <w:marLeft w:val="0"/>
      <w:marRight w:val="0"/>
      <w:marTop w:val="0"/>
      <w:marBottom w:val="0"/>
      <w:divBdr>
        <w:top w:val="none" w:sz="0" w:space="0" w:color="auto"/>
        <w:left w:val="none" w:sz="0" w:space="0" w:color="auto"/>
        <w:bottom w:val="none" w:sz="0" w:space="0" w:color="auto"/>
        <w:right w:val="none" w:sz="0" w:space="0" w:color="auto"/>
      </w:divBdr>
    </w:div>
    <w:div w:id="113856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AB0EAFB7.dotm</Template>
  <TotalTime>0</TotalTime>
  <Pages>25</Pages>
  <Words>5612</Words>
  <Characters>43622</Characters>
  <Application>Microsoft Office Word</Application>
  <DocSecurity>0</DocSecurity>
  <Lines>1557</Lines>
  <Paragraphs>541</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48693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MANCIUNSKAS Dalius</dc:creator>
  <cp:keywords/>
  <dc:description/>
  <cp:lastModifiedBy>LUKAITYTE Aurelija</cp:lastModifiedBy>
  <cp:revision>2</cp:revision>
  <dcterms:created xsi:type="dcterms:W3CDTF">2017-05-23T08:41:00Z</dcterms:created>
  <dcterms:modified xsi:type="dcterms:W3CDTF">2017-05-23T08:41:00Z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[20170301]</vt:lpwstr>
  </property>
  <property fmtid="{D5CDD505-2E9C-101B-9397-08002B2CF9AE}" pid="3" name="LastEdited with">
    <vt:lpwstr>9.0.0 Build [20170325]</vt:lpwstr>
  </property>
  <property fmtid="{D5CDD505-2E9C-101B-9397-08002B2CF9AE}" pid="4" name="&lt;FdR&gt;">
    <vt:lpwstr>1124746</vt:lpwstr>
  </property>
  <property fmtid="{D5CDD505-2E9C-101B-9397-08002B2CF9AE}" pid="5" name="&lt;Type&gt;">
    <vt:lpwstr>AD</vt:lpwstr>
  </property>
  <property fmtid="{D5CDD505-2E9C-101B-9397-08002B2CF9AE}" pid="6" name="&lt;ModelCod&gt;">
    <vt:lpwstr>\\eiciLUXpr1\pdocep$\DocEP\DOCS\General\PA\PA_Legam.dot(26/10/2016 17:38:16)</vt:lpwstr>
  </property>
  <property fmtid="{D5CDD505-2E9C-101B-9397-08002B2CF9AE}" pid="7" name="&lt;ModelTra&gt;">
    <vt:lpwstr>\\eiciLUXpr1\pdocep$\DocEP\TRANSFIL\LT\PA_Legam.LT(27/02/2017 16:40:54)</vt:lpwstr>
  </property>
  <property fmtid="{D5CDD505-2E9C-101B-9397-08002B2CF9AE}" pid="8" name="&lt;Model&gt;">
    <vt:lpwstr>PA_Legam</vt:lpwstr>
  </property>
  <property fmtid="{D5CDD505-2E9C-101B-9397-08002B2CF9AE}" pid="9" name="FooterPath">
    <vt:lpwstr>AD\1124746LT.docx</vt:lpwstr>
  </property>
  <property fmtid="{D5CDD505-2E9C-101B-9397-08002B2CF9AE}" pid="10" name="PE Number">
    <vt:lpwstr>601.064</vt:lpwstr>
  </property>
  <property fmtid="{D5CDD505-2E9C-101B-9397-08002B2CF9AE}" pid="11" name="Bookout">
    <vt:lpwstr>OK - 2017/05/23 10:28</vt:lpwstr>
  </property>
  <property fmtid="{D5CDD505-2E9C-101B-9397-08002B2CF9AE}" pid="12" name="SDLStudio">
    <vt:lpwstr/>
  </property>
  <property fmtid="{D5CDD505-2E9C-101B-9397-08002B2CF9AE}" pid="13" name="&lt;Extension&gt;">
    <vt:lpwstr>LT</vt:lpwstr>
  </property>
</Properties>
</file>