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F0ABA" w:rsidTr="00C85D0F">
        <w:trPr>
          <w:trHeight w:hRule="exact" w:val="1418"/>
        </w:trPr>
        <w:tc>
          <w:tcPr>
            <w:tcW w:w="6804" w:type="dxa"/>
            <w:shd w:val="clear" w:color="auto" w:fill="auto"/>
            <w:vAlign w:val="center"/>
          </w:tcPr>
          <w:p w:rsidR="00BA3E40" w:rsidRPr="00B604D8" w:rsidRDefault="00DA22D1" w:rsidP="00C85D0F">
            <w:pPr>
              <w:pStyle w:val="EPName"/>
            </w:pPr>
            <w:r>
              <w:t>Europa-Parlamentet</w:t>
            </w:r>
          </w:p>
          <w:p w:rsidR="00BA3E40" w:rsidRPr="00B604D8" w:rsidRDefault="00DA22D1" w:rsidP="00607182">
            <w:pPr>
              <w:pStyle w:val="EPTerm"/>
            </w:pPr>
            <w:r>
              <w:t>2019-2024</w:t>
            </w:r>
          </w:p>
        </w:tc>
        <w:tc>
          <w:tcPr>
            <w:tcW w:w="2268" w:type="dxa"/>
            <w:shd w:val="clear" w:color="auto" w:fill="auto"/>
          </w:tcPr>
          <w:p w:rsidR="00BA3E40" w:rsidRPr="00B604D8" w:rsidRDefault="00DA22D1" w:rsidP="00C85D0F">
            <w:pPr>
              <w:pStyle w:val="EPLogo"/>
            </w:pPr>
            <w:r w:rsidRPr="00B604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B604D8" w:rsidRDefault="00F24D40" w:rsidP="00F24D40">
      <w:pPr>
        <w:pStyle w:val="LineTop"/>
      </w:pPr>
    </w:p>
    <w:p w:rsidR="00F24D40" w:rsidRPr="00B604D8" w:rsidRDefault="00DA22D1" w:rsidP="00F24D40">
      <w:pPr>
        <w:pStyle w:val="EPBody"/>
      </w:pPr>
      <w:r>
        <w:rPr>
          <w:rStyle w:val="HideTWBExt"/>
        </w:rPr>
        <w:t>&lt;</w:t>
      </w:r>
      <w:r>
        <w:rPr>
          <w:rStyle w:val="HideTWBExt"/>
          <w:i w:val="0"/>
        </w:rPr>
        <w:t>Commission</w:t>
      </w:r>
      <w:r>
        <w:rPr>
          <w:rStyle w:val="HideTWBExt"/>
        </w:rPr>
        <w:t>&gt;</w:t>
      </w:r>
      <w:r>
        <w:rPr>
          <w:rStyle w:val="HideTWBInt"/>
          <w:color w:val="auto"/>
        </w:rPr>
        <w:t>{EMPL}</w:t>
      </w:r>
      <w:r>
        <w:t>Udvalget om Beskæftigelse og Sociale Anliggender</w:t>
      </w:r>
      <w:r>
        <w:rPr>
          <w:rStyle w:val="HideTWBExt"/>
        </w:rPr>
        <w:t>&lt;/</w:t>
      </w:r>
      <w:r>
        <w:rPr>
          <w:rStyle w:val="HideTWBExt"/>
          <w:i w:val="0"/>
        </w:rPr>
        <w:t>Commission</w:t>
      </w:r>
      <w:r>
        <w:rPr>
          <w:rStyle w:val="HideTWBExt"/>
        </w:rPr>
        <w:t>&gt;</w:t>
      </w:r>
    </w:p>
    <w:p w:rsidR="00F24D40" w:rsidRPr="00B604D8" w:rsidRDefault="00F24D40" w:rsidP="00F24D40">
      <w:pPr>
        <w:pStyle w:val="LineBottom"/>
      </w:pPr>
    </w:p>
    <w:p w:rsidR="00DB56E4" w:rsidRPr="00B604D8" w:rsidRDefault="00DA22D1" w:rsidP="00DB56E4">
      <w:pPr>
        <w:pStyle w:val="CoverReference"/>
      </w:pPr>
      <w:r>
        <w:rPr>
          <w:rStyle w:val="HideTWBExt"/>
          <w:b w:val="0"/>
        </w:rPr>
        <w:t>&lt;RefProc&gt;</w:t>
      </w:r>
      <w:r>
        <w:t>2022/0278</w:t>
      </w:r>
      <w:r>
        <w:rPr>
          <w:rStyle w:val="HideTWBExt"/>
          <w:b w:val="0"/>
        </w:rPr>
        <w:t>&lt;/RefProc&gt;&lt;RefTypeProc&gt;</w:t>
      </w:r>
      <w:r>
        <w:t>(COD)</w:t>
      </w:r>
      <w:r>
        <w:rPr>
          <w:rStyle w:val="HideTWBExt"/>
          <w:b w:val="0"/>
        </w:rPr>
        <w:t>&lt;/RefTypeProc&gt;</w:t>
      </w:r>
    </w:p>
    <w:p w:rsidR="00DB56E4" w:rsidRPr="00B604D8" w:rsidRDefault="00DA22D1" w:rsidP="00DB56E4">
      <w:pPr>
        <w:pStyle w:val="CoverDate"/>
      </w:pPr>
      <w:r>
        <w:rPr>
          <w:rStyle w:val="HideTWBExt"/>
        </w:rPr>
        <w:t>&lt;Date&gt;</w:t>
      </w:r>
      <w:r>
        <w:rPr>
          <w:rStyle w:val="HideTWBInt"/>
          <w:color w:val="auto"/>
        </w:rPr>
        <w:t>{04/07/2023}</w:t>
      </w:r>
      <w:r>
        <w:t>4.7.2023</w:t>
      </w:r>
      <w:r>
        <w:rPr>
          <w:rStyle w:val="HideTWBExt"/>
        </w:rPr>
        <w:t>&lt;/Date&gt;</w:t>
      </w:r>
    </w:p>
    <w:p w:rsidR="00DB56E4" w:rsidRPr="00B604D8" w:rsidRDefault="00DA22D1" w:rsidP="00DB56E4">
      <w:pPr>
        <w:pStyle w:val="CoverDocType24a"/>
      </w:pPr>
      <w:r>
        <w:rPr>
          <w:rStyle w:val="HideTWBExt"/>
          <w:b w:val="0"/>
        </w:rPr>
        <w:t>&lt;TitreType&gt;</w:t>
      </w:r>
      <w:r>
        <w:t>UDTALELSE</w:t>
      </w:r>
      <w:r>
        <w:rPr>
          <w:rStyle w:val="HideTWBExt"/>
          <w:b w:val="0"/>
        </w:rPr>
        <w:t>&lt;/TitreType&gt;</w:t>
      </w:r>
    </w:p>
    <w:p w:rsidR="00DB56E4" w:rsidRPr="00B604D8" w:rsidRDefault="00DA22D1" w:rsidP="00DB56E4">
      <w:pPr>
        <w:pStyle w:val="CoverNormal24a"/>
      </w:pPr>
      <w:r>
        <w:rPr>
          <w:rStyle w:val="HideTWBExt"/>
        </w:rPr>
        <w:t>&lt;CommissionResp&gt;</w:t>
      </w:r>
      <w:r>
        <w:t>fra Udvalget om Beskæftigelse og Sociale Anliggender</w:t>
      </w:r>
      <w:r>
        <w:rPr>
          <w:rStyle w:val="HideTWBExt"/>
        </w:rPr>
        <w:t>&lt;/CommissionResp&gt;</w:t>
      </w:r>
    </w:p>
    <w:p w:rsidR="00DB56E4" w:rsidRPr="00B604D8" w:rsidRDefault="00DA22D1" w:rsidP="00DB56E4">
      <w:pPr>
        <w:pStyle w:val="CoverNormal24a"/>
      </w:pPr>
      <w:r>
        <w:rPr>
          <w:rStyle w:val="HideTWBExt"/>
        </w:rPr>
        <w:t>&lt;CommissionInt&gt;</w:t>
      </w:r>
      <w:r>
        <w:t>til Udvalget om det Indre Marked og Forbrugerbeskyttelse</w:t>
      </w:r>
      <w:r>
        <w:rPr>
          <w:rStyle w:val="HideTWBExt"/>
        </w:rPr>
        <w:t>&lt;/CommissionInt&gt;</w:t>
      </w:r>
    </w:p>
    <w:p w:rsidR="00DB56E4" w:rsidRPr="00B604D8" w:rsidRDefault="00DA22D1" w:rsidP="00DB56E4">
      <w:pPr>
        <w:pStyle w:val="CoverNormal"/>
      </w:pPr>
      <w:r>
        <w:rPr>
          <w:rStyle w:val="HideTWBExt"/>
        </w:rPr>
        <w:t>&lt;Titre&gt;</w:t>
      </w:r>
      <w:r>
        <w:t>om forslag til Europa-Parlamentets og Rådets forordning om oprettelse af et</w:t>
      </w:r>
      <w:r>
        <w:t xml:space="preserve"> nødinstrument for det indre marked og om ophævelse af Rådets forordning (EF) nr. 2679/98</w:t>
      </w:r>
      <w:r>
        <w:rPr>
          <w:rStyle w:val="HideTWBExt"/>
        </w:rPr>
        <w:t>&lt;/Titre&gt;</w:t>
      </w:r>
    </w:p>
    <w:p w:rsidR="00DB56E4" w:rsidRPr="00B604D8" w:rsidRDefault="00DA22D1" w:rsidP="00DB56E4">
      <w:pPr>
        <w:pStyle w:val="CoverNormal24a"/>
      </w:pPr>
      <w:r>
        <w:rPr>
          <w:rStyle w:val="HideTWBExt"/>
        </w:rPr>
        <w:t>&lt;DocRef&gt;</w:t>
      </w:r>
      <w:r>
        <w:t>(COM(2022)0459 – C9</w:t>
      </w:r>
      <w:r>
        <w:noBreakHyphen/>
        <w:t>0315/2022 – 2022/0278(COD))</w:t>
      </w:r>
      <w:r>
        <w:rPr>
          <w:rStyle w:val="HideTWBExt"/>
        </w:rPr>
        <w:t>&lt;/DocRef&gt;</w:t>
      </w:r>
    </w:p>
    <w:p w:rsidR="00DB56E4" w:rsidRPr="00B604D8" w:rsidRDefault="00DA22D1" w:rsidP="00DB56E4">
      <w:pPr>
        <w:pStyle w:val="CoverNormal24a"/>
      </w:pPr>
      <w:r>
        <w:t xml:space="preserve">Ordfører for udtalelse: </w:t>
      </w:r>
      <w:r>
        <w:rPr>
          <w:rStyle w:val="HideTWBExt"/>
        </w:rPr>
        <w:t>&lt;Depute&gt;</w:t>
      </w:r>
      <w:r>
        <w:t>Marc Angel</w:t>
      </w:r>
      <w:r>
        <w:rPr>
          <w:rStyle w:val="HideTWBExt"/>
        </w:rPr>
        <w:t>&lt;/Depute&gt;</w:t>
      </w:r>
    </w:p>
    <w:p w:rsidR="00487596" w:rsidRPr="00B604D8" w:rsidRDefault="00487596" w:rsidP="00487596">
      <w:pPr>
        <w:pStyle w:val="CoverNormal"/>
      </w:pPr>
    </w:p>
    <w:p w:rsidR="00DB56E4" w:rsidRPr="00B604D8" w:rsidRDefault="00DA22D1" w:rsidP="0004474F">
      <w:pPr>
        <w:tabs>
          <w:tab w:val="center" w:pos="4677"/>
        </w:tabs>
      </w:pPr>
      <w:r>
        <w:br w:type="page"/>
      </w:r>
      <w:r>
        <w:lastRenderedPageBreak/>
        <w:t>PA_Legam</w:t>
      </w:r>
    </w:p>
    <w:p w:rsidR="00DB56E4" w:rsidRPr="00B604D8" w:rsidRDefault="00DA22D1" w:rsidP="006417C6">
      <w:pPr>
        <w:pStyle w:val="PageHeadingNotTOC"/>
      </w:pPr>
      <w:r>
        <w:br w:type="page"/>
      </w:r>
    </w:p>
    <w:p w:rsidR="00DB56E4" w:rsidRPr="00B604D8" w:rsidRDefault="00DA22D1" w:rsidP="00DB56E4">
      <w:pPr>
        <w:pStyle w:val="AmHeadingPA"/>
      </w:pPr>
      <w:r>
        <w:lastRenderedPageBreak/>
        <w:t>ÆNDRINGSFORSLAG</w:t>
      </w:r>
    </w:p>
    <w:p w:rsidR="00DB56E4" w:rsidRPr="00B604D8" w:rsidRDefault="00DA22D1" w:rsidP="001E3AC4">
      <w:pPr>
        <w:pStyle w:val="Normal12a"/>
      </w:pPr>
      <w:bookmarkStart w:id="0" w:name="IntroA"/>
      <w:r>
        <w:t xml:space="preserve">Udvalget om </w:t>
      </w:r>
      <w:r>
        <w:t>Beskæftigelse og Sociale Anliggender opfordrer Udvalget om det Indre Marked og Forbrugerbeskyttelse, som er korresponderende udvalg, til at tage hensyn til følgende ændringsforslag:</w:t>
      </w:r>
    </w:p>
    <w:p w:rsidR="003C0A2B" w:rsidRPr="006374E5" w:rsidRDefault="00DA22D1" w:rsidP="003C0A2B">
      <w:pPr>
        <w:pStyle w:val="AMNumberTabs0"/>
        <w:keepNext/>
        <w:rPr>
          <w:rStyle w:val="HideTWBExt"/>
          <w:b w:val="0"/>
        </w:rPr>
      </w:pPr>
      <w:bookmarkStart w:id="1" w:name="ProcPageAD"/>
      <w:bookmarkEnd w:id="0"/>
      <w:r>
        <w:rPr>
          <w:rStyle w:val="HideTWBExt"/>
          <w:b w:val="0"/>
          <w:lang w:val="en-GB"/>
        </w:rPr>
        <w:t>&lt;RepeatBlock-Amend&gt;</w:t>
      </w:r>
    </w:p>
    <w:p w:rsidR="003C0A2B" w:rsidRPr="006374E5" w:rsidRDefault="00DA22D1" w:rsidP="003C0A2B">
      <w:pPr>
        <w:pStyle w:val="AmNumberTabs"/>
      </w:pPr>
      <w:r>
        <w:rPr>
          <w:rStyle w:val="HideTWBExt"/>
        </w:rPr>
        <w:t>&lt;Amend&gt;</w:t>
      </w:r>
      <w:r>
        <w:t xml:space="preserve">Ændringsforslag </w:t>
      </w:r>
      <w:r>
        <w:rPr>
          <w:rStyle w:val="HideTWBExt"/>
        </w:rPr>
        <w:t>&lt;NumAm&gt;</w:t>
      </w:r>
      <w:r>
        <w:t>1</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Overskrift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Forslag til</w:t>
            </w:r>
          </w:p>
        </w:tc>
        <w:tc>
          <w:tcPr>
            <w:tcW w:w="4876" w:type="dxa"/>
            <w:hideMark/>
          </w:tcPr>
          <w:p w:rsidR="003C0A2B" w:rsidRPr="006374E5" w:rsidRDefault="00DA22D1" w:rsidP="00E6740D">
            <w:pPr>
              <w:pStyle w:val="Normal6"/>
              <w:rPr>
                <w:szCs w:val="24"/>
              </w:rPr>
            </w:pPr>
            <w:r>
              <w:t xml:space="preserve">Forslag til </w:t>
            </w:r>
          </w:p>
        </w:tc>
      </w:tr>
      <w:tr w:rsidR="00AF0ABA" w:rsidTr="00E6740D">
        <w:trPr>
          <w:jc w:val="center"/>
        </w:trPr>
        <w:tc>
          <w:tcPr>
            <w:tcW w:w="4876" w:type="dxa"/>
            <w:hideMark/>
          </w:tcPr>
          <w:p w:rsidR="003C0A2B" w:rsidRPr="006374E5" w:rsidRDefault="00DA22D1" w:rsidP="00E6740D">
            <w:pPr>
              <w:pStyle w:val="Normal6"/>
            </w:pPr>
            <w:r>
              <w:t>EUROPA-PARLAMENTETS OG RÅDETS FORORDNING</w:t>
            </w:r>
          </w:p>
        </w:tc>
        <w:tc>
          <w:tcPr>
            <w:tcW w:w="4876" w:type="dxa"/>
          </w:tcPr>
          <w:p w:rsidR="003C0A2B" w:rsidRPr="006374E5" w:rsidRDefault="00DA22D1" w:rsidP="00E6740D">
            <w:pPr>
              <w:pStyle w:val="Normal6"/>
              <w:rPr>
                <w:szCs w:val="24"/>
              </w:rPr>
            </w:pPr>
            <w:r>
              <w:t xml:space="preserve">EUROPA-PARLAMENTETS OG RÅDETS FORORDNING </w:t>
            </w:r>
          </w:p>
        </w:tc>
      </w:tr>
      <w:tr w:rsidR="00AF0ABA" w:rsidTr="00E6740D">
        <w:trPr>
          <w:jc w:val="center"/>
        </w:trPr>
        <w:tc>
          <w:tcPr>
            <w:tcW w:w="4876" w:type="dxa"/>
            <w:hideMark/>
          </w:tcPr>
          <w:p w:rsidR="003C0A2B" w:rsidRPr="006374E5" w:rsidRDefault="00DA22D1" w:rsidP="00E6740D">
            <w:pPr>
              <w:pStyle w:val="Normal6"/>
            </w:pPr>
            <w:r>
              <w:t xml:space="preserve">om oprettelse af et nødinstrument for det indre marked og om </w:t>
            </w:r>
            <w:r>
              <w:rPr>
                <w:b/>
                <w:i/>
              </w:rPr>
              <w:t>ophævelse</w:t>
            </w:r>
            <w:r>
              <w:t xml:space="preserve"> af Rådets forordning (EF) nr. 2679/98</w:t>
            </w:r>
          </w:p>
        </w:tc>
        <w:tc>
          <w:tcPr>
            <w:tcW w:w="4876" w:type="dxa"/>
          </w:tcPr>
          <w:p w:rsidR="003C0A2B" w:rsidRPr="006374E5" w:rsidRDefault="00DA22D1" w:rsidP="00E6740D">
            <w:pPr>
              <w:pStyle w:val="Normal6"/>
              <w:rPr>
                <w:szCs w:val="24"/>
              </w:rPr>
            </w:pPr>
            <w:r>
              <w:t xml:space="preserve">om oprettelse af et nødinstrument for det indre marked og om </w:t>
            </w:r>
            <w:r>
              <w:rPr>
                <w:b/>
                <w:i/>
              </w:rPr>
              <w:t>ændring</w:t>
            </w:r>
            <w:r>
              <w:t xml:space="preserve"> af Rådets forordning (EF) nr. 2679/98 </w:t>
            </w:r>
          </w:p>
        </w:tc>
      </w:tr>
      <w:tr w:rsidR="00AF0ABA" w:rsidTr="00E6740D">
        <w:trPr>
          <w:jc w:val="center"/>
        </w:trPr>
        <w:tc>
          <w:tcPr>
            <w:tcW w:w="4876" w:type="dxa"/>
            <w:hideMark/>
          </w:tcPr>
          <w:p w:rsidR="003C0A2B" w:rsidRPr="006374E5" w:rsidRDefault="00DA22D1" w:rsidP="00E6740D">
            <w:pPr>
              <w:pStyle w:val="Normal6"/>
            </w:pPr>
            <w:r>
              <w:t>(EØS-relevant tekst)</w:t>
            </w:r>
          </w:p>
        </w:tc>
        <w:tc>
          <w:tcPr>
            <w:tcW w:w="4876" w:type="dxa"/>
          </w:tcPr>
          <w:p w:rsidR="003C0A2B" w:rsidRPr="006374E5" w:rsidRDefault="00DA22D1" w:rsidP="00E6740D">
            <w:pPr>
              <w:pStyle w:val="Normal6"/>
              <w:rPr>
                <w:szCs w:val="24"/>
              </w:rPr>
            </w:pPr>
            <w:r>
              <w:t>(EØS-relevant tek</w:t>
            </w:r>
            <w:r>
              <w:t>st)</w:t>
            </w:r>
          </w:p>
        </w:tc>
      </w:tr>
    </w:tbl>
    <w:p w:rsidR="003C0A2B" w:rsidRPr="006374E5" w:rsidRDefault="00DA22D1" w:rsidP="003C0A2B">
      <w:pPr>
        <w:rPr>
          <w:rStyle w:val="HideTWBExt"/>
          <w:b/>
        </w:rPr>
      </w:pPr>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2</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-1 (ny)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rPr>
                <w:szCs w:val="24"/>
              </w:rPr>
            </w:pPr>
            <w:r>
              <w:rPr>
                <w:b/>
                <w:i/>
              </w:rPr>
              <w:t>(-1)</w:t>
            </w:r>
            <w:r>
              <w:rPr>
                <w:b/>
                <w:i/>
              </w:rPr>
              <w:tab/>
              <w:t xml:space="preserve">Medlemsstaterne er ifølge traktaterne forpligtet til at sikre et </w:t>
            </w:r>
            <w:r>
              <w:rPr>
                <w:b/>
                <w:i/>
              </w:rPr>
              <w:t>velfungerende indre marked. De bør derfor afholde sig fra at træffe foranstaltninger, der er i strid med den frie bevægelighed for varer, tjenesteydelser og personer, og de bør træffe alle de foranstaltninger, der er nødvendige for at lette den frie bevæge</w:t>
            </w:r>
            <w:r>
              <w:rPr>
                <w:b/>
                <w:i/>
              </w:rPr>
              <w:t>lighed for varer, tjenesteydelser eller personer.</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3</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lastRenderedPageBreak/>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(1)</w:t>
            </w:r>
            <w:r>
              <w:tab/>
              <w:t xml:space="preserve">Tidligere kriser, navnlig de </w:t>
            </w:r>
            <w:r>
              <w:t>første dage af covid-19-pandemien, har vist, at det indre marked</w:t>
            </w:r>
            <w:r>
              <w:rPr>
                <w:b/>
                <w:i/>
              </w:rPr>
              <w:t xml:space="preserve"> (og</w:t>
            </w:r>
            <w:r>
              <w:t xml:space="preserve"> dets forsyningskæder</w:t>
            </w:r>
            <w:r>
              <w:rPr>
                <w:b/>
                <w:i/>
              </w:rPr>
              <w:t>)</w:t>
            </w:r>
            <w:r>
              <w:t xml:space="preserve"> kan blive hårdt ramt af sådanne kriser, og at passende krisestyringsværktøjer og koordineringsmekanismer enten mangler, ikke dækker alle aspekter af det indre marked</w:t>
            </w:r>
            <w:r>
              <w:t xml:space="preserve"> eller ikke giver mulighed for en rettidig respons på sådanne virkninger.</w:t>
            </w:r>
          </w:p>
        </w:tc>
        <w:tc>
          <w:tcPr>
            <w:tcW w:w="4876" w:type="dxa"/>
            <w:hideMark/>
          </w:tcPr>
          <w:p w:rsidR="003C0A2B" w:rsidRPr="006374E5" w:rsidRDefault="00DA22D1" w:rsidP="00E6740D">
            <w:pPr>
              <w:pStyle w:val="Normal6"/>
              <w:rPr>
                <w:szCs w:val="24"/>
              </w:rPr>
            </w:pPr>
            <w:r>
              <w:t>(1)</w:t>
            </w:r>
            <w:r>
              <w:tab/>
              <w:t>Tidligere kriser, navnlig de første dage af covid-19-pandemien, har vist, at det indre marked</w:t>
            </w:r>
            <w:r>
              <w:rPr>
                <w:b/>
                <w:i/>
              </w:rPr>
              <w:t>,</w:t>
            </w:r>
            <w:r>
              <w:t xml:space="preserve"> dets forsyningskæder</w:t>
            </w:r>
            <w:r>
              <w:rPr>
                <w:b/>
                <w:i/>
              </w:rPr>
              <w:t>, virksomheder, arbejdstagere og forbrugere</w:t>
            </w:r>
            <w:r>
              <w:t xml:space="preserve"> kan blive hårdt ram</w:t>
            </w:r>
            <w:r>
              <w:t xml:space="preserve">t af sådanne kriser, </w:t>
            </w:r>
            <w:r>
              <w:rPr>
                <w:b/>
                <w:i/>
              </w:rPr>
              <w:t xml:space="preserve">at den frie bevægelighed for varer, tjenesteydelser og personer ikke er tilstrækkeligt sikret, skønt denne ret er fastsat i traktaterne, </w:t>
            </w:r>
            <w:r>
              <w:t>og at passende</w:t>
            </w:r>
            <w:r>
              <w:rPr>
                <w:b/>
                <w:i/>
              </w:rPr>
              <w:t xml:space="preserve"> og harmoniserede</w:t>
            </w:r>
            <w:r>
              <w:t xml:space="preserve"> krisestyringsværktøjer og koordineringsmekanismer enten mangler, i</w:t>
            </w:r>
            <w:r>
              <w:t>kke dækker alle aspekter af det indre marked eller ikke giver mulighed for en rettidig</w:t>
            </w:r>
            <w:r>
              <w:rPr>
                <w:b/>
                <w:i/>
              </w:rPr>
              <w:t xml:space="preserve"> og effektiv</w:t>
            </w:r>
            <w:r>
              <w:t xml:space="preserve"> respons på sådanne virkninger.</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4</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1 a (ny)</w:t>
      </w:r>
      <w:r>
        <w:rPr>
          <w:rStyle w:val="HideTWBExt"/>
        </w:rPr>
        <w:t>&lt;</w:t>
      </w:r>
      <w:r>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rPr>
                <w:szCs w:val="24"/>
              </w:rPr>
            </w:pPr>
            <w:r>
              <w:rPr>
                <w:b/>
                <w:i/>
              </w:rPr>
              <w:t>(1a)</w:t>
            </w:r>
            <w:r>
              <w:rPr>
                <w:b/>
                <w:i/>
              </w:rPr>
              <w:tab/>
              <w:t xml:space="preserve">Under covid-19-pandemien var de mest berørte sektorer kendetegnet ved en stor afhængighed af mobile arbejdstagere, herunder grænsearbejdere og -pendlere. Disse arbejdstagere, som spillede en </w:t>
            </w:r>
            <w:r>
              <w:rPr>
                <w:b/>
                <w:i/>
              </w:rPr>
              <w:t>afgørende rolle med hensyn til at holde den europæiske økonomi kørende, blev særlig hårdt ramt af ukoordinerede foranstaltninger, der begrænsede den frie bevægelighed for personer. De stod ofte uden tilstrækkelig støtte, når de udøvede deres ret til fri be</w:t>
            </w:r>
            <w:r>
              <w:rPr>
                <w:b/>
                <w:i/>
              </w:rPr>
              <w:t>vægelighed, og led under tunge administrative byrder og fik ikke tilstrækkeligt med oplysninger om de trufne foranstaltninger og disses varighed. Restriktionerne for den frie bevægelighed forværrede de hindringer, som mobile arbejdstagere, herunder grænsea</w:t>
            </w:r>
            <w:r>
              <w:rPr>
                <w:b/>
                <w:i/>
              </w:rPr>
              <w:t xml:space="preserve">rbejdere og -pendlere, står over </w:t>
            </w:r>
            <w:r>
              <w:rPr>
                <w:b/>
                <w:i/>
              </w:rPr>
              <w:lastRenderedPageBreak/>
              <w:t>for. Nogle kunne ikke krydse grænserne og få adgang til deres arbejdsplads, mens andre var tvunget til at tilbringe måneder i deres arbejdsgivers medlemsstat uden mulighed for at vende tilbage til deres eller deres familier</w:t>
            </w:r>
            <w:r>
              <w:rPr>
                <w:b/>
                <w:i/>
              </w:rPr>
              <w:t>s bopælsmedlemsstat som følge af rejserestriktioner og retlige hindringer, der forhindrede dem i at arbejde på afstand.</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5</w:t>
      </w:r>
      <w:r>
        <w:rPr>
          <w:rStyle w:val="HideTWBExt"/>
        </w:rPr>
        <w:t>&lt;/NumAm&gt;</w:t>
      </w:r>
    </w:p>
    <w:p w:rsidR="003C0A2B" w:rsidRPr="006374E5" w:rsidRDefault="00DA22D1" w:rsidP="003C0A2B">
      <w:pPr>
        <w:pStyle w:val="NormalBold12b"/>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trHeight w:hRule="exact" w:val="240"/>
          <w:jc w:val="center"/>
        </w:trPr>
        <w:tc>
          <w:tcPr>
            <w:tcW w:w="9752" w:type="dxa"/>
            <w:gridSpan w:val="2"/>
          </w:tcPr>
          <w:p w:rsidR="003C0A2B" w:rsidRPr="006374E5" w:rsidRDefault="003C0A2B" w:rsidP="00E6740D"/>
        </w:tc>
      </w:tr>
      <w:tr w:rsidR="00AF0ABA" w:rsidTr="00E6740D">
        <w:trPr>
          <w:trHeight w:val="240"/>
          <w:jc w:val="center"/>
        </w:trPr>
        <w:tc>
          <w:tcPr>
            <w:tcW w:w="4876" w:type="dxa"/>
          </w:tcPr>
          <w:p w:rsidR="003C0A2B" w:rsidRPr="006374E5" w:rsidRDefault="00DA22D1" w:rsidP="00E6740D">
            <w:pPr>
              <w:pStyle w:val="AmColumnHeading"/>
            </w:pPr>
            <w:r>
              <w:t>Kommissionens forslag</w:t>
            </w:r>
          </w:p>
        </w:tc>
        <w:tc>
          <w:tcPr>
            <w:tcW w:w="4876" w:type="dxa"/>
          </w:tcPr>
          <w:p w:rsidR="003C0A2B" w:rsidRPr="006374E5" w:rsidRDefault="00DA22D1" w:rsidP="00E6740D">
            <w:pPr>
              <w:pStyle w:val="AmColumnHeading"/>
            </w:pPr>
            <w:r>
              <w:t>Ændringsforslag</w:t>
            </w:r>
          </w:p>
        </w:tc>
      </w:tr>
      <w:tr w:rsidR="00AF0ABA" w:rsidTr="00E6740D">
        <w:trPr>
          <w:jc w:val="center"/>
        </w:trPr>
        <w:tc>
          <w:tcPr>
            <w:tcW w:w="4876" w:type="dxa"/>
          </w:tcPr>
          <w:p w:rsidR="003C0A2B" w:rsidRPr="006374E5" w:rsidRDefault="00DA22D1" w:rsidP="00E6740D">
            <w:pPr>
              <w:pStyle w:val="Normal6a"/>
            </w:pPr>
            <w:r>
              <w:t>(2)</w:t>
            </w:r>
            <w:r>
              <w:tab/>
              <w:t>Unionen var ikke tilstrækkeligt forberedt til at sikre effektiv fremstilling, indkøb og distribution af kriserelevante ikkemedicinske varer såsom personlige værnemidler, navnlig i den tidlige fase af covid-19-pand</w:t>
            </w:r>
            <w:r>
              <w:t>emien, og de ad hoc-foranstaltninger, som Kommissionen har truffet for at genoprette det indre markeds funktion og for at sikre tilgængeligheden af kriserelevante ikkemedicinske varer under covid-19-pandemien, var nødvendigvis reaktive. Pandemien afslørede</w:t>
            </w:r>
            <w:r>
              <w:t xml:space="preserve"> også et utilstrækkeligt overblik over produktionskapaciteten i hele Unionen samt sårbarheder i forbindelse med de globale forsyningskæder.</w:t>
            </w:r>
          </w:p>
        </w:tc>
        <w:tc>
          <w:tcPr>
            <w:tcW w:w="4876" w:type="dxa"/>
          </w:tcPr>
          <w:p w:rsidR="003C0A2B" w:rsidRPr="006374E5" w:rsidRDefault="00DA22D1" w:rsidP="00E6740D">
            <w:pPr>
              <w:pStyle w:val="Normal6a"/>
            </w:pPr>
            <w:r>
              <w:t>(2)</w:t>
            </w:r>
            <w:r>
              <w:tab/>
              <w:t>Unionen var ikke tilstrækkeligt forberedt til at sikre effektiv fremstilling, indkøb og distribution af kriserel</w:t>
            </w:r>
            <w:r>
              <w:t>evante ikkemedicinske varer såsom personlige værnemidler, navnlig i den tidlige fase af covid-19-pandemien, og de ad hoc-foranstaltninger, som Kommissionen har truffet for at genoprette det indre markeds funktion og for at sikre tilgængeligheden af krisere</w:t>
            </w:r>
            <w:r>
              <w:t>levante ikkemedicinske varer under covid-19-pandemien, var nødvendigvis reaktive. Pandemien afslørede også et utilstrækkeligt overblik over produktionskapaciteten i hele Unionen samt sårbarheder i forbindelse med de globale forsyningskæder</w:t>
            </w:r>
            <w:r>
              <w:rPr>
                <w:b/>
                <w:i/>
              </w:rPr>
              <w:t>, herunder mangle</w:t>
            </w:r>
            <w:r>
              <w:rPr>
                <w:b/>
                <w:i/>
              </w:rPr>
              <w:t>nde modstandsdygtighed samt afhængighed af autoritære regimer</w:t>
            </w:r>
            <w:r>
              <w:t>.</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6</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(3)</w:t>
            </w:r>
            <w:r>
              <w:tab/>
            </w:r>
            <w:r>
              <w:t xml:space="preserve">Kommissionens foranstaltninger blev forsinket med flere uger på grund af manglen på </w:t>
            </w:r>
            <w:r>
              <w:lastRenderedPageBreak/>
              <w:t xml:space="preserve">beredskabsplanlægningsforanstaltninger på EU-plan og på klarhed over, hvilken del af de nationale myndigheder der skulle kontaktes for at finde hurtige løsninger på </w:t>
            </w:r>
            <w:r>
              <w:rPr>
                <w:b/>
                <w:i/>
              </w:rPr>
              <w:t>indvirk</w:t>
            </w:r>
            <w:r>
              <w:rPr>
                <w:b/>
                <w:i/>
              </w:rPr>
              <w:t>ningerne</w:t>
            </w:r>
            <w:r>
              <w:t xml:space="preserve"> på det indre marked</w:t>
            </w:r>
            <w:r>
              <w:rPr>
                <w:b/>
                <w:i/>
              </w:rPr>
              <w:t xml:space="preserve"> som følge af krisen</w:t>
            </w:r>
            <w:r>
              <w:t xml:space="preserve">. Desuden blev det klart, at ukoordinerede restriktive foranstaltninger truffet af medlemsstaterne </w:t>
            </w:r>
            <w:r>
              <w:rPr>
                <w:b/>
                <w:i/>
              </w:rPr>
              <w:t>ville forværre</w:t>
            </w:r>
            <w:r>
              <w:t xml:space="preserve"> krisens indvirkning på det indre marked yderligere. Det viste sig, at der er behov for ordning</w:t>
            </w:r>
            <w:r>
              <w:t>er mellem medlemsstaterne og EU-myndighederne med hensyn til beredskabsplanlægning, koordinering på teknisk niveau og samarbejde og informationsudveksling.</w:t>
            </w:r>
          </w:p>
        </w:tc>
        <w:tc>
          <w:tcPr>
            <w:tcW w:w="4876" w:type="dxa"/>
            <w:hideMark/>
          </w:tcPr>
          <w:p w:rsidR="003C0A2B" w:rsidRPr="006374E5" w:rsidRDefault="00DA22D1" w:rsidP="00E6740D">
            <w:pPr>
              <w:pStyle w:val="Normal6"/>
              <w:rPr>
                <w:szCs w:val="24"/>
              </w:rPr>
            </w:pPr>
            <w:r>
              <w:lastRenderedPageBreak/>
              <w:t>(3)</w:t>
            </w:r>
            <w:r>
              <w:tab/>
              <w:t xml:space="preserve">Kommissionens foranstaltninger blev forsinket med flere uger på grund af manglen på </w:t>
            </w:r>
            <w:r>
              <w:lastRenderedPageBreak/>
              <w:t>beredskabspl</w:t>
            </w:r>
            <w:r>
              <w:t>anlægningsforanstaltninger på EU-plan og på klarhed over, hvilken del af de nationale myndigheder</w:t>
            </w:r>
            <w:r>
              <w:rPr>
                <w:b/>
                <w:i/>
              </w:rPr>
              <w:t>,</w:t>
            </w:r>
            <w:r>
              <w:t xml:space="preserve"> der skulle kontaktes for at finde hurtige løsninger på </w:t>
            </w:r>
            <w:r>
              <w:rPr>
                <w:b/>
                <w:i/>
              </w:rPr>
              <w:t>kriserelaterede indvirkninger</w:t>
            </w:r>
            <w:r>
              <w:t xml:space="preserve"> på det indre marked. Desuden blev det klart, at ukoordinerede restriktiv</w:t>
            </w:r>
            <w:r>
              <w:t xml:space="preserve">e foranstaltninger truffet af medlemsstaterne </w:t>
            </w:r>
            <w:r>
              <w:rPr>
                <w:b/>
                <w:i/>
              </w:rPr>
              <w:t>forværrede</w:t>
            </w:r>
            <w:r>
              <w:t xml:space="preserve"> krisens indvirkning på det indre marked yderligere. Det viste sig, at der </w:t>
            </w:r>
            <w:r>
              <w:rPr>
                <w:b/>
                <w:i/>
              </w:rPr>
              <w:t xml:space="preserve">for at sikre forudsigelighed </w:t>
            </w:r>
            <w:r>
              <w:t xml:space="preserve">er behov for </w:t>
            </w:r>
            <w:r>
              <w:rPr>
                <w:b/>
                <w:i/>
              </w:rPr>
              <w:t xml:space="preserve">klare og gennemsigtige regler og </w:t>
            </w:r>
            <w:r>
              <w:t>ordninger mellem medlemsstaterne og EU-myndigheder</w:t>
            </w:r>
            <w:r>
              <w:t>ne</w:t>
            </w:r>
            <w:r>
              <w:rPr>
                <w:b/>
                <w:i/>
              </w:rPr>
              <w:t xml:space="preserve"> samt interessenter og arbejdsmarkedets parter</w:t>
            </w:r>
            <w:r>
              <w:t xml:space="preserve"> med hensyn til beredskabsplanlægning, koordinering på teknisk niveau og samarbejde og informationsudveksling. </w:t>
            </w:r>
            <w:r>
              <w:rPr>
                <w:b/>
                <w:i/>
              </w:rPr>
              <w:t>Arbejdsmarkedets parter spiller en central rolle, når det kommer til at støtte koordineringsindsa</w:t>
            </w:r>
            <w:r>
              <w:rPr>
                <w:b/>
                <w:i/>
              </w:rPr>
              <w:t>tsen, og i forbindelse med udarbejdelsen og gennemførelsen af nødforanstaltninger, herunder når det drejer sig om formidling af relevante oplysninger til arbejdstagere, virksomheder og økonomiske aktører.</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7</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(4)</w:t>
            </w:r>
            <w:r>
              <w:tab/>
              <w:t>Repræsentative organisationer af økonomiske aktører har antydet, at de økonomiske aktører ikke havde tilstrækkelige oplysninger om me</w:t>
            </w:r>
            <w:r>
              <w:t xml:space="preserve">dlemsstaternes kriseresponsforanstaltninger under pandemien, dels fordi de ikke vidste, hvor de skulle indhente sådanne oplysninger, dels på grund af sprogbegrænsninger og den administrative byrde, der er forbundet med at foretage gentagne undersøgelser i </w:t>
            </w:r>
            <w:r>
              <w:t xml:space="preserve">alle medlemsstaterne, navnlig i et lovgivningsmiljø i konstant forandring. </w:t>
            </w:r>
            <w:r>
              <w:lastRenderedPageBreak/>
              <w:t>Dette forhindrede dem i at træffe informerede forretningsbeslutninger om, i hvilket omfang de kan forlade sig på deres ret til fri bevægelighed eller fortsætte grænseoverskridende f</w:t>
            </w:r>
            <w:r>
              <w:t>orretningsaktiviteter under krisen. Det er nødvendigt at forbedre tilgængeligheden af oplysninger om kriseresponsforanstaltninger på nationalt plan og EU-plan.</w:t>
            </w:r>
          </w:p>
        </w:tc>
        <w:tc>
          <w:tcPr>
            <w:tcW w:w="4876" w:type="dxa"/>
            <w:hideMark/>
          </w:tcPr>
          <w:p w:rsidR="003C0A2B" w:rsidRPr="006374E5" w:rsidRDefault="00DA22D1" w:rsidP="00E6740D">
            <w:pPr>
              <w:pStyle w:val="Normal6"/>
              <w:rPr>
                <w:szCs w:val="24"/>
              </w:rPr>
            </w:pPr>
            <w:r>
              <w:lastRenderedPageBreak/>
              <w:t>(4)</w:t>
            </w:r>
            <w:r>
              <w:tab/>
              <w:t>Repræsentative organisationer af økonomiske aktører</w:t>
            </w:r>
            <w:r>
              <w:rPr>
                <w:b/>
                <w:i/>
              </w:rPr>
              <w:t>, fagforeninger og arbejdsgivere</w:t>
            </w:r>
            <w:r>
              <w:t xml:space="preserve"> har anty</w:t>
            </w:r>
            <w:r>
              <w:t>det, at de økonomiske aktører</w:t>
            </w:r>
            <w:r>
              <w:rPr>
                <w:b/>
                <w:i/>
              </w:rPr>
              <w:t xml:space="preserve">, </w:t>
            </w:r>
            <w:r>
              <w:rPr>
                <w:b/>
                <w:bCs/>
                <w:i/>
              </w:rPr>
              <w:t>arbejdstagerne og virksomhederne</w:t>
            </w:r>
            <w:r>
              <w:rPr>
                <w:b/>
                <w:bCs/>
              </w:rPr>
              <w:t xml:space="preserve"> </w:t>
            </w:r>
            <w:r>
              <w:t>ikke havde tilstrækkelige oplysninger om medlemsstaternes kriseresponsforanstaltninger under pandemien, dels fordi de ikke vidste, hvor de skulle indhente sådanne oplysninger, dels på grund af</w:t>
            </w:r>
            <w:r>
              <w:t xml:space="preserve"> sprogbegrænsninger og den administrative byrde, der er forbundet med at foretage gentagne undersøgelser i alle medlemsstaterne, navnlig i et </w:t>
            </w:r>
            <w:r>
              <w:lastRenderedPageBreak/>
              <w:t xml:space="preserve">lovgivningsmiljø i konstant forandring. Dette forhindrede dem i at træffe informerede forretningsbeslutninger om, </w:t>
            </w:r>
            <w:r>
              <w:t xml:space="preserve">i hvilket omfang de kan forlade sig på deres ret til fri bevægelighed </w:t>
            </w:r>
            <w:r>
              <w:rPr>
                <w:b/>
                <w:i/>
              </w:rPr>
              <w:t>og/</w:t>
            </w:r>
            <w:r>
              <w:t>eller fortsætte grænseoverskridende forretningsaktiviteter under krisen. Det er nødvendigt at forbedre tilgængeligheden af oplysninger om kriseresponsforanstaltninger på nationalt pla</w:t>
            </w:r>
            <w:r>
              <w:t>n og EU-plan.</w:t>
            </w:r>
          </w:p>
        </w:tc>
      </w:tr>
    </w:tbl>
    <w:p w:rsidR="003C0A2B" w:rsidRPr="006374E5" w:rsidRDefault="00DA22D1" w:rsidP="003C0A2B">
      <w:pPr>
        <w:rPr>
          <w:rStyle w:val="HideTWBExt"/>
          <w:b/>
        </w:rPr>
      </w:pPr>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8</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(5)</w:t>
            </w:r>
            <w:r>
              <w:tab/>
              <w:t xml:space="preserve">Den seneste tids begivenheder har også fremhævet behovet for, at </w:t>
            </w:r>
            <w:r>
              <w:t>Unionen er bedre forberedt på mulige fremtidige kriser, navnlig i betragtning af de fortsatte virkninger af klimaændringer og deraf følgende naturkatastrofer samt global økonomisk og geopolitisk ustabilitet. Da det ikke vides, hvilken type kriser der vil k</w:t>
            </w:r>
            <w:r>
              <w:t xml:space="preserve">unne opstå næste gang og få alvorlige konsekvenser for det indre marked og dets forsyningskæder i fremtiden, er det nødvendigt at indføre et </w:t>
            </w:r>
            <w:r>
              <w:rPr>
                <w:b/>
                <w:i/>
              </w:rPr>
              <w:t>instrument</w:t>
            </w:r>
            <w:r>
              <w:t xml:space="preserve">, som kan </w:t>
            </w:r>
            <w:r>
              <w:rPr>
                <w:b/>
                <w:i/>
              </w:rPr>
              <w:t>anvendes</w:t>
            </w:r>
            <w:r>
              <w:t xml:space="preserve">, </w:t>
            </w:r>
            <w:r>
              <w:rPr>
                <w:b/>
                <w:i/>
              </w:rPr>
              <w:t>hvis det indre marked rammes af forskellige kriser</w:t>
            </w:r>
            <w:r>
              <w:t>.</w:t>
            </w:r>
          </w:p>
        </w:tc>
        <w:tc>
          <w:tcPr>
            <w:tcW w:w="4876" w:type="dxa"/>
            <w:hideMark/>
          </w:tcPr>
          <w:p w:rsidR="003C0A2B" w:rsidRPr="006374E5" w:rsidRDefault="00DA22D1" w:rsidP="00E6740D">
            <w:pPr>
              <w:pStyle w:val="Normal6"/>
              <w:rPr>
                <w:szCs w:val="24"/>
              </w:rPr>
            </w:pPr>
            <w:r>
              <w:t>(5)</w:t>
            </w:r>
            <w:r>
              <w:tab/>
            </w:r>
            <w:r>
              <w:t xml:space="preserve">Den seneste tids begivenheder har også fremhævet behovet for, at Unionen er bedre forberedt på mulige fremtidige kriser, navnlig i betragtning af de fortsatte </w:t>
            </w:r>
            <w:r>
              <w:rPr>
                <w:b/>
                <w:i/>
              </w:rPr>
              <w:t xml:space="preserve">forværrende </w:t>
            </w:r>
            <w:r>
              <w:t>virkninger af klimaændringer og deraf følgende naturkatastrofer samt global økonomisk</w:t>
            </w:r>
            <w:r>
              <w:t xml:space="preserve"> og geopolitisk ustabilitet. Da det ikke vides, hvilken type kriser der vil kunne opstå næste gang og få alvorlige konsekvenser for det indre marked og dets forsyningskæder i fremtiden, er det nødvendigt at indføre et </w:t>
            </w:r>
            <w:r>
              <w:rPr>
                <w:b/>
                <w:i/>
              </w:rPr>
              <w:t>kriseinstrument</w:t>
            </w:r>
            <w:r>
              <w:t xml:space="preserve">, som kan </w:t>
            </w:r>
            <w:r>
              <w:rPr>
                <w:b/>
                <w:i/>
              </w:rPr>
              <w:t>styrke modsta</w:t>
            </w:r>
            <w:r>
              <w:rPr>
                <w:b/>
                <w:i/>
              </w:rPr>
              <w:t>ndsdygtigheden</w:t>
            </w:r>
            <w:r>
              <w:t xml:space="preserve">, </w:t>
            </w:r>
            <w:r>
              <w:rPr>
                <w:b/>
                <w:i/>
              </w:rPr>
              <w:t>forbedre gennemsigtigheden og fastsætte klare regler for krisestyring, der vil skulle gælde for den frie bevægelighed for varer, tjenesteydelser og personer med hensyn til forstyrrelser på det indre marked</w:t>
            </w:r>
            <w:r>
              <w:t>.</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9</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(7)</w:t>
            </w:r>
            <w:r>
              <w:tab/>
              <w:t xml:space="preserve">Da eventuelle specifikke aspekter </w:t>
            </w:r>
            <w:r>
              <w:lastRenderedPageBreak/>
              <w:t>af fremtidige kriser, der kan påvirke det indre marked og dets forsyningskæder, e</w:t>
            </w:r>
            <w:r>
              <w:t>r vanskelige at forudsige, bør denne forordning fastlægge en generel ramme for foregribelse, forberedelse, afbødning og minimering af de negative virkninger, som en krise kan have for det indre marked og dets forsyningskæder</w:t>
            </w:r>
            <w:r>
              <w:rPr>
                <w:b/>
                <w:i/>
              </w:rPr>
              <w:t>. .</w:t>
            </w:r>
            <w:r>
              <w:t xml:space="preserve"> .</w:t>
            </w:r>
          </w:p>
        </w:tc>
        <w:tc>
          <w:tcPr>
            <w:tcW w:w="4876" w:type="dxa"/>
            <w:hideMark/>
          </w:tcPr>
          <w:p w:rsidR="003C0A2B" w:rsidRPr="006374E5" w:rsidRDefault="00DA22D1" w:rsidP="00E6740D">
            <w:pPr>
              <w:pStyle w:val="Normal6"/>
              <w:rPr>
                <w:szCs w:val="24"/>
              </w:rPr>
            </w:pPr>
            <w:r>
              <w:lastRenderedPageBreak/>
              <w:t>(7)</w:t>
            </w:r>
            <w:r>
              <w:tab/>
              <w:t>Da eventuelle specifik</w:t>
            </w:r>
            <w:r>
              <w:t xml:space="preserve">ke aspekter </w:t>
            </w:r>
            <w:r>
              <w:lastRenderedPageBreak/>
              <w:t xml:space="preserve">af fremtidige kriser, der kan påvirke det indre marked og dets forsyningskæder, er vanskelige at forudsige, bør denne forordning fastlægge en generel ramme for foregribelse, </w:t>
            </w:r>
            <w:r>
              <w:rPr>
                <w:b/>
                <w:i/>
              </w:rPr>
              <w:t xml:space="preserve">forebyggelse, </w:t>
            </w:r>
            <w:r>
              <w:t>forberedelse, afbødning og minimering af de negative vir</w:t>
            </w:r>
            <w:r>
              <w:t>kninger, som en krise kan have for det indre marked og dets forsyningskæder</w:t>
            </w:r>
            <w:r>
              <w:rPr>
                <w:b/>
                <w:i/>
              </w:rPr>
              <w:t xml:space="preserve">, samtidig med at det sikres, at ethvert kriserelateret katastrofeberedskab fuldt ud respekterer de grundlæggende menneskerettigheder og arbejdstagernes rettigheder og garantier og </w:t>
            </w:r>
            <w:r>
              <w:rPr>
                <w:b/>
                <w:i/>
              </w:rPr>
              <w:t>letter den frie bevægelighed for varer, tjenesteydelser og personer i overensstemmelse med traktaterne.</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10</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 xml:space="preserve">Kommissionens </w:t>
            </w:r>
            <w:r>
              <w:t>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(8)</w:t>
            </w:r>
            <w:r>
              <w:tab/>
              <w:t>Den ramme for foranstaltninger, der er fastsat i denne forordning, bør anvendes på en sammenhængende, gennemsigtig, effektiv, forholdsmæssig og rettidig måde under behørig hensyntagen til behovet for at opretholde vitale samfun</w:t>
            </w:r>
            <w:r>
              <w:t>dsmæssige funktioner, dvs. den offentlige sikkerhed, tryghed, den offentlige orden eller folkesundheden, idet medlemsstaternes ansvar for at beskytte den nationale sikkerhed og deres beføjelse til at beskytte andre væsentlige statslige funktioner, herunder</w:t>
            </w:r>
            <w:r>
              <w:t xml:space="preserve"> sikring af statens territoriale integritet og opretholdelse af lov og orden, respekteres.</w:t>
            </w:r>
          </w:p>
        </w:tc>
        <w:tc>
          <w:tcPr>
            <w:tcW w:w="4876" w:type="dxa"/>
            <w:hideMark/>
          </w:tcPr>
          <w:p w:rsidR="003C0A2B" w:rsidRPr="006374E5" w:rsidRDefault="00DA22D1" w:rsidP="00E6740D">
            <w:pPr>
              <w:pStyle w:val="Normal6"/>
              <w:rPr>
                <w:szCs w:val="24"/>
              </w:rPr>
            </w:pPr>
            <w:r>
              <w:t>(8)</w:t>
            </w:r>
            <w:r>
              <w:tab/>
            </w:r>
            <w:r>
              <w:t>Den ramme for foranstaltninger, der er fastsat i denne forordning, bør anvendes på en sammenhængende, gennemsigtig, effektiv, forholdsmæssig og rettidig måde under behørig hensyntagen til behovet for at opretholde vitale samfundsmæssige funktioner, dvs. de</w:t>
            </w:r>
            <w:r>
              <w:t xml:space="preserve">n offentlige sikkerhed, </w:t>
            </w:r>
            <w:r>
              <w:rPr>
                <w:b/>
                <w:i/>
              </w:rPr>
              <w:t xml:space="preserve">den offentlige </w:t>
            </w:r>
            <w:r>
              <w:t xml:space="preserve">tryghed, den offentlige orden eller folkesundheden, idet medlemsstaternes ansvar for at beskytte den nationale sikkerhed og deres beføjelse til at beskytte andre væsentlige statslige funktioner, herunder sikring af </w:t>
            </w:r>
            <w:r>
              <w:t xml:space="preserve">statens territoriale integritet og opretholdelse af lov og orden, respekteres. </w:t>
            </w:r>
            <w:r>
              <w:rPr>
                <w:b/>
                <w:i/>
              </w:rPr>
              <w:t>Rammen bør også tjene til at anerkende den vigtige rolle, som arbejdsmarkedets parter spiller i forbindelse med udarbejdelsen og gennemførelsen af beredskabsforanstaltninger, og</w:t>
            </w:r>
            <w:r>
              <w:rPr>
                <w:b/>
                <w:i/>
              </w:rPr>
              <w:t xml:space="preserve"> den bør sikre fuld respekt for kollektive forhandlingsrettigheder og </w:t>
            </w:r>
            <w:r>
              <w:rPr>
                <w:b/>
                <w:i/>
              </w:rPr>
              <w:lastRenderedPageBreak/>
              <w:t>arbejdsmarkedets parters autonomi.</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11</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9 – led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w:t>
            </w:r>
            <w:r>
              <w:t>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w:t>
            </w:r>
            <w:r>
              <w:tab/>
              <w:t xml:space="preserve">de nødvendige midler til at sikre det indre markeds fortsatte funktion, de virksomheder, der opererer på det indre marked, </w:t>
            </w:r>
            <w:r>
              <w:rPr>
                <w:b/>
                <w:i/>
              </w:rPr>
              <w:t>og dets</w:t>
            </w:r>
            <w:r>
              <w:t xml:space="preserve"> strategiske forsyningskæder, herunder den frie bevægelighed for varer, tjenesteydelser og personer i krisetider og tilgængeligheden af kriserelevante varer og tjenesteydelser for borgere, virksomheder og offentlige myndigheder</w:t>
            </w:r>
            <w:r>
              <w:rPr>
                <w:b/>
                <w:i/>
              </w:rPr>
              <w:t xml:space="preserve"> i krisetider</w:t>
            </w:r>
          </w:p>
        </w:tc>
        <w:tc>
          <w:tcPr>
            <w:tcW w:w="4876" w:type="dxa"/>
            <w:hideMark/>
          </w:tcPr>
          <w:p w:rsidR="003C0A2B" w:rsidRPr="006374E5" w:rsidRDefault="00DA22D1" w:rsidP="00E6740D">
            <w:pPr>
              <w:pStyle w:val="Normal6"/>
              <w:rPr>
                <w:szCs w:val="24"/>
              </w:rPr>
            </w:pPr>
            <w:r>
              <w:t>—</w:t>
            </w:r>
            <w:r>
              <w:tab/>
              <w:t>de nødvendige</w:t>
            </w:r>
            <w:r>
              <w:t xml:space="preserve"> midler til at sikre det indre markeds fortsatte funktion, </w:t>
            </w:r>
            <w:r>
              <w:rPr>
                <w:b/>
                <w:i/>
              </w:rPr>
              <w:t xml:space="preserve">også i krisetider, såvel for </w:t>
            </w:r>
            <w:r>
              <w:t xml:space="preserve">de virksomheder, der opererer på det indre marked, </w:t>
            </w:r>
            <w:r>
              <w:rPr>
                <w:b/>
                <w:i/>
              </w:rPr>
              <w:t>som for deres</w:t>
            </w:r>
            <w:r>
              <w:t xml:space="preserve"> strategiske forsyningskæder, herunder den frie bevægelighed for varer, tjenesteydelser og personer </w:t>
            </w:r>
            <w:r>
              <w:rPr>
                <w:b/>
                <w:i/>
              </w:rPr>
              <w:t>unde</w:t>
            </w:r>
            <w:r>
              <w:rPr>
                <w:b/>
                <w:i/>
              </w:rPr>
              <w:t xml:space="preserve">r sikre forhold </w:t>
            </w:r>
            <w:r>
              <w:t>i krisetider og tilgængeligheden af kriserelevante varer og tjenesteydelser for borgere, virksomheder og offentlige myndigheder</w:t>
            </w:r>
            <w:r>
              <w:rPr>
                <w:b/>
                <w:i/>
              </w:rPr>
              <w:t>, samtidig med at arbejdstagernes rettigheder og sundheden og sikkerheden på arbejdspladsen sikres</w:t>
            </w:r>
          </w:p>
        </w:tc>
      </w:tr>
    </w:tbl>
    <w:p w:rsidR="003C0A2B" w:rsidRPr="006374E5" w:rsidRDefault="00DA22D1" w:rsidP="003C0A2B">
      <w:pPr>
        <w:rPr>
          <w:rStyle w:val="HideTWBExt"/>
          <w:b/>
        </w:rPr>
      </w:pPr>
      <w:r>
        <w:rPr>
          <w:rStyle w:val="HideTWBExt"/>
        </w:rPr>
        <w:t>&lt;/Amend&gt;</w:t>
      </w:r>
    </w:p>
    <w:p w:rsidR="003C0A2B" w:rsidRPr="006374E5" w:rsidRDefault="00DA22D1" w:rsidP="003C0A2B">
      <w:pPr>
        <w:pStyle w:val="AmNumberTabs"/>
      </w:pPr>
      <w:r>
        <w:rPr>
          <w:rStyle w:val="HideTWBExt"/>
        </w:rPr>
        <w:t>&lt;Ame</w:t>
      </w:r>
      <w:r>
        <w:rPr>
          <w:rStyle w:val="HideTWBExt"/>
        </w:rPr>
        <w:t>nd&gt;</w:t>
      </w:r>
      <w:r>
        <w:t>Ændringsforslag</w:t>
      </w:r>
      <w:r>
        <w:tab/>
      </w:r>
      <w:r>
        <w:tab/>
      </w:r>
      <w:r>
        <w:rPr>
          <w:rStyle w:val="HideTWBExt"/>
        </w:rPr>
        <w:t>&lt;NumAm&gt;</w:t>
      </w:r>
      <w:r>
        <w:t>12</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9 – led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w:t>
            </w:r>
            <w:r>
              <w:tab/>
              <w:t>et forum for passende koordinering, samarbejde og udveksling af oplysninger og</w:t>
            </w:r>
          </w:p>
        </w:tc>
        <w:tc>
          <w:tcPr>
            <w:tcW w:w="4876" w:type="dxa"/>
            <w:hideMark/>
          </w:tcPr>
          <w:p w:rsidR="003C0A2B" w:rsidRPr="006374E5" w:rsidRDefault="00DA22D1" w:rsidP="00E6740D">
            <w:pPr>
              <w:pStyle w:val="Normal6"/>
              <w:rPr>
                <w:szCs w:val="24"/>
              </w:rPr>
            </w:pPr>
            <w:r>
              <w:t>—</w:t>
            </w:r>
            <w:r>
              <w:tab/>
              <w:t>et forum</w:t>
            </w:r>
            <w:r>
              <w:t xml:space="preserve"> for passende koordinering, samarbejde og udveksling af oplysninger</w:t>
            </w:r>
            <w:r>
              <w:rPr>
                <w:b/>
                <w:i/>
              </w:rPr>
              <w:t>, også med henblik på at fremskynde administrative procedurer såsom erklæringer, registreringer og tilladelser, samtidig med at de digitale værktøjers fulde potentiale udnyttes</w:t>
            </w:r>
            <w:r>
              <w:t xml:space="preserve"> og</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13</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9 – led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w:t>
            </w:r>
            <w:r>
              <w:tab/>
              <w:t xml:space="preserve">midlerne til rettidig adgang til og tilgængelighed af de oplysninger, der er </w:t>
            </w:r>
            <w:r>
              <w:t>nødvendige for en målrettet respons og passende markedsadfærd fra virksomhedernes og borgernes side under en krise.</w:t>
            </w:r>
          </w:p>
        </w:tc>
        <w:tc>
          <w:tcPr>
            <w:tcW w:w="4876" w:type="dxa"/>
            <w:hideMark/>
          </w:tcPr>
          <w:p w:rsidR="003C0A2B" w:rsidRPr="006374E5" w:rsidRDefault="00DA22D1" w:rsidP="00E6740D">
            <w:pPr>
              <w:pStyle w:val="Normal6"/>
              <w:rPr>
                <w:szCs w:val="24"/>
              </w:rPr>
            </w:pPr>
            <w:r>
              <w:t>—</w:t>
            </w:r>
            <w:r>
              <w:tab/>
              <w:t>midlerne til rettidig adgang til og tilgængelighed af de oplysninger, der er nødvendige for en målrettet respons og passende markedsadfærd</w:t>
            </w:r>
            <w:r>
              <w:t xml:space="preserve"> fra virksomhedernes, </w:t>
            </w:r>
            <w:r>
              <w:rPr>
                <w:b/>
                <w:bCs/>
                <w:i/>
                <w:iCs/>
              </w:rPr>
              <w:t>arbejdstagernes</w:t>
            </w:r>
            <w:r>
              <w:t xml:space="preserve"> og borgernes side under en krise.</w:t>
            </w:r>
          </w:p>
        </w:tc>
      </w:tr>
    </w:tbl>
    <w:p w:rsidR="003C0A2B" w:rsidRPr="006374E5" w:rsidRDefault="00DA22D1" w:rsidP="003C0A2B">
      <w:pPr>
        <w:rPr>
          <w:rStyle w:val="HideTWBExt"/>
        </w:rPr>
      </w:pPr>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14</w:t>
      </w:r>
      <w:r>
        <w:rPr>
          <w:rStyle w:val="HideTWBExt"/>
        </w:rPr>
        <w:t>&lt;/NumAm&gt;</w:t>
      </w:r>
    </w:p>
    <w:p w:rsidR="003C0A2B" w:rsidRPr="006374E5" w:rsidRDefault="00DA22D1" w:rsidP="003C0A2B">
      <w:pPr>
        <w:pStyle w:val="NormalBold12b"/>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trHeight w:hRule="exact" w:val="240"/>
          <w:jc w:val="center"/>
        </w:trPr>
        <w:tc>
          <w:tcPr>
            <w:tcW w:w="9752" w:type="dxa"/>
            <w:gridSpan w:val="2"/>
          </w:tcPr>
          <w:p w:rsidR="003C0A2B" w:rsidRPr="006374E5" w:rsidRDefault="003C0A2B" w:rsidP="00E6740D"/>
        </w:tc>
      </w:tr>
      <w:tr w:rsidR="00AF0ABA" w:rsidTr="00E6740D">
        <w:trPr>
          <w:trHeight w:val="240"/>
          <w:jc w:val="center"/>
        </w:trPr>
        <w:tc>
          <w:tcPr>
            <w:tcW w:w="4876" w:type="dxa"/>
          </w:tcPr>
          <w:p w:rsidR="003C0A2B" w:rsidRPr="006374E5" w:rsidRDefault="00DA22D1" w:rsidP="00E6740D">
            <w:pPr>
              <w:pStyle w:val="AmColumnHeading"/>
            </w:pPr>
            <w:r>
              <w:t>Kommissionens forslag</w:t>
            </w:r>
          </w:p>
        </w:tc>
        <w:tc>
          <w:tcPr>
            <w:tcW w:w="4876" w:type="dxa"/>
          </w:tcPr>
          <w:p w:rsidR="003C0A2B" w:rsidRPr="006374E5" w:rsidRDefault="00DA22D1" w:rsidP="00E6740D">
            <w:pPr>
              <w:pStyle w:val="AmColumnHeading"/>
            </w:pPr>
            <w:r>
              <w:t>Ændringsforslag</w:t>
            </w:r>
          </w:p>
        </w:tc>
      </w:tr>
      <w:tr w:rsidR="00AF0ABA" w:rsidTr="00E6740D">
        <w:trPr>
          <w:jc w:val="center"/>
        </w:trPr>
        <w:tc>
          <w:tcPr>
            <w:tcW w:w="4876" w:type="dxa"/>
          </w:tcPr>
          <w:p w:rsidR="003C0A2B" w:rsidRPr="006374E5" w:rsidRDefault="00DA22D1" w:rsidP="00E6740D">
            <w:pPr>
              <w:pStyle w:val="Normal6a"/>
            </w:pPr>
            <w:r>
              <w:t>(10)</w:t>
            </w:r>
            <w:r>
              <w:tab/>
              <w:t>Hvor det</w:t>
            </w:r>
            <w:r>
              <w:t xml:space="preserve"> er muligt, bør denne forordning gøre det muligt at foregribe hændelser og kriser på grundlag af igangværende analyser vedrørende strategisk vigtige områder af det indre markeds økonomi og Unionens løbende fremsynsarbejde.</w:t>
            </w:r>
          </w:p>
        </w:tc>
        <w:tc>
          <w:tcPr>
            <w:tcW w:w="4876" w:type="dxa"/>
          </w:tcPr>
          <w:p w:rsidR="003C0A2B" w:rsidRPr="006374E5" w:rsidRDefault="00DA22D1" w:rsidP="00E6740D">
            <w:pPr>
              <w:pStyle w:val="Normal6a"/>
            </w:pPr>
            <w:r>
              <w:t>(10)</w:t>
            </w:r>
            <w:r>
              <w:tab/>
              <w:t>Hvor det er muligt, bør denn</w:t>
            </w:r>
            <w:r>
              <w:t xml:space="preserve">e forordning gøre det muligt at foregribe </w:t>
            </w:r>
            <w:r>
              <w:rPr>
                <w:b/>
                <w:i/>
              </w:rPr>
              <w:t xml:space="preserve">og forebygge </w:t>
            </w:r>
            <w:r>
              <w:t>hændelser og kriser på grundlag af igangværende analyser vedrørende strategisk vigtige områder af det indre markeds økonomi og Unionens løbende fremsynsarbejde.</w:t>
            </w:r>
          </w:p>
        </w:tc>
      </w:tr>
    </w:tbl>
    <w:p w:rsidR="003C0A2B" w:rsidRPr="006374E5" w:rsidRDefault="00DA22D1" w:rsidP="003C0A2B">
      <w:pPr>
        <w:rPr>
          <w:rStyle w:val="HideTWBExt"/>
          <w:rFonts w:ascii="Times New Roman" w:hAnsi="Times New Roman" w:cs="Times New Roman"/>
          <w:noProof w:val="0"/>
          <w:vanish w:val="0"/>
          <w:color w:val="auto"/>
          <w:sz w:val="24"/>
        </w:rPr>
      </w:pPr>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15</w:t>
      </w:r>
      <w:r>
        <w:rPr>
          <w:rStyle w:val="HideTWBExt"/>
        </w:rPr>
        <w:t>&lt;/NumAm&gt;</w:t>
      </w:r>
    </w:p>
    <w:p w:rsidR="003C0A2B" w:rsidRPr="006374E5" w:rsidRDefault="00DA22D1" w:rsidP="003C0A2B">
      <w:pPr>
        <w:pStyle w:val="NormalBold12b"/>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trHeight w:hRule="exact" w:val="240"/>
          <w:jc w:val="center"/>
        </w:trPr>
        <w:tc>
          <w:tcPr>
            <w:tcW w:w="9752" w:type="dxa"/>
            <w:gridSpan w:val="2"/>
          </w:tcPr>
          <w:p w:rsidR="003C0A2B" w:rsidRPr="006374E5" w:rsidRDefault="003C0A2B" w:rsidP="00E6740D"/>
        </w:tc>
      </w:tr>
      <w:tr w:rsidR="00AF0ABA" w:rsidTr="00E6740D">
        <w:trPr>
          <w:trHeight w:val="240"/>
          <w:jc w:val="center"/>
        </w:trPr>
        <w:tc>
          <w:tcPr>
            <w:tcW w:w="4876" w:type="dxa"/>
          </w:tcPr>
          <w:p w:rsidR="003C0A2B" w:rsidRPr="006374E5" w:rsidRDefault="00DA22D1" w:rsidP="00E6740D">
            <w:pPr>
              <w:pStyle w:val="AmColumnHeading"/>
            </w:pPr>
            <w:r>
              <w:t>Kommissionens forslag</w:t>
            </w:r>
          </w:p>
        </w:tc>
        <w:tc>
          <w:tcPr>
            <w:tcW w:w="4876" w:type="dxa"/>
          </w:tcPr>
          <w:p w:rsidR="003C0A2B" w:rsidRPr="006374E5" w:rsidRDefault="00DA22D1" w:rsidP="00E6740D">
            <w:pPr>
              <w:pStyle w:val="AmColumnHeading"/>
            </w:pPr>
            <w:r>
              <w:t>Ændringsforslag</w:t>
            </w:r>
          </w:p>
        </w:tc>
      </w:tr>
      <w:tr w:rsidR="00AF0ABA" w:rsidTr="00E6740D">
        <w:trPr>
          <w:jc w:val="center"/>
        </w:trPr>
        <w:tc>
          <w:tcPr>
            <w:tcW w:w="4876" w:type="dxa"/>
          </w:tcPr>
          <w:p w:rsidR="003C0A2B" w:rsidRPr="006374E5" w:rsidRDefault="00DA22D1" w:rsidP="00E6740D">
            <w:pPr>
              <w:pStyle w:val="Normal6a"/>
            </w:pPr>
            <w:r>
              <w:t>(17)</w:t>
            </w:r>
            <w:r>
              <w:tab/>
              <w:t xml:space="preserve">I artikel 21 i TEUF fastsættes det, at enhver unionsborger har ret til at færdes og opholde sig frit på </w:t>
            </w:r>
            <w:r>
              <w:t>medlemsstaternes område med de begrænsninger og på de betingelser, der er fastsat i traktaterne og i gennemførelsesbestemmelserne hertil. De detaljerede betingelser og begrænsninger er fastsat i direktiv 2004/38/EF. I dette direktiv fastsættes de generelle</w:t>
            </w:r>
            <w:r>
              <w:t xml:space="preserve"> principper, der gælder for disse begrænsninger, og de grunde, der kan anvendes som begrundelse for sådanne foranstaltninger. </w:t>
            </w:r>
            <w:r>
              <w:rPr>
                <w:b/>
                <w:i/>
              </w:rPr>
              <w:t>Disse grunde er hensynet til</w:t>
            </w:r>
            <w:r>
              <w:t xml:space="preserve"> den </w:t>
            </w:r>
            <w:r>
              <w:rPr>
                <w:b/>
                <w:i/>
              </w:rPr>
              <w:t>offentlige orden</w:t>
            </w:r>
            <w:r>
              <w:t xml:space="preserve">, </w:t>
            </w:r>
            <w:r>
              <w:rPr>
                <w:b/>
                <w:i/>
              </w:rPr>
              <w:t>den offentlige sikkerhed</w:t>
            </w:r>
            <w:r>
              <w:t xml:space="preserve"> eller </w:t>
            </w:r>
            <w:r>
              <w:rPr>
                <w:b/>
                <w:i/>
              </w:rPr>
              <w:t>folkesundheden.</w:t>
            </w:r>
            <w:r>
              <w:t xml:space="preserve"> </w:t>
            </w:r>
            <w:r>
              <w:rPr>
                <w:b/>
                <w:i/>
              </w:rPr>
              <w:lastRenderedPageBreak/>
              <w:t>I denne forbindelse kan begrænsn</w:t>
            </w:r>
            <w:r>
              <w:rPr>
                <w:b/>
                <w:i/>
              </w:rPr>
              <w:t>inger af den frie bevægelighed begrundes</w:t>
            </w:r>
            <w:r>
              <w:t xml:space="preserve">, </w:t>
            </w:r>
            <w:r>
              <w:rPr>
                <w:b/>
                <w:i/>
              </w:rPr>
              <w:t>hvis de er forholdsmæssige</w:t>
            </w:r>
            <w:r>
              <w:t xml:space="preserve"> og </w:t>
            </w:r>
            <w:r>
              <w:rPr>
                <w:b/>
                <w:i/>
              </w:rPr>
              <w:t>ikkediskriminerende</w:t>
            </w:r>
            <w:r>
              <w:t>. Denne forordning har ikke til formål at fastsætte yderligere grunde til begrænsning af retten til fri bevægelighed for personer ud over dem, der er fastsat i kapit</w:t>
            </w:r>
            <w:r>
              <w:t>el VI i direktiv 2004/38/EF.</w:t>
            </w:r>
          </w:p>
        </w:tc>
        <w:tc>
          <w:tcPr>
            <w:tcW w:w="4876" w:type="dxa"/>
          </w:tcPr>
          <w:p w:rsidR="003C0A2B" w:rsidRPr="006374E5" w:rsidRDefault="00DA22D1" w:rsidP="00E6740D">
            <w:pPr>
              <w:pStyle w:val="Normal6a"/>
            </w:pPr>
            <w:r>
              <w:lastRenderedPageBreak/>
              <w:t>(17)</w:t>
            </w:r>
            <w:r>
              <w:tab/>
              <w:t>I artikel 21 i TEUF fastsættes det, at enhver unionsborger har ret til at færdes og opholde sig frit på medlemsstaternes område med de begrænsninger og på de betingelser, der er fastsat i traktaterne og i gennemførelsesbes</w:t>
            </w:r>
            <w:r>
              <w:t>temmelserne hertil. De detaljerede betingelser og begrænsninger er fastsat i direktiv 2004/38/EF. I dette direktiv fastsættes de generelle principper, der gælder for disse begrænsninger, og de grunde, der kan anvendes som begrundelse for sådanne foranstalt</w:t>
            </w:r>
            <w:r>
              <w:t xml:space="preserve">ninger. </w:t>
            </w:r>
            <w:r>
              <w:rPr>
                <w:b/>
                <w:i/>
              </w:rPr>
              <w:t xml:space="preserve">Medlemsstaterne skal afholde sig fra at indføre direkte diskriminerende </w:t>
            </w:r>
            <w:r>
              <w:rPr>
                <w:b/>
                <w:i/>
              </w:rPr>
              <w:lastRenderedPageBreak/>
              <w:t>restriktioner for</w:t>
            </w:r>
            <w:r>
              <w:t xml:space="preserve"> den </w:t>
            </w:r>
            <w:r>
              <w:rPr>
                <w:b/>
                <w:i/>
              </w:rPr>
              <w:t>frie bevægelighed for Unionens borgere og deres familiemedlemmer</w:t>
            </w:r>
            <w:r>
              <w:t xml:space="preserve">, </w:t>
            </w:r>
            <w:r>
              <w:rPr>
                <w:b/>
                <w:i/>
              </w:rPr>
              <w:t>for tredjelandsstatsborgere med lovligt ophold</w:t>
            </w:r>
            <w:r>
              <w:t xml:space="preserve"> eller </w:t>
            </w:r>
            <w:r>
              <w:rPr>
                <w:b/>
                <w:i/>
              </w:rPr>
              <w:t>lovlig bopæl på en medlemsstats omr</w:t>
            </w:r>
            <w:r>
              <w:rPr>
                <w:b/>
                <w:i/>
              </w:rPr>
              <w:t>åde og for flygtninge samt personer, som er under international beskyttelse</w:t>
            </w:r>
            <w:r>
              <w:t xml:space="preserve">, </w:t>
            </w:r>
            <w:r>
              <w:rPr>
                <w:b/>
                <w:i/>
              </w:rPr>
              <w:t>med begrundelse i hensynet til den offentlige orden, den offentlige sikkerhed</w:t>
            </w:r>
            <w:r>
              <w:t xml:space="preserve"> og </w:t>
            </w:r>
            <w:r>
              <w:rPr>
                <w:b/>
                <w:i/>
              </w:rPr>
              <w:t>folkesundheden</w:t>
            </w:r>
            <w:r>
              <w:t>. Denne forordning har ikke til formål at fastsætte yderligere grunde til begrænsnin</w:t>
            </w:r>
            <w:r>
              <w:t>g af retten til fri bevægelighed for personer ud over dem, der er fastsat i kapitel VI i direktiv 2004/38/EF.</w:t>
            </w:r>
          </w:p>
        </w:tc>
      </w:tr>
    </w:tbl>
    <w:p w:rsidR="003C0A2B" w:rsidRPr="006374E5" w:rsidRDefault="00DA22D1" w:rsidP="003C0A2B">
      <w:pPr>
        <w:rPr>
          <w:rStyle w:val="HideTWBExt"/>
          <w:rFonts w:ascii="Times New Roman" w:hAnsi="Times New Roman" w:cs="Times New Roman"/>
          <w:noProof w:val="0"/>
          <w:vanish w:val="0"/>
          <w:color w:val="auto"/>
          <w:sz w:val="24"/>
        </w:rPr>
      </w:pPr>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16</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w:t>
            </w:r>
            <w:r>
              <w:t xml:space="preserve">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(18)</w:t>
            </w:r>
            <w:r>
              <w:tab/>
              <w:t xml:space="preserve">For så vidt angår foranstaltningerne til </w:t>
            </w:r>
            <w:r>
              <w:rPr>
                <w:b/>
                <w:i/>
              </w:rPr>
              <w:t>genetablering</w:t>
            </w:r>
            <w:r>
              <w:t xml:space="preserve"> og fremme af den frie bevægelighed for personer og alle andre foranstaltninger, der påvirker den frie bevægelighed for personer, og som er fastsat i denne forordning, er de baseret på artikel 21 i TEUF og supplerer direktiv 2004/38/EF, uden at det berører</w:t>
            </w:r>
            <w:r>
              <w:t xml:space="preserve"> dets anvendelse i nødsituationer for det indre marked. Sådanne foranstaltninger bør ikke føre til, at der gives tilladelse til eller begrundes begrænsninger af den frie bevægelighed i strid med traktaterne eller andre bestemmelser i EU-retten.</w:t>
            </w:r>
          </w:p>
        </w:tc>
        <w:tc>
          <w:tcPr>
            <w:tcW w:w="4876" w:type="dxa"/>
            <w:hideMark/>
          </w:tcPr>
          <w:p w:rsidR="003C0A2B" w:rsidRPr="006374E5" w:rsidRDefault="00DA22D1" w:rsidP="00E6740D">
            <w:pPr>
              <w:pStyle w:val="Normal6"/>
              <w:rPr>
                <w:szCs w:val="24"/>
              </w:rPr>
            </w:pPr>
            <w:r>
              <w:t>(18)</w:t>
            </w:r>
            <w:r>
              <w:tab/>
              <w:t>For så</w:t>
            </w:r>
            <w:r>
              <w:t xml:space="preserve"> vidt angår foranstaltningerne til </w:t>
            </w:r>
            <w:r>
              <w:rPr>
                <w:b/>
                <w:i/>
              </w:rPr>
              <w:t>sikring</w:t>
            </w:r>
            <w:r>
              <w:t xml:space="preserve"> og fremme af den frie bevægelighed for personer og alle andre foranstaltninger, der påvirker den frie bevægelighed for personer, og som er fastsat i denne forordning, er de baseret på artikel 21 i TEUF og supplere</w:t>
            </w:r>
            <w:r>
              <w:t>r direktiv 2004/38/EF, uden at det berører dets anvendelse i nødsituationer for det indre marked. Sådanne foranstaltninger bør ikke føre til, at der gives tilladelse til eller begrundes begrænsninger af den frie bevægelighed i strid med traktaterne eller a</w:t>
            </w:r>
            <w:r>
              <w:t>ndre bestemmelser i EU-retten.</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17</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(19)</w:t>
            </w:r>
            <w:r>
              <w:tab/>
              <w:t xml:space="preserve">I artikel 45 i TEUF fastsættes </w:t>
            </w:r>
            <w:r>
              <w:lastRenderedPageBreak/>
              <w:t xml:space="preserve">arbejdstagernes </w:t>
            </w:r>
            <w:r>
              <w:t xml:space="preserve">ret til fri bevægelighed med de restriktioner og på de betingelser, der er fastsat i traktaterne og i gennemførelsesbestemmelserne hertil. Denne forordning indeholder bestemmelser, der supplerer de eksisterende foranstaltninger for at </w:t>
            </w:r>
            <w:r>
              <w:rPr>
                <w:b/>
                <w:i/>
              </w:rPr>
              <w:t>styrke</w:t>
            </w:r>
            <w:r>
              <w:t xml:space="preserve"> den frie bevæg</w:t>
            </w:r>
            <w:r>
              <w:t xml:space="preserve">elighed for personer, øge gennemsigtigheden og yde administrativ bistand i nødsituationer </w:t>
            </w:r>
            <w:r>
              <w:rPr>
                <w:b/>
                <w:i/>
              </w:rPr>
              <w:t>forå</w:t>
            </w:r>
            <w:r>
              <w:t xml:space="preserve"> det indre marked. Sådanne foranstaltninger </w:t>
            </w:r>
            <w:r>
              <w:rPr>
                <w:b/>
                <w:i/>
              </w:rPr>
              <w:t>omfatter</w:t>
            </w:r>
            <w:r>
              <w:t xml:space="preserve"> oprettelse og tilrådighedsstillelse af de centrale kontaktpunkter for arbejdstagere og deres repræsentanter i</w:t>
            </w:r>
            <w:r>
              <w:t xml:space="preserve"> medlemsstaterne og på EU-plan i overvågnings- og nødsituationstilstanden for det indre marked i henhold til denne forordning.</w:t>
            </w:r>
          </w:p>
        </w:tc>
        <w:tc>
          <w:tcPr>
            <w:tcW w:w="4876" w:type="dxa"/>
            <w:hideMark/>
          </w:tcPr>
          <w:p w:rsidR="003C0A2B" w:rsidRPr="006374E5" w:rsidRDefault="00DA22D1" w:rsidP="00E6740D">
            <w:pPr>
              <w:pStyle w:val="Normal6"/>
              <w:rPr>
                <w:szCs w:val="24"/>
              </w:rPr>
            </w:pPr>
            <w:r>
              <w:lastRenderedPageBreak/>
              <w:t>(19)</w:t>
            </w:r>
            <w:r>
              <w:tab/>
              <w:t xml:space="preserve">I artikel 45 i TEUF fastsættes </w:t>
            </w:r>
            <w:r>
              <w:lastRenderedPageBreak/>
              <w:t>arbejdstagernes ret til fri bevægelighed med de restriktioner og på de betingelser, der er fa</w:t>
            </w:r>
            <w:r>
              <w:t xml:space="preserve">stsat i traktaterne og i gennemførelsesbestemmelserne hertil. Denne forordning indeholder bestemmelser, der supplerer de eksisterende foranstaltninger for at </w:t>
            </w:r>
            <w:r>
              <w:rPr>
                <w:b/>
                <w:i/>
              </w:rPr>
              <w:t>sikre og lette</w:t>
            </w:r>
            <w:r>
              <w:t xml:space="preserve"> den frie bevægelighed for personer, </w:t>
            </w:r>
            <w:r>
              <w:rPr>
                <w:b/>
                <w:i/>
              </w:rPr>
              <w:t>herunder arbejdstagere, under sikre forhold, fo</w:t>
            </w:r>
            <w:r>
              <w:rPr>
                <w:b/>
                <w:i/>
              </w:rPr>
              <w:t xml:space="preserve">r at </w:t>
            </w:r>
            <w:r>
              <w:t>øge gennemsigtigheden</w:t>
            </w:r>
            <w:r>
              <w:rPr>
                <w:b/>
                <w:i/>
              </w:rPr>
              <w:t>, give passende</w:t>
            </w:r>
            <w:r>
              <w:t xml:space="preserve"> og </w:t>
            </w:r>
            <w:r>
              <w:rPr>
                <w:b/>
                <w:i/>
              </w:rPr>
              <w:t xml:space="preserve">rettidige oplysninger samt </w:t>
            </w:r>
            <w:r>
              <w:t xml:space="preserve">yde administrativ bistand i nødsituationer </w:t>
            </w:r>
            <w:r>
              <w:rPr>
                <w:b/>
                <w:i/>
              </w:rPr>
              <w:t>for</w:t>
            </w:r>
            <w:r>
              <w:t xml:space="preserve"> det indre marked. Sådanne foranstaltninger </w:t>
            </w:r>
            <w:r>
              <w:rPr>
                <w:b/>
                <w:i/>
              </w:rPr>
              <w:t>bør sikre, at væsentlige og kriserelevante arbejdstagere, der udøver deres ret til fri bevægel</w:t>
            </w:r>
            <w:r>
              <w:rPr>
                <w:b/>
                <w:i/>
              </w:rPr>
              <w:t>ighed i en nødsituation for det indre marked, sikres det samme beskyttelsesniveau med hensyn til sundhed og sikkerhed som lokale arbejdstagere, der er aktive i den relevante sektor i værtsmedlemsstaten. De bør også omfatte</w:t>
            </w:r>
            <w:r>
              <w:t xml:space="preserve"> oprettelse og tilrådighedsstillel</w:t>
            </w:r>
            <w:r>
              <w:t xml:space="preserve">se af de centrale kontaktpunkter for arbejdstagere og deres repræsentanter i medlemsstaterne og på EU-plan i overvågnings- og nødsituationstilstanden for det indre marked i henhold til denne forordning. </w:t>
            </w:r>
            <w:r>
              <w:rPr>
                <w:b/>
                <w:i/>
              </w:rPr>
              <w:t>Kommissionen og medlemsstaterne opfordres til at anve</w:t>
            </w:r>
            <w:r>
              <w:rPr>
                <w:b/>
                <w:i/>
              </w:rPr>
              <w:t>nde de eksisterende strukturer til at operere disse kontaktpunkter. Kontaktpunkterne bør også være aktive uden for nødsituationstilstanden og lette kommunikationen mellem medlemsstaterne og med den rådgivende gruppe. De oplysninger, som kontaktpunkterne st</w:t>
            </w:r>
            <w:r>
              <w:rPr>
                <w:b/>
                <w:i/>
              </w:rPr>
              <w:t>iller til rådighed, bør være klare, forståelige og tilgængelige for personer med handicap.</w:t>
            </w:r>
          </w:p>
        </w:tc>
      </w:tr>
    </w:tbl>
    <w:p w:rsidR="003C0A2B" w:rsidRPr="006374E5" w:rsidRDefault="00DA22D1" w:rsidP="003C0A2B">
      <w:pPr>
        <w:rPr>
          <w:rStyle w:val="HideTWBExt"/>
          <w:b/>
        </w:rPr>
      </w:pPr>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18</w:t>
      </w:r>
      <w:r>
        <w:rPr>
          <w:rStyle w:val="HideTWBExt"/>
        </w:rPr>
        <w:t>&lt;/NumAm&gt;</w:t>
      </w:r>
    </w:p>
    <w:p w:rsidR="003C0A2B" w:rsidRPr="006374E5" w:rsidRDefault="00DA22D1" w:rsidP="003C0A2B">
      <w:pPr>
        <w:pStyle w:val="NormalBold12b"/>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19 a (ny)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trHeight w:hRule="exact" w:val="240"/>
          <w:jc w:val="center"/>
        </w:trPr>
        <w:tc>
          <w:tcPr>
            <w:tcW w:w="9752" w:type="dxa"/>
            <w:gridSpan w:val="2"/>
          </w:tcPr>
          <w:p w:rsidR="003C0A2B" w:rsidRPr="006374E5" w:rsidRDefault="003C0A2B" w:rsidP="00E6740D"/>
        </w:tc>
      </w:tr>
      <w:tr w:rsidR="00AF0ABA" w:rsidTr="00E6740D">
        <w:trPr>
          <w:trHeight w:val="240"/>
          <w:jc w:val="center"/>
        </w:trPr>
        <w:tc>
          <w:tcPr>
            <w:tcW w:w="4876" w:type="dxa"/>
          </w:tcPr>
          <w:p w:rsidR="003C0A2B" w:rsidRPr="006374E5" w:rsidRDefault="00DA22D1" w:rsidP="00E6740D">
            <w:pPr>
              <w:pStyle w:val="AmColumnHeading"/>
            </w:pPr>
            <w:r>
              <w:lastRenderedPageBreak/>
              <w:t>Kommissionens forslag</w:t>
            </w:r>
          </w:p>
        </w:tc>
        <w:tc>
          <w:tcPr>
            <w:tcW w:w="4876" w:type="dxa"/>
          </w:tcPr>
          <w:p w:rsidR="003C0A2B" w:rsidRPr="006374E5" w:rsidRDefault="00DA22D1" w:rsidP="00E6740D">
            <w:pPr>
              <w:pStyle w:val="AmColumnHeading"/>
            </w:pPr>
            <w:r>
              <w:t>Ændringsforslag</w:t>
            </w:r>
          </w:p>
        </w:tc>
      </w:tr>
      <w:tr w:rsidR="00AF0ABA" w:rsidTr="00E6740D">
        <w:trPr>
          <w:jc w:val="center"/>
        </w:trPr>
        <w:tc>
          <w:tcPr>
            <w:tcW w:w="4876" w:type="dxa"/>
          </w:tcPr>
          <w:p w:rsidR="003C0A2B" w:rsidRPr="006374E5" w:rsidRDefault="003C0A2B" w:rsidP="00E6740D">
            <w:pPr>
              <w:pStyle w:val="Normal6a"/>
            </w:pPr>
          </w:p>
        </w:tc>
        <w:tc>
          <w:tcPr>
            <w:tcW w:w="4876" w:type="dxa"/>
          </w:tcPr>
          <w:p w:rsidR="003C0A2B" w:rsidRPr="006374E5" w:rsidRDefault="00DA22D1" w:rsidP="00E6740D">
            <w:pPr>
              <w:pStyle w:val="Normal6a"/>
            </w:pPr>
            <w:r>
              <w:rPr>
                <w:b/>
                <w:i/>
              </w:rPr>
              <w:t>(19a)</w:t>
            </w:r>
            <w:r>
              <w:tab/>
            </w:r>
            <w:r>
              <w:rPr>
                <w:b/>
                <w:i/>
              </w:rPr>
              <w:t>For at lette grænseoverskridende foranstaltninger til at bevare eller styrke arbejdskraftens frie bevægelighed bør Kommissionen drage fuld nytte af digitale værktøjer, der kan lette grænseoverskridende forvaltning og koordinering af</w:t>
            </w:r>
            <w:r>
              <w:rPr>
                <w:b/>
                <w:i/>
              </w:rPr>
              <w:t xml:space="preserve"> socialsikringsrettigheder og -forpligtelser.</w:t>
            </w:r>
            <w:r>
              <w:t xml:space="preserve"> </w:t>
            </w:r>
            <w:r>
              <w:rPr>
                <w:b/>
                <w:i/>
              </w:rPr>
              <w:t>Der bør lægges særlig vægt på de mest berørte arbejdstagere, navnlig mobile arbejdstagere, herunder grænsearbejdere og -pendlere samt arbejdstagere, der er i stand til at arbejde på afstand, men som skal gøre d</w:t>
            </w:r>
            <w:r>
              <w:rPr>
                <w:b/>
                <w:i/>
              </w:rPr>
              <w:t>et fra en bestemt medlemsstat.</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19</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(20)</w:t>
            </w:r>
            <w:r>
              <w:tab/>
            </w:r>
            <w:r>
              <w:rPr>
                <w:b/>
                <w:i/>
              </w:rPr>
              <w:t>Hvis</w:t>
            </w:r>
            <w:r>
              <w:t xml:space="preserve"> medlemsstaterne </w:t>
            </w:r>
            <w:r>
              <w:rPr>
                <w:b/>
                <w:i/>
              </w:rPr>
              <w:t>vedtager</w:t>
            </w:r>
            <w:r>
              <w:t xml:space="preserve"> foranstaltninger, der påvirker den frie bevægelighed for varer eller personer</w:t>
            </w:r>
            <w:r>
              <w:rPr>
                <w:b/>
                <w:i/>
              </w:rPr>
              <w:t>, varer</w:t>
            </w:r>
            <w:r>
              <w:t xml:space="preserve"> eller den frie udveksling af tjenesteydelser</w:t>
            </w:r>
            <w:r>
              <w:rPr>
                <w:b/>
                <w:i/>
              </w:rPr>
              <w:t xml:space="preserve"> som forberedelse på</w:t>
            </w:r>
            <w:r>
              <w:t xml:space="preserve"> og </w:t>
            </w:r>
            <w:r>
              <w:rPr>
                <w:b/>
                <w:i/>
              </w:rPr>
              <w:t>under nødsituationer for</w:t>
            </w:r>
            <w:r>
              <w:t xml:space="preserve"> det </w:t>
            </w:r>
            <w:r>
              <w:rPr>
                <w:b/>
                <w:i/>
              </w:rPr>
              <w:t>indre marked,</w:t>
            </w:r>
            <w:r>
              <w:t xml:space="preserve"> bør </w:t>
            </w:r>
            <w:r>
              <w:rPr>
                <w:b/>
                <w:i/>
              </w:rPr>
              <w:t>de</w:t>
            </w:r>
            <w:r>
              <w:t xml:space="preserve"> begrænse sådanne foranstaltninger til, hvad der er n</w:t>
            </w:r>
            <w:r>
              <w:t xml:space="preserve">ødvendigt, og fjerne dem, så snart situationen tillader det. Sådanne foranstaltninger bør overholde </w:t>
            </w:r>
            <w:r>
              <w:rPr>
                <w:b/>
                <w:i/>
              </w:rPr>
              <w:t>principperne om proportionalitet og ikke-forskelsbehandling</w:t>
            </w:r>
            <w:r>
              <w:t xml:space="preserve"> og bør tage hensyn til den særlige situation i grænseregioner.</w:t>
            </w:r>
          </w:p>
        </w:tc>
        <w:tc>
          <w:tcPr>
            <w:tcW w:w="4876" w:type="dxa"/>
            <w:hideMark/>
          </w:tcPr>
          <w:p w:rsidR="003C0A2B" w:rsidRPr="006374E5" w:rsidRDefault="00DA22D1" w:rsidP="00E6740D">
            <w:pPr>
              <w:pStyle w:val="Normal6"/>
              <w:rPr>
                <w:szCs w:val="24"/>
              </w:rPr>
            </w:pPr>
            <w:r>
              <w:t>(20)</w:t>
            </w:r>
            <w:r>
              <w:tab/>
            </w:r>
            <w:r>
              <w:rPr>
                <w:b/>
                <w:i/>
              </w:rPr>
              <w:t>Borgere, arbejdstagere, forb</w:t>
            </w:r>
            <w:r>
              <w:rPr>
                <w:b/>
                <w:i/>
              </w:rPr>
              <w:t>rugere og virksomheder er afhængige af et velfungerende indre marked og af den frie bevægelighed under sikre forhold, også i krisetider.</w:t>
            </w:r>
            <w:r>
              <w:t xml:space="preserve"> Medlemsstaterne </w:t>
            </w:r>
            <w:r>
              <w:rPr>
                <w:b/>
                <w:i/>
              </w:rPr>
              <w:t>bør afholde sig fra at vedtage</w:t>
            </w:r>
            <w:r>
              <w:t xml:space="preserve"> foranstaltninger, der påvirker den frie bevægelighed for varer eller per</w:t>
            </w:r>
            <w:r>
              <w:t>soner eller den frie udveksling af tjenesteydelser</w:t>
            </w:r>
            <w:r>
              <w:rPr>
                <w:b/>
                <w:i/>
              </w:rPr>
              <w:t>, medmindre foranstaltningerne er begrundet i legitime hensyn til den offentlige orden, den offentlige sikkerhed eller folkesundheden</w:t>
            </w:r>
            <w:r>
              <w:t xml:space="preserve"> og </w:t>
            </w:r>
            <w:r>
              <w:rPr>
                <w:b/>
                <w:i/>
              </w:rPr>
              <w:t>er forholdsmæssige og står i et rimeligt forhold til</w:t>
            </w:r>
            <w:r>
              <w:t xml:space="preserve"> det </w:t>
            </w:r>
            <w:r>
              <w:rPr>
                <w:b/>
                <w:i/>
              </w:rPr>
              <w:t>tilstræbte m</w:t>
            </w:r>
            <w:r>
              <w:rPr>
                <w:b/>
                <w:i/>
              </w:rPr>
              <w:t>ål. Alle sådanne foranstaltninger bør derfor være forholdsmæssige og ikkediskriminerende. Medlemsstaterne bør</w:t>
            </w:r>
            <w:r>
              <w:t xml:space="preserve"> begrænse sådanne foranstaltninger til, hvad der er nødvendigt, og fjerne dem, så snart situationen tillader det. Sådanne foranstaltninger bør over</w:t>
            </w:r>
            <w:r>
              <w:t xml:space="preserve">holde </w:t>
            </w:r>
            <w:r>
              <w:rPr>
                <w:b/>
                <w:i/>
              </w:rPr>
              <w:t>traktaterne, EU-retten og internationale forpligtelser vedrørende grundlæggende menneskerettigheder</w:t>
            </w:r>
            <w:r>
              <w:t xml:space="preserve"> og </w:t>
            </w:r>
            <w:r>
              <w:lastRenderedPageBreak/>
              <w:t>bør tage hensyn til den særlige situation i grænseregioner</w:t>
            </w:r>
            <w:r>
              <w:rPr>
                <w:b/>
                <w:i/>
              </w:rPr>
              <w:t xml:space="preserve"> og i sektorer, der er særligt afhængige af mobile arbejdstagere, herunder grænsearbejder</w:t>
            </w:r>
            <w:r>
              <w:rPr>
                <w:b/>
                <w:i/>
              </w:rPr>
              <w:t>e og -pendlere.</w:t>
            </w:r>
            <w:r>
              <w:t xml:space="preserve"> </w:t>
            </w:r>
            <w:r>
              <w:rPr>
                <w:b/>
                <w:i/>
              </w:rPr>
              <w:t>Enhver foranstaltning, der begrænser den frie bevægelighed, bør ikke længere have retsvirkning, når nødtilstanden er deaktiveret.</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20</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20 a (ny)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rPr>
                <w:szCs w:val="24"/>
              </w:rPr>
            </w:pPr>
            <w:r>
              <w:rPr>
                <w:b/>
                <w:i/>
              </w:rPr>
              <w:t>(20a)</w:t>
            </w:r>
            <w:r>
              <w:rPr>
                <w:b/>
                <w:i/>
              </w:rPr>
              <w:tab/>
              <w:t xml:space="preserve">I lyset af digitaliseringen og dens grænseoverskridende indvirkning på det indre marked og EU's arbejdsmarked skal der tages særligt hensyn til ordninger for telearbejde. </w:t>
            </w:r>
            <w:r>
              <w:rPr>
                <w:b/>
                <w:i/>
              </w:rPr>
              <w:t xml:space="preserve">Navnlig i tilfælde af begrænsninger af arbejdskraftens frie bevægelighed bør der lægges særlig vægt på spørgsmålet om, hvorvidt mobile arbejdstagere, herunder grænsearbejdere og -pendlere, er i stand til at udføre deres opgaver på afstand eller ej. For at </w:t>
            </w:r>
            <w:r>
              <w:rPr>
                <w:b/>
                <w:i/>
              </w:rPr>
              <w:t>undgå forskelsbehandling bør arbejdstagere, for hvem det ikke er muligt at udføre grænseoverskridende telearbejde, f.eks. på grund af arten af deres opgaver og ansvar, ikke udsættes for unødige begrænsninger af deres frie bevægelighed, så længe deres sundh</w:t>
            </w:r>
            <w:r>
              <w:rPr>
                <w:b/>
                <w:i/>
              </w:rPr>
              <w:t xml:space="preserve">ed og sikkerhed kan sikres. For at sikre ligebehandling af arbejdstagerne, når de udøver deres ret til fri bevægelighed, bør medlemsstaterne give mobile arbejdstagere og grænsearbejdere lov til at fortsætte med at krydse medlemsstaternes grænser for at nå </w:t>
            </w:r>
            <w:r>
              <w:rPr>
                <w:b/>
                <w:i/>
              </w:rPr>
              <w:t>til deres arbejdsplads, hvis arbejdet i den pågældende sektor stadig er tilladt i den modtagende medlemsstat.</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21</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w:t>
            </w:r>
            <w:r>
              <w:t xml:space="preserve">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(21)</w:t>
            </w:r>
            <w:r>
              <w:tab/>
              <w:t xml:space="preserve">Aktiveringen af nødsituationstilstanden for det indre marked bør udløse en forpligtelse for medlemsstaterne til at meddele </w:t>
            </w:r>
            <w:r>
              <w:rPr>
                <w:b/>
                <w:i/>
              </w:rPr>
              <w:t>kriserelevante restriktioner</w:t>
            </w:r>
            <w:r>
              <w:t xml:space="preserve"> for den frie bevægelighed.</w:t>
            </w:r>
          </w:p>
        </w:tc>
        <w:tc>
          <w:tcPr>
            <w:tcW w:w="4876" w:type="dxa"/>
            <w:hideMark/>
          </w:tcPr>
          <w:p w:rsidR="003C0A2B" w:rsidRPr="006374E5" w:rsidRDefault="00DA22D1" w:rsidP="00E6740D">
            <w:pPr>
              <w:pStyle w:val="Normal6"/>
              <w:rPr>
                <w:szCs w:val="24"/>
              </w:rPr>
            </w:pPr>
            <w:r>
              <w:t>(21)</w:t>
            </w:r>
            <w:r>
              <w:tab/>
              <w:t>Aktiveringen af nødsituationstilstanden f</w:t>
            </w:r>
            <w:r>
              <w:t xml:space="preserve">or det indre marked bør udløse en forpligtelse for medlemsstaterne til at meddele </w:t>
            </w:r>
            <w:r>
              <w:rPr>
                <w:b/>
                <w:i/>
              </w:rPr>
              <w:t>enhver kriserelevant restriktion</w:t>
            </w:r>
            <w:r>
              <w:t xml:space="preserve"> for den frie bevægelighed</w:t>
            </w:r>
            <w:r>
              <w:rPr>
                <w:b/>
                <w:i/>
              </w:rPr>
              <w:t>, uden unødig forsinkelse, herunder en begrundelse for nødvendigheden og proportionaliteten heraf.</w:t>
            </w:r>
            <w:r>
              <w:t xml:space="preserve"> </w:t>
            </w:r>
            <w:r>
              <w:rPr>
                <w:b/>
                <w:i/>
              </w:rPr>
              <w:t xml:space="preserve">Arbejdsmarkedets </w:t>
            </w:r>
            <w:r>
              <w:rPr>
                <w:b/>
                <w:i/>
              </w:rPr>
              <w:t xml:space="preserve">parter bør høres om enhver nødforanstaltning, der har indvirkning på arbejdsmarkedet. Et tæt samarbejde med arbejdsmarkedets parter kan desuden lette gennemførelsen af sådanne foranstaltninger og formidlingen af oplysninger til arbejdstagere, virksomheder </w:t>
            </w:r>
            <w:r>
              <w:rPr>
                <w:b/>
                <w:i/>
              </w:rPr>
              <w:t>og økonomiske aktører.</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22</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(22)</w:t>
            </w:r>
            <w:r>
              <w:tab/>
            </w:r>
            <w:r>
              <w:t xml:space="preserve">Når Kommissionen undersøger, om anmeldte udkast til eller vedtagne foranstaltninger er forenelige med </w:t>
            </w:r>
            <w:r>
              <w:rPr>
                <w:b/>
                <w:i/>
              </w:rPr>
              <w:t>proportionalitetsprincippet, bør den tage behørigt hensyn til udviklingen i krisesituationen</w:t>
            </w:r>
            <w:r>
              <w:t xml:space="preserve"> og </w:t>
            </w:r>
            <w:r>
              <w:rPr>
                <w:b/>
                <w:i/>
              </w:rPr>
              <w:t>ofte begrænsede oplysninger</w:t>
            </w:r>
            <w:r>
              <w:t xml:space="preserve">, </w:t>
            </w:r>
            <w:r>
              <w:rPr>
                <w:b/>
                <w:i/>
              </w:rPr>
              <w:t>der er til rådighed for medle</w:t>
            </w:r>
            <w:r>
              <w:rPr>
                <w:b/>
                <w:i/>
              </w:rPr>
              <w:t>msstaterne, når de søger</w:t>
            </w:r>
            <w:r>
              <w:t xml:space="preserve"> at </w:t>
            </w:r>
            <w:r>
              <w:rPr>
                <w:b/>
                <w:i/>
              </w:rPr>
              <w:t>mindske de nye risici i forbindelse med krisen.</w:t>
            </w:r>
            <w:r>
              <w:t xml:space="preserve"> </w:t>
            </w:r>
            <w:r>
              <w:rPr>
                <w:b/>
                <w:i/>
              </w:rPr>
              <w:t>Når omstændighederne gør det berettiget og nødvendigt</w:t>
            </w:r>
            <w:r>
              <w:t xml:space="preserve">, </w:t>
            </w:r>
            <w:r>
              <w:rPr>
                <w:b/>
                <w:i/>
              </w:rPr>
              <w:t>kan Kommissionen</w:t>
            </w:r>
            <w:r>
              <w:t xml:space="preserve"> på </w:t>
            </w:r>
            <w:r>
              <w:rPr>
                <w:b/>
                <w:i/>
              </w:rPr>
              <w:t>grundlag af alle tilgængelige oplysninger</w:t>
            </w:r>
            <w:r>
              <w:t xml:space="preserve">, </w:t>
            </w:r>
            <w:r>
              <w:rPr>
                <w:b/>
                <w:i/>
              </w:rPr>
              <w:t>herunder specialiserede eller videnskabelige oplysninger, over</w:t>
            </w:r>
            <w:r>
              <w:rPr>
                <w:b/>
                <w:i/>
              </w:rPr>
              <w:t>veje berettigelsen af medlemsstaternes argumenter, der bygger på forsigtighedsprincippet</w:t>
            </w:r>
            <w:r>
              <w:t xml:space="preserve">, som begrundelse </w:t>
            </w:r>
            <w:r>
              <w:lastRenderedPageBreak/>
              <w:t>for at indføre restriktioner for den frie bevægelighed for personer. Det er Kommissionens opgave at sikre, at sådanne foranstaltninger er i overensste</w:t>
            </w:r>
            <w:r>
              <w:t>mmelse med EU-retten og ikke skaber uberettigede hindringer for det indre markeds funktion. Kommissionen bør reagere på medlemsstaternes meddelelser så hurtigt som muligt under hensyntagen til omstændighederne i forbindelse med den pågældende krise og sene</w:t>
            </w:r>
            <w:r>
              <w:t>st inden for de frister, der er fastsat i denne forordning.</w:t>
            </w:r>
          </w:p>
        </w:tc>
        <w:tc>
          <w:tcPr>
            <w:tcW w:w="4876" w:type="dxa"/>
            <w:hideMark/>
          </w:tcPr>
          <w:p w:rsidR="003C0A2B" w:rsidRPr="006374E5" w:rsidRDefault="00DA22D1" w:rsidP="00E6740D">
            <w:pPr>
              <w:pStyle w:val="Normal6"/>
              <w:rPr>
                <w:szCs w:val="24"/>
              </w:rPr>
            </w:pPr>
            <w:r>
              <w:lastRenderedPageBreak/>
              <w:t>(22)</w:t>
            </w:r>
            <w:r>
              <w:tab/>
              <w:t xml:space="preserve">Når Kommissionen undersøger, om anmeldte udkast til eller vedtagne foranstaltninger er </w:t>
            </w:r>
            <w:r>
              <w:rPr>
                <w:b/>
                <w:i/>
              </w:rPr>
              <w:t xml:space="preserve">nødvendige og </w:t>
            </w:r>
            <w:r>
              <w:t xml:space="preserve">forenelige med </w:t>
            </w:r>
            <w:r>
              <w:rPr>
                <w:b/>
                <w:i/>
              </w:rPr>
              <w:t>principperne om proportionalitet</w:t>
            </w:r>
            <w:r>
              <w:t xml:space="preserve"> og </w:t>
            </w:r>
            <w:r>
              <w:rPr>
                <w:b/>
                <w:i/>
              </w:rPr>
              <w:t>ikkeforskelsbehandling</w:t>
            </w:r>
            <w:r>
              <w:t xml:space="preserve">, </w:t>
            </w:r>
            <w:r>
              <w:rPr>
                <w:b/>
                <w:i/>
              </w:rPr>
              <w:t>bør den rådføre</w:t>
            </w:r>
            <w:r>
              <w:rPr>
                <w:b/>
                <w:i/>
              </w:rPr>
              <w:t xml:space="preserve"> sig med interessenter såsom arbejdsmarkedets parter med det formål</w:t>
            </w:r>
            <w:r>
              <w:t xml:space="preserve"> at </w:t>
            </w:r>
            <w:r>
              <w:rPr>
                <w:b/>
                <w:i/>
              </w:rPr>
              <w:t>vurdere indvirkningen på arbejdsmarkedet.</w:t>
            </w:r>
            <w:r>
              <w:t xml:space="preserve"> </w:t>
            </w:r>
            <w:r>
              <w:rPr>
                <w:b/>
                <w:i/>
              </w:rPr>
              <w:t>Kommissionen bør vurdere berettigelsen af medlemsstaternes argumenter, herunder dem</w:t>
            </w:r>
            <w:r>
              <w:t xml:space="preserve">, </w:t>
            </w:r>
            <w:r>
              <w:rPr>
                <w:b/>
                <w:i/>
              </w:rPr>
              <w:t>der bygger</w:t>
            </w:r>
            <w:r>
              <w:t xml:space="preserve"> på </w:t>
            </w:r>
            <w:r>
              <w:rPr>
                <w:b/>
                <w:i/>
              </w:rPr>
              <w:t>forsigtighedsprincippet</w:t>
            </w:r>
            <w:r>
              <w:t xml:space="preserve">, </w:t>
            </w:r>
            <w:r>
              <w:rPr>
                <w:b/>
                <w:i/>
              </w:rPr>
              <w:t>som er fastsat i ar</w:t>
            </w:r>
            <w:r>
              <w:rPr>
                <w:b/>
                <w:i/>
              </w:rPr>
              <w:t>tikel 191 i traktaten om Den Europæiske Unions funktionsmåde</w:t>
            </w:r>
            <w:r>
              <w:t xml:space="preserve">, som begrundelse for at indføre restriktioner for den frie bevægelighed for personer. Det er </w:t>
            </w:r>
            <w:r>
              <w:lastRenderedPageBreak/>
              <w:t xml:space="preserve">Kommissionens opgave at sikre, at sådanne foranstaltninger er i </w:t>
            </w:r>
            <w:r>
              <w:rPr>
                <w:b/>
                <w:i/>
              </w:rPr>
              <w:t xml:space="preserve">fuld </w:t>
            </w:r>
            <w:r>
              <w:t>overensstemmelse med</w:t>
            </w:r>
            <w:r>
              <w:rPr>
                <w:b/>
                <w:i/>
              </w:rPr>
              <w:t xml:space="preserve"> traktaterne </w:t>
            </w:r>
            <w:r>
              <w:rPr>
                <w:b/>
                <w:i/>
              </w:rPr>
              <w:t>og</w:t>
            </w:r>
            <w:r>
              <w:t xml:space="preserve"> EU-retten og ikke skaber uberettigede hindringer for det indre markeds funktion</w:t>
            </w:r>
            <w:r>
              <w:rPr>
                <w:b/>
                <w:i/>
              </w:rPr>
              <w:t xml:space="preserve"> og for retten til fri bevægelighed</w:t>
            </w:r>
            <w:r>
              <w:t>. Kommissionen bør reagere på medlemsstaternes meddelelser så hurtigt som muligt under hensyntagen til omstændighederne i forbindelse med d</w:t>
            </w:r>
            <w:r>
              <w:t>en pågældende krise og senest inden for de frister, der er fastsat i denne forordning.</w:t>
            </w:r>
          </w:p>
        </w:tc>
      </w:tr>
    </w:tbl>
    <w:p w:rsidR="003C0A2B" w:rsidRPr="006374E5" w:rsidRDefault="00DA22D1" w:rsidP="003C0A2B">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23</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(23)</w:t>
            </w:r>
            <w:r>
              <w:tab/>
              <w:t>For at sikre, at de specifikke nødforanstaltninger for det indre marked, der er fastsat i denne forordning, kun anvendes, når dette er nødvendigt for at reagere på en særlig nødsituation for det indre marked, bør sådanne foranstaltnin</w:t>
            </w:r>
            <w:r>
              <w:t>ger kræve individuel aktivering ved hjælp af Kommissionens gennemførelsesretsakter, som angiver årsagerne til en sådan aktivering og de kriserelevante varer eller tjenesteydelser, på hvilke sådanne foranstaltninger finder anvendelse.</w:t>
            </w:r>
          </w:p>
        </w:tc>
        <w:tc>
          <w:tcPr>
            <w:tcW w:w="4876" w:type="dxa"/>
            <w:hideMark/>
          </w:tcPr>
          <w:p w:rsidR="003C0A2B" w:rsidRPr="006374E5" w:rsidRDefault="00DA22D1" w:rsidP="00E6740D">
            <w:pPr>
              <w:pStyle w:val="Normal6"/>
              <w:rPr>
                <w:szCs w:val="24"/>
              </w:rPr>
            </w:pPr>
            <w:r>
              <w:t>(23)</w:t>
            </w:r>
            <w:r>
              <w:tab/>
              <w:t xml:space="preserve">For at sikre, at </w:t>
            </w:r>
            <w:r>
              <w:t>de specifikke nødforanstaltninger for det indre marked, der er fastsat i denne forordning, kun anvendes, når dette er nødvendigt for at reagere på en særlig nødsituation for det indre marked, bør sådanne foranstaltninger kræve individuel aktivering ved hjæ</w:t>
            </w:r>
            <w:r>
              <w:t>lp af Kommissionens gennemførelsesretsakter, som angiver årsagerne til en sådan aktivering</w:t>
            </w:r>
            <w:r>
              <w:rPr>
                <w:b/>
                <w:i/>
              </w:rPr>
              <w:t>,</w:t>
            </w:r>
            <w:r>
              <w:t xml:space="preserve"> og</w:t>
            </w:r>
            <w:r>
              <w:rPr>
                <w:b/>
                <w:i/>
              </w:rPr>
              <w:t xml:space="preserve"> hvorledes foranstaltningerne er i overensstemmelse med traktaterne, samt</w:t>
            </w:r>
            <w:r>
              <w:t xml:space="preserve"> de kriserelevante varer eller tjenesteydelser, på hvilke sådanne foranstaltninger finder</w:t>
            </w:r>
            <w:r>
              <w:t xml:space="preserve"> anvendelse.</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24</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(24)</w:t>
            </w:r>
            <w:r>
              <w:tab/>
              <w:t xml:space="preserve">For at sikre, at gennemførelsesretsakterne står i et rimeligt </w:t>
            </w:r>
            <w:r>
              <w:t xml:space="preserve">forhold til formålet, og at der tages behørigt hensyn til de økonomiske aktørers </w:t>
            </w:r>
            <w:r>
              <w:lastRenderedPageBreak/>
              <w:t xml:space="preserve">rolle i krisestyring, bør Kommissionen desuden kun ty til aktivering af nødsituationstilstanden for det indre marked, hvis de økonomiske aktører ikke er i stand til at levere </w:t>
            </w:r>
            <w:r>
              <w:t>en løsning på frivillig basis inden for en rimelig frist. Det bør i hver enkelt sådan retsakt og i forbindelse med alle særlige aspekter af en krise angives, hvorfor dette er tilfældet.</w:t>
            </w:r>
          </w:p>
        </w:tc>
        <w:tc>
          <w:tcPr>
            <w:tcW w:w="4876" w:type="dxa"/>
            <w:hideMark/>
          </w:tcPr>
          <w:p w:rsidR="003C0A2B" w:rsidRPr="006374E5" w:rsidRDefault="00DA22D1" w:rsidP="00E6740D">
            <w:pPr>
              <w:pStyle w:val="Normal6"/>
              <w:rPr>
                <w:szCs w:val="24"/>
              </w:rPr>
            </w:pPr>
            <w:r>
              <w:lastRenderedPageBreak/>
              <w:t>(24)</w:t>
            </w:r>
            <w:r>
              <w:tab/>
              <w:t>For at sikre, at gennemførelsesretsakterne står i et rimeligt for</w:t>
            </w:r>
            <w:r>
              <w:t xml:space="preserve">hold til formålet, og at der tages behørigt hensyn til </w:t>
            </w:r>
            <w:r>
              <w:rPr>
                <w:b/>
                <w:i/>
              </w:rPr>
              <w:t xml:space="preserve">arbejdsmarkedets </w:t>
            </w:r>
            <w:r>
              <w:rPr>
                <w:b/>
                <w:i/>
              </w:rPr>
              <w:lastRenderedPageBreak/>
              <w:t xml:space="preserve">parters autonomi og </w:t>
            </w:r>
            <w:r>
              <w:t>de økonomiske aktørers rolle i krisestyring, bør Kommissionen desuden kun ty til aktivering af nødsituationstilstanden for det indre marked, hvis de økonomiske aktø</w:t>
            </w:r>
            <w:r>
              <w:t>rer</w:t>
            </w:r>
            <w:r>
              <w:rPr>
                <w:b/>
                <w:i/>
              </w:rPr>
              <w:t xml:space="preserve"> eller arbejdsmarkedets parter</w:t>
            </w:r>
            <w:r>
              <w:t xml:space="preserve"> ikke er i stand til at levere en løsning på frivillig basis inden for en rimelig frist. Det bør i hver enkelt sådan retsakt og i forbindelse med alle særlige aspekter af en krise angives, hvorfor dette er tilfældet.</w:t>
            </w:r>
          </w:p>
        </w:tc>
      </w:tr>
    </w:tbl>
    <w:p w:rsidR="003C0A2B" w:rsidRPr="006374E5" w:rsidRDefault="00DA22D1" w:rsidP="003C0A2B">
      <w:pPr>
        <w:rPr>
          <w:rStyle w:val="HideTWBExt"/>
        </w:rPr>
      </w:pPr>
      <w:r>
        <w:rPr>
          <w:rStyle w:val="HideTWBExt"/>
        </w:rPr>
        <w:lastRenderedPageBreak/>
        <w:t>&lt;/Ame</w:t>
      </w:r>
      <w:r>
        <w:rPr>
          <w:rStyle w:val="HideTWBExt"/>
        </w:rPr>
        <w:t>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25</w:t>
      </w:r>
      <w:r>
        <w:rPr>
          <w:rStyle w:val="HideTWBExt"/>
        </w:rPr>
        <w:t>&lt;/NumAm&gt;</w:t>
      </w:r>
    </w:p>
    <w:p w:rsidR="003C0A2B" w:rsidRPr="006374E5" w:rsidRDefault="00DA22D1" w:rsidP="003C0A2B">
      <w:pPr>
        <w:pStyle w:val="NormalBold12b"/>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trHeight w:hRule="exact" w:val="240"/>
          <w:jc w:val="center"/>
        </w:trPr>
        <w:tc>
          <w:tcPr>
            <w:tcW w:w="9752" w:type="dxa"/>
            <w:gridSpan w:val="2"/>
          </w:tcPr>
          <w:p w:rsidR="003C0A2B" w:rsidRPr="006374E5" w:rsidRDefault="003C0A2B" w:rsidP="00E6740D"/>
        </w:tc>
      </w:tr>
      <w:tr w:rsidR="00AF0ABA" w:rsidTr="00E6740D">
        <w:trPr>
          <w:trHeight w:val="240"/>
          <w:jc w:val="center"/>
        </w:trPr>
        <w:tc>
          <w:tcPr>
            <w:tcW w:w="4876" w:type="dxa"/>
          </w:tcPr>
          <w:p w:rsidR="003C0A2B" w:rsidRPr="006374E5" w:rsidRDefault="00DA22D1" w:rsidP="00E6740D">
            <w:pPr>
              <w:pStyle w:val="AmColumnHeading"/>
            </w:pPr>
            <w:r>
              <w:t>Kommissionens forslag</w:t>
            </w:r>
          </w:p>
        </w:tc>
        <w:tc>
          <w:tcPr>
            <w:tcW w:w="4876" w:type="dxa"/>
          </w:tcPr>
          <w:p w:rsidR="003C0A2B" w:rsidRPr="006374E5" w:rsidRDefault="00DA22D1" w:rsidP="00E6740D">
            <w:pPr>
              <w:pStyle w:val="AmColumnHeading"/>
            </w:pPr>
            <w:r>
              <w:t>Ændringsforslag</w:t>
            </w:r>
          </w:p>
        </w:tc>
      </w:tr>
      <w:tr w:rsidR="00AF0ABA" w:rsidTr="00E6740D">
        <w:trPr>
          <w:jc w:val="center"/>
        </w:trPr>
        <w:tc>
          <w:tcPr>
            <w:tcW w:w="4876" w:type="dxa"/>
          </w:tcPr>
          <w:p w:rsidR="003C0A2B" w:rsidRPr="006374E5" w:rsidRDefault="00DA22D1" w:rsidP="00E6740D">
            <w:pPr>
              <w:pStyle w:val="Normal6a"/>
            </w:pPr>
            <w:r>
              <w:t>(25)</w:t>
            </w:r>
            <w:r>
              <w:tab/>
              <w:t xml:space="preserve">Kommissionen bør kun anvende anmodninger om oplysninger til økonomiske aktører, hvis </w:t>
            </w:r>
            <w:r>
              <w:t>de oplysninger, der er nødvendige for at reagere hensigtsmæssigt på nødsituationen på det indre marked, såsom oplysninger, der er nødvendige for Kommissionens indkøb på vegne af medlemsstaterne eller skøn over produktionskapaciteten hos producenter af kris</w:t>
            </w:r>
            <w:r>
              <w:t>erelevante varer, hvis forsyningskæder er blevet afbrudt, ikke kan indhentes fra offentligt tilgængelige kilder eller som følge af frivillige oplysninger.</w:t>
            </w:r>
          </w:p>
        </w:tc>
        <w:tc>
          <w:tcPr>
            <w:tcW w:w="4876" w:type="dxa"/>
          </w:tcPr>
          <w:p w:rsidR="003C0A2B" w:rsidRPr="006374E5" w:rsidRDefault="00DA22D1" w:rsidP="00E6740D">
            <w:pPr>
              <w:pStyle w:val="Normal6a"/>
            </w:pPr>
            <w:r>
              <w:t>(25)</w:t>
            </w:r>
            <w:r>
              <w:tab/>
              <w:t xml:space="preserve">Kommissionen bør </w:t>
            </w:r>
            <w:r>
              <w:rPr>
                <w:b/>
                <w:i/>
              </w:rPr>
              <w:t xml:space="preserve">under behørig hensyntagen til forretningshemmeligheder </w:t>
            </w:r>
            <w:r>
              <w:t xml:space="preserve">kun anvende anmodninger </w:t>
            </w:r>
            <w:r>
              <w:t>om oplysninger til økonomiske aktører</w:t>
            </w:r>
            <w:r>
              <w:rPr>
                <w:b/>
                <w:i/>
              </w:rPr>
              <w:t xml:space="preserve"> i overensstemmelse med direktiv 2016/943</w:t>
            </w:r>
            <w:r>
              <w:t>, hvis de oplysninger, der er nødvendige for at reagere hensigtsmæssigt på nødsituationen på det indre marked, såsom oplysninger, der er nødvendige for Kommissionens indkøb på ve</w:t>
            </w:r>
            <w:r>
              <w:t>gne af medlemsstaterne eller skøn over produktionskapaciteten hos producenter af kriserelevante varer, hvis forsyningskæder er blevet afbrudt, ikke kan indhentes fra offentligt tilgængelige kilder eller som følge af frivillige oplysninger.</w:t>
            </w:r>
          </w:p>
        </w:tc>
      </w:tr>
    </w:tbl>
    <w:p w:rsidR="003C0A2B" w:rsidRPr="006374E5" w:rsidRDefault="00DA22D1" w:rsidP="003C0A2B">
      <w:pPr>
        <w:rPr>
          <w:rStyle w:val="HideTWBExt"/>
          <w:rFonts w:ascii="Times New Roman" w:hAnsi="Times New Roman" w:cs="Times New Roman"/>
          <w:noProof w:val="0"/>
          <w:vanish w:val="0"/>
          <w:color w:val="auto"/>
          <w:sz w:val="24"/>
        </w:rPr>
      </w:pPr>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26</w:t>
      </w:r>
      <w:r>
        <w:rPr>
          <w:rStyle w:val="HideTWBExt"/>
        </w:rPr>
        <w:t>&lt;/NumAm&gt;</w:t>
      </w:r>
    </w:p>
    <w:p w:rsidR="003C0A2B" w:rsidRPr="006374E5" w:rsidRDefault="00DA22D1" w:rsidP="003C0A2B">
      <w:pPr>
        <w:pStyle w:val="NormalBold12b"/>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trHeight w:hRule="exact" w:val="240"/>
          <w:jc w:val="center"/>
        </w:trPr>
        <w:tc>
          <w:tcPr>
            <w:tcW w:w="9752" w:type="dxa"/>
            <w:gridSpan w:val="2"/>
          </w:tcPr>
          <w:p w:rsidR="003C0A2B" w:rsidRPr="006374E5" w:rsidRDefault="003C0A2B" w:rsidP="00E6740D"/>
        </w:tc>
      </w:tr>
      <w:tr w:rsidR="00AF0ABA" w:rsidTr="00E6740D">
        <w:trPr>
          <w:trHeight w:val="240"/>
          <w:jc w:val="center"/>
        </w:trPr>
        <w:tc>
          <w:tcPr>
            <w:tcW w:w="4876" w:type="dxa"/>
          </w:tcPr>
          <w:p w:rsidR="003C0A2B" w:rsidRPr="006374E5" w:rsidRDefault="00DA22D1" w:rsidP="00E6740D">
            <w:pPr>
              <w:pStyle w:val="AmColumnHeading"/>
            </w:pPr>
            <w:r>
              <w:t>Kommissionens forslag</w:t>
            </w:r>
          </w:p>
        </w:tc>
        <w:tc>
          <w:tcPr>
            <w:tcW w:w="4876" w:type="dxa"/>
          </w:tcPr>
          <w:p w:rsidR="003C0A2B" w:rsidRPr="006374E5" w:rsidRDefault="00DA22D1" w:rsidP="00E6740D">
            <w:pPr>
              <w:pStyle w:val="AmColumnHeading"/>
            </w:pPr>
            <w:r>
              <w:t>Ændringsforslag</w:t>
            </w:r>
          </w:p>
        </w:tc>
      </w:tr>
      <w:tr w:rsidR="00AF0ABA" w:rsidTr="00E6740D">
        <w:trPr>
          <w:jc w:val="center"/>
        </w:trPr>
        <w:tc>
          <w:tcPr>
            <w:tcW w:w="4876" w:type="dxa"/>
          </w:tcPr>
          <w:p w:rsidR="003C0A2B" w:rsidRPr="006374E5" w:rsidRDefault="00DA22D1" w:rsidP="00E6740D">
            <w:pPr>
              <w:pStyle w:val="Normal6a"/>
            </w:pPr>
            <w:r>
              <w:t>(28)</w:t>
            </w:r>
            <w:r>
              <w:tab/>
            </w:r>
            <w:r>
              <w:t xml:space="preserve">I tilfælde, hvor der er betydelige risici for det indre markeds funktion, eller hvor der er alvorlig mangel på eller en </w:t>
            </w:r>
            <w:r>
              <w:lastRenderedPageBreak/>
              <w:t xml:space="preserve">usædvanlig stor efterspørgsel efter varer af </w:t>
            </w:r>
            <w:r>
              <w:rPr>
                <w:b/>
                <w:i/>
              </w:rPr>
              <w:t>strategisk</w:t>
            </w:r>
            <w:r>
              <w:t xml:space="preserve"> betydning, kan foranstaltninger på EU-plan, der har til formål at sikre tilgænge</w:t>
            </w:r>
            <w:r>
              <w:t>ligheden af kriserelevante produkter, såsom prioriterede ordrer, vise sig at være nødvendige for at kunne vende tilbage til det indre markeds normale funktion.</w:t>
            </w:r>
          </w:p>
        </w:tc>
        <w:tc>
          <w:tcPr>
            <w:tcW w:w="4876" w:type="dxa"/>
          </w:tcPr>
          <w:p w:rsidR="003C0A2B" w:rsidRPr="006374E5" w:rsidRDefault="00DA22D1" w:rsidP="00E6740D">
            <w:pPr>
              <w:pStyle w:val="Normal6a"/>
            </w:pPr>
            <w:r>
              <w:lastRenderedPageBreak/>
              <w:t>(28)</w:t>
            </w:r>
            <w:r>
              <w:tab/>
              <w:t>I tilfælde, hvor der er betydelige risici for det indre markeds funktion, eller hvor der er</w:t>
            </w:r>
            <w:r>
              <w:t xml:space="preserve"> alvorlig mangel på eller en </w:t>
            </w:r>
            <w:r>
              <w:lastRenderedPageBreak/>
              <w:t xml:space="preserve">usædvanlig stor efterspørgsel efter varer af </w:t>
            </w:r>
            <w:r>
              <w:rPr>
                <w:b/>
                <w:i/>
              </w:rPr>
              <w:t>kritisk</w:t>
            </w:r>
            <w:r>
              <w:t xml:space="preserve"> betydning, kan foranstaltninger på EU-plan, der har til formål at sikre tilgængeligheden af kriserelevante produkter, såsom prioriterede ordrer, vise sig at være nødvendige f</w:t>
            </w:r>
            <w:r>
              <w:t>or at kunne vende tilbage til det indre markeds normale funktion.</w:t>
            </w:r>
          </w:p>
        </w:tc>
      </w:tr>
    </w:tbl>
    <w:p w:rsidR="003C0A2B" w:rsidRPr="006374E5" w:rsidRDefault="00DA22D1" w:rsidP="003C0A2B">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27</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(30)</w:t>
            </w:r>
            <w:r>
              <w:tab/>
              <w:t xml:space="preserve">Hvis der er </w:t>
            </w:r>
            <w:r>
              <w:t>en alvorlig mangel på kriserelevante produkter eller tjenesteydelser på det indre marked i en nødsituation for det indre marked, og det er klart, at de økonomiske aktører, der opererer på det indre marked, ikke producerer sådanne varer, men i princippet vi</w:t>
            </w:r>
            <w:r>
              <w:t>l være i stand til at omlægge deres produktionslinjer eller have tilstrækkelig kapacitet til at levere de nødvendige varer eller tjenesteydelser, bør Kommissionen som en sidste udvej kunne anbefale medlemsstaterne at træffe foranstaltninger til at lette el</w:t>
            </w:r>
            <w:r>
              <w:t>ler anmode om, at fabrikanternes produktionskapacitet øges eller omlægges, eller at tjenesteydernes kapacitet til at levere kriserelevante tjenester fremmes. I den forbindelse vil Kommissionen informere medlemsstaterne om, hvor alvorlig manglen er, og hvil</w:t>
            </w:r>
            <w:r>
              <w:t>ken type kriserelevante varer eller tjenesteydelser der er behov for, og yde støtte og rådgivning i forbindelse med fleksibiliteten i gældende EU-ret til sådanne formål.</w:t>
            </w:r>
          </w:p>
        </w:tc>
        <w:tc>
          <w:tcPr>
            <w:tcW w:w="4876" w:type="dxa"/>
            <w:hideMark/>
          </w:tcPr>
          <w:p w:rsidR="003C0A2B" w:rsidRPr="006374E5" w:rsidRDefault="00DA22D1" w:rsidP="00E6740D">
            <w:pPr>
              <w:pStyle w:val="Normal6"/>
              <w:rPr>
                <w:szCs w:val="24"/>
              </w:rPr>
            </w:pPr>
            <w:r>
              <w:t>(30)</w:t>
            </w:r>
            <w:r>
              <w:tab/>
              <w:t xml:space="preserve">Hvis der er en alvorlig mangel på kriserelevante produkter eller tjenesteydelser </w:t>
            </w:r>
            <w:r>
              <w:t>på det indre marked i en nødsituation for det indre marked, og det er klart, at de økonomiske aktører, der opererer på det indre marked, ikke producerer sådanne varer, men i princippet vil være i stand til at omlægge deres produktionslinjer eller have tils</w:t>
            </w:r>
            <w:r>
              <w:t xml:space="preserve">trækkelig kapacitet til at levere de nødvendige varer eller tjenesteydelser, bør Kommissionen som en sidste udvej </w:t>
            </w:r>
            <w:r>
              <w:rPr>
                <w:b/>
                <w:i/>
              </w:rPr>
              <w:t xml:space="preserve">og strengt begrænset til, hvad der er nødvendigt, og kun for en begrænset periode </w:t>
            </w:r>
            <w:r>
              <w:t>kunne anbefale medlemsstaterne at træffe foranstaltninger ti</w:t>
            </w:r>
            <w:r>
              <w:t>l at lette eller anmode om, at fabrikanternes produktionskapacitet øges eller omlægges, eller at tjenesteydernes kapacitet til at levere kriserelevante tjenester fremmes. I den forbindelse vil Kommissionen informere medlemsstaterne</w:t>
            </w:r>
            <w:r>
              <w:rPr>
                <w:b/>
                <w:i/>
              </w:rPr>
              <w:t>, den rådgivende gruppe o</w:t>
            </w:r>
            <w:r>
              <w:rPr>
                <w:b/>
                <w:i/>
              </w:rPr>
              <w:t>g Europa-Parlamentet</w:t>
            </w:r>
            <w:r>
              <w:t xml:space="preserve"> om, hvor alvorlig manglen er, og hvilken type kriserelevante varer eller tjenesteydelser der er behov for, og yde støtte og rådgivning i forbindelse med fleksibiliteten i gældende EU-ret til sådanne formål. </w:t>
            </w:r>
            <w:r>
              <w:rPr>
                <w:b/>
                <w:i/>
              </w:rPr>
              <w:t>Hvis en forøgelse eller omlæ</w:t>
            </w:r>
            <w:r>
              <w:rPr>
                <w:b/>
                <w:i/>
              </w:rPr>
              <w:t xml:space="preserve">gning af fabrikanternes produktionskapacitet påvirker arbejdstagerne i en virksomhed eller </w:t>
            </w:r>
            <w:r>
              <w:rPr>
                <w:b/>
                <w:i/>
              </w:rPr>
              <w:lastRenderedPageBreak/>
              <w:t>sektor, bør arbejdstagerrepræsentanterne og fagforeningerne informeres og høres før og under gennemførelsesfasen.</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28</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(35)</w:t>
            </w:r>
            <w:r>
              <w:tab/>
              <w:t>For at sikre ensartede betingelser for gennemførelsen af denne forordning bør Kommissionen tillægges gennemførelsesbeføjelser, for</w:t>
            </w:r>
            <w:r>
              <w:t xml:space="preserve"> så vidt angår muligheden for at vedtage støtteforanstaltninger til fremme af den frie bevægelighed for personer med henblik på at opstille en liste over individuelle mål (mængder og frister) for de strategiske reserver, som medlemsstaterne bør opretholde,</w:t>
            </w:r>
            <w:r>
              <w:t xml:space="preserve"> således at initiativets mål nås. Endvidere bør Kommissionen tillægges gennemførelsesbeføjelser, for så vidt angår aktivering af overvågningstilstanden og overvågningsforanstaltninger med henblik på nøje at overvåge de strategiske forsyningskæder og koordi</w:t>
            </w:r>
            <w:r>
              <w:t>nere opbygningen af strategiske reserver for varer af strategisk betydning. Kommissionen bør endvidere tillægges gennemførelsesbeføjelser, for så vidt angår aktivering af specifikke nødresponsforanstaltninger i forbindelse med en nødsituation for det indre</w:t>
            </w:r>
            <w:r>
              <w:t xml:space="preserve"> marked for at muliggøre en hurtig og koordineret respons. Disse beføjelser bør udøves i overensstemmelse med Europa-Parlamentets og Rådets forordning (EU) nr. 182/2011.</w:t>
            </w:r>
          </w:p>
        </w:tc>
        <w:tc>
          <w:tcPr>
            <w:tcW w:w="4876" w:type="dxa"/>
            <w:hideMark/>
          </w:tcPr>
          <w:p w:rsidR="003C0A2B" w:rsidRPr="006374E5" w:rsidRDefault="00DA22D1" w:rsidP="00E6740D">
            <w:pPr>
              <w:pStyle w:val="Normal6"/>
              <w:rPr>
                <w:szCs w:val="24"/>
              </w:rPr>
            </w:pPr>
            <w:r>
              <w:t>(35)</w:t>
            </w:r>
            <w:r>
              <w:tab/>
              <w:t xml:space="preserve">For at sikre ensartede betingelser for gennemførelsen af denne forordning bør </w:t>
            </w:r>
            <w:r>
              <w:t>Kommissionen tillægges gennemførelsesbeføjelser, for så vidt angår muligheden for at vedtage støtteforanstaltninger til fremme af den frie bevægelighed for personer</w:t>
            </w:r>
            <w:r>
              <w:rPr>
                <w:b/>
                <w:i/>
              </w:rPr>
              <w:t>, herunder beskyttelse af arbejdstagere, der udøver denne ret, og</w:t>
            </w:r>
            <w:r>
              <w:t xml:space="preserve"> med henblik på at opstille</w:t>
            </w:r>
            <w:r>
              <w:t xml:space="preserve"> en liste over individuelle mål (mængder og frister) for de strategiske reserver, som medlemsstaterne bør opretholde, således at initiativets mål nås. Endvidere bør Kommissionen tillægges gennemførelsesbeføjelser, for så vidt angår aktivering af overvågnin</w:t>
            </w:r>
            <w:r>
              <w:t xml:space="preserve">gstilstanden og overvågningsforanstaltninger med henblik på nøje at overvåge de strategiske forsyningskæder og koordinere opbygningen af strategiske reserver for varer af strategisk betydning. Kommissionen bør endvidere tillægges gennemførelsesbeføjelser, </w:t>
            </w:r>
            <w:r>
              <w:t>for så vidt angår aktivering af specifikke nødresponsforanstaltninger i forbindelse med en nødsituation for det indre marked for at muliggøre en hurtig og koordineret respons. Disse beføjelser bør udøves i overensstemmelse med Europa-Parlamentets og Rådets</w:t>
            </w:r>
            <w:r>
              <w:t xml:space="preserve"> forordning (EU) nr. 182/2011.</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29</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lastRenderedPageBreak/>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(36)</w:t>
            </w:r>
            <w:r>
              <w:tab/>
              <w:t xml:space="preserve">Denne forordning </w:t>
            </w:r>
            <w:r>
              <w:rPr>
                <w:b/>
                <w:i/>
              </w:rPr>
              <w:t>respekterer</w:t>
            </w:r>
            <w:r>
              <w:t xml:space="preserve"> de grundlæggende rettigheder og overholder de principper, der er anerkendt i navnlig Den Europæiske Unions charter om grundlæggende rettigheder ("chartret"). Den respekterer navnlig </w:t>
            </w:r>
            <w:r>
              <w:rPr>
                <w:b/>
                <w:i/>
              </w:rPr>
              <w:t>retten</w:t>
            </w:r>
            <w:r>
              <w:t xml:space="preserve"> til privatlivets fred</w:t>
            </w:r>
            <w:r>
              <w:rPr>
                <w:b/>
                <w:i/>
              </w:rPr>
              <w:t xml:space="preserve"> for de økonomiske aktører</w:t>
            </w:r>
            <w:r>
              <w:t xml:space="preserve">, der er fastsat i </w:t>
            </w:r>
            <w:r>
              <w:t>chartrets artikel</w:t>
            </w:r>
            <w:r>
              <w:rPr>
                <w:b/>
                <w:i/>
              </w:rPr>
              <w:t> </w:t>
            </w:r>
            <w:r>
              <w:t>7, retten til databeskyttelse, der er fastsat i chartrets artikel 8, friheden til at oprette og drive egen virksomhed og aftalefriheden, som er beskyttet ved chartrets artikel 16, ejendomsretten, der er beskyttet ved chartrets artikel 17,</w:t>
            </w:r>
            <w:r>
              <w:t xml:space="preserve"> retten til kollektive forhandlinger og søgsmål, der er beskyttet ved chartrets artikel 28, og retten til adgang til effektive retsmidler og til en upartisk domstol som fastsat i chartrets artikel 47. Da målet for denne forordning ikke i tilstrækkelig grad</w:t>
            </w:r>
            <w:r>
              <w:t xml:space="preserve"> kan opfyldes af medlemsstaterne, men på grund af handlingens omfang og virkninger bedre kan nås på EU-plan, kan Unionen vedtage foranstaltninger i overensstemmelse med nærhedsprincippet, jf. artikel 5 i traktaten. I overensstemmelse med proportionalitetsp</w:t>
            </w:r>
            <w:r>
              <w:t>rincippet, jf. nævnte artikel, går denne forordning ikke videre, end hvad der er nødvendigt for at nå dette mål. Forordningen bør ikke berøre arbejdsmarkedets parters autonomi som anerkendt i TEUF.</w:t>
            </w:r>
          </w:p>
        </w:tc>
        <w:tc>
          <w:tcPr>
            <w:tcW w:w="4876" w:type="dxa"/>
            <w:hideMark/>
          </w:tcPr>
          <w:p w:rsidR="003C0A2B" w:rsidRPr="006374E5" w:rsidRDefault="00DA22D1" w:rsidP="00E6740D">
            <w:pPr>
              <w:pStyle w:val="Normal6"/>
              <w:rPr>
                <w:szCs w:val="24"/>
              </w:rPr>
            </w:pPr>
            <w:r>
              <w:t>(36)</w:t>
            </w:r>
            <w:r>
              <w:tab/>
              <w:t xml:space="preserve">Denne forordning </w:t>
            </w:r>
            <w:r>
              <w:rPr>
                <w:b/>
                <w:i/>
              </w:rPr>
              <w:t>sikrer</w:t>
            </w:r>
            <w:r>
              <w:t xml:space="preserve"> de grundlæggende rettigheder</w:t>
            </w:r>
            <w:r>
              <w:rPr>
                <w:b/>
                <w:i/>
              </w:rPr>
              <w:t xml:space="preserve"> </w:t>
            </w:r>
            <w:r>
              <w:rPr>
                <w:b/>
                <w:i/>
              </w:rPr>
              <w:t>som fastsat i traktaterne</w:t>
            </w:r>
            <w:r>
              <w:t xml:space="preserve"> og overholder de principper, der er anerkendt i navnlig Den Europæiske Unions charter om grundlæggende rettigheder ("chartret")</w:t>
            </w:r>
            <w:r>
              <w:rPr>
                <w:b/>
                <w:i/>
              </w:rPr>
              <w:t>, og retten til frihed og personlig sikkerhed (artikel 6)</w:t>
            </w:r>
            <w:r>
              <w:t xml:space="preserve">. Den respekterer navnlig </w:t>
            </w:r>
            <w:r>
              <w:rPr>
                <w:b/>
                <w:i/>
              </w:rPr>
              <w:t>enhver persons ret</w:t>
            </w:r>
            <w:r>
              <w:t xml:space="preserve"> t</w:t>
            </w:r>
            <w:r>
              <w:t>il privatlivets fred, der er fastsat i chartrets artikel</w:t>
            </w:r>
            <w:r>
              <w:rPr>
                <w:b/>
                <w:i/>
              </w:rPr>
              <w:t xml:space="preserve"> </w:t>
            </w:r>
            <w:r>
              <w:t xml:space="preserve">7, retten til databeskyttelse, der er fastsat i chartrets artikel 8, </w:t>
            </w:r>
            <w:r>
              <w:rPr>
                <w:b/>
                <w:i/>
              </w:rPr>
              <w:t xml:space="preserve">erhvervsfriheden og retten til at arbejde, som er beskyttet ved chartrets artikel 15, </w:t>
            </w:r>
            <w:r>
              <w:t>friheden til at oprette og drive egen virkso</w:t>
            </w:r>
            <w:r>
              <w:t xml:space="preserve">mhed og aftalefriheden, som er beskyttet ved chartrets artikel 16, ejendomsretten, der er beskyttet ved chartrets artikel 17, retten til </w:t>
            </w:r>
            <w:r>
              <w:rPr>
                <w:b/>
                <w:i/>
              </w:rPr>
              <w:t xml:space="preserve">ikkeforskelsbehandling som beskyttet ved chartrets artikel 21, retten til </w:t>
            </w:r>
            <w:r>
              <w:t>kollektive forhandlinger og søgsmål, der er b</w:t>
            </w:r>
            <w:r>
              <w:t xml:space="preserve">eskyttet ved chartrets artikel 28, </w:t>
            </w:r>
            <w:r>
              <w:rPr>
                <w:b/>
                <w:i/>
              </w:rPr>
              <w:t xml:space="preserve">retten til retfærdige og rimelige arbejdsforhold, der er beskyttet ved chartrets artikel 31, </w:t>
            </w:r>
            <w:r>
              <w:t>og retten til adgang til effektive retsmidler og til en upartisk domstol som fastsat i chartrets artikel 47</w:t>
            </w:r>
            <w:r>
              <w:rPr>
                <w:b/>
                <w:i/>
              </w:rPr>
              <w:t>. Ingen nødforanstalt</w:t>
            </w:r>
            <w:r>
              <w:rPr>
                <w:b/>
                <w:i/>
              </w:rPr>
              <w:t>ninger, der udløses i henhold til denne forordning som reaktion på en krise på det indre marked, bør anvendes til at undergrave eller omgå de grundlæggende menneskerettigheder, som er sikret ved chartret eller ved internationale menneskerettighedsinstrumen</w:t>
            </w:r>
            <w:r>
              <w:rPr>
                <w:b/>
                <w:i/>
              </w:rPr>
              <w:t>ter</w:t>
            </w:r>
            <w:r>
              <w:t>. Da målet for denne forordning ikke i tilstrækkelig grad kan opfyldes af medlemsstaterne, men på grund af handlingens omfang og virkninger bedre kan nås på EU-plan, kan Unionen vedtage foranstaltninger i overensstemmelse med nærhedsprincippet, jf. arti</w:t>
            </w:r>
            <w:r>
              <w:t xml:space="preserve">kel 5 i traktaten. I overensstemmelse med </w:t>
            </w:r>
            <w:r>
              <w:lastRenderedPageBreak/>
              <w:t>proportionalitetsprincippet, jf. nævnte artikel, går denne forordning ikke videre, end hvad der er nødvendigt for at nå dette mål. Forordningen bør ikke berøre arbejdsmarkedets parters autonomi som anerkendt i TEUF</w:t>
            </w:r>
            <w:r>
              <w:t>.</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30</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Betragtning 38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(38)</w:t>
            </w:r>
            <w:r>
              <w:tab/>
              <w:t xml:space="preserve">EU-rammen skal omfatte interregionale elementer med henblik på at etablere </w:t>
            </w:r>
            <w:r>
              <w:t>sammenhængende, tværsektorielle, grænseoverskridende overvågnings- og nødresponsforanstaltninger for det indre marked, navnlig under hensyntagen til ressourcer, kapaciteter og sårbarheder i naboregioner, navnlig grænseregioner.</w:t>
            </w:r>
          </w:p>
        </w:tc>
        <w:tc>
          <w:tcPr>
            <w:tcW w:w="4876" w:type="dxa"/>
            <w:hideMark/>
          </w:tcPr>
          <w:p w:rsidR="003C0A2B" w:rsidRPr="006374E5" w:rsidRDefault="00DA22D1" w:rsidP="00E6740D">
            <w:pPr>
              <w:pStyle w:val="Normal6"/>
              <w:rPr>
                <w:szCs w:val="24"/>
              </w:rPr>
            </w:pPr>
            <w:r>
              <w:t>(38)</w:t>
            </w:r>
            <w:r>
              <w:tab/>
              <w:t xml:space="preserve">EU-rammen skal omfatte </w:t>
            </w:r>
            <w:r>
              <w:t xml:space="preserve">interregionale elementer med henblik på at etablere sammenhængende, tværsektorielle, grænseoverskridende overvågnings- og nødresponsforanstaltninger for det indre marked, navnlig under hensyntagen til ressourcer, kapaciteter og sårbarheder i naboregioner, </w:t>
            </w:r>
            <w:r>
              <w:t>navnlig grænseregioner</w:t>
            </w:r>
            <w:r>
              <w:rPr>
                <w:b/>
                <w:i/>
              </w:rPr>
              <w:t>, samt til situationen for mobile arbejdstagere, herunder grænsearbejdere og -pendlere, idet der lægges særlig vægt på arbejdstagernes rettigheder og arbejdsvilkår</w:t>
            </w:r>
            <w:r>
              <w:t>.</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31</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1 – stk.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1.</w:t>
            </w:r>
            <w:r>
              <w:tab/>
              <w:t>Denne forordning fastlægger en ramme for foranstaltninger med henblik på at foregribe, forberede sig på og reagere på virkningerne af kriser</w:t>
            </w:r>
            <w:r>
              <w:t xml:space="preserve"> for det indre marked med det formål at sikre den frie bevægelighed for varer, tjenesteydelser og personer og sikre tilgængeligheden af varer og tjenesteydelser af </w:t>
            </w:r>
            <w:r>
              <w:rPr>
                <w:b/>
                <w:i/>
              </w:rPr>
              <w:t>strategisk</w:t>
            </w:r>
            <w:r>
              <w:t xml:space="preserve"> betydning og kriserelevante varer og tjenesteydelser </w:t>
            </w:r>
            <w:r>
              <w:lastRenderedPageBreak/>
              <w:t>på det indre marked.</w:t>
            </w:r>
          </w:p>
        </w:tc>
        <w:tc>
          <w:tcPr>
            <w:tcW w:w="4876" w:type="dxa"/>
            <w:hideMark/>
          </w:tcPr>
          <w:p w:rsidR="003C0A2B" w:rsidRPr="006374E5" w:rsidRDefault="00DA22D1" w:rsidP="00E6740D">
            <w:pPr>
              <w:pStyle w:val="Normal6"/>
              <w:rPr>
                <w:szCs w:val="24"/>
              </w:rPr>
            </w:pPr>
            <w:r>
              <w:lastRenderedPageBreak/>
              <w:t>1.</w:t>
            </w:r>
            <w:r>
              <w:tab/>
              <w:t>Denn</w:t>
            </w:r>
            <w:r>
              <w:t xml:space="preserve">e forordning fastlægger en ramme for foranstaltninger med henblik på at foregribe, </w:t>
            </w:r>
            <w:r>
              <w:rPr>
                <w:b/>
                <w:i/>
              </w:rPr>
              <w:t xml:space="preserve">forebygge, </w:t>
            </w:r>
            <w:r>
              <w:t xml:space="preserve">forberede sig på og reagere på virkningerne af kriser for det indre marked med det formål at sikre </w:t>
            </w:r>
            <w:r>
              <w:rPr>
                <w:b/>
                <w:i/>
              </w:rPr>
              <w:t xml:space="preserve">og lette </w:t>
            </w:r>
            <w:r>
              <w:t>den frie bevægelighed for varer, tjenesteydelser og pe</w:t>
            </w:r>
            <w:r>
              <w:t>rsoner</w:t>
            </w:r>
            <w:r>
              <w:rPr>
                <w:b/>
                <w:i/>
              </w:rPr>
              <w:t>, herunder arbejdskraftens frie bevægelighed, i overensstemmelse med traktaterne,</w:t>
            </w:r>
            <w:r>
              <w:t xml:space="preserve"> og </w:t>
            </w:r>
            <w:r>
              <w:rPr>
                <w:b/>
                <w:i/>
              </w:rPr>
              <w:t xml:space="preserve">med henblik på at styrke det indre </w:t>
            </w:r>
            <w:r>
              <w:rPr>
                <w:b/>
                <w:i/>
              </w:rPr>
              <w:lastRenderedPageBreak/>
              <w:t>markeds modstandsdygtighed og funktion, beskytte forbrugerne, miljøet og arbejdstagernes grundlæggende rettigheder i krisetider sa</w:t>
            </w:r>
            <w:r>
              <w:rPr>
                <w:b/>
                <w:i/>
              </w:rPr>
              <w:t xml:space="preserve">mt </w:t>
            </w:r>
            <w:r>
              <w:t xml:space="preserve">sikre tilgængeligheden af varer og tjenesteydelser af </w:t>
            </w:r>
            <w:r>
              <w:rPr>
                <w:b/>
                <w:i/>
              </w:rPr>
              <w:t>kritisk</w:t>
            </w:r>
            <w:r>
              <w:t xml:space="preserve"> betydning og kriserelevante varer og tjenesteydelser på det indre marked.</w:t>
            </w:r>
          </w:p>
        </w:tc>
      </w:tr>
    </w:tbl>
    <w:p w:rsidR="003C0A2B" w:rsidRPr="006374E5" w:rsidRDefault="00DA22D1" w:rsidP="003C0A2B">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32</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1 –</w:t>
      </w:r>
      <w:r>
        <w:t xml:space="preserve"> stk. 2 – litra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c)</w:t>
            </w:r>
            <w:r>
              <w:tab/>
              <w:t>beredskabsforanstaltninger med henblik på foregribelse og planlægning</w:t>
            </w:r>
          </w:p>
        </w:tc>
        <w:tc>
          <w:tcPr>
            <w:tcW w:w="4876" w:type="dxa"/>
            <w:hideMark/>
          </w:tcPr>
          <w:p w:rsidR="003C0A2B" w:rsidRPr="006374E5" w:rsidRDefault="00DA22D1" w:rsidP="00E6740D">
            <w:pPr>
              <w:pStyle w:val="Normal6"/>
              <w:rPr>
                <w:szCs w:val="24"/>
              </w:rPr>
            </w:pPr>
            <w:r>
              <w:t>c)</w:t>
            </w:r>
            <w:r>
              <w:tab/>
              <w:t>beredskabsforanstaltninger med henblik på foregribelse</w:t>
            </w:r>
            <w:r>
              <w:rPr>
                <w:b/>
                <w:i/>
              </w:rPr>
              <w:t>, forebyggelse</w:t>
            </w:r>
            <w:r>
              <w:t xml:space="preserve"> og planlægning</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t>&lt;/Amend&gt;</w:t>
      </w:r>
    </w:p>
    <w:p w:rsidR="003C0A2B" w:rsidRPr="006374E5" w:rsidRDefault="003C0A2B" w:rsidP="003C0A2B">
      <w:pPr>
        <w:rPr>
          <w:rStyle w:val="HideTWBExt"/>
        </w:rPr>
      </w:pPr>
    </w:p>
    <w:p w:rsidR="003C0A2B" w:rsidRPr="006374E5" w:rsidRDefault="00DA22D1" w:rsidP="003C0A2B">
      <w:pPr>
        <w:pStyle w:val="AmNumberTabs"/>
      </w:pPr>
      <w:r>
        <w:rPr>
          <w:rStyle w:val="HideTWBExt"/>
        </w:rPr>
        <w:t>&lt;Amend&gt;</w:t>
      </w:r>
      <w:r>
        <w:t>Ændringsforslag</w:t>
      </w:r>
      <w:r>
        <w:tab/>
      </w:r>
      <w:r>
        <w:tab/>
      </w:r>
      <w:r>
        <w:rPr>
          <w:rStyle w:val="HideTWBExt"/>
        </w:rPr>
        <w:t>&lt;NumAm&gt;</w:t>
      </w:r>
      <w:r>
        <w:t>33</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1 – stk.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3.</w:t>
            </w:r>
            <w:r>
              <w:tab/>
              <w:t>Medlemsstaterne udveksler regelmæssigt oplysninger om alle spørgsmål, der falder ind under den</w:t>
            </w:r>
            <w:r>
              <w:t>ne forordnings anvendelsesområde, indbyrdes og med Kommissionen.</w:t>
            </w:r>
          </w:p>
        </w:tc>
        <w:tc>
          <w:tcPr>
            <w:tcW w:w="4876" w:type="dxa"/>
            <w:hideMark/>
          </w:tcPr>
          <w:p w:rsidR="003C0A2B" w:rsidRPr="006374E5" w:rsidRDefault="00DA22D1" w:rsidP="00E6740D">
            <w:pPr>
              <w:pStyle w:val="Normal6"/>
              <w:rPr>
                <w:szCs w:val="24"/>
              </w:rPr>
            </w:pPr>
            <w:r>
              <w:t>3.</w:t>
            </w:r>
            <w:r>
              <w:tab/>
              <w:t>Medlemsstaterne udveksler regelmæssigt oplysninger om alle spørgsmål, der falder ind under denne forordnings anvendelsesområde, indbyrdes</w:t>
            </w:r>
            <w:r>
              <w:rPr>
                <w:b/>
                <w:i/>
              </w:rPr>
              <w:t>, med den rådgivende gruppe</w:t>
            </w:r>
            <w:r>
              <w:t xml:space="preserve"> og med Kommissionen. </w:t>
            </w:r>
            <w:r>
              <w:rPr>
                <w:b/>
                <w:i/>
              </w:rPr>
              <w:t xml:space="preserve">Europa-Parlamentet skal have rettidig adgang til disse oplysninger. </w:t>
            </w:r>
          </w:p>
        </w:tc>
      </w:tr>
    </w:tbl>
    <w:p w:rsidR="003C0A2B" w:rsidRPr="006374E5" w:rsidRDefault="00DA22D1" w:rsidP="003C0A2B">
      <w:r>
        <w:rPr>
          <w:rStyle w:val="HideTWBExt"/>
        </w:rPr>
        <w:t>&lt;/Amend&gt;</w:t>
      </w:r>
    </w:p>
    <w:p w:rsidR="003C0A2B" w:rsidRPr="006374E5" w:rsidRDefault="003C0A2B" w:rsidP="003C0A2B">
      <w:pPr>
        <w:rPr>
          <w:rStyle w:val="HideTWBExt"/>
        </w:rPr>
      </w:pPr>
    </w:p>
    <w:p w:rsidR="003C0A2B" w:rsidRPr="006374E5" w:rsidRDefault="00DA22D1" w:rsidP="003C0A2B">
      <w:pPr>
        <w:pStyle w:val="AmNumberTabs"/>
      </w:pPr>
      <w:r>
        <w:rPr>
          <w:rStyle w:val="HideTWBExt"/>
        </w:rPr>
        <w:t>&lt;Amend&gt;</w:t>
      </w:r>
      <w:r>
        <w:t>Ændringsforslag</w:t>
      </w:r>
      <w:r>
        <w:tab/>
      </w:r>
      <w:r>
        <w:tab/>
      </w:r>
      <w:r>
        <w:rPr>
          <w:rStyle w:val="HideTWBExt"/>
        </w:rPr>
        <w:t>&lt;NumAm&gt;</w:t>
      </w:r>
      <w:r>
        <w:t>34</w:t>
      </w:r>
      <w:r>
        <w:rPr>
          <w:rStyle w:val="HideTWBExt"/>
        </w:rPr>
        <w:t>&lt;/NumAm&gt;</w:t>
      </w:r>
    </w:p>
    <w:p w:rsidR="003C0A2B" w:rsidRPr="006374E5" w:rsidRDefault="00DA22D1" w:rsidP="003C0A2B">
      <w:pPr>
        <w:pStyle w:val="NormalBold12b"/>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2 – stk. 1 a (nyt)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rPr>
                <w:szCs w:val="24"/>
              </w:rPr>
            </w:pPr>
            <w:r>
              <w:rPr>
                <w:b/>
                <w:i/>
              </w:rPr>
              <w:t>1a.</w:t>
            </w:r>
            <w:r>
              <w:rPr>
                <w:b/>
                <w:i/>
              </w:rPr>
              <w:tab/>
              <w:t xml:space="preserve">Denne forordning må på ingen </w:t>
            </w:r>
            <w:r>
              <w:rPr>
                <w:b/>
                <w:i/>
              </w:rPr>
              <w:lastRenderedPageBreak/>
              <w:t>måde påvirke udøvelsen af de grundlæggende rettigheder, der anerkendes i medlemsstaterne og på EU-plan, herunder retten eller friheden til at strejke eller retten til frit at tage andre skridt, der er omfattet af specifikke</w:t>
            </w:r>
            <w:r>
              <w:rPr>
                <w:b/>
                <w:i/>
              </w:rPr>
              <w:t xml:space="preserve"> ordninger for arbejdsmarkedsrelationer i medlemsstaterne, i overensstemmelse med national ret og/eller praksis. Den påvirker heller ikke retten til at forhandle, indgå og håndhæve kollektive overenskomster eller retten til at tage kollektive skridt i over</w:t>
            </w:r>
            <w:r>
              <w:rPr>
                <w:b/>
                <w:i/>
              </w:rPr>
              <w:t>ensstemmelse med national ret og/eller praksis.</w:t>
            </w:r>
          </w:p>
        </w:tc>
      </w:tr>
    </w:tbl>
    <w:p w:rsidR="003C0A2B" w:rsidRPr="006374E5" w:rsidRDefault="00DA22D1" w:rsidP="003C0A2B">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35</w:t>
      </w:r>
      <w:r>
        <w:rPr>
          <w:rStyle w:val="HideTWBExt"/>
        </w:rPr>
        <w:t>&lt;/NumAm&gt;</w:t>
      </w:r>
    </w:p>
    <w:p w:rsidR="003C0A2B" w:rsidRPr="006374E5" w:rsidRDefault="00DA22D1" w:rsidP="003C0A2B">
      <w:pPr>
        <w:pStyle w:val="NormalBold12b"/>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2 – stk. 7</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7.</w:t>
            </w:r>
            <w:r>
              <w:tab/>
              <w:t xml:space="preserve">Enhver foranstaltning i </w:t>
            </w:r>
            <w:r>
              <w:t>henhold til denne forordning skal være i overensstemmelse med Unionens forpligtelser i henhold til folkeretten.</w:t>
            </w:r>
          </w:p>
        </w:tc>
        <w:tc>
          <w:tcPr>
            <w:tcW w:w="4876" w:type="dxa"/>
            <w:hideMark/>
          </w:tcPr>
          <w:p w:rsidR="003C0A2B" w:rsidRPr="006374E5" w:rsidRDefault="00DA22D1" w:rsidP="00E6740D">
            <w:pPr>
              <w:pStyle w:val="Normal6"/>
              <w:rPr>
                <w:szCs w:val="24"/>
              </w:rPr>
            </w:pPr>
            <w:r>
              <w:t>7.</w:t>
            </w:r>
            <w:r>
              <w:tab/>
              <w:t>Enhver foranstaltning i henhold til denne forordning skal være i overensstemmelse med Unionens forpligtelser i henhold til folkeretten</w:t>
            </w:r>
            <w:r>
              <w:rPr>
                <w:b/>
                <w:i/>
              </w:rPr>
              <w:t>, herun</w:t>
            </w:r>
            <w:r>
              <w:rPr>
                <w:b/>
                <w:i/>
              </w:rPr>
              <w:t>der menneskerettighedsforpligtelser</w:t>
            </w:r>
            <w:r>
              <w:t>.</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36</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3 – stk. 1 – nr.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1)</w:t>
            </w:r>
            <w:r>
              <w:tab/>
              <w:t>"krise": en usædvanlig</w:t>
            </w:r>
            <w:r>
              <w:rPr>
                <w:b/>
                <w:i/>
              </w:rPr>
              <w:t xml:space="preserve"> uventet og pludselig</w:t>
            </w:r>
            <w:r>
              <w:t>, naturlig eller menneskeskabt begivenhed af ekstraordinær karakter og omfang, der finder sted i eller uden for Unionen</w:t>
            </w:r>
          </w:p>
        </w:tc>
        <w:tc>
          <w:tcPr>
            <w:tcW w:w="4876" w:type="dxa"/>
            <w:hideMark/>
          </w:tcPr>
          <w:p w:rsidR="003C0A2B" w:rsidRPr="006374E5" w:rsidRDefault="00DA22D1" w:rsidP="00E6740D">
            <w:pPr>
              <w:pStyle w:val="Normal6"/>
              <w:rPr>
                <w:szCs w:val="24"/>
              </w:rPr>
            </w:pPr>
            <w:r>
              <w:t>1)</w:t>
            </w:r>
            <w:r>
              <w:tab/>
              <w:t xml:space="preserve">"krise": en usædvanlig, naturlig eller menneskeskabt begivenhed af ekstraordinær karakter og omfang, der finder </w:t>
            </w:r>
            <w:r>
              <w:t>sted i eller uden for Unionen</w:t>
            </w:r>
            <w:r>
              <w:rPr>
                <w:b/>
                <w:i/>
              </w:rPr>
              <w:t>, med undtagelse af kollektive aktioner, og som resulterer i eller risikerer at resultere i en betydelig forstyrrelse af det indre markeds funktion, herunder den frie bevægelighed for varer, tjenesteydelser og personer</w:t>
            </w:r>
          </w:p>
        </w:tc>
      </w:tr>
    </w:tbl>
    <w:p w:rsidR="003C0A2B" w:rsidRPr="006374E5" w:rsidRDefault="00DA22D1" w:rsidP="003C0A2B">
      <w:r>
        <w:rPr>
          <w:rStyle w:val="HideTWBExt"/>
        </w:rPr>
        <w:t>&lt;/Amend</w:t>
      </w:r>
      <w:r>
        <w:rPr>
          <w:rStyle w:val="HideTWBExt"/>
        </w:rPr>
        <w:t>&gt;</w:t>
      </w:r>
    </w:p>
    <w:p w:rsidR="003C0A2B" w:rsidRPr="006374E5" w:rsidRDefault="00DA22D1" w:rsidP="003C0A2B">
      <w:pPr>
        <w:pStyle w:val="AmNumberTabs"/>
      </w:pPr>
      <w:r>
        <w:rPr>
          <w:rStyle w:val="HideTWBExt"/>
        </w:rPr>
        <w:lastRenderedPageBreak/>
        <w:t>&lt;Amend&gt;</w:t>
      </w:r>
      <w:r>
        <w:t>Ændringsforslag</w:t>
      </w:r>
      <w:r>
        <w:tab/>
      </w:r>
      <w:r>
        <w:tab/>
      </w:r>
      <w:r>
        <w:rPr>
          <w:rStyle w:val="HideTWBExt"/>
        </w:rPr>
        <w:t>&lt;NumAm&gt;</w:t>
      </w:r>
      <w:r>
        <w:t>37</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3 – stk. 1 – nr.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w:t>
            </w:r>
            <w:r>
              <w:tab/>
            </w:r>
            <w:r>
              <w:t xml:space="preserve">"overvågningstilstand for det indre marked": en ramme for håndtering af en trussel om betydelig forstyrrelse af forsyningen af varer og tjenesteydelser af </w:t>
            </w:r>
            <w:r>
              <w:rPr>
                <w:b/>
                <w:i/>
              </w:rPr>
              <w:t>strategisk</w:t>
            </w:r>
            <w:r>
              <w:t xml:space="preserve"> betydning, som har potentiale til at udvikle sig til en nødsituation for det indre marked </w:t>
            </w:r>
            <w:r>
              <w:t>inden for de næste seks måneder</w:t>
            </w:r>
          </w:p>
        </w:tc>
        <w:tc>
          <w:tcPr>
            <w:tcW w:w="4876" w:type="dxa"/>
            <w:hideMark/>
          </w:tcPr>
          <w:p w:rsidR="003C0A2B" w:rsidRPr="006374E5" w:rsidRDefault="00DA22D1" w:rsidP="00E6740D">
            <w:pPr>
              <w:pStyle w:val="Normal6"/>
              <w:rPr>
                <w:szCs w:val="24"/>
              </w:rPr>
            </w:pPr>
            <w:r>
              <w:t>2)</w:t>
            </w:r>
            <w:r>
              <w:tab/>
              <w:t xml:space="preserve">"overvågningstilstand for det indre marked": en ramme for håndtering af en trussel om betydelig forstyrrelse af forsyningen af varer og tjenesteydelser af </w:t>
            </w:r>
            <w:r>
              <w:rPr>
                <w:b/>
                <w:i/>
              </w:rPr>
              <w:t>kritisk</w:t>
            </w:r>
            <w:r>
              <w:t xml:space="preserve"> betydning</w:t>
            </w:r>
            <w:r>
              <w:rPr>
                <w:b/>
                <w:i/>
              </w:rPr>
              <w:t xml:space="preserve"> og/eller den frie bevægelighed for personer</w:t>
            </w:r>
            <w:r>
              <w:t>, som</w:t>
            </w:r>
            <w:r>
              <w:t xml:space="preserve"> har potentiale til at udvikle sig til en nødsituation for det indre marked inden for de næste seks måneder</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38</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3 – stk. 1 – nr.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3)</w:t>
            </w:r>
            <w:r>
              <w:tab/>
              <w:t>"nødsituation for det indre marked": en vidtrækkende indvirkning af en krise på det indre marked, som i alvorlig grad forstyrrer den frie bevægelighed på det indre marked eller forsyningskædernes funktion, og som e</w:t>
            </w:r>
            <w:r>
              <w:t>r uundværlig for opretholdelsen af vitale samfundsmæssige eller økonomiske aktiviteter i det indre marked</w:t>
            </w:r>
          </w:p>
        </w:tc>
        <w:tc>
          <w:tcPr>
            <w:tcW w:w="4876" w:type="dxa"/>
            <w:hideMark/>
          </w:tcPr>
          <w:p w:rsidR="003C0A2B" w:rsidRPr="006374E5" w:rsidRDefault="00DA22D1" w:rsidP="00E6740D">
            <w:pPr>
              <w:pStyle w:val="Normal6"/>
              <w:rPr>
                <w:szCs w:val="24"/>
              </w:rPr>
            </w:pPr>
            <w:r>
              <w:t>3)</w:t>
            </w:r>
            <w:r>
              <w:tab/>
              <w:t>"nødsituation for det indre marked": en vidtrækkende indvirkning af en krise på det indre marked, som i alvorlig grad forstyrrer den frie bevægelig</w:t>
            </w:r>
            <w:r>
              <w:t xml:space="preserve">hed </w:t>
            </w:r>
            <w:r>
              <w:rPr>
                <w:b/>
                <w:i/>
              </w:rPr>
              <w:t xml:space="preserve">for varer, tjenesteydelser og personer </w:t>
            </w:r>
            <w:r>
              <w:t>på det indre marked eller forsyningskædernes funktion, og som er uundværlig for opretholdelsen af vitale samfundsmæssige eller økonomiske aktiviteter i det indre marked</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39</w:t>
      </w:r>
      <w:r>
        <w:rPr>
          <w:rStyle w:val="HideTWBExt"/>
        </w:rPr>
        <w:t>&lt;</w:t>
      </w:r>
      <w:r>
        <w:rPr>
          <w:rStyle w:val="HideTWBExt"/>
        </w:rPr>
        <w: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3 – stk. 1 – nr.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4)</w:t>
            </w:r>
            <w:r>
              <w:tab/>
            </w:r>
            <w:r>
              <w:rPr>
                <w:b/>
                <w:i/>
              </w:rPr>
              <w:t>"strategisk</w:t>
            </w:r>
            <w:r>
              <w:t xml:space="preserve"> vigtige områder": områder af afgørende betydning for Unionen og dens medlemsstater, idet de er af systemisk og vital betydning for den offentlige sikkerhed, den offentlige </w:t>
            </w:r>
            <w:r>
              <w:lastRenderedPageBreak/>
              <w:t>tryghed, den offentlige orden eller folkesundheden, og hvis forstyrrelse, sammenbru</w:t>
            </w:r>
            <w:r>
              <w:t>d, tab eller ødelæggelse vil have en betydelig indvirkning på det indre markeds funktion</w:t>
            </w:r>
          </w:p>
        </w:tc>
        <w:tc>
          <w:tcPr>
            <w:tcW w:w="4876" w:type="dxa"/>
            <w:hideMark/>
          </w:tcPr>
          <w:p w:rsidR="003C0A2B" w:rsidRPr="006374E5" w:rsidRDefault="00DA22D1" w:rsidP="00E6740D">
            <w:pPr>
              <w:pStyle w:val="Normal6"/>
              <w:rPr>
                <w:szCs w:val="24"/>
              </w:rPr>
            </w:pPr>
            <w:r>
              <w:lastRenderedPageBreak/>
              <w:t>4)</w:t>
            </w:r>
            <w:r>
              <w:tab/>
            </w:r>
            <w:r>
              <w:rPr>
                <w:b/>
                <w:i/>
              </w:rPr>
              <w:t>"kritisk</w:t>
            </w:r>
            <w:r>
              <w:t xml:space="preserve"> vigtige områder": områder af afgørende betydning for Unionen og dens medlemsstater, idet de er af systemisk og vital betydning for den offentlige sikkerhed</w:t>
            </w:r>
            <w:r>
              <w:t xml:space="preserve">, den offentlige tryghed, den </w:t>
            </w:r>
            <w:r>
              <w:lastRenderedPageBreak/>
              <w:t>offentlige orden eller folkesundheden, og hvis forstyrrelse, sammenbrud, tab eller ødelæggelse vil have en betydelig indvirkning på det indre markeds funktion</w:t>
            </w:r>
          </w:p>
        </w:tc>
      </w:tr>
    </w:tbl>
    <w:p w:rsidR="003C0A2B" w:rsidRPr="006374E5" w:rsidRDefault="00DA22D1" w:rsidP="003C0A2B">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40</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w:t>
      </w:r>
      <w:r>
        <w:t>lag til forordning</w:t>
      </w:r>
      <w:r>
        <w:rPr>
          <w:rStyle w:val="HideTWBExt"/>
        </w:rPr>
        <w:t>&lt;/DocAmend&gt;</w:t>
      </w:r>
    </w:p>
    <w:p w:rsidR="003C0A2B" w:rsidRPr="006374E5" w:rsidRDefault="00DA22D1" w:rsidP="003C0A2B">
      <w:pPr>
        <w:pStyle w:val="NormalBold"/>
      </w:pPr>
      <w:r>
        <w:rPr>
          <w:rStyle w:val="HideTWBExt"/>
        </w:rPr>
        <w:t>&lt;Article&gt;</w:t>
      </w:r>
      <w:r>
        <w:t>Artikel 3 – stk. 1 – nr.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5)</w:t>
            </w:r>
            <w:r>
              <w:tab/>
              <w:t xml:space="preserve">"varer og tjenesteydelser af </w:t>
            </w:r>
            <w:r>
              <w:rPr>
                <w:b/>
                <w:i/>
              </w:rPr>
              <w:t>strategisk</w:t>
            </w:r>
            <w:r>
              <w:t xml:space="preserve"> betydning": varer og tjenesteydelser, der er uundværlige for at sikre et velfungerende indre marked på </w:t>
            </w:r>
            <w:r>
              <w:rPr>
                <w:b/>
                <w:i/>
              </w:rPr>
              <w:t>strategisk</w:t>
            </w:r>
            <w:r>
              <w:t xml:space="preserve"> vigtige områder, og som ikke kan erstattes eller diversificeres</w:t>
            </w:r>
          </w:p>
        </w:tc>
        <w:tc>
          <w:tcPr>
            <w:tcW w:w="4876" w:type="dxa"/>
            <w:hideMark/>
          </w:tcPr>
          <w:p w:rsidR="003C0A2B" w:rsidRPr="006374E5" w:rsidRDefault="00DA22D1" w:rsidP="00E6740D">
            <w:pPr>
              <w:pStyle w:val="Normal6"/>
              <w:rPr>
                <w:szCs w:val="24"/>
              </w:rPr>
            </w:pPr>
            <w:r>
              <w:t>5)</w:t>
            </w:r>
            <w:r>
              <w:tab/>
              <w:t xml:space="preserve">"varer og tjenesteydelser af </w:t>
            </w:r>
            <w:r>
              <w:rPr>
                <w:b/>
                <w:i/>
              </w:rPr>
              <w:t>kritisk</w:t>
            </w:r>
            <w:r>
              <w:t xml:space="preserve"> betydning": varer og tjenesteydelser,</w:t>
            </w:r>
            <w:r>
              <w:t xml:space="preserve"> der er uundværlige for at sikre et velfungerende indre marked på </w:t>
            </w:r>
            <w:r>
              <w:rPr>
                <w:b/>
                <w:i/>
              </w:rPr>
              <w:t>kritisk</w:t>
            </w:r>
            <w:r>
              <w:t xml:space="preserve"> vigtige områder, og som ikke</w:t>
            </w:r>
            <w:r>
              <w:rPr>
                <w:b/>
                <w:i/>
              </w:rPr>
              <w:t xml:space="preserve"> rettidigt</w:t>
            </w:r>
            <w:r>
              <w:t xml:space="preserve"> kan erstattes eller diversificeres</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41</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3 – stk. 1 – nr.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7)</w:t>
            </w:r>
            <w:r>
              <w:tab/>
              <w:t xml:space="preserve">"strategiske reserver": en beholdning af varer af </w:t>
            </w:r>
            <w:r>
              <w:rPr>
                <w:b/>
                <w:i/>
              </w:rPr>
              <w:t>strategisk</w:t>
            </w:r>
            <w:r>
              <w:t xml:space="preserve"> betydning, for hvilke det kan være nødvendigt at opbygge en reserve for at forberede sig på en nødsituation for de</w:t>
            </w:r>
            <w:r>
              <w:t>t indre marked under en medlemsstats kontrol.</w:t>
            </w:r>
          </w:p>
        </w:tc>
        <w:tc>
          <w:tcPr>
            <w:tcW w:w="4876" w:type="dxa"/>
            <w:hideMark/>
          </w:tcPr>
          <w:p w:rsidR="003C0A2B" w:rsidRPr="006374E5" w:rsidRDefault="00DA22D1" w:rsidP="00E6740D">
            <w:pPr>
              <w:pStyle w:val="Normal6"/>
              <w:rPr>
                <w:szCs w:val="24"/>
              </w:rPr>
            </w:pPr>
            <w:r>
              <w:t>7)</w:t>
            </w:r>
            <w:r>
              <w:tab/>
              <w:t xml:space="preserve">"strategiske reserver": en beholdning af varer af </w:t>
            </w:r>
            <w:r>
              <w:rPr>
                <w:b/>
                <w:i/>
              </w:rPr>
              <w:t>kritisk</w:t>
            </w:r>
            <w:r>
              <w:t xml:space="preserve"> betydning, for hvilke det kan være nødvendigt at opbygge en reserve for at forberede sig på en nødsituation for det indre marked under en medlemsstat</w:t>
            </w:r>
            <w:r>
              <w:t xml:space="preserve">s kontrol. </w:t>
            </w:r>
          </w:p>
        </w:tc>
      </w:tr>
    </w:tbl>
    <w:p w:rsidR="003C0A2B" w:rsidRPr="006374E5" w:rsidRDefault="00DA22D1" w:rsidP="003C0A2B">
      <w:pPr>
        <w:rPr>
          <w:rStyle w:val="HideTWBExt"/>
          <w:b/>
        </w:rPr>
      </w:pPr>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42</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3 – stk. 1 – nr. 7 a (nyt)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rPr>
                <w:szCs w:val="24"/>
              </w:rPr>
            </w:pPr>
            <w:r>
              <w:rPr>
                <w:b/>
                <w:i/>
              </w:rPr>
              <w:t>7a)</w:t>
            </w:r>
            <w:r>
              <w:rPr>
                <w:b/>
                <w:i/>
              </w:rPr>
              <w:tab/>
              <w:t xml:space="preserve">"erhvervsdrivende": fabrikanten, den </w:t>
            </w:r>
            <w:r>
              <w:rPr>
                <w:b/>
                <w:i/>
              </w:rPr>
              <w:t xml:space="preserve">bemyndigede repræsentant, importøren og distributøren som defineret </w:t>
            </w:r>
            <w:r>
              <w:rPr>
                <w:b/>
                <w:i/>
              </w:rPr>
              <w:lastRenderedPageBreak/>
              <w:t>i (EF) nr. 765/2008 eller en tjenesteyder som defineret i direktiv 2006/123/EF.</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43</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4 – stk.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w:t>
            </w:r>
            <w:r>
              <w:tab/>
              <w:t>Den rådgivende gruppe sammensættes af én repræsentant for hver medlemsstat. Hver medlemsstat udpeger en repræsentant og en suppleant.</w:t>
            </w:r>
          </w:p>
        </w:tc>
        <w:tc>
          <w:tcPr>
            <w:tcW w:w="4876" w:type="dxa"/>
            <w:hideMark/>
          </w:tcPr>
          <w:p w:rsidR="003C0A2B" w:rsidRPr="006374E5" w:rsidRDefault="00DA22D1" w:rsidP="00E6740D">
            <w:pPr>
              <w:pStyle w:val="Normal6"/>
              <w:rPr>
                <w:szCs w:val="24"/>
              </w:rPr>
            </w:pPr>
            <w:r>
              <w:t>2.</w:t>
            </w:r>
            <w:r>
              <w:tab/>
              <w:t xml:space="preserve">Den rådgivende gruppe sammensættes af én </w:t>
            </w:r>
            <w:r>
              <w:t>repræsentant for hver medlemsstat</w:t>
            </w:r>
            <w:r>
              <w:rPr>
                <w:b/>
                <w:i/>
              </w:rPr>
              <w:t xml:space="preserve"> og fire repræsentanter for de europæiske arbejdsmarkedsparter</w:t>
            </w:r>
            <w:r>
              <w:t xml:space="preserve">. Hver medlemsstat udpeger en repræsentant og en suppleant. </w:t>
            </w:r>
            <w:r>
              <w:rPr>
                <w:b/>
                <w:i/>
              </w:rPr>
              <w:t>Tværfaglige arbejdsmarkedsorganisationer på EU-plan kan udpege fire repræsentanter til den rådgivende</w:t>
            </w:r>
            <w:r>
              <w:rPr>
                <w:b/>
                <w:i/>
              </w:rPr>
              <w:t xml:space="preserve"> gruppe med en ligelig repræsentation af fagforeninger og arbejdsgiverorganisationer.</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44</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4 – stk.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3.</w:t>
            </w:r>
            <w:r>
              <w:tab/>
              <w:t xml:space="preserve">Kommissionen leder den rådgivende gruppe og varetager dens sekretariat. </w:t>
            </w:r>
            <w:r>
              <w:rPr>
                <w:b/>
                <w:i/>
              </w:rPr>
              <w:t>Kommissionen kan indbyde en repræsentant</w:t>
            </w:r>
            <w:r>
              <w:t xml:space="preserve"> for </w:t>
            </w:r>
            <w:r>
              <w:rPr>
                <w:b/>
                <w:i/>
              </w:rPr>
              <w:t>Europa-Parlamentet</w:t>
            </w:r>
            <w:r>
              <w:t>, repræsentanter for de EFTA-stater, der er kontraherende parter i aftalen om Det Europæiske Økonomis</w:t>
            </w:r>
            <w:r>
              <w:t>ke Samarbejdsområde</w:t>
            </w:r>
            <w:r>
              <w:rPr>
                <w:b/>
                <w:i/>
              </w:rPr>
              <w:t>49</w:t>
            </w:r>
            <w:r>
              <w:t xml:space="preserve">, </w:t>
            </w:r>
            <w:r>
              <w:rPr>
                <w:b/>
                <w:i/>
              </w:rPr>
              <w:t>repræsentanter for økonomiske aktører, interesseorganisationer, arbejdsmarkedets parter og eksperter til at deltage i den rådgivende gruppes møder som observatører. Den indbyder</w:t>
            </w:r>
            <w:r>
              <w:t xml:space="preserve"> repræsentanter for </w:t>
            </w:r>
            <w:r>
              <w:rPr>
                <w:b/>
                <w:i/>
              </w:rPr>
              <w:t>andre kriserelevante organer på EU-p</w:t>
            </w:r>
            <w:r>
              <w:rPr>
                <w:b/>
                <w:i/>
              </w:rPr>
              <w:t>lan som observatører til de relevante møder</w:t>
            </w:r>
            <w:r>
              <w:t xml:space="preserve"> i den rådgivende gruppe.</w:t>
            </w:r>
          </w:p>
        </w:tc>
        <w:tc>
          <w:tcPr>
            <w:tcW w:w="4876" w:type="dxa"/>
            <w:hideMark/>
          </w:tcPr>
          <w:p w:rsidR="003C0A2B" w:rsidRPr="006374E5" w:rsidRDefault="00DA22D1" w:rsidP="00E6740D">
            <w:pPr>
              <w:pStyle w:val="Normal6"/>
              <w:rPr>
                <w:szCs w:val="24"/>
              </w:rPr>
            </w:pPr>
            <w:r>
              <w:t>3.</w:t>
            </w:r>
            <w:r>
              <w:tab/>
              <w:t xml:space="preserve">Kommissionen leder den rådgivende gruppe og varetager dens sekretariat. </w:t>
            </w:r>
            <w:r>
              <w:rPr>
                <w:b/>
                <w:i/>
              </w:rPr>
              <w:t>Den rådgivende gruppe indbyder repræsentanter</w:t>
            </w:r>
            <w:r>
              <w:t xml:space="preserve"> for </w:t>
            </w:r>
            <w:r>
              <w:rPr>
                <w:b/>
                <w:i/>
              </w:rPr>
              <w:t>andre kriserelevante organer på EU-plan</w:t>
            </w:r>
            <w:r>
              <w:t xml:space="preserve">, </w:t>
            </w:r>
            <w:r>
              <w:rPr>
                <w:b/>
                <w:i/>
              </w:rPr>
              <w:t xml:space="preserve">én uafhængig ekspert udpeget af Europa-Parlamentet og </w:t>
            </w:r>
            <w:r>
              <w:t xml:space="preserve">repræsentanter for de EFTA-stater, der er kontraherende parter i aftalen om Det Europæiske Økonomiske Samarbejdsområde, </w:t>
            </w:r>
            <w:r>
              <w:rPr>
                <w:b/>
                <w:i/>
              </w:rPr>
              <w:t>som observatører til de relevante møder. Den kan indbyde repræsentanter for erhver</w:t>
            </w:r>
            <w:r>
              <w:rPr>
                <w:b/>
                <w:i/>
              </w:rPr>
              <w:t>vsdrivende, fagforeninger, arbejdsgivere og interesseorganisationer, arbejdsmarkedets parter samt</w:t>
            </w:r>
            <w:r>
              <w:t xml:space="preserve"> repræsentanter for </w:t>
            </w:r>
            <w:r>
              <w:rPr>
                <w:b/>
                <w:i/>
              </w:rPr>
              <w:t>arbejdstagere og andre relevante eksperter til at deltage i møderne</w:t>
            </w:r>
            <w:r>
              <w:t xml:space="preserve"> i den </w:t>
            </w:r>
            <w:r>
              <w:lastRenderedPageBreak/>
              <w:t>rådgivende gruppe,</w:t>
            </w:r>
            <w:r>
              <w:rPr>
                <w:b/>
                <w:i/>
              </w:rPr>
              <w:t xml:space="preserve"> så de kan komme med input</w:t>
            </w:r>
            <w:r>
              <w:t>.</w:t>
            </w:r>
          </w:p>
        </w:tc>
      </w:tr>
      <w:tr w:rsidR="00AF0ABA" w:rsidTr="00E6740D">
        <w:trPr>
          <w:jc w:val="center"/>
        </w:trPr>
        <w:tc>
          <w:tcPr>
            <w:tcW w:w="4876" w:type="dxa"/>
            <w:hideMark/>
          </w:tcPr>
          <w:p w:rsidR="003C0A2B" w:rsidRPr="006374E5" w:rsidRDefault="00DA22D1" w:rsidP="00E6740D">
            <w:pPr>
              <w:pStyle w:val="Normal6"/>
            </w:pPr>
            <w:r>
              <w:lastRenderedPageBreak/>
              <w:t>__________________</w:t>
            </w:r>
          </w:p>
        </w:tc>
        <w:tc>
          <w:tcPr>
            <w:tcW w:w="4876" w:type="dxa"/>
            <w:hideMark/>
          </w:tcPr>
          <w:p w:rsidR="003C0A2B" w:rsidRPr="006374E5" w:rsidRDefault="00DA22D1" w:rsidP="00E6740D">
            <w:pPr>
              <w:pStyle w:val="Normal6"/>
              <w:rPr>
                <w:szCs w:val="24"/>
              </w:rPr>
            </w:pPr>
            <w:r>
              <w:t>__________________</w:t>
            </w:r>
          </w:p>
        </w:tc>
      </w:tr>
      <w:tr w:rsidR="00AF0ABA" w:rsidTr="00E6740D">
        <w:trPr>
          <w:jc w:val="center"/>
        </w:trPr>
        <w:tc>
          <w:tcPr>
            <w:tcW w:w="4876" w:type="dxa"/>
            <w:hideMark/>
          </w:tcPr>
          <w:p w:rsidR="003C0A2B" w:rsidRPr="006374E5" w:rsidRDefault="00DA22D1" w:rsidP="00E6740D">
            <w:pPr>
              <w:pStyle w:val="Normal6"/>
            </w:pPr>
            <w:r>
              <w:rPr>
                <w:vertAlign w:val="superscript"/>
              </w:rPr>
              <w:t>49</w:t>
            </w:r>
            <w:r>
              <w:t xml:space="preserve"> EUT L 1 af 3.1.1994, s. 3.</w:t>
            </w:r>
          </w:p>
        </w:tc>
        <w:tc>
          <w:tcPr>
            <w:tcW w:w="4876" w:type="dxa"/>
            <w:hideMark/>
          </w:tcPr>
          <w:p w:rsidR="003C0A2B" w:rsidRPr="006374E5" w:rsidRDefault="00DA22D1" w:rsidP="00E6740D">
            <w:pPr>
              <w:pStyle w:val="Normal6"/>
              <w:rPr>
                <w:szCs w:val="24"/>
              </w:rPr>
            </w:pPr>
            <w:r>
              <w:rPr>
                <w:vertAlign w:val="superscript"/>
              </w:rPr>
              <w:t>49</w:t>
            </w:r>
            <w:r>
              <w:t xml:space="preserve"> EUT L 1 af 3.1.1994, s. 3.</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45</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4 – stk. 4 – indledning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4.</w:t>
            </w:r>
            <w:r>
              <w:tab/>
              <w:t>Med henblik på beredskabsplanlægning i henhold til artikel 6-8 bistår og rådgiver den rådgivende gruppe Kommissionen i forbindelse med følgende opgaver:</w:t>
            </w:r>
          </w:p>
        </w:tc>
        <w:tc>
          <w:tcPr>
            <w:tcW w:w="4876" w:type="dxa"/>
            <w:hideMark/>
          </w:tcPr>
          <w:p w:rsidR="003C0A2B" w:rsidRPr="006374E5" w:rsidRDefault="00DA22D1" w:rsidP="00E6740D">
            <w:pPr>
              <w:pStyle w:val="Normal6"/>
              <w:rPr>
                <w:szCs w:val="24"/>
              </w:rPr>
            </w:pPr>
            <w:r>
              <w:t>4.</w:t>
            </w:r>
            <w:r>
              <w:tab/>
              <w:t xml:space="preserve">Med henblik på </w:t>
            </w:r>
            <w:r>
              <w:rPr>
                <w:b/>
                <w:i/>
              </w:rPr>
              <w:t>at styrke det indre markeds modstandsdygtighed og et velfungerend</w:t>
            </w:r>
            <w:r>
              <w:rPr>
                <w:b/>
                <w:i/>
              </w:rPr>
              <w:t xml:space="preserve">e indre marked samt </w:t>
            </w:r>
            <w:r>
              <w:t>beredskabsplanlægning i henhold til artikel 6-8 bistår og rådgiver den rådgivende gruppe Kommissionen i forbindelse med følgende opgaver:</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46</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4 – stk. 4 – litra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b)</w:t>
            </w:r>
            <w:r>
              <w:tab/>
              <w:t>vurdere væsentlige hændelser, som medlemsstaterne har advaret Kommissionen om.</w:t>
            </w:r>
          </w:p>
        </w:tc>
        <w:tc>
          <w:tcPr>
            <w:tcW w:w="4876" w:type="dxa"/>
            <w:hideMark/>
          </w:tcPr>
          <w:p w:rsidR="003C0A2B" w:rsidRPr="006374E5" w:rsidRDefault="00DA22D1" w:rsidP="00E6740D">
            <w:pPr>
              <w:pStyle w:val="Normal6"/>
              <w:rPr>
                <w:szCs w:val="24"/>
              </w:rPr>
            </w:pPr>
            <w:r>
              <w:t>b)</w:t>
            </w:r>
            <w:r>
              <w:tab/>
              <w:t>(Vedrører ikke den danske tekst)</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47</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4 – stk. 5 – litra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c)</w:t>
            </w:r>
            <w:r>
              <w:tab/>
              <w:t xml:space="preserve">foretage høringer af repræsentanterne for økonomiske aktører, herunder SMV'er, og industrien med henblik på </w:t>
            </w:r>
            <w:r>
              <w:t>indsamling af markedsoplysninger</w:t>
            </w:r>
          </w:p>
        </w:tc>
        <w:tc>
          <w:tcPr>
            <w:tcW w:w="4876" w:type="dxa"/>
            <w:hideMark/>
          </w:tcPr>
          <w:p w:rsidR="003C0A2B" w:rsidRPr="006374E5" w:rsidRDefault="00DA22D1" w:rsidP="00E6740D">
            <w:pPr>
              <w:pStyle w:val="Normal6"/>
              <w:rPr>
                <w:szCs w:val="24"/>
              </w:rPr>
            </w:pPr>
            <w:r>
              <w:t>c)</w:t>
            </w:r>
            <w:r>
              <w:tab/>
              <w:t>foretage høringer af repræsentanterne for økonomiske aktører, herunder SMV'er, og industrien</w:t>
            </w:r>
            <w:r>
              <w:rPr>
                <w:b/>
                <w:i/>
              </w:rPr>
              <w:t>, og, hvor det er relevant, for fagforeninger og arbejdsgiverorganisationer,</w:t>
            </w:r>
            <w:r>
              <w:t xml:space="preserve"> med henblik </w:t>
            </w:r>
            <w:r>
              <w:lastRenderedPageBreak/>
              <w:t>på indsamling af markedsoplysninger</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lastRenderedPageBreak/>
        <w:t>&lt;/</w:t>
      </w:r>
      <w:r>
        <w:rPr>
          <w:rStyle w:val="HideTWBExt"/>
        </w:rPr>
        <w: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48</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4 – stk. 5 – litra c a (nyt)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rPr>
                <w:szCs w:val="24"/>
              </w:rPr>
            </w:pPr>
            <w:r>
              <w:rPr>
                <w:b/>
                <w:i/>
              </w:rPr>
              <w:t>ca)</w:t>
            </w:r>
            <w:r>
              <w:rPr>
                <w:b/>
                <w:i/>
              </w:rPr>
              <w:tab/>
              <w:t xml:space="preserve">foretage høringer af repræsentanter for fagforeninger og </w:t>
            </w:r>
            <w:r>
              <w:rPr>
                <w:b/>
                <w:i/>
              </w:rPr>
              <w:t>arbejdsgivere for bedre at forstå de sociale og arbejdsmarkedsmæssige konsekvenser af potentielle kriser og tilknyttede foranstaltninger, navnlig om arbejdstagernes rettigheder og arbejdskraftens frie bevægelighed, idet der lægges særlig vægt på mobile arb</w:t>
            </w:r>
            <w:r>
              <w:rPr>
                <w:b/>
                <w:i/>
              </w:rPr>
              <w:t>ejdstagere, herunder grænsearbejdere og -pendlere</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49</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4 – stk. 5 – litra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f)</w:t>
            </w:r>
            <w:r>
              <w:tab/>
              <w:t xml:space="preserve">vedligeholde et </w:t>
            </w:r>
            <w:r>
              <w:t>register over nationale kriseforanstaltninger og EU-kriseforanstaltninger, der er blevet anvendt under tidligere kriser, som har haft en indvirkning på det indre marked og dets forsyningskæder.</w:t>
            </w:r>
          </w:p>
        </w:tc>
        <w:tc>
          <w:tcPr>
            <w:tcW w:w="4876" w:type="dxa"/>
            <w:hideMark/>
          </w:tcPr>
          <w:p w:rsidR="003C0A2B" w:rsidRPr="006374E5" w:rsidRDefault="00DA22D1" w:rsidP="00E6740D">
            <w:pPr>
              <w:pStyle w:val="Normal6"/>
              <w:rPr>
                <w:szCs w:val="24"/>
              </w:rPr>
            </w:pPr>
            <w:r>
              <w:t>f)</w:t>
            </w:r>
            <w:r>
              <w:tab/>
              <w:t>vedligeholde et register over nationale kriseforanstaltning</w:t>
            </w:r>
            <w:r>
              <w:t>er og EU-kriseforanstaltninger, der er blevet anvendt under tidligere kriser, som har haft en indvirkning på det indre marked og dets forsyningskæder</w:t>
            </w:r>
            <w:r>
              <w:rPr>
                <w:b/>
                <w:i/>
              </w:rPr>
              <w:t>, men også på arbejdsmarkedet, arbejdstagernes rettigheder, arbejdsvilkår og arbejdskraftens frie bevægelig</w:t>
            </w:r>
            <w:r>
              <w:rPr>
                <w:b/>
                <w:i/>
              </w:rPr>
              <w:t>hed</w:t>
            </w:r>
            <w:r>
              <w:t>.</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50</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4 – stk. 6 – litra a a (nyt)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rPr>
                <w:szCs w:val="24"/>
              </w:rPr>
            </w:pPr>
            <w:r>
              <w:rPr>
                <w:b/>
                <w:i/>
              </w:rPr>
              <w:t>aa)</w:t>
            </w:r>
            <w:r>
              <w:rPr>
                <w:b/>
                <w:i/>
              </w:rPr>
              <w:tab/>
              <w:t xml:space="preserve">foretage høringer af repræsentanter for </w:t>
            </w:r>
            <w:r>
              <w:rPr>
                <w:b/>
                <w:i/>
              </w:rPr>
              <w:t>fagforeninger og arbejdsgivere om nødsituationens indvirkning på arbejdsmarkedet og den frie bevægelighed for arbejdstagere, navnlig mobile arbejdstagere, herunder grænsearbejdere og -pendlere</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51</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4 – stk. 6 – litra a b (nyt)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rPr>
                <w:szCs w:val="24"/>
              </w:rPr>
            </w:pPr>
            <w:r>
              <w:rPr>
                <w:b/>
                <w:i/>
              </w:rPr>
              <w:t>ab)</w:t>
            </w:r>
            <w:r>
              <w:rPr>
                <w:b/>
                <w:i/>
              </w:rPr>
              <w:tab/>
              <w:t xml:space="preserve">foretage høringer af repræsentanterne for økonomiske aktører, herunder SMV'er og industrien og, hvor det er relevant, </w:t>
            </w:r>
            <w:r>
              <w:rPr>
                <w:b/>
                <w:i/>
              </w:rPr>
              <w:t>for fagforeninger og arbejdsgiverorganisationer med henblik på indsamling af markedsoplysninger og vurdering af virkningen af nødsituationen som omhandlet i artikel 3, stk. 3</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52</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 xml:space="preserve">Forslag til </w:t>
      </w:r>
      <w:r>
        <w:t>forordning</w:t>
      </w:r>
      <w:r>
        <w:rPr>
          <w:rStyle w:val="HideTWBExt"/>
        </w:rPr>
        <w:t>&lt;/DocAmend&gt;</w:t>
      </w:r>
    </w:p>
    <w:p w:rsidR="003C0A2B" w:rsidRPr="006374E5" w:rsidRDefault="00DA22D1" w:rsidP="003C0A2B">
      <w:pPr>
        <w:pStyle w:val="NormalBold"/>
      </w:pPr>
      <w:r>
        <w:rPr>
          <w:rStyle w:val="HideTWBExt"/>
        </w:rPr>
        <w:t>&lt;Article&gt;</w:t>
      </w:r>
      <w:r>
        <w:t>Artikel 4 – stk. 6 – litra d a (nyt)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rPr>
                <w:szCs w:val="24"/>
              </w:rPr>
            </w:pPr>
            <w:r>
              <w:rPr>
                <w:b/>
                <w:i/>
              </w:rPr>
              <w:t>da)</w:t>
            </w:r>
            <w:r>
              <w:rPr>
                <w:b/>
                <w:i/>
              </w:rPr>
              <w:tab/>
              <w:t xml:space="preserve">foreslå og vurdere foranstaltninger til styrkelse af det indre markeds modstandsdygtighed, såsom kortlægning af relevante </w:t>
            </w:r>
            <w:r>
              <w:rPr>
                <w:b/>
                <w:i/>
              </w:rPr>
              <w:t>forsyningskæder og stresstest</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53</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4 – stk.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7.</w:t>
            </w:r>
            <w:r>
              <w:tab/>
              <w:t xml:space="preserve">Kommissionen sikrer deltagelse af alle organer </w:t>
            </w:r>
            <w:r>
              <w:t>på EU-plan, der er relevante for den respektive krise. Den rådgivende gruppe samarbejder og koordinerer, hvor det er relevant, tæt med andre relevante kriserelaterede organer på EU-plan. Kommissionen sikrer koordinering med de foranstaltninger, der gennemf</w:t>
            </w:r>
            <w:r>
              <w:t>øres gennem andre EU-mekanismer, såsom EU-civilbeskyttelsesmekanismen eller EU's ramme for sundhedssikkerhed. Den rådgivende gruppe skal sikre udveksling af oplysninger med Katastrofeberedskabskoordinationscentret under EU-civilbeskyttelsesmekanismen.</w:t>
            </w:r>
          </w:p>
        </w:tc>
        <w:tc>
          <w:tcPr>
            <w:tcW w:w="4876" w:type="dxa"/>
            <w:hideMark/>
          </w:tcPr>
          <w:p w:rsidR="003C0A2B" w:rsidRPr="006374E5" w:rsidRDefault="00DA22D1" w:rsidP="00E6740D">
            <w:pPr>
              <w:pStyle w:val="Normal6"/>
              <w:rPr>
                <w:szCs w:val="24"/>
              </w:rPr>
            </w:pPr>
            <w:r>
              <w:t>7.</w:t>
            </w:r>
            <w:r>
              <w:tab/>
              <w:t>K</w:t>
            </w:r>
            <w:r>
              <w:t>ommissionen sikrer deltagelse af alle organer på EU-plan, der er relevante for den respektive krise. Den rådgivende gruppe samarbejder og koordinerer, hvor det er relevant, tæt med andre relevante kriserelaterede organer på EU-plan. Kommissionen sikrer koo</w:t>
            </w:r>
            <w:r>
              <w:t>rdinering med de foranstaltninger, der gennemføres gennem andre EU-mekanismer, såsom EU-civilbeskyttelsesmekanismen eller EU's ramme for sundhedssikkerhed. Den rådgivende gruppe skal sikre udveksling af oplysninger med Katastrofeberedskabskoordinationscent</w:t>
            </w:r>
            <w:r>
              <w:t xml:space="preserve">ret under EU-civilbeskyttelsesmekanismen. </w:t>
            </w:r>
            <w:r>
              <w:rPr>
                <w:b/>
                <w:i/>
              </w:rPr>
              <w:t>Kommissionen aflægger rapport om den rådgivende gruppes arbejde til Europa-Parlamentet mindst én gang om året og hyppigere i krisetider.</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54</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w:t>
      </w:r>
      <w:r>
        <w:t>rordning</w:t>
      </w:r>
      <w:r>
        <w:rPr>
          <w:rStyle w:val="HideTWBExt"/>
        </w:rPr>
        <w:t>&lt;/DocAmend&gt;</w:t>
      </w:r>
    </w:p>
    <w:p w:rsidR="003C0A2B" w:rsidRPr="006374E5" w:rsidRDefault="00DA22D1" w:rsidP="003C0A2B">
      <w:pPr>
        <w:pStyle w:val="NormalBold"/>
      </w:pPr>
      <w:r>
        <w:rPr>
          <w:rStyle w:val="HideTWBExt"/>
        </w:rPr>
        <w:t>&lt;Article&gt;</w:t>
      </w:r>
      <w:r>
        <w:t>Artikel 4 – stk.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9.</w:t>
            </w:r>
            <w:r>
              <w:tab/>
              <w:t>Den rådgivende gruppe kan vedtage udtalelser, henstillinger eller rapporter inden for rammerne af sine opgaver, jf. stk. 4-6.</w:t>
            </w:r>
          </w:p>
        </w:tc>
        <w:tc>
          <w:tcPr>
            <w:tcW w:w="4876" w:type="dxa"/>
            <w:hideMark/>
          </w:tcPr>
          <w:p w:rsidR="003C0A2B" w:rsidRPr="006374E5" w:rsidRDefault="00DA22D1" w:rsidP="00E6740D">
            <w:pPr>
              <w:pStyle w:val="Normal6"/>
              <w:rPr>
                <w:szCs w:val="24"/>
              </w:rPr>
            </w:pPr>
            <w:r>
              <w:t>9.</w:t>
            </w:r>
            <w:r>
              <w:tab/>
              <w:t>Den rådgivende gruppe kan</w:t>
            </w:r>
            <w:r>
              <w:t xml:space="preserve"> vedtage udtalelser, henstillinger eller rapporter inden for rammerne af sine opgaver, jf. stk. 4-6. </w:t>
            </w:r>
            <w:r>
              <w:rPr>
                <w:b/>
                <w:i/>
              </w:rPr>
              <w:t>Udtalelser, henstillinger og rapporter fra den rådgivende gruppe offentliggøres, for så vidt de er i overensstemmelse med direktiv 2016/943, og for så vidt</w:t>
            </w:r>
            <w:r>
              <w:rPr>
                <w:b/>
                <w:i/>
              </w:rPr>
              <w:t xml:space="preserve"> deres offentliggørelse ikke strider mod den offentlige orden og sikkerhedsinteresser.</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55</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6 – stk. 1 – indledning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 xml:space="preserve">Kommissionens </w:t>
            </w:r>
            <w:r>
              <w:t>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1.</w:t>
            </w:r>
            <w:r>
              <w:tab/>
              <w:t xml:space="preserve">Under hensyntagen til udtalelsen fra den rådgivende gruppe og input fra relevante organer på EU-plan </w:t>
            </w:r>
            <w:r>
              <w:rPr>
                <w:b/>
                <w:i/>
              </w:rPr>
              <w:t>tillægges Kommissionen beføjelse til</w:t>
            </w:r>
            <w:r>
              <w:t xml:space="preserve"> efter høring af medlemsstaterne at vedtage en delegeret retsakt med henblik på at supplere</w:t>
            </w:r>
            <w:r>
              <w:t xml:space="preserve"> denne forordning med en ramme, der fastsætter kriseprotokoller vedrørende krisesamarbejde, udveksling af oplysninger og krisekommunikation for overvågnings- og nødsituationstilstand for det indre marked, navnlig:</w:t>
            </w:r>
          </w:p>
        </w:tc>
        <w:tc>
          <w:tcPr>
            <w:tcW w:w="4876" w:type="dxa"/>
            <w:hideMark/>
          </w:tcPr>
          <w:p w:rsidR="003C0A2B" w:rsidRPr="006374E5" w:rsidRDefault="00DA22D1" w:rsidP="00E6740D">
            <w:pPr>
              <w:pStyle w:val="Normal6"/>
              <w:rPr>
                <w:szCs w:val="24"/>
              </w:rPr>
            </w:pPr>
            <w:r>
              <w:t>1.</w:t>
            </w:r>
            <w:r>
              <w:tab/>
              <w:t>Under hensyntagen til udtalelsen fra de</w:t>
            </w:r>
            <w:r>
              <w:t xml:space="preserve">n rådgivende gruppe og input fra relevante organer på EU-plan </w:t>
            </w:r>
            <w:r>
              <w:rPr>
                <w:b/>
                <w:i/>
              </w:rPr>
              <w:t>og</w:t>
            </w:r>
            <w:r>
              <w:t xml:space="preserve"> efter høring af medlemsstaterne</w:t>
            </w:r>
            <w:r>
              <w:rPr>
                <w:b/>
                <w:i/>
              </w:rPr>
              <w:t xml:space="preserve"> tillægges Kommissionen beføjelse til</w:t>
            </w:r>
            <w:r>
              <w:t xml:space="preserve"> at vedtage en delegeret retsakt med henblik på at supplere denne forordning med en ramme, der fastsætter kriseprotokoller </w:t>
            </w:r>
            <w:r>
              <w:t>vedrørende krisesamarbejde, udveksling af oplysninger og krisekommunikation for overvågnings- og nødsituationstilstand for det indre marked, navnlig:</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56</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6 – stk. 1 – litra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c)</w:t>
            </w:r>
            <w:r>
              <w:tab/>
              <w:t>en koordineret tilgang til risiko- og krisekommunikation, også over for offentligheden, med en koordinerende rolle for Kommissionen</w:t>
            </w:r>
          </w:p>
        </w:tc>
        <w:tc>
          <w:tcPr>
            <w:tcW w:w="4876" w:type="dxa"/>
            <w:hideMark/>
          </w:tcPr>
          <w:p w:rsidR="003C0A2B" w:rsidRPr="006374E5" w:rsidRDefault="00DA22D1" w:rsidP="00E6740D">
            <w:pPr>
              <w:pStyle w:val="Normal6"/>
              <w:rPr>
                <w:szCs w:val="24"/>
              </w:rPr>
            </w:pPr>
            <w:r>
              <w:t>c)</w:t>
            </w:r>
            <w:r>
              <w:tab/>
            </w:r>
            <w:r>
              <w:t xml:space="preserve">en koordineret tilgang til risiko- og krisekommunikation, også over for offentligheden, </w:t>
            </w:r>
            <w:r>
              <w:rPr>
                <w:b/>
                <w:i/>
              </w:rPr>
              <w:t xml:space="preserve">økonomiske aktører, arbejdstagere, arbejdsgivere, fagforeninger og andre relevante interessenter, </w:t>
            </w:r>
            <w:r>
              <w:t>med en koordinerende rolle for Kommissionen</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w:t>
      </w:r>
      <w:r>
        <w:t>orslag</w:t>
      </w:r>
      <w:r>
        <w:tab/>
      </w:r>
      <w:r>
        <w:tab/>
      </w:r>
      <w:r>
        <w:rPr>
          <w:rStyle w:val="HideTWBExt"/>
        </w:rPr>
        <w:t>&lt;NumAm&gt;</w:t>
      </w:r>
      <w:r>
        <w:t>57</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6 – stk. 1 a (nyt)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rPr>
                <w:szCs w:val="24"/>
              </w:rPr>
            </w:pPr>
            <w:r>
              <w:rPr>
                <w:b/>
                <w:i/>
              </w:rPr>
              <w:t>1a.</w:t>
            </w:r>
            <w:r>
              <w:rPr>
                <w:b/>
                <w:i/>
              </w:rPr>
              <w:tab/>
              <w:t xml:space="preserve">Hvis Kommissionen i forbindelse med vedtagelsen af en delegeret retsakt ikke tager højde for </w:t>
            </w:r>
            <w:r>
              <w:rPr>
                <w:b/>
                <w:i/>
              </w:rPr>
              <w:t>udtalelsen fra den rådgivende gruppe, giver den en skriftlig begrundelse herfor.</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58</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6 – stk. 2 – litra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b)</w:t>
            </w:r>
            <w:r>
              <w:tab/>
              <w:t xml:space="preserve">høring af repræsentanter for økonomiske aktører </w:t>
            </w:r>
            <w:r>
              <w:rPr>
                <w:b/>
                <w:i/>
              </w:rPr>
              <w:t>og arbejdsmarkedets parter, herunder SMV'er</w:t>
            </w:r>
            <w:r>
              <w:t xml:space="preserve">, </w:t>
            </w:r>
            <w:r>
              <w:rPr>
                <w:b/>
                <w:i/>
              </w:rPr>
              <w:t>om deres</w:t>
            </w:r>
            <w:r>
              <w:t xml:space="preserve"> initiativer og foranstaltninger til at afbøde og reagere på potentielle forstyrrelser i forsyningskæden og overvinde potentielle mangl</w:t>
            </w:r>
            <w:r>
              <w:t>er på varer og tjenesteydelser på det indre marked</w:t>
            </w:r>
          </w:p>
        </w:tc>
        <w:tc>
          <w:tcPr>
            <w:tcW w:w="4876" w:type="dxa"/>
            <w:hideMark/>
          </w:tcPr>
          <w:p w:rsidR="003C0A2B" w:rsidRPr="006374E5" w:rsidRDefault="00DA22D1" w:rsidP="00E6740D">
            <w:pPr>
              <w:pStyle w:val="Normal6"/>
              <w:rPr>
                <w:szCs w:val="24"/>
              </w:rPr>
            </w:pPr>
            <w:r>
              <w:t>b)</w:t>
            </w:r>
            <w:r>
              <w:tab/>
              <w:t>høring af repræsentanter for økonomiske aktører</w:t>
            </w:r>
            <w:r>
              <w:rPr>
                <w:b/>
                <w:i/>
              </w:rPr>
              <w:t>,</w:t>
            </w:r>
            <w:r>
              <w:t xml:space="preserve"> </w:t>
            </w:r>
            <w:r>
              <w:rPr>
                <w:b/>
                <w:i/>
              </w:rPr>
              <w:t xml:space="preserve"> herunder SMV'er og industrien</w:t>
            </w:r>
            <w:r>
              <w:t xml:space="preserve">, </w:t>
            </w:r>
            <w:r>
              <w:rPr>
                <w:b/>
                <w:i/>
              </w:rPr>
              <w:t>samt fagforeninger og arbejdsgivere om</w:t>
            </w:r>
            <w:r>
              <w:t xml:space="preserve"> initiativer og foranstaltninger til at afbøde og reagere på potentielle forstyrrel</w:t>
            </w:r>
            <w:r>
              <w:t>ser i forsyningskæden og</w:t>
            </w:r>
            <w:r>
              <w:rPr>
                <w:b/>
                <w:i/>
              </w:rPr>
              <w:t xml:space="preserve"> forstyrrelser af arbejdstagernes frie bevægelighed og til at</w:t>
            </w:r>
            <w:r>
              <w:t xml:space="preserve"> overvinde potentielle mangler på varer og tjenesteydelser på det indre marked</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59</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6 – stk. 2 – litra b a (nyt)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rPr>
                <w:szCs w:val="24"/>
              </w:rPr>
            </w:pPr>
            <w:r>
              <w:rPr>
                <w:b/>
                <w:i/>
              </w:rPr>
              <w:t>ba)</w:t>
            </w:r>
            <w:r>
              <w:rPr>
                <w:b/>
                <w:i/>
              </w:rPr>
              <w:tab/>
              <w:t xml:space="preserve">høring af økonomiske aktører, herunder SMV'er og industrien, samt fagforeninger og arbejdsgivere om initiativers og foranstaltningers </w:t>
            </w:r>
            <w:r>
              <w:rPr>
                <w:b/>
                <w:i/>
              </w:rPr>
              <w:t>indvirkning på arbejdsmarkedet, sundhed og sikkerhed på arbejdspladsen, arbejdsvilkår og arbejdstagernes grundlæggende rettigheder, herunder på områder af afgørende betydning</w:t>
            </w:r>
          </w:p>
        </w:tc>
      </w:tr>
    </w:tbl>
    <w:p w:rsidR="003C0A2B" w:rsidRPr="006374E5" w:rsidRDefault="00DA22D1" w:rsidP="003C0A2B">
      <w:pPr>
        <w:rPr>
          <w:rStyle w:val="HideTWBExt"/>
          <w:rFonts w:ascii="Times New Roman" w:hAnsi="Times New Roman" w:cs="Times New Roman"/>
          <w:b/>
          <w:noProof w:val="0"/>
          <w:vanish w:val="0"/>
          <w:color w:val="auto"/>
          <w:sz w:val="24"/>
        </w:rPr>
      </w:pPr>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60</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 xml:space="preserve">Forslag til </w:t>
      </w:r>
      <w:r>
        <w:t>forordning</w:t>
      </w:r>
      <w:r>
        <w:rPr>
          <w:rStyle w:val="HideTWBExt"/>
        </w:rPr>
        <w:t>&lt;/DocAmend&gt;</w:t>
      </w:r>
    </w:p>
    <w:p w:rsidR="003C0A2B" w:rsidRPr="006374E5" w:rsidRDefault="00DA22D1" w:rsidP="003C0A2B">
      <w:pPr>
        <w:pStyle w:val="NormalBold"/>
      </w:pPr>
      <w:r>
        <w:rPr>
          <w:rStyle w:val="HideTWBExt"/>
        </w:rPr>
        <w:t>&lt;Article&gt;</w:t>
      </w:r>
      <w:r>
        <w:t>Artikel 8 – stk. 3 – litra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a)</w:t>
            </w:r>
            <w:r>
              <w:tab/>
            </w:r>
            <w:r>
              <w:rPr>
                <w:b/>
                <w:i/>
              </w:rPr>
              <w:t>antallet af</w:t>
            </w:r>
            <w:r>
              <w:t xml:space="preserve"> økonomiske aktører, der er berørt af forstyrrelsen eller den potentielle forstyrrelse</w:t>
            </w:r>
          </w:p>
        </w:tc>
        <w:tc>
          <w:tcPr>
            <w:tcW w:w="4876" w:type="dxa"/>
            <w:hideMark/>
          </w:tcPr>
          <w:p w:rsidR="003C0A2B" w:rsidRPr="006374E5" w:rsidRDefault="00DA22D1" w:rsidP="00E6740D">
            <w:pPr>
              <w:pStyle w:val="Normal6"/>
              <w:rPr>
                <w:szCs w:val="24"/>
              </w:rPr>
            </w:pPr>
            <w:r>
              <w:t>a)</w:t>
            </w:r>
            <w:r>
              <w:tab/>
            </w:r>
            <w:r>
              <w:rPr>
                <w:b/>
                <w:i/>
              </w:rPr>
              <w:t>et anslået antal</w:t>
            </w:r>
            <w:r>
              <w:t xml:space="preserve"> økonomiske aktører</w:t>
            </w:r>
            <w:r>
              <w:rPr>
                <w:b/>
                <w:i/>
              </w:rPr>
              <w:t xml:space="preserve"> og arbejdstagere</w:t>
            </w:r>
            <w:r>
              <w:t>, der er berørt af forstyrrelsen eller den potentielle forstyrrelse</w:t>
            </w:r>
            <w:r>
              <w:rPr>
                <w:b/>
                <w:i/>
              </w:rPr>
              <w:t xml:space="preserve">, herunder mulige forstyrrelser på arbejdsmarkedet og i forbindelse med </w:t>
            </w:r>
            <w:r>
              <w:rPr>
                <w:b/>
                <w:i/>
              </w:rPr>
              <w:lastRenderedPageBreak/>
              <w:t>arbejdstagernes frie bevægelighed, idet der lægges særlig vægt på mobile arbejdstagere, herunder græ</w:t>
            </w:r>
            <w:r>
              <w:rPr>
                <w:b/>
                <w:i/>
              </w:rPr>
              <w:t>nsearbejdere og -pendlere</w:t>
            </w:r>
          </w:p>
        </w:tc>
      </w:tr>
    </w:tbl>
    <w:p w:rsidR="003C0A2B" w:rsidRPr="006374E5" w:rsidRDefault="00DA22D1" w:rsidP="003C0A2B">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61</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9 – stk. 1 – litra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b)</w:t>
            </w:r>
            <w:r>
              <w:tab/>
            </w:r>
            <w:r>
              <w:t xml:space="preserve">liste over de pågældende varer og tjenesteydelser af </w:t>
            </w:r>
            <w:r>
              <w:rPr>
                <w:b/>
                <w:i/>
              </w:rPr>
              <w:t>strategisk</w:t>
            </w:r>
            <w:r>
              <w:t xml:space="preserve"> betydning og</w:t>
            </w:r>
          </w:p>
        </w:tc>
        <w:tc>
          <w:tcPr>
            <w:tcW w:w="4876" w:type="dxa"/>
            <w:hideMark/>
          </w:tcPr>
          <w:p w:rsidR="003C0A2B" w:rsidRPr="006374E5" w:rsidRDefault="00DA22D1" w:rsidP="00E6740D">
            <w:pPr>
              <w:pStyle w:val="Normal6"/>
              <w:rPr>
                <w:szCs w:val="24"/>
              </w:rPr>
            </w:pPr>
            <w:r>
              <w:t>b)</w:t>
            </w:r>
            <w:r>
              <w:tab/>
              <w:t xml:space="preserve">liste over de pågældende varer og tjenesteydelser af </w:t>
            </w:r>
            <w:r>
              <w:rPr>
                <w:b/>
                <w:i/>
              </w:rPr>
              <w:t>kritisk</w:t>
            </w:r>
            <w:r>
              <w:t xml:space="preserve"> betydning og</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62</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9 – stk.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w:t>
            </w:r>
            <w:r>
              <w:tab/>
              <w:t>Den i stk. 1 omhandlede gennemførelsesretsakt vedtages efter undersøgelsesproceduren i artikel 42, stk. 2.</w:t>
            </w:r>
          </w:p>
        </w:tc>
        <w:tc>
          <w:tcPr>
            <w:tcW w:w="4876" w:type="dxa"/>
            <w:hideMark/>
          </w:tcPr>
          <w:p w:rsidR="003C0A2B" w:rsidRPr="006374E5" w:rsidRDefault="00DA22D1" w:rsidP="00E6740D">
            <w:pPr>
              <w:pStyle w:val="Normal6"/>
              <w:rPr>
                <w:szCs w:val="24"/>
              </w:rPr>
            </w:pPr>
            <w:r>
              <w:rPr>
                <w:b/>
                <w:i/>
              </w:rPr>
              <w:t>2.</w:t>
            </w:r>
            <w:r>
              <w:tab/>
              <w:t xml:space="preserve">Den i stk. 1 omhandlede gennemførelsesretsakt vedtages efter </w:t>
            </w:r>
            <w:r>
              <w:t xml:space="preserve">undersøgelsesproceduren i artikel 42, stk. 2. </w:t>
            </w:r>
            <w:r>
              <w:rPr>
                <w:b/>
                <w:i/>
              </w:rPr>
              <w:t>Kommissionen meddeler uden unødig forsinkelse Europa-Parlamentet og Rådet enhver aktivering af overvågningstilstanden.</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63</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w:t>
      </w:r>
      <w:r>
        <w:rPr>
          <w:rStyle w:val="HideTWBExt"/>
        </w:rPr>
        <w:t>mend&gt;</w:t>
      </w:r>
    </w:p>
    <w:p w:rsidR="003C0A2B" w:rsidRPr="006374E5" w:rsidRDefault="00DA22D1" w:rsidP="003C0A2B">
      <w:pPr>
        <w:pStyle w:val="NormalBold"/>
      </w:pPr>
      <w:r>
        <w:rPr>
          <w:rStyle w:val="HideTWBExt"/>
        </w:rPr>
        <w:t>&lt;Article&gt;</w:t>
      </w:r>
      <w:r>
        <w:t>Artikel 10 – stk.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1.</w:t>
            </w:r>
            <w:r>
              <w:tab/>
              <w:t xml:space="preserve">Kommissionen kan, hvis den finder, at årsagerne til aktivering af overvågningstilstanden i henhold til artikel 9, stk. 1, fortsat er gyldige, og under hensyntagen til </w:t>
            </w:r>
            <w:r>
              <w:t xml:space="preserve">udtalelsen fra den rådgivende gruppe, ved hjælp af en gennemførelsesretsakt forlænge overvågningstilstanden med højst seks </w:t>
            </w:r>
            <w:r>
              <w:lastRenderedPageBreak/>
              <w:t>måneder.</w:t>
            </w:r>
          </w:p>
        </w:tc>
        <w:tc>
          <w:tcPr>
            <w:tcW w:w="4876" w:type="dxa"/>
            <w:hideMark/>
          </w:tcPr>
          <w:p w:rsidR="003C0A2B" w:rsidRPr="006374E5" w:rsidRDefault="00DA22D1" w:rsidP="00E6740D">
            <w:pPr>
              <w:pStyle w:val="Normal6"/>
              <w:rPr>
                <w:szCs w:val="24"/>
              </w:rPr>
            </w:pPr>
            <w:r>
              <w:lastRenderedPageBreak/>
              <w:t>1.</w:t>
            </w:r>
            <w:r>
              <w:tab/>
              <w:t>Kommissionen kan, hvis den finder, at årsagerne til aktivering af overvågningstilstanden i henhold til artikel 9, stk. 1,</w:t>
            </w:r>
            <w:r>
              <w:t xml:space="preserve"> fortsat er gyldige, og under hensyntagen til udtalelsen fra den rådgivende gruppe, ved hjælp af en gennemførelsesretsakt forlænge overvågningstilstanden med højst seks </w:t>
            </w:r>
            <w:r>
              <w:lastRenderedPageBreak/>
              <w:t xml:space="preserve">måneder. </w:t>
            </w:r>
            <w:r>
              <w:rPr>
                <w:b/>
                <w:i/>
              </w:rPr>
              <w:t>Enhver forlængelse skal meddeles Europa-Parlamentet og Rådet uden unødig forsi</w:t>
            </w:r>
            <w:r>
              <w:rPr>
                <w:b/>
                <w:i/>
              </w:rPr>
              <w:t>nkelse.</w:t>
            </w:r>
          </w:p>
        </w:tc>
      </w:tr>
    </w:tbl>
    <w:p w:rsidR="003C0A2B" w:rsidRPr="006374E5" w:rsidRDefault="00DA22D1" w:rsidP="003C0A2B">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64</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10 – stk.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w:t>
            </w:r>
            <w:r>
              <w:tab/>
              <w:t xml:space="preserve">Hvis Kommissionen under hensyntagen til udtalelsen fra den </w:t>
            </w:r>
            <w:r>
              <w:t>rådgivende gruppe finder, at den trussel, der er omhandlet i artikel 3, stk. 2, ikke længere er til stede med hensyn til nogle eller alle overvågningsforanstaltninger eller for nogle eller alle varer og tjenesteydelser, deaktiverer den helt eller delvist o</w:t>
            </w:r>
            <w:r>
              <w:t>vervågningstilstanden ved hjælp af en gennemførelsesretsakt.</w:t>
            </w:r>
          </w:p>
        </w:tc>
        <w:tc>
          <w:tcPr>
            <w:tcW w:w="4876" w:type="dxa"/>
            <w:hideMark/>
          </w:tcPr>
          <w:p w:rsidR="003C0A2B" w:rsidRPr="006374E5" w:rsidRDefault="00DA22D1" w:rsidP="00E6740D">
            <w:pPr>
              <w:pStyle w:val="Normal6"/>
              <w:rPr>
                <w:szCs w:val="24"/>
              </w:rPr>
            </w:pPr>
            <w:r>
              <w:t>2.</w:t>
            </w:r>
            <w:r>
              <w:tab/>
              <w:t xml:space="preserve">Hvis Kommissionen under hensyntagen til udtalelsen fra den rådgivende gruppe finder, at den trussel, der er omhandlet i artikel 3, stk. 2, ikke længere er til stede med hensyn til nogle eller </w:t>
            </w:r>
            <w:r>
              <w:t xml:space="preserve">alle overvågningsforanstaltninger eller for nogle eller alle varer og tjenesteydelser, deaktiverer den helt eller delvist overvågningstilstanden ved hjælp af en gennemførelsesretsakt. </w:t>
            </w:r>
            <w:r>
              <w:rPr>
                <w:b/>
                <w:i/>
              </w:rPr>
              <w:t>Enhver deaktivering skal meddeles Europa-Parlamentet og Rådet uden unødi</w:t>
            </w:r>
            <w:r>
              <w:rPr>
                <w:b/>
                <w:i/>
              </w:rPr>
              <w:t>g forsinkelse.</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65</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11 – stk.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1.</w:t>
            </w:r>
            <w:r>
              <w:tab/>
            </w:r>
            <w:r>
              <w:t xml:space="preserve">Når overvågningstilstanden er blevet aktiveret i overensstemmelse med artikel 9, skal de nationale kompetente myndigheder overvåge forsyningskæderne for varer og tjenesteydelser af </w:t>
            </w:r>
            <w:r>
              <w:rPr>
                <w:b/>
                <w:i/>
              </w:rPr>
              <w:t>strategisk</w:t>
            </w:r>
            <w:r>
              <w:t xml:space="preserve"> betydning, som er blevet identificeret i den gennemførelsesretsa</w:t>
            </w:r>
            <w:r>
              <w:t>kt, der aktiverer overvågningstilstanden.</w:t>
            </w:r>
          </w:p>
        </w:tc>
        <w:tc>
          <w:tcPr>
            <w:tcW w:w="4876" w:type="dxa"/>
            <w:hideMark/>
          </w:tcPr>
          <w:p w:rsidR="003C0A2B" w:rsidRPr="006374E5" w:rsidRDefault="00DA22D1" w:rsidP="00E6740D">
            <w:pPr>
              <w:pStyle w:val="Normal6"/>
              <w:rPr>
                <w:szCs w:val="24"/>
              </w:rPr>
            </w:pPr>
            <w:r>
              <w:t>1.</w:t>
            </w:r>
            <w:r>
              <w:tab/>
              <w:t xml:space="preserve">Når overvågningstilstanden er blevet aktiveret i overensstemmelse med artikel 9, skal de nationale kompetente myndigheder overvåge forsyningskæderne for varer og tjenesteydelser af </w:t>
            </w:r>
            <w:r>
              <w:rPr>
                <w:b/>
                <w:i/>
              </w:rPr>
              <w:t>kritisk</w:t>
            </w:r>
            <w:r>
              <w:t xml:space="preserve"> betydning, som er blev</w:t>
            </w:r>
            <w:r>
              <w:t xml:space="preserve">et identificeret i den gennemførelsesretsakt, der aktiverer overvågningstilstanden. </w:t>
            </w:r>
            <w:r>
              <w:rPr>
                <w:b/>
                <w:i/>
              </w:rPr>
              <w:t>Medlemsstaterne vurderer i samråd med arbejdsmarkedets parter, i hvilken grad arbejdstagere og økonomiske aktører på de udpegede kritiske områder kan blive berørt af den po</w:t>
            </w:r>
            <w:r>
              <w:rPr>
                <w:b/>
                <w:i/>
              </w:rPr>
              <w:t>tentielle krise.</w:t>
            </w:r>
          </w:p>
        </w:tc>
      </w:tr>
    </w:tbl>
    <w:p w:rsidR="003C0A2B" w:rsidRPr="006374E5" w:rsidRDefault="00DA22D1" w:rsidP="003C0A2B">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66</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12 – stk. 1 – afsnit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 xml:space="preserve">Kommissionen kan blandt de varer af </w:t>
            </w:r>
            <w:r>
              <w:rPr>
                <w:b/>
                <w:i/>
              </w:rPr>
              <w:t>strategisk</w:t>
            </w:r>
            <w:r>
              <w:t xml:space="preserve"> betydning, der er anført i en gennemførelsesretsakt vedtaget i henhold til artikel 9, stk. 1, identificere de varer, for hvilke det kan være nødvendigt at opbygge en reserve for at forberede sig på en nødsituation for det indre marked, under hensyntagen t</w:t>
            </w:r>
            <w:r>
              <w:t>il sandsynligheden for og konsekvenserne af mangler. Kommissionen underretter medlemsstaterne herom.</w:t>
            </w:r>
          </w:p>
        </w:tc>
        <w:tc>
          <w:tcPr>
            <w:tcW w:w="4876" w:type="dxa"/>
            <w:hideMark/>
          </w:tcPr>
          <w:p w:rsidR="003C0A2B" w:rsidRPr="006374E5" w:rsidRDefault="00DA22D1" w:rsidP="00E6740D">
            <w:pPr>
              <w:pStyle w:val="Normal6"/>
              <w:rPr>
                <w:szCs w:val="24"/>
              </w:rPr>
            </w:pPr>
            <w:r>
              <w:t xml:space="preserve">Kommissionen kan blandt de varer af </w:t>
            </w:r>
            <w:r>
              <w:rPr>
                <w:b/>
                <w:i/>
              </w:rPr>
              <w:t>kritisk</w:t>
            </w:r>
            <w:r>
              <w:t xml:space="preserve"> betydning, der er anført i en gennemførelsesretsakt vedtaget i henhold til artikel 9, stk. 1, identificere de v</w:t>
            </w:r>
            <w:r>
              <w:t>arer, for hvilke det kan være nødvendigt at opbygge en reserve for at forberede sig på en nødsituation for det indre marked, under hensyntagen til sandsynligheden for og konsekvenserne af mangler. Kommissionen underretter medlemsstaterne</w:t>
            </w:r>
            <w:r>
              <w:rPr>
                <w:b/>
                <w:i/>
              </w:rPr>
              <w:t>, Europa-Parlamente</w:t>
            </w:r>
            <w:r>
              <w:rPr>
                <w:b/>
                <w:i/>
              </w:rPr>
              <w:t>t og den rådgivende gruppe</w:t>
            </w:r>
            <w:r>
              <w:t xml:space="preserve"> herom.</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67</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12 – stk. 2 – afsnit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 xml:space="preserve">Medlemsstaterne aflægger rapport til Kommissionen om størrelsen af de strategiske reserver af varer af </w:t>
            </w:r>
            <w:r>
              <w:rPr>
                <w:b/>
                <w:i/>
              </w:rPr>
              <w:t>strategisk</w:t>
            </w:r>
            <w:r>
              <w:t xml:space="preserve"> betydning, som de ligger inde med, og størrelsen af de øvrige lagre af sådanne varer, der opbevares på deres område.</w:t>
            </w:r>
          </w:p>
        </w:tc>
        <w:tc>
          <w:tcPr>
            <w:tcW w:w="4876" w:type="dxa"/>
            <w:hideMark/>
          </w:tcPr>
          <w:p w:rsidR="003C0A2B" w:rsidRPr="006374E5" w:rsidRDefault="00DA22D1" w:rsidP="00E6740D">
            <w:pPr>
              <w:pStyle w:val="Normal6"/>
              <w:rPr>
                <w:szCs w:val="24"/>
              </w:rPr>
            </w:pPr>
            <w:r>
              <w:t xml:space="preserve">Medlemsstaterne aflægger </w:t>
            </w:r>
            <w:r>
              <w:t xml:space="preserve">rapport til Kommissionen om størrelsen af de strategiske reserver af varer af </w:t>
            </w:r>
            <w:r>
              <w:rPr>
                <w:b/>
                <w:i/>
              </w:rPr>
              <w:t>kritisk</w:t>
            </w:r>
            <w:r>
              <w:t xml:space="preserve"> betydning, som de ligger inde med, og størrelsen af de øvrige lagre af sådanne varer, der opbevares på deres område.</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68</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12 – stk.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3.</w:t>
            </w:r>
            <w:r>
              <w:tab/>
              <w:t xml:space="preserve">Under behørig hensyntagen til de lagre, som de økonomiske aktører ligger inde med eller opbygger på deres område, </w:t>
            </w:r>
            <w:r>
              <w:lastRenderedPageBreak/>
              <w:t>gør medlemsstat</w:t>
            </w:r>
            <w:r>
              <w:t xml:space="preserve">erne deres bedste for at opbygge strategiske reserver af varer af </w:t>
            </w:r>
            <w:r>
              <w:rPr>
                <w:b/>
                <w:i/>
              </w:rPr>
              <w:t>strategisk</w:t>
            </w:r>
            <w:r>
              <w:t xml:space="preserve"> betydning, der er identificeret i overensstemmelse med stk. 1. Kommissionen yder støtte til medlemsstaterne med henblik på at koordinere og strømline deres indsats.</w:t>
            </w:r>
          </w:p>
        </w:tc>
        <w:tc>
          <w:tcPr>
            <w:tcW w:w="4876" w:type="dxa"/>
            <w:hideMark/>
          </w:tcPr>
          <w:p w:rsidR="003C0A2B" w:rsidRPr="006374E5" w:rsidRDefault="00DA22D1" w:rsidP="00E6740D">
            <w:pPr>
              <w:pStyle w:val="Normal6"/>
              <w:rPr>
                <w:szCs w:val="24"/>
              </w:rPr>
            </w:pPr>
            <w:r>
              <w:lastRenderedPageBreak/>
              <w:t>3.</w:t>
            </w:r>
            <w:r>
              <w:tab/>
              <w:t>Under behør</w:t>
            </w:r>
            <w:r>
              <w:t xml:space="preserve">ig hensyntagen til de lagre, som de økonomiske aktører ligger inde med eller opbygger på deres område, </w:t>
            </w:r>
            <w:r>
              <w:lastRenderedPageBreak/>
              <w:t xml:space="preserve">gør medlemsstaterne deres bedste for at opbygge strategiske reserver af varer af </w:t>
            </w:r>
            <w:r>
              <w:rPr>
                <w:b/>
                <w:i/>
              </w:rPr>
              <w:t>kritisk</w:t>
            </w:r>
            <w:r>
              <w:t xml:space="preserve"> betydning, der er identificeret i overensstemmelse med stk. 1. K</w:t>
            </w:r>
            <w:r>
              <w:t>ommissionen yder støtte til medlemsstaterne med henblik på at koordinere og strømline deres indsats.</w:t>
            </w:r>
          </w:p>
        </w:tc>
      </w:tr>
    </w:tbl>
    <w:p w:rsidR="003C0A2B" w:rsidRPr="006374E5" w:rsidRDefault="00DA22D1" w:rsidP="003C0A2B">
      <w:r>
        <w:rPr>
          <w:rStyle w:val="HideTWBExt"/>
        </w:rPr>
        <w:lastRenderedPageBreak/>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69</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12 – stk. 4 – indledning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4.</w:t>
            </w:r>
            <w:r>
              <w:tab/>
              <w:t xml:space="preserve">Hvis opbygningen af strategiske reserver af varer af </w:t>
            </w:r>
            <w:r>
              <w:rPr>
                <w:b/>
                <w:i/>
              </w:rPr>
              <w:t>strategisk</w:t>
            </w:r>
            <w:r>
              <w:t xml:space="preserve"> betydning identificeret i henhold til stk. 1 kan gøres mere effektiv ved strømlining blandt medlemsstaterne, kan Kommissionen ved hjælp af gennemførel</w:t>
            </w:r>
            <w:r>
              <w:t>sesretsakter udarbejde og regelmæssigt ajourføre en liste over individuelle mål for de mængder og frister for de strategiske reserver, som medlemsstaterne bør opretholde. Ved fastsættelsen af de individuelle mål for hver medlemsstat tager Kommissionen hens</w:t>
            </w:r>
            <w:r>
              <w:t>yn til:</w:t>
            </w:r>
          </w:p>
        </w:tc>
        <w:tc>
          <w:tcPr>
            <w:tcW w:w="4876" w:type="dxa"/>
            <w:hideMark/>
          </w:tcPr>
          <w:p w:rsidR="003C0A2B" w:rsidRPr="006374E5" w:rsidRDefault="00DA22D1" w:rsidP="00E6740D">
            <w:pPr>
              <w:pStyle w:val="Normal6"/>
              <w:rPr>
                <w:szCs w:val="24"/>
              </w:rPr>
            </w:pPr>
            <w:r>
              <w:t>4.</w:t>
            </w:r>
            <w:r>
              <w:tab/>
              <w:t xml:space="preserve">Hvis opbygningen af strategiske reserver af varer af </w:t>
            </w:r>
            <w:r>
              <w:rPr>
                <w:b/>
                <w:i/>
              </w:rPr>
              <w:t>kritisk</w:t>
            </w:r>
            <w:r>
              <w:t xml:space="preserve"> betydning identificeret i henhold til stk. 1 kan gøres mere effektiv ved strømlining blandt medlemsstaterne, kan Kommissionen ved hjælp af gennemførelsesretsakter udarbejde og regelmæs</w:t>
            </w:r>
            <w:r>
              <w:t>sigt ajourføre en liste over individuelle mål for de mængder og frister for de strategiske reserver, som medlemsstaterne bør opretholde. Ved fastsættelsen af de individuelle mål for hver medlemsstat tager Kommissionen hensyn til:</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70</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12 – stk. 6 – afsnit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Hvis en medlemsstats strategiske reserver til stadighed ligger betydeligt under de in</w:t>
            </w:r>
            <w:r>
              <w:t>dividuelle mål, der er omhandlet i stk. 4, og de økonomiske aktører på dens område ikke er i stand til at kompensere for denne mangel, kan Kommissionen på eget initiativ eller efter anmodning fra 14 medlemsstater vurdere behovet for at træffe yderligere fo</w:t>
            </w:r>
            <w:r>
              <w:t xml:space="preserve">ranstaltninger for at opbygge strategiske reserver af varer af </w:t>
            </w:r>
            <w:r>
              <w:rPr>
                <w:b/>
                <w:i/>
              </w:rPr>
              <w:lastRenderedPageBreak/>
              <w:t>strategisk</w:t>
            </w:r>
            <w:r>
              <w:t xml:space="preserve"> betydning, der er identificeret i henhold til stk. 1.</w:t>
            </w:r>
          </w:p>
        </w:tc>
        <w:tc>
          <w:tcPr>
            <w:tcW w:w="4876" w:type="dxa"/>
            <w:hideMark/>
          </w:tcPr>
          <w:p w:rsidR="003C0A2B" w:rsidRPr="006374E5" w:rsidRDefault="00DA22D1" w:rsidP="00E6740D">
            <w:pPr>
              <w:pStyle w:val="Normal6"/>
              <w:rPr>
                <w:szCs w:val="24"/>
              </w:rPr>
            </w:pPr>
            <w:r>
              <w:lastRenderedPageBreak/>
              <w:t>Hvis en medlemsstats strategiske reserver til stadighed ligger betydeligt under de individuelle mål, der er omhandlet i stk. 4, og de økonomiske aktører på dens område ikke er i stand til at kompensere for denne mangel, kan Kommissionen på eget initiativ e</w:t>
            </w:r>
            <w:r>
              <w:t xml:space="preserve">ller efter anmodning fra 14 medlemsstater vurdere behovet for at træffe yderligere foranstaltninger for at opbygge strategiske reserver af varer af </w:t>
            </w:r>
            <w:r>
              <w:rPr>
                <w:b/>
                <w:i/>
              </w:rPr>
              <w:lastRenderedPageBreak/>
              <w:t>kritisk</w:t>
            </w:r>
            <w:r>
              <w:t xml:space="preserve"> betydning, der er identificeret i henhold til stk. 1.</w:t>
            </w:r>
          </w:p>
        </w:tc>
      </w:tr>
    </w:tbl>
    <w:p w:rsidR="003C0A2B" w:rsidRPr="006374E5" w:rsidRDefault="00DA22D1" w:rsidP="003C0A2B">
      <w:r>
        <w:rPr>
          <w:rStyle w:val="HideTWBExt"/>
        </w:rPr>
        <w:lastRenderedPageBreak/>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71</w:t>
      </w:r>
      <w:r>
        <w:rPr>
          <w:rStyle w:val="HideTWBExt"/>
          <w:b w:val="0"/>
        </w:rPr>
        <w:t>&lt;/N</w:t>
      </w:r>
      <w:r>
        <w:rPr>
          <w:rStyle w:val="HideTWBExt"/>
          <w:b w:val="0"/>
        </w:rPr>
        <w:t>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13 – stk. 1 – litra a a (nyt)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rPr>
                <w:szCs w:val="24"/>
              </w:rPr>
            </w:pPr>
            <w:r>
              <w:rPr>
                <w:b/>
                <w:i/>
              </w:rPr>
              <w:t>aa)</w:t>
            </w:r>
            <w:r>
              <w:rPr>
                <w:b/>
                <w:i/>
              </w:rPr>
              <w:tab/>
              <w:t xml:space="preserve">krisen har allerede i alvorlig grad forstyrret den frie bevægelighed for personer, varer og </w:t>
            </w:r>
            <w:r>
              <w:rPr>
                <w:b/>
                <w:i/>
              </w:rPr>
              <w:t>tjenesteydelser eller vil sandsynligvis gøre det, idet der lægges særlig vægt på mobile arbejdstagere, herunder grænsearbejdere og -pendlere</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72</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w:t>
      </w:r>
      <w:r>
        <w:t>3 – stk. 1 – litra a b (nyt)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rPr>
                <w:szCs w:val="24"/>
              </w:rPr>
            </w:pPr>
            <w:r>
              <w:rPr>
                <w:b/>
                <w:i/>
              </w:rPr>
              <w:t>ab)</w:t>
            </w:r>
            <w:r>
              <w:rPr>
                <w:b/>
                <w:i/>
              </w:rPr>
              <w:tab/>
              <w:t>indførelsen af rejserestriktioner og grænsekontrol</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73</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 xml:space="preserve">Artikel 13 – </w:t>
      </w:r>
      <w:r>
        <w:t>stk. 1 – litra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d)</w:t>
            </w:r>
            <w:r>
              <w:tab/>
              <w:t>indvirkningen med hensyn til omfang og varighed på økonomiske og samfundsmæssige aktiviteter, miljøet og den offentlige sikkerhed</w:t>
            </w:r>
          </w:p>
        </w:tc>
        <w:tc>
          <w:tcPr>
            <w:tcW w:w="4876" w:type="dxa"/>
            <w:hideMark/>
          </w:tcPr>
          <w:p w:rsidR="003C0A2B" w:rsidRPr="006374E5" w:rsidRDefault="00DA22D1" w:rsidP="00E6740D">
            <w:pPr>
              <w:pStyle w:val="Normal6"/>
              <w:rPr>
                <w:szCs w:val="24"/>
              </w:rPr>
            </w:pPr>
            <w:r>
              <w:t>d)</w:t>
            </w:r>
            <w:r>
              <w:tab/>
            </w:r>
            <w:r>
              <w:t xml:space="preserve">indvirkningen med hensyn til omfang og varighed på økonomiske og samfundsmæssige aktiviteter, </w:t>
            </w:r>
            <w:r>
              <w:rPr>
                <w:b/>
                <w:i/>
              </w:rPr>
              <w:t xml:space="preserve">herunder arbejdsmarkedet, samt på klimaet, </w:t>
            </w:r>
            <w:r>
              <w:t>miljøet og den offentlige sikkerhed</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74</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w:t>
      </w:r>
      <w:r>
        <w:t>ng</w:t>
      </w:r>
      <w:r>
        <w:rPr>
          <w:rStyle w:val="HideTWBExt"/>
          <w:b w:val="0"/>
        </w:rPr>
        <w:t>&lt;/DocAmend&gt;</w:t>
      </w:r>
    </w:p>
    <w:p w:rsidR="003C0A2B" w:rsidRPr="006374E5" w:rsidRDefault="00DA22D1" w:rsidP="003C0A2B">
      <w:pPr>
        <w:pStyle w:val="NormalBold"/>
      </w:pPr>
      <w:r>
        <w:rPr>
          <w:rStyle w:val="HideTWBExt"/>
          <w:b w:val="0"/>
        </w:rPr>
        <w:t>&lt;Article&gt;</w:t>
      </w:r>
      <w:r>
        <w:t>Artikel 13 – stk. 1 – litra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f)</w:t>
            </w:r>
            <w:r>
              <w:tab/>
            </w:r>
            <w:r>
              <w:rPr>
                <w:b/>
                <w:i/>
              </w:rPr>
              <w:t>markedspositionen</w:t>
            </w:r>
            <w:r>
              <w:t xml:space="preserve"> for de berørte økonomiske aktører i den eller de pågældende sektorer</w:t>
            </w:r>
          </w:p>
        </w:tc>
        <w:tc>
          <w:tcPr>
            <w:tcW w:w="4876" w:type="dxa"/>
            <w:hideMark/>
          </w:tcPr>
          <w:p w:rsidR="003C0A2B" w:rsidRPr="006374E5" w:rsidRDefault="00DA22D1" w:rsidP="00E6740D">
            <w:pPr>
              <w:pStyle w:val="Normal6"/>
              <w:rPr>
                <w:szCs w:val="24"/>
              </w:rPr>
            </w:pPr>
            <w:r>
              <w:t>f)</w:t>
            </w:r>
            <w:r>
              <w:tab/>
            </w:r>
            <w:r>
              <w:rPr>
                <w:b/>
                <w:i/>
              </w:rPr>
              <w:t>markedsandelen</w:t>
            </w:r>
            <w:r>
              <w:t xml:space="preserve"> for de berørte økonomiske aktører i den eller de pågældende sektorer</w:t>
            </w:r>
            <w:r>
              <w:rPr>
                <w:b/>
                <w:i/>
              </w:rPr>
              <w:t>, hvis denne andel er afgørende for leveringen af kriserelevante varer og tjenesteydelser</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75</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13 – stk. 1 – litra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g)</w:t>
            </w:r>
            <w:r>
              <w:tab/>
            </w:r>
            <w:r>
              <w:rPr>
                <w:b/>
                <w:i/>
              </w:rPr>
              <w:t>det</w:t>
            </w:r>
            <w:r>
              <w:t xml:space="preserve"> geografiske </w:t>
            </w:r>
            <w:r>
              <w:rPr>
                <w:b/>
                <w:i/>
              </w:rPr>
              <w:t>område</w:t>
            </w:r>
            <w:r>
              <w:t xml:space="preserve">, der er og kan blive berørt, herunder eventuelle grænseoverskridende virkninger for </w:t>
            </w:r>
            <w:r>
              <w:rPr>
                <w:b/>
                <w:i/>
              </w:rPr>
              <w:t>forsyningskædernes</w:t>
            </w:r>
            <w:r>
              <w:t xml:space="preserve"> funktion, </w:t>
            </w:r>
            <w:r>
              <w:rPr>
                <w:b/>
                <w:i/>
              </w:rPr>
              <w:t>som</w:t>
            </w:r>
            <w:r>
              <w:t xml:space="preserve"> er uundværlige for opretholdelsen af vitale samfundsmæssige eller økonomiske aktiviteter på det indre marked</w:t>
            </w:r>
          </w:p>
        </w:tc>
        <w:tc>
          <w:tcPr>
            <w:tcW w:w="4876" w:type="dxa"/>
            <w:hideMark/>
          </w:tcPr>
          <w:p w:rsidR="003C0A2B" w:rsidRPr="006374E5" w:rsidRDefault="00DA22D1" w:rsidP="00E6740D">
            <w:pPr>
              <w:pStyle w:val="Normal6"/>
              <w:rPr>
                <w:szCs w:val="24"/>
              </w:rPr>
            </w:pPr>
            <w:r>
              <w:t>g)</w:t>
            </w:r>
            <w:r>
              <w:tab/>
            </w:r>
            <w:r>
              <w:rPr>
                <w:b/>
                <w:i/>
              </w:rPr>
              <w:t>de</w:t>
            </w:r>
            <w:r>
              <w:t xml:space="preserve"> geografiske </w:t>
            </w:r>
            <w:r>
              <w:rPr>
                <w:b/>
                <w:i/>
              </w:rPr>
              <w:t>områder, navnlig grænseregioner</w:t>
            </w:r>
            <w:r>
              <w:t xml:space="preserve">, der er og kan blive berørt, herunder eventuelle grænseoverskridende virkninger for </w:t>
            </w:r>
            <w:r>
              <w:rPr>
                <w:b/>
                <w:i/>
              </w:rPr>
              <w:t>den frie bev</w:t>
            </w:r>
            <w:r>
              <w:rPr>
                <w:b/>
                <w:i/>
              </w:rPr>
              <w:t>ægelighed for varer, tjenesteydelser og personer og forsyningskædernes</w:t>
            </w:r>
            <w:r>
              <w:t xml:space="preserve"> funktion, </w:t>
            </w:r>
            <w:r>
              <w:rPr>
                <w:b/>
                <w:i/>
              </w:rPr>
              <w:t>der</w:t>
            </w:r>
            <w:r>
              <w:t xml:space="preserve"> er uundværlige for opretholdelsen af vitale samfundsmæssige eller økonomiske aktiviteter på det indre marked</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76</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13 – stk. 1 – litra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h)</w:t>
            </w:r>
            <w:r>
              <w:tab/>
            </w:r>
            <w:r>
              <w:rPr>
                <w:b/>
                <w:i/>
              </w:rPr>
              <w:t>den</w:t>
            </w:r>
            <w:r>
              <w:t xml:space="preserve"> berørte økonomiske </w:t>
            </w:r>
            <w:r>
              <w:rPr>
                <w:b/>
                <w:i/>
              </w:rPr>
              <w:t>aktørs</w:t>
            </w:r>
            <w:r>
              <w:t xml:space="preserve"> betydning for opretholdelsen af et tilstrækkeligt udbud af varerne eller tjenesteydelsern</w:t>
            </w:r>
            <w:r>
              <w:t>e under hensyntagen til tilgængeligheden af alternative muligheder for levering af disse varer eller tjenesteydelser og</w:t>
            </w:r>
          </w:p>
        </w:tc>
        <w:tc>
          <w:tcPr>
            <w:tcW w:w="4876" w:type="dxa"/>
            <w:hideMark/>
          </w:tcPr>
          <w:p w:rsidR="003C0A2B" w:rsidRPr="006374E5" w:rsidRDefault="00DA22D1" w:rsidP="00E6740D">
            <w:pPr>
              <w:pStyle w:val="Normal6"/>
              <w:rPr>
                <w:szCs w:val="24"/>
              </w:rPr>
            </w:pPr>
            <w:r>
              <w:t>h)</w:t>
            </w:r>
            <w:r>
              <w:tab/>
            </w:r>
            <w:r>
              <w:rPr>
                <w:b/>
                <w:i/>
              </w:rPr>
              <w:t>de</w:t>
            </w:r>
            <w:r>
              <w:t xml:space="preserve"> berørte økonomiske </w:t>
            </w:r>
            <w:r>
              <w:rPr>
                <w:b/>
                <w:i/>
              </w:rPr>
              <w:t>aktørers</w:t>
            </w:r>
            <w:r>
              <w:t xml:space="preserve"> betydning for opretholdelsen af et tilstrækkeligt udbud af varerne eller tjenesteydelserne under hensy</w:t>
            </w:r>
            <w:r>
              <w:t>ntagen til tilgængeligheden af alternative muligheder for levering af disse varer eller tjenesteydelser og</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77</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13 – stk. 1 – litra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i)</w:t>
            </w:r>
            <w:r>
              <w:tab/>
              <w:t>manglen på substituerbare varer, input eller tjenesteydelser.</w:t>
            </w:r>
          </w:p>
        </w:tc>
        <w:tc>
          <w:tcPr>
            <w:tcW w:w="4876" w:type="dxa"/>
            <w:hideMark/>
          </w:tcPr>
          <w:p w:rsidR="003C0A2B" w:rsidRPr="006374E5" w:rsidRDefault="00DA22D1" w:rsidP="00E6740D">
            <w:pPr>
              <w:pStyle w:val="Normal6"/>
              <w:rPr>
                <w:szCs w:val="24"/>
              </w:rPr>
            </w:pPr>
            <w:r>
              <w:t>i)</w:t>
            </w:r>
            <w:r>
              <w:tab/>
              <w:t xml:space="preserve">manglen på </w:t>
            </w:r>
            <w:r>
              <w:rPr>
                <w:b/>
                <w:i/>
              </w:rPr>
              <w:t xml:space="preserve">eller fraværet af </w:t>
            </w:r>
            <w:r>
              <w:t>substituerbare varer, input eller tjenesteydelser.</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78</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14 – stk.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w:t>
            </w:r>
            <w:r>
              <w:tab/>
              <w:t>Hvis Kommissionen under hensyntagen til udtalelsen fra den rådgivende gruppe finder, at der er tale om en nødsituation for det indre marked</w:t>
            </w:r>
            <w:r>
              <w:t>, foreslår den Rådet at aktivere nødsituationstilstanden for det indre marked.</w:t>
            </w:r>
          </w:p>
        </w:tc>
        <w:tc>
          <w:tcPr>
            <w:tcW w:w="4876" w:type="dxa"/>
            <w:hideMark/>
          </w:tcPr>
          <w:p w:rsidR="003C0A2B" w:rsidRPr="006374E5" w:rsidRDefault="00DA22D1" w:rsidP="00E6740D">
            <w:pPr>
              <w:pStyle w:val="Normal6"/>
              <w:rPr>
                <w:szCs w:val="24"/>
              </w:rPr>
            </w:pPr>
            <w:r>
              <w:t>2.</w:t>
            </w:r>
            <w:r>
              <w:tab/>
              <w:t>Hvis Kommissionen under hensyntagen til udtalelsen fra den rådgivende gruppe finder, at der er tale om en nødsituation for det indre marked, foreslår den Rådet at aktivere nø</w:t>
            </w:r>
            <w:r>
              <w:t>dsituationstilstanden for det indre marked</w:t>
            </w:r>
            <w:r>
              <w:rPr>
                <w:b/>
                <w:i/>
              </w:rPr>
              <w:t xml:space="preserve"> og underretter Parlamentet uden unødig forsinkelse</w:t>
            </w:r>
            <w:r>
              <w:t>.</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79</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14 – stk.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3.</w:t>
            </w:r>
            <w:r>
              <w:tab/>
              <w:t>Rådet kan aktivere nødsituationstilstanden for det indre marked ved hjælp af en gennemførelsesretsakt fra Rådet. Varigheden af aktiveringen fastsættes i gennemførelsesretsakten og må højst være på seks måneder.</w:t>
            </w:r>
          </w:p>
        </w:tc>
        <w:tc>
          <w:tcPr>
            <w:tcW w:w="4876" w:type="dxa"/>
            <w:hideMark/>
          </w:tcPr>
          <w:p w:rsidR="003C0A2B" w:rsidRPr="006374E5" w:rsidRDefault="00DA22D1" w:rsidP="00E6740D">
            <w:pPr>
              <w:pStyle w:val="Normal6"/>
              <w:rPr>
                <w:szCs w:val="24"/>
              </w:rPr>
            </w:pPr>
            <w:r>
              <w:t>3.</w:t>
            </w:r>
            <w:r>
              <w:tab/>
              <w:t>Rådet kan aktivere nød</w:t>
            </w:r>
            <w:r>
              <w:t xml:space="preserve">situationstilstanden for det indre marked ved hjælp af en gennemførelsesretsakt fra Rådet. </w:t>
            </w:r>
            <w:r>
              <w:rPr>
                <w:b/>
                <w:i/>
              </w:rPr>
              <w:t>Denne gennemførelsesretsakt skal, hvor det er relevant, omfatte en oversigt over kriserelevante varer og tjenesteydelser samt sektorer, der i særdeleshed er afhængig</w:t>
            </w:r>
            <w:r>
              <w:rPr>
                <w:b/>
                <w:i/>
              </w:rPr>
              <w:t>e af mobile arbejdstagere, herunder grænsearbejdere og -pendlere.</w:t>
            </w:r>
            <w:r>
              <w:t xml:space="preserve"> Varigheden af aktiveringen fastsættes i gennemførelsesretsakten og må højst være på seks måneder.</w:t>
            </w:r>
          </w:p>
        </w:tc>
      </w:tr>
    </w:tbl>
    <w:p w:rsidR="003C0A2B" w:rsidRPr="006374E5" w:rsidRDefault="00DA22D1" w:rsidP="003C0A2B">
      <w:pPr>
        <w:rPr>
          <w:rStyle w:val="HideTWBExt"/>
          <w:rFonts w:ascii="Times New Roman" w:hAnsi="Times New Roman" w:cs="Times New Roman"/>
          <w:noProof w:val="0"/>
          <w:vanish w:val="0"/>
          <w:color w:val="auto"/>
          <w:sz w:val="24"/>
        </w:rPr>
      </w:pPr>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80</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14 – stk.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5.</w:t>
            </w:r>
            <w:r>
              <w:tab/>
              <w:t xml:space="preserve">Så snart nødsituationstilstanden for det indre marked er aktiveret, </w:t>
            </w:r>
            <w:r>
              <w:rPr>
                <w:b/>
                <w:i/>
              </w:rPr>
              <w:t>vedtager</w:t>
            </w:r>
            <w:r>
              <w:t xml:space="preserve"> Kommissionen straks en liste over kriserelevante varer og tjenesteydelser </w:t>
            </w:r>
            <w:r>
              <w:rPr>
                <w:b/>
                <w:i/>
              </w:rPr>
              <w:t>ved hjælp</w:t>
            </w:r>
            <w:r>
              <w:t xml:space="preserve"> </w:t>
            </w:r>
            <w:r>
              <w:t xml:space="preserve">af </w:t>
            </w:r>
            <w:r>
              <w:rPr>
                <w:b/>
                <w:i/>
              </w:rPr>
              <w:t>en gennemførelsesretsakt</w:t>
            </w:r>
            <w:r>
              <w:t>. Listen kan ændres ved hjælp af gennemførelsesretsakter.</w:t>
            </w:r>
          </w:p>
        </w:tc>
        <w:tc>
          <w:tcPr>
            <w:tcW w:w="4876" w:type="dxa"/>
            <w:hideMark/>
          </w:tcPr>
          <w:p w:rsidR="003C0A2B" w:rsidRPr="006374E5" w:rsidRDefault="00DA22D1" w:rsidP="00E6740D">
            <w:pPr>
              <w:pStyle w:val="Normal6"/>
              <w:rPr>
                <w:szCs w:val="24"/>
              </w:rPr>
            </w:pPr>
            <w:r>
              <w:t>5.</w:t>
            </w:r>
            <w:r>
              <w:tab/>
              <w:t xml:space="preserve">Så snart nødsituationstilstanden for det indre marked er aktiveret, </w:t>
            </w:r>
            <w:r>
              <w:rPr>
                <w:b/>
                <w:i/>
              </w:rPr>
              <w:t>hører</w:t>
            </w:r>
            <w:r>
              <w:t xml:space="preserve"> Kommissionen straks </w:t>
            </w:r>
            <w:r>
              <w:rPr>
                <w:b/>
                <w:i/>
              </w:rPr>
              <w:t xml:space="preserve">den rådgivende gruppe og vedtager ved hjælp af en gennemførelsesretsakt </w:t>
            </w:r>
            <w:r>
              <w:t xml:space="preserve">en liste over kriserelevante varer og tjenesteydelser </w:t>
            </w:r>
            <w:r>
              <w:rPr>
                <w:b/>
                <w:i/>
              </w:rPr>
              <w:t>samt sektorer, der navnlig er afhængige</w:t>
            </w:r>
            <w:r>
              <w:t xml:space="preserve"> af </w:t>
            </w:r>
            <w:r>
              <w:rPr>
                <w:b/>
                <w:i/>
              </w:rPr>
              <w:t>mobile arbejdstagere, herunder grænsearbejdere og -pendlere</w:t>
            </w:r>
            <w:r>
              <w:t>. Listen kan ændres ved hjælp af gennemførelsesretsakter.</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8</w:t>
      </w:r>
      <w:r>
        <w:t>1</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Del IV – overskrift II – kapitel I – overskrift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 xml:space="preserve">Foranstaltninger til </w:t>
            </w:r>
            <w:r>
              <w:rPr>
                <w:b/>
                <w:i/>
              </w:rPr>
              <w:t>genetablering</w:t>
            </w:r>
            <w:r>
              <w:t xml:space="preserve"> og fremme af den frie bevægelighed</w:t>
            </w:r>
          </w:p>
        </w:tc>
        <w:tc>
          <w:tcPr>
            <w:tcW w:w="4876" w:type="dxa"/>
            <w:hideMark/>
          </w:tcPr>
          <w:p w:rsidR="003C0A2B" w:rsidRPr="006374E5" w:rsidRDefault="00DA22D1" w:rsidP="00E6740D">
            <w:pPr>
              <w:pStyle w:val="Normal6"/>
              <w:rPr>
                <w:szCs w:val="24"/>
              </w:rPr>
            </w:pPr>
            <w:r>
              <w:t xml:space="preserve">Foranstaltninger til </w:t>
            </w:r>
            <w:r>
              <w:rPr>
                <w:b/>
                <w:i/>
              </w:rPr>
              <w:t>sikring</w:t>
            </w:r>
            <w:r>
              <w:t xml:space="preserve"> og fremme af den frie bevægelighed</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82</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16 – stk.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1.</w:t>
            </w:r>
            <w:r>
              <w:tab/>
              <w:t xml:space="preserve">Når medlemsstaterne vedtager og </w:t>
            </w:r>
            <w:r>
              <w:t>anvender nationale foranstaltninger som respons på en nødsituation for det indre marked og den underliggende krise, skal de sikre,</w:t>
            </w:r>
            <w:r>
              <w:rPr>
                <w:b/>
                <w:i/>
              </w:rPr>
              <w:t xml:space="preserve"> </w:t>
            </w:r>
            <w:r>
              <w:t xml:space="preserve">at </w:t>
            </w:r>
            <w:r>
              <w:rPr>
                <w:b/>
                <w:i/>
              </w:rPr>
              <w:t>deres indsats</w:t>
            </w:r>
            <w:r>
              <w:t xml:space="preserve"> er i fuld overensstemmelse med traktaten og EU-retten og </w:t>
            </w:r>
            <w:r>
              <w:rPr>
                <w:b/>
                <w:i/>
              </w:rPr>
              <w:t>navnlig med</w:t>
            </w:r>
            <w:r>
              <w:t xml:space="preserve"> kravene i denne artikel.</w:t>
            </w:r>
          </w:p>
        </w:tc>
        <w:tc>
          <w:tcPr>
            <w:tcW w:w="4876" w:type="dxa"/>
            <w:hideMark/>
          </w:tcPr>
          <w:p w:rsidR="003C0A2B" w:rsidRPr="006374E5" w:rsidRDefault="00DA22D1" w:rsidP="00E6740D">
            <w:pPr>
              <w:pStyle w:val="Normal6"/>
              <w:rPr>
                <w:szCs w:val="24"/>
              </w:rPr>
            </w:pPr>
            <w:r>
              <w:t>1.</w:t>
            </w:r>
            <w:r>
              <w:tab/>
              <w:t>Når medlems</w:t>
            </w:r>
            <w:r>
              <w:t xml:space="preserve">staterne vedtager og anvender nationale foranstaltninger som respons på en nødsituation for det indre marked og den underliggende krise, skal de sikre, at </w:t>
            </w:r>
            <w:r>
              <w:rPr>
                <w:b/>
                <w:i/>
              </w:rPr>
              <w:t>sådanne foranstaltninger</w:t>
            </w:r>
            <w:r>
              <w:t xml:space="preserve"> er </w:t>
            </w:r>
            <w:r>
              <w:rPr>
                <w:b/>
                <w:i/>
              </w:rPr>
              <w:t xml:space="preserve">berettigede, forholdsmæssige og ikkediskriminerende og </w:t>
            </w:r>
            <w:r>
              <w:t>i fuld overensstem</w:t>
            </w:r>
            <w:r>
              <w:t>melse med traktaten og EU-retten</w:t>
            </w:r>
            <w:r>
              <w:rPr>
                <w:b/>
                <w:i/>
              </w:rPr>
              <w:t>, internationale forpligtelser vedrørende grundlæggende menneskerettigheder</w:t>
            </w:r>
            <w:r>
              <w:t xml:space="preserve"> og </w:t>
            </w:r>
            <w:r>
              <w:rPr>
                <w:b/>
                <w:i/>
              </w:rPr>
              <w:lastRenderedPageBreak/>
              <w:t>arbejdstagerrettigheder samt</w:t>
            </w:r>
            <w:r>
              <w:t xml:space="preserve"> kravene i denne artikel.</w:t>
            </w:r>
          </w:p>
        </w:tc>
      </w:tr>
    </w:tbl>
    <w:p w:rsidR="003C0A2B" w:rsidRPr="006374E5" w:rsidRDefault="00DA22D1" w:rsidP="003C0A2B">
      <w:pPr>
        <w:rPr>
          <w:rStyle w:val="HideTWBExt"/>
          <w:rFonts w:ascii="Times New Roman" w:hAnsi="Times New Roman" w:cs="Times New Roman"/>
          <w:noProof w:val="0"/>
          <w:vanish w:val="0"/>
          <w:color w:val="auto"/>
          <w:sz w:val="24"/>
        </w:rPr>
      </w:pPr>
      <w:r>
        <w:rPr>
          <w:rStyle w:val="HideTWBExt"/>
        </w:rPr>
        <w:lastRenderedPageBreak/>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83</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w:t>
      </w:r>
      <w:r>
        <w:rPr>
          <w:rStyle w:val="HideTWBExt"/>
          <w:b w:val="0"/>
        </w:rPr>
        <w:t>mend&gt;</w:t>
      </w:r>
    </w:p>
    <w:p w:rsidR="003C0A2B" w:rsidRPr="006374E5" w:rsidRDefault="00DA22D1" w:rsidP="003C0A2B">
      <w:pPr>
        <w:pStyle w:val="NormalBold"/>
      </w:pPr>
      <w:r>
        <w:rPr>
          <w:rStyle w:val="HideTWBExt"/>
          <w:b w:val="0"/>
        </w:rPr>
        <w:t>&lt;Article&gt;</w:t>
      </w:r>
      <w:r>
        <w:t>Artikel 16 – stk.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w:t>
            </w:r>
            <w:r>
              <w:tab/>
              <w:t>Enhver begrænsning skal være tidsbegrænset og ophæves, så snart situationen tillader det. Desuden bør enhver begrænsning tage hensyn til situationen i grænseregioner.</w:t>
            </w:r>
          </w:p>
        </w:tc>
        <w:tc>
          <w:tcPr>
            <w:tcW w:w="4876" w:type="dxa"/>
            <w:hideMark/>
          </w:tcPr>
          <w:p w:rsidR="003C0A2B" w:rsidRPr="006374E5" w:rsidRDefault="00DA22D1" w:rsidP="00E6740D">
            <w:pPr>
              <w:pStyle w:val="Normal6"/>
              <w:rPr>
                <w:szCs w:val="24"/>
              </w:rPr>
            </w:pPr>
            <w:r>
              <w:t>2.</w:t>
            </w:r>
            <w:r>
              <w:tab/>
              <w:t xml:space="preserve">Enhver begrænsning skal være tidsbegrænset og </w:t>
            </w:r>
            <w:r>
              <w:rPr>
                <w:b/>
                <w:i/>
              </w:rPr>
              <w:t xml:space="preserve">begrænset til, hvad der er strengt nødvendigt. Enhver begrænsning vurderes løbende og </w:t>
            </w:r>
            <w:r>
              <w:t>ophæves, så snart situationen tillader det.</w:t>
            </w:r>
            <w:r>
              <w:rPr>
                <w:b/>
                <w:i/>
              </w:rPr>
              <w:t xml:space="preserve"> Enhver begrænsning har ikke længere retsvirkning, når nødtilstanden er deakti</w:t>
            </w:r>
            <w:r>
              <w:rPr>
                <w:b/>
                <w:i/>
              </w:rPr>
              <w:t>veret.</w:t>
            </w:r>
            <w:r>
              <w:t xml:space="preserve"> Desuden bør enhver begrænsning tage hensyn til situationen i grænseregioner</w:t>
            </w:r>
            <w:r>
              <w:rPr>
                <w:b/>
                <w:i/>
              </w:rPr>
              <w:t xml:space="preserve"> og situationen for mobile arbejdstagere, navnlig grænsearbejdere og -pendlere</w:t>
            </w:r>
            <w:r>
              <w:t>.</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84</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w:t>
      </w:r>
      <w:r>
        <w:rPr>
          <w:rStyle w:val="HideTWBExt"/>
          <w:b w:val="0"/>
        </w:rPr>
        <w:t>d&gt;</w:t>
      </w:r>
    </w:p>
    <w:p w:rsidR="003C0A2B" w:rsidRPr="006374E5" w:rsidRDefault="00DA22D1" w:rsidP="003C0A2B">
      <w:pPr>
        <w:pStyle w:val="NormalBold"/>
      </w:pPr>
      <w:r>
        <w:rPr>
          <w:rStyle w:val="HideTWBExt"/>
          <w:b w:val="0"/>
        </w:rPr>
        <w:t>&lt;Article&gt;</w:t>
      </w:r>
      <w:r>
        <w:t>Artikel 16 – stk. 2 a (nyt)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rPr>
                <w:szCs w:val="24"/>
              </w:rPr>
            </w:pPr>
            <w:r>
              <w:rPr>
                <w:b/>
                <w:i/>
              </w:rPr>
              <w:t>2a.</w:t>
            </w:r>
            <w:r>
              <w:rPr>
                <w:b/>
                <w:i/>
              </w:rPr>
              <w:tab/>
              <w:t>Enhver begrænsning af den frie bevægelighed for unionsborgere og deres familiemedlemmer samt for tredjelandsstatsborgere med lovligt ophold eller lovlig bopæl</w:t>
            </w:r>
            <w:r>
              <w:rPr>
                <w:b/>
                <w:i/>
              </w:rPr>
              <w:t xml:space="preserve"> på medlemsstaternes område såvel som for flygtninge og personer med international beskyttelse af hensyn til den offentlige orden, den offentlige sikkerhed eller folkesundheden eller enhver anden foranstaltning med tilsvarende virkning må ikke gennemføres </w:t>
            </w:r>
            <w:r>
              <w:rPr>
                <w:b/>
                <w:i/>
              </w:rPr>
              <w:t>uden forudgående risikovurdering.</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85</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lastRenderedPageBreak/>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16 – stk.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3.</w:t>
            </w:r>
            <w:r>
              <w:tab/>
              <w:t xml:space="preserve">Krav, der pålægges borgere og </w:t>
            </w:r>
            <w:r>
              <w:rPr>
                <w:b/>
                <w:i/>
              </w:rPr>
              <w:t>virksomheder</w:t>
            </w:r>
            <w:r>
              <w:t>, må ikke skabe en urimelig eller unødvendig administrativ byrde.</w:t>
            </w:r>
          </w:p>
        </w:tc>
        <w:tc>
          <w:tcPr>
            <w:tcW w:w="4876" w:type="dxa"/>
            <w:hideMark/>
          </w:tcPr>
          <w:p w:rsidR="003C0A2B" w:rsidRPr="006374E5" w:rsidRDefault="00DA22D1" w:rsidP="00E6740D">
            <w:pPr>
              <w:pStyle w:val="Normal6"/>
              <w:rPr>
                <w:szCs w:val="24"/>
              </w:rPr>
            </w:pPr>
            <w:r>
              <w:t>3.</w:t>
            </w:r>
            <w:r>
              <w:tab/>
              <w:t>Krav, der pålægges borgere</w:t>
            </w:r>
            <w:r>
              <w:rPr>
                <w:b/>
                <w:i/>
              </w:rPr>
              <w:t>, arbejdstagere, arbejdsgivere</w:t>
            </w:r>
            <w:r>
              <w:t xml:space="preserve"> og </w:t>
            </w:r>
            <w:r>
              <w:rPr>
                <w:b/>
                <w:i/>
              </w:rPr>
              <w:t>økonomiske aktører</w:t>
            </w:r>
            <w:r>
              <w:t>, må ikke skabe en urimelig eller unødvendig administrativ byrde.</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86</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16 – stk.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4.</w:t>
            </w:r>
            <w:r>
              <w:tab/>
              <w:t xml:space="preserve">Medlemsstaterne skal informere borgere, forbrugere, </w:t>
            </w:r>
            <w:r>
              <w:rPr>
                <w:b/>
                <w:i/>
              </w:rPr>
              <w:t>virksomheder</w:t>
            </w:r>
            <w:r>
              <w:t xml:space="preserve">, arbejdstagere og deres repræsentanter om </w:t>
            </w:r>
            <w:r>
              <w:t>foranstaltninger, der påvirker deres ret til fri bevægelighed, på en klar og utvetydig måde.</w:t>
            </w:r>
          </w:p>
        </w:tc>
        <w:tc>
          <w:tcPr>
            <w:tcW w:w="4876" w:type="dxa"/>
            <w:hideMark/>
          </w:tcPr>
          <w:p w:rsidR="003C0A2B" w:rsidRPr="006374E5" w:rsidRDefault="00DA22D1" w:rsidP="00E6740D">
            <w:pPr>
              <w:pStyle w:val="Normal6"/>
              <w:rPr>
                <w:szCs w:val="24"/>
              </w:rPr>
            </w:pPr>
            <w:r>
              <w:t>4.</w:t>
            </w:r>
            <w:r>
              <w:tab/>
              <w:t xml:space="preserve">Medlemsstaterne skal informere borgere, forbrugere, </w:t>
            </w:r>
            <w:r>
              <w:rPr>
                <w:b/>
                <w:i/>
              </w:rPr>
              <w:t>økonomiske aktører</w:t>
            </w:r>
            <w:r>
              <w:t>, arbejdstagere og deres repræsentanter om foranstaltninger, der påvirker deres ret til fr</w:t>
            </w:r>
            <w:r>
              <w:t>i bevægelighed, på en klar</w:t>
            </w:r>
            <w:r>
              <w:rPr>
                <w:b/>
                <w:i/>
              </w:rPr>
              <w:t>, rettidig</w:t>
            </w:r>
            <w:r>
              <w:t xml:space="preserve"> og utvetydig måde</w:t>
            </w:r>
            <w:r>
              <w:rPr>
                <w:b/>
                <w:i/>
              </w:rPr>
              <w:t xml:space="preserve"> for også at sikre retssikkerheden og lette koordineringen på tværs af grænserne.</w:t>
            </w:r>
            <w:r>
              <w:t xml:space="preserve"> </w:t>
            </w:r>
            <w:r>
              <w:rPr>
                <w:b/>
                <w:i/>
              </w:rPr>
              <w:t xml:space="preserve">Medlemsstaterne samarbejder med arbejdsmarkedets parter på nationalt og lokalt plan i den hensigt at sikre en effektiv </w:t>
            </w:r>
            <w:r>
              <w:rPr>
                <w:b/>
                <w:i/>
              </w:rPr>
              <w:t>formidling af relevante oplysninger til arbejdstagere og økonomiske aktører. Alle oplysninger skal stilles til rådighed elektronisk, være let tilgængelige for personer med handicap og på relevante sprog, navnlig i forbindelse med grænseoverskridende situat</w:t>
            </w:r>
            <w:r>
              <w:rPr>
                <w:b/>
                <w:i/>
              </w:rPr>
              <w:t>ioner.</w:t>
            </w:r>
          </w:p>
        </w:tc>
      </w:tr>
    </w:tbl>
    <w:p w:rsidR="003C0A2B" w:rsidRPr="006374E5" w:rsidRDefault="00DA22D1" w:rsidP="003C0A2B">
      <w:pPr>
        <w:rPr>
          <w:rStyle w:val="HideTWBExt"/>
          <w:rFonts w:ascii="Times New Roman" w:hAnsi="Times New Roman" w:cs="Times New Roman"/>
          <w:noProof w:val="0"/>
          <w:vanish w:val="0"/>
          <w:color w:val="auto"/>
          <w:sz w:val="24"/>
        </w:rPr>
      </w:pPr>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87</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16 – stk.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5.</w:t>
            </w:r>
            <w:r>
              <w:tab/>
              <w:t>Medlemsstaterne skal sikre, at alle berørte interessenter underrettes</w:t>
            </w:r>
            <w:r>
              <w:t xml:space="preserve"> om </w:t>
            </w:r>
            <w:r>
              <w:lastRenderedPageBreak/>
              <w:t xml:space="preserve">foranstaltninger, der begrænser den frie bevægelighed for varer, tjenesteydelser og personer, herunder arbejdstagere og tjenesteydere, inden de træder i kraft. Medlemsstaterne </w:t>
            </w:r>
            <w:r>
              <w:rPr>
                <w:b/>
                <w:i/>
              </w:rPr>
              <w:t>skal sikre en løbende dialog med interessenterne</w:t>
            </w:r>
            <w:r>
              <w:t xml:space="preserve">, </w:t>
            </w:r>
            <w:r>
              <w:rPr>
                <w:b/>
                <w:i/>
              </w:rPr>
              <w:t>herunder kommunikation</w:t>
            </w:r>
            <w:r>
              <w:t xml:space="preserve"> med</w:t>
            </w:r>
            <w:r>
              <w:t xml:space="preserve"> </w:t>
            </w:r>
            <w:r>
              <w:rPr>
                <w:b/>
                <w:i/>
              </w:rPr>
              <w:t>arbejdsmarkedets parter</w:t>
            </w:r>
            <w:r>
              <w:t xml:space="preserve"> og internationale partnere.</w:t>
            </w:r>
          </w:p>
        </w:tc>
        <w:tc>
          <w:tcPr>
            <w:tcW w:w="4876" w:type="dxa"/>
            <w:hideMark/>
          </w:tcPr>
          <w:p w:rsidR="003C0A2B" w:rsidRPr="006374E5" w:rsidRDefault="00DA22D1" w:rsidP="00E6740D">
            <w:pPr>
              <w:pStyle w:val="Normal6"/>
              <w:rPr>
                <w:szCs w:val="24"/>
              </w:rPr>
            </w:pPr>
            <w:r>
              <w:lastRenderedPageBreak/>
              <w:t>5.</w:t>
            </w:r>
            <w:r>
              <w:tab/>
              <w:t xml:space="preserve">Medlemsstaterne skal sikre, at alle berørte interessenter underrettes om </w:t>
            </w:r>
            <w:r>
              <w:lastRenderedPageBreak/>
              <w:t>foranstaltninger, der begrænser den frie bevægelighed for varer, tjenesteydelser og personer, herunder arbejdstagere og tjenest</w:t>
            </w:r>
            <w:r>
              <w:t xml:space="preserve">eydere, </w:t>
            </w:r>
            <w:r>
              <w:rPr>
                <w:b/>
                <w:i/>
              </w:rPr>
              <w:t xml:space="preserve">samt om sådanne foranstaltningers forventede udløb, </w:t>
            </w:r>
            <w:r>
              <w:t xml:space="preserve">inden de træder i kraft. Medlemsstaterne </w:t>
            </w:r>
            <w:r>
              <w:rPr>
                <w:b/>
                <w:i/>
              </w:rPr>
              <w:t>inddrager på behørig vis arbejdsmarkedets parter i udviklingen og</w:t>
            </w:r>
            <w:r>
              <w:t xml:space="preserve">, </w:t>
            </w:r>
            <w:r>
              <w:rPr>
                <w:b/>
                <w:i/>
              </w:rPr>
              <w:t>hvor det er relevant, gennemførelsen af enhver foranstaltning, der har indvirkning på de</w:t>
            </w:r>
            <w:r>
              <w:rPr>
                <w:b/>
                <w:i/>
              </w:rPr>
              <w:t>n frie bevægelighed for personer, og sikrer en løbende dialog</w:t>
            </w:r>
            <w:r>
              <w:t xml:space="preserve"> med </w:t>
            </w:r>
            <w:r>
              <w:rPr>
                <w:b/>
                <w:i/>
              </w:rPr>
              <w:t>andre interessenter</w:t>
            </w:r>
            <w:r>
              <w:t xml:space="preserve"> og internationale partnere.</w:t>
            </w:r>
          </w:p>
        </w:tc>
      </w:tr>
    </w:tbl>
    <w:p w:rsidR="003C0A2B" w:rsidRPr="006374E5" w:rsidRDefault="00DA22D1" w:rsidP="003C0A2B">
      <w:pPr>
        <w:rPr>
          <w:rStyle w:val="HideTWBExt"/>
          <w:rFonts w:ascii="Times New Roman" w:hAnsi="Times New Roman" w:cs="Times New Roman"/>
          <w:noProof w:val="0"/>
          <w:vanish w:val="0"/>
          <w:color w:val="auto"/>
          <w:sz w:val="24"/>
        </w:rPr>
      </w:pPr>
      <w:r>
        <w:rPr>
          <w:rStyle w:val="HideTWBExt"/>
        </w:rPr>
        <w:lastRenderedPageBreak/>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88</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17 – stk. 1 – litra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c)</w:t>
            </w:r>
            <w:r>
              <w:tab/>
              <w:t>diskriminerer mellem medlemsstater eller mellem borgere, herunder i deres egenskab af tjenesteydere eller arbejdstagere, direkte på grundlag af nationalitet eller, for selskabers vedkommende, det vedtæ</w:t>
            </w:r>
            <w:r>
              <w:t>gtsmæssige hjemsted, hovedkontoret eller hovedforretningsstedet</w:t>
            </w:r>
          </w:p>
        </w:tc>
        <w:tc>
          <w:tcPr>
            <w:tcW w:w="4876" w:type="dxa"/>
            <w:hideMark/>
          </w:tcPr>
          <w:p w:rsidR="003C0A2B" w:rsidRPr="006374E5" w:rsidRDefault="00DA22D1" w:rsidP="00E6740D">
            <w:pPr>
              <w:pStyle w:val="Normal6"/>
              <w:rPr>
                <w:szCs w:val="24"/>
              </w:rPr>
            </w:pPr>
            <w:r>
              <w:t>c)</w:t>
            </w:r>
            <w:r>
              <w:tab/>
              <w:t xml:space="preserve">diskriminerer mellem medlemsstater eller mellem borgere, herunder i deres egenskab af tjenesteydere eller arbejdstagere, direkte </w:t>
            </w:r>
            <w:r>
              <w:rPr>
                <w:b/>
                <w:i/>
              </w:rPr>
              <w:t xml:space="preserve">eller indirekte </w:t>
            </w:r>
            <w:r>
              <w:t xml:space="preserve">på grundlag af nationalitet eller, for </w:t>
            </w:r>
            <w:r>
              <w:t>selskabers vedkommende, det vedtægtsmæssige hjemsted, hovedkontoret eller hovedforretningsstedet</w:t>
            </w:r>
          </w:p>
        </w:tc>
      </w:tr>
    </w:tbl>
    <w:p w:rsidR="003C0A2B" w:rsidRPr="006374E5" w:rsidRDefault="00DA22D1" w:rsidP="003C0A2B">
      <w:pPr>
        <w:rPr>
          <w:rStyle w:val="HideTWBExt"/>
          <w:rFonts w:ascii="Times New Roman" w:hAnsi="Times New Roman" w:cs="Times New Roman"/>
          <w:noProof w:val="0"/>
          <w:vanish w:val="0"/>
          <w:color w:val="auto"/>
          <w:sz w:val="24"/>
        </w:rPr>
      </w:pPr>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89</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 xml:space="preserve">Artikel 17 – stk. 1 – litra d –  indledning </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d)</w:t>
            </w:r>
            <w:r>
              <w:tab/>
              <w:t>restriktioner for den frie bevægelighed for personer, der er involveret i produktion af kriserelevante varer, som er opført i en gennemførelsesretsakt vedtaget i henhold til artikel 14, stk. 5, og dele</w:t>
            </w:r>
            <w:r>
              <w:t xml:space="preserve"> heraf, eller i levering af kriserelevante tjenesteydelser, der er opført i en gennemførelsesretsakt </w:t>
            </w:r>
            <w:r>
              <w:lastRenderedPageBreak/>
              <w:t>vedtaget i henhold til artikel 14, stk. 5, eller andre foranstaltninger med tilsvarende virkning, som:</w:t>
            </w:r>
          </w:p>
        </w:tc>
        <w:tc>
          <w:tcPr>
            <w:tcW w:w="4876" w:type="dxa"/>
            <w:hideMark/>
          </w:tcPr>
          <w:p w:rsidR="003C0A2B" w:rsidRPr="006374E5" w:rsidRDefault="00DA22D1" w:rsidP="00E6740D">
            <w:pPr>
              <w:pStyle w:val="Normal6"/>
              <w:rPr>
                <w:szCs w:val="24"/>
              </w:rPr>
            </w:pPr>
            <w:r>
              <w:lastRenderedPageBreak/>
              <w:t>d)</w:t>
            </w:r>
            <w:r>
              <w:tab/>
              <w:t>restriktioner for den frie bevægelighed for perso</w:t>
            </w:r>
            <w:r>
              <w:t xml:space="preserve">ner, der er involveret i produktion af kriserelevante varer, som er opført i en gennemførelsesretsakt vedtaget i henhold til artikel 14, stk. 5, og dele heraf, eller i levering af kriserelevante tjenesteydelser, der er opført i en gennemførelsesretsakt </w:t>
            </w:r>
            <w:r>
              <w:lastRenderedPageBreak/>
              <w:t>ved</w:t>
            </w:r>
            <w:r>
              <w:t xml:space="preserve">taget i henhold til artikel 14, stk. 5, </w:t>
            </w:r>
            <w:r>
              <w:rPr>
                <w:b/>
                <w:bCs/>
                <w:i/>
                <w:iCs/>
              </w:rPr>
              <w:t>eller som er afgørende for den forstyrrede sektors funktion</w:t>
            </w:r>
            <w:r>
              <w:rPr>
                <w:b/>
                <w:bCs/>
              </w:rPr>
              <w:t xml:space="preserve"> </w:t>
            </w:r>
            <w:r>
              <w:t>eller andre foranstaltninger med tilsvarende virkning, som:</w:t>
            </w:r>
          </w:p>
        </w:tc>
      </w:tr>
    </w:tbl>
    <w:p w:rsidR="003C0A2B" w:rsidRPr="006374E5" w:rsidRDefault="00DA22D1" w:rsidP="003C0A2B">
      <w:r>
        <w:rPr>
          <w:rStyle w:val="HideTWBExt"/>
        </w:rPr>
        <w:lastRenderedPageBreak/>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90</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17 – stk. 1 – litra d – nr.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ii)</w:t>
            </w:r>
            <w:r>
              <w:tab/>
              <w:t>er direkte diskriminerende på grundlag af personens nationalitet.</w:t>
            </w:r>
          </w:p>
        </w:tc>
        <w:tc>
          <w:tcPr>
            <w:tcW w:w="4876" w:type="dxa"/>
            <w:hideMark/>
          </w:tcPr>
          <w:p w:rsidR="003C0A2B" w:rsidRPr="006374E5" w:rsidRDefault="00DA22D1" w:rsidP="00E6740D">
            <w:pPr>
              <w:pStyle w:val="Normal6"/>
              <w:rPr>
                <w:szCs w:val="24"/>
              </w:rPr>
            </w:pPr>
            <w:r>
              <w:t>ii)</w:t>
            </w:r>
            <w:r>
              <w:tab/>
              <w:t xml:space="preserve">er direkte </w:t>
            </w:r>
            <w:r>
              <w:rPr>
                <w:b/>
                <w:i/>
              </w:rPr>
              <w:t xml:space="preserve">eller indirekte </w:t>
            </w:r>
            <w:r>
              <w:t>diskriminerende på grundlag af personens nationalitet.</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91</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17 – stk. 2 – indledning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w:t>
            </w:r>
            <w:r>
              <w:tab/>
              <w:t xml:space="preserve">I nødsituationstilstanden for det indre marked og som reaktion </w:t>
            </w:r>
            <w:r>
              <w:t>på nødsituationen for det indre marked skal medlemsstaterne afholde sig fra at indføre en af følgende foranstaltninger, medmindre det er forbundet med arten af krisen:</w:t>
            </w:r>
          </w:p>
        </w:tc>
        <w:tc>
          <w:tcPr>
            <w:tcW w:w="4876" w:type="dxa"/>
            <w:hideMark/>
          </w:tcPr>
          <w:p w:rsidR="003C0A2B" w:rsidRPr="006374E5" w:rsidRDefault="00DA22D1" w:rsidP="00E6740D">
            <w:pPr>
              <w:pStyle w:val="Normal6"/>
              <w:rPr>
                <w:szCs w:val="24"/>
              </w:rPr>
            </w:pPr>
            <w:r>
              <w:t>2.</w:t>
            </w:r>
            <w:r>
              <w:tab/>
              <w:t xml:space="preserve">I nødsituationstilstanden for det indre marked og som reaktion på nødsituationen for </w:t>
            </w:r>
            <w:r>
              <w:t>det indre marked skal medlemsstaterne afholde sig fra at indføre en af følgende foranstaltninger, medmindre det er forbundet med arten af krisen</w:t>
            </w:r>
            <w:r>
              <w:rPr>
                <w:b/>
                <w:i/>
              </w:rPr>
              <w:t>, af hensyn til den offentlige orden, den offentlige sikkerhed eller folkesundheden og står i et rimeligt forhol</w:t>
            </w:r>
            <w:r>
              <w:rPr>
                <w:b/>
                <w:i/>
              </w:rPr>
              <w:t>d til at nå det angiveligt tilstræbte mål</w:t>
            </w:r>
            <w:r>
              <w:t>:</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92</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17 – stk. 3 – indledning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3.</w:t>
            </w:r>
            <w:r>
              <w:tab/>
              <w:t xml:space="preserve">I </w:t>
            </w:r>
            <w:r>
              <w:t xml:space="preserve">nødsituationstilstanden for det indre marked og som reaktion på nødsituationen for det indre marked skal </w:t>
            </w:r>
            <w:r>
              <w:lastRenderedPageBreak/>
              <w:t>medlemsstaterne afholde sig fra at indføre en af følgende foranstaltninger, medmindre det er forbundet med arten af krisen/nødsituationen for det indre</w:t>
            </w:r>
            <w:r>
              <w:t xml:space="preserve"> marked:</w:t>
            </w:r>
          </w:p>
        </w:tc>
        <w:tc>
          <w:tcPr>
            <w:tcW w:w="4876" w:type="dxa"/>
            <w:hideMark/>
          </w:tcPr>
          <w:p w:rsidR="003C0A2B" w:rsidRPr="006374E5" w:rsidRDefault="00DA22D1" w:rsidP="00E6740D">
            <w:pPr>
              <w:pStyle w:val="Normal6"/>
              <w:rPr>
                <w:szCs w:val="24"/>
              </w:rPr>
            </w:pPr>
            <w:r>
              <w:lastRenderedPageBreak/>
              <w:t>3.</w:t>
            </w:r>
            <w:r>
              <w:tab/>
              <w:t xml:space="preserve">I nødsituationstilstanden for det indre marked og som reaktion på nødsituationen for det indre marked skal </w:t>
            </w:r>
            <w:r>
              <w:lastRenderedPageBreak/>
              <w:t>medlemsstaterne afholde sig fra at indføre en af følgende foranstaltninger, medmindre det er forbundet med arten af krisen/nødsituationen</w:t>
            </w:r>
            <w:r>
              <w:t xml:space="preserve"> for det indre marked</w:t>
            </w:r>
            <w:r>
              <w:rPr>
                <w:b/>
                <w:i/>
              </w:rPr>
              <w:t>, af hensyn til den offentlige orden, den offentlige sikkerhed eller folkesundheden og står i et rimeligt forhold til at nå det angiveligt tilstræbte mål</w:t>
            </w:r>
            <w:r>
              <w:t>:</w:t>
            </w:r>
          </w:p>
        </w:tc>
      </w:tr>
    </w:tbl>
    <w:p w:rsidR="003C0A2B" w:rsidRPr="006374E5" w:rsidRDefault="00DA22D1" w:rsidP="003C0A2B">
      <w:r>
        <w:rPr>
          <w:rStyle w:val="HideTWBExt"/>
        </w:rPr>
        <w:lastRenderedPageBreak/>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93</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w:t>
      </w:r>
      <w:r>
        <w:t>dning</w:t>
      </w:r>
      <w:r>
        <w:rPr>
          <w:rStyle w:val="HideTWBExt"/>
          <w:b w:val="0"/>
        </w:rPr>
        <w:t>&lt;/DocAmend&gt;</w:t>
      </w:r>
    </w:p>
    <w:p w:rsidR="003C0A2B" w:rsidRPr="006374E5" w:rsidRDefault="00DA22D1" w:rsidP="003C0A2B">
      <w:pPr>
        <w:pStyle w:val="NormalBold"/>
      </w:pPr>
      <w:r>
        <w:rPr>
          <w:rStyle w:val="HideTWBExt"/>
          <w:b w:val="0"/>
        </w:rPr>
        <w:t>&lt;Article&gt;</w:t>
      </w:r>
      <w:r>
        <w:t>Artikel 17 – stk. 4 – litra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a)</w:t>
            </w:r>
            <w:r>
              <w:tab/>
              <w:t xml:space="preserve">at anvende mere lempelige regler for rejser til eller fra en medlemsstat til eller fra en anden medlemsstat eller en gruppe af medlemsstater </w:t>
            </w:r>
            <w:r>
              <w:t>sammenlignet med rejser til og fra andre medlemsstater, medmindre dette er forbundet med arten af krisen/nødsituationen på det indre marked</w:t>
            </w:r>
          </w:p>
        </w:tc>
        <w:tc>
          <w:tcPr>
            <w:tcW w:w="4876" w:type="dxa"/>
            <w:hideMark/>
          </w:tcPr>
          <w:p w:rsidR="003C0A2B" w:rsidRPr="006374E5" w:rsidRDefault="00DA22D1" w:rsidP="00E6740D">
            <w:pPr>
              <w:pStyle w:val="Normal6"/>
              <w:rPr>
                <w:szCs w:val="24"/>
              </w:rPr>
            </w:pPr>
            <w:r>
              <w:t>a)</w:t>
            </w:r>
            <w:r>
              <w:tab/>
              <w:t>at anvende mere lempelige regler for rejser til eller fra en medlemsstat til eller fra en anden medlemsstat eller</w:t>
            </w:r>
            <w:r>
              <w:t xml:space="preserve"> en gruppe af medlemsstater sammenlignet med rejser til og fra andre medlemsstater, medmindre dette er forbundet med arten af krisen/nødsituationen på det indre marked</w:t>
            </w:r>
            <w:r>
              <w:rPr>
                <w:b/>
                <w:i/>
              </w:rPr>
              <w:t>, af hensyn til den offentlige orden, den offentlige sikkerhed eller folkesundheden og st</w:t>
            </w:r>
            <w:r>
              <w:rPr>
                <w:b/>
                <w:i/>
              </w:rPr>
              <w:t>år i et rimeligt forhold til at nå det angiveligt tilstræbte mål</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94</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17 – stk. 4 – litra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d)</w:t>
            </w:r>
            <w:r>
              <w:tab/>
            </w:r>
            <w:r>
              <w:t xml:space="preserve">at indføre rejseforbud, herunder rejser af bydende nødvendige familiemæssige årsager, som ikke er </w:t>
            </w:r>
            <w:r>
              <w:rPr>
                <w:b/>
                <w:i/>
              </w:rPr>
              <w:t>egnede</w:t>
            </w:r>
            <w:r>
              <w:t xml:space="preserve"> til at opfylde nogen legitim offentlig interesse, der angiveligt forfølges med sådanne foranstaltninger, eller som klart går ud over, hvad der er nødve</w:t>
            </w:r>
            <w:r>
              <w:t>ndigt for at nå det pågældende mål</w:t>
            </w:r>
          </w:p>
        </w:tc>
        <w:tc>
          <w:tcPr>
            <w:tcW w:w="4876" w:type="dxa"/>
            <w:hideMark/>
          </w:tcPr>
          <w:p w:rsidR="003C0A2B" w:rsidRPr="006374E5" w:rsidRDefault="00DA22D1" w:rsidP="00E6740D">
            <w:pPr>
              <w:pStyle w:val="Normal6"/>
              <w:rPr>
                <w:szCs w:val="24"/>
              </w:rPr>
            </w:pPr>
            <w:r>
              <w:t>d)</w:t>
            </w:r>
            <w:r>
              <w:tab/>
              <w:t xml:space="preserve">at indføre rejseforbud, herunder rejser af bydende nødvendige familiemæssige årsager, som ikke er </w:t>
            </w:r>
            <w:r>
              <w:rPr>
                <w:b/>
                <w:i/>
              </w:rPr>
              <w:t>forholdsmæssige med hensyn</w:t>
            </w:r>
            <w:r>
              <w:t xml:space="preserve"> til at opfylde nogen legitim offentlig interesse, der angiveligt forfølges med sådanne forans</w:t>
            </w:r>
            <w:r>
              <w:t>taltninger, eller som klart går ud over, hvad der er nødvendigt for at nå det pågældende mål</w:t>
            </w:r>
          </w:p>
        </w:tc>
      </w:tr>
    </w:tbl>
    <w:p w:rsidR="003C0A2B" w:rsidRPr="006374E5" w:rsidRDefault="00DA22D1" w:rsidP="003C0A2B">
      <w:pPr>
        <w:rPr>
          <w:rStyle w:val="HideTWBExt"/>
          <w:rFonts w:ascii="Times New Roman" w:hAnsi="Times New Roman" w:cs="Times New Roman"/>
          <w:noProof w:val="0"/>
          <w:vanish w:val="0"/>
          <w:color w:val="auto"/>
          <w:sz w:val="24"/>
        </w:rPr>
      </w:pPr>
      <w:r>
        <w:rPr>
          <w:rStyle w:val="HideTWBExt"/>
        </w:rPr>
        <w:t>&lt;/Amend&gt;</w:t>
      </w:r>
    </w:p>
    <w:p w:rsidR="003C0A2B" w:rsidRPr="006374E5" w:rsidRDefault="00DA22D1" w:rsidP="003C0A2B">
      <w:pPr>
        <w:pStyle w:val="AmNumberTabs"/>
      </w:pPr>
      <w:r>
        <w:rPr>
          <w:rStyle w:val="HideTWBExt"/>
          <w:b w:val="0"/>
        </w:rPr>
        <w:lastRenderedPageBreak/>
        <w:t>&lt;Amend&gt;</w:t>
      </w:r>
      <w:r>
        <w:t>Ændringsforslag</w:t>
      </w:r>
      <w:r>
        <w:tab/>
      </w:r>
      <w:r>
        <w:tab/>
      </w:r>
      <w:r>
        <w:rPr>
          <w:rStyle w:val="HideTWBExt"/>
          <w:b w:val="0"/>
        </w:rPr>
        <w:t>&lt;NumAm&gt;</w:t>
      </w:r>
      <w:r>
        <w:t>95</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17 – stk. 4 – litra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w:t>
            </w:r>
            <w:r>
              <w:t>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e)</w:t>
            </w:r>
            <w:r>
              <w:tab/>
              <w:t xml:space="preserve">at indføre restriktioner for arbejdstagere og tjenesteydere og deres repræsentanter, </w:t>
            </w:r>
            <w:r>
              <w:rPr>
                <w:b/>
                <w:i/>
              </w:rPr>
              <w:t>medmindre dette er forbundet</w:t>
            </w:r>
            <w:r>
              <w:t xml:space="preserve"> med </w:t>
            </w:r>
            <w:r>
              <w:rPr>
                <w:b/>
                <w:i/>
              </w:rPr>
              <w:t>arten</w:t>
            </w:r>
            <w:r>
              <w:t xml:space="preserve"> af </w:t>
            </w:r>
            <w:r>
              <w:rPr>
                <w:b/>
                <w:i/>
              </w:rPr>
              <w:t>krisen/nødsituationen</w:t>
            </w:r>
            <w:r>
              <w:t xml:space="preserve"> for </w:t>
            </w:r>
            <w:r>
              <w:rPr>
                <w:b/>
                <w:i/>
              </w:rPr>
              <w:t>det indre marked</w:t>
            </w:r>
            <w:r>
              <w:t xml:space="preserve">, </w:t>
            </w:r>
            <w:r>
              <w:rPr>
                <w:b/>
                <w:i/>
              </w:rPr>
              <w:t>og det ikke går åbenbart ud over</w:t>
            </w:r>
            <w:r>
              <w:t xml:space="preserve">, </w:t>
            </w:r>
            <w:r>
              <w:rPr>
                <w:b/>
                <w:i/>
              </w:rPr>
              <w:t>hvad</w:t>
            </w:r>
            <w:r>
              <w:t xml:space="preserve"> der er </w:t>
            </w:r>
            <w:r>
              <w:rPr>
                <w:b/>
                <w:i/>
              </w:rPr>
              <w:t>nødvendigt</w:t>
            </w:r>
            <w:r>
              <w:t xml:space="preserve"> til </w:t>
            </w:r>
            <w:r>
              <w:rPr>
                <w:b/>
                <w:i/>
              </w:rPr>
              <w:t>dette formål</w:t>
            </w:r>
            <w:r>
              <w:t>.</w:t>
            </w:r>
          </w:p>
        </w:tc>
        <w:tc>
          <w:tcPr>
            <w:tcW w:w="4876" w:type="dxa"/>
            <w:hideMark/>
          </w:tcPr>
          <w:p w:rsidR="003C0A2B" w:rsidRPr="006374E5" w:rsidRDefault="00DA22D1" w:rsidP="00E6740D">
            <w:pPr>
              <w:pStyle w:val="Normal6"/>
              <w:rPr>
                <w:szCs w:val="24"/>
              </w:rPr>
            </w:pPr>
            <w:r>
              <w:t>e)</w:t>
            </w:r>
            <w:r>
              <w:tab/>
              <w:t xml:space="preserve">at indføre restriktioner for arbejdstagere og tjenesteydere og deres repræsentanter, </w:t>
            </w:r>
            <w:r>
              <w:rPr>
                <w:b/>
                <w:i/>
              </w:rPr>
              <w:t>som ikke står i et rimeligt forhold til det at nå det mål, der angiveligt tilstræbes</w:t>
            </w:r>
            <w:r>
              <w:t xml:space="preserve"> med </w:t>
            </w:r>
            <w:r>
              <w:rPr>
                <w:b/>
                <w:i/>
              </w:rPr>
              <w:t xml:space="preserve">sådanne foranstaltninger. Med henblik herpå bør der tages </w:t>
            </w:r>
            <w:r>
              <w:rPr>
                <w:b/>
                <w:i/>
              </w:rPr>
              <w:t>behørigt hensyn til behovene hos mobile arbejdstagere, navnlig grænsearbejdere og -pendlere, som er afhængige</w:t>
            </w:r>
            <w:r>
              <w:t xml:space="preserve"> af </w:t>
            </w:r>
            <w:r>
              <w:rPr>
                <w:b/>
                <w:i/>
              </w:rPr>
              <w:t>den frie bevægelighed</w:t>
            </w:r>
            <w:r>
              <w:t xml:space="preserve"> for </w:t>
            </w:r>
            <w:r>
              <w:rPr>
                <w:b/>
                <w:i/>
              </w:rPr>
              <w:t>at få adgang til deres arbejdsplads</w:t>
            </w:r>
            <w:r>
              <w:t xml:space="preserve">, </w:t>
            </w:r>
            <w:r>
              <w:rPr>
                <w:b/>
                <w:i/>
              </w:rPr>
              <w:t>navnlig når det kommer til erhverv, som kræver fysisk tilstedeværelse</w:t>
            </w:r>
            <w:r>
              <w:t xml:space="preserve">, </w:t>
            </w:r>
            <w:r>
              <w:rPr>
                <w:b/>
                <w:i/>
              </w:rPr>
              <w:t>samt arbe</w:t>
            </w:r>
            <w:r>
              <w:rPr>
                <w:b/>
                <w:i/>
              </w:rPr>
              <w:t>jdstagere,</w:t>
            </w:r>
            <w:r>
              <w:t xml:space="preserve"> der er </w:t>
            </w:r>
            <w:r>
              <w:rPr>
                <w:b/>
                <w:i/>
              </w:rPr>
              <w:t>i stand</w:t>
            </w:r>
            <w:r>
              <w:t xml:space="preserve"> til </w:t>
            </w:r>
            <w:r>
              <w:rPr>
                <w:b/>
                <w:i/>
              </w:rPr>
              <w:t>at arbejde på afstand, men som skal gøre det fra en bestemt medlemsstat</w:t>
            </w:r>
            <w:r>
              <w:t>.</w:t>
            </w:r>
          </w:p>
        </w:tc>
      </w:tr>
    </w:tbl>
    <w:p w:rsidR="003C0A2B" w:rsidRPr="006374E5" w:rsidRDefault="00DA22D1" w:rsidP="003C0A2B">
      <w:pPr>
        <w:rPr>
          <w:rStyle w:val="HideTWBExt"/>
          <w:rFonts w:ascii="Times New Roman" w:hAnsi="Times New Roman" w:cs="Times New Roman"/>
          <w:noProof w:val="0"/>
          <w:vanish w:val="0"/>
          <w:color w:val="auto"/>
          <w:sz w:val="24"/>
        </w:rPr>
      </w:pPr>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96</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17 – stk.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 xml:space="preserve">Kommissionens </w:t>
            </w:r>
            <w:r>
              <w:t>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5.</w:t>
            </w:r>
            <w:r>
              <w:tab/>
              <w:t xml:space="preserve">Når en nødsituation for det indre marked er blevet aktiveret i overensstemmelse med artikel 14, og de aktiviteter, der udføres af tjenesteudbyderne, erhvervsrepræsentanterne og arbejdstagerne, ikke er påvirket af krisen i </w:t>
            </w:r>
            <w:r>
              <w:rPr>
                <w:b/>
                <w:i/>
              </w:rPr>
              <w:t>medlem</w:t>
            </w:r>
            <w:r>
              <w:rPr>
                <w:b/>
                <w:i/>
              </w:rPr>
              <w:t>sstaten</w:t>
            </w:r>
            <w:r>
              <w:t xml:space="preserve">, og sikker rejse er mulig trods krisen, må </w:t>
            </w:r>
            <w:r>
              <w:rPr>
                <w:b/>
                <w:i/>
              </w:rPr>
              <w:t>den pågældende medlemsstat</w:t>
            </w:r>
            <w:r>
              <w:t xml:space="preserve"> ikke indføre rejserestriktioner for sådanne kategorier af personer fra andre medlemsstater, som ville forhindre dem i at få adgang til deres aktivitets- eller arbejdssted.</w:t>
            </w:r>
          </w:p>
        </w:tc>
        <w:tc>
          <w:tcPr>
            <w:tcW w:w="4876" w:type="dxa"/>
            <w:hideMark/>
          </w:tcPr>
          <w:p w:rsidR="003C0A2B" w:rsidRPr="006374E5" w:rsidRDefault="00DA22D1" w:rsidP="00E6740D">
            <w:pPr>
              <w:pStyle w:val="Normal6"/>
              <w:rPr>
                <w:szCs w:val="24"/>
              </w:rPr>
            </w:pPr>
            <w:r>
              <w:t>5.</w:t>
            </w:r>
            <w:r>
              <w:tab/>
              <w:t>Når</w:t>
            </w:r>
            <w:r>
              <w:t xml:space="preserve"> en nødsituation for det indre marked er blevet aktiveret i overensstemmelse med artikel 14, og de aktiviteter, der udføres af tjenesteudbyderne, erhvervsrepræsentanterne og arbejdstagerne, ikke er påvirket af krisen i </w:t>
            </w:r>
            <w:r>
              <w:rPr>
                <w:b/>
                <w:i/>
              </w:rPr>
              <w:t>en medlemsstat</w:t>
            </w:r>
            <w:r>
              <w:t>, og sikker rejse er mu</w:t>
            </w:r>
            <w:r>
              <w:t xml:space="preserve">lig trods krisen, må </w:t>
            </w:r>
            <w:r>
              <w:rPr>
                <w:b/>
                <w:i/>
              </w:rPr>
              <w:t>medlemsstaterne</w:t>
            </w:r>
            <w:r>
              <w:t xml:space="preserve"> ikke indføre rejserestriktioner for sådanne kategorier af personer fra andre medlemsstater, som ville forhindre dem i at få adgang til deres aktivitets- eller arbejdssted</w:t>
            </w:r>
            <w:r>
              <w:rPr>
                <w:b/>
                <w:i/>
              </w:rPr>
              <w:t>, forudsat at deres sundhed og sikkerhed kan sikr</w:t>
            </w:r>
            <w:r>
              <w:rPr>
                <w:b/>
                <w:i/>
              </w:rPr>
              <w:t xml:space="preserve">es på grundlag af ligebehandling med personer i en sammenlignelig situation i den relevante </w:t>
            </w:r>
            <w:r>
              <w:rPr>
                <w:b/>
                <w:i/>
              </w:rPr>
              <w:lastRenderedPageBreak/>
              <w:t>sektor i den modtagende medlemsstat</w:t>
            </w:r>
            <w:r>
              <w:t>.</w:t>
            </w:r>
          </w:p>
        </w:tc>
      </w:tr>
    </w:tbl>
    <w:p w:rsidR="003C0A2B" w:rsidRPr="006374E5" w:rsidRDefault="00DA22D1" w:rsidP="003C0A2B">
      <w:pPr>
        <w:rPr>
          <w:rStyle w:val="HideTWBExt"/>
          <w:rFonts w:ascii="Times New Roman" w:hAnsi="Times New Roman" w:cs="Times New Roman"/>
          <w:noProof w:val="0"/>
          <w:vanish w:val="0"/>
          <w:color w:val="auto"/>
          <w:sz w:val="24"/>
        </w:rPr>
      </w:pPr>
      <w:r>
        <w:rPr>
          <w:rStyle w:val="HideTWBExt"/>
        </w:rPr>
        <w:lastRenderedPageBreak/>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97</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17 – stk. 6 –</w:t>
      </w:r>
      <w:r>
        <w:t xml:space="preserve"> indledning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6.</w:t>
            </w:r>
            <w:r>
              <w:tab/>
              <w:t xml:space="preserve">Når en nødsituation for det indre marked er blevet aktiveret i overensstemmelse med artikel 14, og ekstraordinære omstændigheder som følge af krisen ikke giver alle tjenesteydere, </w:t>
            </w:r>
            <w:r>
              <w:t>erhvervsrepræsentanter og arbejdstagere fra andre medlemsstater mulighed for at rejse og få uhindret adgang til deres aktivitets- eller arbejdssted, men rejser stadig er muligt, må medlemsstaterne ikke indføre rejserestriktioner for:</w:t>
            </w:r>
          </w:p>
        </w:tc>
        <w:tc>
          <w:tcPr>
            <w:tcW w:w="4876" w:type="dxa"/>
            <w:hideMark/>
          </w:tcPr>
          <w:p w:rsidR="003C0A2B" w:rsidRPr="006374E5" w:rsidRDefault="00DA22D1" w:rsidP="00E6740D">
            <w:pPr>
              <w:pStyle w:val="Normal6"/>
              <w:rPr>
                <w:szCs w:val="24"/>
              </w:rPr>
            </w:pPr>
            <w:r>
              <w:t>6.</w:t>
            </w:r>
            <w:r>
              <w:tab/>
              <w:t>Når en nødsituation</w:t>
            </w:r>
            <w:r>
              <w:t xml:space="preserve"> for det indre marked er blevet aktiveret i overensstemmelse med artikel 14, og ekstraordinære omstændigheder som følge af krisen ikke giver alle tjenesteydere, erhvervsrepræsentanter og arbejdstagere fra andre medlemsstater mulighed for at rejse og få uhi</w:t>
            </w:r>
            <w:r>
              <w:t>ndret adgang til deres aktivitets- eller arbejdssted, men rejser stadig er muligt, må medlemsstaterne ikke indføre rejserestriktioner for</w:t>
            </w:r>
            <w:r>
              <w:rPr>
                <w:b/>
                <w:i/>
              </w:rPr>
              <w:t xml:space="preserve"> følgende kategorier af personer, forudsat at deres sundhed og sikkerhed kan sikres på grundlag af ligebehandling med p</w:t>
            </w:r>
            <w:r>
              <w:rPr>
                <w:b/>
                <w:i/>
              </w:rPr>
              <w:t>ersoner i en tilsvarende situation i den pågældende sektor i den modtagende medlemsstat</w:t>
            </w:r>
            <w:r>
              <w:t>:</w:t>
            </w:r>
          </w:p>
        </w:tc>
      </w:tr>
    </w:tbl>
    <w:p w:rsidR="003C0A2B" w:rsidRPr="006374E5" w:rsidRDefault="00DA22D1" w:rsidP="003C0A2B">
      <w:pPr>
        <w:rPr>
          <w:rStyle w:val="HideTWBExt"/>
          <w:rFonts w:ascii="Times New Roman" w:hAnsi="Times New Roman" w:cs="Times New Roman"/>
          <w:noProof w:val="0"/>
          <w:vanish w:val="0"/>
          <w:color w:val="auto"/>
          <w:sz w:val="24"/>
        </w:rPr>
      </w:pPr>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98</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17 – stk. 6 – litra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 xml:space="preserve">Kommissionens </w:t>
            </w:r>
            <w:r>
              <w:t>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a)</w:t>
            </w:r>
            <w:r>
              <w:tab/>
              <w:t>de tjenesteudbydere, der leverer kriserelevante tjenesteydelser, som er opført i en gennemførelsesretsakt, der er vedtaget i henhold til artikel 14, stk. 5, eller erhvervsrepræsentanter eller arbejdstagere, der er involveret i p</w:t>
            </w:r>
            <w:r>
              <w:t xml:space="preserve">roduktion af kriserelevante varer eller levering af kriserelevante tjenesteydelser, som er opført i en gennemførelsesretsakt, der er vedtaget i henhold til artikel 14, stk. 5, for at give dem adgang til stedet for deres aktiviteter, hvis aktiviteter i den </w:t>
            </w:r>
            <w:r>
              <w:lastRenderedPageBreak/>
              <w:t>pågældende sektor stadig er tilladt i medlemsstaten</w:t>
            </w:r>
          </w:p>
        </w:tc>
        <w:tc>
          <w:tcPr>
            <w:tcW w:w="4876" w:type="dxa"/>
            <w:hideMark/>
          </w:tcPr>
          <w:p w:rsidR="003C0A2B" w:rsidRPr="006374E5" w:rsidRDefault="00DA22D1" w:rsidP="00E6740D">
            <w:pPr>
              <w:pStyle w:val="Normal6"/>
              <w:rPr>
                <w:szCs w:val="24"/>
              </w:rPr>
            </w:pPr>
            <w:r>
              <w:lastRenderedPageBreak/>
              <w:t>a)</w:t>
            </w:r>
            <w:r>
              <w:tab/>
              <w:t>de tjenesteudbydere, der leverer kriserelevante tjenesteydelser, som er opført i en gennemførelsesretsakt, der er vedtaget i henhold til artikel 14, stk. 5, eller erhvervsrepræsentanter eller arbejdsta</w:t>
            </w:r>
            <w:r>
              <w:t xml:space="preserve">gere, der er involveret i produktion af kriserelevante varer eller levering af kriserelevante tjenesteydelser, som er opført i en gennemførelsesretsakt, der er vedtaget i henhold til artikel 14, stk. 5, </w:t>
            </w:r>
            <w:r>
              <w:rPr>
                <w:b/>
                <w:i/>
              </w:rPr>
              <w:t>herunder dem, der er afgørende for den forstyrrede se</w:t>
            </w:r>
            <w:r>
              <w:rPr>
                <w:b/>
                <w:i/>
              </w:rPr>
              <w:t xml:space="preserve">ktors funktion, </w:t>
            </w:r>
            <w:r>
              <w:t xml:space="preserve">for at give </w:t>
            </w:r>
            <w:r>
              <w:lastRenderedPageBreak/>
              <w:t>dem adgang til stedet for deres aktiviteter, hvis aktiviteter i den pågældende sektor stadig er tilladt i medlemsstaten</w:t>
            </w:r>
          </w:p>
        </w:tc>
      </w:tr>
    </w:tbl>
    <w:p w:rsidR="003C0A2B" w:rsidRPr="006374E5" w:rsidRDefault="00DA22D1" w:rsidP="003C0A2B">
      <w:pPr>
        <w:rPr>
          <w:rStyle w:val="HideTWBExt"/>
          <w:rFonts w:ascii="Times New Roman" w:hAnsi="Times New Roman" w:cs="Times New Roman"/>
          <w:noProof w:val="0"/>
          <w:vanish w:val="0"/>
          <w:color w:val="auto"/>
          <w:sz w:val="24"/>
        </w:rPr>
      </w:pPr>
      <w:r>
        <w:rPr>
          <w:rStyle w:val="HideTWBExt"/>
        </w:rPr>
        <w:lastRenderedPageBreak/>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99</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17 – stk.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7.</w:t>
            </w:r>
            <w:r>
              <w:tab/>
              <w:t>Når medlemsstaterne træffer de foranstaltninger, der er omhandlet i denne bestemmelse, sikrer de fuld overholdelse af traktaterne og EU-retten. Intet i denne bestemmelse giver tillad</w:t>
            </w:r>
            <w:r>
              <w:t>else til eller begrunder begrænsninger af den frie bevægelighed i strid med traktaterne eller andre bestemmelser i EU-retten.</w:t>
            </w:r>
          </w:p>
        </w:tc>
        <w:tc>
          <w:tcPr>
            <w:tcW w:w="4876" w:type="dxa"/>
            <w:hideMark/>
          </w:tcPr>
          <w:p w:rsidR="003C0A2B" w:rsidRPr="006374E5" w:rsidRDefault="00DA22D1" w:rsidP="00E6740D">
            <w:pPr>
              <w:pStyle w:val="Normal6"/>
              <w:rPr>
                <w:szCs w:val="24"/>
              </w:rPr>
            </w:pPr>
            <w:r>
              <w:t>7.</w:t>
            </w:r>
            <w:r>
              <w:tab/>
              <w:t>Når medlemsstaterne træffer de foranstaltninger, der er omhandlet i denne bestemmelse, sikrer de fuld overholdelse af traktater</w:t>
            </w:r>
            <w:r>
              <w:t>ne og EU-retten</w:t>
            </w:r>
            <w:r>
              <w:rPr>
                <w:b/>
                <w:i/>
              </w:rPr>
              <w:t>, herunder beskyttelse af arbejdstagere, tjenesteydere og repræsentanter for erhvervslivet, og sikrer, at disse personer er i stand til at udøve deres ret til fri bevægelighed under sikre forhold</w:t>
            </w:r>
            <w:r>
              <w:t>. Intet i denne bestemmelse giver tilladelse t</w:t>
            </w:r>
            <w:r>
              <w:t>il eller begrunder begrænsninger af den frie bevægelighed i strid med traktaterne eller andre bestemmelser i EU-retten.</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100</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18 – stk.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1.</w:t>
            </w:r>
            <w:r>
              <w:tab/>
              <w:t xml:space="preserve">I nødsituationstilstanden for det indre marked kan Kommissionen ved hjælp af gennemførelsesretsakter træffe støtteforanstaltninger for at </w:t>
            </w:r>
            <w:r>
              <w:rPr>
                <w:b/>
                <w:i/>
              </w:rPr>
              <w:t>styrke</w:t>
            </w:r>
            <w:r>
              <w:t xml:space="preserve"> den frie bevægelighed for personer som omhandlet i artikel 17, stk</w:t>
            </w:r>
            <w:r>
              <w:t>. 5 og 6. Disse gennemførelsesretsakter vedtages efter undersøgelsesproceduren, jf. artikel 42, stk. 2. I behørigt begrundede og særligt hastende tilfælde i forbindelse med den indvirkning, som krisen har på det indre marked, vedtager Kommissionen efter pr</w:t>
            </w:r>
            <w:r>
              <w:t xml:space="preserve">oceduren i artikel 42, stk. 3, gennemførelsesretsakter, der finder </w:t>
            </w:r>
            <w:r>
              <w:lastRenderedPageBreak/>
              <w:t>anvendelse straks.</w:t>
            </w:r>
          </w:p>
        </w:tc>
        <w:tc>
          <w:tcPr>
            <w:tcW w:w="4876" w:type="dxa"/>
            <w:hideMark/>
          </w:tcPr>
          <w:p w:rsidR="003C0A2B" w:rsidRPr="006374E5" w:rsidRDefault="00DA22D1" w:rsidP="00E6740D">
            <w:pPr>
              <w:pStyle w:val="Normal6"/>
              <w:rPr>
                <w:szCs w:val="24"/>
              </w:rPr>
            </w:pPr>
            <w:r>
              <w:lastRenderedPageBreak/>
              <w:t>1.</w:t>
            </w:r>
            <w:r>
              <w:tab/>
              <w:t xml:space="preserve">I nødsituationstilstanden for det indre marked kan Kommissionen ved hjælp af gennemførelsesretsakter træffe støtteforanstaltninger for at </w:t>
            </w:r>
            <w:r>
              <w:rPr>
                <w:b/>
                <w:i/>
              </w:rPr>
              <w:t>lette</w:t>
            </w:r>
            <w:r>
              <w:t xml:space="preserve"> den frie bevægelighed f</w:t>
            </w:r>
            <w:r>
              <w:t>or personer som omhandlet i artikel 17, stk. 5 og 6</w:t>
            </w:r>
            <w:r>
              <w:rPr>
                <w:b/>
                <w:i/>
              </w:rPr>
              <w:t xml:space="preserve"> og for at sikre, at de er i stand til at udøve deres ret til fri bevægelighed under sikre forhold</w:t>
            </w:r>
            <w:r>
              <w:t xml:space="preserve">. Disse gennemførelsesretsakter vedtages efter undersøgelsesproceduren, jf. artikel 42, stk. 2. I behørigt </w:t>
            </w:r>
            <w:r>
              <w:t xml:space="preserve">begrundede og særligt hastende tilfælde i forbindelse med den indvirkning, som krisen har på det indre marked, vedtager Kommissionen efter </w:t>
            </w:r>
            <w:r>
              <w:lastRenderedPageBreak/>
              <w:t>proceduren i artikel 42, stk. 3, gennemførelsesretsakter, der finder anvendelse straks.</w:t>
            </w:r>
          </w:p>
        </w:tc>
      </w:tr>
    </w:tbl>
    <w:p w:rsidR="003C0A2B" w:rsidRPr="006374E5" w:rsidRDefault="00DA22D1" w:rsidP="003C0A2B">
      <w:r>
        <w:rPr>
          <w:rStyle w:val="HideTWBExt"/>
        </w:rPr>
        <w:lastRenderedPageBreak/>
        <w:t>&lt;/Amend&gt;</w:t>
      </w:r>
    </w:p>
    <w:p w:rsidR="003C0A2B" w:rsidRPr="006374E5" w:rsidRDefault="00DA22D1" w:rsidP="003C0A2B">
      <w:pPr>
        <w:pStyle w:val="AmNumberTabs"/>
      </w:pPr>
      <w:r>
        <w:rPr>
          <w:rStyle w:val="HideTWBExt"/>
          <w:b w:val="0"/>
        </w:rPr>
        <w:t>&lt;Amend&gt;</w:t>
      </w:r>
      <w:r>
        <w:t>Ændringsfors</w:t>
      </w:r>
      <w:r>
        <w:t>lag</w:t>
      </w:r>
      <w:r>
        <w:tab/>
      </w:r>
      <w:r>
        <w:tab/>
      </w:r>
      <w:r>
        <w:rPr>
          <w:rStyle w:val="HideTWBExt"/>
          <w:b w:val="0"/>
        </w:rPr>
        <w:t>&lt;NumAm&gt;</w:t>
      </w:r>
      <w:r>
        <w:t>101</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18 – stk.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w:t>
            </w:r>
            <w:r>
              <w:tab/>
              <w:t xml:space="preserve">Hvis Kommissionen under nødsituationstilstanden for det indre marked fastslår, at medlemsstaterne har </w:t>
            </w:r>
            <w:r>
              <w:t>indført modeller til attestering af, at en person eller en økonomisk aktør er en tjenesteyder, der leverer kriserelevante tjenester, en erhvervsrepræsentant eller en arbejdstager, der er involveret i produktion af kriserelevante varer eller levering af kri</w:t>
            </w:r>
            <w:r>
              <w:t>serelevante tjenesteydelser, eller en civilbeskyttelsesmedarbejder, og finder, at de enkelte medlemsstaters anvendelse af forskellige modeller er en hindring for den frie bevægelighed på tidspunktet for en nødsituation for det indre marked, kan Kommissione</w:t>
            </w:r>
            <w:r>
              <w:t xml:space="preserve">n, hvis den finder det nødvendigt for at støtte den frie bevægelighed for sådanne kategorier af personer og deres udstyr under den igangværende nødsituation for det indre marked, udstede skabeloner til attestering af, at de opfylder de relevante kriterier </w:t>
            </w:r>
            <w:r>
              <w:t>for anvendelsen af artikel 17, stk. 6, i alle medlemsstater, ved hjælp af gennemførelsesretsakter.</w:t>
            </w:r>
          </w:p>
        </w:tc>
        <w:tc>
          <w:tcPr>
            <w:tcW w:w="4876" w:type="dxa"/>
            <w:hideMark/>
          </w:tcPr>
          <w:p w:rsidR="003C0A2B" w:rsidRPr="006374E5" w:rsidRDefault="00DA22D1" w:rsidP="00E6740D">
            <w:pPr>
              <w:pStyle w:val="Normal6"/>
              <w:rPr>
                <w:szCs w:val="24"/>
              </w:rPr>
            </w:pPr>
            <w:r>
              <w:t>2.</w:t>
            </w:r>
            <w:r>
              <w:tab/>
              <w:t>Hvis Kommissionen under nødsituationstilstanden for det indre marked fastslår, at medlemsstaterne har indført modeller til attestering af, at en person el</w:t>
            </w:r>
            <w:r>
              <w:t>ler en økonomisk aktør er en tjenesteyder, der leverer kriserelevante tjenester, en erhvervsrepræsentant eller en arbejdstager, der er involveret i produktion af kriserelevante varer eller levering af kriserelevante tjenesteydelser, eller en civilbeskyttel</w:t>
            </w:r>
            <w:r>
              <w:t xml:space="preserve">sesmedarbejder, og finder, at de enkelte medlemsstaters anvendelse af forskellige modeller er en hindring for den frie bevægelighed på tidspunktet for en nødsituation for det indre marked, kan Kommissionen, hvis den finder det nødvendigt for at støtte den </w:t>
            </w:r>
            <w:r>
              <w:t>frie bevægelighed for sådanne kategorier af personer og deres udstyr under den igangværende nødsituation for det indre marked, udstede skabeloner til attestering af, at de opfylder de relevante kriterier for anvendelsen af artikel 17, stk. 6, i alle medlem</w:t>
            </w:r>
            <w:r>
              <w:t xml:space="preserve">sstater, ved hjælp af gennemførelsesretsakter. </w:t>
            </w:r>
            <w:r>
              <w:rPr>
                <w:b/>
                <w:i/>
              </w:rPr>
              <w:t>For at lette anvendelsen af disse skabeloner kan Kommissionen anvende digitale løsninger.</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102</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19 –</w:t>
      </w:r>
      <w:r>
        <w:t xml:space="preserve"> stk. 1 – afsnit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 xml:space="preserve">I nødsituationen på det indre marked giver medlemsstaterne meddelelse til Kommissionen om </w:t>
            </w:r>
            <w:r>
              <w:rPr>
                <w:b/>
                <w:i/>
              </w:rPr>
              <w:t xml:space="preserve">kriserelevante </w:t>
            </w:r>
            <w:r>
              <w:t>udkast til foranstaltninger, der begrænser den frie bevægelighed for varer</w:t>
            </w:r>
            <w:r>
              <w:rPr>
                <w:b/>
                <w:i/>
              </w:rPr>
              <w:t xml:space="preserve"> og</w:t>
            </w:r>
            <w:r>
              <w:t xml:space="preserve"> den frie udveksling af tjenesteydelser </w:t>
            </w:r>
            <w:r>
              <w:rPr>
                <w:b/>
                <w:i/>
              </w:rPr>
              <w:t>samt kriserelevante restriktioner for</w:t>
            </w:r>
            <w:r>
              <w:t xml:space="preserve"> den frie bevægelighed for personer, herunder arbejdstagere, sammen med begrundelsen for disse foranstaltninger.</w:t>
            </w:r>
          </w:p>
        </w:tc>
        <w:tc>
          <w:tcPr>
            <w:tcW w:w="4876" w:type="dxa"/>
            <w:hideMark/>
          </w:tcPr>
          <w:p w:rsidR="003C0A2B" w:rsidRPr="006374E5" w:rsidRDefault="00DA22D1" w:rsidP="00E6740D">
            <w:pPr>
              <w:pStyle w:val="Normal6"/>
              <w:rPr>
                <w:szCs w:val="24"/>
              </w:rPr>
            </w:pPr>
            <w:r>
              <w:t>I nødsituationen på det indre marked giver medlemsstaterne meddele</w:t>
            </w:r>
            <w:r>
              <w:t>lse til Kommissionen om udkast til foranstaltninger</w:t>
            </w:r>
            <w:r>
              <w:rPr>
                <w:b/>
                <w:i/>
              </w:rPr>
              <w:t xml:space="preserve"> og restriktioner, der er forbundet med krisen, og navnlig dem</w:t>
            </w:r>
            <w:r>
              <w:t>, der begrænser den frie bevægelighed for varer</w:t>
            </w:r>
            <w:r>
              <w:rPr>
                <w:b/>
                <w:i/>
              </w:rPr>
              <w:t>,</w:t>
            </w:r>
            <w:r>
              <w:t xml:space="preserve"> den frie udveksling af tjenesteydelser </w:t>
            </w:r>
            <w:r>
              <w:rPr>
                <w:b/>
                <w:i/>
              </w:rPr>
              <w:t>og</w:t>
            </w:r>
            <w:r>
              <w:t xml:space="preserve"> den frie bevægelighed for personer, herunder arbejds</w:t>
            </w:r>
            <w:r>
              <w:t>tagere, sammen med begrundelsen for disse foranstaltninger</w:t>
            </w:r>
            <w:r>
              <w:rPr>
                <w:b/>
                <w:i/>
              </w:rPr>
              <w:t>, såvel som restriktioner og særlige ordninger, der letter den frie bevægelighed for mobile arbejdstagere i kriserelevante sektorer, herunder grænsearbejdere og -pendlere</w:t>
            </w:r>
            <w:r>
              <w:t>.</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103</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19 – stk.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w:t>
            </w:r>
            <w:r>
              <w:tab/>
              <w:t xml:space="preserve">Medlemsstaterne giver Kommissionen en begrundelse for, at indførelsen af </w:t>
            </w:r>
            <w:r>
              <w:rPr>
                <w:b/>
                <w:i/>
              </w:rPr>
              <w:t>en sådan foranstalt</w:t>
            </w:r>
            <w:r>
              <w:rPr>
                <w:b/>
                <w:i/>
              </w:rPr>
              <w:t>ning</w:t>
            </w:r>
            <w:r>
              <w:t xml:space="preserve"> er berettiget</w:t>
            </w:r>
            <w:r>
              <w:rPr>
                <w:b/>
                <w:i/>
              </w:rPr>
              <w:t xml:space="preserve"> og forholdsmæssig</w:t>
            </w:r>
            <w:r>
              <w:t xml:space="preserve">, </w:t>
            </w:r>
            <w:r>
              <w:rPr>
                <w:b/>
                <w:i/>
              </w:rPr>
              <w:t>hvis denne begrundelse ikke allerede er blevet klarlagt i den meddelte foranstaltning</w:t>
            </w:r>
            <w:r>
              <w:t>. Medlemsstaterne meddeler Kommissionen den fulde ordlyd af de nationale love eller administrative bestemmelser, der indeholder eller</w:t>
            </w:r>
            <w:r>
              <w:t xml:space="preserve"> ændres ved foranstaltningen.</w:t>
            </w:r>
          </w:p>
        </w:tc>
        <w:tc>
          <w:tcPr>
            <w:tcW w:w="4876" w:type="dxa"/>
            <w:hideMark/>
          </w:tcPr>
          <w:p w:rsidR="003C0A2B" w:rsidRPr="006374E5" w:rsidRDefault="00DA22D1" w:rsidP="00E6740D">
            <w:pPr>
              <w:pStyle w:val="Normal6"/>
              <w:rPr>
                <w:szCs w:val="24"/>
              </w:rPr>
            </w:pPr>
            <w:r>
              <w:t>2.</w:t>
            </w:r>
            <w:r>
              <w:tab/>
              <w:t xml:space="preserve">Medlemsstaterne giver Kommissionen en begrundelse </w:t>
            </w:r>
            <w:r>
              <w:rPr>
                <w:b/>
                <w:i/>
              </w:rPr>
              <w:t xml:space="preserve">med dokumentation </w:t>
            </w:r>
            <w:r>
              <w:t xml:space="preserve">for, at indførelsen af </w:t>
            </w:r>
            <w:r>
              <w:rPr>
                <w:b/>
                <w:i/>
              </w:rPr>
              <w:t>sådanne foranstaltninger eller restriktioner</w:t>
            </w:r>
            <w:r>
              <w:t xml:space="preserve"> er berettiget, </w:t>
            </w:r>
            <w:r>
              <w:rPr>
                <w:b/>
                <w:i/>
              </w:rPr>
              <w:t>forholdsmæssig og ikkediskriminerende</w:t>
            </w:r>
            <w:r>
              <w:t>. Medlemsstaterne meddeler Kommissi</w:t>
            </w:r>
            <w:r>
              <w:t>onen den fulde ordlyd af de nationale love eller administrative bestemmelser, der indeholder eller ændres ved foranstaltningen.</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104</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19 – stk.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6.</w:t>
            </w:r>
            <w:r>
              <w:tab/>
              <w:t xml:space="preserve">Kommissionen sikrer, at borgere og </w:t>
            </w:r>
            <w:r>
              <w:rPr>
                <w:b/>
                <w:i/>
              </w:rPr>
              <w:lastRenderedPageBreak/>
              <w:t>virksomheder</w:t>
            </w:r>
            <w:r>
              <w:t xml:space="preserve"> informeres om de meddelte foranstaltninger</w:t>
            </w:r>
            <w:r>
              <w:rPr>
                <w:b/>
                <w:i/>
              </w:rPr>
              <w:t>, medmindre medlemsstaterne anmoder om, at foranstaltningerne forbliver fortrolige,</w:t>
            </w:r>
            <w:r>
              <w:t xml:space="preserve"> eller </w:t>
            </w:r>
            <w:r>
              <w:rPr>
                <w:b/>
                <w:i/>
              </w:rPr>
              <w:t>Kommissionen</w:t>
            </w:r>
            <w:r>
              <w:t xml:space="preserve"> vurderer, at offentliggørelsen af disse foranstaltninger vil påvirke </w:t>
            </w:r>
            <w:r>
              <w:rPr>
                <w:b/>
                <w:i/>
              </w:rPr>
              <w:t xml:space="preserve">sikkerheden og </w:t>
            </w:r>
            <w:r>
              <w:t>den offentlige orden i Den Europæiske Union eller dens medlemsstater, samt at de informeres om de afgørelser og medlemsstaternes bemærkninger, der er vedtaget i overensste</w:t>
            </w:r>
            <w:r>
              <w:t>mmelse med denne artikel.</w:t>
            </w:r>
          </w:p>
        </w:tc>
        <w:tc>
          <w:tcPr>
            <w:tcW w:w="4876" w:type="dxa"/>
            <w:hideMark/>
          </w:tcPr>
          <w:p w:rsidR="003C0A2B" w:rsidRPr="006374E5" w:rsidRDefault="00DA22D1" w:rsidP="00E6740D">
            <w:pPr>
              <w:pStyle w:val="Normal6"/>
              <w:rPr>
                <w:szCs w:val="24"/>
              </w:rPr>
            </w:pPr>
            <w:r>
              <w:lastRenderedPageBreak/>
              <w:t>6.</w:t>
            </w:r>
            <w:r>
              <w:tab/>
              <w:t>Kommissionen sikrer, at borgere</w:t>
            </w:r>
            <w:r>
              <w:rPr>
                <w:b/>
                <w:i/>
              </w:rPr>
              <w:t xml:space="preserve">, </w:t>
            </w:r>
            <w:r>
              <w:rPr>
                <w:b/>
                <w:i/>
              </w:rPr>
              <w:lastRenderedPageBreak/>
              <w:t>arbejdstagere, økonomiske aktører, arbejdsmarkedets parter</w:t>
            </w:r>
            <w:r>
              <w:t xml:space="preserve"> og </w:t>
            </w:r>
            <w:r>
              <w:rPr>
                <w:b/>
                <w:i/>
              </w:rPr>
              <w:t>andre berørte interessenter</w:t>
            </w:r>
            <w:r>
              <w:t xml:space="preserve"> informeres om de meddelte foranstaltninger</w:t>
            </w:r>
            <w:r>
              <w:rPr>
                <w:b/>
                <w:i/>
              </w:rPr>
              <w:t xml:space="preserve"> på et klart og utvetydigt grundlag, medmindre Kommissionen</w:t>
            </w:r>
            <w:r>
              <w:t xml:space="preserve"> eller </w:t>
            </w:r>
            <w:r>
              <w:rPr>
                <w:b/>
                <w:i/>
              </w:rPr>
              <w:t>medlemsstaterne</w:t>
            </w:r>
            <w:r>
              <w:t xml:space="preserve"> vurderer, at offentliggørelsen af disse foranstaltninger vil påvirke den offentlige orden</w:t>
            </w:r>
            <w:r>
              <w:rPr>
                <w:b/>
                <w:i/>
              </w:rPr>
              <w:t xml:space="preserve"> og sikkerheden</w:t>
            </w:r>
            <w:r>
              <w:t xml:space="preserve"> i Den Europæiske Union eller dens medlemsstater, samt at de informeres om de afgørelser og medlemsstaternes bemærkninger, der er</w:t>
            </w:r>
            <w:r>
              <w:t xml:space="preserve"> vedtaget i overensstemmelse med denne artikel.</w:t>
            </w:r>
          </w:p>
        </w:tc>
      </w:tr>
    </w:tbl>
    <w:p w:rsidR="003C0A2B" w:rsidRPr="006374E5" w:rsidRDefault="00DA22D1" w:rsidP="003C0A2B">
      <w:pPr>
        <w:rPr>
          <w:rStyle w:val="HideTWBExt"/>
          <w:rFonts w:ascii="Times New Roman" w:hAnsi="Times New Roman" w:cs="Times New Roman"/>
          <w:noProof w:val="0"/>
          <w:vanish w:val="0"/>
          <w:color w:val="auto"/>
          <w:sz w:val="24"/>
        </w:rPr>
      </w:pPr>
      <w:r>
        <w:rPr>
          <w:rStyle w:val="HideTWBExt"/>
        </w:rPr>
        <w:lastRenderedPageBreak/>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105</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21 – stk. 1 – indledning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1.</w:t>
            </w:r>
            <w:r>
              <w:tab/>
            </w:r>
            <w:r>
              <w:t>Medlemsstaterne driver nationale centrale kontaktpunkter, der yder borgere, forbrugere, økonomiske aktører og arbejdstagere og deres repræsentanter følgende bistand:</w:t>
            </w:r>
          </w:p>
        </w:tc>
        <w:tc>
          <w:tcPr>
            <w:tcW w:w="4876" w:type="dxa"/>
            <w:hideMark/>
          </w:tcPr>
          <w:p w:rsidR="003C0A2B" w:rsidRPr="006374E5" w:rsidRDefault="00DA22D1" w:rsidP="00E6740D">
            <w:pPr>
              <w:pStyle w:val="Normal6"/>
              <w:rPr>
                <w:szCs w:val="24"/>
              </w:rPr>
            </w:pPr>
            <w:r>
              <w:t>1.</w:t>
            </w:r>
            <w:r>
              <w:tab/>
              <w:t>Medlemsstaterne driver nationale centrale kontaktpunkter</w:t>
            </w:r>
            <w:r>
              <w:rPr>
                <w:b/>
                <w:i/>
              </w:rPr>
              <w:t xml:space="preserve"> og samarbejder i den henseende</w:t>
            </w:r>
            <w:r>
              <w:rPr>
                <w:b/>
                <w:i/>
              </w:rPr>
              <w:t xml:space="preserve"> med arbejdsmarkedets parter</w:t>
            </w:r>
            <w:r>
              <w:t>, der yder borgere</w:t>
            </w:r>
            <w:r>
              <w:rPr>
                <w:b/>
                <w:i/>
              </w:rPr>
              <w:t>, civilsamfundsorganisationer</w:t>
            </w:r>
            <w:r>
              <w:t>, forbrugere, økonomiske aktører og arbejdstagere og deres repræsentanter følgende bistand:</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106</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w:t>
      </w:r>
      <w:r>
        <w:rPr>
          <w:rStyle w:val="HideTWBExt"/>
          <w:b w:val="0"/>
        </w:rPr>
        <w:t>ocAmend&gt;</w:t>
      </w:r>
    </w:p>
    <w:p w:rsidR="003C0A2B" w:rsidRPr="006374E5" w:rsidRDefault="00DA22D1" w:rsidP="003C0A2B">
      <w:pPr>
        <w:pStyle w:val="NormalBold"/>
      </w:pPr>
      <w:r>
        <w:rPr>
          <w:rStyle w:val="HideTWBExt"/>
          <w:b w:val="0"/>
        </w:rPr>
        <w:t>&lt;Article&gt;</w:t>
      </w:r>
      <w:r>
        <w:t>Artikel 21 – stk.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w:t>
            </w:r>
            <w:r>
              <w:tab/>
              <w:t xml:space="preserve">Medlemsstaterne sikrer, at borgere, forbrugere, økonomiske aktører, arbejdstagere og deres repræsentanter på disses anmodning og via de respektive centrale </w:t>
            </w:r>
            <w:r>
              <w:t xml:space="preserve">kontaktpunkter kan modtage oplysninger fra de kompetente myndigheder om, hvordan de respektive nationale kriseresponsforanstaltninger generelt fortolkes og anvendes. Hvor det er relevant, skal sådanne oplysninger omfatte </w:t>
            </w:r>
            <w:r>
              <w:lastRenderedPageBreak/>
              <w:t>en trinvis vejledning. Oplysningern</w:t>
            </w:r>
            <w:r>
              <w:t>e skal gives i et klart og forståeligt sprog. De skal være let tilgængelige på afstand og ad elektronisk vej, og de skal holdes ajour.</w:t>
            </w:r>
          </w:p>
        </w:tc>
        <w:tc>
          <w:tcPr>
            <w:tcW w:w="4876" w:type="dxa"/>
            <w:hideMark/>
          </w:tcPr>
          <w:p w:rsidR="003C0A2B" w:rsidRPr="006374E5" w:rsidRDefault="00DA22D1" w:rsidP="00E6740D">
            <w:pPr>
              <w:pStyle w:val="Normal6"/>
              <w:rPr>
                <w:szCs w:val="24"/>
              </w:rPr>
            </w:pPr>
            <w:r>
              <w:lastRenderedPageBreak/>
              <w:t>2.</w:t>
            </w:r>
            <w:r>
              <w:tab/>
              <w:t xml:space="preserve">Medlemsstaterne sikrer, at borgere, forbrugere, </w:t>
            </w:r>
            <w:r>
              <w:rPr>
                <w:b/>
                <w:i/>
              </w:rPr>
              <w:t xml:space="preserve">civilsamfundsorganisationer, </w:t>
            </w:r>
            <w:r>
              <w:t>økonomiske aktører, arbejdstagere og dere</w:t>
            </w:r>
            <w:r>
              <w:t>s repræsentanter på disses anmodning og via de respektive centrale kontaktpunkter kan modtage oplysninger fra de kompetente myndigheder om, hvordan de respektive nationale kriseresponsforanstaltninger generelt fortolkes og anvendes. Hvor det er relevant, s</w:t>
            </w:r>
            <w:r>
              <w:t xml:space="preserve">kal sådanne oplysninger omfatte </w:t>
            </w:r>
            <w:r>
              <w:lastRenderedPageBreak/>
              <w:t>en trinvis vejledning. Oplysningerne skal gives i et klart og forståeligt sprog</w:t>
            </w:r>
            <w:r>
              <w:rPr>
                <w:b/>
                <w:i/>
              </w:rPr>
              <w:t xml:space="preserve"> og være tilgængelige for personer med handicap</w:t>
            </w:r>
            <w:r>
              <w:t>. De skal</w:t>
            </w:r>
            <w:r>
              <w:rPr>
                <w:b/>
                <w:i/>
              </w:rPr>
              <w:t xml:space="preserve"> også</w:t>
            </w:r>
            <w:r>
              <w:t xml:space="preserve"> være let tilgængelige på afstand og ad elektronisk vej, og de skal holdes ajour.</w:t>
            </w:r>
          </w:p>
        </w:tc>
      </w:tr>
    </w:tbl>
    <w:p w:rsidR="003C0A2B" w:rsidRPr="006374E5" w:rsidRDefault="00DA22D1" w:rsidP="003C0A2B">
      <w:r>
        <w:rPr>
          <w:rStyle w:val="HideTWBExt"/>
        </w:rPr>
        <w:lastRenderedPageBreak/>
        <w:t>&lt;</w:t>
      </w:r>
      <w:r>
        <w:rPr>
          <w:rStyle w:val="HideTWBExt"/>
        </w:rPr>
        <w: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107</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22 – stk. 2 – indledning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w:t>
            </w:r>
            <w:r>
              <w:tab/>
              <w:t xml:space="preserve">Det centrale kontaktpunkt på EU-plan yder borgere, forbrugere, </w:t>
            </w:r>
            <w:r>
              <w:t>økonomiske aktører</w:t>
            </w:r>
            <w:r>
              <w:rPr>
                <w:b/>
                <w:i/>
              </w:rPr>
              <w:t>,</w:t>
            </w:r>
            <w:r>
              <w:t xml:space="preserve"> arbejdstagere og deres repræsentanter følgende bistand:</w:t>
            </w:r>
          </w:p>
        </w:tc>
        <w:tc>
          <w:tcPr>
            <w:tcW w:w="4876" w:type="dxa"/>
            <w:hideMark/>
          </w:tcPr>
          <w:p w:rsidR="003C0A2B" w:rsidRPr="006374E5" w:rsidRDefault="00DA22D1" w:rsidP="00E6740D">
            <w:pPr>
              <w:pStyle w:val="Normal6"/>
              <w:rPr>
                <w:szCs w:val="24"/>
              </w:rPr>
            </w:pPr>
            <w:r>
              <w:t>2.</w:t>
            </w:r>
            <w:r>
              <w:tab/>
              <w:t xml:space="preserve">Det centrale kontaktpunkt på EU-plan yder borgere, </w:t>
            </w:r>
            <w:r>
              <w:rPr>
                <w:b/>
                <w:i/>
              </w:rPr>
              <w:t xml:space="preserve">civilsamfundsorganisationer, </w:t>
            </w:r>
            <w:r>
              <w:t>forbrugere, økonomiske aktører</w:t>
            </w:r>
            <w:r>
              <w:rPr>
                <w:b/>
                <w:i/>
              </w:rPr>
              <w:t xml:space="preserve"> og</w:t>
            </w:r>
            <w:r>
              <w:t xml:space="preserve"> arbejdstagere og deres repræsentanter følgende bistand:</w:t>
            </w:r>
          </w:p>
        </w:tc>
      </w:tr>
    </w:tbl>
    <w:p w:rsidR="003C0A2B" w:rsidRPr="006374E5" w:rsidRDefault="00DA22D1" w:rsidP="003C0A2B">
      <w:r>
        <w:rPr>
          <w:rStyle w:val="HideTWBExt"/>
        </w:rPr>
        <w:t>&lt;/Amen</w:t>
      </w:r>
      <w:r>
        <w:rPr>
          <w:rStyle w:val="HideTWBExt"/>
        </w:rPr>
        <w:t>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108</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22 – stk. 2 – litra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a)</w:t>
            </w:r>
            <w:r>
              <w:tab/>
              <w:t xml:space="preserve">bistand ved anmodning om og indhentning af oplysninger om </w:t>
            </w:r>
            <w:r>
              <w:t>kriseresponsforanstaltninger på EU-plan, der er relevante for den aktiverede nødsituation for det indre marked, eller som påvirker udøvelsen af den frie bevægelighed for varer, tjenesteydelser, personer og arbejdstagere</w:t>
            </w:r>
          </w:p>
        </w:tc>
        <w:tc>
          <w:tcPr>
            <w:tcW w:w="4876" w:type="dxa"/>
            <w:hideMark/>
          </w:tcPr>
          <w:p w:rsidR="003C0A2B" w:rsidRPr="006374E5" w:rsidRDefault="00DA22D1" w:rsidP="00E6740D">
            <w:pPr>
              <w:pStyle w:val="Normal6"/>
              <w:rPr>
                <w:szCs w:val="24"/>
              </w:rPr>
            </w:pPr>
            <w:r>
              <w:t>a)</w:t>
            </w:r>
            <w:r>
              <w:tab/>
              <w:t>bistand ved anmodning om og indhe</w:t>
            </w:r>
            <w:r>
              <w:t>ntning af oplysninger om kriseresponsforanstaltninger på EU-plan</w:t>
            </w:r>
            <w:r>
              <w:rPr>
                <w:b/>
                <w:i/>
              </w:rPr>
              <w:t xml:space="preserve"> og nationalt plan</w:t>
            </w:r>
            <w:r>
              <w:t>, der er relevante for den aktiverede nødsituation for det indre marked, eller som påvirker udøvelsen af den frie bevægelighed for varer, tjenesteydelser, personer og arbejds</w:t>
            </w:r>
            <w:r>
              <w:t>tagere</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109</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27 – stk.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2.</w:t>
            </w:r>
            <w:r>
              <w:tab/>
              <w:t xml:space="preserve">Hvis en økonomisk aktør ikke accepterer og prioriterer prioriterede </w:t>
            </w:r>
            <w:r>
              <w:lastRenderedPageBreak/>
              <w:t>ordrer, kan Kommissionen på eget initiativ eller efter anmodning fra 14 medlemsstater vurdere nødvendigheden og proportionaliteten af at anvende prioriterede ordrer. I sådanne tilfælde giver Kommissionen den pågældende økonomiske aktør samt alle parter, de</w:t>
            </w:r>
            <w:r>
              <w:t xml:space="preserve">r påviseligt er berørt af den potentielle prioriterede rækkefølge, mulighed for at tilkendegive deres holdning inden for en rimelig frist, som fastsættes af Kommissionen i lyset af sagens omstændigheder. Under særlige omstændigheder kan Kommissionen efter </w:t>
            </w:r>
            <w:r>
              <w:t>en sådan vurdering rette en gennemførelsesretsakt til den pågældende økonomiske aktør, hvori den enten skal acceptere og prioritere de prioriterede ordrer, der er angivet i gennemførelsesretsakten, eller forklare, hvorfor det ikke er muligt eller hensigtsm</w:t>
            </w:r>
            <w:r>
              <w:t>æssigt for den pågældende aktør at gøre dette. Kommissionens afgørelse baseres på objektive oplysninger, der viser, at en sådan prioritering er nødvendig for at sikre opretholdelsen af vitale samfundsmæssige økonomiske aktiviteter på det indre marked.</w:t>
            </w:r>
          </w:p>
        </w:tc>
        <w:tc>
          <w:tcPr>
            <w:tcW w:w="4876" w:type="dxa"/>
            <w:hideMark/>
          </w:tcPr>
          <w:p w:rsidR="003C0A2B" w:rsidRPr="006374E5" w:rsidRDefault="00DA22D1" w:rsidP="00E6740D">
            <w:pPr>
              <w:pStyle w:val="Normal6"/>
              <w:rPr>
                <w:szCs w:val="24"/>
              </w:rPr>
            </w:pPr>
            <w:r>
              <w:lastRenderedPageBreak/>
              <w:t>2.</w:t>
            </w:r>
            <w:r>
              <w:tab/>
              <w:t>H</w:t>
            </w:r>
            <w:r>
              <w:t xml:space="preserve">vis en økonomisk aktør ikke accepterer og prioriterer prioriterede </w:t>
            </w:r>
            <w:r>
              <w:lastRenderedPageBreak/>
              <w:t>ordrer, kan Kommissionen på eget initiativ eller efter anmodning fra 14 medlemsstater vurdere nødvendigheden og proportionaliteten af at anvende prioriterede ordrer. I sådanne tilfælde give</w:t>
            </w:r>
            <w:r>
              <w:t xml:space="preserve">r Kommissionen den pågældende økonomiske aktør samt alle parter, der påviseligt er berørt af den potentielle prioriterede rækkefølge, </w:t>
            </w:r>
            <w:r>
              <w:rPr>
                <w:b/>
                <w:i/>
              </w:rPr>
              <w:t xml:space="preserve">herunder arbejdstagerrepræsentanter og fagforeninger, </w:t>
            </w:r>
            <w:r>
              <w:t>mulighed for at tilkendegive deres holdning</w:t>
            </w:r>
            <w:r>
              <w:rPr>
                <w:b/>
                <w:i/>
              </w:rPr>
              <w:t>, efter at parterne har m</w:t>
            </w:r>
            <w:r>
              <w:rPr>
                <w:b/>
                <w:i/>
              </w:rPr>
              <w:t>odtaget omfattende oplysninger,</w:t>
            </w:r>
            <w:r>
              <w:t xml:space="preserve"> inden for en rimelig frist, som fastsættes af Kommissionen i lyset af sagens omstændigheder. Under særlige omstændigheder kan Kommissionen efter en sådan vurdering rette en gennemførelsesretsakt til den pågældende økonomiske</w:t>
            </w:r>
            <w:r>
              <w:t xml:space="preserve"> aktør, hvori den enten skal acceptere og prioritere de prioriterede ordrer, der er angivet i gennemførelsesretsakten, eller forklare, hvorfor det ikke er muligt eller hensigtsmæssigt for den pågældende aktør at gøre dette. Kommissionens afgørelse baseres </w:t>
            </w:r>
            <w:r>
              <w:t>på objektive oplysninger, der viser, at en sådan prioritering er nødvendig for at sikre opretholdelsen af vitale samfundsmæssige økonomiske aktiviteter på det indre marked</w:t>
            </w:r>
            <w:r>
              <w:rPr>
                <w:b/>
                <w:i/>
              </w:rPr>
              <w:t xml:space="preserve"> Arbejdstagere, der berøres af en sådan afgørelse, skal høres om de nærmere bestemmel</w:t>
            </w:r>
            <w:r>
              <w:rPr>
                <w:b/>
                <w:i/>
              </w:rPr>
              <w:t>ser og, hvor det er relevant, uddannes og kompenseres i overensstemmelse med national ret og EU-retten. Bestemmelserne om sundhed og sikkerhed på arbejdspladsen skal til enhver tid overholdes.</w:t>
            </w:r>
          </w:p>
        </w:tc>
      </w:tr>
    </w:tbl>
    <w:p w:rsidR="003C0A2B" w:rsidRPr="006374E5" w:rsidRDefault="00DA22D1" w:rsidP="003C0A2B">
      <w:r>
        <w:rPr>
          <w:rStyle w:val="HideTWBExt"/>
        </w:rPr>
        <w:lastRenderedPageBreak/>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110</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w:t>
      </w:r>
      <w:r>
        <w:rPr>
          <w:rStyle w:val="HideTWBExt"/>
          <w:b w:val="0"/>
        </w:rPr>
        <w:t>&gt;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27 – stk.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3.</w:t>
            </w:r>
            <w:r>
              <w:tab/>
              <w:t xml:space="preserve">Hvis den økonomiske aktør, som </w:t>
            </w:r>
            <w:r>
              <w:lastRenderedPageBreak/>
              <w:t>den i stk. 2 omhandlede afgørelse er rettet til, accepterer kravet om at acceptere og prioritere de ordrer,</w:t>
            </w:r>
            <w:r>
              <w:t xml:space="preserve"> der er anført i afgørelsen, har denne forpligtelse forrang frem for enhver offentligretlig eller privatretlig forpligtelse.</w:t>
            </w:r>
          </w:p>
        </w:tc>
        <w:tc>
          <w:tcPr>
            <w:tcW w:w="4876" w:type="dxa"/>
            <w:hideMark/>
          </w:tcPr>
          <w:p w:rsidR="003C0A2B" w:rsidRPr="006374E5" w:rsidRDefault="00DA22D1" w:rsidP="00E6740D">
            <w:pPr>
              <w:pStyle w:val="Normal6"/>
              <w:rPr>
                <w:szCs w:val="24"/>
              </w:rPr>
            </w:pPr>
            <w:r>
              <w:lastRenderedPageBreak/>
              <w:t>3.</w:t>
            </w:r>
            <w:r>
              <w:tab/>
              <w:t xml:space="preserve">Hvis den økonomiske aktør, som </w:t>
            </w:r>
            <w:r>
              <w:lastRenderedPageBreak/>
              <w:t xml:space="preserve">den i stk. 2 omhandlede afgørelse er rettet til, accepterer kravet om at acceptere og prioritere </w:t>
            </w:r>
            <w:r>
              <w:t xml:space="preserve">de ordrer, der er anført i afgørelsen, har denne forpligtelse forrang frem for enhver offentligretlig eller privatretlig forpligtelse. </w:t>
            </w:r>
            <w:r>
              <w:rPr>
                <w:b/>
                <w:i/>
              </w:rPr>
              <w:t>Ved prioriteringen af de ordrer, der er angivet i afgørelsen, skal de økonomiske aktører sikre fuld overholdelse af deres</w:t>
            </w:r>
            <w:r>
              <w:rPr>
                <w:b/>
                <w:i/>
              </w:rPr>
              <w:t xml:space="preserve"> forpligtelser i henhold til Unionens og den nationale arbejdsmarkedslovgivning, navnlig med hensyn til arbejdstagernes rettigheder og arbejdsvilkår.</w:t>
            </w:r>
          </w:p>
        </w:tc>
      </w:tr>
    </w:tbl>
    <w:p w:rsidR="003C0A2B" w:rsidRPr="006374E5" w:rsidRDefault="00DA22D1" w:rsidP="003C0A2B">
      <w:r>
        <w:rPr>
          <w:rStyle w:val="HideTWBExt"/>
        </w:rPr>
        <w:lastRenderedPageBreak/>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111</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33 – stk. 2 – litra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t>c)</w:t>
            </w:r>
            <w:r>
              <w:tab/>
              <w:t>sigte mod fremskyndelse af udstedelsen af tilladelser til kriserelevante varer.</w:t>
            </w:r>
          </w:p>
        </w:tc>
        <w:tc>
          <w:tcPr>
            <w:tcW w:w="4876" w:type="dxa"/>
            <w:hideMark/>
          </w:tcPr>
          <w:p w:rsidR="003C0A2B" w:rsidRPr="006374E5" w:rsidRDefault="00DA22D1" w:rsidP="00E6740D">
            <w:pPr>
              <w:pStyle w:val="Normal6"/>
              <w:rPr>
                <w:szCs w:val="24"/>
              </w:rPr>
            </w:pPr>
            <w:r>
              <w:t>c)</w:t>
            </w:r>
            <w:r>
              <w:tab/>
              <w:t>sigte mod fremskyndelse af udstedelsen af tilladelser til kriserelevante varer</w:t>
            </w:r>
            <w:r>
              <w:rPr>
                <w:b/>
                <w:i/>
              </w:rPr>
              <w:t xml:space="preserve"> u</w:t>
            </w:r>
            <w:r>
              <w:rPr>
                <w:b/>
                <w:i/>
              </w:rPr>
              <w:t>nder fuld overholdelse af gældende lovgivning, herunder sundheds- og sikkerhedsbestemmelser samt miljø- og forbrugerbeskyttelse</w:t>
            </w:r>
            <w:r>
              <w:t>.</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b w:val="0"/>
        </w:rPr>
        <w:t>&lt;Amend&gt;</w:t>
      </w:r>
      <w:r>
        <w:t>Ændringsforslag</w:t>
      </w:r>
      <w:r>
        <w:tab/>
      </w:r>
      <w:r>
        <w:tab/>
      </w:r>
      <w:r>
        <w:rPr>
          <w:rStyle w:val="HideTWBExt"/>
          <w:b w:val="0"/>
        </w:rPr>
        <w:t>&lt;NumAm&gt;</w:t>
      </w:r>
      <w:r>
        <w:t>112</w:t>
      </w:r>
      <w:r>
        <w:rPr>
          <w:rStyle w:val="HideTWBExt"/>
          <w:b w:val="0"/>
        </w:rPr>
        <w:t>&lt;/NumAm&gt;</w:t>
      </w:r>
    </w:p>
    <w:p w:rsidR="003C0A2B" w:rsidRPr="006374E5" w:rsidRDefault="003C0A2B" w:rsidP="003C0A2B"/>
    <w:p w:rsidR="003C0A2B" w:rsidRPr="006374E5" w:rsidRDefault="00DA22D1" w:rsidP="003C0A2B">
      <w:pPr>
        <w:pStyle w:val="NormalBold"/>
        <w:keepNext/>
      </w:pPr>
      <w:r>
        <w:rPr>
          <w:rStyle w:val="HideTWBExt"/>
          <w:b w:val="0"/>
        </w:rPr>
        <w:t>&lt;DocAmend&gt;</w:t>
      </w:r>
      <w:r>
        <w:t>Forslag til forordning</w:t>
      </w:r>
      <w:r>
        <w:rPr>
          <w:rStyle w:val="HideTWBExt"/>
          <w:b w:val="0"/>
        </w:rPr>
        <w:t>&lt;/DocAmend&gt;</w:t>
      </w:r>
    </w:p>
    <w:p w:rsidR="003C0A2B" w:rsidRPr="006374E5" w:rsidRDefault="00DA22D1" w:rsidP="003C0A2B">
      <w:pPr>
        <w:pStyle w:val="NormalBold"/>
      </w:pPr>
      <w:r>
        <w:rPr>
          <w:rStyle w:val="HideTWBExt"/>
          <w:b w:val="0"/>
        </w:rPr>
        <w:t>&lt;Article&gt;</w:t>
      </w:r>
      <w:r>
        <w:t>Artikel 39 a (ny)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jc w:val="center"/>
              <w:rPr>
                <w:szCs w:val="24"/>
              </w:rPr>
            </w:pPr>
            <w:r>
              <w:rPr>
                <w:b/>
                <w:i/>
              </w:rPr>
              <w:t>Artikel 39a</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jc w:val="center"/>
              <w:rPr>
                <w:szCs w:val="24"/>
              </w:rPr>
            </w:pPr>
            <w:r>
              <w:rPr>
                <w:b/>
                <w:i/>
              </w:rPr>
              <w:t>Klausul om garanti mod forringelser</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hideMark/>
          </w:tcPr>
          <w:p w:rsidR="003C0A2B" w:rsidRPr="006374E5" w:rsidRDefault="00DA22D1" w:rsidP="00E6740D">
            <w:pPr>
              <w:pStyle w:val="Normal6"/>
              <w:rPr>
                <w:szCs w:val="24"/>
              </w:rPr>
            </w:pPr>
            <w:r>
              <w:rPr>
                <w:b/>
                <w:i/>
              </w:rPr>
              <w:t xml:space="preserve">1. </w:t>
            </w:r>
            <w:r>
              <w:tab/>
            </w:r>
            <w:r>
              <w:rPr>
                <w:b/>
                <w:i/>
              </w:rPr>
              <w:t xml:space="preserve">Dette direktiv berører ikke medlemsstaternes adgang til at anvende eller indføre love og administrative bestemmelser, der er gunstigere for </w:t>
            </w:r>
            <w:r>
              <w:rPr>
                <w:b/>
                <w:i/>
              </w:rPr>
              <w:t xml:space="preserve">arbejdstagerne, eller til at fremme eller tillade anvendelsen af kollektive overenskomster, der er gunstigere for </w:t>
            </w:r>
            <w:r>
              <w:rPr>
                <w:b/>
                <w:i/>
              </w:rPr>
              <w:lastRenderedPageBreak/>
              <w:t>arbejdstagerne.</w:t>
            </w:r>
          </w:p>
        </w:tc>
      </w:tr>
    </w:tbl>
    <w:p w:rsidR="003C0A2B" w:rsidRPr="006374E5" w:rsidRDefault="00DA22D1" w:rsidP="003C0A2B">
      <w:pPr>
        <w:pStyle w:val="NormalBold"/>
      </w:pPr>
      <w:r>
        <w:rPr>
          <w:rStyle w:val="HideTWBExt"/>
        </w:rPr>
        <w:lastRenderedPageBreak/>
        <w:t>&lt;/Amend&gt;</w:t>
      </w:r>
    </w:p>
    <w:p w:rsidR="003C0A2B" w:rsidRPr="006374E5" w:rsidRDefault="00DA22D1" w:rsidP="003C0A2B">
      <w:pPr>
        <w:pStyle w:val="AmNumberTabs"/>
      </w:pPr>
      <w:r>
        <w:rPr>
          <w:rStyle w:val="HideTWBExt"/>
        </w:rPr>
        <w:t>&lt;Amend&gt;</w:t>
      </w:r>
      <w:r>
        <w:t>Ændringsforslag</w:t>
      </w:r>
      <w:r>
        <w:tab/>
      </w:r>
      <w:r>
        <w:tab/>
      </w:r>
      <w:r>
        <w:rPr>
          <w:rStyle w:val="HideTWBExt"/>
        </w:rPr>
        <w:t>&lt;NumAm&gt;</w:t>
      </w:r>
      <w:r>
        <w:t>113</w:t>
      </w:r>
      <w:r>
        <w:rPr>
          <w:rStyle w:val="HideTWBExt"/>
        </w:rPr>
        <w:t>&lt;/NumAm&gt;</w:t>
      </w:r>
    </w:p>
    <w:p w:rsidR="003C0A2B" w:rsidRPr="006374E5" w:rsidRDefault="003C0A2B" w:rsidP="003C0A2B"/>
    <w:p w:rsidR="003C0A2B" w:rsidRPr="006374E5" w:rsidRDefault="00DA22D1" w:rsidP="003C0A2B">
      <w:pPr>
        <w:pStyle w:val="NormalBold"/>
        <w:keepNext/>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45 – oversk</w:t>
      </w:r>
      <w:r>
        <w:t>rift</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hideMark/>
          </w:tcPr>
          <w:p w:rsidR="003C0A2B" w:rsidRPr="006374E5" w:rsidRDefault="00DA22D1" w:rsidP="00E6740D">
            <w:pPr>
              <w:pStyle w:val="Normal6"/>
            </w:pPr>
            <w:r>
              <w:rPr>
                <w:b/>
                <w:i/>
              </w:rPr>
              <w:t>Ophævelse</w:t>
            </w:r>
          </w:p>
        </w:tc>
        <w:tc>
          <w:tcPr>
            <w:tcW w:w="4876" w:type="dxa"/>
            <w:hideMark/>
          </w:tcPr>
          <w:p w:rsidR="003C0A2B" w:rsidRPr="006374E5" w:rsidRDefault="00DA22D1" w:rsidP="00E6740D">
            <w:pPr>
              <w:pStyle w:val="Normal6"/>
              <w:rPr>
                <w:szCs w:val="24"/>
              </w:rPr>
            </w:pPr>
            <w:r>
              <w:rPr>
                <w:b/>
                <w:i/>
              </w:rPr>
              <w:t>Ændringer af forordning (EF) nr. 2679/98</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&lt;Amend&gt;</w:t>
      </w:r>
      <w:r>
        <w:t>Ændringsforslag</w:t>
      </w:r>
      <w:r>
        <w:tab/>
      </w:r>
      <w:r>
        <w:rPr>
          <w:rStyle w:val="HideTWBExt"/>
          <w:color w:val="auto"/>
        </w:rPr>
        <w:tab/>
      </w:r>
      <w:r>
        <w:rPr>
          <w:rStyle w:val="HideTWBExt"/>
        </w:rPr>
        <w:t>&lt;NumAm&gt;</w:t>
      </w:r>
      <w:r>
        <w:t>114</w:t>
      </w:r>
      <w:r>
        <w:rPr>
          <w:rStyle w:val="HideTWBExt"/>
        </w:rPr>
        <w:t>&lt;/NumAm&gt;</w:t>
      </w:r>
    </w:p>
    <w:p w:rsidR="003C0A2B" w:rsidRPr="006374E5" w:rsidRDefault="003C0A2B" w:rsidP="003C0A2B"/>
    <w:p w:rsidR="003C0A2B" w:rsidRPr="006374E5" w:rsidRDefault="00DA22D1" w:rsidP="003C0A2B">
      <w:pPr>
        <w:pStyle w:val="NormalBold"/>
      </w:pPr>
      <w:r>
        <w:rPr>
          <w:rStyle w:val="HideTWBExt"/>
        </w:rPr>
        <w:t>&lt;DocAmend&gt;</w:t>
      </w:r>
      <w:r>
        <w:t>Forslag til forordning</w:t>
      </w:r>
      <w:r>
        <w:rPr>
          <w:rStyle w:val="HideTWBExt"/>
        </w:rPr>
        <w:t>&lt;/DocAmend&gt;</w:t>
      </w:r>
    </w:p>
    <w:p w:rsidR="003C0A2B" w:rsidRPr="006374E5" w:rsidRDefault="00DA22D1" w:rsidP="003C0A2B">
      <w:pPr>
        <w:rPr>
          <w:b/>
        </w:rPr>
      </w:pPr>
      <w:r>
        <w:rPr>
          <w:rStyle w:val="HideTWBExt"/>
        </w:rPr>
        <w:t>&lt;Article&gt;</w:t>
      </w:r>
      <w:r>
        <w:rPr>
          <w:b/>
        </w:rPr>
        <w:t>Artikel 45 – stk. 1</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keepNext/>
              <w:spacing w:after="240"/>
              <w:jc w:val="center"/>
              <w:rPr>
                <w:i/>
              </w:rPr>
            </w:pPr>
            <w:r>
              <w:rPr>
                <w:i/>
              </w:rPr>
              <w:t>Kommissionens forslag</w:t>
            </w:r>
          </w:p>
        </w:tc>
        <w:tc>
          <w:tcPr>
            <w:tcW w:w="4876" w:type="dxa"/>
            <w:hideMark/>
          </w:tcPr>
          <w:p w:rsidR="003C0A2B" w:rsidRPr="006374E5" w:rsidRDefault="00DA22D1" w:rsidP="00E6740D">
            <w:pPr>
              <w:keepNext/>
              <w:spacing w:after="240"/>
              <w:jc w:val="center"/>
              <w:rPr>
                <w:i/>
              </w:rPr>
            </w:pPr>
            <w:r>
              <w:rPr>
                <w:i/>
              </w:rPr>
              <w:t>Ændringsforslag</w:t>
            </w:r>
          </w:p>
        </w:tc>
      </w:tr>
      <w:tr w:rsidR="00AF0ABA" w:rsidTr="00E6740D">
        <w:trPr>
          <w:jc w:val="center"/>
        </w:trPr>
        <w:tc>
          <w:tcPr>
            <w:tcW w:w="4876" w:type="dxa"/>
            <w:hideMark/>
          </w:tcPr>
          <w:p w:rsidR="003C0A2B" w:rsidRPr="006374E5" w:rsidRDefault="00DA22D1" w:rsidP="00E6740D">
            <w:pPr>
              <w:pStyle w:val="Normal6"/>
            </w:pPr>
            <w:r>
              <w:rPr>
                <w:b/>
                <w:i/>
              </w:rPr>
              <w:t>Rådets</w:t>
            </w:r>
            <w:r>
              <w:t xml:space="preserve"> forordning (EF) nr.</w:t>
            </w:r>
            <w:r>
              <w:rPr>
                <w:b/>
                <w:i/>
              </w:rPr>
              <w:t xml:space="preserve"> </w:t>
            </w:r>
            <w:r>
              <w:t xml:space="preserve">2679/98 </w:t>
            </w:r>
            <w:r>
              <w:rPr>
                <w:b/>
                <w:i/>
              </w:rPr>
              <w:t>ophæves</w:t>
            </w:r>
            <w:r>
              <w:t xml:space="preserve"> med </w:t>
            </w:r>
            <w:r>
              <w:rPr>
                <w:b/>
                <w:i/>
              </w:rPr>
              <w:t>virkning fra den [dato]</w:t>
            </w:r>
            <w:r>
              <w:t>.</w:t>
            </w:r>
          </w:p>
        </w:tc>
        <w:tc>
          <w:tcPr>
            <w:tcW w:w="4876" w:type="dxa"/>
            <w:hideMark/>
          </w:tcPr>
          <w:p w:rsidR="003C0A2B" w:rsidRPr="006374E5" w:rsidRDefault="00DA22D1" w:rsidP="00E6740D">
            <w:pPr>
              <w:pStyle w:val="Normal6"/>
            </w:pPr>
            <w:r>
              <w:rPr>
                <w:b/>
                <w:i/>
              </w:rPr>
              <w:t>Artikel 3, 4 og 5 i</w:t>
            </w:r>
            <w:r>
              <w:t xml:space="preserve"> forordning (EF) nr.</w:t>
            </w:r>
            <w:r>
              <w:rPr>
                <w:b/>
                <w:i/>
              </w:rPr>
              <w:t> </w:t>
            </w:r>
            <w:r>
              <w:t xml:space="preserve">2679/98 </w:t>
            </w:r>
            <w:r>
              <w:rPr>
                <w:b/>
                <w:i/>
              </w:rPr>
              <w:t>ophører</w:t>
            </w:r>
            <w:r>
              <w:t xml:space="preserve"> med </w:t>
            </w:r>
            <w:r>
              <w:rPr>
                <w:b/>
                <w:i/>
              </w:rPr>
              <w:t>at finde anvendelse, så længe nødfunktionen for det indre marked varer</w:t>
            </w:r>
            <w:r>
              <w:t>.</w:t>
            </w:r>
          </w:p>
        </w:tc>
      </w:tr>
    </w:tbl>
    <w:p w:rsidR="003C0A2B" w:rsidRPr="006374E5" w:rsidRDefault="00DA22D1" w:rsidP="003C0A2B">
      <w:r>
        <w:rPr>
          <w:rStyle w:val="HideTWBExt"/>
        </w:rPr>
        <w:t>&lt;/Amend&gt;</w:t>
      </w:r>
    </w:p>
    <w:p w:rsidR="003C0A2B" w:rsidRPr="006374E5" w:rsidRDefault="00DA22D1" w:rsidP="003C0A2B">
      <w:pPr>
        <w:pStyle w:val="AmNumberTabs"/>
      </w:pPr>
      <w:r>
        <w:rPr>
          <w:rStyle w:val="HideTWBExt"/>
        </w:rPr>
        <w:t>&lt;Am</w:t>
      </w:r>
      <w:r>
        <w:rPr>
          <w:rStyle w:val="HideTWBExt"/>
        </w:rPr>
        <w:t>end&gt;</w:t>
      </w:r>
      <w:r>
        <w:t>Ændringsforslag</w:t>
      </w:r>
      <w:r>
        <w:tab/>
      </w:r>
      <w:r>
        <w:tab/>
      </w:r>
      <w:r>
        <w:rPr>
          <w:rStyle w:val="HideTWBExt"/>
        </w:rPr>
        <w:t>&lt;NumAm&gt;</w:t>
      </w:r>
      <w:r>
        <w:t>115</w:t>
      </w:r>
      <w:r>
        <w:rPr>
          <w:rStyle w:val="HideTWBExt"/>
        </w:rPr>
        <w:t>&lt;/NumAm&gt;</w:t>
      </w:r>
    </w:p>
    <w:p w:rsidR="003C0A2B" w:rsidRPr="006374E5" w:rsidRDefault="00DA22D1" w:rsidP="003C0A2B">
      <w:pPr>
        <w:pStyle w:val="NormalBold12b"/>
      </w:pPr>
      <w:r>
        <w:rPr>
          <w:rStyle w:val="HideTWBExt"/>
        </w:rPr>
        <w:t>&lt;DocAmend&gt;</w:t>
      </w:r>
      <w:r>
        <w:t>Forslag til forordning</w:t>
      </w:r>
      <w:r>
        <w:rPr>
          <w:rStyle w:val="HideTWBExt"/>
        </w:rPr>
        <w:t>&lt;/DocAmend&gt;</w:t>
      </w:r>
    </w:p>
    <w:p w:rsidR="003C0A2B" w:rsidRPr="006374E5" w:rsidRDefault="00DA22D1" w:rsidP="003C0A2B">
      <w:pPr>
        <w:pStyle w:val="NormalBold"/>
      </w:pPr>
      <w:r>
        <w:rPr>
          <w:rStyle w:val="HideTWBExt"/>
        </w:rPr>
        <w:t>&lt;Article&gt;</w:t>
      </w:r>
      <w:r>
        <w:t>Artikel 45 – stk.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F0ABA" w:rsidTr="00E6740D">
        <w:trPr>
          <w:jc w:val="center"/>
        </w:trPr>
        <w:tc>
          <w:tcPr>
            <w:tcW w:w="9752" w:type="dxa"/>
            <w:gridSpan w:val="2"/>
          </w:tcPr>
          <w:p w:rsidR="003C0A2B" w:rsidRPr="006374E5" w:rsidRDefault="003C0A2B" w:rsidP="00E6740D">
            <w:pPr>
              <w:keepNext/>
            </w:pPr>
          </w:p>
        </w:tc>
      </w:tr>
      <w:tr w:rsidR="00AF0ABA" w:rsidTr="00E6740D">
        <w:trPr>
          <w:jc w:val="center"/>
        </w:trPr>
        <w:tc>
          <w:tcPr>
            <w:tcW w:w="4876" w:type="dxa"/>
            <w:hideMark/>
          </w:tcPr>
          <w:p w:rsidR="003C0A2B" w:rsidRPr="006374E5" w:rsidRDefault="00DA22D1" w:rsidP="00E6740D">
            <w:pPr>
              <w:pStyle w:val="ColumnHeading"/>
              <w:keepNext/>
            </w:pPr>
            <w:r>
              <w:t>Kommissionens forslag</w:t>
            </w:r>
          </w:p>
        </w:tc>
        <w:tc>
          <w:tcPr>
            <w:tcW w:w="4876" w:type="dxa"/>
            <w:hideMark/>
          </w:tcPr>
          <w:p w:rsidR="003C0A2B" w:rsidRPr="006374E5" w:rsidRDefault="00DA22D1" w:rsidP="00E6740D">
            <w:pPr>
              <w:pStyle w:val="ColumnHeading"/>
              <w:keepNext/>
            </w:pPr>
            <w:r>
              <w:t>Ændringsforslag</w:t>
            </w:r>
          </w:p>
        </w:tc>
      </w:tr>
      <w:tr w:rsidR="00AF0ABA" w:rsidTr="00E6740D">
        <w:trPr>
          <w:jc w:val="center"/>
        </w:trPr>
        <w:tc>
          <w:tcPr>
            <w:tcW w:w="4876" w:type="dxa"/>
          </w:tcPr>
          <w:p w:rsidR="003C0A2B" w:rsidRPr="006374E5" w:rsidRDefault="003C0A2B" w:rsidP="00E6740D">
            <w:pPr>
              <w:pStyle w:val="Normal6"/>
              <w:rPr>
                <w:lang w:val="en-GB"/>
              </w:rPr>
            </w:pPr>
          </w:p>
        </w:tc>
        <w:tc>
          <w:tcPr>
            <w:tcW w:w="4876" w:type="dxa"/>
          </w:tcPr>
          <w:p w:rsidR="003C0A2B" w:rsidRPr="006374E5" w:rsidRDefault="00DA22D1" w:rsidP="00E6740D">
            <w:pPr>
              <w:pStyle w:val="Normal6"/>
              <w:rPr>
                <w:szCs w:val="24"/>
              </w:rPr>
            </w:pPr>
            <w:r>
              <w:rPr>
                <w:b/>
                <w:i/>
              </w:rPr>
              <w:t xml:space="preserve">2. </w:t>
            </w:r>
            <w:r>
              <w:tab/>
            </w:r>
            <w:r>
              <w:rPr>
                <w:b/>
                <w:i/>
              </w:rPr>
              <w:t xml:space="preserve">Artikel 2 i forordning (EF) nr. 2679/98 ændres således: "Denne forordning må på ingen </w:t>
            </w:r>
            <w:r>
              <w:rPr>
                <w:b/>
                <w:i/>
              </w:rPr>
              <w:t>måde påvirke udøvelsen af de grundlæggende rettigheder, der anerkendes i medlemsstaterne og på EU-plan, herunder retten eller friheden til at strejke eller retten til frit at tage andre skridt, der er omfattet af specifikke ordninger for arbejdsmarkedsrela</w:t>
            </w:r>
            <w:r>
              <w:rPr>
                <w:b/>
                <w:i/>
              </w:rPr>
              <w:t>tioner i medlemsstaterne, i overensstemmelse med national ret og/eller praksis.</w:t>
            </w:r>
            <w:r>
              <w:t xml:space="preserve"> </w:t>
            </w:r>
            <w:r>
              <w:rPr>
                <w:b/>
                <w:i/>
              </w:rPr>
              <w:t xml:space="preserve">Den berører heller ikke retten til at forhandle, indgå og håndhæve kollektive aftaler eller til at </w:t>
            </w:r>
            <w:r>
              <w:rPr>
                <w:b/>
                <w:i/>
              </w:rPr>
              <w:lastRenderedPageBreak/>
              <w:t>tage kollektive skridt i overensstemmelse med national ret og/eller praksis."</w:t>
            </w:r>
          </w:p>
        </w:tc>
      </w:tr>
    </w:tbl>
    <w:p w:rsidR="003C0A2B" w:rsidRPr="006374E5" w:rsidRDefault="00DA22D1" w:rsidP="003C0A2B">
      <w:r>
        <w:rPr>
          <w:rStyle w:val="HideTWBExt"/>
        </w:rPr>
        <w:lastRenderedPageBreak/>
        <w:t>&lt;/Amend&gt;</w:t>
      </w:r>
    </w:p>
    <w:p w:rsidR="003C0A2B" w:rsidRPr="006374E5" w:rsidRDefault="00DA22D1" w:rsidP="003C0A2B">
      <w:r>
        <w:rPr>
          <w:rStyle w:val="HideTWBExt"/>
        </w:rPr>
        <w:t>&lt;/RepeatBlock-Amend&gt;</w:t>
      </w:r>
    </w:p>
    <w:p w:rsidR="003C0A2B" w:rsidRPr="006374E5" w:rsidRDefault="00DA22D1" w:rsidP="003C0A2B">
      <w:r>
        <w:br w:type="page"/>
      </w:r>
    </w:p>
    <w:p w:rsidR="00D06DD1" w:rsidRDefault="00DA22D1" w:rsidP="00D06DD1">
      <w:pPr>
        <w:pStyle w:val="PageHeadingNotTOC"/>
      </w:pPr>
      <w:r>
        <w:lastRenderedPageBreak/>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F0AB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b/>
                <w:bCs/>
                <w:color w:val="000000"/>
                <w:sz w:val="20"/>
                <w:szCs w:val="20"/>
              </w:rPr>
            </w:pPr>
            <w:r>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color w:val="000000"/>
                <w:sz w:val="20"/>
                <w:szCs w:val="20"/>
              </w:rPr>
            </w:pPr>
            <w:r>
              <w:rPr>
                <w:color w:val="000000"/>
                <w:sz w:val="20"/>
              </w:rPr>
              <w:t>Oprettelse af et nødinstrument for det indre marked og ophævelse af Rådets forordning (EF) nr. 2679/98</w:t>
            </w:r>
          </w:p>
        </w:tc>
      </w:tr>
      <w:tr w:rsidR="00AF0AB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b/>
                <w:bCs/>
                <w:color w:val="000000"/>
                <w:sz w:val="20"/>
                <w:szCs w:val="20"/>
              </w:rPr>
            </w:pPr>
            <w:r>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color w:val="000000"/>
                <w:sz w:val="20"/>
                <w:szCs w:val="20"/>
              </w:rPr>
            </w:pPr>
            <w:r>
              <w:rPr>
                <w:color w:val="000000"/>
                <w:sz w:val="20"/>
              </w:rPr>
              <w:t>COM(2022)0459 – C9-0315/2022 – 2022/0278(COD)</w:t>
            </w:r>
          </w:p>
        </w:tc>
      </w:tr>
      <w:tr w:rsidR="00AF0AB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b/>
                <w:bCs/>
                <w:color w:val="000000"/>
                <w:sz w:val="20"/>
                <w:szCs w:val="20"/>
              </w:rPr>
            </w:pPr>
            <w:r>
              <w:rPr>
                <w:b/>
                <w:color w:val="000000"/>
                <w:sz w:val="20"/>
              </w:rPr>
              <w:t>Korresponderende udvalg</w:t>
            </w:r>
          </w:p>
          <w:p w:rsidR="00D06DD1" w:rsidRDefault="00DA22D1">
            <w:pPr>
              <w:autoSpaceDE w:val="0"/>
              <w:autoSpaceDN w:val="0"/>
              <w:adjustRightInd w:val="0"/>
              <w:rPr>
                <w:color w:val="000000"/>
                <w:sz w:val="20"/>
                <w:szCs w:val="20"/>
              </w:rPr>
            </w:pPr>
            <w:r>
              <w:rPr>
                <w:color w:val="000000"/>
                <w:sz w:val="20"/>
              </w:rPr>
              <w:t>       Dato for meddelelse på plenarmødet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06DD1" w:rsidRDefault="00DA22D1">
            <w:pPr>
              <w:autoSpaceDE w:val="0"/>
              <w:autoSpaceDN w:val="0"/>
              <w:adjustRightInd w:val="0"/>
              <w:rPr>
                <w:color w:val="000000"/>
                <w:sz w:val="20"/>
                <w:szCs w:val="20"/>
              </w:rPr>
            </w:pPr>
            <w:r>
              <w:rPr>
                <w:color w:val="000000"/>
                <w:sz w:val="20"/>
              </w:rPr>
              <w:t>IMCO</w:t>
            </w:r>
          </w:p>
          <w:p w:rsidR="00D06DD1" w:rsidRDefault="00DA22D1">
            <w:pPr>
              <w:autoSpaceDE w:val="0"/>
              <w:autoSpaceDN w:val="0"/>
              <w:adjustRightInd w:val="0"/>
              <w:rPr>
                <w:color w:val="000000"/>
                <w:sz w:val="20"/>
                <w:szCs w:val="20"/>
              </w:rPr>
            </w:pPr>
            <w:r>
              <w:rPr>
                <w:color w:val="000000"/>
                <w:sz w:val="20"/>
              </w:rPr>
              <w:t>9.11.2022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06DD1" w:rsidRDefault="00D06DD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06DD1" w:rsidRDefault="00D06DD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06DD1" w:rsidRDefault="00D06DD1">
            <w:pPr>
              <w:autoSpaceDE w:val="0"/>
              <w:autoSpaceDN w:val="0"/>
              <w:adjustRightInd w:val="0"/>
              <w:rPr>
                <w:rFonts w:ascii="sans-serif" w:hAnsi="sans-serif" w:cs="sans-serif"/>
                <w:color w:val="000000"/>
              </w:rPr>
            </w:pPr>
          </w:p>
        </w:tc>
      </w:tr>
      <w:tr w:rsidR="00AF0AB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b/>
                <w:bCs/>
                <w:color w:val="000000"/>
                <w:sz w:val="20"/>
                <w:szCs w:val="20"/>
              </w:rPr>
            </w:pPr>
            <w:r>
              <w:rPr>
                <w:b/>
                <w:color w:val="000000"/>
                <w:sz w:val="20"/>
              </w:rPr>
              <w:t>Udtalelse fra</w:t>
            </w:r>
          </w:p>
          <w:p w:rsidR="00D06DD1" w:rsidRDefault="00DA22D1">
            <w:pPr>
              <w:autoSpaceDE w:val="0"/>
              <w:autoSpaceDN w:val="0"/>
              <w:adjustRightInd w:val="0"/>
              <w:rPr>
                <w:color w:val="000000"/>
                <w:sz w:val="20"/>
                <w:szCs w:val="20"/>
              </w:rPr>
            </w:pPr>
            <w:r>
              <w:rPr>
                <w:color w:val="000000"/>
                <w:sz w:val="20"/>
              </w:rPr>
              <w:t>       Dato for meddelelse på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color w:val="000000"/>
                <w:sz w:val="20"/>
                <w:szCs w:val="20"/>
              </w:rPr>
            </w:pPr>
            <w:r>
              <w:rPr>
                <w:color w:val="000000"/>
                <w:sz w:val="20"/>
              </w:rPr>
              <w:t>EMPL</w:t>
            </w:r>
          </w:p>
          <w:p w:rsidR="00D06DD1" w:rsidRDefault="00DA22D1">
            <w:pPr>
              <w:autoSpaceDE w:val="0"/>
              <w:autoSpaceDN w:val="0"/>
              <w:adjustRightInd w:val="0"/>
              <w:rPr>
                <w:color w:val="000000"/>
                <w:sz w:val="20"/>
                <w:szCs w:val="20"/>
              </w:rPr>
            </w:pPr>
            <w:r>
              <w:rPr>
                <w:color w:val="000000"/>
                <w:sz w:val="20"/>
              </w:rPr>
              <w:t>9.11.2022</w:t>
            </w:r>
          </w:p>
        </w:tc>
      </w:tr>
      <w:tr w:rsidR="00AF0AB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b/>
                <w:bCs/>
                <w:color w:val="000000"/>
                <w:sz w:val="20"/>
                <w:szCs w:val="20"/>
              </w:rPr>
            </w:pPr>
            <w:r>
              <w:rPr>
                <w:b/>
                <w:color w:val="000000"/>
                <w:sz w:val="20"/>
              </w:rPr>
              <w:t>Ordfører for udtalelse</w:t>
            </w:r>
          </w:p>
          <w:p w:rsidR="00D06DD1" w:rsidRDefault="00DA22D1">
            <w:pPr>
              <w:autoSpaceDE w:val="0"/>
              <w:autoSpaceDN w:val="0"/>
              <w:adjustRightInd w:val="0"/>
              <w:rPr>
                <w:color w:val="000000"/>
                <w:sz w:val="20"/>
                <w:szCs w:val="20"/>
              </w:rPr>
            </w:pPr>
            <w:r>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color w:val="000000"/>
                <w:sz w:val="20"/>
                <w:szCs w:val="20"/>
              </w:rPr>
            </w:pPr>
            <w:r>
              <w:rPr>
                <w:color w:val="000000"/>
                <w:sz w:val="20"/>
              </w:rPr>
              <w:t>Marc Angel</w:t>
            </w:r>
          </w:p>
          <w:p w:rsidR="00D06DD1" w:rsidRDefault="00DA22D1">
            <w:pPr>
              <w:autoSpaceDE w:val="0"/>
              <w:autoSpaceDN w:val="0"/>
              <w:adjustRightInd w:val="0"/>
              <w:rPr>
                <w:color w:val="000000"/>
                <w:sz w:val="20"/>
                <w:szCs w:val="20"/>
              </w:rPr>
            </w:pPr>
            <w:r>
              <w:rPr>
                <w:color w:val="000000"/>
                <w:sz w:val="20"/>
              </w:rPr>
              <w:t>17.11.2022</w:t>
            </w:r>
          </w:p>
        </w:tc>
      </w:tr>
      <w:tr w:rsidR="00AF0AB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b/>
                <w:bCs/>
                <w:color w:val="000000"/>
                <w:sz w:val="20"/>
                <w:szCs w:val="20"/>
              </w:rPr>
            </w:pPr>
            <w:r>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06DD1" w:rsidRDefault="00DA22D1">
            <w:pPr>
              <w:autoSpaceDE w:val="0"/>
              <w:autoSpaceDN w:val="0"/>
              <w:adjustRightInd w:val="0"/>
              <w:rPr>
                <w:color w:val="000000"/>
                <w:sz w:val="20"/>
                <w:szCs w:val="20"/>
              </w:rPr>
            </w:pPr>
            <w:r>
              <w:rPr>
                <w:color w:val="000000"/>
                <w:sz w:val="20"/>
              </w:rPr>
              <w:t>22.3.2023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06DD1" w:rsidRDefault="00D06DD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06DD1" w:rsidRDefault="00D06DD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06DD1" w:rsidRDefault="00D06DD1">
            <w:pPr>
              <w:autoSpaceDE w:val="0"/>
              <w:autoSpaceDN w:val="0"/>
              <w:adjustRightInd w:val="0"/>
              <w:rPr>
                <w:rFonts w:ascii="sans-serif" w:hAnsi="sans-serif" w:cs="sans-serif"/>
                <w:color w:val="000000"/>
              </w:rPr>
            </w:pPr>
          </w:p>
        </w:tc>
      </w:tr>
      <w:tr w:rsidR="00AF0AB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b/>
                <w:bCs/>
                <w:color w:val="000000"/>
                <w:sz w:val="20"/>
                <w:szCs w:val="20"/>
              </w:rPr>
            </w:pPr>
            <w:r>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rsidR="00D06DD1" w:rsidRDefault="00DA22D1">
            <w:pPr>
              <w:autoSpaceDE w:val="0"/>
              <w:autoSpaceDN w:val="0"/>
              <w:adjustRightInd w:val="0"/>
              <w:rPr>
                <w:color w:val="000000"/>
                <w:sz w:val="20"/>
                <w:szCs w:val="20"/>
              </w:rPr>
            </w:pPr>
            <w:r>
              <w:rPr>
                <w:color w:val="000000"/>
                <w:sz w:val="20"/>
              </w:rPr>
              <w:t>28.6.2023</w:t>
            </w:r>
          </w:p>
        </w:tc>
        <w:tc>
          <w:tcPr>
            <w:tcW w:w="1474" w:type="dxa"/>
            <w:tcBorders>
              <w:top w:val="nil"/>
              <w:left w:val="nil"/>
              <w:bottom w:val="single" w:sz="8" w:space="0" w:color="000000"/>
              <w:right w:val="nil"/>
            </w:tcBorders>
            <w:tcMar>
              <w:top w:w="79" w:type="dxa"/>
              <w:left w:w="79" w:type="dxa"/>
              <w:bottom w:w="79" w:type="dxa"/>
              <w:right w:w="79" w:type="dxa"/>
            </w:tcMar>
          </w:tcPr>
          <w:p w:rsidR="00D06DD1" w:rsidRDefault="00D06DD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06DD1" w:rsidRDefault="00D06DD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06DD1" w:rsidRDefault="00D06DD1">
            <w:pPr>
              <w:autoSpaceDE w:val="0"/>
              <w:autoSpaceDN w:val="0"/>
              <w:adjustRightInd w:val="0"/>
              <w:rPr>
                <w:rFonts w:ascii="sans-serif" w:hAnsi="sans-serif" w:cs="sans-serif"/>
                <w:color w:val="000000"/>
              </w:rPr>
            </w:pPr>
          </w:p>
        </w:tc>
      </w:tr>
      <w:tr w:rsidR="00AF0AB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b/>
                <w:bCs/>
                <w:color w:val="000000"/>
                <w:sz w:val="20"/>
                <w:szCs w:val="20"/>
              </w:rPr>
            </w:pPr>
            <w:r>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06DD1" w:rsidRDefault="00DA22D1">
            <w:pPr>
              <w:autoSpaceDE w:val="0"/>
              <w:autoSpaceDN w:val="0"/>
              <w:adjustRightInd w:val="0"/>
              <w:rPr>
                <w:color w:val="000000"/>
                <w:sz w:val="20"/>
                <w:szCs w:val="20"/>
              </w:rPr>
            </w:pPr>
            <w:r>
              <w:rPr>
                <w:color w:val="000000"/>
                <w:sz w:val="20"/>
              </w:rPr>
              <w:t>+:</w:t>
            </w:r>
          </w:p>
          <w:p w:rsidR="00D06DD1" w:rsidRDefault="00DA22D1">
            <w:pPr>
              <w:autoSpaceDE w:val="0"/>
              <w:autoSpaceDN w:val="0"/>
              <w:adjustRightInd w:val="0"/>
              <w:rPr>
                <w:color w:val="000000"/>
                <w:sz w:val="20"/>
                <w:szCs w:val="20"/>
              </w:rPr>
            </w:pPr>
            <w:r>
              <w:rPr>
                <w:color w:val="000000"/>
                <w:sz w:val="20"/>
              </w:rPr>
              <w:t>–:</w:t>
            </w:r>
          </w:p>
          <w:p w:rsidR="00D06DD1" w:rsidRDefault="00DA22D1">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color w:val="000000"/>
                <w:sz w:val="20"/>
                <w:szCs w:val="20"/>
              </w:rPr>
            </w:pPr>
            <w:r>
              <w:rPr>
                <w:color w:val="000000"/>
                <w:sz w:val="20"/>
              </w:rPr>
              <w:t>38</w:t>
            </w:r>
          </w:p>
          <w:p w:rsidR="00D06DD1" w:rsidRDefault="00DA22D1">
            <w:pPr>
              <w:autoSpaceDE w:val="0"/>
              <w:autoSpaceDN w:val="0"/>
              <w:adjustRightInd w:val="0"/>
              <w:rPr>
                <w:color w:val="000000"/>
                <w:sz w:val="20"/>
                <w:szCs w:val="20"/>
              </w:rPr>
            </w:pPr>
            <w:r>
              <w:rPr>
                <w:color w:val="000000"/>
                <w:sz w:val="20"/>
              </w:rPr>
              <w:t>0</w:t>
            </w:r>
          </w:p>
          <w:p w:rsidR="00D06DD1" w:rsidRDefault="00DA22D1">
            <w:pPr>
              <w:autoSpaceDE w:val="0"/>
              <w:autoSpaceDN w:val="0"/>
              <w:adjustRightInd w:val="0"/>
              <w:rPr>
                <w:color w:val="000000"/>
                <w:sz w:val="20"/>
                <w:szCs w:val="20"/>
              </w:rPr>
            </w:pPr>
            <w:r>
              <w:rPr>
                <w:color w:val="000000"/>
                <w:sz w:val="20"/>
              </w:rPr>
              <w:t>8</w:t>
            </w:r>
          </w:p>
        </w:tc>
      </w:tr>
      <w:tr w:rsidR="00AF0AB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b/>
                <w:bCs/>
                <w:color w:val="000000"/>
                <w:sz w:val="20"/>
                <w:szCs w:val="20"/>
              </w:rPr>
            </w:pPr>
            <w:r>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color w:val="000000"/>
                <w:sz w:val="20"/>
                <w:szCs w:val="20"/>
              </w:rPr>
            </w:pPr>
            <w:r>
              <w:rPr>
                <w:color w:val="000000"/>
                <w:sz w:val="20"/>
              </w:rPr>
              <w:t>João</w:t>
            </w:r>
            <w:bookmarkStart w:id="2" w:name="_GoBack"/>
            <w:bookmarkEnd w:id="2"/>
            <w:r>
              <w:rPr>
                <w:color w:val="000000"/>
                <w:sz w:val="20"/>
              </w:rPr>
              <w:t xml:space="preserve"> Albuquerque, Atidzhe Alieva-Veli, Marc Angel, Vilija Blinkevičiūtė, Milan Brglez, David Casa, Leila Chaibi, Ilan De Basso, Margarita </w:t>
            </w:r>
            <w:r>
              <w:rPr>
                <w:color w:val="000000"/>
                <w:sz w:val="20"/>
              </w:rPr>
              <w:t>de la Pisa Carrión, Özlem Demirel, Jarosław Duda, Lucia Ďuriš Nicholsonová, Loucas Fourlas, Cindy Franssen, Chiara Gemma, Helmut Geuking, Elisabetta Gualmini, Agnes Jongerius, Irena Joveva, Radan Kanev, Katrin Langensiepen, Miriam Lexmann, Elena Lizzi, Sar</w:t>
            </w:r>
            <w:r>
              <w:rPr>
                <w:color w:val="000000"/>
                <w:sz w:val="20"/>
              </w:rPr>
              <w:t>a Matthieu, Jörg Meuthen, Max Orville, Kira Marie Peter-Hansen, Dragoş Pîslaru, Dennis Radtke, Elżbieta Rafalska, Daniela Rondinelli, Mounir Satouri, Romana Tomc, Marianne Vind, Maria Walsh, Tomáš Zdechovský</w:t>
            </w:r>
          </w:p>
        </w:tc>
      </w:tr>
      <w:tr w:rsidR="00AF0AB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b/>
                <w:bCs/>
                <w:color w:val="000000"/>
                <w:sz w:val="20"/>
                <w:szCs w:val="20"/>
              </w:rPr>
            </w:pPr>
            <w:r>
              <w:rPr>
                <w:b/>
                <w:color w:val="000000"/>
                <w:sz w:val="20"/>
              </w:rPr>
              <w:t>Til stede ved den endelige afstemning – stedfor</w:t>
            </w:r>
            <w:r>
              <w:rPr>
                <w:b/>
                <w:color w:val="000000"/>
                <w:sz w:val="20"/>
              </w:rPr>
              <w:t>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color w:val="000000"/>
                <w:sz w:val="20"/>
                <w:szCs w:val="20"/>
              </w:rPr>
            </w:pPr>
            <w:r>
              <w:rPr>
                <w:color w:val="000000"/>
                <w:sz w:val="20"/>
              </w:rPr>
              <w:t>Konstantinos Arvanitis, Marc Botenga, Antonio Maria Rinaldi, Anna Zalewska</w:t>
            </w:r>
          </w:p>
        </w:tc>
      </w:tr>
      <w:tr w:rsidR="00AF0AB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b/>
                <w:bCs/>
                <w:color w:val="000000"/>
                <w:sz w:val="20"/>
                <w:szCs w:val="20"/>
              </w:rPr>
            </w:pPr>
            <w:r>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06DD1" w:rsidRDefault="00DA22D1">
            <w:pPr>
              <w:autoSpaceDE w:val="0"/>
              <w:autoSpaceDN w:val="0"/>
              <w:adjustRightInd w:val="0"/>
              <w:rPr>
                <w:color w:val="000000"/>
                <w:sz w:val="20"/>
                <w:szCs w:val="20"/>
              </w:rPr>
            </w:pPr>
            <w:r>
              <w:rPr>
                <w:color w:val="000000"/>
                <w:sz w:val="20"/>
              </w:rPr>
              <w:t xml:space="preserve">Clara Aguilera, Attila Ara-Kovács, Marie Dauchy, Marian-Jean Marinescu, Karen </w:t>
            </w:r>
            <w:r>
              <w:rPr>
                <w:color w:val="000000"/>
                <w:sz w:val="20"/>
              </w:rPr>
              <w:t>Melchior, Maite Pagazaurtundúa</w:t>
            </w:r>
          </w:p>
        </w:tc>
      </w:tr>
    </w:tbl>
    <w:p w:rsidR="00D06DD1" w:rsidRPr="003C0A2B" w:rsidRDefault="00D06DD1" w:rsidP="003C0A2B"/>
    <w:bookmarkEnd w:id="1"/>
    <w:p w:rsidR="003C0A2B" w:rsidRDefault="003C0A2B" w:rsidP="003C0A2B">
      <w:pPr>
        <w:sectPr w:rsidR="003C0A2B" w:rsidSect="003C0A2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3C0A2B" w:rsidRPr="0099178F" w:rsidRDefault="00DA22D1" w:rsidP="00C36610">
      <w:pPr>
        <w:pStyle w:val="PageHeadingNotTOC"/>
      </w:pPr>
      <w:bookmarkStart w:id="3" w:name="RollCallPageAD"/>
      <w:r>
        <w:lastRenderedPageBreak/>
        <w:t>ENDELIG AFSTEMNING VED NAVNEOPRÅB</w:t>
      </w:r>
      <w:r>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F0ABA" w:rsidTr="00E6740D">
        <w:trPr>
          <w:cantSplit/>
        </w:trPr>
        <w:tc>
          <w:tcPr>
            <w:tcW w:w="1701" w:type="dxa"/>
            <w:shd w:val="pct10" w:color="000000" w:fill="FFFFFF"/>
            <w:vAlign w:val="center"/>
          </w:tcPr>
          <w:p w:rsidR="003C0A2B" w:rsidRPr="006374E5" w:rsidRDefault="00DA22D1" w:rsidP="00E6740D">
            <w:pPr>
              <w:pStyle w:val="RollCallVotes"/>
            </w:pPr>
            <w:r>
              <w:t>38</w:t>
            </w:r>
          </w:p>
        </w:tc>
        <w:tc>
          <w:tcPr>
            <w:tcW w:w="7371" w:type="dxa"/>
            <w:shd w:val="pct10" w:color="000000" w:fill="FFFFFF"/>
          </w:tcPr>
          <w:p w:rsidR="003C0A2B" w:rsidRPr="006374E5" w:rsidRDefault="00DA22D1" w:rsidP="00E6740D">
            <w:pPr>
              <w:pStyle w:val="RollCallSymbols14pt"/>
            </w:pPr>
            <w:r>
              <w:t>+</w:t>
            </w:r>
          </w:p>
        </w:tc>
      </w:tr>
      <w:tr w:rsidR="00AF0ABA" w:rsidTr="00E6740D">
        <w:trPr>
          <w:cantSplit/>
        </w:trPr>
        <w:tc>
          <w:tcPr>
            <w:tcW w:w="1701" w:type="dxa"/>
            <w:shd w:val="clear" w:color="auto" w:fill="FFFFFF"/>
          </w:tcPr>
          <w:p w:rsidR="003C0A2B" w:rsidRPr="006374E5" w:rsidRDefault="00DA22D1" w:rsidP="00E6740D">
            <w:pPr>
              <w:pStyle w:val="RollCallTable"/>
            </w:pPr>
            <w:r>
              <w:t>PPE</w:t>
            </w:r>
          </w:p>
        </w:tc>
        <w:tc>
          <w:tcPr>
            <w:tcW w:w="7371" w:type="dxa"/>
            <w:shd w:val="clear" w:color="auto" w:fill="FFFFFF"/>
          </w:tcPr>
          <w:p w:rsidR="003C0A2B" w:rsidRPr="006374E5" w:rsidRDefault="00DA22D1" w:rsidP="00E6740D">
            <w:pPr>
              <w:pStyle w:val="RollCallTable"/>
            </w:pPr>
            <w:r>
              <w:t xml:space="preserve">David Casa, Jarosław Duda, Loucas Fourlas, Cindy Franssen, Helmut Geuking, Radan Kanev, Miriam Lexmann, Marian-Jean Marinescu, Dennis Radtke, Romana </w:t>
            </w:r>
            <w:r>
              <w:t>Tomc, Maria Walsh, Tomáš Zdechovský</w:t>
            </w:r>
          </w:p>
        </w:tc>
      </w:tr>
      <w:tr w:rsidR="00AF0ABA" w:rsidTr="00E6740D">
        <w:trPr>
          <w:cantSplit/>
        </w:trPr>
        <w:tc>
          <w:tcPr>
            <w:tcW w:w="1701" w:type="dxa"/>
            <w:shd w:val="clear" w:color="auto" w:fill="FFFFFF"/>
          </w:tcPr>
          <w:p w:rsidR="003C0A2B" w:rsidRPr="006374E5" w:rsidRDefault="00DA22D1" w:rsidP="00E6740D">
            <w:pPr>
              <w:pStyle w:val="RollCallTable"/>
            </w:pPr>
            <w:r>
              <w:t>Renew</w:t>
            </w:r>
          </w:p>
        </w:tc>
        <w:tc>
          <w:tcPr>
            <w:tcW w:w="7371" w:type="dxa"/>
            <w:shd w:val="clear" w:color="auto" w:fill="FFFFFF"/>
          </w:tcPr>
          <w:p w:rsidR="003C0A2B" w:rsidRPr="006374E5" w:rsidRDefault="00DA22D1" w:rsidP="00E6740D">
            <w:pPr>
              <w:pStyle w:val="RollCallTable"/>
            </w:pPr>
            <w:r>
              <w:t>Atidzhe Alieva-Veli, Lucia Ďuriš Nicholsonová, Irena Joveva, Karen Melchior, Max Orville, Maite Pagazaurtundúa, Dragoş Pîslaru</w:t>
            </w:r>
          </w:p>
        </w:tc>
      </w:tr>
      <w:tr w:rsidR="00AF0ABA" w:rsidTr="00E6740D">
        <w:trPr>
          <w:cantSplit/>
        </w:trPr>
        <w:tc>
          <w:tcPr>
            <w:tcW w:w="1701" w:type="dxa"/>
            <w:shd w:val="clear" w:color="auto" w:fill="FFFFFF"/>
          </w:tcPr>
          <w:p w:rsidR="003C0A2B" w:rsidRPr="006374E5" w:rsidRDefault="00DA22D1" w:rsidP="00E6740D">
            <w:pPr>
              <w:pStyle w:val="RollCallTable"/>
            </w:pPr>
            <w:r>
              <w:t>S&amp;D</w:t>
            </w:r>
          </w:p>
        </w:tc>
        <w:tc>
          <w:tcPr>
            <w:tcW w:w="7371" w:type="dxa"/>
            <w:shd w:val="clear" w:color="auto" w:fill="FFFFFF"/>
          </w:tcPr>
          <w:p w:rsidR="003C0A2B" w:rsidRPr="006374E5" w:rsidRDefault="00DA22D1" w:rsidP="00E6740D">
            <w:pPr>
              <w:pStyle w:val="RollCallTable"/>
            </w:pPr>
            <w:r>
              <w:t xml:space="preserve">Clara Aguilera, João Albuquerque, Marc Angel, Attila Ara-Kovács, Vilija </w:t>
            </w:r>
            <w:r>
              <w:t>Blinkevičiūtė, Milan Brglez, Ilan De Basso, Elisabetta Gualmini, Agnes Jongerius, Daniela Rondinelli, Marianne Vind</w:t>
            </w:r>
          </w:p>
        </w:tc>
      </w:tr>
      <w:tr w:rsidR="00AF0ABA" w:rsidTr="00E6740D">
        <w:trPr>
          <w:cantSplit/>
        </w:trPr>
        <w:tc>
          <w:tcPr>
            <w:tcW w:w="1701" w:type="dxa"/>
            <w:shd w:val="clear" w:color="auto" w:fill="FFFFFF"/>
          </w:tcPr>
          <w:p w:rsidR="003C0A2B" w:rsidRPr="006374E5" w:rsidRDefault="00DA22D1" w:rsidP="00E6740D">
            <w:pPr>
              <w:pStyle w:val="RollCallTable"/>
            </w:pPr>
            <w:r>
              <w:t>The Left</w:t>
            </w:r>
          </w:p>
        </w:tc>
        <w:tc>
          <w:tcPr>
            <w:tcW w:w="7371" w:type="dxa"/>
            <w:shd w:val="clear" w:color="auto" w:fill="FFFFFF"/>
          </w:tcPr>
          <w:p w:rsidR="003C0A2B" w:rsidRPr="006374E5" w:rsidRDefault="00DA22D1" w:rsidP="00E6740D">
            <w:pPr>
              <w:pStyle w:val="RollCallTable"/>
            </w:pPr>
            <w:r>
              <w:t>Konstantinos Arvanitis, Marc Botenga, Leila Chaibi, Özlem Demirel</w:t>
            </w:r>
          </w:p>
        </w:tc>
      </w:tr>
      <w:tr w:rsidR="00AF0ABA" w:rsidTr="00E6740D">
        <w:trPr>
          <w:cantSplit/>
        </w:trPr>
        <w:tc>
          <w:tcPr>
            <w:tcW w:w="1701" w:type="dxa"/>
            <w:shd w:val="clear" w:color="auto" w:fill="FFFFFF"/>
          </w:tcPr>
          <w:p w:rsidR="003C0A2B" w:rsidRPr="006374E5" w:rsidRDefault="00DA22D1" w:rsidP="00E6740D">
            <w:pPr>
              <w:pStyle w:val="RollCallTable"/>
            </w:pPr>
            <w:r>
              <w:t>Verts/ALE</w:t>
            </w:r>
          </w:p>
        </w:tc>
        <w:tc>
          <w:tcPr>
            <w:tcW w:w="7371" w:type="dxa"/>
            <w:shd w:val="clear" w:color="auto" w:fill="FFFFFF"/>
          </w:tcPr>
          <w:p w:rsidR="003C0A2B" w:rsidRPr="006374E5" w:rsidRDefault="00DA22D1" w:rsidP="00E6740D">
            <w:pPr>
              <w:pStyle w:val="RollCallTable"/>
            </w:pPr>
            <w:r>
              <w:t>Katrin Langensiepen, Sara Matthieu, Kira Marie Peter-</w:t>
            </w:r>
            <w:r>
              <w:t>Hansen, Mounir Satouri</w:t>
            </w:r>
          </w:p>
        </w:tc>
      </w:tr>
    </w:tbl>
    <w:p w:rsidR="003C0A2B" w:rsidRPr="006374E5" w:rsidRDefault="003C0A2B" w:rsidP="003C0A2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F0ABA" w:rsidTr="00E6740D">
        <w:trPr>
          <w:cantSplit/>
        </w:trPr>
        <w:tc>
          <w:tcPr>
            <w:tcW w:w="1701" w:type="dxa"/>
            <w:shd w:val="pct10" w:color="000000" w:fill="FFFFFF"/>
            <w:vAlign w:val="center"/>
          </w:tcPr>
          <w:p w:rsidR="003C0A2B" w:rsidRPr="006374E5" w:rsidRDefault="00DA22D1" w:rsidP="00E6740D">
            <w:pPr>
              <w:pStyle w:val="RollCallVotes"/>
            </w:pPr>
            <w:r>
              <w:t>0</w:t>
            </w:r>
          </w:p>
        </w:tc>
        <w:tc>
          <w:tcPr>
            <w:tcW w:w="7371" w:type="dxa"/>
            <w:shd w:val="pct10" w:color="000000" w:fill="FFFFFF"/>
          </w:tcPr>
          <w:p w:rsidR="003C0A2B" w:rsidRPr="006374E5" w:rsidRDefault="00DA22D1" w:rsidP="00E6740D">
            <w:pPr>
              <w:pStyle w:val="RollCallSymbols14pt"/>
            </w:pPr>
            <w:r>
              <w:t>-</w:t>
            </w:r>
          </w:p>
        </w:tc>
      </w:tr>
      <w:tr w:rsidR="00AF0ABA" w:rsidTr="00E6740D">
        <w:trPr>
          <w:cantSplit/>
        </w:trPr>
        <w:tc>
          <w:tcPr>
            <w:tcW w:w="1701" w:type="dxa"/>
            <w:shd w:val="clear" w:color="auto" w:fill="FFFFFF"/>
          </w:tcPr>
          <w:p w:rsidR="003C0A2B" w:rsidRPr="006374E5" w:rsidRDefault="003C0A2B" w:rsidP="00E6740D">
            <w:pPr>
              <w:pStyle w:val="RollCallTable"/>
            </w:pPr>
          </w:p>
        </w:tc>
        <w:tc>
          <w:tcPr>
            <w:tcW w:w="7371" w:type="dxa"/>
            <w:shd w:val="clear" w:color="auto" w:fill="FFFFFF"/>
          </w:tcPr>
          <w:p w:rsidR="003C0A2B" w:rsidRPr="006374E5" w:rsidRDefault="003C0A2B" w:rsidP="00E6740D">
            <w:pPr>
              <w:pStyle w:val="RollCallTable"/>
            </w:pPr>
          </w:p>
        </w:tc>
      </w:tr>
    </w:tbl>
    <w:p w:rsidR="003C0A2B" w:rsidRPr="006374E5" w:rsidRDefault="003C0A2B" w:rsidP="003C0A2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F0ABA" w:rsidTr="00E6740D">
        <w:trPr>
          <w:cantSplit/>
        </w:trPr>
        <w:tc>
          <w:tcPr>
            <w:tcW w:w="1701" w:type="dxa"/>
            <w:shd w:val="pct10" w:color="000000" w:fill="FFFFFF"/>
            <w:vAlign w:val="center"/>
          </w:tcPr>
          <w:p w:rsidR="003C0A2B" w:rsidRPr="006374E5" w:rsidRDefault="00DA22D1" w:rsidP="00E6740D">
            <w:pPr>
              <w:pStyle w:val="RollCallVotes"/>
            </w:pPr>
            <w:r>
              <w:t>8</w:t>
            </w:r>
          </w:p>
        </w:tc>
        <w:tc>
          <w:tcPr>
            <w:tcW w:w="7371" w:type="dxa"/>
            <w:shd w:val="pct10" w:color="000000" w:fill="FFFFFF"/>
          </w:tcPr>
          <w:p w:rsidR="003C0A2B" w:rsidRPr="006374E5" w:rsidRDefault="00DA22D1" w:rsidP="00E6740D">
            <w:pPr>
              <w:pStyle w:val="RollCallSymbols14pt"/>
            </w:pPr>
            <w:r>
              <w:t>0</w:t>
            </w:r>
          </w:p>
        </w:tc>
      </w:tr>
      <w:tr w:rsidR="00AF0ABA" w:rsidTr="00E6740D">
        <w:trPr>
          <w:cantSplit/>
        </w:trPr>
        <w:tc>
          <w:tcPr>
            <w:tcW w:w="1701" w:type="dxa"/>
            <w:shd w:val="clear" w:color="auto" w:fill="FFFFFF"/>
          </w:tcPr>
          <w:p w:rsidR="003C0A2B" w:rsidRPr="006374E5" w:rsidRDefault="00DA22D1" w:rsidP="00E6740D">
            <w:pPr>
              <w:pStyle w:val="RollCallTable"/>
            </w:pPr>
            <w:r>
              <w:t>ECR</w:t>
            </w:r>
          </w:p>
        </w:tc>
        <w:tc>
          <w:tcPr>
            <w:tcW w:w="7371" w:type="dxa"/>
            <w:shd w:val="clear" w:color="auto" w:fill="FFFFFF"/>
          </w:tcPr>
          <w:p w:rsidR="003C0A2B" w:rsidRPr="006374E5" w:rsidRDefault="00DA22D1" w:rsidP="00E6740D">
            <w:pPr>
              <w:pStyle w:val="RollCallTable"/>
            </w:pPr>
            <w:r>
              <w:t>Chiara Gemma, Margarita de la Pisa Carrión, Elżbieta Rafalska, Anna Zalewska</w:t>
            </w:r>
          </w:p>
        </w:tc>
      </w:tr>
      <w:tr w:rsidR="00AF0ABA" w:rsidTr="00E6740D">
        <w:trPr>
          <w:cantSplit/>
        </w:trPr>
        <w:tc>
          <w:tcPr>
            <w:tcW w:w="1701" w:type="dxa"/>
            <w:shd w:val="clear" w:color="auto" w:fill="FFFFFF"/>
          </w:tcPr>
          <w:p w:rsidR="003C0A2B" w:rsidRPr="006374E5" w:rsidRDefault="00DA22D1" w:rsidP="00E6740D">
            <w:pPr>
              <w:pStyle w:val="RollCallTable"/>
            </w:pPr>
            <w:r>
              <w:t>ID</w:t>
            </w:r>
          </w:p>
        </w:tc>
        <w:tc>
          <w:tcPr>
            <w:tcW w:w="7371" w:type="dxa"/>
            <w:shd w:val="clear" w:color="auto" w:fill="FFFFFF"/>
          </w:tcPr>
          <w:p w:rsidR="003C0A2B" w:rsidRPr="006374E5" w:rsidRDefault="00DA22D1" w:rsidP="00E6740D">
            <w:pPr>
              <w:pStyle w:val="RollCallTable"/>
            </w:pPr>
            <w:r>
              <w:t>Marie Dauchy, Elena Lizzi, Antonio Maria Rinaldi</w:t>
            </w:r>
          </w:p>
        </w:tc>
      </w:tr>
      <w:tr w:rsidR="00AF0ABA" w:rsidTr="00E6740D">
        <w:trPr>
          <w:cantSplit/>
        </w:trPr>
        <w:tc>
          <w:tcPr>
            <w:tcW w:w="1701" w:type="dxa"/>
            <w:shd w:val="clear" w:color="auto" w:fill="FFFFFF"/>
          </w:tcPr>
          <w:p w:rsidR="003C0A2B" w:rsidRPr="006374E5" w:rsidRDefault="00DA22D1" w:rsidP="00E6740D">
            <w:pPr>
              <w:pStyle w:val="RollCallTable"/>
            </w:pPr>
            <w:r>
              <w:t>NI</w:t>
            </w:r>
          </w:p>
        </w:tc>
        <w:tc>
          <w:tcPr>
            <w:tcW w:w="7371" w:type="dxa"/>
            <w:shd w:val="clear" w:color="auto" w:fill="FFFFFF"/>
          </w:tcPr>
          <w:p w:rsidR="003C0A2B" w:rsidRPr="006374E5" w:rsidRDefault="00DA22D1" w:rsidP="00E6740D">
            <w:pPr>
              <w:pStyle w:val="RollCallTable"/>
            </w:pPr>
            <w:r>
              <w:t>Jörg Meuthen</w:t>
            </w:r>
          </w:p>
        </w:tc>
      </w:tr>
    </w:tbl>
    <w:p w:rsidR="003C0A2B" w:rsidRDefault="003C0A2B" w:rsidP="00147FBF">
      <w:pPr>
        <w:pStyle w:val="Normal12a"/>
      </w:pPr>
    </w:p>
    <w:p w:rsidR="003C0A2B" w:rsidRDefault="00DA22D1" w:rsidP="00B735E3">
      <w:r>
        <w:t>Tegnforklaring:</w:t>
      </w:r>
    </w:p>
    <w:p w:rsidR="003C0A2B" w:rsidRDefault="00DA22D1" w:rsidP="003858C5">
      <w:pPr>
        <w:pStyle w:val="RollCallTabs"/>
      </w:pPr>
      <w:r>
        <w:t>+</w:t>
      </w:r>
      <w:r>
        <w:tab/>
        <w:t>:</w:t>
      </w:r>
      <w:r>
        <w:tab/>
        <w:t>for</w:t>
      </w:r>
    </w:p>
    <w:p w:rsidR="003C0A2B" w:rsidRDefault="00DA22D1" w:rsidP="003858C5">
      <w:pPr>
        <w:pStyle w:val="RollCallTabs"/>
      </w:pPr>
      <w:r>
        <w:t>-</w:t>
      </w:r>
      <w:r>
        <w:tab/>
        <w:t>:</w:t>
      </w:r>
      <w:r>
        <w:tab/>
        <w:t>imod</w:t>
      </w:r>
    </w:p>
    <w:p w:rsidR="003C0A2B" w:rsidRDefault="00DA22D1" w:rsidP="003858C5">
      <w:pPr>
        <w:pStyle w:val="RollCallTabs"/>
      </w:pPr>
      <w:r>
        <w:t>0</w:t>
      </w:r>
      <w:r>
        <w:tab/>
        <w:t>:</w:t>
      </w:r>
      <w:r>
        <w:tab/>
        <w:t>hverken/eller</w:t>
      </w:r>
    </w:p>
    <w:p w:rsidR="003C0A2B" w:rsidRDefault="003C0A2B" w:rsidP="00207509"/>
    <w:bookmarkEnd w:id="3"/>
    <w:p w:rsidR="00DB56E4" w:rsidRPr="003C0A2B" w:rsidRDefault="00DB56E4" w:rsidP="003C0A2B"/>
    <w:sectPr w:rsidR="00DB56E4" w:rsidRPr="003C0A2B" w:rsidSect="003C0A2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A22D1">
      <w:r>
        <w:separator/>
      </w:r>
    </w:p>
  </w:endnote>
  <w:endnote w:type="continuationSeparator" w:id="0">
    <w:p w:rsidR="00000000" w:rsidRDefault="00DA2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DD1" w:rsidRDefault="00DA22D1" w:rsidP="00D06DD1">
    <w:pPr>
      <w:pStyle w:val="EPFooter"/>
    </w:pPr>
    <w:r>
      <w:t>PE</w:t>
    </w:r>
    <w:r w:rsidRPr="00D06DD1">
      <w:rPr>
        <w:rStyle w:val="HideTWBExt"/>
      </w:rPr>
      <w:t>&lt;NoPE&gt;</w:t>
    </w:r>
    <w:r>
      <w:t>745.211</w:t>
    </w:r>
    <w:r w:rsidRPr="00D06DD1">
      <w:rPr>
        <w:rStyle w:val="HideTWBExt"/>
      </w:rPr>
      <w:t>&lt;/NoPE&gt;&lt;Version&gt;</w:t>
    </w:r>
    <w:r>
      <w:t>v02-00</w:t>
    </w:r>
    <w:r w:rsidRPr="00D06DD1">
      <w:rPr>
        <w:rStyle w:val="HideTWBExt"/>
      </w:rPr>
      <w:t>&lt;/Version&gt;</w:t>
    </w:r>
    <w:r>
      <w:tab/>
    </w:r>
    <w:r>
      <w:fldChar w:fldCharType="begin"/>
    </w:r>
    <w:r>
      <w:instrText xml:space="preserve"> PAGE  \* MERGEFORMAT </w:instrText>
    </w:r>
    <w:r>
      <w:fldChar w:fldCharType="separate"/>
    </w:r>
    <w:r>
      <w:rPr>
        <w:noProof/>
      </w:rPr>
      <w:t>46</w:t>
    </w:r>
    <w:r>
      <w:fldChar w:fldCharType="end"/>
    </w:r>
    <w:r>
      <w:t>/</w:t>
    </w:r>
    <w:r w:rsidR="003C0A2B">
      <w:fldChar w:fldCharType="begin"/>
    </w:r>
    <w:r>
      <w:instrText xml:space="preserve"> NUMPAGES  \* MERGEFORMAT </w:instrText>
    </w:r>
    <w:r w:rsidR="003C0A2B">
      <w:fldChar w:fldCharType="separate"/>
    </w:r>
    <w:r>
      <w:rPr>
        <w:noProof/>
      </w:rPr>
      <w:t>57</w:t>
    </w:r>
    <w:r w:rsidR="003C0A2B">
      <w:rPr>
        <w:noProof/>
      </w:rPr>
      <w:fldChar w:fldCharType="end"/>
    </w:r>
    <w:r>
      <w:tab/>
    </w:r>
    <w:r w:rsidRPr="00D06DD1">
      <w:rPr>
        <w:rStyle w:val="HideTWBExt"/>
      </w:rPr>
      <w:t>&lt;PathFdR&gt;</w:t>
    </w:r>
    <w:r>
      <w:t>AD\1282315DA.docx</w:t>
    </w:r>
    <w:r w:rsidRPr="00D06DD1">
      <w:rPr>
        <w:rStyle w:val="HideTWBExt"/>
      </w:rPr>
      <w:t>&lt;/PathFdR&gt;</w:t>
    </w:r>
  </w:p>
  <w:p w:rsidR="007F187F" w:rsidRPr="00B604D8" w:rsidRDefault="00DA22D1" w:rsidP="00D06DD1">
    <w:pPr>
      <w:pStyle w:val="EPFooter2"/>
    </w:pPr>
    <w: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DD1" w:rsidRDefault="00DA22D1" w:rsidP="00D06DD1">
    <w:pPr>
      <w:pStyle w:val="EPFooter"/>
    </w:pPr>
    <w:r w:rsidRPr="00D06DD1">
      <w:rPr>
        <w:rStyle w:val="HideTWBExt"/>
      </w:rPr>
      <w:t>&lt;PathFdR&gt;</w:t>
    </w:r>
    <w:r>
      <w:t>AD\1282315DA.docx</w:t>
    </w:r>
    <w:r w:rsidRPr="00D06DD1">
      <w:rPr>
        <w:rStyle w:val="HideTWBExt"/>
      </w:rPr>
      <w:t>&lt;/PathFdR&gt;</w:t>
    </w:r>
    <w:r>
      <w:tab/>
    </w:r>
    <w:r>
      <w:fldChar w:fldCharType="begin"/>
    </w:r>
    <w:r>
      <w:instrText xml:space="preserve"> PAGE  \* MERGEFORMAT </w:instrText>
    </w:r>
    <w:r>
      <w:fldChar w:fldCharType="separate"/>
    </w:r>
    <w:r>
      <w:rPr>
        <w:noProof/>
      </w:rPr>
      <w:t>45</w:t>
    </w:r>
    <w:r>
      <w:fldChar w:fldCharType="end"/>
    </w:r>
    <w:r>
      <w:t>/</w:t>
    </w:r>
    <w:r w:rsidR="003C0A2B">
      <w:fldChar w:fldCharType="begin"/>
    </w:r>
    <w:r>
      <w:instrText xml:space="preserve"> NUMPAGES  \* MERGEFORMAT </w:instrText>
    </w:r>
    <w:r w:rsidR="003C0A2B">
      <w:fldChar w:fldCharType="separate"/>
    </w:r>
    <w:r>
      <w:rPr>
        <w:noProof/>
      </w:rPr>
      <w:t>57</w:t>
    </w:r>
    <w:r w:rsidR="003C0A2B">
      <w:rPr>
        <w:noProof/>
      </w:rPr>
      <w:fldChar w:fldCharType="end"/>
    </w:r>
    <w:r>
      <w:tab/>
      <w:t>PE</w:t>
    </w:r>
    <w:r w:rsidRPr="00D06DD1">
      <w:rPr>
        <w:rStyle w:val="HideTWBExt"/>
      </w:rPr>
      <w:t>&lt;NoPE&gt;</w:t>
    </w:r>
    <w:r>
      <w:t>745.211</w:t>
    </w:r>
    <w:r w:rsidRPr="00D06DD1">
      <w:rPr>
        <w:rStyle w:val="HideTWBExt"/>
      </w:rPr>
      <w:t>&lt;/NoPE&gt;&lt;Version&gt;</w:t>
    </w:r>
    <w:r>
      <w:t>v02-00</w:t>
    </w:r>
    <w:r w:rsidRPr="00D06DD1">
      <w:rPr>
        <w:rStyle w:val="HideTWBExt"/>
      </w:rPr>
      <w:t>&lt;/Version&gt;</w:t>
    </w:r>
  </w:p>
  <w:p w:rsidR="007F187F" w:rsidRPr="00B604D8" w:rsidRDefault="00DA22D1" w:rsidP="00D06DD1">
    <w:pPr>
      <w:pStyle w:val="EPFooter2"/>
    </w:pPr>
    <w:r>
      <w:tab/>
    </w:r>
    <w:r>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DD1" w:rsidRDefault="00DA22D1" w:rsidP="00D06DD1">
    <w:pPr>
      <w:pStyle w:val="EPFooter"/>
    </w:pPr>
    <w:r w:rsidRPr="00D06DD1">
      <w:rPr>
        <w:rStyle w:val="HideTWBExt"/>
      </w:rPr>
      <w:t>&lt;PathFdR&gt;</w:t>
    </w:r>
    <w:r>
      <w:t>AD\1282315DA.docx</w:t>
    </w:r>
    <w:r w:rsidRPr="00D06DD1">
      <w:rPr>
        <w:rStyle w:val="HideTWBExt"/>
      </w:rPr>
      <w:t>&lt;/PathFdR&gt;</w:t>
    </w:r>
    <w:r>
      <w:tab/>
    </w:r>
    <w:r>
      <w:tab/>
      <w:t>PE</w:t>
    </w:r>
    <w:r w:rsidRPr="00D06DD1">
      <w:rPr>
        <w:rStyle w:val="HideTWBExt"/>
      </w:rPr>
      <w:t>&lt;NoPE&gt;</w:t>
    </w:r>
    <w:r>
      <w:t>745.211</w:t>
    </w:r>
    <w:r w:rsidRPr="00D06DD1">
      <w:rPr>
        <w:rStyle w:val="HideTWBExt"/>
      </w:rPr>
      <w:t>&lt;/NoPE&gt;&lt;Version&gt;</w:t>
    </w:r>
    <w:r>
      <w:t>v02-00</w:t>
    </w:r>
    <w:r w:rsidRPr="00D06DD1">
      <w:rPr>
        <w:rStyle w:val="HideTWBExt"/>
      </w:rPr>
      <w:t>&lt;/Version&gt;</w:t>
    </w:r>
  </w:p>
  <w:p w:rsidR="007F187F" w:rsidRPr="00B604D8" w:rsidRDefault="00DA22D1" w:rsidP="00D06DD1">
    <w:pPr>
      <w:pStyle w:val="EPFooter2"/>
    </w:pPr>
    <w:r>
      <w:t>DA</w:t>
    </w:r>
    <w:r>
      <w:tab/>
    </w:r>
    <w:r w:rsidRPr="00D06DD1">
      <w:rPr>
        <w:b w:val="0"/>
        <w:i/>
        <w:color w:val="C0C0C0"/>
        <w:sz w:val="22"/>
      </w:rPr>
      <w:t>Forenet i mangfo</w:t>
    </w:r>
    <w:r w:rsidRPr="00D06DD1">
      <w:rPr>
        <w:b w:val="0"/>
        <w:i/>
        <w:color w:val="C0C0C0"/>
        <w:sz w:val="22"/>
      </w:rPr>
      <w:t>ldighed</w:t>
    </w:r>
    <w:r>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A22D1">
      <w:r>
        <w:separator/>
      </w:r>
    </w:p>
  </w:footnote>
  <w:footnote w:type="continuationSeparator" w:id="0">
    <w:p w:rsidR="00000000" w:rsidRDefault="00DA2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A2B" w:rsidRDefault="003C0A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A2B" w:rsidRDefault="003C0A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A2B" w:rsidRDefault="003C0A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CJMNU" w:val="1"/>
    <w:docVar w:name="CODEMNU" w:val=" 1"/>
    <w:docVar w:name="COM2KEY" w:val="EMPL"/>
    <w:docVar w:name="COMKEY" w:val="EMPL"/>
    <w:docVar w:name="CopyToNetwork" w:val="-1"/>
    <w:docVar w:name="CVA" w:val="2"/>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64271 HideTWBInt;}}{\*\rsidtbl \rsid24658\rsid223860\rsid735077\rsid1718133\rsid2892074\rsid3565327_x000d__x000a_\rsid4666813\rsid6641733\rsid7823322\rsid9600481\rsid9636012\rsid10377208\rsid11215221\rsid11549030\rsid12154954\rsid14382809\rsid14424199\rsid15204470\rsid15285974\rsid15364271\rsid15950462\rsid16324206\rsid16662270}{\mmathPr\mmathFont34\mbrkBin0_x000d__x000a_\mbrkBinSub0\msmallFrac0\mdispDef1\mlMargin0\mrMargin0\mdefJc1\mwrapIndent1440\mintLim0\mnaryLim1}{\info{\author KRIEG Milena}{\operator KRIEG Milena}{\creatim\yr2023\mo3\dy4\hr10\min52}{\revtim\yr2023\mo3\dy4\hr10\min52}{\version1}{\edmins0}{\nofpages1}_x000d__x000a_{\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6427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600481 \chftnsep _x000d__x000a_\par }}{\*\ftnsepc \ltrpar \pard\plain \ltrpar\ql \li0\ri0\widctlpar\wrapdefault\aspalpha\aspnum\faauto\adjustright\rin0\lin0\itap0 \rtlch\fcs1 \af0\afs20\alang1025 \ltrch\fcs0 \fs24\lang2057\langfe2057\cgrid\langnp2057\langfenp2057 {\rtlch\fcs1 \af0 _x000d__x000a_\ltrch\fcs0 \insrsid9600481 \chftnsepc _x000d__x000a_\par }}{\*\aftnsep \ltrpar \pard\plain \ltrpar\ql \li0\ri0\widctlpar\wrapdefault\aspalpha\aspnum\faauto\adjustright\rin0\lin0\itap0 \rtlch\fcs1 \af0\afs20\alang1025 \ltrch\fcs0 \fs24\lang2057\langfe2057\cgrid\langnp2057\langfenp2057 {\rtlch\fcs1 \af0 _x000d__x000a_\ltrch\fcs0 \insrsid9600481 \chftnsep _x000d__x000a_\par }}{\*\aftnsepc \ltrpar \pard\plain \ltrpar\ql \li0\ri0\widctlpar\wrapdefault\aspalpha\aspnum\faauto\adjustright\rin0\lin0\itap0 \rtlch\fcs1 \af0\afs20\alang1025 \ltrch\fcs0 \fs24\lang2057\langfe2057\cgrid\langnp2057\langfenp2057 {\rtlch\fcs1 \af0 _x000d__x000a_\ltrch\fcs0 \insrsid96004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64271\charrsid15668965 {\*\bkmkstart ReplaceBookmark}#}{\rtlch\fcs1 \af1 \ltrch\fcs0 _x000d__x000a_\cs17\v\f1\fs20\cf15\insrsid15364271\charrsid15668965 &gt;&gt;&gt;CVAR@@AmendA}{\rtlch\fcs1 \af0 \ltrch\fcs0 \insrsid15364271\charrsid1566896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80_x000d__x000a_010f7f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61446 HideTWBExt;}{_x000d__x000a_\s18\ql \li0\ri0\sa120\nowidctlpar\wrapdefault\aspalpha\aspnum\faauto\adjustright\rin0\lin0\itap0 \rtlch\fcs1 \af0\afs20\alang1025 \ltrch\fcs0 \fs24\lang2057\langfe2057\cgrid\langnp2057\langfenp2057 \sbasedon0 \snext18 \spriority0 \styrsid11161446 _x000d__x000a_Normal6a;}{\s19\ql \li0\ri0\nowidctlpar\wrapdefault\aspalpha\aspnum\faauto\adjustright\rin0\lin0\itap0 \rtlch\fcs1 \af0\afs20\alang1025 \ltrch\fcs0 \b\fs24\lang2057\langfe2057\cgrid\langnp2057\langfenp2057 \sbasedon0 \snext19 \spriority0 \styrsid11161446 _x000d__x000a_NormalBold;}{\*\cs20 \additive \v\f1\fs20\cf15 \spriority0 \styrsid11161446 HideTWBInt;}{\s21\qr \li0\ri0\sb240\sa240\nowidctlpar\wrapdefault\aspalpha\aspnum\faauto\adjustright\rin0\lin0\itap0 \rtlch\fcs1 \af0\afs20\alang1025 \ltrch\fcs0 _x000d__x000a_\fs24\lang2057\langfe2057\cgrid\langnp2057\langfenp2057 \sbasedon0 \snext21 \spriority0 \styrsid11161446 AmOrLang;}{\s22\qc \li0\ri0\sa240\nowidctlpar\wrapdefault\aspalpha\aspnum\faauto\adjustright\rin0\lin0\itap0 \rtlch\fcs1 \af0\afs20\alang1025 _x000d__x000a_\ltrch\fcs0 \i\fs24\lang2057\langfe2057\cgrid\langnp2057\langfenp2057 \sbasedon0 \snext22 \spriority0 \styrsid1116144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161446 AmNumberTabs;}{\s24\ql \li0\ri0\sb240\nowidctlpar\wrapdefault\aspalpha\aspnum\faauto\adjustright\rin0\lin0\itap0 \rtlch\fcs1 _x000d__x000a_\af0\afs20\alang1025 \ltrch\fcs0 \b\fs24\lang2057\langfe2057\cgrid\langnp2057\langfenp2057 \sbasedon0 \snext24 \spriority0 \styrsid11161446 NormalBold12b;}}{\*\rsidtbl \rsid24658\rsid223860\rsid735077\rsid1718133\rsid2892074\rsid3565327\rsid4666813_x000d__x000a_\rsid5989081\rsid6641733\rsid7823322\rsid9636012\rsid10377208\rsid11161446\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3\dy4\hr10\min47}{\revtim\yr2023\mo3\dy4\hr10\min47}{\version1}{\edmins0}{\nofpages1}{\nofwords41}_x000d__x000a_{\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161446\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5989081 \chftnsep _x000d__x000a_\par }}{\*\ftnsepc \ltrpar \pard\plain \ltrpar\ql \li0\ri0\widctlpar\wrapdefault\aspalpha\aspnum\faauto\adjustright\rin0\lin0\itap0 \rtlch\fcs1 \af0\afs20\alang1025 \ltrch\fcs0 \fs24\lang2057\langfe2057\cgrid\langnp2057\langfenp2057 {\rtlch\fcs1 \af0 _x000d__x000a_\ltrch\fcs0 \insrsid5989081 \chftnsepc _x000d__x000a_\par }}{\*\aftnsep \ltrpar \pard\plain \ltrpar\ql \li0\ri0\widctlpar\wrapdefault\aspalpha\aspnum\faauto\adjustright\rin0\lin0\itap0 \rtlch\fcs1 \af0\afs20\alang1025 \ltrch\fcs0 \fs24\lang2057\langfe2057\cgrid\langnp2057\langfenp2057 {\rtlch\fcs1 \af0 _x000d__x000a_\ltrch\fcs0 \insrsid5989081 \chftnsep _x000d__x000a_\par }}{\*\aftnsepc \ltrpar \pard\plain \ltrpar\ql \li0\ri0\widctlpar\wrapdefault\aspalpha\aspnum\faauto\adjustright\rin0\lin0\itap0 \rtlch\fcs1 \af0\afs20\alang1025 \ltrch\fcs0 \fs24\lang2057\langfe2057\cgrid\langnp2057\langfenp2057 {\rtlch\fcs1 \af0 _x000d__x000a_\ltrch\fcs0 \insrsid59890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161446 \rtlch\fcs1 _x000d__x000a_\af0\afs20\alang1025 \ltrch\fcs0 \b\fs24\lang2057\langfe2057\cgrid\langnp2057\langfenp2057 {\rtlch\fcs1 \af0 \ltrch\fcs0 \cs17\b0\v\fs20\cf9\lang1024\langfe1024\loch\af1\hich\af1\dbch\af31501\noproof\insrsid11161446\charrsid15668965 {\*\bkmkstart restartA_x000d__x000a_}\hich\af1\dbch\af31501\loch\f1 &lt;AmendA&gt;}{\rtlch\fcs1 \af0 \ltrch\fcs0 \insrsid11161446\charrsid15668965 Amendment\tab \tab }{\rtlch\fcs1 \af0 \ltrch\fcs0 _x000d__x000a_\cs17\b0\v\fs20\cf9\lang1024\langfe1024\loch\af1\hich\af1\dbch\af31501\noproof\insrsid11161446\charrsid15668965 \hich\af1\dbch\af31501\loch\f1 &lt;NumAmA&gt;}{\rtlch\fcs1 \af0 \ltrch\fcs0 \insrsid11161446\charrsid15668965 #}{\rtlch\fcs1 \af1 \ltrch\fcs0 _x000d__x000a_\cs20\v\f1\fs20\cf15\insrsid11161446\charrsid15668965 ENMIENDA@NRAM@}{\rtlch\fcs1 \af0 \ltrch\fcs0 \insrsid11161446\charrsid15668965 #}{\rtlch\fcs1 \af0 \ltrch\fcs0 _x000d__x000a_\cs17\b0\v\fs20\cf9\lang1024\langfe1024\loch\af1\hich\af1\dbch\af31501\noproof\insrsid11161446\charrsid15668965 \hich\af1\dbch\af31501\loch\f1 &lt;/NumAmA&gt;}{\rtlch\fcs1 \af0 \ltrch\fcs0 \insrsid11161446\charrsid15668965 _x000d__x000a_\par }\pard\plain \ltrpar\s24\ql \li0\ri0\sb240\keepn\nowidctlpar\wrapdefault\aspalpha\aspnum\faauto\adjustright\rin0\lin0\itap0\pararsid11161446 \rtlch\fcs1 \af0\afs20\alang1025 \ltrch\fcs0 \b\fs24\lang2057\langfe2057\cgrid\langnp2057\langfenp2057 {_x000d__x000a_\rtlch\fcs1 \af0 \ltrch\fcs0 \cs17\b0\v\fs20\cf9\lang1024\langfe1024\loch\af1\hich\af1\dbch\af31501\noproof\insrsid11161446\charrsid15668965 \hich\af1\dbch\af31501\loch\f1 &lt;DocAmend&gt;}{\rtlch\fcs1 \af0 \ltrch\fcs0 \insrsid11161446\charrsid15668965 _x000d__x000a_Draft legislative resolution}{\rtlch\fcs1 \af0 \ltrch\fcs0 \cs17\b0\v\fs20\cf9\lang1024\langfe1024\loch\af1\hich\af1\dbch\af31501\noproof\insrsid11161446\charrsid15668965 \hich\af1\dbch\af31501\loch\f1 &lt;/DocAmend&gt;}{\rtlch\fcs1 \af0 \ltrch\fcs0 _x000d__x000a_\insrsid11161446\charrsid15668965 _x000d__x000a_\par }\pard\plain \ltrpar\s19\ql \li0\ri0\nowidctlpar\wrapdefault\aspalpha\aspnum\faauto\adjustright\rin0\lin0\itap0\pararsid11161446 \rtlch\fcs1 \af0\afs20\alang1025 \ltrch\fcs0 \b\fs24\lang2057\langfe2057\cgrid\langnp2057\langfenp2057 {\rtlch\fcs1 \af0 _x000d__x000a_\ltrch\fcs0 \cs17\b0\v\fs20\cf9\lang1024\langfe1024\loch\af1\hich\af1\dbch\af31501\noproof\insrsid11161446\charrsid15668965 \hich\af1\dbch\af31501\loch\f1 &lt;Article&gt;}{\rtlch\fcs1 \af0 \ltrch\fcs0 \cf10\insrsid11161446\charrsid15668965 \u9668\'3f}{_x000d__x000a_\rtlch\fcs1 \af0 \ltrch\fcs0 \insrsid11161446\charrsid15668965 #}{\rtlch\fcs1 \af1 \ltrch\fcs0 \cs20\v\f1\fs20\cf15\insrsid11161446\charrsid15668965 TVTRESPART@RESPART@}{\rtlch\fcs1 \af0 \ltrch\fcs0 \insrsid11161446\charrsid15668965 #}{\rtlch\fcs1 \af0 _x000d__x000a_\ltrch\fcs0 \cf10\insrsid11161446\charrsid15668965 \u9658\'3f}{\rtlch\fcs1 \af0 \ltrch\fcs0 \cs17\b0\v\fs20\cf9\lang1024\langfe1024\loch\af1\hich\af1\dbch\af31501\noproof\insrsid11161446\charrsid15668965 \hich\af1\dbch\af31501\loch\f1 &lt;/Article&gt;}{_x000d__x000a_\rtlch\fcs1 \af0 \ltrch\fcs0 \insrsid11161446\charrsid15668965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1161446\charrsid15668965 \cell }\pard\plain \ltrpar\ql \li0\ri0\widctlpar\intbl\wrapdefault\aspalpha\aspnum\faauto\adjustright\rin0\lin0 \rtlch\fcs1 _x000d__x000a_\af0\afs20\alang1025 \ltrch\fcs0 \fs24\lang2057\langfe2057\cgrid\langnp2057\langfenp2057 {\rtlch\fcs1 \af0 \ltrch\fcs0 \insrsid11161446\charrsid15668965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1161446\charrsid15668965 Draft legislative resolution\cell Amendment\cell }\pard\plain \ltrpar_x000d__x000a_\ql \li0\ri0\widctlpar\intbl\wrapdefault\aspalpha\aspnum\faauto\adjustright\rin0\lin0 \rtlch\fcs1 \af0\afs20\alang1025 \ltrch\fcs0 \fs24\lang2057\langfe2057\cgrid\langnp2057\langfenp2057 {\rtlch\fcs1 \af0 \ltrch\fcs0 \insrsid11161446\charrsid15668965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1161446\charrsid15668965 ##\cell ##}{\rtlch\fcs1 \af0\afs24 \ltrch\fcs0 \insrsid11161446\charrsid15668965 \cell }\pard\plain \ltrpar\ql \li0\ri0\widctlpar\intbl\wrapdefault\aspalpha\aspnum\faauto\adjustright\rin0\lin0 \rtlch\fcs1 _x000d__x000a_\af0\afs20\alang1025 \ltrch\fcs0 \fs24\lang2057\langfe2057\cgrid\langnp2057\langfenp2057 {\rtlch\fcs1 \af0 \ltrch\fcs0 \insrsid11161446\charrsid15668965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161446 \rtlch\fcs1 \af0\afs20\alang1025 \ltrch\fcs0 \fs24\lang2057\langfe2057\cgrid\langnp2057\langfenp2057 {\rtlch\fcs1 \af0 \ltrch\fcs0 _x000d__x000a_\insrsid11161446\charrsid15668965 Or. }{\rtlch\fcs1 \af0 \ltrch\fcs0 \cs17\v\fs20\cf9\lang1024\langfe1024\loch\af1\hich\af1\dbch\af31501\noproof\insrsid11161446\charrsid15668965 \hich\af1\dbch\af31501\loch\f1 &lt;Original&gt;}{\rtlch\fcs1 \af0 \ltrch\fcs0 _x000d__x000a_\insrsid11161446\charrsid15668965 #}{\rtlch\fcs1 \af1 \ltrch\fcs0 \cs20\v\f1\fs20\cf15\insrsid11161446\charrsid15668965 MNU[ORLANGONE][ORLANGMORE]@CHOICE@ORLANGMNU}{\rtlch\fcs1 \af0 \ltrch\fcs0 \insrsid11161446\charrsid15668965 #}{\rtlch\fcs1 \af0 _x000d__x000a_\ltrch\fcs0 \cs17\v\fs20\cf9\lang1024\langfe1024\loch\af1\hich\af1\dbch\af31501\noproof\insrsid11161446\charrsid15668965 \hich\af1\dbch\af31501\loch\f1 &lt;/Original&gt;}{\rtlch\fcs1 \af0 \ltrch\fcs0 \insrsid11161446\charrsid15668965 _x000d__x000a_\par }\pard\plain \ltrpar\ql \li0\ri0\widctlpar\wrapdefault\aspalpha\aspnum\faauto\adjustright\rin0\lin0\itap0\pararsid11161446 \rtlch\fcs1 \af0\afs20\alang1025 \ltrch\fcs0 \fs24\lang2057\langfe2057\cgrid\langnp2057\langfenp2057 {\rtlch\fcs1 \af0 \ltrch\fcs0 _x000d__x000a_\cs17\v\fs20\cf9\lang1024\langfe1024\loch\af1\hich\af1\dbch\af31501\noproof\insrsid11161446\charrsid1566896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46_x000d__x000a_eb587e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10377208\rsid11215221_x000d__x000a_\rsid11549030\rsid12154954\rsid14382809\rsid14424199\rsid15204470\rsid15285974\rsid15290221\rsid15950462\rsid16273569\rsid16324206\rsid16662270}{\mmathPr\mmathFont34\mbrkBin0\mbrkBinSub0\msmallFrac0\mdispDef1\mlMargin0\mrMargin0\mdefJc1\mwrapIndent1440_x000d__x000a_\mintLim0\mnaryLim1}{\info{\author RUDOLPH Lene}{\operator RUDOLPH Lene}{\creatim\yr2023\mo7\dy7\hr14\min37}{\revtim\yr2023\mo7\dy7\hr14\min37}{\version1}{\edmins0}{\nofpages1}{\nofwords0}{\nofchars1}{\nofcharsws1}{\vern107}}{\*\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73569\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15290221 \chftnsep _x000d__x000a_\par }}{\*\ftnsepc \ltrpar \pard\plain \ltrpar\ql \li0\ri0\widctlpar\wrapdefault\aspalpha\aspnum\faauto\adjustright\rin0\lin0\itap0 \rtlch\fcs1 \af0\afs20\alang1025 \ltrch\fcs0 \fs24\lang2057\langfe2057\cgrid\langnp2057\langfenp2057 {\rtlch\fcs1 \af0 _x000d__x000a_\ltrch\fcs0 \insrsid15290221 \chftnsepc _x000d__x000a_\par }}{\*\aftnsep \ltrpar \pard\plain \ltrpar\ql \li0\ri0\widctlpar\wrapdefault\aspalpha\aspnum\faauto\adjustright\rin0\lin0\itap0 \rtlch\fcs1 \af0\afs20\alang1025 \ltrch\fcs0 \fs24\lang2057\langfe2057\cgrid\langnp2057\langfenp2057 {\rtlch\fcs1 \af0 _x000d__x000a_\ltrch\fcs0 \insrsid15290221 \chftnsep _x000d__x000a_\par }}{\*\aftnsepc \ltrpar \pard\plain \ltrpar\ql \li0\ri0\widctlpar\wrapdefault\aspalpha\aspnum\faauto\adjustright\rin0\lin0\itap0 \rtlch\fcs1 \af0\afs20\alang1025 \ltrch\fcs0 \fs24\lang2057\langfe2057\cgrid\langnp2057\langfenp2057 {\rtlch\fcs1 \af0 _x000d__x000a_\ltrch\fcs0 \insrsid152902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273569 _x000d__x000a_\rtlch\fcs1 \af0\afs20\alang1025 \ltrch\fcs0 \fs24\lang2057\langfe2057\cgrid\langnp2057\langfenp2057 {\rtlch\fcs1 \af0 \ltrch\fcs0 \insrsid16273569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7d_x000d__x000a_1ec1cfb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862664 HideTWBExt;}{_x000d__x000a_\s18\ql \li0\ri0\sa120\nowidctlpar\wrapdefault\aspalpha\aspnum\faauto\adjustright\rin0\lin0\itap0 \rtlch\fcs1 \af0\afs20\alang1025 \ltrch\fcs0 \fs24\lang2057\langfe2057\cgrid\langnp2057\langfenp2057 \sbasedon0 \snext18 \spriority0 \styrsid1862664 _x000d__x000a_Normal6a;}{\s19\ql \li0\ri0\nowidctlpar\wrapdefault\aspalpha\aspnum\faauto\adjustright\rin0\lin0\itap0 \rtlch\fcs1 \af0\afs20\alang1025 \ltrch\fcs0 \b\fs24\lang2057\langfe2057\cgrid\langnp2057\langfenp2057 \sbasedon0 \snext19 \spriority0 \styrsid1862664 _x000d__x000a_NormalBold;}{\s20\ql \li0\ri0\sa240\nowidctlpar\wrapdefault\aspalpha\aspnum\faauto\adjustright\rin0\lin0\itap0 \rtlch\fcs1 \af0\afs20\alang1025 \ltrch\fcs0 \i\fs24\lang2057\langfe2057\cgrid\langnp2057\langfenp2057 _x000d__x000a_\sbasedon0 \snext20 \spriority0 \styrsid1862664 AmJustText;}{\s21\qc \li0\ri0\sb240\sa240\nowidctlpar\wrapdefault\aspalpha\aspnum\faauto\adjustright\rin0\lin0\itap0 \rtlch\fcs1 \af0\afs20\alang1025 \ltrch\fcs0 _x000d__x000a_\i\fs24\lang2057\langfe2057\cgrid\langnp2057\langfenp2057 \sbasedon0 \snext21 \spriority0 \styrsid1862664 AmCrossRef;}{\*\cs22 \additive \v\f1\fs20\cf15 \spriority0 \styrsid1862664 HideTWBInt;}{_x000d__x000a_\s23\qc \li0\ri0\sb240\sa240\keepn\nowidctlpar\wrapdefault\aspalpha\aspnum\faauto\adjustright\rin0\lin0\itap0 \rtlch\fcs1 \af0\afs20\alang1025 \ltrch\fcs0 \i\fs24\lang2057\langfe2057\cgrid\langnp2057\langfenp2057 _x000d__x000a_\sbasedon0 \snext20 \spriority0 \styrsid1862664 AmJustTitle;}{\s24\qr \li0\ri0\sb240\sa240\nowidctlpar\wrapdefault\aspalpha\aspnum\faauto\adjustright\rin0\lin0\itap0 \rtlch\fcs1 \af0\afs20\alang1025 \ltrch\fcs0 _x000d__x000a_\fs24\lang2057\langfe2057\cgrid\langnp2057\langfenp2057 \sbasedon0 \snext24 \spriority0 \styrsid1862664 AmOrLang;}{\s25\qc \li0\ri0\sa240\nowidctlpar\wrapdefault\aspalpha\aspnum\faauto\adjustright\rin0\lin0\itap0 \rtlch\fcs1 \af0\afs20\alang1025 _x000d__x000a_\ltrch\fcs0 \i\fs24\lang2057\langfe2057\cgrid\langnp2057\langfenp2057 \sbasedon0 \snext25 \spriority0 \styrsid186266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862664 AmNumberTabs;}{\s27\ql \li0\ri0\sb240\nowidctlpar\wrapdefault\aspalpha\aspnum\faauto\adjustright\rin0\lin0\itap0 \rtlch\fcs1 _x000d__x000a_\af0\afs20\alang1025 \ltrch\fcs0 \b\fs24\lang2057\langfe2057\cgrid\langnp2057\langfenp2057 \sbasedon0 \snext27 \spriority0 \styrsid1862664 NormalBold12b;}}{\*\rsidtbl \rsid24658\rsid223860\rsid735077\rsid1718133\rsid1862664\rsid2892074\rsid3565327_x000d__x000a_\rsid4357933\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3\dy4\hr10\min47}{\revtim\yr2023\mo3\dy4\hr10\min47}{\version1}{\edmins0}{\nofpages1}_x000d__x000a_{\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862664\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357933 \chftnsep _x000d__x000a_\par }}{\*\ftnsepc \ltrpar \pard\plain \ltrpar\ql \li0\ri0\widctlpar\wrapdefault\aspalpha\aspnum\faauto\adjustright\rin0\lin0\itap0 \rtlch\fcs1 \af0\afs20\alang1025 \ltrch\fcs0 \fs24\lang2057\langfe2057\cgrid\langnp2057\langfenp2057 {\rtlch\fcs1 \af0 _x000d__x000a_\ltrch\fcs0 \insrsid4357933 \chftnsepc _x000d__x000a_\par }}{\*\aftnsep \ltrpar \pard\plain \ltrpar\ql \li0\ri0\widctlpar\wrapdefault\aspalpha\aspnum\faauto\adjustright\rin0\lin0\itap0 \rtlch\fcs1 \af0\afs20\alang1025 \ltrch\fcs0 \fs24\lang2057\langfe2057\cgrid\langnp2057\langfenp2057 {\rtlch\fcs1 \af0 _x000d__x000a_\ltrch\fcs0 \insrsid4357933 \chftnsep _x000d__x000a_\par }}{\*\aftnsepc \ltrpar \pard\plain \ltrpar\ql \li0\ri0\widctlpar\wrapdefault\aspalpha\aspnum\faauto\adjustright\rin0\lin0\itap0 \rtlch\fcs1 \af0\afs20\alang1025 \ltrch\fcs0 \fs24\lang2057\langfe2057\cgrid\langnp2057\langfenp2057 {\rtlch\fcs1 \af0 _x000d__x000a_\ltrch\fcs0 \insrsid4357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862664 \rtlch\fcs1 _x000d__x000a_\af0\afs20\alang1025 \ltrch\fcs0 \b\fs24\lang2057\langfe2057\cgrid\langnp2057\langfenp2057 {\rtlch\fcs1 \af0 \ltrch\fcs0 \cs17\b0\v\fs20\cf9\lang1024\langfe1024\loch\af1\hich\af1\dbch\af31501\noproof\insrsid1862664\charrsid15668965 {\*\bkmkstart restartB}_x000d__x000a_\hich\af1\dbch\af31501\loch\f1 &lt;AmendB&gt;}{\rtlch\fcs1 \af0 \ltrch\fcs0 \insrsid1862664\charrsid15668965 Amendment\tab \tab }{\rtlch\fcs1 \af0 \ltrch\fcs0 _x000d__x000a_\cs17\b0\v\fs20\cf9\lang1024\langfe1024\loch\af1\hich\af1\dbch\af31501\noproof\insrsid1862664\charrsid15668965 \hich\af1\dbch\af31501\loch\f1 &lt;NumAmB&gt;}{\rtlch\fcs1 \af0 \ltrch\fcs0 \insrsid1862664\charrsid15668965 #}{\rtlch\fcs1 \af1 \ltrch\fcs0 _x000d__x000a_\cs22\v\f1\fs20\cf15\insrsid1862664\charrsid15668965 ENMIENDA@NRAM@}{\rtlch\fcs1 \af0 \ltrch\fcs0 \insrsid1862664\charrsid15668965 #}{\rtlch\fcs1 \af0 \ltrch\fcs0 _x000d__x000a_\cs17\b0\v\fs20\cf9\lang1024\langfe1024\loch\af1\hich\af1\dbch\af31501\noproof\insrsid1862664\charrsid15668965 \hich\af1\dbch\af31501\loch\f1 &lt;/NumAmB&gt;}{\rtlch\fcs1 \af0 \ltrch\fcs0 \insrsid1862664\charrsid15668965 _x000d__x000a_\par }\pard\plain \ltrpar\s27\ql \li0\ri0\sb240\keepn\nowidctlpar\wrapdefault\aspalpha\aspnum\faauto\adjustright\rin0\lin0\itap0\pararsid1862664 \rtlch\fcs1 \af0\afs20\alang1025 \ltrch\fcs0 \b\fs24\lang2057\langfe2057\cgrid\langnp2057\langfenp2057 {_x000d__x000a_\rtlch\fcs1 \af0 \ltrch\fcs0 \cs17\b0\v\fs20\cf9\lang1024\langfe1024\loch\af1\hich\af1\dbch\af31501\noproof\insrsid1862664\charrsid15668965 \hich\af1\dbch\af31501\loch\f1 &lt;DocAmend&gt;}{\rtlch\fcs1 \af0 \ltrch\fcs0 \insrsid1862664\charrsid15668965 #}{_x000d__x000a_\rtlch\fcs1 \af1 \ltrch\fcs0 \cs22\v\f1\fs20\cf15\insrsid1862664\charrsid15668965 MNU[OPTPROPOSALCOD][OPTPROPOSALCNS][OPTPROPOSALNLE][OPTPROPOSALINL]@CHOICE@CODEMNU}{\rtlch\fcs1 \af0 \ltrch\fcs0 \insrsid1862664\charrsid15668965 ##}{\rtlch\fcs1 \af1 _x000d__x000a_\ltrch\fcs0 \cs22\v\f1\fs20\cf15\insrsid1862664\charrsid15668965 MNU[AMACTYES][NOTAPP]@CHOICE@AMACTMNU}{\rtlch\fcs1 \af0 \ltrch\fcs0 \insrsid1862664\charrsid15668965 #}{\rtlch\fcs1 \af0 \ltrch\fcs0 _x000d__x000a_\cs17\b0\v\fs20\cf9\lang1024\langfe1024\loch\af1\hich\af1\dbch\af31501\noproof\insrsid1862664\charrsid15668965 \hich\af1\dbch\af31501\loch\f1 &lt;/DocAmend&gt;}{\rtlch\fcs1 \af0 \ltrch\fcs0 \insrsid1862664\charrsid15668965 _x000d__x000a_\par }\pard\plain \ltrpar\s19\ql \li0\ri0\keepn\nowidctlpar\wrapdefault\aspalpha\aspnum\faauto\adjustright\rin0\lin0\itap0\pararsid1862664 \rtlch\fcs1 \af0\afs20\alang1025 \ltrch\fcs0 \b\fs24\lang2057\langfe2057\cgrid\langnp2057\langfenp2057 {\rtlch\fcs1 \af0 _x000d__x000a_\ltrch\fcs0 \cs17\b0\v\fs20\cf9\lang1024\langfe1024\loch\af1\hich\af1\dbch\af31501\noproof\insrsid1862664\charrsid15668965 \hich\af1\dbch\af31501\loch\f1 &lt;Article&gt;}{\rtlch\fcs1 \af0 \ltrch\fcs0 \insrsid1862664\charrsid15668965 #}{\rtlch\fcs1 \af1 _x000d__x000a_\ltrch\fcs0 \cs22\v\f1\fs20\cf15\insrsid1862664\charrsid15668965 MNU[AMACTPARTYES][AMACTPARTNO]@CHOICE@AMACTMNU}{\rtlch\fcs1 \af0 \ltrch\fcs0 \insrsid1862664\charrsid15668965 #}{\rtlch\fcs1 \af0 \ltrch\fcs0 _x000d__x000a_\cs17\b0\v\fs20\cf9\lang1024\langfe1024\loch\af1\hich\af1\dbch\af31501\noproof\insrsid1862664\charrsid15668965 \hich\af1\dbch\af31501\loch\f1 &lt;/Article&gt;}{\rtlch\fcs1 \af0 \ltrch\fcs0 \insrsid1862664\charrsid15668965 _x000d__x000a_\par }\pard\plain \ltrpar\ql \li0\ri0\keepn\widctlpar\wrapdefault\aspalpha\aspnum\faauto\adjustright\rin0\lin0\itap0\pararsid1862664 \rtlch\fcs1 \af0\afs20\alang1025 \ltrch\fcs0 \fs24\lang2057\langfe2057\cgrid\langnp2057\langfenp2057 {\rtlch\fcs1 \af0 _x000d__x000a_\ltrch\fcs0 \cs17\v\fs20\cf9\lang1024\langfe1024\loch\af1\hich\af1\dbch\af31501\noproof\insrsid1862664\charrsid15668965 \hich\af1\dbch\af31501\loch\f1 &lt;DocAmend2&gt;&lt;OptDel&gt;}{\rtlch\fcs1 \af0 \ltrch\fcs0 \insrsid1862664\charrsid15668965 #}{\rtlch\fcs1 \af1 _x000d__x000a_\ltrch\fcs0 \cs22\v\f1\fs20\cf15\insrsid1862664\charrsid15668965 MNU[OPTNRACTYES][NOTAPP]@CHOICE@AMACTMNU}{\rtlch\fcs1 \af0 \ltrch\fcs0 \insrsid1862664\charrsid15668965 #}{\rtlch\fcs1 \af0 \ltrch\fcs0 _x000d__x000a_\cs17\v\fs20\cf9\lang1024\langfe1024\loch\af1\hich\af1\dbch\af31501\noproof\insrsid1862664\charrsid15668965 \hich\af1\dbch\af31501\loch\f1 &lt;/OptDel&gt;&lt;/DocAmend2&gt;}{\rtlch\fcs1 \af0 \ltrch\fcs0 \insrsid1862664\charrsid15668965 _x000d__x000a_\par }\pard \ltrpar\ql \li0\ri0\widctlpar\wrapdefault\aspalpha\aspnum\faauto\adjustright\rin0\lin0\itap0\pararsid1862664 {\rtlch\fcs1 \af0 \ltrch\fcs0 \cs17\v\fs20\cf9\lang1024\langfe1024\loch\af1\hich\af1\dbch\af31501\noproof\insrsid1862664\charrsid15668965 _x000d__x000a_\hich\af1\dbch\af31501\loch\f1 &lt;Article2&gt;&lt;OptDel&gt;}{\rtlch\fcs1 \af0 \ltrch\fcs0 \insrsid1862664\charrsid15668965 #}{\rtlch\fcs1 \af1 \ltrch\fcs0 \cs22\v\f1\fs20\cf15\insrsid1862664\charrsid15668965 MNU[OPTACTPARTYES][NOTAPP]@CHOICE@AMACTMNU}{\rtlch\fcs1 _x000d__x000a_\af0 \ltrch\fcs0 \insrsid1862664\charrsid15668965 #}{\rtlch\fcs1 \af0 \ltrch\fcs0 \cs17\v\fs20\cf9\lang1024\langfe1024\loch\af1\hich\af1\dbch\af31501\noproof\insrsid1862664\charrsid15668965 \hich\af1\dbch\af31501\loch\f1 &lt;/OptDel&gt;&lt;/Article2&gt;}{\rtlch\fcs1 _x000d__x000a_\af0 \ltrch\fcs0 \insrsid1862664\charrsid15668965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862664\charrsid15668965 \cell }\pard\plain \ltrpar\ql \li0\ri0\widctlpar\intbl\wrapdefault\aspalpha\aspnum\faauto\adjustright\rin0\lin0 \rtlch\fcs1 _x000d__x000a_\af0\afs20\alang1025 \ltrch\fcs0 \fs24\lang2057\langfe2057\cgrid\langnp2057\langfenp2057 {\rtlch\fcs1 \af0 \ltrch\fcs0 \insrsid1862664\charrsid15668965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862664\charrsid15668965 #}{\rtlch\fcs1 \af1 \ltrch\fcs0 \cs22\v\f1\fs20\cf15\insrsid1862664\charrsid15668965 MNU[OPTLEFTAMACT][LEFTPROP]@CHOICE@AMACTMNU}{\rtlch\fcs1 \af0 \ltrch\fcs0 \insrsid1862664\charrsid15668965 #\cell Amendment\cell _x000d__x000a_}\pard\plain \ltrpar\ql \li0\ri0\widctlpar\intbl\wrapdefault\aspalpha\aspnum\faauto\adjustright\rin0\lin0 \rtlch\fcs1 \af0\afs20\alang1025 \ltrch\fcs0 \fs24\lang2057\langfe2057\cgrid\langnp2057\langfenp2057 {\rtlch\fcs1 \af0 \ltrch\fcs0 _x000d__x000a_\insrsid1862664\charrsid15668965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862664\charrsid15668965 ##\cell ##}{\rtlch\fcs1 \af0\afs24 \ltrch\fcs0 \insrsid1862664\charrsid15668965 \cell }\pard\plain \ltrpar\ql \li0\ri0\widctlpar\intbl\wrapdefault\aspalpha\aspnum\faauto\adjustright\rin0\lin0 \rtlch\fcs1 _x000d__x000a_\af0\afs20\alang1025 \ltrch\fcs0 \fs24\lang2057\langfe2057\cgrid\langnp2057\langfenp2057 {\rtlch\fcs1 \af0 \ltrch\fcs0 \insrsid1862664\charrsid15668965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862664 \rtlch\fcs1 \af0\afs20\alang1025 \ltrch\fcs0 \fs24\lang2057\langfe2057\cgrid\langnp2057\langfenp2057 {\rtlch\fcs1 \af0 \ltrch\fcs0 _x000d__x000a_\insrsid1862664\charrsid15668965 Or. }{\rtlch\fcs1 \af0 \ltrch\fcs0 \cs17\v\fs20\cf9\lang1024\langfe1024\loch\af1\hich\af1\dbch\af31501\noproof\insrsid1862664\charrsid15668965 \hich\af1\dbch\af31501\loch\f1 &lt;Original&gt;}{\rtlch\fcs1 \af0 \ltrch\fcs0 _x000d__x000a_\insrsid1862664\charrsid15668965 #}{\rtlch\fcs1 \af1 \ltrch\fcs0 \cs22\v\f1\fs20\cf15\insrsid1862664\charrsid15668965 MNU[ORLANGONE][ORLANGMORE]@CHOICE@ORLANGMNU}{\rtlch\fcs1 \af0 \ltrch\fcs0 \insrsid1862664\charrsid15668965 #}{\rtlch\fcs1 \af0 _x000d__x000a_\ltrch\fcs0 \cs17\v\fs20\cf9\lang1024\langfe1024\loch\af1\hich\af1\dbch\af31501\noproof\insrsid1862664\charrsid15668965 \hich\af1\dbch\af31501\loch\f1 &lt;/Original&gt;}{\rtlch\fcs1 \af0 \ltrch\fcs0 \insrsid1862664\charrsid15668965 _x000d__x000a_\par }\pard\plain \ltrpar\s21\qc \li0\ri0\sb240\sa240\nowidctlpar\wrapdefault\aspalpha\aspnum\faauto\adjustright\rin0\lin0\itap0\pararsid1862664 \rtlch\fcs1 \af0\afs20\alang1025 \ltrch\fcs0 \i\fs24\lang2057\langfe2057\cgrid\langnp2057\langfenp2057 {_x000d__x000a_\rtlch\fcs1 \af0 \ltrch\fcs0 \cs17\i0\v\fs20\cf9\lang1024\langfe1024\loch\af1\hich\af1\dbch\af31501\noproof\insrsid1862664\charrsid15668965 \hich\af1\dbch\af31501\loch\f1 &lt;OptDel&gt;}{\rtlch\fcs1 \af0 \ltrch\fcs0 \insrsid1862664\charrsid15668965 #}{_x000d__x000a_\rtlch\fcs1 \af1 \ltrch\fcs0 \cs22\v\f1\fs20\cf15\insrsid1862664\charrsid15668965 MNU[CROSSREFNO][CROSSREFYES]@CHOICE@}{\rtlch\fcs1 \af0 \ltrch\fcs0 \insrsid1862664\charrsid15668965 #}{\rtlch\fcs1 \af0 \ltrch\fcs0 _x000d__x000a_\cs17\i0\v\fs20\cf9\lang1024\langfe1024\loch\af1\hich\af1\dbch\af31501\noproof\insrsid1862664\charrsid15668965 \hich\af1\dbch\af31501\loch\f1 &lt;/OptDel&gt;}{\rtlch\fcs1 \af0 \ltrch\fcs0 \insrsid1862664\charrsid15668965 _x000d__x000a_\par }\pard\plain \ltrpar\s23\qc \li0\ri0\sb240\sa240\keepn\nowidctlpar\wrapdefault\aspalpha\aspnum\faauto\adjustright\rin0\lin0\itap0\pararsid1862664 \rtlch\fcs1 \af0\afs20\alang1025 \ltrch\fcs0 \i\fs24\lang2057\langfe2057\cgrid\langnp2057\langfenp2057 {_x000d__x000a_\rtlch\fcs1 \af0 \ltrch\fcs0 \cs17\i0\v\fs20\cf9\lang1024\langfe1024\loch\af1\hich\af1\dbch\af31501\noproof\insrsid1862664\charrsid15668965 \hich\af1\dbch\af31501\loch\f1 &lt;TitreJust&gt;}{\rtlch\fcs1 \af0 \ltrch\fcs0 \insrsid1862664\charrsid15668965 Jus_x000d__x000a_tification}{\rtlch\fcs1 \af0 \ltrch\fcs0 \cs17\i0\v\fs20\cf9\lang1024\langfe1024\loch\af1\hich\af1\dbch\af31501\noproof\insrsid1862664\charrsid15668965 \hich\af1\dbch\af31501\loch\f1 &lt;/TitreJust&gt;}{\rtlch\fcs1 \af0 \ltrch\fcs0 _x000d__x000a_\insrsid1862664\charrsid15668965 _x000d__x000a_\par }\pard\plain \ltrpar\s20\ql \li0\ri0\sa240\nowidctlpar\wrapdefault\aspalpha\aspnum\faauto\adjustright\rin0\lin0\itap0\pararsid1862664 \rtlch\fcs1 \af0\afs20\alang1025 \ltrch\fcs0 \i\fs24\lang2057\langfe2057\cgrid\langnp2057\langfenp2057 {\rtlch\fcs1 \af0 _x000d__x000a_\ltrch\fcs0 \cs17\i0\v\fs20\cf9\lang1024\langfe1024\loch\af1\hich\af1\dbch\af31501\noproof\insrsid1862664\charrsid15668965 \hich\af1\dbch\af31501\loch\f1 &lt;OptDelPrev&gt;}{\rtlch\fcs1 \af0 \ltrch\fcs0 \insrsid1862664\charrsid15668965 #}{\rtlch\fcs1 \af1 _x000d__x000a_\ltrch\fcs0 \cs22\v\f1\fs20\cf15\insrsid1862664\charrsid15668965 MNU[TEXTJUSTYES][TEXTJUSTNO]@CHOICE@}{\rtlch\fcs1 \af0 \ltrch\fcs0 \insrsid1862664\charrsid15668965 #}{\rtlch\fcs1 \af0 \ltrch\fcs0 _x000d__x000a_\cs17\i0\v\fs20\cf9\lang1024\langfe1024\loch\af1\hich\af1\dbch\af31501\noproof\insrsid1862664\charrsid15668965 \hich\af1\dbch\af31501\loch\f1 &lt;/OptDelPrev&gt;}{\rtlch\fcs1 \af0 \ltrch\fcs0 \insrsid1862664\charrsid15668965 _x000d__x000a_\par }\pard\plain \ltrpar\ql \li0\ri0\widctlpar\wrapdefault\aspalpha\aspnum\faauto\adjustright\rin0\lin0\itap0\pararsid1862664 \rtlch\fcs1 \af0\afs20\alang1025 \ltrch\fcs0 \fs24\lang2057\langfe2057\cgrid\langnp2057\langfenp2057 {\rtlch\fcs1 \af0 \ltrch\fcs0 _x000d__x000a_\cs17\v\fs20\cf9\lang1024\langfe1024\loch\af1\hich\af1\dbch\af31501\noproof\insrsid1862664\charrsid1566896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a_x000d__x000a_9f597e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89348 HideTWBExt;}{_x000d__x000a_\s18\ql \li0\ri0\sa120\nowidctlpar\wrapdefault\aspalpha\aspnum\faauto\adjustright\rin0\lin0\itap0 \rtlch\fcs1 \af0\afs20\alang1025 \ltrch\fcs0 \fs24\lang2057\langfe2057\cgrid\langnp2057\langfenp2057 \sbasedon0 \snext18 \spriority0 \styrsid8989348 _x000d__x000a_Normal6a;}{\s19\ql \li0\ri0\nowidctlpar\wrapdefault\aspalpha\aspnum\faauto\adjustright\rin0\lin0\itap0 \rtlch\fcs1 \af0\afs20\alang1025 \ltrch\fcs0 \b\fs24\lang2057\langfe2057\cgrid\langnp2057\langfenp2057 \sbasedon0 \snext19 \spriority0 \styrsid8989348 _x000d__x000a_NormalBold;}{\s20\ql \li0\ri0\sa240\nowidctlpar\wrapdefault\aspalpha\aspnum\faauto\adjustright\rin0\lin0\itap0 \rtlch\fcs1 \af0\afs20\alang1025 \ltrch\fcs0 \i\fs24\lang2057\langfe2057\cgrid\langnp2057\langfenp2057 _x000d__x000a_\sbasedon0 \snext20 \spriority0 \styrsid8989348 AmJustText;}{\s21\qc \li0\ri0\sb240\sa240\nowidctlpar\wrapdefault\aspalpha\aspnum\faauto\adjustright\rin0\lin0\itap0 \rtlch\fcs1 \af0\afs20\alang1025 \ltrch\fcs0 _x000d__x000a_\i\fs24\lang2057\langfe2057\cgrid\langnp2057\langfenp2057 \sbasedon0 \snext21 \spriority0 \styrsid8989348 AmCrossRef;}{\*\cs22 \additive \v\f1\fs20\cf15 \spriority0 \styrsid8989348 HideTWBInt;}{_x000d__x000a_\s23\qc \li0\ri0\sb240\sa240\keepn\nowidctlpar\wrapdefault\aspalpha\aspnum\faauto\adjustright\rin0\lin0\itap0 \rtlch\fcs1 \af0\afs20\alang1025 \ltrch\fcs0 \i\fs24\lang2057\langfe2057\cgrid\langnp2057\langfenp2057 _x000d__x000a_\sbasedon0 \snext20 \spriority0 \styrsid8989348 AmJustTitle;}{\s24\qr \li0\ri0\sb240\sa240\nowidctlpar\wrapdefault\aspalpha\aspnum\faauto\adjustright\rin0\lin0\itap0 \rtlch\fcs1 \af0\afs20\alang1025 \ltrch\fcs0 _x000d__x000a_\fs24\lang2057\langfe2057\cgrid\langnp2057\langfenp2057 \sbasedon0 \snext24 \spriority0 \styrsid8989348 AmOrLang;}{\s25\qc \li0\ri0\sa240\nowidctlpar\wrapdefault\aspalpha\aspnum\faauto\adjustright\rin0\lin0\itap0 \rtlch\fcs1 \af0\afs20\alang1025 _x000d__x000a_\ltrch\fcs0 \i\fs24\lang2057\langfe2057\cgrid\langnp2057\langfenp2057 \sbasedon0 \snext25 \spriority0 \styrsid89893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989348 AmNumberTabs;}{\s27\ql \li0\ri0\sb240\nowidctlpar\wrapdefault\aspalpha\aspnum\faauto\adjustright\rin0\lin0\itap0 \rtlch\fcs1 _x000d__x000a_\af0\afs20\alang1025 \ltrch\fcs0 \b\fs24\lang2057\langfe2057\cgrid\langnp2057\langfenp2057 \sbasedon0 \snext27 \spriority0 \styrsid8989348 NormalBold12b;}}{\*\rsidtbl \rsid24658\rsid223860\rsid735077\rsid1718133\rsid2892074\rsid3565327\rsid4666813_x000d__x000a_\rsid6641733\rsid7823322\rsid8989348\rsid9636012\rsid10377208\rsid11215221\rsid11549030\rsid12154954\rsid14382809\rsid14424199\rsid15204470\rsid15285974\rsid15294265\rsid15950462\rsid16324206\rsid16662270}{\mmathPr\mmathFont34\mbrkBin0\mbrkBinSub0_x000d__x000a_\msmallFrac0\mdispDef1\mlMargin0\mrMargin0\mdefJc1\mwrapIndent1440\mintLim0\mnaryLim1}{\info{\author KRIEG Milena}{\operator KRIEG Milena}{\creatim\yr2023\mo3\dy4\hr10\min52}{\revtim\yr2023\mo3\dy4\hr10\min52}{\version1}{\edmins0}{\nofpages1}_x000d__x000a_{\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8934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294265 \chftnsep _x000d__x000a_\par }}{\*\ftnsepc \ltrpar \pard\plain \ltrpar\ql \li0\ri0\widctlpar\wrapdefault\aspalpha\aspnum\faauto\adjustright\rin0\lin0\itap0 \rtlch\fcs1 \af0\afs20\alang1025 \ltrch\fcs0 \fs24\lang2057\langfe2057\cgrid\langnp2057\langfenp2057 {\rtlch\fcs1 \af0 _x000d__x000a_\ltrch\fcs0 \insrsid15294265 \chftnsepc _x000d__x000a_\par }}{\*\aftnsep \ltrpar \pard\plain \ltrpar\ql \li0\ri0\widctlpar\wrapdefault\aspalpha\aspnum\faauto\adjustright\rin0\lin0\itap0 \rtlch\fcs1 \af0\afs20\alang1025 \ltrch\fcs0 \fs24\lang2057\langfe2057\cgrid\langnp2057\langfenp2057 {\rtlch\fcs1 \af0 _x000d__x000a_\ltrch\fcs0 \insrsid15294265 \chftnsep _x000d__x000a_\par }}{\*\aftnsepc \ltrpar \pard\plain \ltrpar\ql \li0\ri0\widctlpar\wrapdefault\aspalpha\aspnum\faauto\adjustright\rin0\lin0\itap0 \rtlch\fcs1 \af0\afs20\alang1025 \ltrch\fcs0 \fs24\lang2057\langfe2057\cgrid\langnp2057\langfenp2057 {\rtlch\fcs1 \af0 _x000d__x000a_\ltrch\fcs0 \insrsid152942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989348 \rtlch\fcs1 _x000d__x000a_\af0\afs20\alang1025 \ltrch\fcs0 \b\fs24\lang2057\langfe2057\cgrid\langnp2057\langfenp2057 {\rtlch\fcs1 \af0 \ltrch\fcs0 \cs17\b0\v\fs20\cf9\lang1024\langfe1024\loch\af1\hich\af1\dbch\af31501\noproof\insrsid8989348\charrsid15668965 {\*\bkmkstart restart}_x000d__x000a_\hich\af1\dbch\af31501\loch\f1 &lt;}{\rtlch\fcs1 \af0 \ltrch\fcs0 \cs17\b0\v\fs20\cf9\lang1024\langfe1024\loch\af1\hich\af1\dbch\af31501\noproof\insrsid8989348 \hich\af1\dbch\af31501\loch\f1 Amend}{\rtlch\fcs1 \af0 \ltrch\fcs0 _x000d__x000a_\cs17\b0\v\fs20\cf9\lang1024\langfe1024\loch\af1\hich\af1\dbch\af31501\noproof\insrsid8989348\charrsid15668965 \hich\af1\dbch\af31501\loch\f1 &gt;}{\rtlch\fcs1 \af0 \ltrch\fcs0 \insrsid8989348\charrsid15668965 Amendment\tab \tab }{\rtlch\fcs1 \af0 _x000d__x000a_\ltrch\fcs0 \cs17\b0\v\fs20\cf9\lang1024\langfe1024\loch\af1\hich\af1\dbch\af31501\noproof\insrsid8989348\charrsid15668965 \hich\af1\dbch\af31501\loch\f1 &lt;}{\rtlch\fcs1 \af0 \ltrch\fcs0 _x000d__x000a_\cs17\b0\v\fs20\cf9\lang1024\langfe1024\loch\af1\hich\af1\dbch\af31501\noproof\insrsid8989348 \hich\af1\dbch\af31501\loch\f1 NumAm&gt;}{\rtlch\fcs1 \af0 \ltrch\fcs0 \insrsid8989348\charrsid15668965 #}{\rtlch\fcs1 \af1 \ltrch\fcs0 _x000d__x000a_\cs22\v\f1\fs20\cf15\insrsid8989348\charrsid15668965 ENMIENDA@NRAM@}{\rtlch\fcs1 \af0 \ltrch\fcs0 \insrsid8989348\charrsid15668965 #}{\rtlch\fcs1 \af0 \ltrch\fcs0 _x000d__x000a_\cs17\b0\v\fs20\cf9\lang1024\langfe1024\loch\af1\hich\af1\dbch\af31501\noproof\insrsid8989348\charrsid15668965 \hich\af1\dbch\af31501\loch\f1 &lt;/}{\rtlch\fcs1 \af0 \ltrch\fcs0 _x000d__x000a_\cs17\b0\v\fs20\cf9\lang1024\langfe1024\loch\af1\hich\af1\dbch\af31501\noproof\insrsid8989348 \hich\af1\dbch\af31501\loch\f1 NumAm&gt;}{\rtlch\fcs1 \af0 \ltrch\fcs0 \insrsid8989348\charrsid15668965 _x000d__x000a_\par }\pard\plain \ltrpar\s27\ql \li0\ri0\sb240\keepn\nowidctlpar\wrapdefault\aspalpha\aspnum\faauto\adjustright\rin0\lin0\itap0\pararsid8989348 \rtlch\fcs1 \af0\afs20\alang1025 \ltrch\fcs0 \b\fs24\lang2057\langfe2057\cgrid\langnp2057\langfenp2057 {_x000d__x000a_\rtlch\fcs1 \af0 \ltrch\fcs0 \cs17\b0\v\fs20\cf9\lang1024\langfe1024\loch\af1\hich\af1\dbch\af31501\noproof\insrsid8989348\charrsid15668965 \hich\af1\dbch\af31501\loch\f1 &lt;DocAmend&gt;}{\rtlch\fcs1 \af0 \ltrch\fcs0 \insrsid8989348\charrsid15668965 #}{_x000d__x000a_\rtlch\fcs1 \af1 \ltrch\fcs0 \cs22\v\f1\fs20\cf15\insrsid8989348\charrsid15668965 MNU[OPTPROPOSALCOD][OPTPROPOSALCNS][OPTPROPOSALNLE][OPTPROPOSALINL]@CHOICE@CODEMNU}{\rtlch\fcs1 \af0 \ltrch\fcs0 \insrsid8989348\charrsid15668965 ##}{\rtlch\fcs1 \af1 _x000d__x000a_\ltrch\fcs0 \cs22\v\f1\fs20\cf15\insrsid8989348\charrsid15668965 MNU[AMACTYES][NOTAPP]@CHOICE@AMACTMNU}{\rtlch\fcs1 \af0 \ltrch\fcs0 \insrsid8989348\charrsid15668965 #}{\rtlch\fcs1 \af0 \ltrch\fcs0 _x000d__x000a_\cs17\b0\v\fs20\cf9\lang1024\langfe1024\loch\af1\hich\af1\dbch\af31501\noproof\insrsid8989348\charrsid15668965 \hich\af1\dbch\af31501\loch\f1 &lt;/DocAmend&gt;}{\rtlch\fcs1 \af0 \ltrch\fcs0 \insrsid8989348\charrsid15668965 _x000d__x000a_\par }\pard\plain \ltrpar\s19\ql \li0\ri0\keepn\nowidctlpar\wrapdefault\aspalpha\aspnum\faauto\adjustright\rin0\lin0\itap0\pararsid8989348 \rtlch\fcs1 \af0\afs20\alang1025 \ltrch\fcs0 \b\fs24\lang2057\langfe2057\cgrid\langnp2057\langfenp2057 {\rtlch\fcs1 \af0 _x000d__x000a_\ltrch\fcs0 \cs17\b0\v\fs20\cf9\lang1024\langfe1024\loch\af1\hich\af1\dbch\af31501\noproof\insrsid8989348\charrsid15668965 \hich\af1\dbch\af31501\loch\f1 &lt;Article&gt;}{\rtlch\fcs1 \af0 \ltrch\fcs0 \insrsid8989348\charrsid15668965 #}{\rtlch\fcs1 \af1 _x000d__x000a_\ltrch\fcs0 \cs22\v\f1\fs20\cf15\insrsid8989348\charrsid15668965 MNU[AMACTPARTYES][AMACTPARTNO]@CHOICE@AMACTMNU}{\rtlch\fcs1 \af0 \ltrch\fcs0 \insrsid8989348\charrsid15668965 #}{\rtlch\fcs1 \af0 \ltrch\fcs0 _x000d__x000a_\cs17\b0\v\fs20\cf9\lang1024\langfe1024\loch\af1\hich\af1\dbch\af31501\noproof\insrsid8989348\charrsid15668965 \hich\af1\dbch\af31501\loch\f1 &lt;/Article&gt;}{\rtlch\fcs1 \af0 \ltrch\fcs0 \insrsid8989348\charrsid15668965 _x000d__x000a_\par }\pard\plain \ltrpar\ql \li0\ri0\keepn\widctlpar\wrapdefault\aspalpha\aspnum\faauto\adjustright\rin0\lin0\itap0\pararsid8989348 \rtlch\fcs1 \af0\afs20\alang1025 \ltrch\fcs0 \fs24\lang2057\langfe2057\cgrid\langnp2057\langfenp2057 {\rtlch\fcs1 \af0 _x000d__x000a_\ltrch\fcs0 \cs17\v\fs20\cf9\lang1024\langfe1024\loch\af1\hich\af1\dbch\af31501\noproof\insrsid8989348\charrsid15668965 \hich\af1\dbch\af31501\loch\f1 &lt;DocAmend2&gt;&lt;OptDel&gt;}{\rtlch\fcs1 \af0 \ltrch\fcs0 \insrsid8989348\charrsid15668965 #}{\rtlch\fcs1 \af1 _x000d__x000a_\ltrch\fcs0 \cs22\v\f1\fs20\cf15\insrsid8989348\charrsid15668965 MNU[OPTNRACTYES][NOTAPP]@CHOICE@AMACTMNU}{\rtlch\fcs1 \af0 \ltrch\fcs0 \insrsid8989348\charrsid15668965 #}{\rtlch\fcs1 \af0 \ltrch\fcs0 _x000d__x000a_\cs17\v\fs20\cf9\lang1024\langfe1024\loch\af1\hich\af1\dbch\af31501\noproof\insrsid8989348\charrsid15668965 \hich\af1\dbch\af31501\loch\f1 &lt;/OptDel&gt;&lt;/DocAmend2&gt;}{\rtlch\fcs1 \af0 \ltrch\fcs0 \insrsid8989348\charrsid15668965 _x000d__x000a_\par }\pard \ltrpar\ql \li0\ri0\widctlpar\wrapdefault\aspalpha\aspnum\faauto\adjustright\rin0\lin0\itap0\pararsid8989348 {\rtlch\fcs1 \af0 \ltrch\fcs0 \cs17\v\fs20\cf9\lang1024\langfe1024\loch\af1\hich\af1\dbch\af31501\noproof\insrsid8989348\charrsid15668965 _x000d__x000a_\hich\af1\dbch\af31501\loch\f1 &lt;Article2&gt;&lt;OptDel&gt;}{\rtlch\fcs1 \af0 \ltrch\fcs0 \insrsid8989348\charrsid15668965 #}{\rtlch\fcs1 \af1 \ltrch\fcs0 \cs22\v\f1\fs20\cf15\insrsid8989348\charrsid15668965 MNU[OPTACTPARTYES][NOTAPP]@CHOICE@AMACTMNU}{\rtlch\fcs1 _x000d__x000a_\af0 \ltrch\fcs0 \insrsid8989348\charrsid15668965 #}{\rtlch\fcs1 \af0 \ltrch\fcs0 \cs17\v\fs20\cf9\lang1024\langfe1024\loch\af1\hich\af1\dbch\af31501\noproof\insrsid8989348\charrsid15668965 \hich\af1\dbch\af31501\loch\f1 &lt;/OptDel&gt;&lt;/Article2&gt;}{\rtlch\fcs1 _x000d__x000a_\af0 \ltrch\fcs0 \insrsid8989348\charrsid15668965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989348\charrsid15668965 \cell }\pard\plain \ltrpar\ql \li0\ri0\widctlpar\intbl\wrapdefault\aspalpha\aspnum\faauto\adjustright\rin0\lin0 \rtlch\fcs1 _x000d__x000a_\af0\afs20\alang1025 \ltrch\fcs0 \fs24\lang2057\langfe2057\cgrid\langnp2057\langfenp2057 {\rtlch\fcs1 \af0 \ltrch\fcs0 \insrsid8989348\charrsid15668965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989348\charrsid15668965 #}{\rtlch\fcs1 \af1 \ltrch\fcs0 \cs22\v\f1\fs20\cf15\insrsid8989348\charrsid15668965 MNU[OPTLEFTAMACT][LEFTPROP]@CHOICE@AMACTMNU}{\rtlch\fcs1 \af0 \ltrch\fcs0 \insrsid8989348\charrsid15668965 #\cell Amendment\cell _x000d__x000a_}\pard\plain \ltrpar\ql \li0\ri0\widctlpar\intbl\wrapdefault\aspalpha\aspnum\faauto\adjustright\rin0\lin0 \rtlch\fcs1 \af0\afs20\alang1025 \ltrch\fcs0 \fs24\lang2057\langfe2057\cgrid\langnp2057\langfenp2057 {\rtlch\fcs1 \af0 \ltrch\fcs0 _x000d__x000a_\insrsid8989348\charrsid15668965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989348\charrsid15668965 ##\cell ##}{\rtlch\fcs1 \af0\afs24 \ltrch\fcs0 \insrsid8989348\charrsid15668965 \cell }\pard\plain \ltrpar\ql \li0\ri0\widctlpar\intbl\wrapdefault\aspalpha\aspnum\faauto\adjustright\rin0\lin0 \rtlch\fcs1 _x000d__x000a_\af0\afs20\alang1025 \ltrch\fcs0 \fs24\lang2057\langfe2057\cgrid\langnp2057\langfenp2057 {\rtlch\fcs1 \af0 \ltrch\fcs0 \insrsid8989348\charrsid15668965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989348 \rtlch\fcs1 \af0\afs20\alang1025 \ltrch\fcs0 \fs24\lang2057\langfe2057\cgrid\langnp2057\langfenp2057 {\rtlch\fcs1 \af0 \ltrch\fcs0 _x000d__x000a_\insrsid8989348\charrsid15668965 Or. }{\rtlch\fcs1 \af0 \ltrch\fcs0 \cs17\v\fs20\cf9\lang1024\langfe1024\loch\af1\hich\af1\dbch\af31501\noproof\insrsid8989348\charrsid15668965 \hich\af1\dbch\af31501\loch\f1 &lt;Original&gt;}{\rtlch\fcs1 \af0 \ltrch\fcs0 _x000d__x000a_\insrsid8989348\charrsid15668965 #}{\rtlch\fcs1 \af1 \ltrch\fcs0 \cs22\v\f1\fs20\cf15\insrsid8989348\charrsid15668965 MNU[ORLANGONE][ORLANGMORE]@CHOICE@ORLANGMNU}{\rtlch\fcs1 \af0 \ltrch\fcs0 \insrsid8989348\charrsid15668965 #}{\rtlch\fcs1 \af0 _x000d__x000a_\ltrch\fcs0 \cs17\v\fs20\cf9\lang1024\langfe1024\loch\af1\hich\af1\dbch\af31501\noproof\insrsid8989348\charrsid15668965 \hich\af1\dbch\af31501\loch\f1 &lt;/Original&gt;}{\rtlch\fcs1 \af0 \ltrch\fcs0 \insrsid8989348\charrsid15668965 _x000d__x000a_\par }\pard\plain \ltrpar\s21\qc \li0\ri0\sb240\sa240\nowidctlpar\wrapdefault\aspalpha\aspnum\faauto\adjustright\rin0\lin0\itap0\pararsid8989348 \rtlch\fcs1 \af0\afs20\alang1025 \ltrch\fcs0 \i\fs24\lang2057\langfe2057\cgrid\langnp2057\langfenp2057 {_x000d__x000a_\rtlch\fcs1 \af0 \ltrch\fcs0 \cs17\i0\v\fs20\cf9\lang1024\langfe1024\loch\af1\hich\af1\dbch\af31501\noproof\insrsid8989348\charrsid15668965 \hich\af1\dbch\af31501\loch\f1 &lt;OptDel&gt;}{\rtlch\fcs1 \af0 \ltrch\fcs0 \insrsid8989348\charrsid15668965 #}{_x000d__x000a_\rtlch\fcs1 \af1 \ltrch\fcs0 \cs22\v\f1\fs20\cf15\insrsid8989348\charrsid15668965 MNU[CROSSREFNO][CROSSREFYES]@CHOICE@}{\rtlch\fcs1 \af0 \ltrch\fcs0 \insrsid8989348\charrsid15668965 #}{\rtlch\fcs1 \af0 \ltrch\fcs0 _x000d__x000a_\cs17\i0\v\fs20\cf9\lang1024\langfe1024\loch\af1\hich\af1\dbch\af31501\noproof\insrsid8989348\charrsid15668965 \hich\af1\dbch\af31501\loch\f1 &lt;/OptDel&gt;}{\rtlch\fcs1 \af0 \ltrch\fcs0 \insrsid8989348\charrsid15668965 _x000d__x000a_\par }\pard\plain \ltrpar\s23\qc \li0\ri0\sb240\sa240\keepn\nowidctlpar\wrapdefault\aspalpha\aspnum\faauto\adjustright\rin0\lin0\itap0\pararsid8989348 \rtlch\fcs1 \af0\afs20\alang1025 \ltrch\fcs0 \i\fs24\lang2057\langfe2057\cgrid\langnp2057\langfenp2057 {_x000d__x000a_\rtlch\fcs1 \af0 \ltrch\fcs0 \cs17\i0\v\fs20\cf9\lang1024\langfe1024\loch\af1\hich\af1\dbch\af31501\noproof\insrsid8989348\charrsid15668965 \hich\af1\dbch\af31501\loch\f1 &lt;TitreJust&gt;}{\rtlch\fcs1 \af0 \ltrch\fcs0 \insrsid8989348\charrsid15668965 Jus_x000d__x000a_tification}{\rtlch\fcs1 \af0 \ltrch\fcs0 \cs17\i0\v\fs20\cf9\lang1024\langfe1024\loch\af1\hich\af1\dbch\af31501\noproof\insrsid8989348\charrsid15668965 \hich\af1\dbch\af31501\loch\f1 &lt;/TitreJust&gt;}{\rtlch\fcs1 \af0 \ltrch\fcs0 _x000d__x000a_\insrsid8989348\charrsid15668965 _x000d__x000a_\par }\pard\plain \ltrpar\s20\ql \li0\ri0\sa240\nowidctlpar\wrapdefault\aspalpha\aspnum\faauto\adjustright\rin0\lin0\itap0\pararsid8989348 \rtlch\fcs1 \af0\afs20\alang1025 \ltrch\fcs0 \i\fs24\lang2057\langfe2057\cgrid\langnp2057\langfenp2057 {\rtlch\fcs1 \af0 _x000d__x000a_\ltrch\fcs0 \cs17\i0\v\fs20\cf9\lang1024\langfe1024\loch\af1\hich\af1\dbch\af31501\noproof\insrsid8989348\charrsid15668965 \hich\af1\dbch\af31501\loch\f1 &lt;OptDelPrev&gt;}{\rtlch\fcs1 \af0 \ltrch\fcs0 \insrsid8989348\charrsid15668965 #}{\rtlch\fcs1 \af1 _x000d__x000a_\ltrch\fcs0 \cs22\v\f1\fs20\cf15\insrsid8989348\charrsid15668965 MNU[TEXTJUSTYES][TEXTJUSTNO]@CHOICE@}{\rtlch\fcs1 \af0 \ltrch\fcs0 \insrsid8989348\charrsid15668965 #}{\rtlch\fcs1 \af0 \ltrch\fcs0 _x000d__x000a_\cs17\i0\v\fs20\cf9\lang1024\langfe1024\loch\af1\hich\af1\dbch\af31501\noproof\insrsid8989348\charrsid15668965 \hich\af1\dbch\af31501\loch\f1 &lt;/OptDelPrev&gt;}{\rtlch\fcs1 \af0 \ltrch\fcs0 \insrsid8989348\charrsid15668965 _x000d__x000a_\par }\pard\plain \ltrpar\ql \li0\ri0\widctlpar\wrapdefault\aspalpha\aspnum\faauto\adjustright\rin0\lin0\itap0\pararsid8989348 \rtlch\fcs1 \af0\afs20\alang1025 \ltrch\fcs0 \fs24\lang2057\langfe2057\cgrid\langnp2057\langfenp2057 {\rtlch\fcs1 \af0 \ltrch\fcs0 _x000d__x000a_\cs17\v\fs20\cf9\lang1024\langfe1024\loch\af1\hich\af1\dbch\af31501\noproof\insrsid8989348\charrsid15668965 \hich\af1\dbch\af31501\loch\f1 &lt;/}{\rtlch\fcs1 \af0 \ltrch\fcs0 _x000d__x000a_\cs17\v\fs20\cf9\lang1024\langfe1024\loch\af1\hich\af1\dbch\af31501\noproof\insrsid8989348 \hich\af1\dbch\af31501\loch\f1 Amend}{\rtlch\fcs1 \af0 \ltrch\fcs0 _x000d__x000a_\cs17\v\fs20\cf9\lang1024\langfe1024\loch\af1\hich\af1\dbch\af31501\noproof\insrsid8989348\charrsid1566896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10_x000d__x000a_810f7f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1317 HideTWBExt;}{_x000d__x000a_\s18\ql \li0\ri0\sa120\nowidctlpar\wrapdefault\aspalpha\aspnum\faauto\adjustright\rin0\lin0\itap0 \rtlch\fcs1 \af0\afs20\alang1025 \ltrch\fcs0 \fs24\lang2057\langfe2057\cgrid\langnp2057\langfenp2057 \sbasedon0 \snext18 \spriority0 \styrsid1731317 _x000d__x000a_Normal6a;}{\s19\ql \li0\ri0\nowidctlpar\wrapdefault\aspalpha\aspnum\faauto\adjustright\rin0\lin0\itap0 \rtlch\fcs1 \af0\afs20\alang1025 \ltrch\fcs0 \b\fs24\lang2057\langfe2057\cgrid\langnp2057\langfenp2057 \sbasedon0 \snext19 \spriority0 \styrsid1731317 _x000d__x000a_NormalBold;}{\s20\qc \li0\ri0\sa240\nowidctlpar\wrapdefault\aspalpha\aspnum\faauto\adjustright\rin0\lin0\itap0 \rtlch\fcs1 \af0\afs20\alang1025 \ltrch\fcs0 \i\fs24\lang2057\langfe2057\cgrid\langnp2057\langfenp2057 _x000d__x000a_\sbasedon0 \snext20 \spriority0 \styrsid173131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731317 AmNumberTabs;}{\s22\ql \li0\ri0\sb240\nowidctlpar\wrapdefault\aspalpha\aspnum\faauto\adjustright\rin0\lin0\itap0 \rtlch\fcs1 _x000d__x000a_\af0\afs20\alang1025 \ltrch\fcs0 \b\fs24\lang2057\langfe2057\cgrid\langnp2057\langfenp2057 \sbasedon0 \snext22 \spriority0 \styrsid1731317 NormalBold12b;}}{\*\rsidtbl \rsid24658\rsid223860\rsid735077\rsid1718133\rsid1731317\rsid2892074\rsid3565327_x000d__x000a_\rsid4666813\rsid6641733\rsid7823322\rsid9636012\rsid10377208\rsid11215221\rsid11549030\rsid11603002\rsid12154954\rsid14382809\rsid14424199\rsid15204470\rsid15285974\rsid15950462\rsid16324206\rsid16662270}{\mmathPr\mmathFont34\mbrkBin0\mbrkBinSub0_x000d__x000a_\msmallFrac0\mdispDef1\mlMargin0\mrMargin0\mdefJc1\mwrapIndent1440\mintLim0\mnaryLim1}{\info{\author RUDOLPH Lene}{\operator RUDOLPH Lene}{\creatim\yr2023\mo7\dy7\hr14\min37}{\revtim\yr2023\mo7\dy7\hr14\min37}{\version1}{\edmins0}{\nofpages1}{\nofwords24}_x000d__x000a_{\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1317\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11603002 \chftnsep _x000d__x000a_\par }}{\*\ftnsepc \ltrpar \pard\plain \ltrpar\ql \li0\ri0\widctlpar\wrapdefault\aspalpha\aspnum\faauto\adjustright\rin0\lin0\itap0 \rtlch\fcs1 \af0\afs20\alang1025 \ltrch\fcs0 \fs24\lang2057\langfe2057\cgrid\langnp2057\langfenp2057 {\rtlch\fcs1 \af0 _x000d__x000a_\ltrch\fcs0 \insrsid11603002 \chftnsepc _x000d__x000a_\par }}{\*\aftnsep \ltrpar \pard\plain \ltrpar\ql \li0\ri0\widctlpar\wrapdefault\aspalpha\aspnum\faauto\adjustright\rin0\lin0\itap0 \rtlch\fcs1 \af0\afs20\alang1025 \ltrch\fcs0 \fs24\lang2057\langfe2057\cgrid\langnp2057\langfenp2057 {\rtlch\fcs1 \af0 _x000d__x000a_\ltrch\fcs0 \insrsid11603002 \chftnsep _x000d__x000a_\par }}{\*\aftnsepc \ltrpar \pard\plain \ltrpar\ql \li0\ri0\widctlpar\wrapdefault\aspalpha\aspnum\faauto\adjustright\rin0\lin0\itap0 \rtlch\fcs1 \af0\afs20\alang1025 \ltrch\fcs0 \fs24\lang2057\langfe2057\cgrid\langnp2057\langfenp2057 {\rtlch\fcs1 \af0 _x000d__x000a_\ltrch\fcs0 \insrsid116030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731317 \rtlch\fcs1 _x000d__x000a_\af0\afs20\alang1025 \ltrch\fcs0 \b\fs24\lang2057\langfe2057\cgrid\langnp2057\langfenp2057 {\rtlch\fcs1 \af0 \ltrch\fcs0 \cs17\b0\v\fs20\cf9\lang1024\langfe1024\loch\af1\hich\af1\dbch\af31501\noproof\insrsid1731317\charrsid15879488 {\*\bkmkstart restartA}_x000d__x000a_\hich\af1\dbch\af31501\loch\f1 &lt;AmendA&gt;}{\rtlch\fcs1 \af0 \ltrch\fcs0 \insrsid1731317\charrsid15879488 [ZAMENDMENT]\tab \tab }{\rtlch\fcs1 \af0 \ltrch\fcs0 _x000d__x000a_\cs17\b0\v\fs20\cf9\lang1024\langfe1024\loch\af1\hich\af1\dbch\af31501\noproof\insrsid1731317\charrsid15879488 \hich\af1\dbch\af31501\loch\f1 &lt;NumAmA&gt;}{\rtlch\fcs1 \af0 \ltrch\fcs0 \insrsid1731317\charrsid15879488 [ZNRAM]}{\rtlch\fcs1 \af0 \ltrch\fcs0 _x000d__x000a_\cs17\b0\v\fs20\cf9\lang1024\langfe1024\loch\af1\hich\af1\dbch\af31501\noproof\insrsid1731317\charrsid15879488 \hich\af1\dbch\af31501\loch\f1 &lt;/NumAmA&gt;}{\rtlch\fcs1 \af0 \ltrch\fcs0 \insrsid1731317\charrsid15879488 _x000d__x000a_\par }\pard\plain \ltrpar\s22\ql \li0\ri0\sb240\keepn\nowidctlpar\wrapdefault\aspalpha\aspnum\faauto\adjustright\rin0\lin0\itap0\pararsid1731317 \rtlch\fcs1 \af0\afs20\alang1025 \ltrch\fcs0 \b\fs24\lang2057\langfe2057\cgrid\langnp2057\langfenp2057 {_x000d__x000a_\rtlch\fcs1 \af0 \ltrch\fcs0 \cs17\b0\v\fs20\cf9\lang1024\langfe1024\loch\af1\hich\af1\dbch\af31501\noproof\langnp1036\insrsid1731317\charrsid11356624 \hich\af1\dbch\af31501\loch\f1 &lt;DocAmend&gt;}{\rtlch\fcs1 \af0 \ltrch\fcs0 _x000d__x000a_\lang1036\langfe2057\langnp1036\insrsid1731317\charrsid11356624 [ZRESOLUTION]}{\rtlch\fcs1 \af0 \ltrch\fcs0 \cs17\b0\v\fs20\cf9\lang1024\langfe1024\loch\af1\hich\af1\dbch\af31501\noproof\langnp1036\insrsid1731317\charrsid11356624 _x000d__x000a_\hich\af1\dbch\af31501\loch\f1 &lt;/DocAmend&gt;}{\rtlch\fcs1 \af0 \ltrch\fcs0 \lang1036\langfe2057\langnp1036\insrsid1731317\charrsid11356624 _x000d__x000a_\par }\pard\plain \ltrpar\s19\ql \li0\ri0\nowidctlpar\wrapdefault\aspalpha\aspnum\faauto\adjustright\rin0\lin0\itap0\pararsid1731317 \rtlch\fcs1 \af0\afs20\alang1025 \ltrch\fcs0 \b\fs24\lang2057\langfe2057\cgrid\langnp2057\langfenp2057 {\rtlch\fcs1 \af0 _x000d__x000a_\ltrch\fcs0 \cs17\b0\v\fs20\cf9\lang1024\langfe1024\loch\af1\hich\af1\dbch\af31501\noproof\langnp1036\insrsid1731317\charrsid11356624 \hich\af1\dbch\af31501\loch\f1 &lt;Article&gt;}{\rtlch\fcs1 \af0 \ltrch\fcs0 _x000d__x000a_\lang1036\langfe2057\langnp1036\insrsid1731317\charrsid11356624 [ZRESPART]}{\rtlch\fcs1 \af0 \ltrch\fcs0 \cs17\b0\v\fs20\cf9\lang1024\langfe1024\loch\af1\hich\af1\dbch\af31501\noproof\langnp1036\insrsid1731317\charrsid11356624 _x000d__x000a_\hich\af1\dbch\af31501\loch\f1 &lt;/Article&gt;}{\rtlch\fcs1 \af0 \ltrch\fcs0 \lang1036\langfe2057\langnp1036\insrsid173131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731317\charrsid11356624 \cell }\pard \ltrpar_x000d__x000a_\ql \li0\ri0\widctlpar\intbl\wrapdefault\aspalpha\aspnum\faauto\adjustright\rin0\lin0 {\rtlch\fcs1 \af0 \ltrch\fcs0 \insrsid173131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731317\charrsid15879488 [ZLEFTA]\cell [ZRIGHT]\cell }\pard\plain \ltrpar\ql \li0\ri0\widctlpar\intbl\wrapdefault\aspalpha\aspnum\faauto\adjustright\rin0\lin0 _x000d__x000a_\rtlch\fcs1 \af0\afs20\alang1025 \ltrch\fcs0 \fs24\lang2057\langfe2057\cgrid\langnp2057\langfenp2057 {\rtlch\fcs1 \af0 \ltrch\fcs0 \insrsid1731317\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731317\charrsid15879488 [ZTEXTL]\cell [ZTEXTR]}{\rtlch\fcs1 \af0\afs24 \ltrch\fcs0 \insrsid1731317\charrsid15879488 \cell }\pard\plain \ltrpar\ql \li0\ri0\widctlpar\intbl\wrapdefault\aspalpha\aspnum\faauto\adjustright\rin0\lin0 \rtlch\fcs1 _x000d__x000a_\af0\afs20\alang1025 \ltrch\fcs0 \fs24\lang2057\langfe2057\cgrid\langnp2057\langfenp2057 {\rtlch\fcs1 \af0 \ltrch\fcs0 \insrsid173131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731317 {\rtlch\fcs1 \af0 \ltrch\fcs0 \cs17\v\fs20\cf9\lang1024\langfe1024\loch\af1\hich\af1\dbch\af31501\noproof\insrsid1731317\charrsid15879488 _x000d__x000a_\hich\af1\dbch\af31501\loch\f1 &lt;/AmendA&gt;}{\rtlch\fcs1 \af0 \ltrch\fcs0 \insrsid173131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5_x000d__x000a_44c4cfb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764191 HideTWBExt;}{_x000d__x000a_\s18\ql \li0\ri0\sa120\nowidctlpar\wrapdefault\aspalpha\aspnum\faauto\adjustright\rin0\lin0\itap0 \rtlch\fcs1 \af0\afs20\alang1025 \ltrch\fcs0 \fs24\lang2057\langfe2057\cgrid\langnp2057\langfenp2057 \sbasedon0 \snext18 \spriority0 \styrsid2764191 _x000d__x000a_Normal6a;}{\s19\ql \li0\ri0\nowidctlpar\wrapdefault\aspalpha\aspnum\faauto\adjustright\rin0\lin0\itap0 \rtlch\fcs1 \af0\afs20\alang1025 \ltrch\fcs0 \b\fs24\lang2057\langfe2057\cgrid\langnp2057\langfenp2057 \sbasedon0 \snext19 \spriority0 \styrsid2764191 _x000d__x000a_NormalBold;}{\s20\ql \li0\ri0\sa240\nowidctlpar\wrapdefault\aspalpha\aspnum\faauto\adjustright\rin0\lin0\itap0 \rtlch\fcs1 \af0\afs20\alang1025 \ltrch\fcs0 \i\fs24\lang2057\langfe2057\cgrid\langnp2057\langfenp2057 _x000d__x000a_\sbasedon0 \snext20 \spriority0 \styrsid2764191 AmJustText;}{\s21\qc \li0\ri0\sb240\sa240\nowidctlpar\wrapdefault\aspalpha\aspnum\faauto\adjustright\rin0\lin0\itap0 \rtlch\fcs1 \af0\afs20\alang1025 \ltrch\fcs0 _x000d__x000a_\i\fs24\lang2057\langfe2057\cgrid\langnp2057\langfenp2057 \sbasedon0 \snext21 \spriority0 \styrsid2764191 AmCrossRef;}{\s22\qc \li0\ri0\sb240\sa240\keepn\nowidctlpar\wrapdefault\aspalpha\aspnum\faauto\adjustright\rin0\lin0\itap0 \rtlch\fcs1 _x000d__x000a_\af0\afs20\alang1025 \ltrch\fcs0 \i\fs24\lang2057\langfe2057\cgrid\langnp2057\langfenp2057 \sbasedon0 \snext20 \spriority0 \styrsid2764191 AmJustTitle;}{\s23\qc \li0\ri0\sa240\nowidctlpar\wrapdefault\aspalpha\aspnum\faauto\adjustright\rin0\lin0\itap0 _x000d__x000a_\rtlch\fcs1 \af0\afs20\alang1025 \ltrch\fcs0 \i\fs24\lang2057\langfe2057\cgrid\langnp2057\langfenp2057 \sbasedon0 \snext23 \spriority0 \styrsid276419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764191 AmNumberTabs;}{\s25\ql \li0\ri0\sb240\nowidctlpar\wrapdefault\aspalpha\aspnum\faauto\adjustright\rin0\lin0\itap0 \rtlch\fcs1 _x000d__x000a_\af0\afs20\alang1025 \ltrch\fcs0 \b\fs24\lang2057\langfe2057\cgrid\langnp2057\langfenp2057 \sbasedon0 \snext25 \spriority0 \styrsid2764191 NormalBold12b;}}{\*\rsidtbl \rsid24658\rsid223860\rsid735077\rsid1718133\rsid2764191\rsid2892074\rsid3565327_x000d__x000a_\rsid4666813\rsid6641733\rsid7823322\rsid9636012\rsid10377208\rsid11215221\rsid11549030\rsid12154954\rsid12615471\rsid14382809\rsid14424199\rsid15204470\rsid15285974\rsid15950462\rsid16324206\rsid16662270}{\mmathPr\mmathFont34\mbrkBin0\mbrkBinSub0_x000d__x000a_\msmallFrac0\mdispDef1\mlMargin0\mrMargin0\mdefJc1\mwrapIndent1440\mintLim0\mnaryLim1}{\info{\author RUDOLPH Lene}{\operator RUDOLPH Lene}{\creatim\yr2023\mo7\dy7\hr14\min37}{\revtim\yr2023\mo7\dy7\hr14\min37}{\version1}{\edmins0}{\nofpages1}{\nofwords55}_x000d__x000a_{\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764191\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12615471 \chftnsep _x000d__x000a_\par }}{\*\ftnsepc \ltrpar \pard\plain \ltrpar\ql \li0\ri0\widctlpar\wrapdefault\aspalpha\aspnum\faauto\adjustright\rin0\lin0\itap0 \rtlch\fcs1 \af0\afs20\alang1025 \ltrch\fcs0 \fs24\lang2057\langfe2057\cgrid\langnp2057\langfenp2057 {\rtlch\fcs1 \af0 _x000d__x000a_\ltrch\fcs0 \insrsid12615471 \chftnsepc _x000d__x000a_\par }}{\*\aftnsep \ltrpar \pard\plain \ltrpar\ql \li0\ri0\widctlpar\wrapdefault\aspalpha\aspnum\faauto\adjustright\rin0\lin0\itap0 \rtlch\fcs1 \af0\afs20\alang1025 \ltrch\fcs0 \fs24\lang2057\langfe2057\cgrid\langnp2057\langfenp2057 {\rtlch\fcs1 \af0 _x000d__x000a_\ltrch\fcs0 \insrsid12615471 \chftnsep _x000d__x000a_\par }}{\*\aftnsepc \ltrpar \pard\plain \ltrpar\ql \li0\ri0\widctlpar\wrapdefault\aspalpha\aspnum\faauto\adjustright\rin0\lin0\itap0 \rtlch\fcs1 \af0\afs20\alang1025 \ltrch\fcs0 \fs24\lang2057\langfe2057\cgrid\langnp2057\langfenp2057 {\rtlch\fcs1 \af0 _x000d__x000a_\ltrch\fcs0 \insrsid126154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764191 \rtlch\fcs1 _x000d__x000a_\af0\afs20\alang1025 \ltrch\fcs0 \b\fs24\lang2057\langfe2057\cgrid\langnp2057\langfenp2057 {\rtlch\fcs1 \af0 \ltrch\fcs0 \cs17\b0\v\fs20\cf9\lang1024\langfe1024\loch\af1\hich\af1\dbch\af31501\noproof\insrsid2764191\charrsid15879488 {\*\bkmkstart restartB}_x000d__x000a_\hich\af1\dbch\af31501\loch\f1 &lt;AmendB&gt;}{\rtlch\fcs1 \af0 \ltrch\fcs0 \insrsid2764191\charrsid15879488 [ZAMENDMENT]\tab \tab }{\rtlch\fcs1 \af0 \ltrch\fcs0 _x000d__x000a_\cs17\b0\v\fs20\cf9\lang1024\langfe1024\loch\af1\hich\af1\dbch\af31501\noproof\insrsid2764191\charrsid15879488 \hich\af1\dbch\af31501\loch\f1 &lt;NumAmB&gt;}{\rtlch\fcs1 \af0 \ltrch\fcs0 \insrsid2764191\charrsid15879488 [ZNRAM]}{\rtlch\fcs1 \af0 \ltrch\fcs0 _x000d__x000a_\cs17\b0\v\fs20\cf9\lang1024\langfe1024\loch\af1\hich\af1\dbch\af31501\noproof\insrsid2764191\charrsid15879488 \hich\af1\dbch\af31501\loch\f1 &lt;/NumAmB&gt;}{\rtlch\fcs1 \af0 \ltrch\fcs0 \insrsid2764191\charrsid15879488 _x000d__x000a_\par }\pard\plain \ltrpar\s25\ql \li0\ri0\sb240\keepn\nowidctlpar\wrapdefault\aspalpha\aspnum\faauto\adjustright\rin0\lin0\itap0\pararsid2764191 \rtlch\fcs1 \af0\afs20\alang1025 \ltrch\fcs0 \b\fs24\lang2057\langfe2057\cgrid\langnp2057\langfenp2057 {_x000d__x000a_\rtlch\fcs1 \af0 \ltrch\fcs0 \cs17\b0\v\fs20\cf9\lang1024\langfe1024\loch\af1\hich\af1\dbch\af31501\noproof\insrsid2764191\charrsid15879488 \hich\af1\dbch\af31501\loch\f1 &lt;DocAmend&gt;}{\rtlch\fcs1 \af0 \ltrch\fcs0 \insrsid2764191\charrsid15879488 _x000d__x000a_[ZPROPOSAL][ZAMACT]}{\rtlch\fcs1 \af0 \ltrch\fcs0 \cs17\b0\v\fs20\cf9\lang1024\langfe1024\loch\af1\hich\af1\dbch\af31501\noproof\insrsid2764191\charrsid15879488 \hich\af1\dbch\af31501\loch\f1 &lt;/DocAmend&gt;}{\rtlch\fcs1 \af0 \ltrch\fcs0 _x000d__x000a_\insrsid2764191\charrsid15879488 _x000d__x000a_\par }\pard\plain \ltrpar\s19\ql \li0\ri0\keepn\nowidctlpar\wrapdefault\aspalpha\aspnum\faauto\adjustright\rin0\lin0\itap0\pararsid2764191 \rtlch\fcs1 \af0\afs20\alang1025 \ltrch\fcs0 \b\fs24\lang2057\langfe2057\cgrid\langnp2057\langfenp2057 {\rtlch\fcs1 \af0 _x000d__x000a_\ltrch\fcs0 \cs17\b0\v\fs20\cf9\lang1024\langfe1024\loch\af1\hich\af1\dbch\af31501\noproof\insrsid2764191\charrsid15879488 \hich\af1\dbch\af31501\loch\f1 &lt;Article&gt;}{\rtlch\fcs1 \af0 \ltrch\fcs0 \insrsid2764191\charrsid15879488 [ZAMPART]}{\rtlch\fcs1 \af0 _x000d__x000a_\ltrch\fcs0 \cs17\b0\v\fs20\cf9\lang1024\langfe1024\loch\af1\hich\af1\dbch\af31501\noproof\insrsid2764191\charrsid15879488 \hich\af1\dbch\af31501\loch\f1 &lt;/Article&gt;}{\rtlch\fcs1 \af0 \ltrch\fcs0 \insrsid2764191\charrsid15879488 _x000d__x000a_\par }\pard\plain \ltrpar\ql \li0\ri0\keepn\widctlpar\wrapdefault\aspalpha\aspnum\faauto\adjustright\rin0\lin0\itap0\pararsid2764191 \rtlch\fcs1 \af0\afs20\alang1025 \ltrch\fcs0 \fs24\lang2057\langfe2057\cgrid\langnp2057\langfenp2057 {\rtlch\fcs1 \af0 _x000d__x000a_\ltrch\fcs0 \cs17\v\fs20\cf9\lang1024\langfe1024\loch\af1\hich\af1\dbch\af31501\noproof\insrsid2764191\charrsid15879488 \hich\af1\dbch\af31501\loch\f1 &lt;DocAmend2&gt;&lt;OptDel&gt;}{\rtlch\fcs1 \af0 \ltrch\fcs0 \insrsid2764191\charrsid15879488 [ZNRACT]}{_x000d__x000a_\rtlch\fcs1 \af0 \ltrch\fcs0 \cs17\v\fs20\cf9\lang1024\langfe1024\loch\af1\hich\af1\dbch\af31501\noproof\insrsid2764191\charrsid15879488 \hich\af1\dbch\af31501\loch\f1 &lt;/OptDel&gt;&lt;/DocAmend2&gt;}{\rtlch\fcs1 \af0 \ltrch\fcs0 \insrsid2764191\charrsid15879488 _x000d__x000a__x000d__x000a_\par }\pard \ltrpar\ql \li0\ri0\widctlpar\wrapdefault\aspalpha\aspnum\faauto\adjustright\rin0\lin0\itap0\pararsid2764191 {\rtlch\fcs1 \af0 \ltrch\fcs0 _x000d__x000a_\cs17\v\fs20\cf9\lang1024\langfe1024\loch\af1\hich\af1\dbch\af31501\noproof\langnp1036\insrsid2764191\charrsid11356624 \hich\af1\dbch\af31501\loch\f1 &lt;Article2&gt;&lt;OptDel&gt;}{\rtlch\fcs1 \af0 \ltrch\fcs0 _x000d__x000a_\lang1036\langfe2057\langnp1036\insrsid2764191\charrsid11356624 [ZACTPART]}{\rtlch\fcs1 \af0 \ltrch\fcs0 \cs17\v\fs20\cf9\lang1024\langfe1024\loch\af1\hich\af1\dbch\af31501\noproof\langnp1036\insrsid2764191\charrsid11356624 \hich\af1\dbch\af31501\loch\f1 _x000d__x000a_&lt;/OptDel&gt;&lt;/Article2&gt;}{\rtlch\fcs1 \af0 \ltrch\fcs0 \lang1036\langfe2057\langnp1036\insrsid276419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2764191\charrsid11356624 \cell }\pard \ltrpar\ql \li0\ri0\widctlpar\intbl\wrapdefault\aspalpha\aspnum\faauto\adjustright\rin0\lin0 {\rtlch\fcs1 \af0 \ltrch\fcs0 \insrsid276419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2764191\charrsid15879488 [ZLEFTB]\cell [ZRIGHT]\cell }\pard\plain \ltrpar\ql \li0\ri0\widctlpar\intbl\wrapdefault\aspalpha\aspnum\faauto\adjustright\rin0\lin0 \rtlch\fcs1 \af0\afs20\alang1025 \ltrch\fcs0 _x000d__x000a_\fs24\lang2057\langfe2057\cgrid\langnp2057\langfenp2057 {\rtlch\fcs1 \af0 \ltrch\fcs0 \insrsid276419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764191\charrsid15879488 [ZTEXTL]\cell [ZTEXTR]}{\rtlch\fcs1 \af0\afs24 \ltrch\fcs0 \insrsid2764191\charrsid15879488 \cell }\pard\plain \ltrpar\ql \li0\ri0\widctlpar\intbl\wrapdefault\aspalpha\aspnum\faauto\adjustright\rin0\lin0 \rtlch\fcs1 _x000d__x000a_\af0\afs20\alang1025 \ltrch\fcs0 \fs24\lang2057\langfe2057\cgrid\langnp2057\langfenp2057 {\rtlch\fcs1 \af0 \ltrch\fcs0 \insrsid276419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2764191 \rtlch\fcs1 \af0\afs20\alang1025 \ltrch\fcs0 \i\fs24\lang2057\langfe2057\cgrid\langnp2057\langfenp2057 {\rtlch\fcs1 \af0 \ltrch\fcs0 _x000d__x000a_\cs17\i0\v\fs20\cf9\lang1024\langfe1024\loch\af1\hich\af1\dbch\af31501\noproof\insrsid2764191\charrsid15879488 \hich\af1\dbch\af31501\loch\f1 &lt;OptDel&gt;}{\rtlch\fcs1 \af0 \ltrch\fcs0 \insrsid2764191\charrsid15879488 [ZCROSSREF]}{\rtlch\fcs1 \af0 _x000d__x000a_\ltrch\fcs0 \cs17\i0\v\fs20\cf9\lang1024\langfe1024\loch\af1\hich\af1\dbch\af31501\noproof\insrsid2764191\charrsid15879488 \hich\af1\dbch\af31501\loch\f1 &lt;/OptDel&gt;}{\rtlch\fcs1 \af0 \ltrch\fcs0 \insrsid2764191\charrsid15879488 _x000d__x000a_\par }\pard\plain \ltrpar\s22\qc \li0\ri0\sb240\sa240\keepn\nowidctlpar\wrapdefault\aspalpha\aspnum\faauto\adjustright\rin0\lin0\itap0\pararsid2764191 \rtlch\fcs1 \af0\afs20\alang1025 \ltrch\fcs0 \i\fs24\lang2057\langfe2057\cgrid\langnp2057\langfenp2057 {_x000d__x000a_\rtlch\fcs1 \af0 \ltrch\fcs0 \cs17\i0\v\fs20\cf9\lang1024\langfe1024\loch\af1\hich\af1\dbch\af31501\noproof\insrsid2764191\charrsid15879488 \hich\af1\dbch\af31501\loch\f1 &lt;TitreJust&gt;}{\rtlch\fcs1 \af0 \ltrch\fcs0 \insrsid2764191\charrsid15879488 _x000d__x000a_[ZJUSTIFICATION]}{\rtlch\fcs1 \af0 \ltrch\fcs0 \cs17\i0\v\fs20\cf9\lang1024\langfe1024\loch\af1\hich\af1\dbch\af31501\noproof\insrsid2764191\charrsid15879488 \hich\af1\dbch\af31501\loch\f1 &lt;/TitreJust&gt;}{\rtlch\fcs1 \af0 \ltrch\fcs0 _x000d__x000a_\insrsid2764191\charrsid15879488 _x000d__x000a_\par }\pard\plain \ltrpar\s20\ql \li0\ri0\sa240\nowidctlpar\wrapdefault\aspalpha\aspnum\faauto\adjustright\rin0\lin0\itap0\pararsid2764191 \rtlch\fcs1 \af0\afs20\alang1025 \ltrch\fcs0 \i\fs24\lang2057\langfe2057\cgrid\langnp2057\langfenp2057 {\rtlch\fcs1 \af0 _x000d__x000a_\ltrch\fcs0 \cs17\i0\v\fs20\cf9\lang1024\langfe1024\loch\af1\hich\af1\dbch\af31501\noproof\insrsid2764191\charrsid15879488 \hich\af1\dbch\af31501\loch\f1 &lt;OptDelPrev&gt;}{\rtlch\fcs1 \af0 \ltrch\fcs0 \insrsid2764191\charrsid15879488 [ZTEXTJUST]}{\rtlch\fcs1 _x000d__x000a_\af0 \ltrch\fcs0 \cs17\i0\v\fs20\cf9\lang1024\langfe1024\loch\af1\hich\af1\dbch\af31501\noproof\insrsid2764191\charrsid15879488 \hich\af1\dbch\af31501\loch\f1 &lt;/OptDelPrev&gt;}{\rtlch\fcs1 \af0 \ltrch\fcs0 \insrsid2764191\charrsid15879488 _x000d__x000a_\par }\pard\plain \ltrpar\ql \li0\ri0\widctlpar\wrapdefault\aspalpha\aspnum\faauto\adjustright\rin0\lin0\itap0\pararsid2764191 \rtlch\fcs1 \af0\afs20\alang1025 \ltrch\fcs0 \fs24\lang2057\langfe2057\cgrid\langnp2057\langfenp2057 {\rtlch\fcs1 \af0 \ltrch\fcs0 _x000d__x000a_\cs17\v\fs20\cf9\lang1024\langfe1024\loch\af1\hich\af1\dbch\af31501\noproof\insrsid2764191\charrsid15879488 \hich\af1\dbch\af31501\loch\f1 &lt;/AmendB&gt;}{\rtlch\fcs1 \af0 \ltrch\fcs0 \insrsid276419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e3c5cfb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15573 HideTWBExt;}{_x000d__x000a_\s18\ql \li0\ri0\sa120\nowidctlpar\wrapdefault\aspalpha\aspnum\faauto\adjustright\rin0\lin0\itap0 \rtlch\fcs1 \af0\afs20\alang1025 \ltrch\fcs0 \fs24\lang2057\langfe2057\cgrid\langnp2057\langfenp2057 \sbasedon0 \snext18 \spriority0 \styrsid11615573 _x000d__x000a_Normal6a;}{\s19\ql \li0\ri0\nowidctlpar\wrapdefault\aspalpha\aspnum\faauto\adjustright\rin0\lin0\itap0 \rtlch\fcs1 \af0\afs20\alang1025 \ltrch\fcs0 \b\fs24\lang2057\langfe2057\cgrid\langnp2057\langfenp2057 \sbasedon0 \snext19 \spriority0 \styrsid11615573 _x000d__x000a_NormalBold;}{\s20\ql \li0\ri0\sa240\nowidctlpar\wrapdefault\aspalpha\aspnum\faauto\adjustright\rin0\lin0\itap0 \rtlch\fcs1 \af0\afs20\alang1025 \ltrch\fcs0 \i\fs24\lang2057\langfe2057\cgrid\langnp2057\langfenp2057 _x000d__x000a_\sbasedon0 \snext20 \spriority0 \styrsid11615573 AmJustText;}{\s21\qc \li0\ri0\sb240\sa240\nowidctlpar\wrapdefault\aspalpha\aspnum\faauto\adjustright\rin0\lin0\itap0 \rtlch\fcs1 \af0\afs20\alang1025 \ltrch\fcs0 _x000d__x000a_\i\fs24\lang2057\langfe2057\cgrid\langnp2057\langfenp2057 \sbasedon0 \snext21 \spriority0 \styrsid11615573 AmCrossRef;}{\s22\qc \li0\ri0\sb240\sa240\keepn\nowidctlpar\wrapdefault\aspalpha\aspnum\faauto\adjustright\rin0\lin0\itap0 \rtlch\fcs1 _x000d__x000a_\af0\afs20\alang1025 \ltrch\fcs0 \i\fs24\lang2057\langfe2057\cgrid\langnp2057\langfenp2057 \sbasedon0 \snext20 \spriority0 \styrsid11615573 AmJustTitle;}{\s23\qc \li0\ri0\sa240\nowidctlpar\wrapdefault\aspalpha\aspnum\faauto\adjustright\rin0\lin0\itap0 _x000d__x000a_\rtlch\fcs1 \af0\afs20\alang1025 \ltrch\fcs0 \i\fs24\lang2057\langfe2057\cgrid\langnp2057\langfenp2057 \sbasedon0 \snext23 \spriority0 \styrsid1161557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1615573 AmNumberTabs;}{\s25\ql \li0\ri0\sb240\nowidctlpar\wrapdefault\aspalpha\aspnum\faauto\adjustright\rin0\lin0\itap0 \rtlch\fcs1 _x000d__x000a_\af0\afs20\alang1025 \ltrch\fcs0 \b\fs24\lang2057\langfe2057\cgrid\langnp2057\langfenp2057 \sbasedon0 \snext25 \spriority0 \styrsid11615573 NormalBold12b;}}{\*\rsidtbl \rsid24658\rsid223860\rsid735077\rsid1718133\rsid2892074\rsid3565327\rsid4666813_x000d__x000a_\rsid6641733\rsid7823322\rsid9575776\rsid9636012\rsid10377208\rsid11215221\rsid11549030\rsid11615573\rsid12154954\rsid14382809\rsid14424199\rsid15204470\rsid15285974\rsid15950462\rsid16324206\rsid16662270}{\mmathPr\mmathFont34\mbrkBin0\mbrkBinSub0_x000d__x000a_\msmallFrac0\mdispDef1\mlMargin0\mrMargin0\mdefJc1\mwrapIndent1440\mintLim0\mnaryLim1}{\info{\author RUDOLPH Lene}{\operator RUDOLPH Lene}{\creatim\yr2023\mo7\dy7\hr14\min37}{\revtim\yr2023\mo7\dy7\hr14\min37}{\version1}{\edmins0}{\nofpages1}{\nofwords55}_x000d__x000a_{\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615573\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9575776 \chftnsep _x000d__x000a_\par }}{\*\ftnsepc \ltrpar \pard\plain \ltrpar\ql \li0\ri0\widctlpar\wrapdefault\aspalpha\aspnum\faauto\adjustright\rin0\lin0\itap0 \rtlch\fcs1 \af0\afs20\alang1025 \ltrch\fcs0 \fs24\lang2057\langfe2057\cgrid\langnp2057\langfenp2057 {\rtlch\fcs1 \af0 _x000d__x000a_\ltrch\fcs0 \insrsid9575776 \chftnsepc _x000d__x000a_\par }}{\*\aftnsep \ltrpar \pard\plain \ltrpar\ql \li0\ri0\widctlpar\wrapdefault\aspalpha\aspnum\faauto\adjustright\rin0\lin0\itap0 \rtlch\fcs1 \af0\afs20\alang1025 \ltrch\fcs0 \fs24\lang2057\langfe2057\cgrid\langnp2057\langfenp2057 {\rtlch\fcs1 \af0 _x000d__x000a_\ltrch\fcs0 \insrsid9575776 \chftnsep _x000d__x000a_\par }}{\*\aftnsepc \ltrpar \pard\plain \ltrpar\ql \li0\ri0\widctlpar\wrapdefault\aspalpha\aspnum\faauto\adjustright\rin0\lin0\itap0 \rtlch\fcs1 \af0\afs20\alang1025 \ltrch\fcs0 \fs24\lang2057\langfe2057\cgrid\langnp2057\langfenp2057 {\rtlch\fcs1 \af0 _x000d__x000a_\ltrch\fcs0 \insrsid95757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1615573 \rtlch\fcs1 _x000d__x000a_\af0\afs20\alang1025 \ltrch\fcs0 \b\fs24\lang2057\langfe2057\cgrid\langnp2057\langfenp2057 {\rtlch\fcs1 \af0 \ltrch\fcs0 \cs17\b0\v\fs20\cf9\lang1024\langfe1024\loch\af1\hich\af1\dbch\af31501\noproof\insrsid11615573\charrsid15879488 {\*\bkmkstart restartB_x000d__x000a_}\hich\af1\dbch\af31501\loch\f1 &lt;AmendB&gt;}{\rtlch\fcs1 \af0 \ltrch\fcs0 \insrsid11615573\charrsid15879488 [ZAMENDMENT]\tab \tab }{\rtlch\fcs1 \af0 \ltrch\fcs0 _x000d__x000a_\cs17\b0\v\fs20\cf9\lang1024\langfe1024\loch\af1\hich\af1\dbch\af31501\noproof\insrsid11615573\charrsid15879488 \hich\af1\dbch\af31501\loch\f1 &lt;NumAmB&gt;}{\rtlch\fcs1 \af0 \ltrch\fcs0 \insrsid11615573\charrsid15879488 [ZNRAM]}{\rtlch\fcs1 \af0 \ltrch\fcs0 _x000d__x000a_\cs17\b0\v\fs20\cf9\lang1024\langfe1024\loch\af1\hich\af1\dbch\af31501\noproof\insrsid11615573\charrsid15879488 \hich\af1\dbch\af31501\loch\f1 &lt;/NumAmB&gt;}{\rtlch\fcs1 \af0 \ltrch\fcs0 \insrsid11615573\charrsid15879488 _x000d__x000a_\par }\pard\plain \ltrpar\s25\ql \li0\ri0\sb240\keepn\nowidctlpar\wrapdefault\aspalpha\aspnum\faauto\adjustright\rin0\lin0\itap0\pararsid11615573 \rtlch\fcs1 \af0\afs20\alang1025 \ltrch\fcs0 \b\fs24\lang2057\langfe2057\cgrid\langnp2057\langfenp2057 {_x000d__x000a_\rtlch\fcs1 \af0 \ltrch\fcs0 \cs17\b0\v\fs20\cf9\lang1024\langfe1024\loch\af1\hich\af1\dbch\af31501\noproof\insrsid11615573\charrsid15879488 \hich\af1\dbch\af31501\loch\f1 &lt;DocAmend&gt;}{\rtlch\fcs1 \af0 \ltrch\fcs0 \insrsid11615573\charrsid15879488 _x000d__x000a_[ZPROPOSAL][ZAMACT]}{\rtlch\fcs1 \af0 \ltrch\fcs0 \cs17\b0\v\fs20\cf9\lang1024\langfe1024\loch\af1\hich\af1\dbch\af31501\noproof\insrsid11615573\charrsid15879488 \hich\af1\dbch\af31501\loch\f1 &lt;/DocAmend&gt;}{\rtlch\fcs1 \af0 \ltrch\fcs0 _x000d__x000a_\insrsid11615573\charrsid15879488 _x000d__x000a_\par }\pard\plain \ltrpar\s19\ql \li0\ri0\keepn\nowidctlpar\wrapdefault\aspalpha\aspnum\faauto\adjustright\rin0\lin0\itap0\pararsid11615573 \rtlch\fcs1 \af0\afs20\alang1025 \ltrch\fcs0 \b\fs24\lang2057\langfe2057\cgrid\langnp2057\langfenp2057 {\rtlch\fcs1 _x000d__x000a_\af0 \ltrch\fcs0 \cs17\b0\v\fs20\cf9\lang1024\langfe1024\loch\af1\hich\af1\dbch\af31501\noproof\insrsid11615573\charrsid15879488 \hich\af1\dbch\af31501\loch\f1 &lt;Article&gt;}{\rtlch\fcs1 \af0 \ltrch\fcs0 \insrsid11615573\charrsid15879488 [ZAMPART]}{_x000d__x000a_\rtlch\fcs1 \af0 \ltrch\fcs0 \cs17\b0\v\fs20\cf9\lang1024\langfe1024\loch\af1\hich\af1\dbch\af31501\noproof\insrsid11615573\charrsid15879488 \hich\af1\dbch\af31501\loch\f1 &lt;/Article&gt;}{\rtlch\fcs1 \af0 \ltrch\fcs0 \insrsid11615573\charrsid15879488 _x000d__x000a_\par }\pard\plain \ltrpar\ql \li0\ri0\keepn\widctlpar\wrapdefault\aspalpha\aspnum\faauto\adjustright\rin0\lin0\itap0\pararsid11615573 \rtlch\fcs1 \af0\afs20\alang1025 \ltrch\fcs0 \fs24\lang2057\langfe2057\cgrid\langnp2057\langfenp2057 {\rtlch\fcs1 \af0 _x000d__x000a_\ltrch\fcs0 \cs17\v\fs20\cf9\lang1024\langfe1024\loch\af1\hich\af1\dbch\af31501\noproof\insrsid11615573\charrsid15879488 \hich\af1\dbch\af31501\loch\f1 &lt;DocAmend2&gt;&lt;OptDel&gt;}{\rtlch\fcs1 \af0 \ltrch\fcs0 \insrsid11615573\charrsid15879488 [ZNRACT]}{_x000d__x000a_\rtlch\fcs1 \af0 \ltrch\fcs0 \cs17\v\fs20\cf9\lang1024\langfe1024\loch\af1\hich\af1\dbch\af31501\noproof\insrsid11615573\charrsid15879488 \hich\af1\dbch\af31501\loch\f1 &lt;/OptDel&gt;&lt;/DocAmend2&gt;}{\rtlch\fcs1 \af0 \ltrch\fcs0 \insrsid11615573\charrsid15879488 _x000d__x000a__x000d__x000a_\par }\pard \ltrpar\ql \li0\ri0\widctlpar\wrapdefault\aspalpha\aspnum\faauto\adjustright\rin0\lin0\itap0\pararsid11615573 {\rtlch\fcs1 \af0 \ltrch\fcs0 _x000d__x000a_\cs17\v\fs20\cf9\lang1024\langfe1024\loch\af1\hich\af1\dbch\af31501\noproof\langnp1036\insrsid11615573\charrsid11356624 \hich\af1\dbch\af31501\loch\f1 &lt;Article2&gt;&lt;OptDel&gt;}{\rtlch\fcs1 \af0 \ltrch\fcs0 _x000d__x000a_\lang1036\langfe2057\langnp1036\insrsid11615573\charrsid11356624 [ZACTPART]}{\rtlch\fcs1 \af0 \ltrch\fcs0 \cs17\v\fs20\cf9\lang1024\langfe1024\loch\af1\hich\af1\dbch\af31501\noproof\langnp1036\insrsid11615573\charrsid11356624 _x000d__x000a_\hich\af1\dbch\af31501\loch\f1 &lt;/OptDel&gt;&lt;/Article2&gt;}{\rtlch\fcs1 \af0 \ltrch\fcs0 \lang1036\langfe2057\langnp1036\insrsid1161557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1615573\charrsid11356624 \cell }\pard \ltrpar\ql \li0\ri0\widctlpar\intbl\wrapdefault\aspalpha\aspnum\faauto\adjustright\rin0\lin0 {\rtlch\fcs1 \af0 \ltrch\fcs0 \insrsid1161557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1615573\charrsid15879488 [ZLEFTB]\cell [ZRIGHT]\cell }\pard\plain \ltrpar\ql \li0\ri0\widctlpar\intbl\wrapdefault\aspalpha\aspnum\faauto\adjustright\rin0\lin0 \rtlch\fcs1 \af0\afs20\alang1025 \ltrch\fcs0 _x000d__x000a_\fs24\lang2057\langfe2057\cgrid\langnp2057\langfenp2057 {\rtlch\fcs1 \af0 \ltrch\fcs0 \insrsid1161557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615573\charrsid15879488 [ZTEXTL]\cell [ZTEXTR]}{\rtlch\fcs1 \af0\afs24 \ltrch\fcs0 \insrsid11615573\charrsid15879488 \cell }\pard\plain \ltrpar\ql \li0\ri0\widctlpar\intbl\wrapdefault\aspalpha\aspnum\faauto\adjustright\rin0\lin0 \rtlch\fcs1 _x000d__x000a_\af0\afs20\alang1025 \ltrch\fcs0 \fs24\lang2057\langfe2057\cgrid\langnp2057\langfenp2057 {\rtlch\fcs1 \af0 \ltrch\fcs0 \insrsid1161557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1615573 \rtlch\fcs1 \af0\afs20\alang1025 \ltrch\fcs0 \i\fs24\lang2057\langfe2057\cgrid\langnp2057\langfenp2057 {\rtlch\fcs1 \af0 \ltrch\fcs0 _x000d__x000a_\cs17\i0\v\fs20\cf9\lang1024\langfe1024\loch\af1\hich\af1\dbch\af31501\noproof\insrsid11615573\charrsid15879488 \hich\af1\dbch\af31501\loch\f1 &lt;OptDel&gt;}{\rtlch\fcs1 \af0 \ltrch\fcs0 \insrsid11615573\charrsid15879488 [ZCROSSREF]}{\rtlch\fcs1 \af0 _x000d__x000a_\ltrch\fcs0 \cs17\i0\v\fs20\cf9\lang1024\langfe1024\loch\af1\hich\af1\dbch\af31501\noproof\insrsid11615573\charrsid15879488 \hich\af1\dbch\af31501\loch\f1 &lt;/OptDel&gt;}{\rtlch\fcs1 \af0 \ltrch\fcs0 \insrsid11615573\charrsid15879488 _x000d__x000a_\par }\pard\plain \ltrpar\s22\qc \li0\ri0\sb240\sa240\keepn\nowidctlpar\wrapdefault\aspalpha\aspnum\faauto\adjustright\rin0\lin0\itap0\pararsid11615573 \rtlch\fcs1 \af0\afs20\alang1025 \ltrch\fcs0 \i\fs24\lang2057\langfe2057\cgrid\langnp2057\langfenp2057 {_x000d__x000a_\rtlch\fcs1 \af0 \ltrch\fcs0 \cs17\i0\v\fs20\cf9\lang1024\langfe1024\loch\af1\hich\af1\dbch\af31501\noproof\insrsid11615573\charrsid15879488 \hich\af1\dbch\af31501\loch\f1 &lt;TitreJust&gt;}{\rtlch\fcs1 \af0 \ltrch\fcs0 \insrsid11615573\charrsid15879488 _x000d__x000a_[ZJUSTIFICATION]}{\rtlch\fcs1 \af0 \ltrch\fcs0 \cs17\i0\v\fs20\cf9\lang1024\langfe1024\loch\af1\hich\af1\dbch\af31501\noproof\insrsid11615573\charrsid15879488 \hich\af1\dbch\af31501\loch\f1 &lt;/TitreJust&gt;}{\rtlch\fcs1 \af0 \ltrch\fcs0 _x000d__x000a_\insrsid11615573\charrsid15879488 _x000d__x000a_\par }\pard\plain \ltrpar\s20\ql \li0\ri0\sa240\nowidctlpar\wrapdefault\aspalpha\aspnum\faauto\adjustright\rin0\lin0\itap0\pararsid11615573 \rtlch\fcs1 \af0\afs20\alang1025 \ltrch\fcs0 \i\fs24\lang2057\langfe2057\cgrid\langnp2057\langfenp2057 {\rtlch\fcs1 _x000d__x000a_\af0 \ltrch\fcs0 \cs17\i0\v\fs20\cf9\lang1024\langfe1024\loch\af1\hich\af1\dbch\af31501\noproof\insrsid11615573\charrsid15879488 \hich\af1\dbch\af31501\loch\f1 &lt;OptDelPrev&gt;}{\rtlch\fcs1 \af0 \ltrch\fcs0 \insrsid11615573\charrsid15879488 [ZTEXTJUST]}{_x000d__x000a_\rtlch\fcs1 \af0 \ltrch\fcs0 \cs17\i0\v\fs20\cf9\lang1024\langfe1024\loch\af1\hich\af1\dbch\af31501\noproof\insrsid11615573\charrsid15879488 \hich\af1\dbch\af31501\loch\f1 &lt;/OptDelPrev&gt;}{\rtlch\fcs1 \af0 \ltrch\fcs0 \insrsid11615573\charrsid15879488 _x000d__x000a__x000d__x000a_\par }\pard\plain \ltrpar\ql \li0\ri0\widctlpar\wrapdefault\aspalpha\aspnum\faauto\adjustright\rin0\lin0\itap0\pararsid11615573 \rtlch\fcs1 \af0\afs20\alang1025 \ltrch\fcs0 \fs24\lang2057\langfe2057\cgrid\langnp2057\langfenp2057 {\rtlch\fcs1 \af0 \ltrch\fcs0 _x000d__x000a_\cs17\v\fs20\cf9\lang1024\langfe1024\loch\af1\hich\af1\dbch\af31501\noproof\insrsid11615573\charrsid15879488 \hich\af1\dbch\af31501\loch\f1 &lt;/AmendB&gt;}{\rtlch\fcs1 \af0 \ltrch\fcs0 \insrsid1161557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2_x000d__x000a_a6c2cfb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2"/>
    <w:docVar w:name="TITLECODMNU" w:val=" 1"/>
    <w:docVar w:name="TVTACTPART" w:val="abc"/>
    <w:docVar w:name="TVTAMACTPART" w:val="abc"/>
    <w:docVar w:name="TXTLANGUE" w:val="DA"/>
    <w:docVar w:name="TXTLANGUEMIN" w:val="da"/>
    <w:docVar w:name="TXTNRC" w:val="0315/2022"/>
    <w:docVar w:name="TXTNRCOM" w:val="(2022)0459"/>
    <w:docVar w:name="TXTNRFIRSTAM" w:val="1"/>
    <w:docVar w:name="TXTNRLASTAM" w:val="2"/>
    <w:docVar w:name="TXTNRPE" w:val="745.211"/>
    <w:docVar w:name="TXTNRPROC" w:val="2022/0278"/>
    <w:docVar w:name="TXTNRREG" w:val="abc"/>
    <w:docVar w:name="TXTPEorAP" w:val="PE"/>
    <w:docVar w:name="TXTROUTE" w:val="AD\1282315DA.docx"/>
    <w:docVar w:name="TXTVERSION" w:val="02-00"/>
  </w:docVars>
  <w:rsids>
    <w:rsidRoot w:val="00EF16E5"/>
    <w:rsid w:val="00026559"/>
    <w:rsid w:val="00027FA8"/>
    <w:rsid w:val="0004474F"/>
    <w:rsid w:val="00060290"/>
    <w:rsid w:val="00082EC4"/>
    <w:rsid w:val="000D44A6"/>
    <w:rsid w:val="000D704D"/>
    <w:rsid w:val="00122C05"/>
    <w:rsid w:val="00134974"/>
    <w:rsid w:val="00141CD7"/>
    <w:rsid w:val="00147FBF"/>
    <w:rsid w:val="001616BD"/>
    <w:rsid w:val="001820A9"/>
    <w:rsid w:val="001A0556"/>
    <w:rsid w:val="001B0A1E"/>
    <w:rsid w:val="001C0886"/>
    <w:rsid w:val="001D5154"/>
    <w:rsid w:val="001E3AC4"/>
    <w:rsid w:val="0020077A"/>
    <w:rsid w:val="00207509"/>
    <w:rsid w:val="0023131B"/>
    <w:rsid w:val="002A67EE"/>
    <w:rsid w:val="00304EA8"/>
    <w:rsid w:val="00341A99"/>
    <w:rsid w:val="00360FAA"/>
    <w:rsid w:val="0038294E"/>
    <w:rsid w:val="003858C5"/>
    <w:rsid w:val="003A2F84"/>
    <w:rsid w:val="003A5924"/>
    <w:rsid w:val="003C0A2B"/>
    <w:rsid w:val="003C7390"/>
    <w:rsid w:val="003E1280"/>
    <w:rsid w:val="003F128E"/>
    <w:rsid w:val="0040055C"/>
    <w:rsid w:val="00487596"/>
    <w:rsid w:val="004B3A53"/>
    <w:rsid w:val="004C2A0D"/>
    <w:rsid w:val="004C4F3D"/>
    <w:rsid w:val="004F1D2F"/>
    <w:rsid w:val="00502B76"/>
    <w:rsid w:val="00513F6F"/>
    <w:rsid w:val="00522B51"/>
    <w:rsid w:val="00524707"/>
    <w:rsid w:val="005539B7"/>
    <w:rsid w:val="00571233"/>
    <w:rsid w:val="005E0E0A"/>
    <w:rsid w:val="005E53E2"/>
    <w:rsid w:val="00607182"/>
    <w:rsid w:val="00613134"/>
    <w:rsid w:val="00626D52"/>
    <w:rsid w:val="006374E5"/>
    <w:rsid w:val="006417C6"/>
    <w:rsid w:val="00643DA8"/>
    <w:rsid w:val="00657D5C"/>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1B25"/>
    <w:rsid w:val="009368B3"/>
    <w:rsid w:val="00982B83"/>
    <w:rsid w:val="009857B4"/>
    <w:rsid w:val="0099178F"/>
    <w:rsid w:val="009A5A57"/>
    <w:rsid w:val="009E7319"/>
    <w:rsid w:val="00A71228"/>
    <w:rsid w:val="00A74E25"/>
    <w:rsid w:val="00AC2A60"/>
    <w:rsid w:val="00AD49D0"/>
    <w:rsid w:val="00AE7197"/>
    <w:rsid w:val="00AF0ABA"/>
    <w:rsid w:val="00B00EE6"/>
    <w:rsid w:val="00B476DC"/>
    <w:rsid w:val="00B556CD"/>
    <w:rsid w:val="00B604D8"/>
    <w:rsid w:val="00B62D4B"/>
    <w:rsid w:val="00B64A13"/>
    <w:rsid w:val="00B735E3"/>
    <w:rsid w:val="00B904FA"/>
    <w:rsid w:val="00B934DB"/>
    <w:rsid w:val="00BA3E40"/>
    <w:rsid w:val="00BD1F76"/>
    <w:rsid w:val="00BE20CF"/>
    <w:rsid w:val="00C22327"/>
    <w:rsid w:val="00C335C6"/>
    <w:rsid w:val="00C36610"/>
    <w:rsid w:val="00C4219C"/>
    <w:rsid w:val="00C52A28"/>
    <w:rsid w:val="00C709B7"/>
    <w:rsid w:val="00C75E98"/>
    <w:rsid w:val="00C81C5B"/>
    <w:rsid w:val="00C83B35"/>
    <w:rsid w:val="00C85D0F"/>
    <w:rsid w:val="00CA2669"/>
    <w:rsid w:val="00D06DD1"/>
    <w:rsid w:val="00D25CF2"/>
    <w:rsid w:val="00D56CE0"/>
    <w:rsid w:val="00D6254D"/>
    <w:rsid w:val="00D67D0A"/>
    <w:rsid w:val="00D74FD1"/>
    <w:rsid w:val="00D943A5"/>
    <w:rsid w:val="00D9581F"/>
    <w:rsid w:val="00DA22D1"/>
    <w:rsid w:val="00DB56E4"/>
    <w:rsid w:val="00E27F01"/>
    <w:rsid w:val="00E6740D"/>
    <w:rsid w:val="00E77FF5"/>
    <w:rsid w:val="00E80053"/>
    <w:rsid w:val="00E94D64"/>
    <w:rsid w:val="00EA3802"/>
    <w:rsid w:val="00EF1432"/>
    <w:rsid w:val="00EF16E5"/>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B6A02F-F337-4F4C-8260-BABA51613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EntPE">
    <w:name w:val="EntPE"/>
    <w:basedOn w:val="Normal12"/>
    <w:rsid w:val="005E53E2"/>
    <w:pPr>
      <w:jc w:val="center"/>
    </w:pPr>
    <w:rPr>
      <w:noProof w:val="0"/>
      <w:sz w:val="56"/>
    </w:rPr>
  </w:style>
  <w:style w:type="paragraph" w:customStyle="1" w:styleId="Normal12">
    <w:name w:val="Normal12"/>
    <w:basedOn w:val="Normal"/>
    <w:link w:val="Normal12Char"/>
    <w:rsid w:val="005E53E2"/>
    <w:pPr>
      <w:spacing w:after="240"/>
    </w:pPr>
    <w:rPr>
      <w:noProof/>
      <w:szCs w:val="20"/>
    </w:rPr>
  </w:style>
  <w:style w:type="paragraph" w:customStyle="1" w:styleId="CommitteeAM">
    <w:name w:val="CommitteeAM"/>
    <w:basedOn w:val="Normal"/>
    <w:rsid w:val="005E53E2"/>
    <w:pPr>
      <w:spacing w:before="240" w:after="600"/>
      <w:jc w:val="center"/>
    </w:pPr>
    <w:rPr>
      <w:i/>
      <w:szCs w:val="20"/>
    </w:rPr>
  </w:style>
  <w:style w:type="paragraph" w:customStyle="1" w:styleId="ZDateAM">
    <w:name w:val="ZDateAM"/>
    <w:basedOn w:val="Normal"/>
    <w:rsid w:val="005E53E2"/>
    <w:pPr>
      <w:tabs>
        <w:tab w:val="right" w:pos="9356"/>
      </w:tabs>
      <w:spacing w:after="480"/>
    </w:pPr>
    <w:rPr>
      <w:noProof/>
      <w:szCs w:val="20"/>
    </w:rPr>
  </w:style>
  <w:style w:type="paragraph" w:customStyle="1" w:styleId="ProjRap">
    <w:name w:val="ProjRap"/>
    <w:basedOn w:val="Normal"/>
    <w:rsid w:val="005E53E2"/>
    <w:pPr>
      <w:tabs>
        <w:tab w:val="right" w:pos="9356"/>
      </w:tabs>
    </w:pPr>
    <w:rPr>
      <w:b/>
      <w:noProof/>
      <w:szCs w:val="20"/>
    </w:rPr>
  </w:style>
  <w:style w:type="character" w:customStyle="1" w:styleId="Normal12Char">
    <w:name w:val="Normal12 Char"/>
    <w:basedOn w:val="DefaultParagraphFont"/>
    <w:link w:val="Normal12"/>
    <w:locked/>
    <w:rsid w:val="005E53E2"/>
    <w:rPr>
      <w:noProof/>
      <w:sz w:val="24"/>
    </w:rPr>
  </w:style>
  <w:style w:type="paragraph" w:customStyle="1" w:styleId="PELeft">
    <w:name w:val="PELeft"/>
    <w:basedOn w:val="Normal"/>
    <w:rsid w:val="005E53E2"/>
    <w:pPr>
      <w:spacing w:before="40" w:after="40"/>
    </w:pPr>
    <w:rPr>
      <w:rFonts w:ascii="Arial" w:hAnsi="Arial" w:cs="Arial"/>
      <w:sz w:val="22"/>
      <w:szCs w:val="22"/>
    </w:rPr>
  </w:style>
  <w:style w:type="paragraph" w:customStyle="1" w:styleId="PERight">
    <w:name w:val="PERight"/>
    <w:basedOn w:val="Normal"/>
    <w:next w:val="Normal"/>
    <w:rsid w:val="005E53E2"/>
    <w:pPr>
      <w:jc w:val="right"/>
    </w:pPr>
    <w:rPr>
      <w:rFonts w:ascii="Arial" w:hAnsi="Arial" w:cs="Arial"/>
      <w:sz w:val="22"/>
      <w:szCs w:val="22"/>
    </w:rPr>
  </w:style>
  <w:style w:type="paragraph" w:customStyle="1" w:styleId="Normal6">
    <w:name w:val="Normal6"/>
    <w:basedOn w:val="Normal"/>
    <w:link w:val="Normal6Char"/>
    <w:rsid w:val="005E53E2"/>
    <w:pPr>
      <w:spacing w:after="120"/>
    </w:pPr>
    <w:rPr>
      <w:szCs w:val="20"/>
    </w:rPr>
  </w:style>
  <w:style w:type="paragraph" w:customStyle="1" w:styleId="Normal12Italic">
    <w:name w:val="Normal12Italic"/>
    <w:basedOn w:val="Normal12"/>
    <w:rsid w:val="005E53E2"/>
    <w:rPr>
      <w:i/>
    </w:rPr>
  </w:style>
  <w:style w:type="character" w:customStyle="1" w:styleId="NormalBoldChar">
    <w:name w:val="NormalBold Char"/>
    <w:basedOn w:val="DefaultParagraphFont"/>
    <w:link w:val="NormalBold"/>
    <w:rsid w:val="005E53E2"/>
    <w:rPr>
      <w:b/>
      <w:sz w:val="24"/>
    </w:rPr>
  </w:style>
  <w:style w:type="paragraph" w:customStyle="1" w:styleId="JustificationTitle">
    <w:name w:val="JustificationTitle"/>
    <w:basedOn w:val="Normal"/>
    <w:next w:val="Normal12"/>
    <w:rsid w:val="005E53E2"/>
    <w:pPr>
      <w:keepNext/>
      <w:spacing w:before="240" w:after="240"/>
      <w:jc w:val="center"/>
    </w:pPr>
    <w:rPr>
      <w:i/>
      <w:noProof/>
      <w:szCs w:val="20"/>
    </w:rPr>
  </w:style>
  <w:style w:type="paragraph" w:customStyle="1" w:styleId="Olang">
    <w:name w:val="Olang"/>
    <w:basedOn w:val="Normal"/>
    <w:rsid w:val="005E53E2"/>
    <w:pPr>
      <w:spacing w:before="240" w:after="240"/>
      <w:jc w:val="right"/>
    </w:pPr>
    <w:rPr>
      <w:noProof/>
    </w:rPr>
  </w:style>
  <w:style w:type="character" w:customStyle="1" w:styleId="Normal6Char">
    <w:name w:val="Normal6 Char"/>
    <w:basedOn w:val="DefaultParagraphFont"/>
    <w:link w:val="Normal6"/>
    <w:rsid w:val="005E53E2"/>
    <w:rPr>
      <w:sz w:val="24"/>
      <w:lang w:val="da-DK"/>
    </w:rPr>
  </w:style>
  <w:style w:type="paragraph" w:customStyle="1" w:styleId="ColumnHeading">
    <w:name w:val="ColumnHeading"/>
    <w:basedOn w:val="Normal"/>
    <w:rsid w:val="005E53E2"/>
    <w:pPr>
      <w:spacing w:after="240"/>
      <w:jc w:val="center"/>
    </w:pPr>
    <w:rPr>
      <w:i/>
      <w:szCs w:val="20"/>
    </w:rPr>
  </w:style>
  <w:style w:type="paragraph" w:customStyle="1" w:styleId="AMNumberTabs0">
    <w:name w:val="AMNumberTabs"/>
    <w:basedOn w:val="Normal"/>
    <w:rsid w:val="005E53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5E53E2"/>
    <w:pPr>
      <w:spacing w:before="240"/>
      <w:jc w:val="center"/>
    </w:pPr>
    <w:rPr>
      <w:i/>
      <w:szCs w:val="20"/>
    </w:rPr>
  </w:style>
  <w:style w:type="paragraph" w:styleId="Footer">
    <w:name w:val="footer"/>
    <w:link w:val="FooterChar"/>
    <w:rsid w:val="005E53E2"/>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5E53E2"/>
    <w:rPr>
      <w:sz w:val="22"/>
    </w:rPr>
  </w:style>
  <w:style w:type="paragraph" w:customStyle="1" w:styleId="Footer2">
    <w:name w:val="Footer2"/>
    <w:basedOn w:val="Normal12"/>
    <w:rsid w:val="005E53E2"/>
    <w:pPr>
      <w:tabs>
        <w:tab w:val="center" w:pos="4535"/>
        <w:tab w:val="right" w:pos="9923"/>
      </w:tabs>
      <w:spacing w:line="480" w:lineRule="auto"/>
      <w:ind w:left="-851"/>
    </w:pPr>
    <w:rPr>
      <w:rFonts w:ascii="Arial" w:cs="Arial"/>
      <w:b/>
      <w:sz w:val="48"/>
    </w:rPr>
  </w:style>
  <w:style w:type="character" w:customStyle="1" w:styleId="Footer2Middle">
    <w:name w:val="Footer2Middle"/>
    <w:rsid w:val="005E53E2"/>
    <w:rPr>
      <w:rFonts w:ascii="Arial" w:cs="Arial"/>
      <w:b w:val="0"/>
      <w:i/>
      <w:color w:val="C0C0C0"/>
      <w:sz w:val="22"/>
    </w:rPr>
  </w:style>
  <w:style w:type="paragraph" w:styleId="BalloonText">
    <w:name w:val="Balloon Text"/>
    <w:basedOn w:val="Normal"/>
    <w:link w:val="BalloonTextChar"/>
    <w:semiHidden/>
    <w:unhideWhenUsed/>
    <w:rsid w:val="003C0A2B"/>
    <w:rPr>
      <w:rFonts w:ascii="Segoe UI" w:hAnsi="Segoe UI" w:cs="Segoe UI"/>
      <w:sz w:val="18"/>
      <w:szCs w:val="18"/>
    </w:rPr>
  </w:style>
  <w:style w:type="character" w:customStyle="1" w:styleId="BalloonTextChar">
    <w:name w:val="Balloon Text Char"/>
    <w:basedOn w:val="DefaultParagraphFont"/>
    <w:link w:val="BalloonText"/>
    <w:semiHidden/>
    <w:rsid w:val="003C0A2B"/>
    <w:rPr>
      <w:rFonts w:ascii="Segoe UI" w:hAnsi="Segoe UI" w:cs="Segoe UI"/>
      <w:sz w:val="18"/>
      <w:szCs w:val="18"/>
      <w:lang w:val="da-DK"/>
    </w:rPr>
  </w:style>
  <w:style w:type="character" w:customStyle="1" w:styleId="AmNumberTabsChar">
    <w:name w:val="AmNumberTabs Char"/>
    <w:basedOn w:val="DefaultParagraphFont"/>
    <w:link w:val="AmNumberTabs"/>
    <w:rsid w:val="003C0A2B"/>
    <w:rPr>
      <w:b/>
      <w:sz w:val="24"/>
    </w:rPr>
  </w:style>
  <w:style w:type="character" w:customStyle="1" w:styleId="NormalBold12bChar">
    <w:name w:val="NormalBold12b Char"/>
    <w:basedOn w:val="AmNumberTabsChar"/>
    <w:link w:val="NormalBold12b"/>
    <w:rsid w:val="003C0A2B"/>
    <w:rPr>
      <w:b/>
      <w:sz w:val="24"/>
    </w:rPr>
  </w:style>
  <w:style w:type="paragraph" w:customStyle="1" w:styleId="RollCallSymbols14pt">
    <w:name w:val="RollCallSymbols14pt"/>
    <w:basedOn w:val="Normal"/>
    <w:rsid w:val="003C0A2B"/>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3C0A2B"/>
    <w:pPr>
      <w:tabs>
        <w:tab w:val="center" w:pos="284"/>
        <w:tab w:val="left" w:pos="426"/>
      </w:tabs>
    </w:pPr>
    <w:rPr>
      <w:snapToGrid w:val="0"/>
      <w:szCs w:val="20"/>
      <w:lang w:eastAsia="en-US"/>
    </w:rPr>
  </w:style>
  <w:style w:type="paragraph" w:customStyle="1" w:styleId="RollCallVotes">
    <w:name w:val="RollCallVotes"/>
    <w:basedOn w:val="Normal"/>
    <w:rsid w:val="003C0A2B"/>
    <w:pPr>
      <w:spacing w:before="120" w:after="120"/>
      <w:jc w:val="center"/>
    </w:pPr>
    <w:rPr>
      <w:b/>
      <w:bCs/>
      <w:snapToGrid w:val="0"/>
      <w:sz w:val="16"/>
      <w:szCs w:val="20"/>
      <w:lang w:eastAsia="en-US"/>
    </w:rPr>
  </w:style>
  <w:style w:type="paragraph" w:customStyle="1" w:styleId="RollCallTable">
    <w:name w:val="RollCallTable"/>
    <w:basedOn w:val="Normal"/>
    <w:rsid w:val="003C0A2B"/>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81624-8EA6-4F1F-B8E3-1A6984C7A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13995</Words>
  <Characters>90356</Characters>
  <Application>Microsoft Office Word</Application>
  <DocSecurity>0</DocSecurity>
  <Lines>3474</Lines>
  <Paragraphs>875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2023-07-17T13:35:00Z</dcterms:created>
  <dcterms:modified xsi:type="dcterms:W3CDTF">2023-07-17T13:35:00Z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1282315</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\\eiciBRUpr1\pdocep$\DocEP\TRANSFIL\EN\PA_Legam.EN(07/12/2022 11:06:01)</vt:lpwstr>
  </property>
  <property fmtid="{D5CDD505-2E9C-101B-9397-08002B2CF9AE}" pid="7" name="&lt;Type&gt;">
    <vt:lpwstr>AD</vt:lpwstr>
  </property>
  <property fmtid="{D5CDD505-2E9C-101B-9397-08002B2CF9AE}" pid="8" name="Bookout">
    <vt:lpwstr>OK - 2023/07/17 15:35</vt:lpwstr>
  </property>
  <property fmtid="{D5CDD505-2E9C-101B-9397-08002B2CF9AE}" pid="9" name="Created with">
    <vt:lpwstr>9.14.1 Build [20230201]</vt:lpwstr>
  </property>
  <property fmtid="{D5CDD505-2E9C-101B-9397-08002B2CF9AE}" pid="10" name="FooterPath">
    <vt:lpwstr>AD\1282315DA.docx</vt:lpwstr>
  </property>
  <property fmtid="{D5CDD505-2E9C-101B-9397-08002B2CF9AE}" pid="11" name="LastEdited with">
    <vt:lpwstr>9.15.0 Build [20230501]</vt:lpwstr>
  </property>
  <property fmtid="{D5CDD505-2E9C-101B-9397-08002B2CF9AE}" pid="12" name="PE number">
    <vt:lpwstr>745.211</vt:lpwstr>
  </property>
  <property fmtid="{D5CDD505-2E9C-101B-9397-08002B2CF9AE}" pid="13" name="SDLStudio">
    <vt:lpwstr/>
  </property>
  <property fmtid="{D5CDD505-2E9C-101B-9397-08002B2CF9AE}" pid="14" name="SendToEpades">
    <vt:lpwstr>OK - 2023/03/10 11:02</vt:lpwstr>
  </property>
</Properties>
</file>