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4431C" w14:paraId="67AF37D8" w14:textId="77777777" w:rsidTr="00C85D0F">
        <w:trPr>
          <w:trHeight w:hRule="exact" w:val="1418"/>
        </w:trPr>
        <w:tc>
          <w:tcPr>
            <w:tcW w:w="6804" w:type="dxa"/>
            <w:shd w:val="clear" w:color="auto" w:fill="auto"/>
            <w:vAlign w:val="center"/>
          </w:tcPr>
          <w:p w14:paraId="5D12023E" w14:textId="77777777" w:rsidR="00854CAC" w:rsidRPr="0054431C" w:rsidRDefault="00083B60" w:rsidP="00C85D0F">
            <w:pPr>
              <w:pStyle w:val="EPName"/>
            </w:pPr>
            <w:bookmarkStart w:id="0" w:name="_GoBack"/>
            <w:bookmarkEnd w:id="0"/>
            <w:r>
              <w:t>Parlamentul European</w:t>
            </w:r>
          </w:p>
          <w:p w14:paraId="16ECFD3C" w14:textId="77777777" w:rsidR="00854CAC" w:rsidRPr="0054431C" w:rsidRDefault="00627FEC" w:rsidP="00627FEC">
            <w:pPr>
              <w:pStyle w:val="EPTerm"/>
            </w:pPr>
            <w:r>
              <w:t>2019-2024</w:t>
            </w:r>
          </w:p>
        </w:tc>
        <w:tc>
          <w:tcPr>
            <w:tcW w:w="2268" w:type="dxa"/>
            <w:shd w:val="clear" w:color="auto" w:fill="auto"/>
          </w:tcPr>
          <w:p w14:paraId="1CBBB22D" w14:textId="77777777" w:rsidR="00854CAC" w:rsidRPr="0054431C" w:rsidRDefault="00854CAC" w:rsidP="00C85D0F">
            <w:pPr>
              <w:pStyle w:val="EPLogo"/>
            </w:pPr>
            <w:r w:rsidRPr="0054431C">
              <w:rPr>
                <w:noProof/>
                <w:lang w:val="en-GB"/>
              </w:rPr>
              <w:drawing>
                <wp:inline distT="0" distB="0" distL="0" distR="0" wp14:anchorId="5941DC64" wp14:editId="4EB0E0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E4EF5" w14:textId="77777777" w:rsidR="001746D0" w:rsidRPr="0054431C" w:rsidRDefault="001746D0" w:rsidP="001746D0">
      <w:pPr>
        <w:pStyle w:val="LineTop"/>
      </w:pPr>
    </w:p>
    <w:p w14:paraId="0227DFA7" w14:textId="77777777" w:rsidR="001746D0" w:rsidRPr="0054431C" w:rsidRDefault="001746D0" w:rsidP="001746D0">
      <w:pPr>
        <w:pStyle w:val="EPBody"/>
      </w:pPr>
      <w:r>
        <w:rPr>
          <w:rStyle w:val="HideTWBExt"/>
        </w:rPr>
        <w:t>&lt;</w:t>
      </w:r>
      <w:r>
        <w:rPr>
          <w:rStyle w:val="HideTWBExt"/>
          <w:i w:val="0"/>
        </w:rPr>
        <w:t>Commission</w:t>
      </w:r>
      <w:r>
        <w:rPr>
          <w:rStyle w:val="HideTWBExt"/>
        </w:rPr>
        <w:t>&gt;</w:t>
      </w:r>
      <w:r>
        <w:rPr>
          <w:rStyle w:val="HideTWBInt"/>
        </w:rPr>
        <w:t>{EMPL}</w:t>
      </w:r>
      <w:r>
        <w:t>Comisia pentru ocuparea forței de muncă și afaceri sociale</w:t>
      </w:r>
      <w:r>
        <w:rPr>
          <w:rStyle w:val="HideTWBExt"/>
        </w:rPr>
        <w:t>&lt;/</w:t>
      </w:r>
      <w:r>
        <w:rPr>
          <w:rStyle w:val="HideTWBExt"/>
          <w:i w:val="0"/>
        </w:rPr>
        <w:t>Commission</w:t>
      </w:r>
      <w:r>
        <w:rPr>
          <w:rStyle w:val="HideTWBExt"/>
        </w:rPr>
        <w:t>&gt;</w:t>
      </w:r>
    </w:p>
    <w:p w14:paraId="4EBBCA8E" w14:textId="77777777" w:rsidR="001746D0" w:rsidRPr="0054431C" w:rsidRDefault="001746D0" w:rsidP="001746D0">
      <w:pPr>
        <w:pStyle w:val="LineBottom"/>
      </w:pPr>
    </w:p>
    <w:p w14:paraId="15568EF8" w14:textId="77777777" w:rsidR="002E2F2E" w:rsidRPr="0054431C" w:rsidRDefault="002E2F2E">
      <w:pPr>
        <w:pStyle w:val="CoverReference"/>
      </w:pPr>
      <w:r>
        <w:rPr>
          <w:rStyle w:val="HideTWBExt"/>
          <w:b w:val="0"/>
        </w:rPr>
        <w:t>&lt;RefProc&gt;</w:t>
      </w:r>
      <w:r>
        <w:t>2022/2188(INI)</w:t>
      </w:r>
      <w:r>
        <w:rPr>
          <w:rStyle w:val="HideTWBExt"/>
          <w:b w:val="0"/>
        </w:rPr>
        <w:t>&lt;/RefProc&gt;</w:t>
      </w:r>
    </w:p>
    <w:p w14:paraId="34B7815B" w14:textId="21CE3DB2" w:rsidR="002E2F2E" w:rsidRPr="0054431C" w:rsidRDefault="002E2F2E">
      <w:pPr>
        <w:pStyle w:val="CoverDate"/>
      </w:pPr>
      <w:r>
        <w:rPr>
          <w:rStyle w:val="HideTWBExt"/>
        </w:rPr>
        <w:t>&lt;Date&gt;</w:t>
      </w:r>
      <w:r>
        <w:rPr>
          <w:rStyle w:val="HideTWBInt"/>
        </w:rPr>
        <w:t>{19/07/2023}</w:t>
      </w:r>
      <w:r>
        <w:t>19.7.2023</w:t>
      </w:r>
      <w:r>
        <w:rPr>
          <w:rStyle w:val="HideTWBExt"/>
        </w:rPr>
        <w:t>&lt;/Date&gt;</w:t>
      </w:r>
    </w:p>
    <w:p w14:paraId="7EEA61E9" w14:textId="412D0033" w:rsidR="002E2F2E" w:rsidRPr="0054431C" w:rsidRDefault="002E2F2E">
      <w:pPr>
        <w:pStyle w:val="CoverDocType24a"/>
      </w:pPr>
      <w:r>
        <w:rPr>
          <w:rStyle w:val="HideTWBExt"/>
          <w:b w:val="0"/>
        </w:rPr>
        <w:t>&lt;TitreType&gt;</w:t>
      </w:r>
      <w:r>
        <w:t>AVIZ</w:t>
      </w:r>
      <w:r>
        <w:rPr>
          <w:rStyle w:val="HideTWBExt"/>
          <w:b w:val="0"/>
        </w:rPr>
        <w:t>&lt;/TitreType&gt;</w:t>
      </w:r>
    </w:p>
    <w:p w14:paraId="00BB3065" w14:textId="77777777" w:rsidR="002E2F2E" w:rsidRPr="0054431C" w:rsidRDefault="002E2F2E">
      <w:pPr>
        <w:pStyle w:val="CoverNormal24a"/>
      </w:pPr>
      <w:r>
        <w:rPr>
          <w:rStyle w:val="HideTWBExt"/>
        </w:rPr>
        <w:t>&lt;CommissionResp&gt;</w:t>
      </w:r>
      <w:r>
        <w:t>al Comisiei pentru ocuparea forței de muncă și afaceri sociale</w:t>
      </w:r>
      <w:r>
        <w:rPr>
          <w:rStyle w:val="HideTWBExt"/>
        </w:rPr>
        <w:t>&lt;/CommissionResp&gt;</w:t>
      </w:r>
    </w:p>
    <w:p w14:paraId="283C32D6" w14:textId="080AEB70" w:rsidR="002E2F2E" w:rsidRPr="0054431C" w:rsidRDefault="002E2F2E">
      <w:pPr>
        <w:pStyle w:val="CoverNormal24a"/>
      </w:pPr>
      <w:r>
        <w:rPr>
          <w:rStyle w:val="HideTWBExt"/>
        </w:rPr>
        <w:t>&lt;CommissionInt&gt;</w:t>
      </w:r>
      <w:r>
        <w:t>destinat Comisiei pentru afaceri externe și Comisiei pentru comerț internațional</w:t>
      </w:r>
      <w:r>
        <w:rPr>
          <w:rStyle w:val="HideTWBExt"/>
        </w:rPr>
        <w:t>&lt;/CommissionInt&gt;</w:t>
      </w:r>
    </w:p>
    <w:p w14:paraId="287712A9" w14:textId="77777777" w:rsidR="002E2F2E" w:rsidRPr="0054431C" w:rsidRDefault="002E2F2E">
      <w:pPr>
        <w:pStyle w:val="CoverNormal"/>
      </w:pPr>
      <w:r>
        <w:rPr>
          <w:rStyle w:val="HideTWBExt"/>
        </w:rPr>
        <w:t>&lt;Titre&gt;</w:t>
      </w:r>
      <w:r>
        <w:t>referitor la raportul privind punerea în aplicare a Acordului comercial și de cooperare dintre UE și Regatul Unit</w:t>
      </w:r>
      <w:r>
        <w:rPr>
          <w:rStyle w:val="HideTWBExt"/>
        </w:rPr>
        <w:t>&lt;/Titre&gt;</w:t>
      </w:r>
    </w:p>
    <w:p w14:paraId="7B13B758" w14:textId="77777777" w:rsidR="002E2F2E" w:rsidRPr="0054431C" w:rsidRDefault="002E2F2E">
      <w:pPr>
        <w:pStyle w:val="CoverNormal24a"/>
      </w:pPr>
      <w:r>
        <w:rPr>
          <w:rStyle w:val="HideTWBExt"/>
        </w:rPr>
        <w:t>&lt;DocRef&gt;</w:t>
      </w:r>
      <w:r>
        <w:t>(2022/2188(INI))</w:t>
      </w:r>
      <w:r>
        <w:rPr>
          <w:rStyle w:val="HideTWBExt"/>
        </w:rPr>
        <w:t>&lt;/DocRef&gt;</w:t>
      </w:r>
    </w:p>
    <w:p w14:paraId="3E6D9A46" w14:textId="77777777" w:rsidR="002E2F2E" w:rsidRPr="0054431C" w:rsidRDefault="00083B60">
      <w:pPr>
        <w:pStyle w:val="CoverNormal24a"/>
      </w:pPr>
      <w:r>
        <w:t xml:space="preserve">Raportor pentru aviz (*): </w:t>
      </w:r>
      <w:r>
        <w:rPr>
          <w:rStyle w:val="HideTWBExt"/>
        </w:rPr>
        <w:t>&lt;Depute&gt;</w:t>
      </w:r>
      <w:r>
        <w:t>Dragoş Pîslaru</w:t>
      </w:r>
      <w:r>
        <w:rPr>
          <w:rStyle w:val="HideTWBExt"/>
        </w:rPr>
        <w:t>&lt;/Depute&gt;</w:t>
      </w:r>
    </w:p>
    <w:p w14:paraId="0DC455DC" w14:textId="77777777" w:rsidR="00627FEC" w:rsidRPr="0054431C" w:rsidRDefault="00627FEC" w:rsidP="00627FEC">
      <w:pPr>
        <w:pStyle w:val="CoverNormal24a"/>
      </w:pPr>
      <w:r>
        <w:t>(*) Procedura comisiei asociate – articolul 57 din Regulamentul de procedură</w:t>
      </w:r>
    </w:p>
    <w:p w14:paraId="401E9803" w14:textId="476CCE99" w:rsidR="00A72C35" w:rsidRPr="0054431C" w:rsidRDefault="00A72C35" w:rsidP="00A72C35">
      <w:pPr>
        <w:pStyle w:val="CoverNormal"/>
      </w:pPr>
    </w:p>
    <w:p w14:paraId="70BA82AE" w14:textId="77777777" w:rsidR="002E2F2E" w:rsidRPr="0054431C" w:rsidRDefault="002E2F2E" w:rsidP="00E856D2">
      <w:pPr>
        <w:widowControl/>
        <w:tabs>
          <w:tab w:val="center" w:pos="4677"/>
        </w:tabs>
      </w:pPr>
      <w:r>
        <w:br w:type="page"/>
      </w:r>
      <w:r>
        <w:lastRenderedPageBreak/>
        <w:t>PA_NonLeg</w:t>
      </w:r>
    </w:p>
    <w:p w14:paraId="3E343403" w14:textId="77777777" w:rsidR="002E2F2E" w:rsidRPr="0054431C" w:rsidRDefault="002E2F2E">
      <w:pPr>
        <w:pStyle w:val="PageHeadingNotTOC"/>
      </w:pPr>
      <w:r>
        <w:br w:type="page"/>
      </w:r>
      <w:r>
        <w:lastRenderedPageBreak/>
        <w:t>SUGESTII</w:t>
      </w:r>
    </w:p>
    <w:p w14:paraId="73BC3905" w14:textId="51E84423" w:rsidR="002E2F2E" w:rsidRPr="0054431C" w:rsidRDefault="00083B60" w:rsidP="00E7606B">
      <w:pPr>
        <w:pStyle w:val="NormalHanging12a"/>
        <w:tabs>
          <w:tab w:val="left" w:pos="0"/>
        </w:tabs>
        <w:ind w:left="0" w:firstLine="0"/>
      </w:pPr>
      <w:r>
        <w:t>Comisia pentru ocuparea forței de muncă și afaceri sociale recomandă Comisiei pentru afaceri externe și Comisiei pentru comerț internațional, care sunt comisii competente, includerea următoarelor sugestii în propunerea de rezoluție ce urmează a fi adoptată:</w:t>
      </w:r>
    </w:p>
    <w:p w14:paraId="16E45E2B" w14:textId="77777777" w:rsidR="00627FEC" w:rsidRPr="0054431C" w:rsidRDefault="001241D5" w:rsidP="00663F36">
      <w:pPr>
        <w:pStyle w:val="NormalHanging12a"/>
        <w:ind w:left="709" w:hanging="709"/>
        <w:rPr>
          <w:bCs/>
          <w:shd w:val="clear" w:color="auto" w:fill="FFFFFF"/>
        </w:rPr>
      </w:pPr>
      <w:r>
        <w:t>–</w:t>
      </w:r>
      <w:r>
        <w:tab/>
        <w:t xml:space="preserve">având în vedere </w:t>
      </w:r>
      <w:r>
        <w:rPr>
          <w:shd w:val="clear" w:color="auto" w:fill="FFFFFF"/>
        </w:rPr>
        <w:t>Acordul privind comerțul și cooperarea dintre Uniunea</w:t>
      </w:r>
      <w:r>
        <w:t xml:space="preserve"> Europeană </w:t>
      </w:r>
      <w:r>
        <w:rPr>
          <w:shd w:val="clear" w:color="auto" w:fill="FFFFFF"/>
        </w:rPr>
        <w:t>și Comunitatea Europeană a Energiei Atomice, pe de o parte, și Regatul Unit al Marii Britanii și Irlandei de Nord, pe de altă parte</w:t>
      </w:r>
      <w:r w:rsidR="007A2638" w:rsidRPr="0054431C">
        <w:rPr>
          <w:rStyle w:val="FootnoteReference"/>
          <w:bCs/>
          <w:shd w:val="clear" w:color="auto" w:fill="FFFFFF"/>
        </w:rPr>
        <w:footnoteReference w:id="1"/>
      </w:r>
      <w:r>
        <w:rPr>
          <w:shd w:val="clear" w:color="auto" w:fill="FFFFFF"/>
        </w:rPr>
        <w:t xml:space="preserve">, </w:t>
      </w:r>
    </w:p>
    <w:p w14:paraId="51FD5A15" w14:textId="290B9B28" w:rsidR="00627FEC" w:rsidRPr="0054431C" w:rsidRDefault="001241D5" w:rsidP="00663F36">
      <w:pPr>
        <w:pStyle w:val="NormalHanging12a"/>
        <w:ind w:left="709" w:hanging="709"/>
        <w:rPr>
          <w:bCs/>
          <w:shd w:val="clear" w:color="auto" w:fill="FFFFFF"/>
        </w:rPr>
      </w:pPr>
      <w:r>
        <w:t>–</w:t>
      </w:r>
      <w:r>
        <w:tab/>
        <w:t xml:space="preserve">având în vedere </w:t>
      </w:r>
      <w:r>
        <w:rPr>
          <w:shd w:val="clear" w:color="auto" w:fill="FFFFFF"/>
        </w:rPr>
        <w:t>Acordul privind retragerea Regatului Unit al</w:t>
      </w:r>
      <w:r>
        <w:t xml:space="preserve"> Marii </w:t>
      </w:r>
      <w:r>
        <w:rPr>
          <w:shd w:val="clear" w:color="auto" w:fill="FFFFFF"/>
        </w:rPr>
        <w:t>Britanii și Irlandei de Nord din Uniunea Europeană și din Comunitatea Europeană a Energiei Atomice</w:t>
      </w:r>
      <w:r w:rsidR="007A2638" w:rsidRPr="0054431C">
        <w:rPr>
          <w:rStyle w:val="FootnoteReference"/>
          <w:bCs/>
          <w:shd w:val="clear" w:color="auto" w:fill="FFFFFF"/>
        </w:rPr>
        <w:footnoteReference w:id="2"/>
      </w:r>
      <w:r>
        <w:rPr>
          <w:shd w:val="clear" w:color="auto" w:fill="FFFFFF"/>
        </w:rPr>
        <w:t>,</w:t>
      </w:r>
    </w:p>
    <w:p w14:paraId="7F75B5E3" w14:textId="232057F9" w:rsidR="00627FEC" w:rsidRPr="0054431C" w:rsidRDefault="001241D5" w:rsidP="00663F36">
      <w:pPr>
        <w:pStyle w:val="NormalHanging12a"/>
        <w:ind w:left="709" w:hanging="709"/>
      </w:pPr>
      <w:r>
        <w:t>–</w:t>
      </w:r>
      <w:r>
        <w:tab/>
        <w:t xml:space="preserve">având în vedere raportul Comisiei Europene din 24 martie 2022 privind punerea în aplicare a Acordului comercial și de cooperare între </w:t>
      </w:r>
      <w:r>
        <w:rPr>
          <w:shd w:val="clear" w:color="auto" w:fill="FFFFFF"/>
        </w:rPr>
        <w:t>Uniunea</w:t>
      </w:r>
      <w:r>
        <w:t xml:space="preserve"> Europeană și Regatul Unit al Marii Britanii și Irlandei de Nord, 1 ianuarie - 31 decembrie 2021 (COM(2022)0126),</w:t>
      </w:r>
    </w:p>
    <w:p w14:paraId="61CFB2A2" w14:textId="4883B071" w:rsidR="00627FEC" w:rsidRPr="0054431C" w:rsidRDefault="001241D5" w:rsidP="00663F36">
      <w:pPr>
        <w:pStyle w:val="NormalHanging12a"/>
        <w:ind w:left="709" w:hanging="709"/>
      </w:pPr>
      <w:r>
        <w:t>–</w:t>
      </w:r>
      <w:r>
        <w:tab/>
      </w:r>
      <w:r>
        <w:rPr>
          <w:shd w:val="clear" w:color="auto" w:fill="FFFFFF"/>
        </w:rPr>
        <w:t>având în vedere raportul Comisiei Europene din 15 martie 2023 privind punerea în aplicare a Acordului comercial și de cooperare între Uniunea Europeană și Regatul Unit al Marii Britanii și Irlandei de Nord, 1 ianuarie - 31 decembrie 2022 (</w:t>
      </w:r>
      <w:r>
        <w:t xml:space="preserve">COM(2023)0118), </w:t>
      </w:r>
    </w:p>
    <w:p w14:paraId="7804E3B7" w14:textId="77777777" w:rsidR="00627FEC" w:rsidRPr="0054431C" w:rsidRDefault="001241D5" w:rsidP="00663F36">
      <w:pPr>
        <w:pStyle w:val="NormalHanging12a"/>
        <w:ind w:left="709" w:hanging="709"/>
        <w:rPr>
          <w:bCs/>
          <w:shd w:val="clear" w:color="auto" w:fill="FFFFFF"/>
        </w:rPr>
      </w:pPr>
      <w:r>
        <w:t>–</w:t>
      </w:r>
      <w:r>
        <w:tab/>
        <w:t>având</w:t>
      </w:r>
      <w:r>
        <w:rPr>
          <w:shd w:val="clear" w:color="auto" w:fill="FFFFFF"/>
        </w:rPr>
        <w:t xml:space="preserve"> în vedere</w:t>
      </w:r>
      <w:r>
        <w:t xml:space="preserve"> Convenția </w:t>
      </w:r>
      <w:r>
        <w:rPr>
          <w:shd w:val="clear" w:color="auto" w:fill="FFFFFF"/>
        </w:rPr>
        <w:t>europeană</w:t>
      </w:r>
      <w:r>
        <w:t xml:space="preserve"> a drepturilor omului</w:t>
      </w:r>
      <w:r>
        <w:rPr>
          <w:shd w:val="clear" w:color="auto" w:fill="FFFFFF"/>
        </w:rPr>
        <w:t>,</w:t>
      </w:r>
    </w:p>
    <w:p w14:paraId="6EA0CEC6" w14:textId="77777777" w:rsidR="00627FEC" w:rsidRPr="0054431C" w:rsidRDefault="001241D5" w:rsidP="00663F36">
      <w:pPr>
        <w:pStyle w:val="NormalHanging12a"/>
        <w:ind w:left="709" w:hanging="709"/>
        <w:rPr>
          <w:bCs/>
          <w:shd w:val="clear" w:color="auto" w:fill="FFFFFF"/>
        </w:rPr>
      </w:pPr>
      <w:r>
        <w:t>–</w:t>
      </w:r>
      <w:r>
        <w:tab/>
        <w:t>având</w:t>
      </w:r>
      <w:r>
        <w:rPr>
          <w:shd w:val="clear" w:color="auto" w:fill="FFFFFF"/>
        </w:rPr>
        <w:t xml:space="preserve"> în vedere Carta</w:t>
      </w:r>
      <w:r>
        <w:t xml:space="preserve"> socială europeană,</w:t>
      </w:r>
    </w:p>
    <w:p w14:paraId="413F74C5" w14:textId="591153FB" w:rsidR="00F0342D" w:rsidRPr="0054431C" w:rsidRDefault="001241D5" w:rsidP="00663F36">
      <w:pPr>
        <w:pStyle w:val="NormalHanging12a"/>
        <w:ind w:left="709" w:hanging="709"/>
        <w:rPr>
          <w:b/>
          <w:i/>
          <w:szCs w:val="24"/>
        </w:rPr>
      </w:pPr>
      <w:r>
        <w:t>–</w:t>
      </w:r>
      <w:r>
        <w:tab/>
        <w:t>având în vedere convențiile și protocoalele Organizației Internaționale a Muncii (OIM), în special instrumentele fundamentale ale OIM</w:t>
      </w:r>
      <w:r>
        <w:rPr>
          <w:shd w:val="clear" w:color="auto" w:fill="FFFFFF"/>
        </w:rPr>
        <w:t>,</w:t>
      </w:r>
    </w:p>
    <w:p w14:paraId="3A6F885A" w14:textId="33389360" w:rsidR="00F0342D" w:rsidRPr="0054431C" w:rsidRDefault="006E2A34" w:rsidP="00663F36">
      <w:pPr>
        <w:pStyle w:val="NormalHanging12a"/>
        <w:ind w:left="709" w:hanging="709"/>
        <w:rPr>
          <w:color w:val="000000"/>
        </w:rPr>
      </w:pPr>
      <w:r>
        <w:t>–</w:t>
      </w:r>
      <w:r>
        <w:tab/>
      </w:r>
      <w:r>
        <w:rPr>
          <w:color w:val="000000"/>
        </w:rPr>
        <w:t>având</w:t>
      </w:r>
      <w:r>
        <w:t xml:space="preserve"> în </w:t>
      </w:r>
      <w:r>
        <w:rPr>
          <w:color w:val="000000"/>
        </w:rPr>
        <w:t>vedere</w:t>
      </w:r>
      <w:r>
        <w:t xml:space="preserve"> </w:t>
      </w:r>
      <w:r>
        <w:rPr>
          <w:color w:val="000000"/>
        </w:rPr>
        <w:t>declarația comună din 24 martie 2023 a ministrului de externe al Regatului Unit al Marii Britanii și a vicepreședintelui Comisiei Europene, Šefčovič, privind rezultatul celei de a zecea reuniuni a Comitetului mixt înființat în temeiul Acordului de retragere și al celei de a doua reuniuni a Consiliului de parteneriat pentru Acordul comercial și de cooperare,</w:t>
      </w:r>
    </w:p>
    <w:p w14:paraId="16131CDC" w14:textId="2329F89C" w:rsidR="00627FEC" w:rsidRPr="0054431C" w:rsidRDefault="00F311C9" w:rsidP="00663F36">
      <w:pPr>
        <w:pStyle w:val="NormalHanging12a"/>
        <w:ind w:left="709" w:hanging="709"/>
        <w:rPr>
          <w:bCs/>
          <w:shd w:val="clear" w:color="auto" w:fill="FFFFFF"/>
        </w:rPr>
      </w:pPr>
      <w:r>
        <w:t>A.</w:t>
      </w:r>
      <w:r>
        <w:tab/>
      </w:r>
      <w:r>
        <w:rPr>
          <w:color w:val="000000"/>
        </w:rPr>
        <w:t>întrucât, începând din 1 </w:t>
      </w:r>
      <w:r>
        <w:t>ianuarie</w:t>
      </w:r>
      <w:r>
        <w:rPr>
          <w:color w:val="000000"/>
        </w:rPr>
        <w:t> 2021, comerțul și cooperarea dintre UE și Regatul Unit sunt reglementate de Acordul comercial și de cooperare UE-Regatul Unit; întrucât cadrul instituțional al Acordului comercial și de cooperare a fost finalizat și a devenit pe deplin operațional în 2022;</w:t>
      </w:r>
    </w:p>
    <w:p w14:paraId="09B64A73" w14:textId="3F38E2F0" w:rsidR="004B1F4A" w:rsidRPr="0054431C" w:rsidRDefault="004B1F4A" w:rsidP="00BF099D">
      <w:pPr>
        <w:pStyle w:val="NormalHanging12a"/>
        <w:ind w:left="709" w:hanging="709"/>
        <w:rPr>
          <w:szCs w:val="24"/>
        </w:rPr>
      </w:pPr>
      <w:r>
        <w:t>B.</w:t>
      </w:r>
      <w:r>
        <w:tab/>
        <w:t xml:space="preserve">întrucât Acordul comercial și de cooperare prevede coordonarea securității sociale, pentru a proteja drepturile de securitate socială ale persoanelor care se deplasează între UE și Regatul Unit după 1 ianuarie 2021; întrucât acesta prevede, de asemenea, condiții de concurență echitabile, pentru a asigura o concurență loială prin menținerea unor niveluri ridicate de protecție într-o serie de domenii, inclusiv în ceea ce privește </w:t>
      </w:r>
      <w:r>
        <w:lastRenderedPageBreak/>
        <w:t>drepturile sociale și drepturile lucrătorilor, cu mecanisme obligatorii de punere în aplicare și de soluționare a litigiilor în scopul asigurării conformității;</w:t>
      </w:r>
    </w:p>
    <w:p w14:paraId="17A54B83" w14:textId="6B604351" w:rsidR="00627FEC" w:rsidRPr="0054431C" w:rsidRDefault="00F311C9" w:rsidP="00663F36">
      <w:pPr>
        <w:pStyle w:val="NormalHanging12a"/>
        <w:ind w:left="709" w:hanging="709"/>
        <w:rPr>
          <w:color w:val="000000"/>
        </w:rPr>
      </w:pPr>
      <w:r>
        <w:rPr>
          <w:color w:val="000000"/>
        </w:rPr>
        <w:t>C.</w:t>
      </w:r>
      <w:r>
        <w:rPr>
          <w:color w:val="000000"/>
        </w:rPr>
        <w:tab/>
        <w:t>întrucât drepturile fundamentale la organizare, la negociere colectivă și la acțiune colectivă sunt consacrate în dreptul internațional și inerente asigurării dezvoltării durabile și a unor condiții de concurență echitabile, astfel cum se prevede în Acordul comercial și de cooperare,</w:t>
      </w:r>
    </w:p>
    <w:p w14:paraId="7DD8C613" w14:textId="77777777" w:rsidR="00E7606B" w:rsidRPr="0054431C" w:rsidRDefault="007305A9" w:rsidP="00663F36">
      <w:pPr>
        <w:pStyle w:val="NormalHanging12a"/>
        <w:ind w:left="709" w:hanging="709"/>
      </w:pPr>
      <w:r>
        <w:t>D.</w:t>
      </w:r>
      <w:r>
        <w:tab/>
        <w:t>întrucât Acordul comercial și de cooperare conține un capitol privind întreprinderile mici și mijlocii (IMM-uri), recunoscând necesitatea de a asigura o piață deschisă și sigură pentru întreprinderi, inclusiv pentru IMM-uri, și urmărește să se asigure că nevoile acestora sunt luate în considerare în procesul de punere în aplicare, astfel încât respectivele entități să poată profita de acesta,</w:t>
      </w:r>
    </w:p>
    <w:p w14:paraId="13962F08" w14:textId="6D01EC72" w:rsidR="00694BA3" w:rsidRPr="0054431C" w:rsidRDefault="00694BA3" w:rsidP="00663F36">
      <w:pPr>
        <w:pStyle w:val="NormalHanging12a"/>
        <w:ind w:left="709" w:hanging="709"/>
        <w:rPr>
          <w:szCs w:val="24"/>
        </w:rPr>
      </w:pPr>
      <w:r>
        <w:t>1.</w:t>
      </w:r>
      <w:r>
        <w:tab/>
        <w:t>subliniază importanța implicării puternice a societății civile din UE și din Regatul Unit, inclusiv a organizațiilor patronale și a sindicatelor, precum și a ONG-urilor, în punerea în aplicare a Acordului comercial și de cooperare, în conformitate cu articolele 13 și 14 din acesta; ia act de reuniunile Grupului consultativ UE-Regatul Unit în acest sens și salută prima reuniune a Forumului societății civile din octombrie 2022; subliniază importanța continuării acestui dialog și a cooperării;</w:t>
      </w:r>
    </w:p>
    <w:p w14:paraId="2B7C3022" w14:textId="54ACE074" w:rsidR="00694BA3" w:rsidRPr="0054431C" w:rsidRDefault="00694BA3" w:rsidP="00BF099D">
      <w:pPr>
        <w:pStyle w:val="NormalHanging12a"/>
        <w:ind w:left="709" w:hanging="709"/>
        <w:rPr>
          <w:szCs w:val="24"/>
        </w:rPr>
      </w:pPr>
      <w:r>
        <w:t>2.</w:t>
      </w:r>
      <w:r>
        <w:tab/>
        <w:t>constată cu satisfacție că punerea în aplicare a Protocolului privind coordonarea sistemelor de securitate socială în cadrul Acordului comercial și de cooperare nu a fost până în prezent problematică și că nu au fost identificate probleme structurale în 2021 sau în 2022; subliniază însă că este important să existe un protocol dinamic, care să se alinieze la revizuirile regulamentelor privind coordonarea sistemelor de securitate socială;</w:t>
      </w:r>
    </w:p>
    <w:p w14:paraId="5A7D1303" w14:textId="5EBCEDB0" w:rsidR="00627FEC" w:rsidRPr="0054431C" w:rsidRDefault="00F311C9" w:rsidP="00E7606B">
      <w:pPr>
        <w:pStyle w:val="NormalHanging12a"/>
        <w:ind w:left="709" w:hanging="709"/>
      </w:pPr>
      <w:r>
        <w:t>3.</w:t>
      </w:r>
      <w:r>
        <w:tab/>
        <w:t>observă că, în 2021, Comitetul specializat privind coordonarea sistemelor de securitate socială a adoptat modificări ale anexelor la Protocol, pentru a confirma faptul că statele membre continuă să permită lucrătorilor detașați în sau din Regatul Unit să intre sub incidența legislației în materie de securitate socială a statului de origine, în anumite condiții; observă, de asemenea, că în 2022 s-au adoptat măsuri pregătitoare în vederea punerii în aplicare a dispozițiilor financiare privind rambursarea costului prestațiilor în natură în caz de boală acordate de un alt stat decât cel competent;</w:t>
      </w:r>
    </w:p>
    <w:p w14:paraId="18516130" w14:textId="7DA4F1A4" w:rsidR="00B17126" w:rsidRPr="0054431C" w:rsidRDefault="00B17126" w:rsidP="00E7606B">
      <w:pPr>
        <w:pStyle w:val="NormalHanging12a"/>
        <w:ind w:left="709" w:hanging="709"/>
      </w:pPr>
      <w:r>
        <w:rPr>
          <w:sz w:val="22"/>
        </w:rPr>
        <w:t>4.</w:t>
      </w:r>
      <w:r>
        <w:rPr>
          <w:sz w:val="22"/>
        </w:rPr>
        <w:tab/>
      </w:r>
      <w:r>
        <w:t>salută adoptarea de către Comitetul specializat privind coordonarea sistemelor de securitate socială a Deciziei 1/2023 prin care aprobă utilizarea Schimbului electronic de informații privind securitatea socială (EESSI) conform Acordului comercial și de cooperare</w:t>
      </w:r>
      <w:r w:rsidRPr="0054431C">
        <w:rPr>
          <w:rStyle w:val="FootnoteReference"/>
          <w:szCs w:val="24"/>
        </w:rPr>
        <w:footnoteReference w:id="3"/>
      </w:r>
      <w:r>
        <w:t xml:space="preserve"> în contextul Protocolului și ia, de asemenea, în considerare adoptarea unei recomandări a Comitetului specializat</w:t>
      </w:r>
      <w:r>
        <w:rPr>
          <w:vertAlign w:val="superscript"/>
        </w:rPr>
        <w:t>3</w:t>
      </w:r>
      <w:r>
        <w:t xml:space="preserve"> care să prevadă că părțile pertinente din deciziile și recomandările Comisiei administrative pentru coordonarea sistemelor de securitate socială ar trebui să fie aplicabile în contextul Protocolului; își reiterează apelul adresat statelor membre de a se asigura că EESSI devine pe deplin funcțional cât mai curând posibil și de a utiliza oportunitățile oferite de fondurile UE existente pentru a pune pe deplin în aplicare EESSI și pentru a digitaliza în continuare </w:t>
      </w:r>
      <w:r>
        <w:lastRenderedPageBreak/>
        <w:t xml:space="preserve">administrația publică; </w:t>
      </w:r>
    </w:p>
    <w:p w14:paraId="79C714C6" w14:textId="598545FF" w:rsidR="00627FEC" w:rsidRPr="0054431C" w:rsidRDefault="00F311C9" w:rsidP="00E7606B">
      <w:pPr>
        <w:pStyle w:val="NormalHanging12a"/>
        <w:ind w:left="709" w:hanging="709"/>
      </w:pPr>
      <w:r>
        <w:t>5.</w:t>
      </w:r>
      <w:r>
        <w:tab/>
        <w:t>reamintește că Acordul comercial și de cooperare impune ca parteneriatul economic dintre cele două părți să fie susținut de condiții de concurență echitabile pentru o concurență deschisă și loială și că schimburile comerciale și investițiile ar trebui să se desfășoare într-o manieră favorabilă dezvoltării durabile, inclusiv dezvoltării economice și sociale și protecției mediului; constată că, în temeiul articolului 355, ambele părți s-au angajat să mențină și să își îmbunătățească standardele respective în domeniile care intră sub incidența titlului XI;</w:t>
      </w:r>
    </w:p>
    <w:p w14:paraId="1C7D14A4" w14:textId="7C9374EB" w:rsidR="00E7606B" w:rsidRPr="0054431C" w:rsidRDefault="00B17126" w:rsidP="00E7606B">
      <w:pPr>
        <w:pStyle w:val="NormalHanging12a"/>
        <w:ind w:left="709" w:hanging="709"/>
        <w:rPr>
          <w:noProof/>
        </w:rPr>
      </w:pPr>
      <w:r>
        <w:t>6.</w:t>
      </w:r>
      <w:r>
        <w:tab/>
        <w:t xml:space="preserve">își exprimă preocuparea cu privire la evoluțiile recente care ar putea submina dispozițiile privind condițiile de concurență echitabile din Acordul comercial și de cooperare în domeniul social și al muncii în Regatul Unit; regretă profund, în acest sens, abrogarea, în iulie 2022, a interdicției impuse agențiilor de plasare a forței de muncă de a pune la dispoziție personal temporar pentru a înlocui lucrătorii care participă la acțiuni sindicale, care subminează dreptul lucrătorilor de a întreprinde acțiuni colective, inclusiv dreptul la grevă; face apel la guvernul Regatului Unit să ia măsurile necesare pentru a susține principiile condițiilor de concurență echitabile prezentate în articolele din Acordul comercial și de cooperare; </w:t>
      </w:r>
    </w:p>
    <w:p w14:paraId="0021B8D5" w14:textId="4695EB4E" w:rsidR="00B17126" w:rsidRPr="0054431C" w:rsidRDefault="00B17126" w:rsidP="00E7606B">
      <w:pPr>
        <w:pStyle w:val="NormalHanging12a"/>
        <w:ind w:left="709" w:hanging="709"/>
        <w:rPr>
          <w:sz w:val="28"/>
        </w:rPr>
      </w:pPr>
      <w:r>
        <w:t>7.</w:t>
      </w:r>
      <w:r>
        <w:tab/>
        <w:t>subliniază, de asemenea, unele evoluții legislative preocupante din Regatul Unit, care au fost propuse, dar care nu au fost încă adoptate, cum ar fi Legea privind dreptul Uniunii menținut în dreptul intern (revocare și reformă), Legea privind dreptul la grevă (nivelurile minime ale serviciilor) și Legea (nr. 2) privind protecția datelor și informațiile digitale; subliniază că aceste propuneri, dacă sunt adoptate, ar putea avea implicații grave pentru drepturile lucrătorilor, în special pentru drepturile fundamentale privind libertatea de asociere și dreptul de organizare, dreptul la negociere și acțiune colectivă, inclusiv dreptul la grevă, și ar putea submina angajamentele asumate de Regatul Unit în cadrul Acordului comercial și de cooperare; în acest sens, salută decizia guvernului Regatului Unit de a nu continua procesul de adoptare a Legii privind Carta britanică a drepturilor omului;</w:t>
      </w:r>
    </w:p>
    <w:p w14:paraId="5AF3848A" w14:textId="6FDCD3F5" w:rsidR="004B1F4A" w:rsidRPr="0054431C" w:rsidRDefault="004B1F4A" w:rsidP="00E7606B">
      <w:pPr>
        <w:pStyle w:val="NormalHanging12a"/>
        <w:ind w:left="709" w:hanging="709"/>
        <w:rPr>
          <w:szCs w:val="24"/>
        </w:rPr>
      </w:pPr>
      <w:r>
        <w:t>8.</w:t>
      </w:r>
      <w:r>
        <w:tab/>
        <w:t>reamintește că protecția drepturilor lucrătorilor este esențială pentru menținerea unor condiții de concurență echitabile și pentru dezvoltarea durabilă, astfel cum se prevede, printre altele, la articolele 355, 386, 387, 399 și 524 din Acordul comercial și de cooperare; invită Comisia să monitorizeze îndeaproape evoluțiile în acest sens și să utilizeze toate mijloacele disponibile pentru a răspunde oricărei preocupări care ar putea fi generată de adoptarea acestor propuneri în ceea ce privește aplicarea titlului XI capitolul 6, inclusiv prin dialog în cadrul Consiliului de parteneriat și al comitetelor specializate, prin consultarea Grupului consultativ intern al UE și, dacă este necesar, prin mecanismele de soluționare a litigiilor prevăzute la articolul 389;</w:t>
      </w:r>
    </w:p>
    <w:p w14:paraId="7FD7FF25" w14:textId="24CCC32E" w:rsidR="004B1F4A" w:rsidRPr="0054431C" w:rsidRDefault="004B1F4A" w:rsidP="00E7606B">
      <w:pPr>
        <w:pStyle w:val="NormalHanging12a"/>
        <w:ind w:left="709" w:hanging="709"/>
        <w:rPr>
          <w:szCs w:val="24"/>
        </w:rPr>
      </w:pPr>
      <w:r>
        <w:t>9.</w:t>
      </w:r>
      <w:r>
        <w:tab/>
        <w:t>ia act de faptul că, în iunie 2021, guvernul Regatului Unit și-a anunțat intenția de a institui un organism unic de asigurare a respectării drepturilor în materie de muncă, însărcinat cu asigurarea unei supravegheri centralizate a legislației sale în domeniul muncii</w:t>
      </w:r>
      <w:r w:rsidRPr="0054431C">
        <w:rPr>
          <w:vertAlign w:val="superscript"/>
        </w:rPr>
        <w:footnoteReference w:id="4"/>
      </w:r>
      <w:r>
        <w:t xml:space="preserve">, în scopul de a îmbunătăți coordonarea și eficacitatea organismelor existente și </w:t>
      </w:r>
      <w:r>
        <w:lastRenderedPageBreak/>
        <w:t>de a extinde aplicarea legislației în noi domenii; constată însă că până în prezent nu s-au înregistrat progrese suplimentare în ceea ce privește această propunere; invită Comisia să continue să monitorizeze îndeaproape punerea în aplicare a standardelor sociale și de muncă aplicabile, astfel cum prevede Acordul comercial și de cooperare, și orice evoluție în acest sens și să continue demersurile împreună cu guvernul Regatului Unit pentru a asigura respectarea deplină a Acordului comercial și de cooperare;</w:t>
      </w:r>
    </w:p>
    <w:p w14:paraId="6334BA1F" w14:textId="5594881A" w:rsidR="00663F36" w:rsidRPr="0054431C" w:rsidRDefault="004B1F4A" w:rsidP="00E7606B">
      <w:pPr>
        <w:pStyle w:val="NormalHanging12a"/>
        <w:ind w:left="709" w:hanging="709"/>
        <w:rPr>
          <w:rFonts w:cstheme="minorHAnsi"/>
        </w:rPr>
      </w:pPr>
      <w:r>
        <w:t>10.</w:t>
      </w:r>
      <w:r>
        <w:tab/>
        <w:t>regretă profund tratamentul discriminatoriu aplicat de Regatul Unit lucrătorilor din cinci state membre ale UE în 2021 în ceea ce privește taxele reduse pentru vizele de muncă pe termen lung; regretă, de asemenea, că Regatul Unit a renunțat ulterior la articolul 18 alineatul (2) din Carta socială europeană și, în consecință, a eliminat reducerile aplicate taxelor pentru vizele de muncă pentru toți cetățenii UE începând din februarie 2022; invită Comisia să adopte toate măsurile necesare în acest sens și să ridice în continuare această problemă prin intermediul Consiliului de parteneriat și al Comitetului specializat privind condiții de concurență echitabile pentru o concurență deschisă și loială și dezvoltarea durabilă;</w:t>
      </w:r>
    </w:p>
    <w:p w14:paraId="3BCEEC2E" w14:textId="0005CC96" w:rsidR="004B1F4A" w:rsidRPr="0054431C" w:rsidRDefault="004B1F4A" w:rsidP="00E7606B">
      <w:pPr>
        <w:pStyle w:val="NormalHanging12a"/>
        <w:ind w:left="709" w:hanging="709"/>
        <w:rPr>
          <w:szCs w:val="24"/>
        </w:rPr>
      </w:pPr>
      <w:r>
        <w:t>11.</w:t>
      </w:r>
      <w:r>
        <w:tab/>
        <w:t>invită UE și Regatul Unit să exploreze modalități de continuare a cooperării și a schimbului de bune practici în domeniul ocupării forței de muncă și al protecției sociale; recunoaște potențialul colaborării pentru a îmbunătăți punerea în aplicare și asigurarea respectării politicilor în materie de ocupare a forței de muncă, asigurând concurența loială și creșterea economică pentru întreprinderile și lucrătorii din UE și din Regatul Unit.</w:t>
      </w:r>
    </w:p>
    <w:p w14:paraId="401D7B95" w14:textId="77777777" w:rsidR="00FC351D" w:rsidRPr="0094446F" w:rsidRDefault="00FC351D" w:rsidP="0094446F">
      <w:r>
        <w:br w:type="page"/>
      </w:r>
    </w:p>
    <w:p w14:paraId="3027B3BA" w14:textId="05D7940D" w:rsidR="0094446F" w:rsidRDefault="0094446F" w:rsidP="0094446F">
      <w:pPr>
        <w:pStyle w:val="PageHeadingNotTOC"/>
      </w:pPr>
      <w:bookmarkStart w:id="1" w:name="ProcPageAD"/>
      <w:r>
        <w:lastRenderedPageBreak/>
        <w:t>INFORMAȚII PRIVIND ADOPTAREA</w:t>
      </w:r>
      <w:r>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4446F" w14:paraId="35BA962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26A223" w14:textId="77777777" w:rsidR="0094446F" w:rsidRDefault="0094446F">
            <w:pPr>
              <w:autoSpaceDE w:val="0"/>
              <w:autoSpaceDN w:val="0"/>
              <w:adjustRightInd w:val="0"/>
              <w:rPr>
                <w:b/>
                <w:bCs/>
                <w:color w:val="000000"/>
                <w:sz w:val="20"/>
              </w:rPr>
            </w:pPr>
            <w:r>
              <w:rPr>
                <w:b/>
                <w:color w:val="000000"/>
                <w:sz w:val="20"/>
              </w:rPr>
              <w:t>Articolul 58 – Procedura reuniunilor comune ale comisiilor</w:t>
            </w:r>
          </w:p>
          <w:p w14:paraId="2B270211" w14:textId="0CDDD549" w:rsidR="0094446F" w:rsidRDefault="009743D4">
            <w:pPr>
              <w:autoSpaceDE w:val="0"/>
              <w:autoSpaceDN w:val="0"/>
              <w:adjustRightInd w:val="0"/>
              <w:rPr>
                <w:color w:val="000000"/>
                <w:sz w:val="20"/>
              </w:rPr>
            </w:pPr>
            <w:r>
              <w:rPr>
                <w:color w:val="000000"/>
                <w:sz w:val="20"/>
              </w:rPr>
              <w:t xml:space="preserve"> </w:t>
            </w:r>
            <w:r w:rsidR="0094446F">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8708A4" w14:textId="43BE35E6" w:rsidR="0094446F" w:rsidRDefault="009743D4">
            <w:pPr>
              <w:autoSpaceDE w:val="0"/>
              <w:autoSpaceDN w:val="0"/>
              <w:adjustRightInd w:val="0"/>
              <w:rPr>
                <w:color w:val="000000"/>
                <w:sz w:val="20"/>
              </w:rPr>
            </w:pPr>
            <w:r>
              <w:rPr>
                <w:color w:val="000000"/>
                <w:sz w:val="20"/>
              </w:rPr>
              <w:t xml:space="preserve"> </w:t>
            </w:r>
          </w:p>
          <w:p w14:paraId="61633379" w14:textId="77777777" w:rsidR="0094446F" w:rsidRDefault="0094446F">
            <w:pPr>
              <w:autoSpaceDE w:val="0"/>
              <w:autoSpaceDN w:val="0"/>
              <w:adjustRightInd w:val="0"/>
              <w:rPr>
                <w:color w:val="000000"/>
                <w:sz w:val="20"/>
              </w:rPr>
            </w:pPr>
            <w:r>
              <w:rPr>
                <w:color w:val="000000"/>
                <w:sz w:val="20"/>
              </w:rPr>
              <w:t>15.12.2022</w:t>
            </w:r>
          </w:p>
        </w:tc>
      </w:tr>
      <w:tr w:rsidR="0094446F" w14:paraId="60C209C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1E3C6A" w14:textId="77777777" w:rsidR="0094446F" w:rsidRDefault="0094446F">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D0092D6" w14:textId="77777777" w:rsidR="0094446F" w:rsidRDefault="0094446F">
            <w:pPr>
              <w:autoSpaceDE w:val="0"/>
              <w:autoSpaceDN w:val="0"/>
              <w:adjustRightInd w:val="0"/>
              <w:rPr>
                <w:color w:val="000000"/>
                <w:sz w:val="20"/>
              </w:rPr>
            </w:pPr>
            <w:r>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0DFDE6" w14:textId="77777777" w:rsidR="0094446F" w:rsidRDefault="0094446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D23899" w14:textId="77777777" w:rsidR="0094446F" w:rsidRDefault="0094446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D20978" w14:textId="77777777" w:rsidR="0094446F" w:rsidRDefault="0094446F">
            <w:pPr>
              <w:autoSpaceDE w:val="0"/>
              <w:autoSpaceDN w:val="0"/>
              <w:adjustRightInd w:val="0"/>
              <w:rPr>
                <w:rFonts w:ascii="sans-serif" w:hAnsi="sans-serif" w:cs="sans-serif"/>
                <w:color w:val="000000"/>
                <w:szCs w:val="24"/>
              </w:rPr>
            </w:pPr>
          </w:p>
        </w:tc>
      </w:tr>
      <w:tr w:rsidR="0094446F" w14:paraId="12BF155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FEC2B6" w14:textId="77777777" w:rsidR="0094446F" w:rsidRDefault="0094446F">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E806D4C" w14:textId="77777777" w:rsidR="0094446F" w:rsidRDefault="0094446F">
            <w:pPr>
              <w:autoSpaceDE w:val="0"/>
              <w:autoSpaceDN w:val="0"/>
              <w:adjustRightInd w:val="0"/>
              <w:rPr>
                <w:color w:val="000000"/>
                <w:sz w:val="20"/>
              </w:rPr>
            </w:pPr>
            <w:r>
              <w:rPr>
                <w:color w:val="000000"/>
                <w:sz w:val="20"/>
              </w:rPr>
              <w:t>+:</w:t>
            </w:r>
          </w:p>
          <w:p w14:paraId="7FEDEAC0" w14:textId="77777777" w:rsidR="0094446F" w:rsidRDefault="0094446F">
            <w:pPr>
              <w:autoSpaceDE w:val="0"/>
              <w:autoSpaceDN w:val="0"/>
              <w:adjustRightInd w:val="0"/>
              <w:rPr>
                <w:color w:val="000000"/>
                <w:sz w:val="20"/>
              </w:rPr>
            </w:pPr>
            <w:r>
              <w:rPr>
                <w:color w:val="000000"/>
                <w:sz w:val="20"/>
              </w:rPr>
              <w:t>–:</w:t>
            </w:r>
          </w:p>
          <w:p w14:paraId="6553C866" w14:textId="77777777" w:rsidR="0094446F" w:rsidRDefault="0094446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3BEC9C" w14:textId="77777777" w:rsidR="0094446F" w:rsidRDefault="0094446F">
            <w:pPr>
              <w:autoSpaceDE w:val="0"/>
              <w:autoSpaceDN w:val="0"/>
              <w:adjustRightInd w:val="0"/>
              <w:rPr>
                <w:color w:val="000000"/>
                <w:sz w:val="20"/>
              </w:rPr>
            </w:pPr>
            <w:r>
              <w:rPr>
                <w:color w:val="000000"/>
                <w:sz w:val="20"/>
              </w:rPr>
              <w:t>34</w:t>
            </w:r>
          </w:p>
          <w:p w14:paraId="47F10AAB" w14:textId="77777777" w:rsidR="0094446F" w:rsidRDefault="0094446F">
            <w:pPr>
              <w:autoSpaceDE w:val="0"/>
              <w:autoSpaceDN w:val="0"/>
              <w:adjustRightInd w:val="0"/>
              <w:rPr>
                <w:color w:val="000000"/>
                <w:sz w:val="20"/>
              </w:rPr>
            </w:pPr>
            <w:r>
              <w:rPr>
                <w:color w:val="000000"/>
                <w:sz w:val="20"/>
              </w:rPr>
              <w:t>1</w:t>
            </w:r>
          </w:p>
          <w:p w14:paraId="05330E7A" w14:textId="77777777" w:rsidR="0094446F" w:rsidRDefault="0094446F">
            <w:pPr>
              <w:autoSpaceDE w:val="0"/>
              <w:autoSpaceDN w:val="0"/>
              <w:adjustRightInd w:val="0"/>
              <w:rPr>
                <w:color w:val="000000"/>
                <w:sz w:val="20"/>
              </w:rPr>
            </w:pPr>
            <w:r>
              <w:rPr>
                <w:color w:val="000000"/>
                <w:sz w:val="20"/>
              </w:rPr>
              <w:t>5</w:t>
            </w:r>
          </w:p>
        </w:tc>
      </w:tr>
      <w:tr w:rsidR="0094446F" w14:paraId="4FF6AE1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A1AAB4" w14:textId="77777777" w:rsidR="0094446F" w:rsidRDefault="0094446F">
            <w:pPr>
              <w:autoSpaceDE w:val="0"/>
              <w:autoSpaceDN w:val="0"/>
              <w:adjustRightInd w:val="0"/>
              <w:rPr>
                <w:b/>
                <w:bCs/>
                <w:color w:val="000000"/>
                <w:sz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1E92E9" w14:textId="77777777" w:rsidR="0094446F" w:rsidRDefault="0094446F">
            <w:pPr>
              <w:autoSpaceDE w:val="0"/>
              <w:autoSpaceDN w:val="0"/>
              <w:adjustRightInd w:val="0"/>
              <w:rPr>
                <w:color w:val="000000"/>
                <w:sz w:val="20"/>
              </w:rPr>
            </w:pPr>
            <w:r>
              <w:rPr>
                <w:color w:val="000000"/>
                <w:sz w:val="20"/>
              </w:rPr>
              <w:t>Atidzhe Alieva-Veli, Marc Angel, Dominique Bilde, Gabriele Bischoff, Vilija Blinkevičiūtė, Milan Brglez, Sylvie Brunet, Jordi Cañas, David Casa, Ilan De Basso, Jarosław Duda, Cindy Franssen, Chiara Gemma, Elisabetta Gualmini, Agnes Jongerius, Irena Joveva, Katrin Langensiepen, Elena Lizzi, Sara Matthieu, Max Orville, Kira Marie Peter-Hansen, Dragoş Pîslaru, Elżbieta Rafalska, Daniela Rondinelli, Pirkko Ruohonen-Lerner, Mounir Satouri, Romana Tomc, Nikolaj Villumsen, Maria Walsh, Stefania Zambelli, Tomáš Zdechovský</w:t>
            </w:r>
          </w:p>
        </w:tc>
      </w:tr>
      <w:tr w:rsidR="0094446F" w14:paraId="26BCCC6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827496" w14:textId="77777777" w:rsidR="0094446F" w:rsidRDefault="0094446F">
            <w:pPr>
              <w:autoSpaceDE w:val="0"/>
              <w:autoSpaceDN w:val="0"/>
              <w:adjustRightInd w:val="0"/>
              <w:rPr>
                <w:b/>
                <w:bCs/>
                <w:color w:val="000000"/>
                <w:sz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BF8778" w14:textId="77777777" w:rsidR="0094446F" w:rsidRDefault="0094446F">
            <w:pPr>
              <w:autoSpaceDE w:val="0"/>
              <w:autoSpaceDN w:val="0"/>
              <w:adjustRightInd w:val="0"/>
              <w:rPr>
                <w:color w:val="000000"/>
                <w:sz w:val="20"/>
              </w:rPr>
            </w:pPr>
            <w:r>
              <w:rPr>
                <w:color w:val="000000"/>
                <w:sz w:val="20"/>
              </w:rPr>
              <w:t>Alex Agius Saliba, Carmen Avram, Gheorghe Falcă, Aurore Lalucq, Evelyn Regner</w:t>
            </w:r>
          </w:p>
        </w:tc>
      </w:tr>
      <w:tr w:rsidR="0094446F" w14:paraId="6619AFA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FB5687" w14:textId="77777777" w:rsidR="0094446F" w:rsidRDefault="0094446F">
            <w:pPr>
              <w:autoSpaceDE w:val="0"/>
              <w:autoSpaceDN w:val="0"/>
              <w:adjustRightInd w:val="0"/>
              <w:rPr>
                <w:b/>
                <w:bCs/>
                <w:color w:val="000000"/>
                <w:sz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C334638" w14:textId="77777777" w:rsidR="0094446F" w:rsidRDefault="0094446F">
            <w:pPr>
              <w:autoSpaceDE w:val="0"/>
              <w:autoSpaceDN w:val="0"/>
              <w:adjustRightInd w:val="0"/>
              <w:rPr>
                <w:color w:val="000000"/>
                <w:sz w:val="20"/>
              </w:rPr>
            </w:pPr>
            <w:r>
              <w:rPr>
                <w:color w:val="000000"/>
                <w:sz w:val="20"/>
              </w:rPr>
              <w:t>Andrey Novakov, Carina Ohlsson, Helmut Scholz, Ralf Seekatz</w:t>
            </w:r>
          </w:p>
        </w:tc>
      </w:tr>
    </w:tbl>
    <w:p w14:paraId="027392CD" w14:textId="77777777" w:rsidR="0094446F" w:rsidRDefault="0094446F"/>
    <w:bookmarkEnd w:id="1"/>
    <w:p w14:paraId="4533853C" w14:textId="19A5B9DA" w:rsidR="002E2E41" w:rsidRPr="0094446F" w:rsidRDefault="002E2E41" w:rsidP="0094446F">
      <w:pPr>
        <w:sectPr w:rsidR="002E2E41" w:rsidRPr="0094446F" w:rsidSect="009B3A2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28A8E89" w14:textId="003C0353" w:rsidR="002E2E41" w:rsidRPr="0054431C" w:rsidRDefault="0094446F" w:rsidP="0094446F">
      <w:pPr>
        <w:pStyle w:val="PageHeadingNotTOC"/>
      </w:pPr>
      <w:bookmarkStart w:id="2" w:name="RollCallPageAD"/>
      <w:r>
        <w:lastRenderedPageBreak/>
        <w:t>VOT FINAL PRIN APEL NOMINAL</w:t>
      </w:r>
      <w:r>
        <w:b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2E41" w:rsidRPr="0054431C" w14:paraId="185144DC" w14:textId="77777777" w:rsidTr="008920AC">
        <w:trPr>
          <w:cantSplit/>
        </w:trPr>
        <w:tc>
          <w:tcPr>
            <w:tcW w:w="1701" w:type="dxa"/>
            <w:shd w:val="pct10" w:color="000000" w:fill="FFFFFF"/>
            <w:vAlign w:val="center"/>
          </w:tcPr>
          <w:p w14:paraId="488B25B0" w14:textId="74918C1E" w:rsidR="002E2E41" w:rsidRPr="0054431C" w:rsidRDefault="002E2E41" w:rsidP="003858C5">
            <w:pPr>
              <w:pStyle w:val="RollCallVotes"/>
            </w:pPr>
            <w:r>
              <w:t>34</w:t>
            </w:r>
          </w:p>
        </w:tc>
        <w:tc>
          <w:tcPr>
            <w:tcW w:w="7371" w:type="dxa"/>
            <w:shd w:val="pct10" w:color="000000" w:fill="FFFFFF"/>
          </w:tcPr>
          <w:p w14:paraId="1D31BDF6" w14:textId="77777777" w:rsidR="002E2E41" w:rsidRPr="0054431C" w:rsidRDefault="002E2E41" w:rsidP="003858C5">
            <w:pPr>
              <w:pStyle w:val="RollCallSymbols14pt"/>
            </w:pPr>
            <w:r>
              <w:t>+</w:t>
            </w:r>
          </w:p>
        </w:tc>
      </w:tr>
      <w:tr w:rsidR="002E2E41" w:rsidRPr="0054431C" w14:paraId="76CE2AA0" w14:textId="77777777" w:rsidTr="008920AC">
        <w:trPr>
          <w:cantSplit/>
        </w:trPr>
        <w:tc>
          <w:tcPr>
            <w:tcW w:w="1701" w:type="dxa"/>
            <w:shd w:val="clear" w:color="auto" w:fill="FFFFFF"/>
          </w:tcPr>
          <w:p w14:paraId="00CB7222" w14:textId="0577AB42" w:rsidR="002E2E41" w:rsidRPr="0054431C" w:rsidRDefault="002E2E41" w:rsidP="003858C5">
            <w:pPr>
              <w:pStyle w:val="RollCallTable"/>
            </w:pPr>
            <w:r>
              <w:t>PPE</w:t>
            </w:r>
          </w:p>
        </w:tc>
        <w:tc>
          <w:tcPr>
            <w:tcW w:w="7371" w:type="dxa"/>
            <w:shd w:val="clear" w:color="auto" w:fill="FFFFFF"/>
          </w:tcPr>
          <w:p w14:paraId="17E63D66" w14:textId="6ED1E7C9" w:rsidR="002E2E41" w:rsidRPr="0054431C" w:rsidRDefault="002E2E41" w:rsidP="003858C5">
            <w:pPr>
              <w:pStyle w:val="RollCallTable"/>
            </w:pPr>
            <w:r>
              <w:t>David Casa, Jarosław Duda, Gheorghe Falcă, Cindy Franssen, Andrey Novakov, Ralf Seekatz, Romana Tomc, Maria Walsh, Tomáš Zdechovský</w:t>
            </w:r>
          </w:p>
        </w:tc>
      </w:tr>
      <w:tr w:rsidR="002E2E41" w:rsidRPr="0054431C" w14:paraId="510AFA0D" w14:textId="77777777" w:rsidTr="008920AC">
        <w:trPr>
          <w:cantSplit/>
        </w:trPr>
        <w:tc>
          <w:tcPr>
            <w:tcW w:w="1701" w:type="dxa"/>
            <w:shd w:val="clear" w:color="auto" w:fill="FFFFFF"/>
          </w:tcPr>
          <w:p w14:paraId="6E46D1E6" w14:textId="42059EC1" w:rsidR="002E2E41" w:rsidRPr="0054431C" w:rsidRDefault="002E2E41" w:rsidP="003858C5">
            <w:pPr>
              <w:pStyle w:val="RollCallTable"/>
            </w:pPr>
            <w:r>
              <w:t>Renew</w:t>
            </w:r>
          </w:p>
        </w:tc>
        <w:tc>
          <w:tcPr>
            <w:tcW w:w="7371" w:type="dxa"/>
            <w:shd w:val="clear" w:color="auto" w:fill="FFFFFF"/>
          </w:tcPr>
          <w:p w14:paraId="2DEF5134" w14:textId="589F2429" w:rsidR="002E2E41" w:rsidRPr="0054431C" w:rsidRDefault="002E2E41" w:rsidP="003858C5">
            <w:pPr>
              <w:pStyle w:val="RollCallTable"/>
            </w:pPr>
            <w:r>
              <w:t>Atidzhe Alieva-Veli, Sylvie Brunet, Jordi Cañas, Irena Joveva, Max Orville, Dragoş Pîslaru</w:t>
            </w:r>
          </w:p>
        </w:tc>
      </w:tr>
      <w:tr w:rsidR="002E2E41" w:rsidRPr="0054431C" w14:paraId="52FD98EA" w14:textId="77777777" w:rsidTr="008920AC">
        <w:trPr>
          <w:cantSplit/>
        </w:trPr>
        <w:tc>
          <w:tcPr>
            <w:tcW w:w="1701" w:type="dxa"/>
            <w:shd w:val="clear" w:color="auto" w:fill="FFFFFF"/>
          </w:tcPr>
          <w:p w14:paraId="1239BC50" w14:textId="3174DF80" w:rsidR="002E2E41" w:rsidRPr="0054431C" w:rsidRDefault="002E2E41" w:rsidP="003858C5">
            <w:pPr>
              <w:pStyle w:val="RollCallTable"/>
            </w:pPr>
            <w:r>
              <w:t>S&amp;D</w:t>
            </w:r>
          </w:p>
        </w:tc>
        <w:tc>
          <w:tcPr>
            <w:tcW w:w="7371" w:type="dxa"/>
            <w:shd w:val="clear" w:color="auto" w:fill="FFFFFF"/>
          </w:tcPr>
          <w:p w14:paraId="4BFA0E26" w14:textId="6DB8C9C8" w:rsidR="002E2E41" w:rsidRPr="0054431C" w:rsidRDefault="002E2E41" w:rsidP="003858C5">
            <w:pPr>
              <w:pStyle w:val="RollCallTable"/>
            </w:pPr>
            <w:r>
              <w:t>Alex Agius Saliba, Marc Angel, Carmen Avram, Gabriele Bischoff, Vilija Blinkevičiūtė, Milan Brglez, Ilan De Basso, Elisabetta Gualmini, Agnes Jongerius, Aurore Lalucq, Carina Ohlsson, Evelyn Regner, Daniela Rondinelli</w:t>
            </w:r>
          </w:p>
        </w:tc>
      </w:tr>
      <w:tr w:rsidR="002E2E41" w:rsidRPr="0054431C" w14:paraId="7BCFB536" w14:textId="77777777" w:rsidTr="008920AC">
        <w:trPr>
          <w:cantSplit/>
        </w:trPr>
        <w:tc>
          <w:tcPr>
            <w:tcW w:w="1701" w:type="dxa"/>
            <w:shd w:val="clear" w:color="auto" w:fill="FFFFFF"/>
          </w:tcPr>
          <w:p w14:paraId="60CAB88E" w14:textId="04CD93B2" w:rsidR="002E2E41" w:rsidRPr="0054431C" w:rsidRDefault="002E2E41" w:rsidP="003858C5">
            <w:pPr>
              <w:pStyle w:val="RollCallTable"/>
            </w:pPr>
            <w:r>
              <w:t>The Left</w:t>
            </w:r>
          </w:p>
        </w:tc>
        <w:tc>
          <w:tcPr>
            <w:tcW w:w="7371" w:type="dxa"/>
            <w:shd w:val="clear" w:color="auto" w:fill="FFFFFF"/>
          </w:tcPr>
          <w:p w14:paraId="5C17100D" w14:textId="660361BD" w:rsidR="002E2E41" w:rsidRPr="0054431C" w:rsidRDefault="002E2E41" w:rsidP="003858C5">
            <w:pPr>
              <w:pStyle w:val="RollCallTable"/>
            </w:pPr>
            <w:r>
              <w:t>Helmut Scholz, Nikolaj Villumsen</w:t>
            </w:r>
          </w:p>
        </w:tc>
      </w:tr>
      <w:tr w:rsidR="002E2E41" w:rsidRPr="0054431C" w14:paraId="14C678F9" w14:textId="77777777" w:rsidTr="008920AC">
        <w:trPr>
          <w:cantSplit/>
        </w:trPr>
        <w:tc>
          <w:tcPr>
            <w:tcW w:w="1701" w:type="dxa"/>
            <w:shd w:val="clear" w:color="auto" w:fill="FFFFFF"/>
          </w:tcPr>
          <w:p w14:paraId="3951A769" w14:textId="3A4C1105" w:rsidR="002E2E41" w:rsidRPr="0054431C" w:rsidRDefault="002E2E41" w:rsidP="003858C5">
            <w:pPr>
              <w:pStyle w:val="RollCallTable"/>
            </w:pPr>
            <w:r>
              <w:t>Verts/ALE</w:t>
            </w:r>
          </w:p>
        </w:tc>
        <w:tc>
          <w:tcPr>
            <w:tcW w:w="7371" w:type="dxa"/>
            <w:shd w:val="clear" w:color="auto" w:fill="FFFFFF"/>
          </w:tcPr>
          <w:p w14:paraId="0C903ED0" w14:textId="74B29DF4" w:rsidR="002E2E41" w:rsidRPr="0054431C" w:rsidRDefault="002E2E41" w:rsidP="003858C5">
            <w:pPr>
              <w:pStyle w:val="RollCallTable"/>
            </w:pPr>
            <w:r>
              <w:t>Katrin Langensiepen, Sara Matthieu, Kira Marie Peter-Hansen, Mounir Satouri</w:t>
            </w:r>
          </w:p>
        </w:tc>
      </w:tr>
    </w:tbl>
    <w:p w14:paraId="5E4626C9" w14:textId="77777777" w:rsidR="002E2E41" w:rsidRPr="0054431C" w:rsidRDefault="002E2E4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2E41" w:rsidRPr="0054431C" w14:paraId="78D92BE3" w14:textId="77777777" w:rsidTr="008920AC">
        <w:trPr>
          <w:cantSplit/>
        </w:trPr>
        <w:tc>
          <w:tcPr>
            <w:tcW w:w="1701" w:type="dxa"/>
            <w:shd w:val="pct10" w:color="000000" w:fill="FFFFFF"/>
            <w:vAlign w:val="center"/>
          </w:tcPr>
          <w:p w14:paraId="444AC968" w14:textId="1C90B80A" w:rsidR="002E2E41" w:rsidRPr="0054431C" w:rsidRDefault="002E2E41" w:rsidP="003858C5">
            <w:pPr>
              <w:pStyle w:val="RollCallVotes"/>
            </w:pPr>
            <w:r>
              <w:t>1</w:t>
            </w:r>
          </w:p>
        </w:tc>
        <w:tc>
          <w:tcPr>
            <w:tcW w:w="7371" w:type="dxa"/>
            <w:shd w:val="pct10" w:color="000000" w:fill="FFFFFF"/>
          </w:tcPr>
          <w:p w14:paraId="041D7333" w14:textId="77777777" w:rsidR="002E2E41" w:rsidRPr="0054431C" w:rsidRDefault="002E2E41" w:rsidP="003858C5">
            <w:pPr>
              <w:pStyle w:val="RollCallSymbols14pt"/>
            </w:pPr>
            <w:r>
              <w:t>-</w:t>
            </w:r>
          </w:p>
        </w:tc>
      </w:tr>
      <w:tr w:rsidR="002E2E41" w:rsidRPr="0054431C" w14:paraId="23C2413D" w14:textId="77777777" w:rsidTr="008920AC">
        <w:trPr>
          <w:cantSplit/>
        </w:trPr>
        <w:tc>
          <w:tcPr>
            <w:tcW w:w="1701" w:type="dxa"/>
            <w:shd w:val="clear" w:color="auto" w:fill="FFFFFF"/>
          </w:tcPr>
          <w:p w14:paraId="3E75A4CB" w14:textId="532F1831" w:rsidR="002E2E41" w:rsidRPr="0054431C" w:rsidRDefault="002E2E41" w:rsidP="003858C5">
            <w:pPr>
              <w:pStyle w:val="RollCallTable"/>
            </w:pPr>
            <w:r>
              <w:t>ID</w:t>
            </w:r>
          </w:p>
        </w:tc>
        <w:tc>
          <w:tcPr>
            <w:tcW w:w="7371" w:type="dxa"/>
            <w:shd w:val="clear" w:color="auto" w:fill="FFFFFF"/>
          </w:tcPr>
          <w:p w14:paraId="423FC701" w14:textId="30D8640C" w:rsidR="002E2E41" w:rsidRPr="0054431C" w:rsidRDefault="002E2E41" w:rsidP="003858C5">
            <w:pPr>
              <w:pStyle w:val="RollCallTable"/>
            </w:pPr>
            <w:r>
              <w:t>Dominique Bilde</w:t>
            </w:r>
          </w:p>
        </w:tc>
      </w:tr>
    </w:tbl>
    <w:p w14:paraId="6E4D8CC3" w14:textId="77777777" w:rsidR="002E2E41" w:rsidRPr="0054431C" w:rsidRDefault="002E2E4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2E41" w:rsidRPr="0054431C" w14:paraId="6D25BC12" w14:textId="77777777" w:rsidTr="008920AC">
        <w:trPr>
          <w:cantSplit/>
        </w:trPr>
        <w:tc>
          <w:tcPr>
            <w:tcW w:w="1701" w:type="dxa"/>
            <w:shd w:val="pct10" w:color="000000" w:fill="FFFFFF"/>
            <w:vAlign w:val="center"/>
          </w:tcPr>
          <w:p w14:paraId="301DF93F" w14:textId="1D4B7E3F" w:rsidR="002E2E41" w:rsidRPr="0054431C" w:rsidRDefault="002E2E41" w:rsidP="003858C5">
            <w:pPr>
              <w:pStyle w:val="RollCallVotes"/>
            </w:pPr>
            <w:r>
              <w:t>5</w:t>
            </w:r>
          </w:p>
        </w:tc>
        <w:tc>
          <w:tcPr>
            <w:tcW w:w="7371" w:type="dxa"/>
            <w:shd w:val="pct10" w:color="000000" w:fill="FFFFFF"/>
          </w:tcPr>
          <w:p w14:paraId="08EFA8A7" w14:textId="77777777" w:rsidR="002E2E41" w:rsidRPr="0054431C" w:rsidRDefault="002E2E41" w:rsidP="003858C5">
            <w:pPr>
              <w:pStyle w:val="RollCallSymbols14pt"/>
            </w:pPr>
            <w:r>
              <w:t>0</w:t>
            </w:r>
          </w:p>
        </w:tc>
      </w:tr>
      <w:tr w:rsidR="002E2E41" w:rsidRPr="0054431C" w14:paraId="2CF36DC5" w14:textId="77777777" w:rsidTr="008920AC">
        <w:trPr>
          <w:cantSplit/>
        </w:trPr>
        <w:tc>
          <w:tcPr>
            <w:tcW w:w="1701" w:type="dxa"/>
            <w:shd w:val="clear" w:color="auto" w:fill="FFFFFF"/>
          </w:tcPr>
          <w:p w14:paraId="5BAD0196" w14:textId="0AA54C2E" w:rsidR="002E2E41" w:rsidRPr="0054431C" w:rsidRDefault="002E2E41" w:rsidP="003858C5">
            <w:pPr>
              <w:pStyle w:val="RollCallTable"/>
            </w:pPr>
            <w:r>
              <w:t>ECR</w:t>
            </w:r>
          </w:p>
        </w:tc>
        <w:tc>
          <w:tcPr>
            <w:tcW w:w="7371" w:type="dxa"/>
            <w:shd w:val="clear" w:color="auto" w:fill="FFFFFF"/>
          </w:tcPr>
          <w:p w14:paraId="1722CBDC" w14:textId="285135FE" w:rsidR="002E2E41" w:rsidRPr="0054431C" w:rsidRDefault="002E2E41" w:rsidP="003858C5">
            <w:pPr>
              <w:pStyle w:val="RollCallTable"/>
            </w:pPr>
            <w:r>
              <w:t>Chiara Gemma, Elżbieta Rafalska, Pirkko Ruohonen-Lerner</w:t>
            </w:r>
          </w:p>
        </w:tc>
      </w:tr>
      <w:tr w:rsidR="002E2E41" w:rsidRPr="0054431C" w14:paraId="578318DE" w14:textId="77777777" w:rsidTr="008920AC">
        <w:trPr>
          <w:cantSplit/>
        </w:trPr>
        <w:tc>
          <w:tcPr>
            <w:tcW w:w="1701" w:type="dxa"/>
            <w:shd w:val="clear" w:color="auto" w:fill="FFFFFF"/>
          </w:tcPr>
          <w:p w14:paraId="29843BD4" w14:textId="49C6E4D2" w:rsidR="002E2E41" w:rsidRPr="0054431C" w:rsidRDefault="002E2E41" w:rsidP="003858C5">
            <w:pPr>
              <w:pStyle w:val="RollCallTable"/>
            </w:pPr>
            <w:r>
              <w:t>ID</w:t>
            </w:r>
          </w:p>
        </w:tc>
        <w:tc>
          <w:tcPr>
            <w:tcW w:w="7371" w:type="dxa"/>
            <w:shd w:val="clear" w:color="auto" w:fill="FFFFFF"/>
          </w:tcPr>
          <w:p w14:paraId="50F80FCD" w14:textId="11191149" w:rsidR="002E2E41" w:rsidRPr="0054431C" w:rsidRDefault="002E2E41" w:rsidP="003858C5">
            <w:pPr>
              <w:pStyle w:val="RollCallTable"/>
            </w:pPr>
            <w:r>
              <w:t>Elena Lizzi, Stefania Zambelli</w:t>
            </w:r>
          </w:p>
        </w:tc>
      </w:tr>
    </w:tbl>
    <w:p w14:paraId="11C6F6E9" w14:textId="77777777" w:rsidR="002E2E41" w:rsidRPr="0054431C" w:rsidRDefault="002E2E41" w:rsidP="00147FBF">
      <w:pPr>
        <w:pStyle w:val="Normal12a"/>
      </w:pPr>
    </w:p>
    <w:p w14:paraId="18FB020B" w14:textId="2D033695" w:rsidR="002E2E41" w:rsidRPr="0054431C" w:rsidRDefault="0094446F" w:rsidP="00B735E3">
      <w:r>
        <w:t>Legenda simbolurilor utilizate:</w:t>
      </w:r>
    </w:p>
    <w:p w14:paraId="708A18B7" w14:textId="50EAA9F2" w:rsidR="002E2E41" w:rsidRPr="0054431C" w:rsidRDefault="002E2E41" w:rsidP="003858C5">
      <w:pPr>
        <w:pStyle w:val="RollCallTabs"/>
      </w:pPr>
      <w:r>
        <w:t>+</w:t>
      </w:r>
      <w:r>
        <w:tab/>
        <w:t>:</w:t>
      </w:r>
      <w:r>
        <w:tab/>
        <w:t>pentru</w:t>
      </w:r>
    </w:p>
    <w:p w14:paraId="7CE31193" w14:textId="6B45373F" w:rsidR="002E2E41" w:rsidRPr="0054431C" w:rsidRDefault="002E2E41" w:rsidP="003858C5">
      <w:pPr>
        <w:pStyle w:val="RollCallTabs"/>
      </w:pPr>
      <w:r>
        <w:t>-</w:t>
      </w:r>
      <w:r>
        <w:tab/>
        <w:t>:</w:t>
      </w:r>
      <w:r>
        <w:tab/>
        <w:t>împotrivă</w:t>
      </w:r>
    </w:p>
    <w:p w14:paraId="2E26203A" w14:textId="2AE18AFC" w:rsidR="002E2E41" w:rsidRPr="0054431C" w:rsidRDefault="002E2E41" w:rsidP="003858C5">
      <w:pPr>
        <w:pStyle w:val="RollCallTabs"/>
      </w:pPr>
      <w:r>
        <w:t>0</w:t>
      </w:r>
      <w:r>
        <w:tab/>
        <w:t>:</w:t>
      </w:r>
      <w:r>
        <w:tab/>
        <w:t>abțineri</w:t>
      </w:r>
    </w:p>
    <w:p w14:paraId="07AF133C" w14:textId="77777777" w:rsidR="002E2E41" w:rsidRPr="0054431C" w:rsidRDefault="002E2E41" w:rsidP="00207509"/>
    <w:bookmarkEnd w:id="2"/>
    <w:p w14:paraId="54F466A0" w14:textId="26144C78" w:rsidR="002E6F98" w:rsidRPr="0054431C" w:rsidRDefault="002E6F98" w:rsidP="002E2E41"/>
    <w:sectPr w:rsidR="002E6F98" w:rsidRPr="0054431C" w:rsidSect="002E2E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7182E" w14:textId="77777777" w:rsidR="00083B60" w:rsidRPr="0054431C" w:rsidRDefault="00083B60">
      <w:r w:rsidRPr="0054431C">
        <w:separator/>
      </w:r>
    </w:p>
  </w:endnote>
  <w:endnote w:type="continuationSeparator" w:id="0">
    <w:p w14:paraId="0C77CCC2" w14:textId="77777777" w:rsidR="00083B60" w:rsidRPr="0054431C" w:rsidRDefault="00083B60">
      <w:r w:rsidRPr="00544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1737D" w14:textId="6330188B" w:rsidR="009B3A2D" w:rsidRPr="0054431C" w:rsidRDefault="009B3A2D" w:rsidP="009B3A2D">
    <w:pPr>
      <w:pStyle w:val="EPFooter"/>
    </w:pPr>
    <w:r w:rsidRPr="0054431C">
      <w:t>PE</w:t>
    </w:r>
    <w:r w:rsidRPr="0054431C">
      <w:rPr>
        <w:rStyle w:val="HideTWBExt"/>
      </w:rPr>
      <w:t>&lt;NoPE&gt;</w:t>
    </w:r>
    <w:r w:rsidRPr="0054431C">
      <w:t>749.086</w:t>
    </w:r>
    <w:r w:rsidRPr="0054431C">
      <w:rPr>
        <w:rStyle w:val="HideTWBExt"/>
      </w:rPr>
      <w:t>&lt;/NoPE&gt;&lt;Version&gt;</w:t>
    </w:r>
    <w:r w:rsidRPr="0054431C">
      <w:t>v02-00</w:t>
    </w:r>
    <w:r w:rsidRPr="0054431C">
      <w:rPr>
        <w:rStyle w:val="HideTWBExt"/>
      </w:rPr>
      <w:t>&lt;/Version&gt;</w:t>
    </w:r>
    <w:r w:rsidRPr="0054431C">
      <w:tab/>
    </w:r>
    <w:r w:rsidRPr="0054431C">
      <w:fldChar w:fldCharType="begin"/>
    </w:r>
    <w:r w:rsidRPr="0054431C">
      <w:instrText xml:space="preserve"> PAGE  \* MERGEFORMAT </w:instrText>
    </w:r>
    <w:r w:rsidRPr="0054431C">
      <w:fldChar w:fldCharType="separate"/>
    </w:r>
    <w:r w:rsidR="009743D4">
      <w:rPr>
        <w:noProof/>
      </w:rPr>
      <w:t>2</w:t>
    </w:r>
    <w:r w:rsidRPr="0054431C">
      <w:fldChar w:fldCharType="end"/>
    </w:r>
    <w:r w:rsidRPr="0054431C">
      <w:t>/</w:t>
    </w:r>
    <w:r w:rsidR="009743D4">
      <w:fldChar w:fldCharType="begin"/>
    </w:r>
    <w:r w:rsidR="009743D4">
      <w:instrText xml:space="preserve"> NUMPAGES  \* MERGEFORMAT </w:instrText>
    </w:r>
    <w:r w:rsidR="009743D4">
      <w:fldChar w:fldCharType="separate"/>
    </w:r>
    <w:r w:rsidR="009743D4">
      <w:rPr>
        <w:noProof/>
      </w:rPr>
      <w:t>8</w:t>
    </w:r>
    <w:r w:rsidR="009743D4">
      <w:rPr>
        <w:noProof/>
      </w:rPr>
      <w:fldChar w:fldCharType="end"/>
    </w:r>
    <w:r w:rsidRPr="0054431C">
      <w:tab/>
    </w:r>
    <w:r w:rsidRPr="0054431C">
      <w:rPr>
        <w:rStyle w:val="HideTWBExt"/>
      </w:rPr>
      <w:t>&lt;PathFdR&gt;</w:t>
    </w:r>
    <w:r w:rsidRPr="0054431C">
      <w:t>AD\1283588RO.docx</w:t>
    </w:r>
    <w:r w:rsidRPr="0054431C">
      <w:rPr>
        <w:rStyle w:val="HideTWBExt"/>
      </w:rPr>
      <w:t>&lt;/PathFdR&gt;</w:t>
    </w:r>
  </w:p>
  <w:p w14:paraId="219033AE" w14:textId="00B05E11" w:rsidR="002E2F2E" w:rsidRPr="0054431C" w:rsidRDefault="009B3A2D" w:rsidP="009B3A2D">
    <w:pPr>
      <w:pStyle w:val="EPFooter2"/>
    </w:pPr>
    <w:r w:rsidRPr="0054431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8206D" w14:textId="71B2517B" w:rsidR="009B3A2D" w:rsidRPr="0054431C" w:rsidRDefault="009B3A2D" w:rsidP="009B3A2D">
    <w:pPr>
      <w:pStyle w:val="EPFooter"/>
    </w:pPr>
    <w:r w:rsidRPr="0054431C">
      <w:rPr>
        <w:rStyle w:val="HideTWBExt"/>
      </w:rPr>
      <w:t>&lt;PathFdR&gt;</w:t>
    </w:r>
    <w:r w:rsidRPr="0054431C">
      <w:t>AD\1283588RO.docx</w:t>
    </w:r>
    <w:r w:rsidRPr="0054431C">
      <w:rPr>
        <w:rStyle w:val="HideTWBExt"/>
      </w:rPr>
      <w:t>&lt;/PathFdR&gt;</w:t>
    </w:r>
    <w:r w:rsidRPr="0054431C">
      <w:tab/>
    </w:r>
    <w:r w:rsidRPr="0054431C">
      <w:fldChar w:fldCharType="begin"/>
    </w:r>
    <w:r w:rsidRPr="0054431C">
      <w:instrText xml:space="preserve"> PAGE  \* MERGEFORMAT </w:instrText>
    </w:r>
    <w:r w:rsidRPr="0054431C">
      <w:fldChar w:fldCharType="separate"/>
    </w:r>
    <w:r w:rsidR="009743D4">
      <w:rPr>
        <w:noProof/>
      </w:rPr>
      <w:t>8</w:t>
    </w:r>
    <w:r w:rsidRPr="0054431C">
      <w:fldChar w:fldCharType="end"/>
    </w:r>
    <w:r w:rsidRPr="0054431C">
      <w:t>/</w:t>
    </w:r>
    <w:r w:rsidR="009743D4">
      <w:fldChar w:fldCharType="begin"/>
    </w:r>
    <w:r w:rsidR="009743D4">
      <w:instrText xml:space="preserve"> NUMPAGES  \* MERGEFORMAT </w:instrText>
    </w:r>
    <w:r w:rsidR="009743D4">
      <w:fldChar w:fldCharType="separate"/>
    </w:r>
    <w:r w:rsidR="009743D4">
      <w:rPr>
        <w:noProof/>
      </w:rPr>
      <w:t>8</w:t>
    </w:r>
    <w:r w:rsidR="009743D4">
      <w:rPr>
        <w:noProof/>
      </w:rPr>
      <w:fldChar w:fldCharType="end"/>
    </w:r>
    <w:r w:rsidRPr="0054431C">
      <w:tab/>
      <w:t>PE</w:t>
    </w:r>
    <w:r w:rsidRPr="0054431C">
      <w:rPr>
        <w:rStyle w:val="HideTWBExt"/>
      </w:rPr>
      <w:t>&lt;NoPE&gt;</w:t>
    </w:r>
    <w:r w:rsidRPr="0054431C">
      <w:t>749.086</w:t>
    </w:r>
    <w:r w:rsidRPr="0054431C">
      <w:rPr>
        <w:rStyle w:val="HideTWBExt"/>
      </w:rPr>
      <w:t>&lt;/NoPE&gt;&lt;Version&gt;</w:t>
    </w:r>
    <w:r w:rsidRPr="0054431C">
      <w:t>v02-00</w:t>
    </w:r>
    <w:r w:rsidRPr="0054431C">
      <w:rPr>
        <w:rStyle w:val="HideTWBExt"/>
      </w:rPr>
      <w:t>&lt;/Version&gt;</w:t>
    </w:r>
  </w:p>
  <w:p w14:paraId="5D45B9AE" w14:textId="715F9121" w:rsidR="002E2F2E" w:rsidRPr="0054431C" w:rsidRDefault="009B3A2D" w:rsidP="009B3A2D">
    <w:pPr>
      <w:pStyle w:val="EPFooter2"/>
    </w:pPr>
    <w:r w:rsidRPr="0054431C">
      <w:tab/>
    </w:r>
    <w:r w:rsidRPr="0054431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900E" w14:textId="77777777" w:rsidR="009B3A2D" w:rsidRPr="0054431C" w:rsidRDefault="009B3A2D" w:rsidP="009B3A2D">
    <w:pPr>
      <w:pStyle w:val="EPFooter"/>
    </w:pPr>
    <w:r w:rsidRPr="0054431C">
      <w:rPr>
        <w:rStyle w:val="HideTWBExt"/>
      </w:rPr>
      <w:t>&lt;PathFdR&gt;</w:t>
    </w:r>
    <w:r w:rsidRPr="0054431C">
      <w:t>AD\1283588RO.docx</w:t>
    </w:r>
    <w:r w:rsidRPr="0054431C">
      <w:rPr>
        <w:rStyle w:val="HideTWBExt"/>
      </w:rPr>
      <w:t>&lt;/PathFdR&gt;</w:t>
    </w:r>
    <w:r w:rsidRPr="0054431C">
      <w:tab/>
    </w:r>
    <w:r w:rsidRPr="0054431C">
      <w:tab/>
      <w:t>PE</w:t>
    </w:r>
    <w:r w:rsidRPr="0054431C">
      <w:rPr>
        <w:rStyle w:val="HideTWBExt"/>
      </w:rPr>
      <w:t>&lt;NoPE&gt;</w:t>
    </w:r>
    <w:r w:rsidRPr="0054431C">
      <w:t>749.086</w:t>
    </w:r>
    <w:r w:rsidRPr="0054431C">
      <w:rPr>
        <w:rStyle w:val="HideTWBExt"/>
      </w:rPr>
      <w:t>&lt;/NoPE&gt;&lt;Version&gt;</w:t>
    </w:r>
    <w:r w:rsidRPr="0054431C">
      <w:t>v02-00</w:t>
    </w:r>
    <w:r w:rsidRPr="0054431C">
      <w:rPr>
        <w:rStyle w:val="HideTWBExt"/>
      </w:rPr>
      <w:t>&lt;/Version&gt;</w:t>
    </w:r>
  </w:p>
  <w:p w14:paraId="77D15E90" w14:textId="2271697B" w:rsidR="002E2F2E" w:rsidRPr="0054431C" w:rsidRDefault="009B3A2D" w:rsidP="009B3A2D">
    <w:pPr>
      <w:pStyle w:val="EPFooter2"/>
    </w:pPr>
    <w:r w:rsidRPr="0054431C">
      <w:t>RO</w:t>
    </w:r>
    <w:r w:rsidRPr="0054431C">
      <w:tab/>
    </w:r>
    <w:r w:rsidRPr="0054431C">
      <w:rPr>
        <w:b w:val="0"/>
        <w:i/>
        <w:color w:val="C0C0C0"/>
        <w:sz w:val="22"/>
      </w:rPr>
      <w:t>Unită în diversitate</w:t>
    </w:r>
    <w:r w:rsidRPr="0054431C">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6E1CB" w14:textId="77777777" w:rsidR="00083B60" w:rsidRPr="0054431C" w:rsidRDefault="00083B60">
      <w:r w:rsidRPr="0054431C">
        <w:separator/>
      </w:r>
    </w:p>
  </w:footnote>
  <w:footnote w:type="continuationSeparator" w:id="0">
    <w:p w14:paraId="4BE087C6" w14:textId="77777777" w:rsidR="00083B60" w:rsidRPr="0054431C" w:rsidRDefault="00083B60">
      <w:r w:rsidRPr="0054431C">
        <w:continuationSeparator/>
      </w:r>
    </w:p>
  </w:footnote>
  <w:footnote w:id="1">
    <w:p w14:paraId="437277A2" w14:textId="77777777" w:rsidR="007A2638" w:rsidRPr="0054431C" w:rsidRDefault="007A2638">
      <w:pPr>
        <w:pStyle w:val="FootnoteText"/>
      </w:pPr>
      <w:r>
        <w:rPr>
          <w:rStyle w:val="FootnoteReference"/>
        </w:rPr>
        <w:footnoteRef/>
      </w:r>
      <w:r>
        <w:t xml:space="preserve"> JO L 149, 30.4.2021, p. 10.</w:t>
      </w:r>
    </w:p>
  </w:footnote>
  <w:footnote w:id="2">
    <w:p w14:paraId="19646057" w14:textId="6FAA751E" w:rsidR="007A2638" w:rsidRPr="0054431C" w:rsidRDefault="007A2638">
      <w:pPr>
        <w:pStyle w:val="FootnoteText"/>
      </w:pPr>
      <w:r>
        <w:rPr>
          <w:rStyle w:val="FootnoteReference"/>
        </w:rPr>
        <w:footnoteRef/>
      </w:r>
      <w:r>
        <w:t xml:space="preserve"> JO C 384I, 12.11.2019, p. 1.</w:t>
      </w:r>
    </w:p>
  </w:footnote>
  <w:footnote w:id="3">
    <w:p w14:paraId="267D03B2" w14:textId="09AD7642" w:rsidR="00B17126" w:rsidRPr="0054431C" w:rsidRDefault="00B17126" w:rsidP="00B17126">
      <w:pPr>
        <w:pStyle w:val="FootnoteText"/>
      </w:pPr>
      <w:r>
        <w:rPr>
          <w:rStyle w:val="FootnoteReference"/>
        </w:rPr>
        <w:footnoteRef/>
      </w:r>
      <w:r>
        <w:t xml:space="preserve"> </w:t>
      </w:r>
      <w:hyperlink r:id="rId1" w:history="1">
        <w:r>
          <w:rPr>
            <w:rStyle w:val="Hyperlink"/>
          </w:rPr>
          <w:t>Ordinea de zi provizorie a celui de al treilea Comitet specializat privind coordonarea sistemelor de securitate socială</w:t>
        </w:r>
      </w:hyperlink>
      <w:r>
        <w:t>, Londra, iunie 2023.</w:t>
      </w:r>
    </w:p>
  </w:footnote>
  <w:footnote w:id="4">
    <w:p w14:paraId="1C64340B" w14:textId="7B131ADA" w:rsidR="004B1F4A" w:rsidRPr="0054431C" w:rsidRDefault="004B1F4A" w:rsidP="004B1F4A">
      <w:pPr>
        <w:pStyle w:val="FootnoteText"/>
      </w:pPr>
      <w:r>
        <w:rPr>
          <w:rStyle w:val="FootnoteReference"/>
        </w:rPr>
        <w:footnoteRef/>
      </w:r>
      <w:r>
        <w:t xml:space="preserve"> Departamentul pentru mediul de afaceri, energie și strategia industrială, Regatul Unit. Establishing a new single enforcement body for employment rights (Înființarea unui nou organism unic pentru drepturile în materie de muncă),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E531E" w14:textId="77777777" w:rsidR="0094446F" w:rsidRDefault="009444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DD953" w14:textId="77777777" w:rsidR="0094446F" w:rsidRDefault="00944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6C1BD" w14:textId="77777777" w:rsidR="0094446F" w:rsidRDefault="00944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D2506"/>
    <w:multiLevelType w:val="hybridMultilevel"/>
    <w:tmpl w:val="0CA0A2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49D4909"/>
    <w:multiLevelType w:val="hybridMultilevel"/>
    <w:tmpl w:val="6548154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FF4070A"/>
    <w:multiLevelType w:val="hybridMultilevel"/>
    <w:tmpl w:val="9E4AF42C"/>
    <w:lvl w:ilvl="0" w:tplc="24AEAB9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AFET"/>
    <w:docVar w:name="COMKEY" w:val="EMPL"/>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71266 HideTWBInt;}{_x000d__x000a_\s18\ql \fi-567\li567\ri0\sa240\nowidctlpar\wrapdefault\aspalpha\aspnum\faauto\adjustright\rin0\lin567\itap0 \rtlch\fcs1 \af0\afs20\alang1025 \ltrch\fcs0 \fs24\lang2057\langfe2057\cgrid\langnp2057\langfenp2057 _x000d__x000a_\sbasedon0 \snext18 \spriority0 \styrsid871266 NormalHanging12a;}}{\*\rsidtbl \rsid24658\rsid223860\rsid735077\rsid871266\rsid1718133\rsid2892074\rsid3565327\rsid4666813\rsid6641733\rsid7823322\rsid8009455\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OZOLINA Iveta}{\operator OZOLINA Iveta}{\creatim\yr2023\mo7\dy18\hr14\min32}{\revtim\yr2023\mo7\dy18\hr14\min32}{\version1}{\edmins0}{\nofpages1}{\nofwords2}{\nofchars11}{\nofcharsws12}{\vern107}}{\*\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1266\newtblstyruls\nogrowautofit\usenormstyforlist\noindnmbrts\felnbrelev\nocxsptable\indrlsweleven\noafcnsttbl\afelev\utinl\hwelev\spltpgpar\notcvasp\notbrkcnstfrctbl\notvatxbx\krnprsnet\cachedcolbal \nouicompat \fet0_x000d__x000a_{\*\wgrffmtfilter 013f}\nofeaturethrottle1\ilfomacatclnup0{\*\template C:\\Users\\iozolina\\AppData\\Local\\Temp\\Blank1.dotx}{\*\ftnsep \ltrpar \pard\plain \ltrpar\ql \li0\ri0\widctlpar\wrapdefault\aspalpha\aspnum\faauto\adjustright\rin0\lin0\itap0 _x000d__x000a_\rtlch\fcs1 \af0\afs20\alang1025 \ltrch\fcs0 \fs24\lang2057\langfe2057\cgrid\langnp2057\langfenp2057 {\rtlch\fcs1 \af0 \ltrch\fcs0 \insrsid8009455 \chftnsep _x000d__x000a_\par }}{\*\ftnsepc \ltrpar \pard\plain \ltrpar\ql \li0\ri0\widctlpar\wrapdefault\aspalpha\aspnum\faauto\adjustright\rin0\lin0\itap0 \rtlch\fcs1 \af0\afs20\alang1025 \ltrch\fcs0 \fs24\lang2057\langfe2057\cgrid\langnp2057\langfenp2057 {\rtlch\fcs1 \af0 _x000d__x000a_\ltrch\fcs0 \insrsid8009455 \chftnsepc _x000d__x000a_\par }}{\*\aftnsep \ltrpar \pard\plain \ltrpar\ql \li0\ri0\widctlpar\wrapdefault\aspalpha\aspnum\faauto\adjustright\rin0\lin0\itap0 \rtlch\fcs1 \af0\afs20\alang1025 \ltrch\fcs0 \fs24\lang2057\langfe2057\cgrid\langnp2057\langfenp2057 {\rtlch\fcs1 \af0 _x000d__x000a_\ltrch\fcs0 \insrsid8009455 \chftnsep _x000d__x000a_\par }}{\*\aftnsepc \ltrpar \pard\plain \ltrpar\ql \li0\ri0\widctlpar\wrapdefault\aspalpha\aspnum\faauto\adjustright\rin0\lin0\itap0 \rtlch\fcs1 \af0\afs20\alang1025 \ltrch\fcs0 \fs24\lang2057\langfe2057\cgrid\langnp2057\langfenp2057 {\rtlch\fcs1 \af0 _x000d__x000a_\ltrch\fcs0 \insrsid8009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871266 \rtlch\fcs1 \af0\afs20\alang1025 \ltrch\fcs0 \fs24\lang2057\langfe2057\cgrid\langnp2057\langfenp2057 {\rtlch\fcs1 \af0 \ltrch\fcs0 _x000d__x000a_\insrsid871266\charrsid539488 {\*\bkmkstart restart}#}{\rtlch\fcs1 \af1 \ltrch\fcs0 \cs17\v\f1\fs20\cf15\insrsid871266\charrsid539488 NRMSG}{\rtlch\fcs1 \af0 \ltrch\fcs0 \insrsid871266\charrsid539488 #.\tab ##}{\rtlch\fcs1 \af0 \ltrch\fcs0 _x000d__x000a_\insrsid87126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b_x000d__x000a_dbe173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238843 NormalHanging12a;}}{\*\rsidtbl \rsid24658\rsid223860\rsid735077\rsid1251893\rsid1718133\rsid2892074\rsid3238843\rsid3565327\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OZOLINA Iveta}{\operator OZOLINA Iveta}{\creatim\yr2023\mo7\dy18\hr14\min32}{\revtim\yr2023\mo7\dy18\hr14\min32}{\version1}{\edmins0}{\nofpages1}{\nofwords5}{\nofchars30}{\nofcharsws34}{\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238843\newtblstyruls\nogrowautofit\usenormstyforlist\noindnmbrts\felnbrelev\nocxsptable\indrlsweleven\noafcnsttbl\afelev\utinl\hwelev\spltpgpar\notcvasp\notbrkcnstfrctbl\notvatxbx\krnprsnet\cachedcolbal _x000d__x000a_\nouicompat \fet0{\*\wgrffmtfilter 013f}\nofeaturethrottle1\ilfomacatclnup0{\*\template C:\\Users\\iozolina\\AppData\\Local\\Temp\\Blank1.dotx}{\*\ftnsep \ltrpar \pard\plain \ltrpar_x000d__x000a_\ql \li0\ri0\widctlpar\wrapdefault\aspalpha\aspnum\faauto\adjustright\rin0\lin0\itap0 \rtlch\fcs1 \af0\afs20\alang1025 \ltrch\fcs0 \fs24\lang2057\langfe2057\cgrid\langnp2057\langfenp2057 {\rtlch\fcs1 \af0 \ltrch\fcs0 \insrsid1251893 \chftnsep _x000d__x000a_\par }}{\*\ftnsepc \ltrpar \pard\plain \ltrpar\ql \li0\ri0\widctlpar\wrapdefault\aspalpha\aspnum\faauto\adjustright\rin0\lin0\itap0 \rtlch\fcs1 \af0\afs20\alang1025 \ltrch\fcs0 \fs24\lang2057\langfe2057\cgrid\langnp2057\langfenp2057 {\rtlch\fcs1 \af0 _x000d__x000a_\ltrch\fcs0 \insrsid1251893 \chftnsepc _x000d__x000a_\par }}{\*\aftnsep \ltrpar \pard\plain \ltrpar\ql \li0\ri0\widctlpar\wrapdefault\aspalpha\aspnum\faauto\adjustright\rin0\lin0\itap0 \rtlch\fcs1 \af0\afs20\alang1025 \ltrch\fcs0 \fs24\lang2057\langfe2057\cgrid\langnp2057\langfenp2057 {\rtlch\fcs1 \af0 _x000d__x000a_\ltrch\fcs0 \insrsid1251893 \chftnsep _x000d__x000a_\par }}{\*\aftnsepc \ltrpar \pard\plain \ltrpar\ql \li0\ri0\widctlpar\wrapdefault\aspalpha\aspnum\faauto\adjustright\rin0\lin0\itap0 \rtlch\fcs1 \af0\afs20\alang1025 \ltrch\fcs0 \fs24\lang2057\langfe2057\cgrid\langnp2057\langfenp2057 {\rtlch\fcs1 \af0 _x000d__x000a_\ltrch\fcs0 \insrsid12518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238843 \rtlch\fcs1 \af0\afs20\alang1025 \ltrch\fcs0 \fs24\lang2057\langfe2057\cgrid\langnp2057\langfenp2057 {\rtlch\fcs1 \af0 _x000d__x000a_\ltrch\fcs0 \insrsid3238843\charrsid1525456 {\*\bkmkstart restart}[ZSUGGESTIONNR]\tab [ZSUGGESTIONTEXT]}{\rtlch\fcs1 \af0 \ltrch\fcs0 \insrsid323884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5_x000d__x000a_b1e373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3"/>
    <w:docVar w:name="TITLEMNU" w:val=" 1"/>
    <w:docVar w:name="TXTLANGUE" w:val="RO"/>
    <w:docVar w:name="TXTLANGUEMIN" w:val="ro"/>
    <w:docVar w:name="TXTNRPE" w:val="749.086"/>
    <w:docVar w:name="TXTNRPROC" w:val="2022/2188"/>
    <w:docVar w:name="TXTPEorAP" w:val="PE"/>
    <w:docVar w:name="TXTROUTE" w:val="AD\1283588RO.docx"/>
    <w:docVar w:name="TXTTITLE" w:val="the Implementation report on the EU-UK Trade and Cooperation Agreement"/>
    <w:docVar w:name="TXTVERSION" w:val="02-00"/>
  </w:docVars>
  <w:rsids>
    <w:rsidRoot w:val="00083B60"/>
    <w:rsid w:val="00030C2B"/>
    <w:rsid w:val="00083B60"/>
    <w:rsid w:val="000E7EBF"/>
    <w:rsid w:val="000F2E4A"/>
    <w:rsid w:val="00104B92"/>
    <w:rsid w:val="001241D5"/>
    <w:rsid w:val="00124F60"/>
    <w:rsid w:val="00135121"/>
    <w:rsid w:val="00140BE6"/>
    <w:rsid w:val="00147F4E"/>
    <w:rsid w:val="0016635E"/>
    <w:rsid w:val="001746D0"/>
    <w:rsid w:val="00174D78"/>
    <w:rsid w:val="001966DA"/>
    <w:rsid w:val="001A1DF1"/>
    <w:rsid w:val="001B7393"/>
    <w:rsid w:val="001D1FE8"/>
    <w:rsid w:val="001D2ED9"/>
    <w:rsid w:val="002A16A0"/>
    <w:rsid w:val="002A3912"/>
    <w:rsid w:val="002D28A7"/>
    <w:rsid w:val="002E2E41"/>
    <w:rsid w:val="002E2F2E"/>
    <w:rsid w:val="002E6F98"/>
    <w:rsid w:val="00325BCB"/>
    <w:rsid w:val="00331944"/>
    <w:rsid w:val="00332AD9"/>
    <w:rsid w:val="00334D75"/>
    <w:rsid w:val="00347D2C"/>
    <w:rsid w:val="0037356F"/>
    <w:rsid w:val="00374D4B"/>
    <w:rsid w:val="00390EB2"/>
    <w:rsid w:val="00396A0E"/>
    <w:rsid w:val="00396C7F"/>
    <w:rsid w:val="003A1499"/>
    <w:rsid w:val="003A2663"/>
    <w:rsid w:val="003B0000"/>
    <w:rsid w:val="003E2402"/>
    <w:rsid w:val="003E3A38"/>
    <w:rsid w:val="00476B5B"/>
    <w:rsid w:val="004B1F4A"/>
    <w:rsid w:val="004C28FB"/>
    <w:rsid w:val="004C44C0"/>
    <w:rsid w:val="004F259A"/>
    <w:rsid w:val="004F39B4"/>
    <w:rsid w:val="005017BF"/>
    <w:rsid w:val="00505691"/>
    <w:rsid w:val="00510E69"/>
    <w:rsid w:val="0052544E"/>
    <w:rsid w:val="00527C7E"/>
    <w:rsid w:val="0054431C"/>
    <w:rsid w:val="00573A1B"/>
    <w:rsid w:val="005847C3"/>
    <w:rsid w:val="005940C3"/>
    <w:rsid w:val="00594C48"/>
    <w:rsid w:val="005A1194"/>
    <w:rsid w:val="005B2F11"/>
    <w:rsid w:val="005C0BDF"/>
    <w:rsid w:val="005D60C6"/>
    <w:rsid w:val="006102E7"/>
    <w:rsid w:val="00627FEC"/>
    <w:rsid w:val="00640C1B"/>
    <w:rsid w:val="00657AFB"/>
    <w:rsid w:val="00663F36"/>
    <w:rsid w:val="00694BA3"/>
    <w:rsid w:val="006C7FAA"/>
    <w:rsid w:val="006D5BF7"/>
    <w:rsid w:val="006E2A34"/>
    <w:rsid w:val="007305A9"/>
    <w:rsid w:val="007651FC"/>
    <w:rsid w:val="007A2638"/>
    <w:rsid w:val="007D71A3"/>
    <w:rsid w:val="008313E7"/>
    <w:rsid w:val="008327D6"/>
    <w:rsid w:val="00854CAC"/>
    <w:rsid w:val="008A32C5"/>
    <w:rsid w:val="008A403E"/>
    <w:rsid w:val="008B7B5B"/>
    <w:rsid w:val="008C6203"/>
    <w:rsid w:val="008D61E7"/>
    <w:rsid w:val="008F7002"/>
    <w:rsid w:val="009060FE"/>
    <w:rsid w:val="00921EEA"/>
    <w:rsid w:val="009336B0"/>
    <w:rsid w:val="009403FB"/>
    <w:rsid w:val="0094446F"/>
    <w:rsid w:val="009743D4"/>
    <w:rsid w:val="0099493F"/>
    <w:rsid w:val="009B3A2D"/>
    <w:rsid w:val="009C0F13"/>
    <w:rsid w:val="00A16BEA"/>
    <w:rsid w:val="00A312B3"/>
    <w:rsid w:val="00A331FD"/>
    <w:rsid w:val="00A72C35"/>
    <w:rsid w:val="00AB7B19"/>
    <w:rsid w:val="00AB7D82"/>
    <w:rsid w:val="00AE180F"/>
    <w:rsid w:val="00AF78A6"/>
    <w:rsid w:val="00B05A93"/>
    <w:rsid w:val="00B17126"/>
    <w:rsid w:val="00B362F7"/>
    <w:rsid w:val="00B43FF7"/>
    <w:rsid w:val="00B5456B"/>
    <w:rsid w:val="00B74B53"/>
    <w:rsid w:val="00BC26E4"/>
    <w:rsid w:val="00BD1EAA"/>
    <w:rsid w:val="00BD6146"/>
    <w:rsid w:val="00BF099D"/>
    <w:rsid w:val="00C06EC7"/>
    <w:rsid w:val="00C52739"/>
    <w:rsid w:val="00C827FF"/>
    <w:rsid w:val="00C95411"/>
    <w:rsid w:val="00CD315B"/>
    <w:rsid w:val="00CD34AC"/>
    <w:rsid w:val="00CE33ED"/>
    <w:rsid w:val="00D0603D"/>
    <w:rsid w:val="00D4307B"/>
    <w:rsid w:val="00D72212"/>
    <w:rsid w:val="00D843B8"/>
    <w:rsid w:val="00D97151"/>
    <w:rsid w:val="00DA0C93"/>
    <w:rsid w:val="00DA5E7A"/>
    <w:rsid w:val="00DC4E36"/>
    <w:rsid w:val="00DE19FF"/>
    <w:rsid w:val="00E45871"/>
    <w:rsid w:val="00E7606B"/>
    <w:rsid w:val="00E81BA6"/>
    <w:rsid w:val="00E856D2"/>
    <w:rsid w:val="00E929A7"/>
    <w:rsid w:val="00E94B2C"/>
    <w:rsid w:val="00F0342D"/>
    <w:rsid w:val="00F16DE6"/>
    <w:rsid w:val="00F311C9"/>
    <w:rsid w:val="00F56B6B"/>
    <w:rsid w:val="00F8570D"/>
    <w:rsid w:val="00FC351D"/>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EB2C7CF"/>
  <w15:chartTrackingRefBased/>
  <w15:docId w15:val="{18EB7CD4-E704-420D-B9CC-5F5AD890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Hyperlink">
    <w:name w:val="Hyperlink"/>
    <w:basedOn w:val="DefaultParagraphFont"/>
    <w:uiPriority w:val="99"/>
    <w:unhideWhenUsed/>
    <w:rsid w:val="00627FEC"/>
    <w:rPr>
      <w:color w:val="0563C1" w:themeColor="hyperlink"/>
      <w:u w:val="single"/>
    </w:rPr>
  </w:style>
  <w:style w:type="paragraph" w:styleId="ListParagraph">
    <w:name w:val="List Paragraph"/>
    <w:basedOn w:val="Normal"/>
    <w:uiPriority w:val="34"/>
    <w:qFormat/>
    <w:rsid w:val="00627FEC"/>
    <w:pPr>
      <w:widowControl/>
      <w:ind w:left="720"/>
      <w:contextualSpacing/>
      <w:jc w:val="both"/>
    </w:pPr>
    <w:rPr>
      <w:rFonts w:eastAsiaTheme="minorHAnsi"/>
      <w:szCs w:val="24"/>
      <w:lang w:eastAsia="en-US"/>
    </w:rPr>
  </w:style>
  <w:style w:type="character" w:customStyle="1" w:styleId="FootnoteReference1">
    <w:name w:val="Footnote Reference1"/>
    <w:aliases w:val="Footnote Reference Number,Footnote Reference_LVL6,Footnote Reference_LVL61,Footnote Reference_LVL62,Footnote Reference_LVL63,Footnote Reference_LVL64,Footnote symbol,Footnote reference number,Fußnotenzeichen3,16 Point,note TESI"/>
    <w:basedOn w:val="DefaultParagraphFont"/>
    <w:uiPriority w:val="99"/>
    <w:qFormat/>
    <w:locked/>
    <w:rsid w:val="00627FEC"/>
    <w:rPr>
      <w:rFonts w:asciiTheme="minorHAnsi" w:eastAsiaTheme="minorHAnsi" w:hAnsiTheme="minorHAnsi"/>
      <w:sz w:val="22"/>
      <w:szCs w:val="22"/>
      <w:vertAlign w:val="superscript"/>
      <w:lang w:eastAsia="en-US"/>
    </w:rPr>
  </w:style>
  <w:style w:type="paragraph" w:styleId="Footer">
    <w:name w:val="footer"/>
    <w:basedOn w:val="Normal"/>
    <w:link w:val="FooterChar"/>
    <w:semiHidden/>
    <w:rsid w:val="00F311C9"/>
    <w:pPr>
      <w:tabs>
        <w:tab w:val="center" w:pos="4513"/>
        <w:tab w:val="right" w:pos="9026"/>
      </w:tabs>
    </w:pPr>
  </w:style>
  <w:style w:type="character" w:customStyle="1" w:styleId="FooterChar">
    <w:name w:val="Footer Char"/>
    <w:basedOn w:val="DefaultParagraphFont"/>
    <w:link w:val="Footer"/>
    <w:semiHidden/>
    <w:rsid w:val="00F311C9"/>
    <w:rPr>
      <w:sz w:val="24"/>
    </w:rPr>
  </w:style>
  <w:style w:type="paragraph" w:styleId="BalloonText">
    <w:name w:val="Balloon Text"/>
    <w:basedOn w:val="Normal"/>
    <w:link w:val="BalloonTextChar"/>
    <w:semiHidden/>
    <w:unhideWhenUsed/>
    <w:rsid w:val="006C7FAA"/>
    <w:rPr>
      <w:rFonts w:ascii="Segoe UI" w:hAnsi="Segoe UI" w:cs="Segoe UI"/>
      <w:sz w:val="18"/>
      <w:szCs w:val="18"/>
    </w:rPr>
  </w:style>
  <w:style w:type="character" w:customStyle="1" w:styleId="BalloonTextChar">
    <w:name w:val="Balloon Text Char"/>
    <w:basedOn w:val="DefaultParagraphFont"/>
    <w:link w:val="BalloonText"/>
    <w:semiHidden/>
    <w:rsid w:val="006C7FAA"/>
    <w:rPr>
      <w:rFonts w:ascii="Segoe UI" w:hAnsi="Segoe UI" w:cs="Segoe UI"/>
      <w:sz w:val="18"/>
      <w:szCs w:val="18"/>
    </w:rPr>
  </w:style>
  <w:style w:type="paragraph" w:styleId="FootnoteText">
    <w:name w:val="footnote text"/>
    <w:basedOn w:val="Normal"/>
    <w:link w:val="FootnoteTextChar"/>
    <w:qFormat/>
    <w:rsid w:val="007A2638"/>
    <w:rPr>
      <w:sz w:val="20"/>
    </w:rPr>
  </w:style>
  <w:style w:type="character" w:customStyle="1" w:styleId="FootnoteTextChar">
    <w:name w:val="Footnote Text Char"/>
    <w:basedOn w:val="DefaultParagraphFont"/>
    <w:link w:val="FootnoteText"/>
    <w:rsid w:val="007A2638"/>
  </w:style>
  <w:style w:type="character" w:styleId="FootnoteReference">
    <w:name w:val="footnote reference"/>
    <w:basedOn w:val="DefaultParagraphFont"/>
    <w:rsid w:val="007A2638"/>
    <w:rPr>
      <w:vertAlign w:val="superscript"/>
    </w:rPr>
  </w:style>
  <w:style w:type="character" w:styleId="CommentReference">
    <w:name w:val="annotation reference"/>
    <w:basedOn w:val="DefaultParagraphFont"/>
    <w:rsid w:val="00510E69"/>
    <w:rPr>
      <w:sz w:val="16"/>
      <w:szCs w:val="16"/>
    </w:rPr>
  </w:style>
  <w:style w:type="paragraph" w:styleId="CommentText">
    <w:name w:val="annotation text"/>
    <w:basedOn w:val="Normal"/>
    <w:link w:val="CommentTextChar"/>
    <w:rsid w:val="00510E69"/>
    <w:rPr>
      <w:sz w:val="20"/>
    </w:rPr>
  </w:style>
  <w:style w:type="character" w:customStyle="1" w:styleId="CommentTextChar">
    <w:name w:val="Comment Text Char"/>
    <w:basedOn w:val="DefaultParagraphFont"/>
    <w:link w:val="CommentText"/>
    <w:rsid w:val="00510E69"/>
  </w:style>
  <w:style w:type="paragraph" w:styleId="CommentSubject">
    <w:name w:val="annotation subject"/>
    <w:basedOn w:val="CommentText"/>
    <w:next w:val="CommentText"/>
    <w:link w:val="CommentSubjectChar"/>
    <w:semiHidden/>
    <w:unhideWhenUsed/>
    <w:rsid w:val="00510E69"/>
    <w:rPr>
      <w:b/>
      <w:bCs/>
    </w:rPr>
  </w:style>
  <w:style w:type="character" w:customStyle="1" w:styleId="CommentSubjectChar">
    <w:name w:val="Comment Subject Char"/>
    <w:basedOn w:val="CommentTextChar"/>
    <w:link w:val="CommentSubject"/>
    <w:semiHidden/>
    <w:rsid w:val="00510E69"/>
    <w:rPr>
      <w:b/>
      <w:bCs/>
    </w:rPr>
  </w:style>
  <w:style w:type="character" w:customStyle="1" w:styleId="NormalHanging12aChar">
    <w:name w:val="NormalHanging12a Char"/>
    <w:basedOn w:val="DefaultParagraphFont"/>
    <w:link w:val="NormalHanging12a"/>
    <w:rsid w:val="00694BA3"/>
    <w:rPr>
      <w:sz w:val="24"/>
    </w:rPr>
  </w:style>
  <w:style w:type="paragraph" w:customStyle="1" w:styleId="RollCallSymbols14pt">
    <w:name w:val="RollCallSymbols14pt"/>
    <w:basedOn w:val="Normal"/>
    <w:rsid w:val="002E2E4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2E41"/>
    <w:pPr>
      <w:tabs>
        <w:tab w:val="center" w:pos="284"/>
        <w:tab w:val="left" w:pos="426"/>
      </w:tabs>
    </w:pPr>
    <w:rPr>
      <w:snapToGrid w:val="0"/>
      <w:lang w:eastAsia="en-US"/>
    </w:rPr>
  </w:style>
  <w:style w:type="paragraph" w:customStyle="1" w:styleId="RollCallVotes">
    <w:name w:val="RollCallVotes"/>
    <w:basedOn w:val="Normal"/>
    <w:rsid w:val="002E2E41"/>
    <w:pPr>
      <w:spacing w:before="120" w:after="120"/>
      <w:jc w:val="center"/>
    </w:pPr>
    <w:rPr>
      <w:b/>
      <w:bCs/>
      <w:snapToGrid w:val="0"/>
      <w:sz w:val="16"/>
      <w:lang w:eastAsia="en-US"/>
    </w:rPr>
  </w:style>
  <w:style w:type="paragraph" w:customStyle="1" w:styleId="RollCallTable">
    <w:name w:val="RollCallTable"/>
    <w:basedOn w:val="Normal"/>
    <w:rsid w:val="002E2E4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3184">
      <w:bodyDiv w:val="1"/>
      <w:marLeft w:val="0"/>
      <w:marRight w:val="0"/>
      <w:marTop w:val="0"/>
      <w:marBottom w:val="0"/>
      <w:divBdr>
        <w:top w:val="none" w:sz="0" w:space="0" w:color="auto"/>
        <w:left w:val="none" w:sz="0" w:space="0" w:color="auto"/>
        <w:bottom w:val="none" w:sz="0" w:space="0" w:color="auto"/>
        <w:right w:val="none" w:sz="0" w:space="0" w:color="auto"/>
      </w:divBdr>
    </w:div>
    <w:div w:id="407464229">
      <w:bodyDiv w:val="1"/>
      <w:marLeft w:val="0"/>
      <w:marRight w:val="0"/>
      <w:marTop w:val="0"/>
      <w:marBottom w:val="0"/>
      <w:divBdr>
        <w:top w:val="none" w:sz="0" w:space="0" w:color="auto"/>
        <w:left w:val="none" w:sz="0" w:space="0" w:color="auto"/>
        <w:bottom w:val="none" w:sz="0" w:space="0" w:color="auto"/>
        <w:right w:val="none" w:sz="0" w:space="0" w:color="auto"/>
      </w:divBdr>
    </w:div>
    <w:div w:id="593901335">
      <w:bodyDiv w:val="1"/>
      <w:marLeft w:val="0"/>
      <w:marRight w:val="0"/>
      <w:marTop w:val="0"/>
      <w:marBottom w:val="0"/>
      <w:divBdr>
        <w:top w:val="none" w:sz="0" w:space="0" w:color="auto"/>
        <w:left w:val="none" w:sz="0" w:space="0" w:color="auto"/>
        <w:bottom w:val="none" w:sz="0" w:space="0" w:color="auto"/>
        <w:right w:val="none" w:sz="0" w:space="0" w:color="auto"/>
      </w:divBdr>
    </w:div>
    <w:div w:id="737097448">
      <w:bodyDiv w:val="1"/>
      <w:marLeft w:val="0"/>
      <w:marRight w:val="0"/>
      <w:marTop w:val="0"/>
      <w:marBottom w:val="0"/>
      <w:divBdr>
        <w:top w:val="none" w:sz="0" w:space="0" w:color="auto"/>
        <w:left w:val="none" w:sz="0" w:space="0" w:color="auto"/>
        <w:bottom w:val="none" w:sz="0" w:space="0" w:color="auto"/>
        <w:right w:val="none" w:sz="0" w:space="0" w:color="auto"/>
      </w:divBdr>
    </w:div>
    <w:div w:id="1145588390">
      <w:bodyDiv w:val="1"/>
      <w:marLeft w:val="0"/>
      <w:marRight w:val="0"/>
      <w:marTop w:val="0"/>
      <w:marBottom w:val="0"/>
      <w:divBdr>
        <w:top w:val="none" w:sz="0" w:space="0" w:color="auto"/>
        <w:left w:val="none" w:sz="0" w:space="0" w:color="auto"/>
        <w:bottom w:val="none" w:sz="0" w:space="0" w:color="auto"/>
        <w:right w:val="none" w:sz="0" w:space="0" w:color="auto"/>
      </w:divBdr>
    </w:div>
    <w:div w:id="1984188891">
      <w:bodyDiv w:val="1"/>
      <w:marLeft w:val="0"/>
      <w:marRight w:val="0"/>
      <w:marTop w:val="0"/>
      <w:marBottom w:val="0"/>
      <w:divBdr>
        <w:top w:val="none" w:sz="0" w:space="0" w:color="auto"/>
        <w:left w:val="none" w:sz="0" w:space="0" w:color="auto"/>
        <w:bottom w:val="none" w:sz="0" w:space="0" w:color="auto"/>
        <w:right w:val="none" w:sz="0" w:space="0" w:color="auto"/>
      </w:divBdr>
    </w:div>
    <w:div w:id="1984658526">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3931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ystem/files/2023-06/Agenda%20-%20Third%20meeting%20of%20Specialised%20Committee%20on%20Social%20Security%20Coordin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11512</Characters>
  <Application>Microsoft Office Word</Application>
  <DocSecurity>0</DocSecurity>
  <Lines>234</Lines>
  <Paragraphs>99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2023-07-20T09:19:00Z</cp:lastPrinted>
  <dcterms:created xsi:type="dcterms:W3CDTF">2023-09-14T12:26:00Z</dcterms:created>
  <dcterms:modified xsi:type="dcterms:W3CDTF">2023-09-14T12:26:00Z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1283588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\\eiciBRUpr1\pdocep$\DocEP\TRANSFIL\EN\PA_NonLeg.EN(27/03/2023 17:09:01)</vt:lpwstr>
  </property>
  <property fmtid="{D5CDD505-2E9C-101B-9397-08002B2CF9AE}" pid="9" name="&lt;Model&gt;">
    <vt:lpwstr>PA_NonLeg</vt:lpwstr>
  </property>
  <property fmtid="{D5CDD505-2E9C-101B-9397-08002B2CF9AE}" pid="10" name="FooterPath">
    <vt:lpwstr>AD\1283588RO.docx</vt:lpwstr>
  </property>
  <property fmtid="{D5CDD505-2E9C-101B-9397-08002B2CF9AE}" pid="11" name="PE number">
    <vt:lpwstr>749.086</vt:lpwstr>
  </property>
  <property fmtid="{D5CDD505-2E9C-101B-9397-08002B2CF9AE}" pid="12" name="SendToEpades">
    <vt:lpwstr>OK - 2023/07/19 15:25</vt:lpwstr>
  </property>
  <property fmtid="{D5CDD505-2E9C-101B-9397-08002B2CF9AE}" pid="13" name="Bookout">
    <vt:lpwstr>OK - 2023/09/14 14:26</vt:lpwstr>
  </property>
  <property fmtid="{D5CDD505-2E9C-101B-9397-08002B2CF9AE}" pid="14" name="SDLStudio">
    <vt:lpwstr/>
  </property>
</Properties>
</file>